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ind w:firstLine="300" w:firstLineChars="100"/>
        <w:rPr>
          <w:rFonts w:ascii="Times New Roman" w:hAnsi="Times New Roman" w:eastAsia="黑体" w:cs="Times New Roman"/>
          <w:sz w:val="36"/>
          <w:szCs w:val="36"/>
        </w:rPr>
      </w:pPr>
      <w:r>
        <w:rPr>
          <w:rFonts w:ascii="Times New Roman" w:hAnsi="Times New Roman" w:eastAsia="楷体" w:cs="Times New Roman"/>
          <w:sz w:val="30"/>
          <w:szCs w:val="30"/>
        </w:rPr>
        <w:t xml:space="preserve">附件4 </w:t>
      </w:r>
      <w:r>
        <w:rPr>
          <w:rFonts w:ascii="Times New Roman" w:hAnsi="Times New Roman" w:eastAsia="黑体" w:cs="Times New Roman"/>
          <w:sz w:val="32"/>
          <w:szCs w:val="32"/>
        </w:rPr>
        <w:t xml:space="preserve">            </w:t>
      </w:r>
      <w:r>
        <w:rPr>
          <w:rFonts w:ascii="Times New Roman" w:hAnsi="Times New Roman" w:eastAsia="黑体" w:cs="Times New Roman"/>
          <w:sz w:val="36"/>
          <w:szCs w:val="36"/>
        </w:rPr>
        <w:t xml:space="preserve">   </w:t>
      </w:r>
    </w:p>
    <w:p>
      <w:pPr>
        <w:overflowPunct w:val="0"/>
        <w:spacing w:line="590" w:lineRule="exact"/>
        <w:jc w:val="center"/>
        <w:rPr>
          <w:rFonts w:ascii="Times New Roman" w:hAnsi="Times New Roman" w:eastAsia="黑体" w:cs="Times New Roman"/>
          <w:sz w:val="44"/>
          <w:szCs w:val="44"/>
        </w:rPr>
      </w:pPr>
      <w:r>
        <w:rPr>
          <w:rFonts w:ascii="Times New Roman" w:hAnsi="Times New Roman" w:eastAsia="方正小标宋简体" w:cs="Times New Roman"/>
          <w:sz w:val="44"/>
          <w:szCs w:val="44"/>
        </w:rPr>
        <w:t>衡阳市雁峰区培育建设省级创新型区责任分工表</w:t>
      </w:r>
    </w:p>
    <w:p>
      <w:pPr>
        <w:overflowPunct w:val="0"/>
        <w:spacing w:line="590" w:lineRule="exact"/>
        <w:rPr>
          <w:rFonts w:ascii="Times New Roman" w:hAnsi="Times New Roman" w:cs="Times New Roman"/>
        </w:rPr>
      </w:pPr>
    </w:p>
    <w:tbl>
      <w:tblPr>
        <w:tblStyle w:val="2"/>
        <w:tblW w:w="133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960"/>
        <w:gridCol w:w="7357"/>
        <w:gridCol w:w="171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blHeader/>
        </w:trPr>
        <w:tc>
          <w:tcPr>
            <w:tcW w:w="510" w:type="dxa"/>
            <w:vAlign w:val="center"/>
          </w:tcPr>
          <w:p>
            <w:pPr>
              <w:overflowPunct w:val="0"/>
              <w:spacing w:line="240" w:lineRule="atLeast"/>
              <w:jc w:val="center"/>
              <w:rPr>
                <w:rFonts w:ascii="Times New Roman" w:hAnsi="Times New Roman" w:eastAsia="仿宋" w:cs="Times New Roman"/>
                <w:sz w:val="24"/>
                <w:szCs w:val="28"/>
              </w:rPr>
            </w:pPr>
            <w:r>
              <w:rPr>
                <w:rFonts w:ascii="Times New Roman" w:hAnsi="Times New Roman" w:eastAsia="仿宋" w:cs="Times New Roman"/>
                <w:sz w:val="24"/>
                <w:szCs w:val="28"/>
              </w:rPr>
              <w:t>序号</w:t>
            </w:r>
          </w:p>
        </w:tc>
        <w:tc>
          <w:tcPr>
            <w:tcW w:w="960" w:type="dxa"/>
            <w:vAlign w:val="center"/>
          </w:tcPr>
          <w:p>
            <w:pPr>
              <w:overflowPunct w:val="0"/>
              <w:spacing w:line="240" w:lineRule="atLeast"/>
              <w:jc w:val="center"/>
              <w:rPr>
                <w:rFonts w:ascii="Times New Roman" w:hAnsi="Times New Roman" w:eastAsia="仿宋" w:cs="Times New Roman"/>
                <w:sz w:val="24"/>
                <w:szCs w:val="28"/>
              </w:rPr>
            </w:pPr>
            <w:r>
              <w:rPr>
                <w:rFonts w:ascii="Times New Roman" w:hAnsi="Times New Roman" w:eastAsia="仿宋" w:cs="Times New Roman"/>
                <w:sz w:val="24"/>
                <w:szCs w:val="28"/>
              </w:rPr>
              <w:t>主要任务</w:t>
            </w:r>
          </w:p>
        </w:tc>
        <w:tc>
          <w:tcPr>
            <w:tcW w:w="7357" w:type="dxa"/>
            <w:vAlign w:val="center"/>
          </w:tcPr>
          <w:p>
            <w:pPr>
              <w:overflowPunct w:val="0"/>
              <w:spacing w:line="240" w:lineRule="atLeast"/>
              <w:jc w:val="center"/>
              <w:rPr>
                <w:rFonts w:ascii="Times New Roman" w:hAnsi="Times New Roman" w:eastAsia="仿宋" w:cs="Times New Roman"/>
                <w:sz w:val="24"/>
                <w:szCs w:val="28"/>
              </w:rPr>
            </w:pPr>
            <w:r>
              <w:rPr>
                <w:rFonts w:ascii="Times New Roman" w:hAnsi="Times New Roman" w:eastAsia="仿宋" w:cs="Times New Roman"/>
                <w:sz w:val="24"/>
                <w:szCs w:val="28"/>
              </w:rPr>
              <w:t>工作要点</w:t>
            </w:r>
          </w:p>
        </w:tc>
        <w:tc>
          <w:tcPr>
            <w:tcW w:w="1710" w:type="dxa"/>
            <w:vAlign w:val="center"/>
          </w:tcPr>
          <w:p>
            <w:pPr>
              <w:overflowPunct w:val="0"/>
              <w:spacing w:line="240" w:lineRule="atLeast"/>
              <w:jc w:val="center"/>
              <w:rPr>
                <w:rFonts w:ascii="Times New Roman" w:hAnsi="Times New Roman" w:eastAsia="仿宋" w:cs="Times New Roman"/>
                <w:sz w:val="24"/>
                <w:szCs w:val="28"/>
              </w:rPr>
            </w:pPr>
            <w:r>
              <w:rPr>
                <w:rFonts w:ascii="Times New Roman" w:hAnsi="Times New Roman" w:eastAsia="仿宋" w:cs="Times New Roman"/>
                <w:sz w:val="24"/>
                <w:szCs w:val="28"/>
              </w:rPr>
              <w:t>责任单位</w:t>
            </w:r>
          </w:p>
        </w:tc>
        <w:tc>
          <w:tcPr>
            <w:tcW w:w="2820" w:type="dxa"/>
            <w:vAlign w:val="center"/>
          </w:tcPr>
          <w:p>
            <w:pPr>
              <w:overflowPunct w:val="0"/>
              <w:spacing w:line="240" w:lineRule="atLeast"/>
              <w:jc w:val="center"/>
              <w:rPr>
                <w:rFonts w:ascii="Times New Roman" w:hAnsi="Times New Roman" w:eastAsia="仿宋" w:cs="Times New Roman"/>
                <w:sz w:val="24"/>
                <w:szCs w:val="28"/>
              </w:rPr>
            </w:pPr>
            <w:r>
              <w:rPr>
                <w:rFonts w:ascii="Times New Roman" w:hAnsi="Times New Roman" w:eastAsia="仿宋" w:cs="Times New Roman"/>
                <w:sz w:val="24"/>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exact"/>
        </w:trPr>
        <w:tc>
          <w:tcPr>
            <w:tcW w:w="51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1</w:t>
            </w:r>
          </w:p>
        </w:tc>
        <w:tc>
          <w:tcPr>
            <w:tcW w:w="96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推动企业技术创新</w:t>
            </w: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通过提升科技投入、实施企业成长计划、培育企业创新主体，实现企业效益的原地倍增。到2022年，高新技术企业达到30家，高新技术产业增加值占比达33%，科技型中小企业突破40家，规上企业新产品销售收入占比达29.4%，高技术产业主营收入占工业主营业务收入的比重达8%。其中特色产业输变电产业产值占GDP比重达38.57%。</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区科工信局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区发改局、区住建局、区农业农村局、区商务局、区统计局、区市场监管局、区工业集聚区，各镇、街道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大力推进重点实验室、工程（技术）研究中心、企业技术中心等研发平台建设。到2020年，新增省级以上工程（技术）研究中心1个、工程实验室1个、企业技术中心2个，培育重点技术创新团队2个，企业创新能力明显增强。</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区科工信局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区工业集聚区，各镇、街道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支持探索产学研用结合有效模式，鼓励企业、高校、科研机构建立以技术合作开发为目的的利益共同体，实行知识产权分享、长期互助合作的机制。继续加强产业技术创新战略联盟建设。</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区科工信局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区人社局、区市场监管局、区工业集聚区，各镇、街道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1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2</w:t>
            </w:r>
          </w:p>
        </w:tc>
        <w:tc>
          <w:tcPr>
            <w:tcW w:w="96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创新产业发展</w:t>
            </w: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加速落实“12345”产业发展计划和“1313”工程，推进现代工业园区建设。落地1个500强企业即中国金茂，服务支持2个以上企业主板上市，引进3个以上500强企业即北京王府井、香港铜锣湾、台湾大洋百货，新增“四上企业”40家左右，服务支持5个以上科技创新项目或重大创新产品。</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区发改局、区商务局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区科工信局、区住建局、区农业农村局、区商务局、区统计局、区市场监管局、</w:t>
            </w:r>
            <w:r>
              <w:rPr>
                <w:rFonts w:ascii="Times New Roman" w:hAnsi="Times New Roman" w:eastAsia="仿宋" w:cs="Times New Roman"/>
                <w:szCs w:val="21"/>
              </w:rPr>
              <w:t>区重点建设项目事务中心</w:t>
            </w:r>
            <w:r>
              <w:rPr>
                <w:rFonts w:ascii="Times New Roman" w:hAnsi="Times New Roman" w:eastAsia="仿宋" w:cs="Times New Roman"/>
                <w:sz w:val="24"/>
              </w:rPr>
              <w:t>，各镇、街道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kern w:val="0"/>
                <w:sz w:val="24"/>
              </w:rPr>
              <w:t>以科技创新带动产业节能减排和提高社会收入，到2022年，万元GDP综合能耗下降为0.331吨标准煤/万元，居民人均可支配收入达44700元。</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区发改局、区人社局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区科工信局、区统计局、区工业集聚区，各镇、街道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kern w:val="0"/>
                <w:sz w:val="24"/>
              </w:rPr>
            </w:pPr>
            <w:r>
              <w:rPr>
                <w:rFonts w:ascii="Times New Roman" w:hAnsi="Times New Roman" w:eastAsia="仿宋" w:cs="Times New Roman"/>
                <w:kern w:val="0"/>
                <w:sz w:val="24"/>
              </w:rPr>
              <w:t>深入实施农业供给侧结构性改革三年行动，到2022年，确保市级以上农业产业化龙头企业数达17家，农产品“三品一标”及“两型产品”数达12个。</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区农业农村局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区发改局，各镇、街道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trPr>
        <w:tc>
          <w:tcPr>
            <w:tcW w:w="51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3</w:t>
            </w:r>
          </w:p>
        </w:tc>
        <w:tc>
          <w:tcPr>
            <w:tcW w:w="96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实施知识产权战略</w:t>
            </w: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全区专利申请量和授权量持续增长，到2022年，全区</w:t>
            </w:r>
            <w:r>
              <w:rPr>
                <w:rFonts w:ascii="Times New Roman" w:hAnsi="Times New Roman" w:eastAsia="仿宋" w:cs="Times New Roman"/>
                <w:kern w:val="0"/>
                <w:sz w:val="24"/>
              </w:rPr>
              <w:t>万人发明专利拥有量达到13件</w:t>
            </w:r>
            <w:r>
              <w:rPr>
                <w:rFonts w:ascii="Times New Roman" w:hAnsi="Times New Roman" w:eastAsia="仿宋" w:cs="Times New Roman"/>
                <w:sz w:val="24"/>
              </w:rPr>
              <w:t>，规模以上工业企业发明专利授权数100件。</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区市场监管局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区科工信局，各镇、街道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逐年加大专利技术补助力度。</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区市场监管局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探索知识产权转化和知识产权质押市场化机制。</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区市场监管局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区金融事务中心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知识产权行政执法素质和效率明显提高</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区市场监管局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区法院、公安雁峰分局、区司法局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加强知识产权司法案件审理</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区法院</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区市场监管局、区司法局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exact"/>
        </w:trPr>
        <w:tc>
          <w:tcPr>
            <w:tcW w:w="51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4</w:t>
            </w:r>
          </w:p>
        </w:tc>
        <w:tc>
          <w:tcPr>
            <w:tcW w:w="96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创新服务体系建设</w:t>
            </w: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kern w:val="0"/>
                <w:sz w:val="24"/>
              </w:rPr>
              <w:t>新增创新密集区1家， 众创空间、星创天地2家，科技创新平台1个、科技信息平台1个、企业孵化器1个，引进科技服务机构10家。到2020年，我区创新创业服务机构及研究开发机构数达93个。</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区科工信局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区科协、区发改局、区住建局、区农业农村局、区商务局、区统计局、区市场监管局、区工业集聚区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完善以技术交易、技术经纪、技术咨询、信息沟通为主要内容的服务网络，促进技术市场的发展。到2020年，全区技术市场成交合同金额占GDP的比重达到0.5%。</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区科工信局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全区各部门，各镇、街道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exact"/>
        </w:trPr>
        <w:tc>
          <w:tcPr>
            <w:tcW w:w="510" w:type="dxa"/>
            <w:vAlign w:val="center"/>
          </w:tcPr>
          <w:p>
            <w:pPr>
              <w:overflowPunct w:val="0"/>
              <w:spacing w:line="240" w:lineRule="atLeast"/>
              <w:jc w:val="center"/>
              <w:rPr>
                <w:rFonts w:ascii="Times New Roman" w:hAnsi="Times New Roman" w:eastAsia="仿宋" w:cs="Times New Roman"/>
                <w:sz w:val="24"/>
              </w:rPr>
            </w:pPr>
          </w:p>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5</w:t>
            </w:r>
          </w:p>
        </w:tc>
        <w:tc>
          <w:tcPr>
            <w:tcW w:w="96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创新人才队伍建设</w:t>
            </w: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落实相关文件精神，围绕雁峰区创新发展的人才需求，着力引进一批高层次的创新创业人才和团队，重点培训一批企业紧缺的高技能人才，建立以业绩和能力为重点的自主创新人才评价指标体系。协调增加我区市级以上科技特派员、“三区”科技人才数。</w:t>
            </w:r>
          </w:p>
        </w:tc>
        <w:tc>
          <w:tcPr>
            <w:tcW w:w="1710" w:type="dxa"/>
            <w:vAlign w:val="center"/>
          </w:tcPr>
          <w:p>
            <w:pPr>
              <w:overflowPunct w:val="0"/>
              <w:spacing w:line="240" w:lineRule="atLeast"/>
              <w:ind w:leftChars="-57" w:right="-126" w:rightChars="-60" w:hanging="120" w:hangingChars="50"/>
              <w:jc w:val="center"/>
              <w:rPr>
                <w:rFonts w:ascii="Times New Roman" w:hAnsi="Times New Roman" w:eastAsia="仿宋" w:cs="Times New Roman"/>
                <w:sz w:val="24"/>
              </w:rPr>
            </w:pPr>
            <w:r>
              <w:rPr>
                <w:rFonts w:ascii="Times New Roman" w:hAnsi="Times New Roman" w:eastAsia="仿宋" w:cs="Times New Roman"/>
                <w:sz w:val="24"/>
              </w:rPr>
              <w:t>区委组织部</w:t>
            </w:r>
          </w:p>
          <w:p>
            <w:pPr>
              <w:overflowPunct w:val="0"/>
              <w:spacing w:line="240" w:lineRule="atLeast"/>
              <w:ind w:leftChars="-57" w:right="-126" w:rightChars="-60" w:hanging="120" w:hangingChars="50"/>
              <w:jc w:val="center"/>
              <w:rPr>
                <w:rFonts w:ascii="Times New Roman" w:hAnsi="Times New Roman" w:eastAsia="仿宋" w:cs="Times New Roman"/>
                <w:sz w:val="24"/>
              </w:rPr>
            </w:pPr>
            <w:r>
              <w:rPr>
                <w:rFonts w:ascii="Times New Roman" w:hAnsi="Times New Roman" w:eastAsia="仿宋" w:cs="Times New Roman"/>
                <w:sz w:val="24"/>
              </w:rPr>
              <w:t>（区委人才办）</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区教育局、区科工信局、区人社局、区卫健局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trPr>
        <w:tc>
          <w:tcPr>
            <w:tcW w:w="51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6</w:t>
            </w:r>
          </w:p>
        </w:tc>
        <w:tc>
          <w:tcPr>
            <w:tcW w:w="96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创新环境建设</w:t>
            </w: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出台实施创新驱动发展战略的决定或意见、配套政策措施，不低于年度目标。</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区委、区政府</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保障财政科技投入稳定增长,到2022年，全区</w:t>
            </w:r>
            <w:r>
              <w:rPr>
                <w:rFonts w:ascii="Times New Roman" w:hAnsi="Times New Roman" w:eastAsia="仿宋" w:cs="Times New Roman"/>
                <w:kern w:val="0"/>
                <w:sz w:val="24"/>
              </w:rPr>
              <w:t>财政科学技术支出占财政一般公共预算支出的比重达到1.58%</w:t>
            </w:r>
            <w:r>
              <w:rPr>
                <w:rFonts w:ascii="Times New Roman" w:hAnsi="Times New Roman" w:eastAsia="仿宋" w:cs="Times New Roman"/>
                <w:sz w:val="24"/>
              </w:rPr>
              <w:t>；整合各项资金，严格规范管理，确保有关科技创新与技术进步的资金按期到位；健全财政专项资金的绩效评估机制，不断增加财政性教育经费支出，到2020年占GDP比重达2.87%。</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区财政局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区教育局、区科工信局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kern w:val="0"/>
                <w:sz w:val="24"/>
              </w:rPr>
            </w:pPr>
            <w:r>
              <w:rPr>
                <w:rFonts w:ascii="Times New Roman" w:hAnsi="Times New Roman" w:eastAsia="仿宋" w:cs="Times New Roman"/>
                <w:kern w:val="0"/>
                <w:sz w:val="24"/>
              </w:rPr>
              <w:t>引导全社会不断加大研发经费投入，到2022年全社会R&amp;D 经费支出占地区GDP 比重达到2.51%，万名就业人员总R&amp;D人员数达124人，规模以上工业企业研究与实验发展经费支出占主营业务收入的比值达2.45%，规模以上工业企业研究与实验发展人员（R&amp;D）占规模以上工业企业从业人员比重达9.9%，规模以上工业企业中建立研发机构的企业数量占比18%。</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区科工信局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区发改局、区教育局、区住建局、区人社局、区农业农村局、区商务局、区统计局、区工业集聚区，各镇、街道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制定引导和鼓励各类商业金融机构支持自主创新的具体措施；完善我区中小企业信用担保机制，出台鼓励有条件的企业参与资本市场的优惠政策。积极创建创业投资（引导）基金、科技贷款贴息和风险补偿、中小企业担保等科技金融结合的资金。</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区金融事务中心</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区科工信局、区市场监管局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exact"/>
        </w:trPr>
        <w:tc>
          <w:tcPr>
            <w:tcW w:w="51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6</w:t>
            </w:r>
          </w:p>
        </w:tc>
        <w:tc>
          <w:tcPr>
            <w:tcW w:w="960" w:type="dxa"/>
            <w:vMerge w:val="restart"/>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创新环境建设</w:t>
            </w: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贯彻落实各项鼓励自主创新的税收政策；为创新型企业提供有关税收政策的咨询和辅导。加大减税降费支持力度，确保研发费用加计扣除优惠政策的企业数、企业享受研发费用加计扣除优惠政策获得的税收减免额、高新技术企业所得税优惠额（万元）不断增加。</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区税务局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区科工信局、区财政局、区统计局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切实加强“衡阳区建设创新型城区”的宣传教育，大力倡导自主创新精神,提高广大区民的创新意识。</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区委宣传部</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区科协、区科工信局、区城管执法局，各镇、街道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kern w:val="0"/>
                <w:sz w:val="24"/>
              </w:rPr>
              <w:t>打好污染防治攻坚战，到2022年，优良以上空气质量占全年的比重达到87%。</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生态环境雁峰分局</w:t>
            </w:r>
          </w:p>
        </w:tc>
        <w:tc>
          <w:tcPr>
            <w:tcW w:w="2820" w:type="dxa"/>
            <w:vAlign w:val="center"/>
          </w:tcPr>
          <w:p>
            <w:pPr>
              <w:overflowPunct w:val="0"/>
              <w:spacing w:line="240" w:lineRule="atLeast"/>
              <w:rPr>
                <w:rFonts w:ascii="Times New Roman" w:hAnsi="Times New Roman" w:eastAsia="仿宋" w:cs="Times New Roman"/>
                <w:sz w:val="24"/>
              </w:rPr>
            </w:pPr>
            <w:r>
              <w:rPr>
                <w:rFonts w:ascii="Times New Roman" w:hAnsi="Times New Roman" w:eastAsia="仿宋" w:cs="Times New Roman"/>
                <w:sz w:val="24"/>
              </w:rPr>
              <w:t>区城管执法局，各镇、街道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kern w:val="0"/>
                <w:sz w:val="24"/>
              </w:rPr>
            </w:pPr>
            <w:r>
              <w:rPr>
                <w:rFonts w:ascii="Times New Roman" w:hAnsi="Times New Roman" w:eastAsia="仿宋" w:cs="Times New Roman"/>
                <w:kern w:val="0"/>
                <w:sz w:val="24"/>
              </w:rPr>
              <w:t>加强政务服务，实现政务服务事项“一件事一次办”全覆盖；与企业群众生活密切相关的重点领域和办件量较大的高频事项基本实现跨域通办，实现政务服务事项跨域通办全覆盖；优化政企沟通机制，建立便利、畅通的渠道，受理有关营商环境的投诉和举报。</w:t>
            </w:r>
          </w:p>
          <w:p>
            <w:pPr>
              <w:overflowPunct w:val="0"/>
              <w:spacing w:line="240" w:lineRule="atLeast"/>
              <w:rPr>
                <w:rFonts w:ascii="Times New Roman" w:hAnsi="Times New Roman" w:eastAsia="仿宋" w:cs="Times New Roman"/>
                <w:kern w:val="0"/>
                <w:sz w:val="24"/>
              </w:rPr>
            </w:pPr>
            <w:r>
              <w:rPr>
                <w:rFonts w:ascii="Times New Roman" w:hAnsi="Times New Roman" w:eastAsia="仿宋" w:cs="Times New Roman"/>
                <w:kern w:val="0"/>
                <w:sz w:val="24"/>
              </w:rPr>
              <w:t>优化营商环境，落实“三集中、三到位”改革；精简审批流程，“减环节、减材料、减时限、减费用”在现有基础上压缩10%以上；加强电子证照的推广应用，实现电子证照跨地区、跨部门共享；实现区、镇（街道）、村（社区）电子政务外网全覆盖，政务服务体系建设向基层延伸，实现镇（街道）、村（社区）网上办事服务全覆盖。</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区行政审批局</w:t>
            </w:r>
          </w:p>
        </w:tc>
        <w:tc>
          <w:tcPr>
            <w:tcW w:w="2820" w:type="dxa"/>
            <w:vAlign w:val="center"/>
          </w:tcPr>
          <w:p>
            <w:pPr>
              <w:overflowPunct w:val="0"/>
              <w:spacing w:line="240" w:lineRule="atLeas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510" w:type="dxa"/>
            <w:vMerge w:val="continue"/>
            <w:vAlign w:val="center"/>
          </w:tcPr>
          <w:p>
            <w:pPr>
              <w:overflowPunct w:val="0"/>
              <w:spacing w:line="240" w:lineRule="atLeast"/>
              <w:jc w:val="center"/>
              <w:rPr>
                <w:rFonts w:ascii="Times New Roman" w:hAnsi="Times New Roman" w:eastAsia="仿宋" w:cs="Times New Roman"/>
                <w:sz w:val="24"/>
              </w:rPr>
            </w:pPr>
          </w:p>
        </w:tc>
        <w:tc>
          <w:tcPr>
            <w:tcW w:w="960" w:type="dxa"/>
            <w:vMerge w:val="continue"/>
            <w:vAlign w:val="center"/>
          </w:tcPr>
          <w:p>
            <w:pPr>
              <w:overflowPunct w:val="0"/>
              <w:spacing w:line="240" w:lineRule="atLeast"/>
              <w:jc w:val="center"/>
              <w:rPr>
                <w:rFonts w:ascii="Times New Roman" w:hAnsi="Times New Roman" w:eastAsia="仿宋" w:cs="Times New Roman"/>
                <w:sz w:val="24"/>
              </w:rPr>
            </w:pPr>
          </w:p>
        </w:tc>
        <w:tc>
          <w:tcPr>
            <w:tcW w:w="7357" w:type="dxa"/>
            <w:vAlign w:val="center"/>
          </w:tcPr>
          <w:p>
            <w:pPr>
              <w:overflowPunct w:val="0"/>
              <w:spacing w:line="240" w:lineRule="atLeast"/>
              <w:rPr>
                <w:rFonts w:ascii="Times New Roman" w:hAnsi="Times New Roman" w:eastAsia="仿宋" w:cs="Times New Roman"/>
                <w:kern w:val="0"/>
                <w:sz w:val="24"/>
              </w:rPr>
            </w:pPr>
            <w:r>
              <w:rPr>
                <w:rFonts w:ascii="Times New Roman" w:hAnsi="Times New Roman" w:eastAsia="仿宋" w:cs="Times New Roman"/>
                <w:kern w:val="0"/>
                <w:sz w:val="24"/>
              </w:rPr>
              <w:t>平安雁峰建设。构建多元化调解机制，加强网格化服务管理，完善社会治安防控体系，推进应急综合指挥平台建设，实现综治平台共建共享，创新矛盾调解机制，创新公共服务体系，创新平安建设举措。</w:t>
            </w:r>
          </w:p>
        </w:tc>
        <w:tc>
          <w:tcPr>
            <w:tcW w:w="1710" w:type="dxa"/>
            <w:vAlign w:val="center"/>
          </w:tcPr>
          <w:p>
            <w:pPr>
              <w:overflowPunct w:val="0"/>
              <w:spacing w:line="240" w:lineRule="atLeast"/>
              <w:jc w:val="center"/>
              <w:rPr>
                <w:rFonts w:ascii="Times New Roman" w:hAnsi="Times New Roman" w:eastAsia="仿宋" w:cs="Times New Roman"/>
                <w:sz w:val="24"/>
              </w:rPr>
            </w:pPr>
            <w:r>
              <w:rPr>
                <w:rFonts w:ascii="Times New Roman" w:hAnsi="Times New Roman" w:eastAsia="仿宋" w:cs="Times New Roman"/>
                <w:sz w:val="24"/>
              </w:rPr>
              <w:t>区委政法委</w:t>
            </w:r>
          </w:p>
        </w:tc>
        <w:tc>
          <w:tcPr>
            <w:tcW w:w="2820" w:type="dxa"/>
            <w:vAlign w:val="center"/>
          </w:tcPr>
          <w:p>
            <w:pPr>
              <w:overflowPunct w:val="0"/>
              <w:spacing w:line="240" w:lineRule="atLeast"/>
              <w:rPr>
                <w:rFonts w:ascii="Times New Roman" w:hAnsi="Times New Roman" w:eastAsia="仿宋" w:cs="Times New Roman"/>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5733B"/>
    <w:rsid w:val="16E4734F"/>
    <w:rsid w:val="24957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2020-05-15T08:38:00Z</dcterms:created>
  <dc:creator>Administrator</dc:creator>
  <cp:lastModifiedBy>Administrator</cp:lastModifiedBy>
  <dcterms:modified xsi:type="dcterms:W3CDTF">2020-05-15T08:40:01Z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