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jc w:val="left"/>
        <w:rPr>
          <w:rFonts w:ascii="Times New Roman" w:hAnsi="Times New Roman" w:eastAsia="黑体" w:cs="Times New Roman"/>
          <w:sz w:val="32"/>
          <w:szCs w:val="32"/>
        </w:rPr>
      </w:pPr>
      <w:r>
        <w:rPr>
          <w:rFonts w:ascii="Times New Roman" w:hAnsi="Times New Roman" w:eastAsia="楷体" w:cs="Times New Roman"/>
          <w:sz w:val="30"/>
          <w:szCs w:val="30"/>
        </w:rPr>
        <w:t xml:space="preserve">附件3 </w:t>
      </w:r>
      <w:r>
        <w:rPr>
          <w:rFonts w:ascii="Times New Roman" w:hAnsi="Times New Roman" w:eastAsia="黑体" w:cs="Times New Roman"/>
          <w:sz w:val="32"/>
          <w:szCs w:val="32"/>
        </w:rPr>
        <w:t xml:space="preserve"> </w:t>
      </w:r>
    </w:p>
    <w:p>
      <w:pPr>
        <w:overflowPunct w:val="0"/>
        <w:spacing w:line="590" w:lineRule="exact"/>
        <w:jc w:val="center"/>
        <w:rPr>
          <w:rFonts w:ascii="Times New Roman" w:hAnsi="Times New Roman" w:eastAsia="黑体" w:cs="Times New Roman"/>
          <w:sz w:val="44"/>
          <w:szCs w:val="44"/>
        </w:rPr>
      </w:pPr>
      <w:r>
        <w:rPr>
          <w:rFonts w:ascii="Times New Roman" w:hAnsi="Times New Roman" w:eastAsia="方正小标宋简体" w:cs="Times New Roman"/>
          <w:sz w:val="44"/>
          <w:szCs w:val="44"/>
        </w:rPr>
        <w:t>衡阳市雁峰区培育建设省级创新型区项目表</w:t>
      </w:r>
    </w:p>
    <w:p>
      <w:pPr>
        <w:spacing w:line="590" w:lineRule="exact"/>
        <w:jc w:val="center"/>
        <w:rPr>
          <w:rFonts w:ascii="Times New Roman" w:hAnsi="Times New Roman" w:eastAsia="黑体" w:cs="Times New Roman"/>
          <w:sz w:val="32"/>
          <w:szCs w:val="32"/>
        </w:rPr>
      </w:pPr>
    </w:p>
    <w:tbl>
      <w:tblPr>
        <w:tblStyle w:val="4"/>
        <w:tblW w:w="14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534"/>
        <w:gridCol w:w="1275"/>
        <w:gridCol w:w="3261"/>
        <w:gridCol w:w="1984"/>
        <w:gridCol w:w="1985"/>
        <w:gridCol w:w="1842"/>
        <w:gridCol w:w="851"/>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类别</w:t>
            </w:r>
          </w:p>
        </w:tc>
        <w:tc>
          <w:tcPr>
            <w:tcW w:w="534"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序号</w:t>
            </w:r>
          </w:p>
        </w:tc>
        <w:tc>
          <w:tcPr>
            <w:tcW w:w="1275"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项目名称</w:t>
            </w:r>
          </w:p>
        </w:tc>
        <w:tc>
          <w:tcPr>
            <w:tcW w:w="3261"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具体内容</w:t>
            </w:r>
          </w:p>
        </w:tc>
        <w:tc>
          <w:tcPr>
            <w:tcW w:w="1984"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2020年目标</w:t>
            </w:r>
          </w:p>
        </w:tc>
        <w:tc>
          <w:tcPr>
            <w:tcW w:w="1985"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2021年目标</w:t>
            </w:r>
          </w:p>
        </w:tc>
        <w:tc>
          <w:tcPr>
            <w:tcW w:w="1842"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2022年目标</w:t>
            </w:r>
          </w:p>
        </w:tc>
        <w:tc>
          <w:tcPr>
            <w:tcW w:w="851"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责任领导</w:t>
            </w:r>
          </w:p>
        </w:tc>
        <w:tc>
          <w:tcPr>
            <w:tcW w:w="850"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责任部门</w:t>
            </w:r>
          </w:p>
        </w:tc>
        <w:tc>
          <w:tcPr>
            <w:tcW w:w="1560" w:type="dxa"/>
            <w:vAlign w:val="center"/>
          </w:tcPr>
          <w:p>
            <w:pPr>
              <w:widowControl/>
              <w:spacing w:line="240" w:lineRule="atLeast"/>
              <w:jc w:val="center"/>
              <w:rPr>
                <w:rFonts w:ascii="Times New Roman" w:hAnsi="Times New Roman" w:eastAsia="仿宋" w:cs="Times New Roman"/>
                <w:sz w:val="24"/>
                <w:szCs w:val="30"/>
              </w:rPr>
            </w:pPr>
            <w:r>
              <w:rPr>
                <w:rFonts w:ascii="Times New Roman" w:hAnsi="Times New Roman" w:eastAsia="仿宋" w:cs="Times New Roman"/>
                <w:sz w:val="24"/>
                <w:szCs w:val="30"/>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输变电</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w:t>
            </w:r>
          </w:p>
        </w:tc>
        <w:tc>
          <w:tcPr>
            <w:tcW w:w="127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超特高压变压器工厂智能化改造项目</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以特变电工衡阳变压器有限公司为基础，围绕新基建特高压领域，对原有超、特高压变压器研发、生产线进行智能化改造。</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建设工业互联网管理平台，购置平台系统、数字化系统、信息安全系统以及工艺检测设备等。</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平台和系统等设备达到35台套；原有设备智能化改造20台套。</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新增产值2亿。</w:t>
            </w:r>
          </w:p>
        </w:tc>
        <w:tc>
          <w:tcPr>
            <w:tcW w:w="85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李世钧</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区科工信局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区发改局、区重点建设项目事务中心、白沙洲街道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w:t>
            </w:r>
          </w:p>
        </w:tc>
        <w:tc>
          <w:tcPr>
            <w:tcW w:w="127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恒飞电缆智能制造基地项目</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为实现恒飞电缆产值原地倍增，计划老厂搬迁的同时建设新的智能化产业园生产基地。目前产业园地址在：蔡伦大道以西、南三环延伸段以北交叉路口。计划用地300亩，主要用于恒飞公司总部基地建设。</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在5月30日之前办理好已征拆180亩地的土地使用证，启动项目建设，落地项目，开工建设，实现工业固定投资3亿元。</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实现产值原地倍增，转移转化科技成果10项。</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实现利税1.5亿元；申报建成省级技术中心。</w:t>
            </w:r>
          </w:p>
        </w:tc>
        <w:tc>
          <w:tcPr>
            <w:tcW w:w="85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李世钧</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区科工信局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区发改局、区住建局、区自然资源局、区重点建设项目事务中心、岳屏镇、黄茶岭街道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3</w:t>
            </w:r>
          </w:p>
        </w:tc>
        <w:tc>
          <w:tcPr>
            <w:tcW w:w="127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“环保电线智能化车间及仓储系统”及“高压电缆扩能”项目</w:t>
            </w:r>
          </w:p>
        </w:tc>
        <w:tc>
          <w:tcPr>
            <w:tcW w:w="3261" w:type="dxa"/>
            <w:vAlign w:val="center"/>
          </w:tcPr>
          <w:p>
            <w:pPr>
              <w:widowControl/>
              <w:spacing w:line="240" w:lineRule="atLeast"/>
              <w:jc w:val="center"/>
              <w:rPr>
                <w:rFonts w:ascii="Times New Roman" w:hAnsi="Times New Roman" w:eastAsia="仿宋" w:cs="Times New Roman"/>
                <w:szCs w:val="21"/>
              </w:rPr>
            </w:pPr>
          </w:p>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金杯电工投入2亿元进行“环保电线智能化车间及仓储系统”及“高压电缆扩能”项目建设。项目新址位于竺山路以北，白竺路以东，白沙大道以西，面积约68.44亩。</w:t>
            </w:r>
          </w:p>
          <w:p>
            <w:pPr>
              <w:widowControl/>
              <w:spacing w:line="240" w:lineRule="atLeast"/>
              <w:jc w:val="center"/>
              <w:rPr>
                <w:rFonts w:ascii="Times New Roman" w:hAnsi="Times New Roman" w:eastAsia="仿宋" w:cs="Times New Roman"/>
                <w:szCs w:val="21"/>
              </w:rPr>
            </w:pP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在6月份前完成高压杆线搬迁，今年内完成拆迁工作。</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启动项目建设，完成工业固定投资2亿。</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完成建设，实现产值增加10亿，新增销售收入17亿元，产生利税2亿元，转移转化科技成果5项。</w:t>
            </w:r>
          </w:p>
        </w:tc>
        <w:tc>
          <w:tcPr>
            <w:tcW w:w="85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李世钧</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区科工信局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区发改局、区住建局、区自然资源局、区重点建设项目事务中心、白沙洲街道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大金融商贸</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4</w:t>
            </w:r>
          </w:p>
        </w:tc>
        <w:tc>
          <w:tcPr>
            <w:tcW w:w="127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湘南湘西区域性金融中心</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打造金融中心，集聚银行、保险、证券、担保等金融企业形成合力，打造成辐射湘南周边地区的大金融产业，充分发挥金融机构与总部企业的协同优势，形成支撑区域经济发展新引擎。打造一体两区三平台项目，即金融总部经济综合体，金融科技园区和金融网点小区，金融信息平台、金融培训平台、金融会展平台。</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制定总规划和上报建设方案。</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上级批准开工建设，实现固定资产投资2亿元，同步对金融机构进行招商、引进落地。</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项目全面竣工，入驻金融机构20家，形成带动效应，实现利税5千万。</w:t>
            </w:r>
          </w:p>
        </w:tc>
        <w:tc>
          <w:tcPr>
            <w:tcW w:w="851" w:type="dxa"/>
            <w:vAlign w:val="center"/>
          </w:tcPr>
          <w:p>
            <w:pPr>
              <w:widowControl/>
              <w:spacing w:line="240" w:lineRule="atLeast"/>
              <w:jc w:val="center"/>
              <w:rPr>
                <w:rFonts w:ascii="Times New Roman" w:hAnsi="Times New Roman" w:eastAsia="仿宋" w:cs="Times New Roman"/>
                <w:szCs w:val="21"/>
              </w:rPr>
            </w:pPr>
            <w:r>
              <w:rPr>
                <w:rFonts w:hint="eastAsia" w:ascii="Times New Roman" w:hAnsi="Times New Roman" w:eastAsia="仿宋" w:cs="Times New Roman"/>
                <w:szCs w:val="21"/>
              </w:rPr>
              <w:t>洪流</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区金融事务中心</w:t>
            </w:r>
          </w:p>
        </w:tc>
        <w:tc>
          <w:tcPr>
            <w:tcW w:w="1560" w:type="dxa"/>
            <w:vAlign w:val="center"/>
          </w:tcPr>
          <w:p>
            <w:pPr>
              <w:widowControl/>
              <w:spacing w:line="240" w:lineRule="atLeas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5</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大地产产业中心</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以蒸湘南路为中心，支持美美商业城市广场、金河湾尚品、金钟大悦城、博达晴天悦等房地产商业项目建设，加大招商力度，引进高端酒楼、特色餐饮、连锁超市进驻，打造房地产经济中心。</w:t>
            </w:r>
          </w:p>
        </w:tc>
        <w:tc>
          <w:tcPr>
            <w:tcW w:w="1984" w:type="dxa"/>
            <w:vAlign w:val="center"/>
          </w:tcPr>
          <w:p>
            <w:pPr>
              <w:widowControl/>
              <w:spacing w:line="240" w:lineRule="atLeast"/>
              <w:jc w:val="center"/>
              <w:rPr>
                <w:rFonts w:ascii="Times New Roman" w:hAnsi="Times New Roman" w:eastAsia="仿宋" w:cs="Times New Roman"/>
                <w:szCs w:val="21"/>
              </w:rPr>
            </w:pP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区住建局</w:t>
            </w:r>
          </w:p>
        </w:tc>
        <w:tc>
          <w:tcPr>
            <w:tcW w:w="1560" w:type="dxa"/>
            <w:vAlign w:val="center"/>
          </w:tcPr>
          <w:p>
            <w:pPr>
              <w:widowControl/>
              <w:spacing w:line="240" w:lineRule="atLeas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6</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大休闲农业产业中心</w:t>
            </w:r>
          </w:p>
        </w:tc>
        <w:tc>
          <w:tcPr>
            <w:tcW w:w="3261" w:type="dxa"/>
            <w:vAlign w:val="center"/>
          </w:tcPr>
          <w:p>
            <w:pPr>
              <w:widowControl/>
              <w:spacing w:line="240" w:lineRule="atLeast"/>
              <w:jc w:val="center"/>
              <w:rPr>
                <w:rFonts w:ascii="Times New Roman" w:hAnsi="Times New Roman" w:eastAsia="仿宋" w:cs="Times New Roman"/>
                <w:szCs w:val="21"/>
              </w:rPr>
            </w:pPr>
          </w:p>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扶持富强果业、皇帝柑、三红蜜柚等品牌建设。依托华航农庄、星乐农庄、佳园山庄、祥盛农庄等等休闲农庄，大力发展休闲农业、创意农业、农耕体验等新产业新业态，打造城区休闲农业中心。</w:t>
            </w:r>
          </w:p>
        </w:tc>
        <w:tc>
          <w:tcPr>
            <w:tcW w:w="1984" w:type="dxa"/>
            <w:vAlign w:val="center"/>
          </w:tcPr>
          <w:p>
            <w:pPr>
              <w:widowControl/>
              <w:spacing w:line="240" w:lineRule="atLeast"/>
              <w:jc w:val="center"/>
              <w:rPr>
                <w:rFonts w:ascii="Times New Roman" w:hAnsi="Times New Roman" w:eastAsia="仿宋" w:cs="Times New Roman"/>
                <w:szCs w:val="21"/>
              </w:rPr>
            </w:pP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卢雅琴</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区农业农村局</w:t>
            </w:r>
          </w:p>
        </w:tc>
        <w:tc>
          <w:tcPr>
            <w:tcW w:w="1560" w:type="dxa"/>
            <w:vAlign w:val="center"/>
          </w:tcPr>
          <w:p>
            <w:pPr>
              <w:widowControl/>
              <w:spacing w:line="240" w:lineRule="atLeas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7</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衡一商业广场</w:t>
            </w:r>
          </w:p>
        </w:tc>
        <w:tc>
          <w:tcPr>
            <w:tcW w:w="3261" w:type="dxa"/>
            <w:vAlign w:val="center"/>
          </w:tcPr>
          <w:p>
            <w:pPr>
              <w:widowControl/>
              <w:spacing w:line="240" w:lineRule="atLeast"/>
              <w:rPr>
                <w:rFonts w:ascii="Times New Roman" w:hAnsi="Times New Roman" w:eastAsia="仿宋" w:cs="Times New Roman"/>
                <w:szCs w:val="21"/>
              </w:rPr>
            </w:pPr>
            <w:r>
              <w:rPr>
                <w:rFonts w:ascii="Times New Roman" w:hAnsi="Times New Roman" w:eastAsia="仿宋" w:cs="Times New Roman"/>
                <w:szCs w:val="21"/>
              </w:rPr>
              <w:t>建设地点衡阳市雁峰区黄茶路50号，总用地面积约21亩，总建筑面积约5.2万平方米，其中商业面积3000平方米左右。</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Times New Roman" w:eastAsia="仿宋" w:cs="Times New Roman"/>
                <w:szCs w:val="21"/>
              </w:rPr>
              <w:tab/>
            </w:r>
            <w:r>
              <w:rPr>
                <w:rFonts w:ascii="Times New Roman" w:hAnsi="Times New Roman" w:eastAsia="仿宋" w:cs="Times New Roman"/>
                <w:szCs w:val="21"/>
              </w:rPr>
              <w:t>落地项目、开工、建设；</w:t>
            </w:r>
          </w:p>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Times New Roman" w:eastAsia="仿宋" w:cs="Times New Roman"/>
                <w:szCs w:val="21"/>
              </w:rPr>
              <w:tab/>
            </w:r>
            <w:r>
              <w:rPr>
                <w:rFonts w:ascii="Times New Roman" w:hAnsi="Times New Roman" w:eastAsia="仿宋" w:cs="Times New Roman"/>
                <w:szCs w:val="21"/>
              </w:rPr>
              <w:t>实现固定投资3000万元。</w:t>
            </w:r>
          </w:p>
        </w:tc>
        <w:tc>
          <w:tcPr>
            <w:tcW w:w="1985" w:type="dxa"/>
            <w:vAlign w:val="center"/>
          </w:tcPr>
          <w:p>
            <w:pPr>
              <w:widowControl/>
              <w:numPr>
                <w:ilvl w:val="0"/>
                <w:numId w:val="1"/>
              </w:num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实现商业广场；</w:t>
            </w:r>
          </w:p>
          <w:p>
            <w:pPr>
              <w:widowControl/>
              <w:numPr>
                <w:ilvl w:val="0"/>
                <w:numId w:val="1"/>
              </w:num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2.竣工验收。</w:t>
            </w: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区住建局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大数据</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8</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大数据中心、三创基地</w:t>
            </w:r>
            <w:r>
              <w:rPr>
                <w:rFonts w:hint="eastAsia" w:ascii="Times New Roman" w:hAnsi="Times New Roman" w:eastAsia="仿宋" w:cs="Times New Roman"/>
                <w:szCs w:val="21"/>
              </w:rPr>
              <w:t>（暂用名）</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拟投入3亿，打造雁峰区创新创业创优孵化基地,引进高科技企业，为入驻企业提供场地、商务设施等基础服务，吸引行业高端人才，集聚一批大数据产业链的科技企业，积极引导和加快推动我区大数据产业创新发展，形成雁城总部经济示范点、创新创业集聚区。</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对蒸湘南路与南二环交汇处东南侧，合计约22148.47平方米土地进行基地建设。</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落实创新发展模式，加快三创基地建设。打造三区：总部经济区（科技创业）、文创产业区（文创商业、创业）、配套服务区（酒店、会议）；一轴：形象展示轴（沿城市主干道，城市形象展示面）。</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争取入孵企业总数达到5家以上，大数据产业中心初具雏形。</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李世钧</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区工业集聚区</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区商务局、区科工信局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9</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潇湘科技要素大市场雁峰子站点</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以雁峰区中小微企业服务中心及中小服务平台为基础，建立科技要素大市场雁峰子站点，建设O2O线上线下模式，聚集创新要素资源，面向创新创业团队、科技型企业、科技服务机构、创新创业载体四类主体提供全方位、全流程、一站式的专业化服务，</w:t>
            </w:r>
          </w:p>
        </w:tc>
        <w:tc>
          <w:tcPr>
            <w:tcW w:w="1984" w:type="dxa"/>
            <w:vAlign w:val="center"/>
          </w:tcPr>
          <w:p>
            <w:pPr>
              <w:widowControl/>
              <w:spacing w:line="240" w:lineRule="atLeast"/>
              <w:jc w:val="center"/>
              <w:rPr>
                <w:rFonts w:ascii="Times New Roman" w:hAnsi="Times New Roman" w:eastAsia="仿宋" w:cs="Times New Roman"/>
                <w:szCs w:val="21"/>
              </w:rPr>
            </w:pPr>
          </w:p>
          <w:p>
            <w:pPr>
              <w:widowControl/>
              <w:spacing w:line="240" w:lineRule="atLeast"/>
              <w:jc w:val="center"/>
              <w:rPr>
                <w:rFonts w:ascii="Times New Roman" w:hAnsi="Times New Roman" w:eastAsia="仿宋" w:cs="Times New Roman"/>
                <w:szCs w:val="21"/>
              </w:rPr>
            </w:pPr>
          </w:p>
        </w:tc>
        <w:tc>
          <w:tcPr>
            <w:tcW w:w="1985" w:type="dxa"/>
            <w:vAlign w:val="center"/>
          </w:tcPr>
          <w:p>
            <w:pPr>
              <w:widowControl/>
              <w:spacing w:line="240" w:lineRule="atLeast"/>
              <w:jc w:val="center"/>
              <w:rPr>
                <w:rFonts w:ascii="Times New Roman" w:hAnsi="Times New Roman" w:eastAsia="仿宋" w:cs="Times New Roman"/>
                <w:szCs w:val="21"/>
              </w:rPr>
            </w:pPr>
          </w:p>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李世钧</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区科工信局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区发改局、区商务局、区重点建设项目事务中心、区工业集聚区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10</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地质灾害防控实时监测预警</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1.排查确定隐患点；2.拟定消除隐患工作方案和监测手段、技术方案；3.安装监测设备、创建平台维护运行。</w:t>
            </w:r>
          </w:p>
        </w:tc>
        <w:tc>
          <w:tcPr>
            <w:tcW w:w="1985" w:type="dxa"/>
            <w:vAlign w:val="center"/>
          </w:tcPr>
          <w:p>
            <w:pPr>
              <w:widowControl/>
              <w:tabs>
                <w:tab w:val="left" w:pos="312"/>
              </w:tabs>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区自然资源局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区委组织部、区水利局、区应急管理局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大数据</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11</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城市排水防涝设施应急系统</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丰富雁峰区城市数字化综合信息管理平台功能，推进排水防涝应急治理体系和治理能力现代化，进一步完善基础设施管理水平，给城市基础设施管理带来质的变化。项目投资8000万元。</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设施运行维护费用。</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设备升级费用。</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8"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12</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智慧环卫管理平台</w:t>
            </w:r>
          </w:p>
        </w:tc>
        <w:tc>
          <w:tcPr>
            <w:tcW w:w="1984" w:type="dxa"/>
            <w:vAlign w:val="center"/>
          </w:tcPr>
          <w:p>
            <w:pPr>
              <w:widowControl/>
              <w:spacing w:line="240" w:lineRule="atLeast"/>
              <w:jc w:val="center"/>
              <w:rPr>
                <w:rFonts w:ascii="Times New Roman" w:hAnsi="Times New Roman" w:eastAsia="仿宋" w:cs="Times New Roman"/>
                <w:szCs w:val="21"/>
              </w:rPr>
            </w:pP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环卫管理平台，用科学的管理模式和信息化技术手段提高管理水平，解决长期存在的管理难度大、作业效率低、违规难发现的弊端。以数据分析促管理提升，以垃圾桶、公厕、中转站、垃圾分类等方面的智能化建设改造为基础，通过大数据分析应用指挥调度。项目投资500万元。</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维护和技术升级。</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大数据</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13</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智慧停车平台系统</w:t>
            </w:r>
          </w:p>
        </w:tc>
        <w:tc>
          <w:tcPr>
            <w:tcW w:w="1984" w:type="dxa"/>
            <w:vAlign w:val="center"/>
          </w:tcPr>
          <w:p>
            <w:pPr>
              <w:widowControl/>
              <w:spacing w:line="240" w:lineRule="atLeast"/>
              <w:jc w:val="center"/>
              <w:rPr>
                <w:rFonts w:ascii="Times New Roman" w:hAnsi="Times New Roman" w:eastAsia="仿宋" w:cs="Times New Roman"/>
                <w:szCs w:val="21"/>
              </w:rPr>
            </w:pP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将公共车位分布、社会停车场信息查询、余位查询、车位预定、路线导航、停车延伸服务等结合在一起建立统一的管理平台，借助大数据合理利用、优化配置停车设施资源。项目投资300万元。</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14</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智慧应急指挥平台</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初步建立“智慧应急”，预计投资300万元：1建立安全生产监控平台（包括：危化企业、烟花爆竹、非煤矿山、在建工地、工贸领域）。2、建立自然灾害监控平台（包括：森林防火、防汛抗旱、地质灾害、排水防洪、城市消防）。</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进一步完善安全生产、自然灾害预警监测平台。</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全面完成“智慧”应急指挥平台建设。</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大数据</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15</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防汛抗旱预警平台建设</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1、落地项目、新增雨量、水位监测点5处；2、实现固定投资100万元。</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实现设施设备升级。</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设施设备维护保养费用。</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16</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环境空气质量监控平台</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将雁峰区市委党校、衡阳市监测站两个空气质量自动监测站点的实时监测数据，融合进入雁峰区“智慧雁峰”系统。总投资130万元。</w:t>
            </w: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环保雁峰分局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17</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地表水水质监控平台</w:t>
            </w:r>
          </w:p>
        </w:tc>
        <w:tc>
          <w:tcPr>
            <w:tcW w:w="1984" w:type="dxa"/>
            <w:vAlign w:val="center"/>
          </w:tcPr>
          <w:p>
            <w:pPr>
              <w:widowControl/>
              <w:spacing w:line="240" w:lineRule="atLeast"/>
              <w:jc w:val="center"/>
              <w:rPr>
                <w:rFonts w:ascii="Times New Roman" w:hAnsi="Times New Roman" w:eastAsia="仿宋" w:cs="Times New Roman"/>
                <w:szCs w:val="21"/>
              </w:rPr>
            </w:pP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将雁峰区地表水水质自动监测站点的实时监测数据融合进入雁峰区“智慧雁峰”系统。总投资130万元。</w:t>
            </w: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环保雁峰分局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18</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智慧城市</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危险废物收集、转运、处置管理平台</w:t>
            </w:r>
          </w:p>
        </w:tc>
        <w:tc>
          <w:tcPr>
            <w:tcW w:w="1984" w:type="dxa"/>
            <w:vAlign w:val="center"/>
          </w:tcPr>
          <w:p>
            <w:pPr>
              <w:widowControl/>
              <w:spacing w:line="240" w:lineRule="atLeast"/>
              <w:jc w:val="center"/>
              <w:rPr>
                <w:rFonts w:ascii="Times New Roman" w:hAnsi="Times New Roman" w:eastAsia="仿宋" w:cs="Times New Roman"/>
                <w:szCs w:val="21"/>
              </w:rPr>
            </w:pP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对雁峰区产生危险废物的企业严格监控危险废物的贮存、处置。总投资140万元。</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谭海荣</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区城管执法局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环保雁峰分局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大健康文旅</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19</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智慧医疗项目</w:t>
            </w:r>
          </w:p>
          <w:p>
            <w:pPr>
              <w:widowControl/>
              <w:spacing w:line="240" w:lineRule="atLeast"/>
              <w:jc w:val="center"/>
              <w:rPr>
                <w:rFonts w:ascii="Times New Roman" w:hAnsi="Times New Roman" w:eastAsia="仿宋" w:cs="Times New Roman"/>
                <w:szCs w:val="21"/>
              </w:rPr>
            </w:pP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通过投放一站式体检设备，及优化部分卫生院先进检测设备。强化基层的软硬件条件，配备讯飞在智医助理，人工辅助诊断，区域影响的技术资源，进而在全国首个实现居民的公卫免费体检及癌症筛查的，把区域居民健康信息网格化，收集并分层数据，通过云传输和区域并网的方式，由区域诊所、社区医院（乡镇卫生院）、二级医院，三甲医院的就诊数据，通过数据分析对大规模流行传染病做到早期预警，早期防控。</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开工建设。</w:t>
            </w: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许和平</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区卫健局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区发改局、区科工信局、区城建投、黄茶岭街道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20</w:t>
            </w:r>
          </w:p>
        </w:tc>
        <w:tc>
          <w:tcPr>
            <w:tcW w:w="127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肿瘤医院项目</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由中核集团投资，投资主体是市中心医院，投资金额10.5亿元。</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开工建设。</w:t>
            </w: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许和平</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区卫健局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区发改局、区科工信局、区城建投、黄茶岭街道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21</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口腔医院项目</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协调市疾控中心现业务办公楼，争取将市疾控中心办公楼协调过来</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项目落地。</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开工建设。</w:t>
            </w: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许和平</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区卫健局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区发改局、区科工信局、区城建投、黄茶岭街道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大健康文旅</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22</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衡阳互联网医院</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通过招商引资方式同微医集团（湖南）有限公司进行的合作项目。依托雁峰区黄茶岭街道社区卫生服务中心建设衡阳微医互联网医院，覆盖整个衡阳市，开展复诊和常规咨询为主，集问诊、处方、支付、配送于一体，提供一站式医疗服务，形成从分诊到康复管理的就医闭环。</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开工建设，实现固定投资1000万元。</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实现利税1000万元。</w:t>
            </w: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许和平</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区卫健局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区发改局、区科工信局、区城建投、黄茶岭街道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23</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雁峰区慢性疾病预防与康养项目</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通过引进民间资本入驻，旨在建立健全雁峰区基本公共卫生服务慢性病管理系统，为服务慢性疾病提供相应产品及服务产销一体化供应链而打造项目，将为雁峰区提供近百人的岗位以及预计超百万的税收。包括生活方式管理以及健康理念培育，通过身体数据监测，健康知识宣导、饮食调理、运动管理、作息调控、降糖食品、文娱养心等让慢病患者血糖得到控制，同时配合民用高压氧舱设备投放，为慢性疾病提供辅助治疗，达到减轻高原病、创伤性损伤、肺部感染、卒中偏瘫的治疗、康复保健，改善肺气等功效。</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开工建设，实现固定投资600万元。</w:t>
            </w: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许和平</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区卫健局</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区发改局、区科工信局、区城建投、黄茶岭街道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大健康文旅</w:t>
            </w: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24</w:t>
            </w:r>
          </w:p>
        </w:tc>
        <w:tc>
          <w:tcPr>
            <w:tcW w:w="127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南湖文教区项目</w:t>
            </w:r>
            <w:r>
              <w:rPr>
                <w:rFonts w:hint="eastAsia" w:ascii="Times New Roman" w:hAnsi="Times New Roman" w:eastAsia="仿宋" w:cs="Times New Roman"/>
                <w:szCs w:val="21"/>
              </w:rPr>
              <w:t>（暂用名）</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建设以衡阳-巴川K12国际学校、水悦城-教育MALL、路演中心、城市级文化大剧院、艺术大学等为核心的文化教育产品，同时辅以丝路古镇、文化教育公园、名校生活住区、康养住区等项目，串联南湖公园，形成区域旅游文化线。</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争取项目落地并启动学校基础建设，加快项目推进速度。</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学校建设（幼儿园、小学）基本完成并交付使用，将为我区新增近两千个学位。</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规划内基础设施及各项目同时开工，有力助推城市发展，拉升区域土地价值，同时为数千人提供就业机会。</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刘浪涛</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区教育局</w:t>
            </w:r>
          </w:p>
        </w:tc>
        <w:tc>
          <w:tcPr>
            <w:tcW w:w="1560" w:type="dxa"/>
            <w:vAlign w:val="center"/>
          </w:tcPr>
          <w:p>
            <w:pPr>
              <w:widowControl/>
              <w:spacing w:line="240" w:lineRule="atLeast"/>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25</w:t>
            </w:r>
          </w:p>
        </w:tc>
        <w:tc>
          <w:tcPr>
            <w:tcW w:w="127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融媒体中心建设</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推进雁峰区级媒体在机构、内容、渠道、平台、人员、管理等方面的深度融合；按照“中央厨房”的模式，建设雁峰区融媒体中心。通过新闻+党建+政务+服务四大功能模块，聚合延风资源，通过雁峰“一端一频两微”为雁峰全区群众提供“指尖上的服务”。</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6月底前正式投入使用。</w:t>
            </w:r>
          </w:p>
        </w:tc>
        <w:tc>
          <w:tcPr>
            <w:tcW w:w="1985" w:type="dxa"/>
            <w:vAlign w:val="center"/>
          </w:tcPr>
          <w:p>
            <w:pPr>
              <w:widowControl/>
              <w:spacing w:line="240" w:lineRule="atLeast"/>
              <w:jc w:val="center"/>
              <w:rPr>
                <w:rFonts w:ascii="Times New Roman" w:hAnsi="Times New Roman" w:eastAsia="仿宋" w:cs="Times New Roman"/>
                <w:szCs w:val="21"/>
              </w:rPr>
            </w:pPr>
          </w:p>
        </w:tc>
        <w:tc>
          <w:tcPr>
            <w:tcW w:w="1842" w:type="dxa"/>
            <w:vAlign w:val="center"/>
          </w:tcPr>
          <w:p>
            <w:pPr>
              <w:widowControl/>
              <w:spacing w:line="240" w:lineRule="atLeast"/>
              <w:jc w:val="center"/>
              <w:rPr>
                <w:rFonts w:ascii="Times New Roman" w:hAnsi="Times New Roman" w:eastAsia="仿宋" w:cs="Times New Roman"/>
                <w:szCs w:val="21"/>
              </w:rPr>
            </w:pP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欧军林</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区委宣传部、区融媒体中心</w:t>
            </w:r>
          </w:p>
        </w:tc>
        <w:tc>
          <w:tcPr>
            <w:tcW w:w="156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区财政局、区行政审批局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26</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船山古道</w:t>
            </w:r>
            <w:r>
              <w:rPr>
                <w:rFonts w:hint="eastAsia" w:ascii="Times New Roman" w:hAnsi="Times New Roman" w:eastAsia="仿宋" w:cs="Times New Roman"/>
                <w:szCs w:val="21"/>
              </w:rPr>
              <w:t>（暂用名）</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依托雁峰区山林村的九峰山，以船山先生曾经经常穿越此地为文化元素，共17公里（其中绿线步道长度5.2公里），沿途打造船山诗文路刻、知青茶场、衡州红旗渠、诸葛亮练兵指挥所遗址、衡阳保卫战九龙山战壕遗址等10余个景点。</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完成路基及路面工程。</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增加门头及景点标牌。</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进一步完善景点设施。</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欧军林</w:t>
            </w:r>
          </w:p>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刘浪涛</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岳屏镇</w:t>
            </w:r>
          </w:p>
        </w:tc>
        <w:tc>
          <w:tcPr>
            <w:tcW w:w="156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区委宣传部、区文旅体局、农业农村局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27</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平沙落雁实景剧</w:t>
            </w:r>
          </w:p>
        </w:tc>
        <w:tc>
          <w:tcPr>
            <w:tcW w:w="326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利用东洲岛、湘江西岸为背景，拟策划打造一台高品质的实景剧。</w:t>
            </w:r>
          </w:p>
        </w:tc>
        <w:tc>
          <w:tcPr>
            <w:tcW w:w="1984"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规划。</w:t>
            </w:r>
          </w:p>
        </w:tc>
        <w:tc>
          <w:tcPr>
            <w:tcW w:w="1985"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着手打造。</w:t>
            </w:r>
          </w:p>
        </w:tc>
        <w:tc>
          <w:tcPr>
            <w:tcW w:w="1842"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着手实施。</w:t>
            </w:r>
          </w:p>
        </w:tc>
        <w:tc>
          <w:tcPr>
            <w:tcW w:w="851"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欧军林</w:t>
            </w:r>
          </w:p>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刘浪涛</w:t>
            </w:r>
          </w:p>
        </w:tc>
        <w:tc>
          <w:tcPr>
            <w:tcW w:w="850" w:type="dxa"/>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黄茶岭街道</w:t>
            </w:r>
          </w:p>
        </w:tc>
        <w:tc>
          <w:tcPr>
            <w:tcW w:w="156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区委宣传部、区文旅体局、区商务局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restart"/>
            <w:vAlign w:val="center"/>
          </w:tcPr>
          <w:p>
            <w:pPr>
              <w:widowControl/>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大健康文旅</w:t>
            </w:r>
          </w:p>
        </w:tc>
        <w:tc>
          <w:tcPr>
            <w:tcW w:w="53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28</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夜游湘江</w:t>
            </w:r>
          </w:p>
        </w:tc>
        <w:tc>
          <w:tcPr>
            <w:tcW w:w="326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以“夜游湘江”都市休闲项目开发，推动夜间经济集聚发展。</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规划。</w:t>
            </w:r>
          </w:p>
        </w:tc>
        <w:tc>
          <w:tcPr>
            <w:tcW w:w="198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着手建设。</w:t>
            </w:r>
          </w:p>
        </w:tc>
        <w:tc>
          <w:tcPr>
            <w:tcW w:w="1842"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着手实施。</w:t>
            </w:r>
          </w:p>
        </w:tc>
        <w:tc>
          <w:tcPr>
            <w:tcW w:w="85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欧军林</w:t>
            </w:r>
          </w:p>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刘浪涛</w:t>
            </w:r>
          </w:p>
        </w:tc>
        <w:tc>
          <w:tcPr>
            <w:tcW w:w="85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黄茶岭街道</w:t>
            </w:r>
          </w:p>
        </w:tc>
        <w:tc>
          <w:tcPr>
            <w:tcW w:w="156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区委宣传部、区文旅体局、区商务局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29</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白沙窑遗址村落</w:t>
            </w:r>
            <w:r>
              <w:rPr>
                <w:rFonts w:hint="eastAsia" w:ascii="Times New Roman" w:hAnsi="Times New Roman" w:eastAsia="仿宋" w:cs="Times New Roman"/>
                <w:szCs w:val="21"/>
              </w:rPr>
              <w:t>（暂用名）</w:t>
            </w:r>
          </w:p>
        </w:tc>
        <w:tc>
          <w:tcPr>
            <w:tcW w:w="326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围绕对古街文化资源的挖掘，打造一条古窑文化旅游街</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恢复古窑遗址，发展乡村文化振兴。</w:t>
            </w:r>
          </w:p>
        </w:tc>
        <w:tc>
          <w:tcPr>
            <w:tcW w:w="198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 xml:space="preserve">开发古窑文化线路。 </w:t>
            </w:r>
          </w:p>
        </w:tc>
        <w:tc>
          <w:tcPr>
            <w:tcW w:w="1842"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形成文化旅游链。</w:t>
            </w:r>
          </w:p>
        </w:tc>
        <w:tc>
          <w:tcPr>
            <w:tcW w:w="85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刘浪涛</w:t>
            </w:r>
          </w:p>
        </w:tc>
        <w:tc>
          <w:tcPr>
            <w:tcW w:w="85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黄茶岭街道</w:t>
            </w:r>
          </w:p>
        </w:tc>
        <w:tc>
          <w:tcPr>
            <w:tcW w:w="156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区文旅体局、 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30</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烟雨文化古街</w:t>
            </w:r>
            <w:r>
              <w:rPr>
                <w:rFonts w:hint="eastAsia" w:ascii="Times New Roman" w:hAnsi="Times New Roman" w:eastAsia="仿宋" w:cs="Times New Roman"/>
                <w:szCs w:val="21"/>
              </w:rPr>
              <w:t>（暂用名）</w:t>
            </w:r>
          </w:p>
        </w:tc>
        <w:tc>
          <w:tcPr>
            <w:tcW w:w="326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围绕廻雁第一峰，打造首峰文化。</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完成功能性改造。</w:t>
            </w:r>
          </w:p>
        </w:tc>
        <w:tc>
          <w:tcPr>
            <w:tcW w:w="198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打造文化一条街。</w:t>
            </w:r>
          </w:p>
        </w:tc>
        <w:tc>
          <w:tcPr>
            <w:tcW w:w="1842"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形成文化链。</w:t>
            </w:r>
          </w:p>
        </w:tc>
        <w:tc>
          <w:tcPr>
            <w:tcW w:w="85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张  伟</w:t>
            </w:r>
          </w:p>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 xml:space="preserve">肖少杰   </w:t>
            </w:r>
          </w:p>
        </w:tc>
        <w:tc>
          <w:tcPr>
            <w:tcW w:w="85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雁峰街道</w:t>
            </w:r>
          </w:p>
        </w:tc>
        <w:tc>
          <w:tcPr>
            <w:tcW w:w="156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区文旅体局、区住建局、    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34" w:type="dxa"/>
            <w:vMerge w:val="continue"/>
          </w:tcPr>
          <w:p>
            <w:pPr>
              <w:widowControl/>
              <w:spacing w:line="240" w:lineRule="atLeast"/>
              <w:jc w:val="center"/>
              <w:rPr>
                <w:rFonts w:ascii="Times New Roman" w:hAnsi="Times New Roman" w:eastAsia="仿宋" w:cs="Times New Roman"/>
                <w:szCs w:val="21"/>
              </w:rPr>
            </w:pPr>
          </w:p>
        </w:tc>
        <w:tc>
          <w:tcPr>
            <w:tcW w:w="53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31</w:t>
            </w:r>
          </w:p>
        </w:tc>
        <w:tc>
          <w:tcPr>
            <w:tcW w:w="12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党外知识分子实践锻炼基地建设</w:t>
            </w:r>
          </w:p>
        </w:tc>
        <w:tc>
          <w:tcPr>
            <w:tcW w:w="326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按照“五有”标准，即有党外代表人士带头人、有制度、有平台、有阵地、有活动打造党外知识分子实践锻炼基地。采取分级分区、先试点后全覆盖的方式，在区创新创业孵化基地成立党外知识分子实践锻炼基地，着眼凝聚人心，加强党外知识分子思想引导；着眼用好人员，支持党外知识分子发挥作用；着眼培养人才，加强党外知识分子队伍建设。</w:t>
            </w:r>
          </w:p>
        </w:tc>
        <w:tc>
          <w:tcPr>
            <w:tcW w:w="1984"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从雁峰区创新创业孵化基地选择其中一个区或入驻企业中一家先行试点开展党外知识分子实践锻炼基地建设，按照“五有”标准进行打造。</w:t>
            </w:r>
          </w:p>
        </w:tc>
        <w:tc>
          <w:tcPr>
            <w:tcW w:w="198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不断完善配套制度，推广扩大试点面，党外知识分子实践锻炼工作覆盖面达到入驻企业的60%以上。</w:t>
            </w:r>
          </w:p>
        </w:tc>
        <w:tc>
          <w:tcPr>
            <w:tcW w:w="1842"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在雁峰区创新创业孵化基地全面铺开,实现以现代化的治理体系和治理能力管理党外知识分子，将雁峰区创新创业孵化基地打造为衡阳市党外知识分子实践锻炼基地和湖南省“同心园区”。</w:t>
            </w:r>
          </w:p>
        </w:tc>
        <w:tc>
          <w:tcPr>
            <w:tcW w:w="85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陈泰山</w:t>
            </w:r>
          </w:p>
        </w:tc>
        <w:tc>
          <w:tcPr>
            <w:tcW w:w="85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区委统战部</w:t>
            </w:r>
          </w:p>
        </w:tc>
        <w:tc>
          <w:tcPr>
            <w:tcW w:w="1560"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区科工信局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7FC4A"/>
    <w:multiLevelType w:val="singleLevel"/>
    <w:tmpl w:val="4797FC4A"/>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010F3"/>
    <w:rsid w:val="7710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2020-05-15T08:38:00Z</dcterms:created>
  <dc:creator>Administrator</dc:creator>
  <cp:lastModifiedBy>Administrator</cp:lastModifiedBy>
  <dcterms:modified xsi:type="dcterms:W3CDTF">2020-05-15T08:38:35Z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