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7F0" w:rsidRDefault="00BC07F0" w:rsidP="00C55F5E">
      <w:pPr>
        <w:ind w:firstLine="480"/>
      </w:pPr>
      <w:bookmarkStart w:id="0" w:name="_Toc8962"/>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073EFB">
      <w:pPr>
        <w:pStyle w:val="a7"/>
        <w:spacing w:line="288" w:lineRule="auto"/>
        <w:rPr>
          <w:rFonts w:ascii="宋体" w:hAnsi="宋体" w:cs="宋体" w:hint="default"/>
          <w:b/>
          <w:bCs/>
          <w:sz w:val="72"/>
          <w:szCs w:val="72"/>
        </w:rPr>
      </w:pPr>
      <w:r>
        <w:rPr>
          <w:rFonts w:ascii="宋体" w:hAnsi="宋体" w:cs="宋体"/>
          <w:b/>
          <w:bCs/>
          <w:sz w:val="72"/>
          <w:szCs w:val="72"/>
        </w:rPr>
        <w:t>建设项目环境影响报告表</w:t>
      </w:r>
      <w:bookmarkEnd w:id="0"/>
    </w:p>
    <w:p w:rsidR="00BC07F0" w:rsidRDefault="00073EFB">
      <w:pPr>
        <w:pStyle w:val="a7"/>
        <w:spacing w:line="288" w:lineRule="auto"/>
        <w:rPr>
          <w:rFonts w:ascii="楷体" w:eastAsia="楷体" w:hAnsi="楷体" w:cs="楷体" w:hint="default"/>
          <w:sz w:val="48"/>
          <w:szCs w:val="48"/>
        </w:rPr>
      </w:pPr>
      <w:r>
        <w:rPr>
          <w:rFonts w:ascii="楷体" w:eastAsia="楷体" w:hAnsi="楷体" w:cs="楷体"/>
          <w:sz w:val="48"/>
          <w:szCs w:val="48"/>
        </w:rPr>
        <w:t>（生态影响类）</w:t>
      </w:r>
    </w:p>
    <w:p w:rsidR="00BC07F0" w:rsidRDefault="00BC07F0" w:rsidP="00C55F5E">
      <w:pPr>
        <w:ind w:firstLine="480"/>
      </w:pPr>
      <w:bookmarkStart w:id="1" w:name="_Hlk57883728"/>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bookmarkEnd w:id="1"/>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073EFB">
      <w:pPr>
        <w:ind w:firstLineChars="100" w:firstLine="300"/>
        <w:rPr>
          <w:rFonts w:ascii="仿宋" w:eastAsia="仿宋" w:hAnsi="仿宋" w:cs="仿宋"/>
          <w:sz w:val="30"/>
          <w:szCs w:val="30"/>
          <w:u w:val="single"/>
        </w:rPr>
      </w:pPr>
      <w:r>
        <w:rPr>
          <w:rFonts w:ascii="仿宋" w:eastAsia="仿宋" w:hAnsi="仿宋" w:cs="仿宋" w:hint="eastAsia"/>
          <w:sz w:val="30"/>
          <w:szCs w:val="30"/>
        </w:rPr>
        <w:t>项目名称：</w:t>
      </w:r>
      <w:r>
        <w:rPr>
          <w:rFonts w:ascii="仿宋" w:eastAsia="仿宋" w:hAnsi="仿宋" w:cs="仿宋" w:hint="eastAsia"/>
          <w:sz w:val="30"/>
          <w:szCs w:val="30"/>
          <w:u w:val="single"/>
        </w:rPr>
        <w:t xml:space="preserve">       </w:t>
      </w:r>
      <w:r>
        <w:rPr>
          <w:rFonts w:ascii="仿宋" w:eastAsia="仿宋" w:hAnsi="仿宋" w:cs="仿宋" w:hint="eastAsia"/>
          <w:sz w:val="30"/>
          <w:szCs w:val="30"/>
          <w:u w:val="single"/>
        </w:rPr>
        <w:t>衡阳市湘江南岸水环境水安全治理工程</w:t>
      </w:r>
      <w:r>
        <w:rPr>
          <w:rFonts w:ascii="仿宋" w:eastAsia="仿宋" w:hAnsi="仿宋" w:cs="仿宋" w:hint="eastAsia"/>
          <w:sz w:val="30"/>
          <w:szCs w:val="30"/>
          <w:u w:val="single"/>
        </w:rPr>
        <w:t xml:space="preserve">      </w:t>
      </w:r>
    </w:p>
    <w:p w:rsidR="00BC07F0" w:rsidRDefault="00073EFB">
      <w:pPr>
        <w:ind w:firstLineChars="100" w:firstLine="300"/>
        <w:rPr>
          <w:rFonts w:ascii="仿宋" w:eastAsia="仿宋" w:hAnsi="仿宋" w:cs="仿宋"/>
          <w:sz w:val="30"/>
          <w:szCs w:val="30"/>
          <w:u w:val="single"/>
        </w:rPr>
      </w:pPr>
      <w:r>
        <w:rPr>
          <w:rFonts w:ascii="仿宋" w:eastAsia="仿宋" w:hAnsi="仿宋" w:cs="仿宋" w:hint="eastAsia"/>
          <w:sz w:val="30"/>
          <w:szCs w:val="30"/>
        </w:rPr>
        <w:t>建设单位（盖章）：</w:t>
      </w:r>
      <w:r>
        <w:rPr>
          <w:rFonts w:ascii="仿宋" w:eastAsia="仿宋" w:hAnsi="仿宋" w:cs="仿宋" w:hint="eastAsia"/>
          <w:sz w:val="30"/>
          <w:szCs w:val="30"/>
          <w:u w:val="single"/>
        </w:rPr>
        <w:t>衡阳市白沙片区整体城镇化建设投资有限公司</w:t>
      </w:r>
    </w:p>
    <w:p w:rsidR="00BC07F0" w:rsidRDefault="00073EFB">
      <w:pPr>
        <w:ind w:firstLineChars="100" w:firstLine="300"/>
        <w:rPr>
          <w:rFonts w:ascii="仿宋" w:eastAsia="仿宋" w:hAnsi="仿宋" w:cs="仿宋"/>
          <w:sz w:val="30"/>
          <w:szCs w:val="30"/>
        </w:rPr>
      </w:pPr>
      <w:r>
        <w:rPr>
          <w:rFonts w:ascii="仿宋" w:eastAsia="仿宋" w:hAnsi="仿宋" w:cs="仿宋" w:hint="eastAsia"/>
          <w:sz w:val="30"/>
          <w:szCs w:val="30"/>
        </w:rPr>
        <w:t>编制日期：</w:t>
      </w:r>
      <w:r>
        <w:rPr>
          <w:rFonts w:ascii="仿宋" w:eastAsia="仿宋" w:hAnsi="仿宋" w:cs="仿宋" w:hint="eastAsia"/>
          <w:sz w:val="30"/>
          <w:szCs w:val="30"/>
          <w:u w:val="single"/>
        </w:rPr>
        <w:t xml:space="preserve">                   </w:t>
      </w:r>
      <w:r>
        <w:rPr>
          <w:rFonts w:ascii="仿宋" w:eastAsia="仿宋" w:hAnsi="仿宋" w:cs="仿宋" w:hint="eastAsia"/>
          <w:sz w:val="30"/>
          <w:szCs w:val="30"/>
          <w:u w:val="single"/>
        </w:rPr>
        <w:t>2023</w:t>
      </w:r>
      <w:r>
        <w:rPr>
          <w:rFonts w:ascii="仿宋" w:eastAsia="仿宋" w:hAnsi="仿宋" w:cs="仿宋" w:hint="eastAsia"/>
          <w:sz w:val="30"/>
          <w:szCs w:val="30"/>
          <w:u w:val="single"/>
        </w:rPr>
        <w:t>年</w:t>
      </w:r>
      <w:r>
        <w:rPr>
          <w:rFonts w:ascii="仿宋" w:eastAsia="仿宋" w:hAnsi="仿宋" w:cs="仿宋" w:hint="eastAsia"/>
          <w:sz w:val="30"/>
          <w:szCs w:val="30"/>
          <w:u w:val="single"/>
        </w:rPr>
        <w:t>5</w:t>
      </w:r>
      <w:r>
        <w:rPr>
          <w:rFonts w:ascii="仿宋" w:eastAsia="仿宋" w:hAnsi="仿宋" w:cs="仿宋" w:hint="eastAsia"/>
          <w:sz w:val="30"/>
          <w:szCs w:val="30"/>
          <w:u w:val="single"/>
        </w:rPr>
        <w:t>月</w:t>
      </w:r>
      <w:r>
        <w:rPr>
          <w:rFonts w:ascii="仿宋" w:eastAsia="仿宋" w:hAnsi="仿宋" w:cs="仿宋" w:hint="eastAsia"/>
          <w:sz w:val="30"/>
          <w:szCs w:val="30"/>
          <w:u w:val="single"/>
        </w:rPr>
        <w:t xml:space="preserve">                  </w:t>
      </w: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073EFB">
      <w:pPr>
        <w:pStyle w:val="a7"/>
        <w:rPr>
          <w:rFonts w:ascii="楷体" w:eastAsia="楷体" w:hAnsi="楷体" w:cs="楷体" w:hint="default"/>
          <w:sz w:val="36"/>
        </w:rPr>
      </w:pPr>
      <w:r>
        <w:rPr>
          <w:rFonts w:ascii="楷体" w:eastAsia="楷体" w:hAnsi="楷体" w:cs="楷体"/>
          <w:sz w:val="36"/>
        </w:rPr>
        <w:t>中华人民共和国生态环境部制</w:t>
      </w:r>
    </w:p>
    <w:p w:rsidR="00BC07F0" w:rsidRDefault="00BC07F0">
      <w:pPr>
        <w:pStyle w:val="a7"/>
        <w:rPr>
          <w:rFonts w:ascii="楷体" w:eastAsia="楷体" w:hAnsi="楷体" w:cs="楷体" w:hint="default"/>
          <w:sz w:val="36"/>
        </w:rPr>
        <w:sectPr w:rsidR="00BC07F0">
          <w:headerReference w:type="even" r:id="rId8"/>
          <w:headerReference w:type="default" r:id="rId9"/>
          <w:footerReference w:type="even" r:id="rId10"/>
          <w:footerReference w:type="default" r:id="rId11"/>
          <w:headerReference w:type="first" r:id="rId12"/>
          <w:footerReference w:type="first" r:id="rId13"/>
          <w:pgSz w:w="11906" w:h="16838"/>
          <w:pgMar w:top="1440" w:right="1417" w:bottom="1440" w:left="1417" w:header="851" w:footer="992" w:gutter="0"/>
          <w:pgNumType w:start="1"/>
          <w:cols w:space="425"/>
          <w:titlePg/>
          <w:docGrid w:type="lines" w:linePitch="312"/>
        </w:sectPr>
      </w:pPr>
    </w:p>
    <w:p w:rsidR="00BC07F0" w:rsidRDefault="00073EFB">
      <w:pPr>
        <w:pStyle w:val="1"/>
      </w:pPr>
      <w:bookmarkStart w:id="2" w:name="_Toc4419"/>
      <w:bookmarkStart w:id="3" w:name="_Toc14198"/>
      <w:bookmarkStart w:id="4" w:name="_Toc319"/>
      <w:bookmarkStart w:id="5" w:name="_Toc8537"/>
      <w:r>
        <w:rPr>
          <w:rFonts w:hint="eastAsia"/>
        </w:rPr>
        <w:lastRenderedPageBreak/>
        <w:t>目录</w:t>
      </w:r>
      <w:bookmarkEnd w:id="2"/>
      <w:bookmarkEnd w:id="3"/>
      <w:bookmarkEnd w:id="4"/>
      <w:bookmarkEnd w:id="5"/>
    </w:p>
    <w:p w:rsidR="00BC07F0" w:rsidRDefault="00BC07F0" w:rsidP="00C55F5E">
      <w:pPr>
        <w:pStyle w:val="10"/>
        <w:tabs>
          <w:tab w:val="right" w:leader="dot" w:pos="9746"/>
        </w:tabs>
        <w:ind w:firstLine="480"/>
      </w:pPr>
      <w:r>
        <w:fldChar w:fldCharType="begin"/>
      </w:r>
      <w:r w:rsidR="00073EFB">
        <w:instrText xml:space="preserve">TOC \o "1-1" \h \u </w:instrText>
      </w:r>
      <w:r>
        <w:fldChar w:fldCharType="separate"/>
      </w:r>
    </w:p>
    <w:p w:rsidR="00BC07F0" w:rsidRDefault="00BC07F0" w:rsidP="00C55F5E">
      <w:pPr>
        <w:pStyle w:val="10"/>
        <w:tabs>
          <w:tab w:val="right" w:leader="dot" w:pos="9746"/>
        </w:tabs>
        <w:ind w:firstLine="480"/>
        <w:rPr>
          <w:rFonts w:ascii="宋体" w:hAnsi="宋体" w:cs="宋体"/>
        </w:rPr>
      </w:pPr>
      <w:hyperlink w:anchor="_Toc9483" w:history="1">
        <w:r w:rsidR="00073EFB">
          <w:rPr>
            <w:rFonts w:ascii="宋体" w:hAnsi="宋体" w:cs="宋体" w:hint="eastAsia"/>
          </w:rPr>
          <w:t>一、建设项目基本情况</w:t>
        </w:r>
        <w:r w:rsidR="00073EFB">
          <w:rPr>
            <w:rFonts w:ascii="宋体" w:hAnsi="宋体" w:cs="宋体" w:hint="eastAsia"/>
          </w:rPr>
          <w:tab/>
        </w:r>
        <w:r>
          <w:rPr>
            <w:rFonts w:ascii="宋体" w:hAnsi="宋体" w:cs="宋体" w:hint="eastAsia"/>
          </w:rPr>
          <w:fldChar w:fldCharType="begin"/>
        </w:r>
        <w:r w:rsidR="00073EFB">
          <w:rPr>
            <w:rFonts w:ascii="宋体" w:hAnsi="宋体" w:cs="宋体" w:hint="eastAsia"/>
          </w:rPr>
          <w:instrText xml:space="preserve"> PAGEREF _Toc9483 \h </w:instrText>
        </w:r>
        <w:r>
          <w:rPr>
            <w:rFonts w:ascii="宋体" w:hAnsi="宋体" w:cs="宋体" w:hint="eastAsia"/>
          </w:rPr>
        </w:r>
        <w:r>
          <w:rPr>
            <w:rFonts w:ascii="宋体" w:hAnsi="宋体" w:cs="宋体" w:hint="eastAsia"/>
          </w:rPr>
          <w:fldChar w:fldCharType="separate"/>
        </w:r>
        <w:r w:rsidR="00073EFB">
          <w:rPr>
            <w:rFonts w:ascii="宋体" w:hAnsi="宋体" w:cs="宋体" w:hint="eastAsia"/>
          </w:rPr>
          <w:t>1</w:t>
        </w:r>
        <w:r>
          <w:rPr>
            <w:rFonts w:ascii="宋体" w:hAnsi="宋体" w:cs="宋体" w:hint="eastAsia"/>
          </w:rPr>
          <w:fldChar w:fldCharType="end"/>
        </w:r>
      </w:hyperlink>
    </w:p>
    <w:p w:rsidR="00BC07F0" w:rsidRDefault="00BC07F0" w:rsidP="00C55F5E">
      <w:pPr>
        <w:pStyle w:val="10"/>
        <w:tabs>
          <w:tab w:val="right" w:leader="dot" w:pos="9746"/>
        </w:tabs>
        <w:ind w:firstLine="480"/>
        <w:rPr>
          <w:rFonts w:ascii="宋体" w:hAnsi="宋体" w:cs="宋体"/>
        </w:rPr>
      </w:pPr>
      <w:hyperlink w:anchor="_Toc23713" w:history="1">
        <w:r w:rsidR="00073EFB">
          <w:rPr>
            <w:rFonts w:ascii="宋体" w:hAnsi="宋体" w:cs="宋体" w:hint="eastAsia"/>
          </w:rPr>
          <w:t>二、建设内容</w:t>
        </w:r>
        <w:r w:rsidR="00073EFB">
          <w:rPr>
            <w:rFonts w:ascii="宋体" w:hAnsi="宋体" w:cs="宋体" w:hint="eastAsia"/>
          </w:rPr>
          <w:tab/>
        </w:r>
        <w:r>
          <w:rPr>
            <w:rFonts w:ascii="宋体" w:hAnsi="宋体" w:cs="宋体" w:hint="eastAsia"/>
          </w:rPr>
          <w:fldChar w:fldCharType="begin"/>
        </w:r>
        <w:r w:rsidR="00073EFB">
          <w:rPr>
            <w:rFonts w:ascii="宋体" w:hAnsi="宋体" w:cs="宋体" w:hint="eastAsia"/>
          </w:rPr>
          <w:instrText xml:space="preserve"> PAGEREF _Toc23713 \h </w:instrText>
        </w:r>
        <w:r>
          <w:rPr>
            <w:rFonts w:ascii="宋体" w:hAnsi="宋体" w:cs="宋体" w:hint="eastAsia"/>
          </w:rPr>
        </w:r>
        <w:r>
          <w:rPr>
            <w:rFonts w:ascii="宋体" w:hAnsi="宋体" w:cs="宋体" w:hint="eastAsia"/>
          </w:rPr>
          <w:fldChar w:fldCharType="separate"/>
        </w:r>
        <w:r w:rsidR="00073EFB">
          <w:rPr>
            <w:rFonts w:ascii="宋体" w:hAnsi="宋体" w:cs="宋体" w:hint="eastAsia"/>
          </w:rPr>
          <w:t>9</w:t>
        </w:r>
        <w:r>
          <w:rPr>
            <w:rFonts w:ascii="宋体" w:hAnsi="宋体" w:cs="宋体" w:hint="eastAsia"/>
          </w:rPr>
          <w:fldChar w:fldCharType="end"/>
        </w:r>
      </w:hyperlink>
    </w:p>
    <w:p w:rsidR="00BC07F0" w:rsidRDefault="00BC07F0" w:rsidP="00C55F5E">
      <w:pPr>
        <w:pStyle w:val="10"/>
        <w:tabs>
          <w:tab w:val="right" w:leader="dot" w:pos="9746"/>
        </w:tabs>
        <w:ind w:firstLine="480"/>
        <w:rPr>
          <w:rFonts w:ascii="宋体" w:hAnsi="宋体" w:cs="宋体"/>
        </w:rPr>
      </w:pPr>
      <w:hyperlink w:anchor="_Toc14345" w:history="1">
        <w:r w:rsidR="00073EFB">
          <w:rPr>
            <w:rFonts w:ascii="宋体" w:hAnsi="宋体" w:cs="宋体" w:hint="eastAsia"/>
          </w:rPr>
          <w:t>三、生态环境现状、保护目标及评价标准</w:t>
        </w:r>
        <w:r w:rsidR="00073EFB">
          <w:rPr>
            <w:rFonts w:ascii="宋体" w:hAnsi="宋体" w:cs="宋体" w:hint="eastAsia"/>
          </w:rPr>
          <w:tab/>
        </w:r>
        <w:r>
          <w:rPr>
            <w:rFonts w:ascii="宋体" w:hAnsi="宋体" w:cs="宋体" w:hint="eastAsia"/>
          </w:rPr>
          <w:fldChar w:fldCharType="begin"/>
        </w:r>
        <w:r w:rsidR="00073EFB">
          <w:rPr>
            <w:rFonts w:ascii="宋体" w:hAnsi="宋体" w:cs="宋体" w:hint="eastAsia"/>
          </w:rPr>
          <w:instrText xml:space="preserve"> PAGEREF _Toc14345 \h </w:instrText>
        </w:r>
        <w:r>
          <w:rPr>
            <w:rFonts w:ascii="宋体" w:hAnsi="宋体" w:cs="宋体" w:hint="eastAsia"/>
          </w:rPr>
        </w:r>
        <w:r>
          <w:rPr>
            <w:rFonts w:ascii="宋体" w:hAnsi="宋体" w:cs="宋体" w:hint="eastAsia"/>
          </w:rPr>
          <w:fldChar w:fldCharType="separate"/>
        </w:r>
        <w:r w:rsidR="00073EFB">
          <w:rPr>
            <w:rFonts w:ascii="宋体" w:hAnsi="宋体" w:cs="宋体" w:hint="eastAsia"/>
          </w:rPr>
          <w:t>49</w:t>
        </w:r>
        <w:r>
          <w:rPr>
            <w:rFonts w:ascii="宋体" w:hAnsi="宋体" w:cs="宋体" w:hint="eastAsia"/>
          </w:rPr>
          <w:fldChar w:fldCharType="end"/>
        </w:r>
      </w:hyperlink>
    </w:p>
    <w:p w:rsidR="00BC07F0" w:rsidRDefault="00BC07F0" w:rsidP="00C55F5E">
      <w:pPr>
        <w:pStyle w:val="10"/>
        <w:tabs>
          <w:tab w:val="right" w:leader="dot" w:pos="9746"/>
        </w:tabs>
        <w:ind w:firstLine="480"/>
        <w:rPr>
          <w:rFonts w:ascii="宋体" w:hAnsi="宋体" w:cs="宋体"/>
        </w:rPr>
      </w:pPr>
      <w:hyperlink w:anchor="_Toc197" w:history="1">
        <w:r w:rsidR="00073EFB">
          <w:rPr>
            <w:rFonts w:ascii="宋体" w:hAnsi="宋体" w:cs="宋体" w:hint="eastAsia"/>
          </w:rPr>
          <w:t>四、生态环境影响分析</w:t>
        </w:r>
        <w:r w:rsidR="00073EFB">
          <w:rPr>
            <w:rFonts w:ascii="宋体" w:hAnsi="宋体" w:cs="宋体" w:hint="eastAsia"/>
          </w:rPr>
          <w:tab/>
        </w:r>
        <w:r>
          <w:rPr>
            <w:rFonts w:ascii="宋体" w:hAnsi="宋体" w:cs="宋体" w:hint="eastAsia"/>
          </w:rPr>
          <w:fldChar w:fldCharType="begin"/>
        </w:r>
        <w:r w:rsidR="00073EFB">
          <w:rPr>
            <w:rFonts w:ascii="宋体" w:hAnsi="宋体" w:cs="宋体" w:hint="eastAsia"/>
          </w:rPr>
          <w:instrText xml:space="preserve"> PAGEREF _Toc197 \h </w:instrText>
        </w:r>
        <w:r>
          <w:rPr>
            <w:rFonts w:ascii="宋体" w:hAnsi="宋体" w:cs="宋体" w:hint="eastAsia"/>
          </w:rPr>
        </w:r>
        <w:r>
          <w:rPr>
            <w:rFonts w:ascii="宋体" w:hAnsi="宋体" w:cs="宋体" w:hint="eastAsia"/>
          </w:rPr>
          <w:fldChar w:fldCharType="separate"/>
        </w:r>
        <w:r w:rsidR="00073EFB">
          <w:rPr>
            <w:rFonts w:ascii="宋体" w:hAnsi="宋体" w:cs="宋体" w:hint="eastAsia"/>
          </w:rPr>
          <w:t>58</w:t>
        </w:r>
        <w:r>
          <w:rPr>
            <w:rFonts w:ascii="宋体" w:hAnsi="宋体" w:cs="宋体" w:hint="eastAsia"/>
          </w:rPr>
          <w:fldChar w:fldCharType="end"/>
        </w:r>
      </w:hyperlink>
    </w:p>
    <w:p w:rsidR="00BC07F0" w:rsidRDefault="00BC07F0" w:rsidP="00C55F5E">
      <w:pPr>
        <w:pStyle w:val="10"/>
        <w:tabs>
          <w:tab w:val="right" w:leader="dot" w:pos="9746"/>
        </w:tabs>
        <w:ind w:firstLine="480"/>
        <w:rPr>
          <w:rFonts w:ascii="宋体" w:hAnsi="宋体" w:cs="宋体"/>
        </w:rPr>
      </w:pPr>
      <w:hyperlink w:anchor="_Toc12649" w:history="1">
        <w:r w:rsidR="00073EFB">
          <w:rPr>
            <w:rFonts w:ascii="宋体" w:hAnsi="宋体" w:cs="宋体" w:hint="eastAsia"/>
          </w:rPr>
          <w:t>五、主要生态环境保护措施</w:t>
        </w:r>
        <w:r w:rsidR="00073EFB">
          <w:rPr>
            <w:rFonts w:ascii="宋体" w:hAnsi="宋体" w:cs="宋体" w:hint="eastAsia"/>
          </w:rPr>
          <w:tab/>
        </w:r>
        <w:r>
          <w:rPr>
            <w:rFonts w:ascii="宋体" w:hAnsi="宋体" w:cs="宋体" w:hint="eastAsia"/>
          </w:rPr>
          <w:fldChar w:fldCharType="begin"/>
        </w:r>
        <w:r w:rsidR="00073EFB">
          <w:rPr>
            <w:rFonts w:ascii="宋体" w:hAnsi="宋体" w:cs="宋体" w:hint="eastAsia"/>
          </w:rPr>
          <w:instrText xml:space="preserve"> PAGEREF _Toc12649 \h </w:instrText>
        </w:r>
        <w:r>
          <w:rPr>
            <w:rFonts w:ascii="宋体" w:hAnsi="宋体" w:cs="宋体" w:hint="eastAsia"/>
          </w:rPr>
        </w:r>
        <w:r>
          <w:rPr>
            <w:rFonts w:ascii="宋体" w:hAnsi="宋体" w:cs="宋体" w:hint="eastAsia"/>
          </w:rPr>
          <w:fldChar w:fldCharType="separate"/>
        </w:r>
        <w:r w:rsidR="00073EFB">
          <w:rPr>
            <w:rFonts w:ascii="宋体" w:hAnsi="宋体" w:cs="宋体" w:hint="eastAsia"/>
          </w:rPr>
          <w:t>71</w:t>
        </w:r>
        <w:r>
          <w:rPr>
            <w:rFonts w:ascii="宋体" w:hAnsi="宋体" w:cs="宋体" w:hint="eastAsia"/>
          </w:rPr>
          <w:fldChar w:fldCharType="end"/>
        </w:r>
      </w:hyperlink>
    </w:p>
    <w:p w:rsidR="00BC07F0" w:rsidRDefault="00BC07F0" w:rsidP="00C55F5E">
      <w:pPr>
        <w:pStyle w:val="10"/>
        <w:tabs>
          <w:tab w:val="right" w:leader="dot" w:pos="9746"/>
        </w:tabs>
        <w:ind w:firstLine="480"/>
        <w:rPr>
          <w:rFonts w:ascii="宋体" w:hAnsi="宋体" w:cs="宋体"/>
        </w:rPr>
      </w:pPr>
      <w:hyperlink w:anchor="_Toc27625" w:history="1">
        <w:r w:rsidR="00073EFB">
          <w:rPr>
            <w:rFonts w:ascii="宋体" w:hAnsi="宋体" w:cs="宋体" w:hint="eastAsia"/>
          </w:rPr>
          <w:t>六、生态环境保护措施监督检查清单</w:t>
        </w:r>
        <w:r w:rsidR="00073EFB">
          <w:rPr>
            <w:rFonts w:ascii="宋体" w:hAnsi="宋体" w:cs="宋体" w:hint="eastAsia"/>
          </w:rPr>
          <w:tab/>
        </w:r>
        <w:r>
          <w:rPr>
            <w:rFonts w:ascii="宋体" w:hAnsi="宋体" w:cs="宋体" w:hint="eastAsia"/>
          </w:rPr>
          <w:fldChar w:fldCharType="begin"/>
        </w:r>
        <w:r w:rsidR="00073EFB">
          <w:rPr>
            <w:rFonts w:ascii="宋体" w:hAnsi="宋体" w:cs="宋体" w:hint="eastAsia"/>
          </w:rPr>
          <w:instrText xml:space="preserve"> PAGEREF _Toc27625 \h </w:instrText>
        </w:r>
        <w:r>
          <w:rPr>
            <w:rFonts w:ascii="宋体" w:hAnsi="宋体" w:cs="宋体" w:hint="eastAsia"/>
          </w:rPr>
        </w:r>
        <w:r>
          <w:rPr>
            <w:rFonts w:ascii="宋体" w:hAnsi="宋体" w:cs="宋体" w:hint="eastAsia"/>
          </w:rPr>
          <w:fldChar w:fldCharType="separate"/>
        </w:r>
        <w:r w:rsidR="00073EFB">
          <w:rPr>
            <w:rFonts w:ascii="宋体" w:hAnsi="宋体" w:cs="宋体" w:hint="eastAsia"/>
          </w:rPr>
          <w:t>81</w:t>
        </w:r>
        <w:r>
          <w:rPr>
            <w:rFonts w:ascii="宋体" w:hAnsi="宋体" w:cs="宋体" w:hint="eastAsia"/>
          </w:rPr>
          <w:fldChar w:fldCharType="end"/>
        </w:r>
      </w:hyperlink>
    </w:p>
    <w:p w:rsidR="00BC07F0" w:rsidRDefault="00BC07F0" w:rsidP="00C55F5E">
      <w:pPr>
        <w:pStyle w:val="10"/>
        <w:tabs>
          <w:tab w:val="right" w:leader="dot" w:pos="9746"/>
        </w:tabs>
        <w:ind w:firstLine="480"/>
        <w:rPr>
          <w:rFonts w:ascii="宋体" w:hAnsi="宋体" w:cs="宋体"/>
        </w:rPr>
      </w:pPr>
      <w:hyperlink w:anchor="_Toc20563" w:history="1">
        <w:r w:rsidR="00073EFB">
          <w:rPr>
            <w:rFonts w:ascii="宋体" w:hAnsi="宋体" w:cs="宋体" w:hint="eastAsia"/>
          </w:rPr>
          <w:t>七、结论</w:t>
        </w:r>
        <w:r w:rsidR="00073EFB">
          <w:rPr>
            <w:rFonts w:ascii="宋体" w:hAnsi="宋体" w:cs="宋体" w:hint="eastAsia"/>
          </w:rPr>
          <w:tab/>
        </w:r>
        <w:r>
          <w:rPr>
            <w:rFonts w:ascii="宋体" w:hAnsi="宋体" w:cs="宋体" w:hint="eastAsia"/>
          </w:rPr>
          <w:fldChar w:fldCharType="begin"/>
        </w:r>
        <w:r w:rsidR="00073EFB">
          <w:rPr>
            <w:rFonts w:ascii="宋体" w:hAnsi="宋体" w:cs="宋体" w:hint="eastAsia"/>
          </w:rPr>
          <w:instrText xml:space="preserve"> PAGEREF _Toc20563 \h </w:instrText>
        </w:r>
        <w:r>
          <w:rPr>
            <w:rFonts w:ascii="宋体" w:hAnsi="宋体" w:cs="宋体" w:hint="eastAsia"/>
          </w:rPr>
        </w:r>
        <w:r>
          <w:rPr>
            <w:rFonts w:ascii="宋体" w:hAnsi="宋体" w:cs="宋体" w:hint="eastAsia"/>
          </w:rPr>
          <w:fldChar w:fldCharType="separate"/>
        </w:r>
        <w:r w:rsidR="00073EFB">
          <w:rPr>
            <w:rFonts w:ascii="宋体" w:hAnsi="宋体" w:cs="宋体" w:hint="eastAsia"/>
          </w:rPr>
          <w:t>83</w:t>
        </w:r>
        <w:r>
          <w:rPr>
            <w:rFonts w:ascii="宋体" w:hAnsi="宋体" w:cs="宋体" w:hint="eastAsia"/>
          </w:rPr>
          <w:fldChar w:fldCharType="end"/>
        </w:r>
      </w:hyperlink>
    </w:p>
    <w:p w:rsidR="00BC07F0" w:rsidRDefault="00BC07F0" w:rsidP="00C55F5E">
      <w:pPr>
        <w:pStyle w:val="10"/>
        <w:tabs>
          <w:tab w:val="right" w:leader="dot" w:pos="9746"/>
        </w:tabs>
        <w:ind w:firstLine="480"/>
        <w:rPr>
          <w:rFonts w:ascii="宋体" w:hAnsi="宋体" w:cs="宋体"/>
        </w:rPr>
      </w:pPr>
      <w:hyperlink w:anchor="_Toc29199" w:history="1">
        <w:r w:rsidR="00073EFB">
          <w:rPr>
            <w:rFonts w:ascii="宋体" w:hAnsi="宋体" w:cs="宋体" w:hint="eastAsia"/>
            <w:kern w:val="0"/>
            <w:szCs w:val="48"/>
            <w:lang w:val="zh-CN" w:bidi="zh-CN"/>
          </w:rPr>
          <w:t>声环境影响专项评价</w:t>
        </w:r>
        <w:r w:rsidR="00073EFB">
          <w:rPr>
            <w:rFonts w:ascii="宋体" w:hAnsi="宋体" w:cs="宋体" w:hint="eastAsia"/>
          </w:rPr>
          <w:tab/>
        </w:r>
        <w:r>
          <w:rPr>
            <w:rFonts w:ascii="宋体" w:hAnsi="宋体" w:cs="宋体" w:hint="eastAsia"/>
          </w:rPr>
          <w:fldChar w:fldCharType="begin"/>
        </w:r>
        <w:r w:rsidR="00073EFB">
          <w:rPr>
            <w:rFonts w:ascii="宋体" w:hAnsi="宋体" w:cs="宋体" w:hint="eastAsia"/>
          </w:rPr>
          <w:instrText xml:space="preserve"> PAGEREF _Toc29199 \h </w:instrText>
        </w:r>
        <w:r>
          <w:rPr>
            <w:rFonts w:ascii="宋体" w:hAnsi="宋体" w:cs="宋体" w:hint="eastAsia"/>
          </w:rPr>
        </w:r>
        <w:r>
          <w:rPr>
            <w:rFonts w:ascii="宋体" w:hAnsi="宋体" w:cs="宋体" w:hint="eastAsia"/>
          </w:rPr>
          <w:fldChar w:fldCharType="separate"/>
        </w:r>
        <w:r w:rsidR="00073EFB">
          <w:rPr>
            <w:rFonts w:ascii="宋体" w:hAnsi="宋体" w:cs="宋体" w:hint="eastAsia"/>
          </w:rPr>
          <w:t>84</w:t>
        </w:r>
        <w:r>
          <w:rPr>
            <w:rFonts w:ascii="宋体" w:hAnsi="宋体" w:cs="宋体" w:hint="eastAsia"/>
          </w:rPr>
          <w:fldChar w:fldCharType="end"/>
        </w:r>
      </w:hyperlink>
    </w:p>
    <w:p w:rsidR="00BC07F0" w:rsidRDefault="00BC07F0" w:rsidP="00C55F5E">
      <w:pPr>
        <w:pStyle w:val="10"/>
        <w:tabs>
          <w:tab w:val="right" w:leader="dot" w:pos="9746"/>
        </w:tabs>
        <w:ind w:firstLine="480"/>
        <w:rPr>
          <w:rFonts w:ascii="宋体" w:hAnsi="宋体" w:cs="宋体"/>
        </w:rPr>
      </w:pPr>
      <w:hyperlink w:anchor="_Toc27424" w:history="1">
        <w:r w:rsidR="00073EFB">
          <w:rPr>
            <w:rFonts w:ascii="宋体" w:hAnsi="宋体" w:cs="宋体" w:hint="eastAsia"/>
            <w:szCs w:val="48"/>
          </w:rPr>
          <w:t>地表水环境影响专项评价</w:t>
        </w:r>
        <w:r w:rsidR="00073EFB">
          <w:rPr>
            <w:rFonts w:ascii="宋体" w:hAnsi="宋体" w:cs="宋体" w:hint="eastAsia"/>
          </w:rPr>
          <w:tab/>
        </w:r>
        <w:r>
          <w:rPr>
            <w:rFonts w:ascii="宋体" w:hAnsi="宋体" w:cs="宋体" w:hint="eastAsia"/>
          </w:rPr>
          <w:fldChar w:fldCharType="begin"/>
        </w:r>
        <w:r w:rsidR="00073EFB">
          <w:rPr>
            <w:rFonts w:ascii="宋体" w:hAnsi="宋体" w:cs="宋体" w:hint="eastAsia"/>
          </w:rPr>
          <w:instrText xml:space="preserve"> PAGEREF _Toc27424 \h </w:instrText>
        </w:r>
        <w:r>
          <w:rPr>
            <w:rFonts w:ascii="宋体" w:hAnsi="宋体" w:cs="宋体" w:hint="eastAsia"/>
          </w:rPr>
        </w:r>
        <w:r>
          <w:rPr>
            <w:rFonts w:ascii="宋体" w:hAnsi="宋体" w:cs="宋体" w:hint="eastAsia"/>
          </w:rPr>
          <w:fldChar w:fldCharType="separate"/>
        </w:r>
        <w:r w:rsidR="00073EFB">
          <w:rPr>
            <w:rFonts w:ascii="宋体" w:hAnsi="宋体" w:cs="宋体" w:hint="eastAsia"/>
          </w:rPr>
          <w:t>115</w:t>
        </w:r>
        <w:r>
          <w:rPr>
            <w:rFonts w:ascii="宋体" w:hAnsi="宋体" w:cs="宋体" w:hint="eastAsia"/>
          </w:rPr>
          <w:fldChar w:fldCharType="end"/>
        </w:r>
      </w:hyperlink>
    </w:p>
    <w:p w:rsidR="00BC07F0" w:rsidRDefault="00BC07F0" w:rsidP="00C55F5E">
      <w:pPr>
        <w:ind w:firstLine="480"/>
      </w:pPr>
      <w:r>
        <w:fldChar w:fldCharType="end"/>
      </w:r>
    </w:p>
    <w:p w:rsidR="00BC07F0" w:rsidRDefault="00073EFB" w:rsidP="00C55F5E">
      <w:pPr>
        <w:ind w:firstLine="480"/>
      </w:pPr>
      <w:r>
        <w:rPr>
          <w:rFonts w:hint="eastAsia"/>
        </w:rPr>
        <w:t>附件</w:t>
      </w:r>
    </w:p>
    <w:p w:rsidR="00BC07F0" w:rsidRDefault="00073EFB" w:rsidP="00C55F5E">
      <w:pPr>
        <w:ind w:firstLine="480"/>
      </w:pPr>
      <w:r>
        <w:rPr>
          <w:rFonts w:hint="eastAsia"/>
        </w:rPr>
        <w:t>附件</w:t>
      </w:r>
      <w:r>
        <w:rPr>
          <w:rFonts w:hint="eastAsia"/>
        </w:rPr>
        <w:t>1</w:t>
      </w:r>
      <w:r>
        <w:rPr>
          <w:rFonts w:hint="eastAsia"/>
        </w:rPr>
        <w:t>衡阳市湘江南岸水环境水安全治理工程备案证明</w:t>
      </w:r>
    </w:p>
    <w:p w:rsidR="00BC07F0" w:rsidRDefault="00073EFB" w:rsidP="00C55F5E">
      <w:pPr>
        <w:ind w:firstLine="480"/>
      </w:pPr>
      <w:r>
        <w:rPr>
          <w:rFonts w:hint="eastAsia"/>
        </w:rPr>
        <w:t>附件</w:t>
      </w:r>
      <w:r>
        <w:rPr>
          <w:rFonts w:hint="eastAsia"/>
        </w:rPr>
        <w:t>2</w:t>
      </w:r>
      <w:r>
        <w:rPr>
          <w:rFonts w:hint="eastAsia"/>
        </w:rPr>
        <w:t>衡阳市湘江南岸水环境水安全治理工程变更备案证明</w:t>
      </w:r>
    </w:p>
    <w:p w:rsidR="00BC07F0" w:rsidRDefault="00073EFB" w:rsidP="00C55F5E">
      <w:pPr>
        <w:ind w:firstLine="480"/>
      </w:pPr>
      <w:r>
        <w:rPr>
          <w:rFonts w:hint="eastAsia"/>
        </w:rPr>
        <w:t>附件</w:t>
      </w:r>
      <w:r>
        <w:rPr>
          <w:rFonts w:hint="eastAsia"/>
        </w:rPr>
        <w:t>3</w:t>
      </w:r>
      <w:r>
        <w:rPr>
          <w:rFonts w:hint="eastAsia"/>
        </w:rPr>
        <w:t>衡阳市湘江南岸水环境水安全治理工程初步设计的批复</w:t>
      </w:r>
    </w:p>
    <w:p w:rsidR="00BC07F0" w:rsidRDefault="00073EFB" w:rsidP="00C55F5E">
      <w:pPr>
        <w:ind w:firstLine="480"/>
      </w:pPr>
      <w:r>
        <w:rPr>
          <w:rFonts w:hint="eastAsia"/>
        </w:rPr>
        <w:t>附件</w:t>
      </w:r>
      <w:r>
        <w:rPr>
          <w:rFonts w:hint="eastAsia"/>
        </w:rPr>
        <w:t>4</w:t>
      </w:r>
      <w:r>
        <w:rPr>
          <w:rFonts w:hint="eastAsia"/>
        </w:rPr>
        <w:t>关于请求查询湘江南岸水环境水安全治理工程项目范围与生态保护红线和永久基本农田位置关系的函及复函</w:t>
      </w:r>
    </w:p>
    <w:p w:rsidR="00BC07F0" w:rsidRDefault="00073EFB" w:rsidP="00C55F5E">
      <w:pPr>
        <w:ind w:firstLine="480"/>
      </w:pPr>
      <w:r>
        <w:rPr>
          <w:rFonts w:hint="eastAsia"/>
        </w:rPr>
        <w:t>附件</w:t>
      </w:r>
      <w:r>
        <w:rPr>
          <w:rFonts w:hint="eastAsia"/>
        </w:rPr>
        <w:t>5</w:t>
      </w:r>
      <w:r>
        <w:rPr>
          <w:rFonts w:hint="eastAsia"/>
        </w:rPr>
        <w:t>幸福河支流水生态环境综合治理工程勘察文件审查合格书</w:t>
      </w:r>
    </w:p>
    <w:p w:rsidR="00BC07F0" w:rsidRDefault="00073EFB" w:rsidP="00C55F5E">
      <w:pPr>
        <w:ind w:firstLine="480"/>
      </w:pPr>
      <w:r>
        <w:rPr>
          <w:rFonts w:hint="eastAsia"/>
        </w:rPr>
        <w:t>附件</w:t>
      </w:r>
      <w:r>
        <w:rPr>
          <w:rFonts w:hint="eastAsia"/>
        </w:rPr>
        <w:t>6</w:t>
      </w:r>
      <w:r>
        <w:rPr>
          <w:rFonts w:hint="eastAsia"/>
        </w:rPr>
        <w:t>幸福河支流环境质量监测报告</w:t>
      </w:r>
    </w:p>
    <w:p w:rsidR="00BC07F0" w:rsidRDefault="00073EFB" w:rsidP="00C55F5E">
      <w:pPr>
        <w:ind w:firstLine="480"/>
      </w:pPr>
      <w:r>
        <w:rPr>
          <w:rFonts w:hint="eastAsia"/>
        </w:rPr>
        <w:t>附件</w:t>
      </w:r>
      <w:r>
        <w:rPr>
          <w:rFonts w:hint="eastAsia"/>
        </w:rPr>
        <w:t>7</w:t>
      </w:r>
      <w:r>
        <w:rPr>
          <w:rFonts w:hint="eastAsia"/>
        </w:rPr>
        <w:t>铜桥湿地公园治理工程环境质量监测报告</w:t>
      </w:r>
    </w:p>
    <w:p w:rsidR="00BC07F0" w:rsidRDefault="00073EFB" w:rsidP="00C55F5E">
      <w:pPr>
        <w:ind w:firstLine="480"/>
      </w:pPr>
      <w:r>
        <w:rPr>
          <w:rFonts w:hint="eastAsia"/>
        </w:rPr>
        <w:t>附件</w:t>
      </w:r>
      <w:r>
        <w:rPr>
          <w:rFonts w:hint="eastAsia"/>
        </w:rPr>
        <w:t>8</w:t>
      </w:r>
      <w:r>
        <w:rPr>
          <w:rFonts w:hint="eastAsia"/>
        </w:rPr>
        <w:t>湘江南岸环境质量监测报告</w:t>
      </w:r>
    </w:p>
    <w:p w:rsidR="00BC07F0" w:rsidRDefault="00073EFB" w:rsidP="00C55F5E">
      <w:pPr>
        <w:ind w:firstLine="480"/>
      </w:pPr>
      <w:r>
        <w:rPr>
          <w:rFonts w:hint="eastAsia"/>
        </w:rPr>
        <w:t>附图</w:t>
      </w:r>
    </w:p>
    <w:p w:rsidR="00BC07F0" w:rsidRDefault="00073EFB" w:rsidP="00C55F5E">
      <w:pPr>
        <w:ind w:firstLine="480"/>
      </w:pPr>
      <w:r>
        <w:rPr>
          <w:rFonts w:hint="eastAsia"/>
        </w:rPr>
        <w:t>附图</w:t>
      </w:r>
      <w:r>
        <w:rPr>
          <w:rFonts w:hint="eastAsia"/>
        </w:rPr>
        <w:t>1</w:t>
      </w:r>
      <w:r>
        <w:rPr>
          <w:rFonts w:hint="eastAsia"/>
        </w:rPr>
        <w:t>衡阳市雁峰区地图</w:t>
      </w:r>
    </w:p>
    <w:p w:rsidR="00BC07F0" w:rsidRDefault="00073EFB" w:rsidP="00C55F5E">
      <w:pPr>
        <w:ind w:firstLine="480"/>
      </w:pPr>
      <w:r>
        <w:rPr>
          <w:rFonts w:hint="eastAsia"/>
        </w:rPr>
        <w:t>附图</w:t>
      </w:r>
      <w:r>
        <w:rPr>
          <w:rFonts w:hint="eastAsia"/>
        </w:rPr>
        <w:t>2</w:t>
      </w:r>
      <w:r>
        <w:rPr>
          <w:rFonts w:hint="eastAsia"/>
        </w:rPr>
        <w:t>湘江南路（白沙大道——前进路）地理位置图</w:t>
      </w:r>
    </w:p>
    <w:p w:rsidR="00BC07F0" w:rsidRDefault="00073EFB" w:rsidP="00C55F5E">
      <w:pPr>
        <w:ind w:firstLine="480"/>
      </w:pPr>
      <w:r>
        <w:rPr>
          <w:rFonts w:hint="eastAsia"/>
        </w:rPr>
        <w:t>附图</w:t>
      </w:r>
      <w:r>
        <w:rPr>
          <w:rFonts w:hint="eastAsia"/>
        </w:rPr>
        <w:t>3</w:t>
      </w:r>
      <w:r>
        <w:rPr>
          <w:rFonts w:hint="eastAsia"/>
        </w:rPr>
        <w:t>酃白路地理位置图</w:t>
      </w:r>
    </w:p>
    <w:p w:rsidR="00BC07F0" w:rsidRDefault="00073EFB" w:rsidP="00C55F5E">
      <w:pPr>
        <w:ind w:firstLine="480"/>
      </w:pPr>
      <w:r>
        <w:rPr>
          <w:rFonts w:hint="eastAsia"/>
        </w:rPr>
        <w:t>附图</w:t>
      </w:r>
      <w:r>
        <w:rPr>
          <w:rFonts w:hint="eastAsia"/>
        </w:rPr>
        <w:t>4</w:t>
      </w:r>
      <w:r>
        <w:rPr>
          <w:rFonts w:hint="eastAsia"/>
        </w:rPr>
        <w:t>项目工程总平面布置图</w:t>
      </w:r>
    </w:p>
    <w:p w:rsidR="00BC07F0" w:rsidRDefault="00073EFB" w:rsidP="00C55F5E">
      <w:pPr>
        <w:ind w:firstLine="480"/>
      </w:pPr>
      <w:r>
        <w:rPr>
          <w:rFonts w:hint="eastAsia"/>
        </w:rPr>
        <w:t>附图</w:t>
      </w:r>
      <w:r>
        <w:rPr>
          <w:rFonts w:hint="eastAsia"/>
        </w:rPr>
        <w:t>5</w:t>
      </w:r>
      <w:r>
        <w:rPr>
          <w:rFonts w:hint="eastAsia"/>
        </w:rPr>
        <w:t>湘江南岸风光带工程施工平面布置图</w:t>
      </w:r>
    </w:p>
    <w:p w:rsidR="00BC07F0" w:rsidRDefault="00073EFB" w:rsidP="00C55F5E">
      <w:pPr>
        <w:ind w:firstLine="480"/>
      </w:pPr>
      <w:r>
        <w:rPr>
          <w:rFonts w:hint="eastAsia"/>
        </w:rPr>
        <w:t>附图</w:t>
      </w:r>
      <w:r>
        <w:rPr>
          <w:rFonts w:hint="eastAsia"/>
        </w:rPr>
        <w:t>6</w:t>
      </w:r>
      <w:r>
        <w:rPr>
          <w:rFonts w:hint="eastAsia"/>
        </w:rPr>
        <w:t>幸福河支流水生态环境综合治理工程施工平面布置图</w:t>
      </w:r>
    </w:p>
    <w:p w:rsidR="00BC07F0" w:rsidRDefault="00073EFB" w:rsidP="00C55F5E">
      <w:pPr>
        <w:ind w:firstLine="480"/>
      </w:pPr>
      <w:r>
        <w:rPr>
          <w:rFonts w:hint="eastAsia"/>
        </w:rPr>
        <w:lastRenderedPageBreak/>
        <w:t>附图</w:t>
      </w:r>
      <w:r>
        <w:rPr>
          <w:rFonts w:hint="eastAsia"/>
        </w:rPr>
        <w:t>7</w:t>
      </w:r>
      <w:r>
        <w:rPr>
          <w:rFonts w:hint="eastAsia"/>
        </w:rPr>
        <w:t>铜桥港湿地公园工程施工平面布置图</w:t>
      </w:r>
    </w:p>
    <w:p w:rsidR="00BC07F0" w:rsidRDefault="00073EFB" w:rsidP="00C55F5E">
      <w:pPr>
        <w:ind w:firstLine="480"/>
      </w:pPr>
      <w:r>
        <w:rPr>
          <w:rFonts w:hint="eastAsia"/>
        </w:rPr>
        <w:t>附图</w:t>
      </w:r>
      <w:r>
        <w:rPr>
          <w:rFonts w:hint="eastAsia"/>
        </w:rPr>
        <w:t>8</w:t>
      </w:r>
      <w:r>
        <w:rPr>
          <w:rFonts w:hint="eastAsia"/>
        </w:rPr>
        <w:t>湘江南路（白沙大道——前进路）施工平面布置图</w:t>
      </w:r>
    </w:p>
    <w:p w:rsidR="00BC07F0" w:rsidRDefault="00073EFB" w:rsidP="00C55F5E">
      <w:pPr>
        <w:ind w:firstLine="480"/>
      </w:pPr>
      <w:r>
        <w:rPr>
          <w:rFonts w:hint="eastAsia"/>
        </w:rPr>
        <w:t>附图</w:t>
      </w:r>
      <w:r>
        <w:rPr>
          <w:rFonts w:hint="eastAsia"/>
        </w:rPr>
        <w:t>9</w:t>
      </w:r>
      <w:r>
        <w:rPr>
          <w:rFonts w:hint="eastAsia"/>
        </w:rPr>
        <w:t>前进路施工平面布置图</w:t>
      </w:r>
    </w:p>
    <w:p w:rsidR="00BC07F0" w:rsidRDefault="00073EFB" w:rsidP="00C55F5E">
      <w:pPr>
        <w:ind w:firstLine="480"/>
      </w:pPr>
      <w:r>
        <w:rPr>
          <w:rFonts w:hint="eastAsia"/>
        </w:rPr>
        <w:t>附图</w:t>
      </w:r>
      <w:r>
        <w:rPr>
          <w:rFonts w:hint="eastAsia"/>
        </w:rPr>
        <w:t>10</w:t>
      </w:r>
      <w:r>
        <w:rPr>
          <w:rFonts w:hint="eastAsia"/>
        </w:rPr>
        <w:t>酃白路施工平面布置图（</w:t>
      </w:r>
      <w:r>
        <w:rPr>
          <w:rFonts w:hint="eastAsia"/>
        </w:rPr>
        <w:t>1</w:t>
      </w:r>
      <w:r>
        <w:rPr>
          <w:rFonts w:hint="eastAsia"/>
        </w:rPr>
        <w:t>）</w:t>
      </w:r>
    </w:p>
    <w:p w:rsidR="00BC07F0" w:rsidRDefault="00073EFB" w:rsidP="00C55F5E">
      <w:pPr>
        <w:ind w:firstLine="480"/>
      </w:pPr>
      <w:r>
        <w:rPr>
          <w:rFonts w:hint="eastAsia"/>
        </w:rPr>
        <w:t>附图</w:t>
      </w:r>
      <w:r>
        <w:rPr>
          <w:rFonts w:hint="eastAsia"/>
        </w:rPr>
        <w:t>11</w:t>
      </w:r>
      <w:r>
        <w:rPr>
          <w:rFonts w:hint="eastAsia"/>
        </w:rPr>
        <w:t>酃白路施工平面布置图（</w:t>
      </w:r>
      <w:r>
        <w:rPr>
          <w:rFonts w:hint="eastAsia"/>
        </w:rPr>
        <w:t>2</w:t>
      </w:r>
      <w:r>
        <w:rPr>
          <w:rFonts w:hint="eastAsia"/>
        </w:rPr>
        <w:t>）</w:t>
      </w:r>
    </w:p>
    <w:p w:rsidR="00BC07F0" w:rsidRDefault="00073EFB" w:rsidP="00C55F5E">
      <w:pPr>
        <w:ind w:firstLine="480"/>
      </w:pPr>
      <w:r>
        <w:rPr>
          <w:rFonts w:hint="eastAsia"/>
        </w:rPr>
        <w:t>附图</w:t>
      </w:r>
      <w:r>
        <w:rPr>
          <w:rFonts w:hint="eastAsia"/>
        </w:rPr>
        <w:t>12</w:t>
      </w:r>
      <w:r>
        <w:rPr>
          <w:rFonts w:hint="eastAsia"/>
        </w:rPr>
        <w:t>酃白路施工平面布置图（</w:t>
      </w:r>
      <w:r>
        <w:rPr>
          <w:rFonts w:hint="eastAsia"/>
        </w:rPr>
        <w:t>3</w:t>
      </w:r>
      <w:r>
        <w:rPr>
          <w:rFonts w:hint="eastAsia"/>
        </w:rPr>
        <w:t>）</w:t>
      </w:r>
    </w:p>
    <w:p w:rsidR="00BC07F0" w:rsidRDefault="00073EFB" w:rsidP="00C55F5E">
      <w:pPr>
        <w:ind w:firstLine="480"/>
      </w:pPr>
      <w:r>
        <w:rPr>
          <w:rFonts w:hint="eastAsia"/>
        </w:rPr>
        <w:t>附图</w:t>
      </w:r>
      <w:r>
        <w:rPr>
          <w:rFonts w:hint="eastAsia"/>
        </w:rPr>
        <w:t>13</w:t>
      </w:r>
      <w:r>
        <w:rPr>
          <w:rFonts w:hint="eastAsia"/>
        </w:rPr>
        <w:t>酃白路施工平面布置图（</w:t>
      </w:r>
      <w:r>
        <w:rPr>
          <w:rFonts w:hint="eastAsia"/>
        </w:rPr>
        <w:t>4</w:t>
      </w:r>
      <w:r>
        <w:rPr>
          <w:rFonts w:hint="eastAsia"/>
        </w:rPr>
        <w:t>）</w:t>
      </w:r>
    </w:p>
    <w:p w:rsidR="00BC07F0" w:rsidRDefault="00073EFB" w:rsidP="00C55F5E">
      <w:pPr>
        <w:ind w:firstLine="480"/>
      </w:pPr>
      <w:r>
        <w:rPr>
          <w:rFonts w:hint="eastAsia"/>
        </w:rPr>
        <w:t>附图</w:t>
      </w:r>
      <w:r>
        <w:rPr>
          <w:rFonts w:hint="eastAsia"/>
        </w:rPr>
        <w:t>14</w:t>
      </w:r>
      <w:r>
        <w:rPr>
          <w:rFonts w:hint="eastAsia"/>
        </w:rPr>
        <w:t>酃白路施工平面布置图（</w:t>
      </w:r>
      <w:r>
        <w:rPr>
          <w:rFonts w:hint="eastAsia"/>
        </w:rPr>
        <w:t>5</w:t>
      </w:r>
      <w:r>
        <w:rPr>
          <w:rFonts w:hint="eastAsia"/>
        </w:rPr>
        <w:t>）</w:t>
      </w:r>
    </w:p>
    <w:p w:rsidR="00BC07F0" w:rsidRDefault="00073EFB" w:rsidP="00C55F5E">
      <w:pPr>
        <w:ind w:firstLine="480"/>
      </w:pPr>
      <w:r>
        <w:rPr>
          <w:rFonts w:hint="eastAsia"/>
        </w:rPr>
        <w:t>附图</w:t>
      </w:r>
      <w:r>
        <w:rPr>
          <w:rFonts w:hint="eastAsia"/>
        </w:rPr>
        <w:t>1</w:t>
      </w:r>
      <w:r>
        <w:rPr>
          <w:rFonts w:hint="eastAsia"/>
        </w:rPr>
        <w:t>5</w:t>
      </w:r>
      <w:r>
        <w:rPr>
          <w:rFonts w:hint="eastAsia"/>
        </w:rPr>
        <w:t>湘江南岸（衡阳港</w:t>
      </w:r>
      <w:r>
        <w:rPr>
          <w:rFonts w:hint="eastAsia"/>
        </w:rPr>
        <w:t>-</w:t>
      </w:r>
      <w:r>
        <w:rPr>
          <w:rFonts w:hint="eastAsia"/>
        </w:rPr>
        <w:t>铜桥港）水环境水安全综合治理工程</w:t>
      </w:r>
      <w:r>
        <w:rPr>
          <w:rFonts w:hint="eastAsia"/>
        </w:rPr>
        <w:t>雨水总平面布置图</w:t>
      </w:r>
    </w:p>
    <w:p w:rsidR="00BC07F0" w:rsidRDefault="00073EFB" w:rsidP="00C55F5E">
      <w:pPr>
        <w:ind w:firstLine="480"/>
      </w:pPr>
      <w:r>
        <w:rPr>
          <w:rFonts w:hint="eastAsia"/>
        </w:rPr>
        <w:t>附图</w:t>
      </w:r>
      <w:r>
        <w:rPr>
          <w:rFonts w:hint="eastAsia"/>
        </w:rPr>
        <w:t>1</w:t>
      </w:r>
      <w:r>
        <w:rPr>
          <w:rFonts w:hint="eastAsia"/>
        </w:rPr>
        <w:t>6</w:t>
      </w:r>
      <w:r>
        <w:rPr>
          <w:rFonts w:hint="eastAsia"/>
        </w:rPr>
        <w:t>衡阳市环境管控单元图</w:t>
      </w:r>
    </w:p>
    <w:p w:rsidR="00BC07F0" w:rsidRDefault="00073EFB" w:rsidP="00C55F5E">
      <w:pPr>
        <w:ind w:firstLine="480"/>
      </w:pPr>
      <w:r>
        <w:rPr>
          <w:rFonts w:hint="eastAsia"/>
        </w:rPr>
        <w:t>附图</w:t>
      </w:r>
      <w:r>
        <w:rPr>
          <w:rFonts w:hint="eastAsia"/>
        </w:rPr>
        <w:t>17</w:t>
      </w:r>
      <w:r>
        <w:rPr>
          <w:rFonts w:hint="eastAsia"/>
        </w:rPr>
        <w:t>衡阳市生态保护红线分布图</w:t>
      </w:r>
    </w:p>
    <w:p w:rsidR="00BC07F0" w:rsidRDefault="00073EFB" w:rsidP="00C55F5E">
      <w:pPr>
        <w:ind w:firstLine="480"/>
      </w:pPr>
      <w:r>
        <w:rPr>
          <w:rFonts w:hint="eastAsia"/>
        </w:rPr>
        <w:t>附图</w:t>
      </w:r>
      <w:r>
        <w:rPr>
          <w:rFonts w:hint="eastAsia"/>
        </w:rPr>
        <w:t>18</w:t>
      </w:r>
      <w:r>
        <w:rPr>
          <w:rFonts w:hint="eastAsia"/>
        </w:rPr>
        <w:t>衡阳市饮用水保护区及自然保护区分布图</w:t>
      </w:r>
    </w:p>
    <w:p w:rsidR="00BC07F0" w:rsidRDefault="00073EFB" w:rsidP="00C55F5E">
      <w:pPr>
        <w:ind w:firstLine="480"/>
      </w:pPr>
      <w:r>
        <w:rPr>
          <w:rFonts w:hint="eastAsia"/>
        </w:rPr>
        <w:t>附图</w:t>
      </w:r>
      <w:r>
        <w:rPr>
          <w:rFonts w:hint="eastAsia"/>
        </w:rPr>
        <w:t>19</w:t>
      </w:r>
      <w:r>
        <w:rPr>
          <w:rFonts w:hint="eastAsia"/>
        </w:rPr>
        <w:t>项目所在区域水系图</w:t>
      </w:r>
    </w:p>
    <w:p w:rsidR="00BC07F0" w:rsidRDefault="00073EFB" w:rsidP="00C55F5E">
      <w:pPr>
        <w:ind w:firstLine="480"/>
      </w:pPr>
      <w:r>
        <w:rPr>
          <w:rFonts w:hint="eastAsia"/>
        </w:rPr>
        <w:t>附图</w:t>
      </w:r>
      <w:r>
        <w:rPr>
          <w:rFonts w:hint="eastAsia"/>
        </w:rPr>
        <w:t>2</w:t>
      </w:r>
      <w:r>
        <w:rPr>
          <w:rFonts w:hint="eastAsia"/>
        </w:rPr>
        <w:t>0</w:t>
      </w:r>
      <w:r>
        <w:rPr>
          <w:rFonts w:hint="eastAsia"/>
        </w:rPr>
        <w:t>衡阳市城区饮用水源保护区范围图</w:t>
      </w:r>
    </w:p>
    <w:p w:rsidR="00BC07F0" w:rsidRDefault="00073EFB" w:rsidP="00C55F5E">
      <w:pPr>
        <w:ind w:firstLine="480"/>
      </w:pPr>
      <w:r>
        <w:rPr>
          <w:rFonts w:hint="eastAsia"/>
        </w:rPr>
        <w:t>附图</w:t>
      </w:r>
      <w:r>
        <w:rPr>
          <w:rFonts w:hint="eastAsia"/>
        </w:rPr>
        <w:t>2</w:t>
      </w:r>
      <w:r>
        <w:rPr>
          <w:rFonts w:hint="eastAsia"/>
        </w:rPr>
        <w:t>1</w:t>
      </w:r>
      <w:r>
        <w:rPr>
          <w:rFonts w:hint="eastAsia"/>
        </w:rPr>
        <w:t>酃白路</w:t>
      </w:r>
      <w:r>
        <w:rPr>
          <w:rFonts w:hint="eastAsia"/>
        </w:rPr>
        <w:t>/</w:t>
      </w:r>
      <w:r>
        <w:rPr>
          <w:rFonts w:hint="eastAsia"/>
        </w:rPr>
        <w:t>前进路</w:t>
      </w:r>
      <w:r>
        <w:rPr>
          <w:rFonts w:hint="eastAsia"/>
        </w:rPr>
        <w:t>/</w:t>
      </w:r>
      <w:r>
        <w:rPr>
          <w:rFonts w:hint="eastAsia"/>
        </w:rPr>
        <w:t>湘江南路（白沙大道——前进路）所在地块土地利用规划图</w:t>
      </w:r>
    </w:p>
    <w:p w:rsidR="00BC07F0" w:rsidRDefault="00073EFB" w:rsidP="00C55F5E">
      <w:pPr>
        <w:ind w:firstLine="480"/>
      </w:pPr>
      <w:r>
        <w:rPr>
          <w:rFonts w:hint="eastAsia"/>
        </w:rPr>
        <w:t>附图</w:t>
      </w:r>
      <w:r>
        <w:rPr>
          <w:rFonts w:hint="eastAsia"/>
        </w:rPr>
        <w:t>2</w:t>
      </w:r>
      <w:r>
        <w:rPr>
          <w:rFonts w:hint="eastAsia"/>
        </w:rPr>
        <w:t>2</w:t>
      </w:r>
      <w:r>
        <w:rPr>
          <w:rFonts w:hint="eastAsia"/>
        </w:rPr>
        <w:t>铜桥港湿地公园工程所在地土地利用规划图</w:t>
      </w:r>
    </w:p>
    <w:p w:rsidR="00BC07F0" w:rsidRDefault="00073EFB" w:rsidP="00C55F5E">
      <w:pPr>
        <w:ind w:firstLine="480"/>
      </w:pPr>
      <w:r>
        <w:rPr>
          <w:rFonts w:hint="eastAsia"/>
        </w:rPr>
        <w:t>附图</w:t>
      </w:r>
      <w:r>
        <w:rPr>
          <w:rFonts w:hint="eastAsia"/>
        </w:rPr>
        <w:t>2</w:t>
      </w:r>
      <w:r>
        <w:rPr>
          <w:rFonts w:hint="eastAsia"/>
        </w:rPr>
        <w:t>3</w:t>
      </w:r>
      <w:r>
        <w:rPr>
          <w:rFonts w:hint="eastAsia"/>
        </w:rPr>
        <w:t>项目周边敏感点位</w:t>
      </w:r>
      <w:r>
        <w:rPr>
          <w:rFonts w:hint="eastAsia"/>
        </w:rPr>
        <w:t>图</w:t>
      </w:r>
    </w:p>
    <w:p w:rsidR="00BC07F0" w:rsidRDefault="00073EFB" w:rsidP="00C55F5E">
      <w:pPr>
        <w:ind w:firstLine="480"/>
        <w:sectPr w:rsidR="00BC07F0">
          <w:footerReference w:type="default" r:id="rId14"/>
          <w:pgSz w:w="11906" w:h="16838"/>
          <w:pgMar w:top="1440" w:right="1080" w:bottom="1440" w:left="1080" w:header="851" w:footer="992" w:gutter="0"/>
          <w:pgNumType w:start="1"/>
          <w:cols w:space="425"/>
          <w:docGrid w:type="lines" w:linePitch="312"/>
        </w:sectPr>
      </w:pPr>
      <w:r>
        <w:rPr>
          <w:rFonts w:hint="eastAsia"/>
        </w:rPr>
        <w:t>附图</w:t>
      </w:r>
      <w:r>
        <w:rPr>
          <w:rFonts w:hint="eastAsia"/>
        </w:rPr>
        <w:t>2</w:t>
      </w:r>
      <w:r>
        <w:rPr>
          <w:rFonts w:hint="eastAsia"/>
        </w:rPr>
        <w:t>4</w:t>
      </w:r>
      <w:r>
        <w:rPr>
          <w:rFonts w:hint="eastAsia"/>
        </w:rPr>
        <w:t>项目所在地航拍图</w:t>
      </w:r>
    </w:p>
    <w:p w:rsidR="00BC07F0" w:rsidRDefault="00073EFB">
      <w:pPr>
        <w:pStyle w:val="1"/>
      </w:pPr>
      <w:bookmarkStart w:id="6" w:name="_Toc24043"/>
      <w:bookmarkStart w:id="7" w:name="_Toc13506"/>
      <w:bookmarkStart w:id="8" w:name="_Toc5584"/>
      <w:bookmarkStart w:id="9" w:name="_Toc9483"/>
      <w:r>
        <w:rPr>
          <w:rFonts w:hint="eastAsia"/>
        </w:rPr>
        <w:lastRenderedPageBreak/>
        <w:t>一、建设项目基本情况</w:t>
      </w:r>
      <w:bookmarkEnd w:id="6"/>
      <w:bookmarkEnd w:id="7"/>
      <w:bookmarkEnd w:id="8"/>
      <w:bookmarkEnd w:id="9"/>
    </w:p>
    <w:tbl>
      <w:tblPr>
        <w:tblW w:w="4807" w:type="pct"/>
        <w:tblInd w:w="1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1799"/>
        <w:gridCol w:w="3334"/>
        <w:gridCol w:w="1304"/>
        <w:gridCol w:w="2958"/>
      </w:tblGrid>
      <w:tr w:rsidR="00BC07F0">
        <w:trPr>
          <w:trHeight w:val="454"/>
        </w:trPr>
        <w:tc>
          <w:tcPr>
            <w:tcW w:w="1800" w:type="dxa"/>
            <w:tcMar>
              <w:top w:w="16" w:type="dxa"/>
              <w:left w:w="16" w:type="dxa"/>
              <w:right w:w="16" w:type="dxa"/>
            </w:tcMar>
            <w:vAlign w:val="center"/>
          </w:tcPr>
          <w:p w:rsidR="00BC07F0" w:rsidRDefault="00073EFB">
            <w:pPr>
              <w:pStyle w:val="a7"/>
              <w:rPr>
                <w:rFonts w:hint="default"/>
                <w:b/>
                <w:bCs/>
                <w:sz w:val="24"/>
                <w:szCs w:val="24"/>
              </w:rPr>
            </w:pPr>
            <w:r>
              <w:rPr>
                <w:b/>
                <w:bCs/>
                <w:sz w:val="24"/>
                <w:szCs w:val="24"/>
              </w:rPr>
              <w:t>建设项目名称</w:t>
            </w:r>
          </w:p>
        </w:tc>
        <w:tc>
          <w:tcPr>
            <w:tcW w:w="7602" w:type="dxa"/>
            <w:gridSpan w:val="3"/>
            <w:vAlign w:val="center"/>
          </w:tcPr>
          <w:p w:rsidR="00BC07F0" w:rsidRDefault="00073EFB">
            <w:pPr>
              <w:pStyle w:val="a7"/>
              <w:rPr>
                <w:rFonts w:hint="default"/>
                <w:sz w:val="24"/>
                <w:szCs w:val="24"/>
              </w:rPr>
            </w:pPr>
            <w:r>
              <w:rPr>
                <w:sz w:val="24"/>
                <w:szCs w:val="24"/>
              </w:rPr>
              <w:t>衡阳市湘江南岸水环境水安全治理工程</w:t>
            </w:r>
          </w:p>
        </w:tc>
      </w:tr>
      <w:tr w:rsidR="00BC07F0">
        <w:trPr>
          <w:trHeight w:val="454"/>
        </w:trPr>
        <w:tc>
          <w:tcPr>
            <w:tcW w:w="1800" w:type="dxa"/>
            <w:tcMar>
              <w:top w:w="16" w:type="dxa"/>
              <w:left w:w="16" w:type="dxa"/>
              <w:right w:w="16" w:type="dxa"/>
            </w:tcMar>
            <w:vAlign w:val="center"/>
          </w:tcPr>
          <w:p w:rsidR="00BC07F0" w:rsidRDefault="00073EFB">
            <w:pPr>
              <w:pStyle w:val="a7"/>
              <w:rPr>
                <w:rFonts w:hint="default"/>
                <w:b/>
                <w:bCs/>
                <w:sz w:val="24"/>
                <w:szCs w:val="24"/>
              </w:rPr>
            </w:pPr>
            <w:r>
              <w:rPr>
                <w:b/>
                <w:bCs/>
                <w:sz w:val="24"/>
                <w:szCs w:val="24"/>
              </w:rPr>
              <w:t>项目代码</w:t>
            </w:r>
          </w:p>
        </w:tc>
        <w:tc>
          <w:tcPr>
            <w:tcW w:w="7602" w:type="dxa"/>
            <w:gridSpan w:val="3"/>
            <w:vAlign w:val="center"/>
          </w:tcPr>
          <w:p w:rsidR="00BC07F0" w:rsidRDefault="00073EFB">
            <w:pPr>
              <w:pStyle w:val="a7"/>
              <w:rPr>
                <w:rFonts w:hint="default"/>
                <w:sz w:val="24"/>
                <w:szCs w:val="24"/>
              </w:rPr>
            </w:pPr>
            <w:r>
              <w:rPr>
                <w:sz w:val="24"/>
                <w:szCs w:val="24"/>
              </w:rPr>
              <w:t>2111-430400-04-01-775101</w:t>
            </w:r>
          </w:p>
        </w:tc>
      </w:tr>
      <w:tr w:rsidR="00BC07F0">
        <w:trPr>
          <w:trHeight w:val="454"/>
        </w:trPr>
        <w:tc>
          <w:tcPr>
            <w:tcW w:w="1800" w:type="dxa"/>
            <w:tcMar>
              <w:top w:w="16" w:type="dxa"/>
              <w:left w:w="16" w:type="dxa"/>
              <w:right w:w="16" w:type="dxa"/>
            </w:tcMar>
            <w:vAlign w:val="center"/>
          </w:tcPr>
          <w:p w:rsidR="00BC07F0" w:rsidRDefault="00073EFB">
            <w:pPr>
              <w:pStyle w:val="a7"/>
              <w:rPr>
                <w:rFonts w:hint="default"/>
                <w:b/>
                <w:bCs/>
                <w:sz w:val="24"/>
                <w:szCs w:val="24"/>
              </w:rPr>
            </w:pPr>
            <w:r>
              <w:rPr>
                <w:b/>
                <w:bCs/>
                <w:sz w:val="24"/>
                <w:szCs w:val="24"/>
              </w:rPr>
              <w:t>建设单位联系人</w:t>
            </w:r>
          </w:p>
        </w:tc>
        <w:tc>
          <w:tcPr>
            <w:tcW w:w="3337" w:type="dxa"/>
            <w:vAlign w:val="center"/>
          </w:tcPr>
          <w:p w:rsidR="00BC07F0" w:rsidRDefault="00073EFB">
            <w:pPr>
              <w:pStyle w:val="a7"/>
              <w:rPr>
                <w:rFonts w:hint="default"/>
                <w:sz w:val="24"/>
                <w:szCs w:val="24"/>
              </w:rPr>
            </w:pPr>
            <w:r>
              <w:rPr>
                <w:sz w:val="24"/>
                <w:szCs w:val="24"/>
              </w:rPr>
              <w:t>戴志勇</w:t>
            </w:r>
          </w:p>
        </w:tc>
        <w:tc>
          <w:tcPr>
            <w:tcW w:w="1305" w:type="dxa"/>
            <w:vAlign w:val="center"/>
          </w:tcPr>
          <w:p w:rsidR="00BC07F0" w:rsidRDefault="00073EFB">
            <w:pPr>
              <w:pStyle w:val="a7"/>
              <w:rPr>
                <w:rFonts w:hint="default"/>
                <w:sz w:val="24"/>
                <w:szCs w:val="24"/>
              </w:rPr>
            </w:pPr>
            <w:r>
              <w:rPr>
                <w:sz w:val="24"/>
                <w:szCs w:val="24"/>
              </w:rPr>
              <w:t>联系方式</w:t>
            </w:r>
          </w:p>
        </w:tc>
        <w:tc>
          <w:tcPr>
            <w:tcW w:w="2960" w:type="dxa"/>
            <w:vAlign w:val="center"/>
          </w:tcPr>
          <w:p w:rsidR="00BC07F0" w:rsidRDefault="00073EFB">
            <w:pPr>
              <w:pStyle w:val="a7"/>
              <w:rPr>
                <w:rFonts w:hint="default"/>
                <w:sz w:val="24"/>
                <w:szCs w:val="24"/>
              </w:rPr>
            </w:pPr>
            <w:r>
              <w:rPr>
                <w:sz w:val="24"/>
                <w:szCs w:val="24"/>
              </w:rPr>
              <w:t>13574088655</w:t>
            </w:r>
          </w:p>
        </w:tc>
      </w:tr>
      <w:tr w:rsidR="00BC07F0">
        <w:trPr>
          <w:trHeight w:val="454"/>
        </w:trPr>
        <w:tc>
          <w:tcPr>
            <w:tcW w:w="1800" w:type="dxa"/>
            <w:tcMar>
              <w:top w:w="16" w:type="dxa"/>
              <w:left w:w="16" w:type="dxa"/>
              <w:right w:w="16" w:type="dxa"/>
            </w:tcMar>
            <w:vAlign w:val="center"/>
          </w:tcPr>
          <w:p w:rsidR="00BC07F0" w:rsidRDefault="00073EFB">
            <w:pPr>
              <w:pStyle w:val="a7"/>
              <w:rPr>
                <w:rFonts w:hint="default"/>
                <w:b/>
                <w:bCs/>
                <w:sz w:val="24"/>
                <w:szCs w:val="24"/>
              </w:rPr>
            </w:pPr>
            <w:r>
              <w:rPr>
                <w:b/>
                <w:bCs/>
                <w:sz w:val="24"/>
                <w:szCs w:val="24"/>
              </w:rPr>
              <w:t>建设地点</w:t>
            </w:r>
          </w:p>
        </w:tc>
        <w:tc>
          <w:tcPr>
            <w:tcW w:w="7602" w:type="dxa"/>
            <w:gridSpan w:val="3"/>
            <w:vAlign w:val="center"/>
          </w:tcPr>
          <w:p w:rsidR="00BC07F0" w:rsidRDefault="00073EFB">
            <w:pPr>
              <w:pStyle w:val="a7"/>
              <w:ind w:firstLineChars="200" w:firstLine="480"/>
              <w:jc w:val="both"/>
              <w:rPr>
                <w:rFonts w:hint="default"/>
                <w:sz w:val="24"/>
                <w:szCs w:val="24"/>
              </w:rPr>
            </w:pPr>
            <w:r>
              <w:rPr>
                <w:sz w:val="24"/>
                <w:szCs w:val="24"/>
              </w:rPr>
              <w:t>湘江南岸（衡阳港</w:t>
            </w:r>
            <w:r>
              <w:rPr>
                <w:sz w:val="24"/>
                <w:szCs w:val="24"/>
              </w:rPr>
              <w:t>-</w:t>
            </w:r>
            <w:r>
              <w:rPr>
                <w:sz w:val="24"/>
                <w:szCs w:val="24"/>
              </w:rPr>
              <w:t>铜桥港）水环境水安全综合治理工程位于衡阳市雁峰区湘江西岸；</w:t>
            </w:r>
          </w:p>
          <w:p w:rsidR="00BC07F0" w:rsidRDefault="00073EFB">
            <w:pPr>
              <w:pStyle w:val="a7"/>
              <w:ind w:firstLineChars="200" w:firstLine="480"/>
              <w:jc w:val="both"/>
              <w:rPr>
                <w:rFonts w:hint="default"/>
                <w:sz w:val="24"/>
                <w:szCs w:val="24"/>
              </w:rPr>
            </w:pPr>
            <w:r>
              <w:rPr>
                <w:sz w:val="24"/>
                <w:szCs w:val="24"/>
              </w:rPr>
              <w:t>幸福河支流水生态环境综合治理工程位于蒸阳南路西侧河段；</w:t>
            </w:r>
          </w:p>
          <w:p w:rsidR="00BC07F0" w:rsidRDefault="00073EFB">
            <w:pPr>
              <w:pStyle w:val="a7"/>
              <w:ind w:firstLineChars="200" w:firstLine="480"/>
              <w:jc w:val="both"/>
              <w:rPr>
                <w:rFonts w:hint="default"/>
                <w:sz w:val="24"/>
                <w:szCs w:val="24"/>
              </w:rPr>
            </w:pPr>
            <w:r>
              <w:rPr>
                <w:sz w:val="24"/>
                <w:szCs w:val="24"/>
              </w:rPr>
              <w:t>铜桥港湿地公园工程位于衡阳市铜桥港污水处理厂西南侧；</w:t>
            </w:r>
          </w:p>
          <w:p w:rsidR="00BC07F0" w:rsidRDefault="00073EFB">
            <w:pPr>
              <w:pStyle w:val="a7"/>
              <w:ind w:firstLineChars="200" w:firstLine="480"/>
              <w:jc w:val="both"/>
              <w:rPr>
                <w:rFonts w:hint="default"/>
                <w:sz w:val="24"/>
                <w:szCs w:val="24"/>
              </w:rPr>
            </w:pPr>
            <w:r>
              <w:rPr>
                <w:sz w:val="24"/>
                <w:szCs w:val="24"/>
              </w:rPr>
              <w:t>配套城市道路前进路、酃白路工程位于湘江南路南侧。</w:t>
            </w:r>
          </w:p>
        </w:tc>
      </w:tr>
      <w:tr w:rsidR="00BC07F0">
        <w:trPr>
          <w:trHeight w:val="454"/>
        </w:trPr>
        <w:tc>
          <w:tcPr>
            <w:tcW w:w="1800" w:type="dxa"/>
            <w:tcMar>
              <w:top w:w="16" w:type="dxa"/>
              <w:left w:w="16" w:type="dxa"/>
              <w:right w:w="16" w:type="dxa"/>
            </w:tcMar>
            <w:vAlign w:val="center"/>
          </w:tcPr>
          <w:p w:rsidR="00BC07F0" w:rsidRDefault="00073EFB">
            <w:pPr>
              <w:pStyle w:val="a7"/>
              <w:rPr>
                <w:rFonts w:hint="default"/>
                <w:b/>
                <w:bCs/>
                <w:sz w:val="24"/>
                <w:szCs w:val="24"/>
              </w:rPr>
            </w:pPr>
            <w:r>
              <w:rPr>
                <w:b/>
                <w:bCs/>
                <w:sz w:val="24"/>
                <w:szCs w:val="24"/>
              </w:rPr>
              <w:t>地理坐标</w:t>
            </w:r>
          </w:p>
        </w:tc>
        <w:tc>
          <w:tcPr>
            <w:tcW w:w="7602" w:type="dxa"/>
            <w:gridSpan w:val="3"/>
            <w:vAlign w:val="center"/>
          </w:tcPr>
          <w:p w:rsidR="00BC07F0" w:rsidRDefault="00073EFB">
            <w:pPr>
              <w:pStyle w:val="a7"/>
              <w:rPr>
                <w:rFonts w:cs="Times New Roman" w:hint="default"/>
                <w:sz w:val="24"/>
                <w:szCs w:val="24"/>
              </w:rPr>
            </w:pPr>
            <w:r>
              <w:rPr>
                <w:rFonts w:cs="Times New Roman"/>
                <w:sz w:val="24"/>
                <w:szCs w:val="24"/>
              </w:rPr>
              <w:t>湘江南岸（衡阳港</w:t>
            </w:r>
            <w:r>
              <w:rPr>
                <w:rFonts w:cs="Times New Roman"/>
                <w:sz w:val="24"/>
                <w:szCs w:val="24"/>
              </w:rPr>
              <w:t>-</w:t>
            </w:r>
            <w:r>
              <w:rPr>
                <w:rFonts w:cs="Times New Roman"/>
                <w:sz w:val="24"/>
                <w:szCs w:val="24"/>
              </w:rPr>
              <w:t>铜桥港）水环境水安全综合治理工程</w:t>
            </w:r>
            <w:r>
              <w:rPr>
                <w:rFonts w:cs="Times New Roman" w:hint="default"/>
                <w:sz w:val="24"/>
                <w:szCs w:val="24"/>
              </w:rPr>
              <w:t>（中心地理坐标</w:t>
            </w:r>
            <w:r>
              <w:rPr>
                <w:rFonts w:cs="Times New Roman"/>
                <w:sz w:val="24"/>
                <w:szCs w:val="24"/>
              </w:rPr>
              <w:t>E</w:t>
            </w:r>
            <w:r>
              <w:rPr>
                <w:rFonts w:cs="Times New Roman" w:hint="default"/>
                <w:sz w:val="24"/>
                <w:szCs w:val="24"/>
              </w:rPr>
              <w:t>112°39′20.83579″</w:t>
            </w:r>
            <w:r>
              <w:rPr>
                <w:rFonts w:cs="Times New Roman"/>
                <w:sz w:val="24"/>
                <w:szCs w:val="24"/>
              </w:rPr>
              <w:t>，</w:t>
            </w:r>
            <w:r>
              <w:rPr>
                <w:rFonts w:cs="Times New Roman"/>
                <w:sz w:val="24"/>
                <w:szCs w:val="24"/>
              </w:rPr>
              <w:t>N</w:t>
            </w:r>
            <w:r>
              <w:rPr>
                <w:rFonts w:cs="Times New Roman" w:hint="default"/>
                <w:sz w:val="24"/>
                <w:szCs w:val="24"/>
              </w:rPr>
              <w:t>26°51′43.05046″</w:t>
            </w:r>
            <w:r>
              <w:rPr>
                <w:rFonts w:cs="Times New Roman" w:hint="default"/>
                <w:sz w:val="24"/>
                <w:szCs w:val="24"/>
              </w:rPr>
              <w:t>）；</w:t>
            </w:r>
          </w:p>
          <w:p w:rsidR="00BC07F0" w:rsidRDefault="00073EFB">
            <w:pPr>
              <w:pStyle w:val="a7"/>
              <w:rPr>
                <w:rFonts w:cs="Times New Roman" w:hint="default"/>
                <w:sz w:val="24"/>
                <w:szCs w:val="24"/>
              </w:rPr>
            </w:pPr>
            <w:r>
              <w:rPr>
                <w:rFonts w:cs="Times New Roman" w:hint="default"/>
                <w:sz w:val="24"/>
                <w:szCs w:val="24"/>
              </w:rPr>
              <w:t>幸福河支流水生态环境综合治理工程（起点坐标</w:t>
            </w:r>
            <w:r>
              <w:rPr>
                <w:rFonts w:cs="Times New Roman" w:hint="default"/>
                <w:sz w:val="24"/>
                <w:szCs w:val="24"/>
              </w:rPr>
              <w:t>E112°37′38.463″</w:t>
            </w:r>
            <w:r>
              <w:rPr>
                <w:rFonts w:cs="Times New Roman"/>
                <w:sz w:val="24"/>
                <w:szCs w:val="24"/>
              </w:rPr>
              <w:t>，</w:t>
            </w:r>
            <w:r>
              <w:rPr>
                <w:rFonts w:cs="Times New Roman" w:hint="default"/>
                <w:sz w:val="24"/>
                <w:szCs w:val="24"/>
              </w:rPr>
              <w:t>N26°49′54.112″</w:t>
            </w:r>
            <w:r>
              <w:rPr>
                <w:rFonts w:cs="Times New Roman" w:hint="default"/>
                <w:sz w:val="24"/>
                <w:szCs w:val="24"/>
              </w:rPr>
              <w:t>，终点坐标</w:t>
            </w:r>
            <w:r>
              <w:rPr>
                <w:rFonts w:cs="Times New Roman" w:hint="default"/>
                <w:sz w:val="24"/>
                <w:szCs w:val="24"/>
              </w:rPr>
              <w:t>E112°36′40.083″</w:t>
            </w:r>
            <w:r>
              <w:rPr>
                <w:rFonts w:cs="Times New Roman"/>
                <w:sz w:val="24"/>
                <w:szCs w:val="24"/>
              </w:rPr>
              <w:t>，</w:t>
            </w:r>
            <w:r>
              <w:rPr>
                <w:rFonts w:cs="Times New Roman" w:hint="default"/>
                <w:sz w:val="24"/>
                <w:szCs w:val="24"/>
              </w:rPr>
              <w:t>N26°49′54.034″</w:t>
            </w:r>
            <w:r>
              <w:rPr>
                <w:rFonts w:cs="Times New Roman" w:hint="default"/>
                <w:sz w:val="24"/>
                <w:szCs w:val="24"/>
              </w:rPr>
              <w:t>）；</w:t>
            </w:r>
          </w:p>
          <w:p w:rsidR="00BC07F0" w:rsidRDefault="00073EFB">
            <w:pPr>
              <w:pStyle w:val="a7"/>
              <w:rPr>
                <w:rFonts w:cs="Times New Roman" w:hint="default"/>
                <w:sz w:val="24"/>
                <w:szCs w:val="24"/>
              </w:rPr>
            </w:pPr>
            <w:r>
              <w:rPr>
                <w:rFonts w:cs="Times New Roman" w:hint="default"/>
                <w:sz w:val="24"/>
                <w:szCs w:val="24"/>
              </w:rPr>
              <w:t>铜桥港湿地公园工程（中心地理坐标</w:t>
            </w:r>
            <w:r>
              <w:rPr>
                <w:rFonts w:cs="Times New Roman" w:hint="default"/>
                <w:sz w:val="24"/>
                <w:szCs w:val="24"/>
              </w:rPr>
              <w:t>E112°39′3.126″</w:t>
            </w:r>
            <w:r>
              <w:rPr>
                <w:rFonts w:cs="Times New Roman"/>
                <w:sz w:val="24"/>
                <w:szCs w:val="24"/>
              </w:rPr>
              <w:t>，</w:t>
            </w:r>
            <w:r>
              <w:rPr>
                <w:rFonts w:cs="Times New Roman" w:hint="default"/>
                <w:sz w:val="24"/>
                <w:szCs w:val="24"/>
              </w:rPr>
              <w:t>N26°50′12.690″</w:t>
            </w:r>
            <w:r>
              <w:rPr>
                <w:rFonts w:cs="Times New Roman" w:hint="default"/>
                <w:sz w:val="24"/>
                <w:szCs w:val="24"/>
              </w:rPr>
              <w:t>）；</w:t>
            </w:r>
          </w:p>
          <w:p w:rsidR="00BC07F0" w:rsidRDefault="00073EFB">
            <w:pPr>
              <w:pStyle w:val="a7"/>
              <w:rPr>
                <w:rFonts w:hint="default"/>
                <w:sz w:val="24"/>
                <w:szCs w:val="24"/>
              </w:rPr>
            </w:pPr>
            <w:r>
              <w:rPr>
                <w:rFonts w:cs="Times New Roman"/>
                <w:sz w:val="24"/>
                <w:szCs w:val="24"/>
              </w:rPr>
              <w:t>配套城市道路前进路、酃白路工程</w:t>
            </w:r>
            <w:r>
              <w:rPr>
                <w:rFonts w:cs="Times New Roman" w:hint="default"/>
                <w:sz w:val="24"/>
                <w:szCs w:val="24"/>
              </w:rPr>
              <w:t>（</w:t>
            </w:r>
            <w:r>
              <w:rPr>
                <w:rFonts w:cs="Times New Roman"/>
                <w:sz w:val="24"/>
                <w:szCs w:val="24"/>
              </w:rPr>
              <w:t>酃白路</w:t>
            </w:r>
            <w:r>
              <w:rPr>
                <w:rFonts w:cs="Times New Roman" w:hint="default"/>
                <w:sz w:val="24"/>
                <w:szCs w:val="24"/>
              </w:rPr>
              <w:t>起点坐标</w:t>
            </w:r>
            <w:r>
              <w:rPr>
                <w:rFonts w:cs="Times New Roman" w:hint="default"/>
                <w:sz w:val="24"/>
                <w:szCs w:val="24"/>
              </w:rPr>
              <w:t>E112°39′9.576″</w:t>
            </w:r>
            <w:r>
              <w:rPr>
                <w:rFonts w:cs="Times New Roman"/>
                <w:sz w:val="24"/>
                <w:szCs w:val="24"/>
              </w:rPr>
              <w:t>，</w:t>
            </w:r>
            <w:r>
              <w:rPr>
                <w:rFonts w:cs="Times New Roman" w:hint="default"/>
                <w:sz w:val="24"/>
                <w:szCs w:val="24"/>
              </w:rPr>
              <w:t>N26°50′56.180″</w:t>
            </w:r>
            <w:r>
              <w:rPr>
                <w:rFonts w:cs="Times New Roman" w:hint="default"/>
                <w:sz w:val="24"/>
                <w:szCs w:val="24"/>
              </w:rPr>
              <w:t>，终点坐标</w:t>
            </w:r>
            <w:r>
              <w:rPr>
                <w:rFonts w:cs="Times New Roman" w:hint="default"/>
                <w:sz w:val="24"/>
                <w:szCs w:val="24"/>
              </w:rPr>
              <w:t>E112°39′13.90281″</w:t>
            </w:r>
            <w:r>
              <w:rPr>
                <w:rFonts w:cs="Times New Roman"/>
                <w:sz w:val="24"/>
                <w:szCs w:val="24"/>
              </w:rPr>
              <w:t>，</w:t>
            </w:r>
            <w:r>
              <w:rPr>
                <w:rFonts w:cs="Times New Roman" w:hint="default"/>
                <w:sz w:val="24"/>
                <w:szCs w:val="24"/>
              </w:rPr>
              <w:t>N26°51′43.37876″</w:t>
            </w:r>
            <w:r>
              <w:rPr>
                <w:rFonts w:cs="Times New Roman" w:hint="default"/>
                <w:sz w:val="24"/>
                <w:szCs w:val="24"/>
              </w:rPr>
              <w:t>；前进路起点坐标</w:t>
            </w:r>
            <w:r>
              <w:rPr>
                <w:rFonts w:cs="Times New Roman" w:hint="default"/>
                <w:sz w:val="24"/>
                <w:szCs w:val="24"/>
              </w:rPr>
              <w:t>E112°38′37.364″</w:t>
            </w:r>
            <w:r>
              <w:rPr>
                <w:rFonts w:cs="Times New Roman"/>
                <w:sz w:val="24"/>
                <w:szCs w:val="24"/>
              </w:rPr>
              <w:t>，</w:t>
            </w:r>
            <w:r>
              <w:rPr>
                <w:rFonts w:cs="Times New Roman" w:hint="default"/>
                <w:sz w:val="24"/>
                <w:szCs w:val="24"/>
              </w:rPr>
              <w:t>N26°50′54.558″</w:t>
            </w:r>
            <w:r>
              <w:rPr>
                <w:rFonts w:cs="Times New Roman" w:hint="default"/>
                <w:sz w:val="24"/>
                <w:szCs w:val="24"/>
              </w:rPr>
              <w:t>，终点坐标</w:t>
            </w:r>
            <w:r>
              <w:rPr>
                <w:rFonts w:cs="Times New Roman" w:hint="default"/>
                <w:sz w:val="24"/>
                <w:szCs w:val="24"/>
              </w:rPr>
              <w:t>E112°39′30.124″</w:t>
            </w:r>
            <w:r>
              <w:rPr>
                <w:rFonts w:cs="Times New Roman"/>
                <w:sz w:val="24"/>
                <w:szCs w:val="24"/>
              </w:rPr>
              <w:t>，</w:t>
            </w:r>
            <w:r>
              <w:rPr>
                <w:rFonts w:cs="Times New Roman" w:hint="default"/>
                <w:sz w:val="24"/>
                <w:szCs w:val="24"/>
              </w:rPr>
              <w:t>N26°50′55.25350″</w:t>
            </w:r>
            <w:r>
              <w:rPr>
                <w:rFonts w:cs="Times New Roman" w:hint="default"/>
                <w:sz w:val="24"/>
                <w:szCs w:val="24"/>
              </w:rPr>
              <w:t>）</w:t>
            </w:r>
          </w:p>
        </w:tc>
      </w:tr>
      <w:tr w:rsidR="00BC07F0">
        <w:trPr>
          <w:trHeight w:val="454"/>
        </w:trPr>
        <w:tc>
          <w:tcPr>
            <w:tcW w:w="1800" w:type="dxa"/>
            <w:vMerge w:val="restart"/>
            <w:tcMar>
              <w:top w:w="16" w:type="dxa"/>
              <w:left w:w="16" w:type="dxa"/>
              <w:right w:w="16" w:type="dxa"/>
            </w:tcMar>
            <w:vAlign w:val="center"/>
          </w:tcPr>
          <w:p w:rsidR="00BC07F0" w:rsidRDefault="00073EFB">
            <w:pPr>
              <w:pStyle w:val="a7"/>
              <w:rPr>
                <w:rFonts w:hint="default"/>
                <w:b/>
                <w:bCs/>
                <w:sz w:val="24"/>
                <w:szCs w:val="24"/>
              </w:rPr>
            </w:pPr>
            <w:r>
              <w:rPr>
                <w:b/>
                <w:bCs/>
                <w:sz w:val="24"/>
                <w:szCs w:val="24"/>
              </w:rPr>
              <w:t>建设项目</w:t>
            </w:r>
          </w:p>
          <w:p w:rsidR="00BC07F0" w:rsidRDefault="00073EFB">
            <w:pPr>
              <w:pStyle w:val="a7"/>
              <w:rPr>
                <w:rFonts w:hint="default"/>
                <w:b/>
                <w:bCs/>
                <w:sz w:val="24"/>
                <w:szCs w:val="24"/>
              </w:rPr>
            </w:pPr>
            <w:r>
              <w:rPr>
                <w:b/>
                <w:bCs/>
                <w:sz w:val="24"/>
                <w:szCs w:val="24"/>
              </w:rPr>
              <w:t>行业类别</w:t>
            </w:r>
          </w:p>
        </w:tc>
        <w:tc>
          <w:tcPr>
            <w:tcW w:w="3337" w:type="dxa"/>
            <w:vAlign w:val="center"/>
          </w:tcPr>
          <w:p w:rsidR="00BC07F0" w:rsidRDefault="00073EFB">
            <w:pPr>
              <w:pStyle w:val="a7"/>
              <w:rPr>
                <w:rFonts w:hint="default"/>
                <w:sz w:val="24"/>
                <w:szCs w:val="24"/>
              </w:rPr>
            </w:pPr>
            <w:r>
              <w:rPr>
                <w:sz w:val="24"/>
              </w:rPr>
              <w:t>五十一、水利</w:t>
            </w:r>
            <w:r>
              <w:rPr>
                <w:sz w:val="24"/>
              </w:rPr>
              <w:t>-</w:t>
            </w:r>
            <w:r>
              <w:rPr>
                <w:sz w:val="24"/>
              </w:rPr>
              <w:t>127</w:t>
            </w:r>
            <w:r>
              <w:rPr>
                <w:sz w:val="24"/>
              </w:rPr>
              <w:t>防洪除涝工程</w:t>
            </w:r>
            <w:r>
              <w:rPr>
                <w:sz w:val="24"/>
              </w:rPr>
              <w:t>-</w:t>
            </w:r>
            <w:r>
              <w:rPr>
                <w:sz w:val="24"/>
              </w:rPr>
              <w:t>其他（小型沟渠的护坡除外；城镇排涝河流水闸、排涝泵站除外）</w:t>
            </w:r>
          </w:p>
        </w:tc>
        <w:tc>
          <w:tcPr>
            <w:tcW w:w="1305" w:type="dxa"/>
            <w:vMerge w:val="restart"/>
            <w:vAlign w:val="center"/>
          </w:tcPr>
          <w:p w:rsidR="00BC07F0" w:rsidRDefault="00073EFB">
            <w:pPr>
              <w:pStyle w:val="a7"/>
              <w:rPr>
                <w:rFonts w:hint="default"/>
                <w:b/>
                <w:bCs/>
                <w:sz w:val="24"/>
                <w:szCs w:val="24"/>
              </w:rPr>
            </w:pPr>
            <w:r>
              <w:rPr>
                <w:b/>
                <w:bCs/>
                <w:sz w:val="24"/>
                <w:szCs w:val="24"/>
              </w:rPr>
              <w:t>用地（用海）面积（</w:t>
            </w:r>
            <w:r>
              <w:rPr>
                <w:b/>
                <w:bCs/>
                <w:sz w:val="24"/>
                <w:szCs w:val="24"/>
              </w:rPr>
              <w:t>m</w:t>
            </w:r>
            <w:r>
              <w:rPr>
                <w:b/>
                <w:bCs/>
                <w:sz w:val="24"/>
                <w:szCs w:val="24"/>
                <w:vertAlign w:val="superscript"/>
              </w:rPr>
              <w:t>2</w:t>
            </w:r>
            <w:r>
              <w:rPr>
                <w:b/>
                <w:bCs/>
                <w:sz w:val="24"/>
                <w:szCs w:val="24"/>
              </w:rPr>
              <w:t>）</w:t>
            </w:r>
            <w:r>
              <w:rPr>
                <w:b/>
                <w:bCs/>
                <w:sz w:val="24"/>
                <w:szCs w:val="24"/>
              </w:rPr>
              <w:t>/</w:t>
            </w:r>
            <w:r>
              <w:rPr>
                <w:b/>
                <w:bCs/>
                <w:sz w:val="24"/>
                <w:szCs w:val="24"/>
              </w:rPr>
              <w:t>长度（</w:t>
            </w:r>
            <w:r>
              <w:rPr>
                <w:b/>
                <w:bCs/>
                <w:sz w:val="24"/>
                <w:szCs w:val="24"/>
              </w:rPr>
              <w:t>km</w:t>
            </w:r>
            <w:r>
              <w:rPr>
                <w:b/>
                <w:bCs/>
                <w:sz w:val="24"/>
                <w:szCs w:val="24"/>
              </w:rPr>
              <w:t>）</w:t>
            </w:r>
          </w:p>
        </w:tc>
        <w:tc>
          <w:tcPr>
            <w:tcW w:w="2960" w:type="dxa"/>
            <w:vAlign w:val="center"/>
          </w:tcPr>
          <w:p w:rsidR="00BC07F0" w:rsidRDefault="00073EFB">
            <w:pPr>
              <w:pStyle w:val="a7"/>
              <w:rPr>
                <w:rFonts w:hint="default"/>
                <w:sz w:val="24"/>
                <w:szCs w:val="24"/>
              </w:rPr>
            </w:pPr>
            <w:r>
              <w:rPr>
                <w:sz w:val="24"/>
                <w:szCs w:val="24"/>
              </w:rPr>
              <w:t>湘江南岸（衡阳港</w:t>
            </w:r>
            <w:r>
              <w:rPr>
                <w:sz w:val="24"/>
                <w:szCs w:val="24"/>
              </w:rPr>
              <w:t>-</w:t>
            </w:r>
            <w:r>
              <w:rPr>
                <w:sz w:val="24"/>
                <w:szCs w:val="24"/>
              </w:rPr>
              <w:t>铜桥港）水环境水安全综合治理工程</w:t>
            </w:r>
            <w:r>
              <w:rPr>
                <w:sz w:val="24"/>
                <w:szCs w:val="24"/>
              </w:rPr>
              <w:t>：湘江南风光带长</w:t>
            </w:r>
            <w:r>
              <w:rPr>
                <w:sz w:val="24"/>
                <w:szCs w:val="24"/>
              </w:rPr>
              <w:t>3.8km</w:t>
            </w:r>
            <w:r>
              <w:rPr>
                <w:sz w:val="24"/>
                <w:szCs w:val="24"/>
              </w:rPr>
              <w:t>，规划用地面积</w:t>
            </w:r>
            <w:r>
              <w:rPr>
                <w:sz w:val="24"/>
                <w:szCs w:val="24"/>
              </w:rPr>
              <w:t>363100m</w:t>
            </w:r>
            <w:r>
              <w:rPr>
                <w:sz w:val="24"/>
                <w:szCs w:val="24"/>
                <w:vertAlign w:val="superscript"/>
              </w:rPr>
              <w:t>2</w:t>
            </w:r>
            <w:r>
              <w:rPr>
                <w:sz w:val="24"/>
                <w:szCs w:val="24"/>
              </w:rPr>
              <w:t>，用地面积</w:t>
            </w:r>
            <w:r>
              <w:rPr>
                <w:sz w:val="24"/>
                <w:szCs w:val="24"/>
              </w:rPr>
              <w:t>363100m</w:t>
            </w:r>
            <w:r>
              <w:rPr>
                <w:sz w:val="24"/>
                <w:szCs w:val="24"/>
                <w:vertAlign w:val="superscript"/>
              </w:rPr>
              <w:t>2</w:t>
            </w:r>
            <w:r>
              <w:rPr>
                <w:sz w:val="24"/>
                <w:szCs w:val="24"/>
              </w:rPr>
              <w:t>；湘江南路长</w:t>
            </w:r>
            <w:r>
              <w:rPr>
                <w:sz w:val="24"/>
                <w:szCs w:val="24"/>
              </w:rPr>
              <w:t>2.887km</w:t>
            </w:r>
            <w:r>
              <w:rPr>
                <w:sz w:val="24"/>
                <w:szCs w:val="24"/>
              </w:rPr>
              <w:t>。</w:t>
            </w:r>
          </w:p>
        </w:tc>
      </w:tr>
      <w:tr w:rsidR="00BC07F0">
        <w:trPr>
          <w:trHeight w:val="454"/>
        </w:trPr>
        <w:tc>
          <w:tcPr>
            <w:tcW w:w="1800" w:type="dxa"/>
            <w:vMerge/>
            <w:tcMar>
              <w:top w:w="16" w:type="dxa"/>
              <w:left w:w="16" w:type="dxa"/>
              <w:right w:w="16" w:type="dxa"/>
            </w:tcMar>
            <w:vAlign w:val="center"/>
          </w:tcPr>
          <w:p w:rsidR="00BC07F0" w:rsidRDefault="00BC07F0">
            <w:pPr>
              <w:pStyle w:val="a7"/>
              <w:rPr>
                <w:rFonts w:hint="default"/>
                <w:b/>
                <w:bCs/>
                <w:sz w:val="24"/>
                <w:szCs w:val="24"/>
              </w:rPr>
            </w:pPr>
          </w:p>
        </w:tc>
        <w:tc>
          <w:tcPr>
            <w:tcW w:w="3337" w:type="dxa"/>
            <w:vAlign w:val="center"/>
          </w:tcPr>
          <w:p w:rsidR="00BC07F0" w:rsidRDefault="00073EFB">
            <w:pPr>
              <w:pStyle w:val="a7"/>
              <w:rPr>
                <w:rFonts w:hint="default"/>
                <w:sz w:val="24"/>
              </w:rPr>
            </w:pPr>
            <w:r>
              <w:rPr>
                <w:sz w:val="24"/>
                <w:szCs w:val="24"/>
              </w:rPr>
              <w:t>五十一、水利</w:t>
            </w:r>
            <w:r>
              <w:rPr>
                <w:sz w:val="24"/>
                <w:szCs w:val="24"/>
              </w:rPr>
              <w:t>-128</w:t>
            </w:r>
            <w:r>
              <w:rPr>
                <w:sz w:val="24"/>
                <w:szCs w:val="24"/>
              </w:rPr>
              <w:t>河湖整治（不含农村塘堰、水渠）</w:t>
            </w:r>
            <w:r>
              <w:rPr>
                <w:sz w:val="24"/>
                <w:szCs w:val="24"/>
              </w:rPr>
              <w:t>-</w:t>
            </w:r>
            <w:r>
              <w:rPr>
                <w:sz w:val="24"/>
                <w:szCs w:val="24"/>
              </w:rPr>
              <w:t>其他</w:t>
            </w:r>
          </w:p>
        </w:tc>
        <w:tc>
          <w:tcPr>
            <w:tcW w:w="1305" w:type="dxa"/>
            <w:vMerge/>
            <w:vAlign w:val="center"/>
          </w:tcPr>
          <w:p w:rsidR="00BC07F0" w:rsidRDefault="00BC07F0">
            <w:pPr>
              <w:pStyle w:val="a7"/>
              <w:rPr>
                <w:rFonts w:hint="default"/>
                <w:b/>
                <w:bCs/>
                <w:sz w:val="24"/>
                <w:szCs w:val="24"/>
              </w:rPr>
            </w:pPr>
          </w:p>
        </w:tc>
        <w:tc>
          <w:tcPr>
            <w:tcW w:w="2960" w:type="dxa"/>
            <w:vAlign w:val="center"/>
          </w:tcPr>
          <w:p w:rsidR="00BC07F0" w:rsidRDefault="00073EFB">
            <w:pPr>
              <w:pStyle w:val="a7"/>
              <w:rPr>
                <w:rFonts w:hint="default"/>
                <w:sz w:val="24"/>
                <w:szCs w:val="24"/>
              </w:rPr>
            </w:pPr>
            <w:r>
              <w:rPr>
                <w:sz w:val="24"/>
                <w:szCs w:val="24"/>
              </w:rPr>
              <w:t>幸福河支流水生态环境综合治理工程：幸福河施工长度</w:t>
            </w:r>
            <w:r>
              <w:rPr>
                <w:sz w:val="24"/>
                <w:szCs w:val="24"/>
              </w:rPr>
              <w:t>1.9km</w:t>
            </w:r>
            <w:r>
              <w:rPr>
                <w:sz w:val="24"/>
                <w:szCs w:val="24"/>
              </w:rPr>
              <w:t>。</w:t>
            </w:r>
          </w:p>
        </w:tc>
      </w:tr>
      <w:tr w:rsidR="00BC07F0">
        <w:trPr>
          <w:trHeight w:val="454"/>
        </w:trPr>
        <w:tc>
          <w:tcPr>
            <w:tcW w:w="1800" w:type="dxa"/>
            <w:vMerge/>
            <w:tcMar>
              <w:top w:w="16" w:type="dxa"/>
              <w:left w:w="16" w:type="dxa"/>
              <w:right w:w="16" w:type="dxa"/>
            </w:tcMar>
            <w:vAlign w:val="center"/>
          </w:tcPr>
          <w:p w:rsidR="00BC07F0" w:rsidRDefault="00BC07F0">
            <w:pPr>
              <w:pStyle w:val="a7"/>
              <w:rPr>
                <w:rFonts w:hint="default"/>
                <w:b/>
                <w:bCs/>
                <w:sz w:val="24"/>
                <w:szCs w:val="24"/>
              </w:rPr>
            </w:pPr>
          </w:p>
        </w:tc>
        <w:tc>
          <w:tcPr>
            <w:tcW w:w="3337" w:type="dxa"/>
            <w:vAlign w:val="center"/>
          </w:tcPr>
          <w:p w:rsidR="00BC07F0" w:rsidRDefault="00073EFB">
            <w:pPr>
              <w:pStyle w:val="a7"/>
              <w:rPr>
                <w:rFonts w:hint="default"/>
                <w:sz w:val="24"/>
                <w:szCs w:val="24"/>
              </w:rPr>
            </w:pPr>
            <w:r>
              <w:rPr>
                <w:sz w:val="24"/>
                <w:szCs w:val="24"/>
              </w:rPr>
              <w:t>五十二、交通运输业、管道运输业</w:t>
            </w:r>
            <w:r>
              <w:rPr>
                <w:sz w:val="24"/>
                <w:szCs w:val="24"/>
              </w:rPr>
              <w:t>-131</w:t>
            </w:r>
            <w:r>
              <w:rPr>
                <w:sz w:val="24"/>
                <w:szCs w:val="24"/>
              </w:rPr>
              <w:t>城市道路（不含维护；不含支路、人行天桥、人行地道）</w:t>
            </w:r>
            <w:r>
              <w:rPr>
                <w:sz w:val="24"/>
                <w:szCs w:val="24"/>
              </w:rPr>
              <w:t>-</w:t>
            </w:r>
            <w:r>
              <w:rPr>
                <w:sz w:val="24"/>
                <w:szCs w:val="24"/>
              </w:rPr>
              <w:t>新建快速路、主干路；城市桥梁、隧道</w:t>
            </w:r>
          </w:p>
        </w:tc>
        <w:tc>
          <w:tcPr>
            <w:tcW w:w="1305" w:type="dxa"/>
            <w:vMerge/>
            <w:vAlign w:val="center"/>
          </w:tcPr>
          <w:p w:rsidR="00BC07F0" w:rsidRDefault="00BC07F0">
            <w:pPr>
              <w:pStyle w:val="a7"/>
              <w:rPr>
                <w:rFonts w:hint="default"/>
                <w:b/>
                <w:bCs/>
                <w:sz w:val="24"/>
                <w:szCs w:val="24"/>
              </w:rPr>
            </w:pPr>
          </w:p>
        </w:tc>
        <w:tc>
          <w:tcPr>
            <w:tcW w:w="2960" w:type="dxa"/>
            <w:vAlign w:val="center"/>
          </w:tcPr>
          <w:p w:rsidR="00BC07F0" w:rsidRDefault="00073EFB">
            <w:pPr>
              <w:pStyle w:val="a7"/>
              <w:rPr>
                <w:rFonts w:hint="default"/>
                <w:sz w:val="24"/>
                <w:szCs w:val="24"/>
              </w:rPr>
            </w:pPr>
            <w:r>
              <w:rPr>
                <w:sz w:val="24"/>
                <w:szCs w:val="24"/>
              </w:rPr>
              <w:t>配套城市道路前进路、酃白路工程</w:t>
            </w:r>
            <w:r>
              <w:rPr>
                <w:sz w:val="24"/>
                <w:szCs w:val="24"/>
              </w:rPr>
              <w:t>：</w:t>
            </w:r>
            <w:r>
              <w:rPr>
                <w:sz w:val="24"/>
                <w:szCs w:val="24"/>
              </w:rPr>
              <w:t>酃白路</w:t>
            </w:r>
            <w:r>
              <w:rPr>
                <w:sz w:val="24"/>
                <w:szCs w:val="24"/>
              </w:rPr>
              <w:t>长</w:t>
            </w:r>
            <w:r>
              <w:rPr>
                <w:sz w:val="24"/>
                <w:szCs w:val="24"/>
              </w:rPr>
              <w:t>1.564km</w:t>
            </w:r>
            <w:r>
              <w:rPr>
                <w:sz w:val="24"/>
                <w:szCs w:val="24"/>
              </w:rPr>
              <w:t>，前进路长</w:t>
            </w:r>
            <w:r>
              <w:rPr>
                <w:sz w:val="24"/>
                <w:szCs w:val="24"/>
              </w:rPr>
              <w:t>1.47km</w:t>
            </w:r>
            <w:r>
              <w:rPr>
                <w:sz w:val="24"/>
                <w:szCs w:val="24"/>
              </w:rPr>
              <w:t>。</w:t>
            </w:r>
          </w:p>
        </w:tc>
      </w:tr>
      <w:tr w:rsidR="00BC07F0">
        <w:trPr>
          <w:trHeight w:val="455"/>
        </w:trPr>
        <w:tc>
          <w:tcPr>
            <w:tcW w:w="1800" w:type="dxa"/>
            <w:vMerge/>
            <w:tcMar>
              <w:top w:w="16" w:type="dxa"/>
              <w:left w:w="16" w:type="dxa"/>
              <w:right w:w="16" w:type="dxa"/>
            </w:tcMar>
            <w:vAlign w:val="center"/>
          </w:tcPr>
          <w:p w:rsidR="00BC07F0" w:rsidRDefault="00BC07F0">
            <w:pPr>
              <w:pStyle w:val="a7"/>
              <w:rPr>
                <w:rFonts w:hint="default"/>
                <w:b/>
                <w:bCs/>
                <w:sz w:val="24"/>
                <w:szCs w:val="24"/>
              </w:rPr>
            </w:pPr>
          </w:p>
        </w:tc>
        <w:tc>
          <w:tcPr>
            <w:tcW w:w="3337" w:type="dxa"/>
            <w:vAlign w:val="center"/>
          </w:tcPr>
          <w:p w:rsidR="00BC07F0" w:rsidRDefault="00073EFB">
            <w:pPr>
              <w:pStyle w:val="a7"/>
              <w:rPr>
                <w:rFonts w:hint="default"/>
                <w:sz w:val="24"/>
                <w:szCs w:val="24"/>
              </w:rPr>
            </w:pPr>
            <w:r>
              <w:rPr>
                <w:sz w:val="24"/>
                <w:szCs w:val="24"/>
              </w:rPr>
              <w:t>五十、社会事业与服务业</w:t>
            </w:r>
            <w:r>
              <w:rPr>
                <w:sz w:val="24"/>
                <w:szCs w:val="24"/>
              </w:rPr>
              <w:t>-114</w:t>
            </w:r>
            <w:r>
              <w:rPr>
                <w:sz w:val="24"/>
                <w:szCs w:val="24"/>
              </w:rPr>
              <w:t>公园（含动物园、主题公园；不含城市公园、植物园、村庄公园）；人工湖、人工湿地</w:t>
            </w:r>
            <w:r>
              <w:rPr>
                <w:sz w:val="24"/>
                <w:szCs w:val="24"/>
              </w:rPr>
              <w:t>-</w:t>
            </w:r>
            <w:r>
              <w:rPr>
                <w:sz w:val="24"/>
                <w:szCs w:val="24"/>
              </w:rPr>
              <w:t>其他公园；不涉及环境敏感区的容积</w:t>
            </w:r>
            <w:r>
              <w:rPr>
                <w:sz w:val="24"/>
                <w:szCs w:val="24"/>
              </w:rPr>
              <w:t>5</w:t>
            </w:r>
            <w:r>
              <w:rPr>
                <w:sz w:val="24"/>
                <w:szCs w:val="24"/>
              </w:rPr>
              <w:t>万立方米及以上</w:t>
            </w:r>
            <w:r>
              <w:rPr>
                <w:sz w:val="24"/>
                <w:szCs w:val="24"/>
              </w:rPr>
              <w:t>500</w:t>
            </w:r>
            <w:r>
              <w:rPr>
                <w:sz w:val="24"/>
                <w:szCs w:val="24"/>
              </w:rPr>
              <w:t>万立方米以下的人工湖、人工湿地；涉及环境敏感区的容积</w:t>
            </w:r>
            <w:r>
              <w:rPr>
                <w:sz w:val="24"/>
                <w:szCs w:val="24"/>
              </w:rPr>
              <w:t>5</w:t>
            </w:r>
            <w:r>
              <w:rPr>
                <w:sz w:val="24"/>
                <w:szCs w:val="24"/>
              </w:rPr>
              <w:t>万立方米以下的人工湖、人工湿地</w:t>
            </w:r>
          </w:p>
        </w:tc>
        <w:tc>
          <w:tcPr>
            <w:tcW w:w="1305" w:type="dxa"/>
            <w:vMerge/>
            <w:vAlign w:val="center"/>
          </w:tcPr>
          <w:p w:rsidR="00BC07F0" w:rsidRDefault="00BC07F0">
            <w:pPr>
              <w:pStyle w:val="a7"/>
              <w:rPr>
                <w:rFonts w:hint="default"/>
                <w:b/>
                <w:bCs/>
                <w:sz w:val="24"/>
                <w:szCs w:val="24"/>
              </w:rPr>
            </w:pPr>
          </w:p>
        </w:tc>
        <w:tc>
          <w:tcPr>
            <w:tcW w:w="2960" w:type="dxa"/>
            <w:vAlign w:val="center"/>
          </w:tcPr>
          <w:p w:rsidR="00BC07F0" w:rsidRDefault="00073EFB">
            <w:pPr>
              <w:pStyle w:val="a7"/>
              <w:rPr>
                <w:rFonts w:hint="default"/>
                <w:sz w:val="24"/>
                <w:szCs w:val="24"/>
              </w:rPr>
            </w:pPr>
            <w:r>
              <w:rPr>
                <w:sz w:val="24"/>
                <w:szCs w:val="24"/>
              </w:rPr>
              <w:t>铜桥港湿地公园工程：用地面积</w:t>
            </w:r>
            <w:r>
              <w:rPr>
                <w:sz w:val="24"/>
                <w:szCs w:val="24"/>
              </w:rPr>
              <w:t>135385.44m</w:t>
            </w:r>
            <w:r>
              <w:rPr>
                <w:sz w:val="24"/>
                <w:szCs w:val="24"/>
                <w:vertAlign w:val="superscript"/>
              </w:rPr>
              <w:t>2</w:t>
            </w:r>
            <w:r>
              <w:rPr>
                <w:sz w:val="24"/>
                <w:szCs w:val="24"/>
              </w:rPr>
              <w:t>。</w:t>
            </w:r>
          </w:p>
        </w:tc>
      </w:tr>
      <w:tr w:rsidR="00BC07F0">
        <w:trPr>
          <w:trHeight w:val="454"/>
        </w:trPr>
        <w:tc>
          <w:tcPr>
            <w:tcW w:w="1800" w:type="dxa"/>
            <w:tcMar>
              <w:top w:w="16" w:type="dxa"/>
              <w:left w:w="16" w:type="dxa"/>
              <w:right w:w="16" w:type="dxa"/>
            </w:tcMar>
            <w:vAlign w:val="center"/>
          </w:tcPr>
          <w:p w:rsidR="00BC07F0" w:rsidRDefault="00073EFB">
            <w:pPr>
              <w:pStyle w:val="a7"/>
              <w:rPr>
                <w:rFonts w:hint="default"/>
                <w:b/>
                <w:bCs/>
                <w:sz w:val="24"/>
                <w:szCs w:val="24"/>
              </w:rPr>
            </w:pPr>
            <w:r>
              <w:rPr>
                <w:b/>
                <w:bCs/>
                <w:sz w:val="24"/>
                <w:szCs w:val="24"/>
              </w:rPr>
              <w:lastRenderedPageBreak/>
              <w:t>建设性质</w:t>
            </w:r>
          </w:p>
        </w:tc>
        <w:tc>
          <w:tcPr>
            <w:tcW w:w="3337" w:type="dxa"/>
            <w:vAlign w:val="center"/>
          </w:tcPr>
          <w:p w:rsidR="00BC07F0" w:rsidRDefault="00073EFB">
            <w:pPr>
              <w:pStyle w:val="a7"/>
              <w:jc w:val="left"/>
              <w:rPr>
                <w:rFonts w:hint="default"/>
                <w:sz w:val="24"/>
                <w:szCs w:val="24"/>
              </w:rPr>
            </w:pPr>
            <w:r>
              <w:rPr>
                <w:sz w:val="24"/>
                <w:szCs w:val="24"/>
              </w:rPr>
              <w:t>☑</w:t>
            </w:r>
            <w:r>
              <w:rPr>
                <w:sz w:val="24"/>
                <w:szCs w:val="24"/>
              </w:rPr>
              <w:t>新建（迁建）</w:t>
            </w:r>
          </w:p>
          <w:p w:rsidR="00BC07F0" w:rsidRDefault="00073EFB">
            <w:pPr>
              <w:pStyle w:val="a7"/>
              <w:jc w:val="left"/>
              <w:rPr>
                <w:rFonts w:hint="default"/>
                <w:sz w:val="24"/>
                <w:szCs w:val="24"/>
              </w:rPr>
            </w:pPr>
            <w:r>
              <w:rPr>
                <w:sz w:val="24"/>
                <w:szCs w:val="24"/>
              </w:rPr>
              <w:t>□改建</w:t>
            </w:r>
          </w:p>
          <w:p w:rsidR="00BC07F0" w:rsidRDefault="00073EFB">
            <w:pPr>
              <w:pStyle w:val="a7"/>
              <w:jc w:val="left"/>
              <w:rPr>
                <w:rFonts w:hint="default"/>
                <w:sz w:val="24"/>
                <w:szCs w:val="24"/>
              </w:rPr>
            </w:pPr>
            <w:r>
              <w:rPr>
                <w:sz w:val="24"/>
                <w:szCs w:val="24"/>
              </w:rPr>
              <w:t>□扩建</w:t>
            </w:r>
          </w:p>
          <w:p w:rsidR="00BC07F0" w:rsidRDefault="00073EFB">
            <w:pPr>
              <w:pStyle w:val="a7"/>
              <w:jc w:val="left"/>
              <w:rPr>
                <w:rFonts w:hint="default"/>
                <w:sz w:val="24"/>
                <w:szCs w:val="24"/>
              </w:rPr>
            </w:pPr>
            <w:r>
              <w:rPr>
                <w:sz w:val="24"/>
                <w:szCs w:val="24"/>
              </w:rPr>
              <w:t>□技术改造</w:t>
            </w:r>
          </w:p>
        </w:tc>
        <w:tc>
          <w:tcPr>
            <w:tcW w:w="1305" w:type="dxa"/>
            <w:vAlign w:val="center"/>
          </w:tcPr>
          <w:p w:rsidR="00BC07F0" w:rsidRDefault="00073EFB">
            <w:pPr>
              <w:pStyle w:val="a7"/>
              <w:rPr>
                <w:rFonts w:hint="default"/>
                <w:b/>
                <w:bCs/>
                <w:sz w:val="24"/>
                <w:szCs w:val="24"/>
              </w:rPr>
            </w:pPr>
            <w:r>
              <w:rPr>
                <w:b/>
                <w:bCs/>
                <w:sz w:val="24"/>
                <w:szCs w:val="24"/>
              </w:rPr>
              <w:t>建设项目</w:t>
            </w:r>
          </w:p>
          <w:p w:rsidR="00BC07F0" w:rsidRDefault="00073EFB">
            <w:pPr>
              <w:pStyle w:val="a7"/>
              <w:rPr>
                <w:rFonts w:hint="default"/>
                <w:b/>
                <w:bCs/>
                <w:sz w:val="24"/>
                <w:szCs w:val="24"/>
              </w:rPr>
            </w:pPr>
            <w:r>
              <w:rPr>
                <w:b/>
                <w:bCs/>
                <w:sz w:val="24"/>
                <w:szCs w:val="24"/>
              </w:rPr>
              <w:t>申报情形</w:t>
            </w:r>
          </w:p>
        </w:tc>
        <w:tc>
          <w:tcPr>
            <w:tcW w:w="2960" w:type="dxa"/>
            <w:vAlign w:val="center"/>
          </w:tcPr>
          <w:p w:rsidR="00BC07F0" w:rsidRDefault="00073EFB">
            <w:pPr>
              <w:pStyle w:val="a7"/>
              <w:jc w:val="left"/>
              <w:rPr>
                <w:rFonts w:hint="default"/>
                <w:sz w:val="24"/>
                <w:szCs w:val="24"/>
              </w:rPr>
            </w:pPr>
            <w:r>
              <w:rPr>
                <w:sz w:val="24"/>
                <w:szCs w:val="24"/>
              </w:rPr>
              <w:t>☑</w:t>
            </w:r>
            <w:r>
              <w:rPr>
                <w:sz w:val="24"/>
                <w:szCs w:val="24"/>
              </w:rPr>
              <w:t>首次申报项目</w:t>
            </w:r>
          </w:p>
          <w:p w:rsidR="00BC07F0" w:rsidRDefault="00073EFB">
            <w:pPr>
              <w:pStyle w:val="a7"/>
              <w:jc w:val="left"/>
              <w:rPr>
                <w:rFonts w:hint="default"/>
                <w:sz w:val="24"/>
                <w:szCs w:val="24"/>
              </w:rPr>
            </w:pPr>
            <w:r>
              <w:rPr>
                <w:sz w:val="24"/>
                <w:szCs w:val="24"/>
              </w:rPr>
              <w:t>□不予批准后再次申报项目</w:t>
            </w:r>
          </w:p>
          <w:p w:rsidR="00BC07F0" w:rsidRDefault="00073EFB">
            <w:pPr>
              <w:pStyle w:val="a7"/>
              <w:jc w:val="left"/>
              <w:rPr>
                <w:rFonts w:hint="default"/>
                <w:sz w:val="24"/>
                <w:szCs w:val="24"/>
              </w:rPr>
            </w:pPr>
            <w:r>
              <w:rPr>
                <w:sz w:val="24"/>
                <w:szCs w:val="24"/>
              </w:rPr>
              <w:t>□超五年重新审核项目</w:t>
            </w:r>
          </w:p>
          <w:p w:rsidR="00BC07F0" w:rsidRDefault="00073EFB">
            <w:pPr>
              <w:pStyle w:val="a7"/>
              <w:jc w:val="left"/>
              <w:rPr>
                <w:rFonts w:hint="default"/>
                <w:sz w:val="24"/>
                <w:szCs w:val="24"/>
              </w:rPr>
            </w:pPr>
            <w:r>
              <w:rPr>
                <w:sz w:val="24"/>
                <w:szCs w:val="24"/>
              </w:rPr>
              <w:t>□重大变动重新报批项目</w:t>
            </w:r>
          </w:p>
        </w:tc>
      </w:tr>
      <w:tr w:rsidR="00BC07F0">
        <w:trPr>
          <w:trHeight w:val="454"/>
        </w:trPr>
        <w:tc>
          <w:tcPr>
            <w:tcW w:w="1800" w:type="dxa"/>
            <w:tcMar>
              <w:top w:w="16" w:type="dxa"/>
              <w:left w:w="16" w:type="dxa"/>
              <w:right w:w="16" w:type="dxa"/>
            </w:tcMar>
            <w:vAlign w:val="center"/>
          </w:tcPr>
          <w:p w:rsidR="00BC07F0" w:rsidRDefault="00073EFB">
            <w:pPr>
              <w:pStyle w:val="a7"/>
              <w:rPr>
                <w:rFonts w:hint="default"/>
                <w:b/>
                <w:bCs/>
                <w:sz w:val="24"/>
                <w:szCs w:val="24"/>
              </w:rPr>
            </w:pPr>
            <w:r>
              <w:rPr>
                <w:b/>
                <w:bCs/>
                <w:sz w:val="24"/>
                <w:szCs w:val="24"/>
              </w:rPr>
              <w:t>项目审批（核准</w:t>
            </w:r>
            <w:r>
              <w:rPr>
                <w:b/>
                <w:bCs/>
                <w:sz w:val="24"/>
                <w:szCs w:val="24"/>
              </w:rPr>
              <w:t>/</w:t>
            </w:r>
          </w:p>
          <w:p w:rsidR="00BC07F0" w:rsidRDefault="00073EFB">
            <w:pPr>
              <w:pStyle w:val="a7"/>
              <w:rPr>
                <w:rFonts w:hint="default"/>
                <w:b/>
                <w:bCs/>
                <w:sz w:val="24"/>
                <w:szCs w:val="24"/>
              </w:rPr>
            </w:pPr>
            <w:r>
              <w:rPr>
                <w:b/>
                <w:bCs/>
                <w:sz w:val="24"/>
                <w:szCs w:val="24"/>
              </w:rPr>
              <w:t>备案）部门</w:t>
            </w:r>
          </w:p>
          <w:p w:rsidR="00BC07F0" w:rsidRDefault="00073EFB">
            <w:pPr>
              <w:pStyle w:val="a7"/>
              <w:rPr>
                <w:rFonts w:hint="default"/>
                <w:b/>
                <w:bCs/>
                <w:sz w:val="24"/>
                <w:szCs w:val="24"/>
              </w:rPr>
            </w:pPr>
            <w:r>
              <w:rPr>
                <w:b/>
                <w:bCs/>
                <w:sz w:val="24"/>
                <w:szCs w:val="24"/>
              </w:rPr>
              <w:t>（选填）</w:t>
            </w:r>
          </w:p>
        </w:tc>
        <w:tc>
          <w:tcPr>
            <w:tcW w:w="3337" w:type="dxa"/>
            <w:vAlign w:val="center"/>
          </w:tcPr>
          <w:p w:rsidR="00BC07F0" w:rsidRDefault="00073EFB">
            <w:pPr>
              <w:pStyle w:val="a7"/>
              <w:rPr>
                <w:rFonts w:hint="default"/>
                <w:sz w:val="24"/>
                <w:szCs w:val="24"/>
              </w:rPr>
            </w:pPr>
            <w:r>
              <w:rPr>
                <w:sz w:val="24"/>
                <w:szCs w:val="24"/>
              </w:rPr>
              <w:t>衡阳市发展和改革委员会</w:t>
            </w:r>
          </w:p>
        </w:tc>
        <w:tc>
          <w:tcPr>
            <w:tcW w:w="1305" w:type="dxa"/>
            <w:vAlign w:val="center"/>
          </w:tcPr>
          <w:p w:rsidR="00BC07F0" w:rsidRDefault="00073EFB">
            <w:pPr>
              <w:pStyle w:val="a7"/>
              <w:rPr>
                <w:rFonts w:hint="default"/>
                <w:b/>
                <w:bCs/>
                <w:sz w:val="24"/>
                <w:szCs w:val="24"/>
              </w:rPr>
            </w:pPr>
            <w:r>
              <w:rPr>
                <w:b/>
                <w:bCs/>
                <w:sz w:val="24"/>
                <w:szCs w:val="24"/>
              </w:rPr>
              <w:t>项目审批（核准</w:t>
            </w:r>
            <w:r>
              <w:rPr>
                <w:b/>
                <w:bCs/>
                <w:sz w:val="24"/>
                <w:szCs w:val="24"/>
              </w:rPr>
              <w:t>/</w:t>
            </w:r>
            <w:r>
              <w:rPr>
                <w:b/>
                <w:bCs/>
                <w:sz w:val="24"/>
                <w:szCs w:val="24"/>
              </w:rPr>
              <w:t>备案）文号</w:t>
            </w:r>
          </w:p>
          <w:p w:rsidR="00BC07F0" w:rsidRDefault="00073EFB">
            <w:pPr>
              <w:pStyle w:val="a7"/>
              <w:rPr>
                <w:rFonts w:hint="default"/>
                <w:b/>
                <w:bCs/>
                <w:sz w:val="24"/>
                <w:szCs w:val="24"/>
              </w:rPr>
            </w:pPr>
            <w:r>
              <w:rPr>
                <w:b/>
                <w:bCs/>
                <w:sz w:val="24"/>
                <w:szCs w:val="24"/>
              </w:rPr>
              <w:t>（选填）</w:t>
            </w:r>
          </w:p>
        </w:tc>
        <w:tc>
          <w:tcPr>
            <w:tcW w:w="2960" w:type="dxa"/>
            <w:vAlign w:val="center"/>
          </w:tcPr>
          <w:p w:rsidR="00BC07F0" w:rsidRDefault="00073EFB">
            <w:pPr>
              <w:pStyle w:val="a7"/>
              <w:rPr>
                <w:rFonts w:hint="default"/>
                <w:sz w:val="24"/>
                <w:szCs w:val="24"/>
              </w:rPr>
            </w:pPr>
            <w:r>
              <w:rPr>
                <w:sz w:val="24"/>
                <w:szCs w:val="24"/>
              </w:rPr>
              <w:t>/</w:t>
            </w:r>
          </w:p>
        </w:tc>
      </w:tr>
      <w:tr w:rsidR="00BC07F0">
        <w:trPr>
          <w:trHeight w:val="454"/>
        </w:trPr>
        <w:tc>
          <w:tcPr>
            <w:tcW w:w="1800" w:type="dxa"/>
            <w:tcMar>
              <w:top w:w="16" w:type="dxa"/>
              <w:left w:w="16" w:type="dxa"/>
              <w:right w:w="16" w:type="dxa"/>
            </w:tcMar>
            <w:vAlign w:val="center"/>
          </w:tcPr>
          <w:p w:rsidR="00BC07F0" w:rsidRDefault="00073EFB">
            <w:pPr>
              <w:pStyle w:val="a7"/>
              <w:rPr>
                <w:rFonts w:hint="default"/>
                <w:b/>
                <w:bCs/>
                <w:sz w:val="24"/>
                <w:szCs w:val="24"/>
              </w:rPr>
            </w:pPr>
            <w:r>
              <w:rPr>
                <w:b/>
                <w:bCs/>
                <w:sz w:val="24"/>
                <w:szCs w:val="24"/>
              </w:rPr>
              <w:t>总投资</w:t>
            </w:r>
          </w:p>
          <w:p w:rsidR="00BC07F0" w:rsidRDefault="00073EFB">
            <w:pPr>
              <w:pStyle w:val="a7"/>
              <w:rPr>
                <w:rFonts w:hint="default"/>
                <w:b/>
                <w:bCs/>
                <w:sz w:val="24"/>
                <w:szCs w:val="24"/>
              </w:rPr>
            </w:pPr>
            <w:r>
              <w:rPr>
                <w:b/>
                <w:bCs/>
                <w:sz w:val="24"/>
                <w:szCs w:val="24"/>
              </w:rPr>
              <w:t>（万元）</w:t>
            </w:r>
          </w:p>
        </w:tc>
        <w:tc>
          <w:tcPr>
            <w:tcW w:w="3337" w:type="dxa"/>
            <w:vAlign w:val="center"/>
          </w:tcPr>
          <w:p w:rsidR="00BC07F0" w:rsidRDefault="00073EFB">
            <w:pPr>
              <w:pStyle w:val="a7"/>
              <w:rPr>
                <w:rFonts w:hint="default"/>
                <w:sz w:val="24"/>
                <w:szCs w:val="24"/>
              </w:rPr>
            </w:pPr>
            <w:r>
              <w:rPr>
                <w:sz w:val="24"/>
                <w:szCs w:val="24"/>
              </w:rPr>
              <w:t>180369.03</w:t>
            </w:r>
          </w:p>
        </w:tc>
        <w:tc>
          <w:tcPr>
            <w:tcW w:w="1305" w:type="dxa"/>
            <w:tcMar>
              <w:top w:w="16" w:type="dxa"/>
              <w:left w:w="16" w:type="dxa"/>
              <w:right w:w="16" w:type="dxa"/>
            </w:tcMar>
            <w:vAlign w:val="center"/>
          </w:tcPr>
          <w:p w:rsidR="00BC07F0" w:rsidRDefault="00073EFB">
            <w:pPr>
              <w:pStyle w:val="a7"/>
              <w:rPr>
                <w:rFonts w:hint="default"/>
                <w:b/>
                <w:bCs/>
                <w:sz w:val="24"/>
                <w:szCs w:val="24"/>
              </w:rPr>
            </w:pPr>
            <w:r>
              <w:rPr>
                <w:b/>
                <w:bCs/>
                <w:sz w:val="24"/>
                <w:szCs w:val="24"/>
              </w:rPr>
              <w:t>环保投资</w:t>
            </w:r>
          </w:p>
          <w:p w:rsidR="00BC07F0" w:rsidRDefault="00073EFB">
            <w:pPr>
              <w:pStyle w:val="a7"/>
              <w:rPr>
                <w:rFonts w:hint="default"/>
                <w:b/>
                <w:bCs/>
                <w:sz w:val="24"/>
                <w:szCs w:val="24"/>
              </w:rPr>
            </w:pPr>
            <w:r>
              <w:rPr>
                <w:b/>
                <w:bCs/>
                <w:sz w:val="24"/>
                <w:szCs w:val="24"/>
              </w:rPr>
              <w:t>（万元）</w:t>
            </w:r>
          </w:p>
        </w:tc>
        <w:tc>
          <w:tcPr>
            <w:tcW w:w="2960" w:type="dxa"/>
            <w:vAlign w:val="center"/>
          </w:tcPr>
          <w:p w:rsidR="00BC07F0" w:rsidRDefault="00C55F5E">
            <w:pPr>
              <w:pStyle w:val="a7"/>
              <w:rPr>
                <w:rFonts w:hint="default"/>
                <w:sz w:val="24"/>
                <w:szCs w:val="24"/>
              </w:rPr>
            </w:pPr>
            <w:r w:rsidRPr="00C55F5E">
              <w:t>155117.37</w:t>
            </w:r>
          </w:p>
        </w:tc>
      </w:tr>
      <w:tr w:rsidR="00BC07F0">
        <w:trPr>
          <w:trHeight w:val="454"/>
        </w:trPr>
        <w:tc>
          <w:tcPr>
            <w:tcW w:w="1800" w:type="dxa"/>
            <w:tcMar>
              <w:top w:w="16" w:type="dxa"/>
              <w:left w:w="16" w:type="dxa"/>
              <w:right w:w="16" w:type="dxa"/>
            </w:tcMar>
            <w:vAlign w:val="center"/>
          </w:tcPr>
          <w:p w:rsidR="00BC07F0" w:rsidRDefault="00073EFB">
            <w:pPr>
              <w:pStyle w:val="a7"/>
              <w:rPr>
                <w:rFonts w:hint="default"/>
                <w:b/>
                <w:bCs/>
                <w:sz w:val="24"/>
                <w:szCs w:val="24"/>
              </w:rPr>
            </w:pPr>
            <w:r>
              <w:rPr>
                <w:b/>
                <w:bCs/>
                <w:sz w:val="24"/>
                <w:szCs w:val="24"/>
              </w:rPr>
              <w:t>环保投资占比（</w:t>
            </w:r>
            <w:r>
              <w:rPr>
                <w:b/>
                <w:bCs/>
                <w:sz w:val="24"/>
                <w:szCs w:val="24"/>
              </w:rPr>
              <w:t>%</w:t>
            </w:r>
            <w:r>
              <w:rPr>
                <w:b/>
                <w:bCs/>
                <w:sz w:val="24"/>
                <w:szCs w:val="24"/>
              </w:rPr>
              <w:t>）</w:t>
            </w:r>
          </w:p>
        </w:tc>
        <w:tc>
          <w:tcPr>
            <w:tcW w:w="3337" w:type="dxa"/>
            <w:vAlign w:val="center"/>
          </w:tcPr>
          <w:p w:rsidR="00BC07F0" w:rsidRDefault="00C55F5E">
            <w:pPr>
              <w:pStyle w:val="a7"/>
              <w:rPr>
                <w:rFonts w:hint="default"/>
                <w:sz w:val="24"/>
                <w:szCs w:val="24"/>
              </w:rPr>
            </w:pPr>
            <w:r>
              <w:t>86</w:t>
            </w:r>
          </w:p>
        </w:tc>
        <w:tc>
          <w:tcPr>
            <w:tcW w:w="1305" w:type="dxa"/>
            <w:tcMar>
              <w:top w:w="16" w:type="dxa"/>
              <w:left w:w="16" w:type="dxa"/>
              <w:right w:w="16" w:type="dxa"/>
            </w:tcMar>
            <w:vAlign w:val="center"/>
          </w:tcPr>
          <w:p w:rsidR="00BC07F0" w:rsidRDefault="00073EFB">
            <w:pPr>
              <w:pStyle w:val="a7"/>
              <w:rPr>
                <w:rFonts w:hint="default"/>
                <w:b/>
                <w:bCs/>
                <w:sz w:val="24"/>
                <w:szCs w:val="24"/>
              </w:rPr>
            </w:pPr>
            <w:r>
              <w:rPr>
                <w:b/>
                <w:bCs/>
                <w:sz w:val="24"/>
                <w:szCs w:val="24"/>
              </w:rPr>
              <w:t>施工工期</w:t>
            </w:r>
          </w:p>
        </w:tc>
        <w:tc>
          <w:tcPr>
            <w:tcW w:w="2960" w:type="dxa"/>
            <w:vAlign w:val="center"/>
          </w:tcPr>
          <w:p w:rsidR="00BC07F0" w:rsidRDefault="00073EFB">
            <w:pPr>
              <w:pStyle w:val="a7"/>
              <w:rPr>
                <w:rFonts w:hint="default"/>
                <w:sz w:val="24"/>
                <w:szCs w:val="24"/>
              </w:rPr>
            </w:pPr>
            <w:r>
              <w:rPr>
                <w:sz w:val="24"/>
                <w:szCs w:val="24"/>
              </w:rPr>
              <w:t>2023</w:t>
            </w:r>
            <w:r>
              <w:rPr>
                <w:sz w:val="24"/>
                <w:szCs w:val="24"/>
              </w:rPr>
              <w:t>年</w:t>
            </w:r>
            <w:r>
              <w:rPr>
                <w:sz w:val="24"/>
                <w:szCs w:val="24"/>
              </w:rPr>
              <w:t>11</w:t>
            </w:r>
            <w:r>
              <w:rPr>
                <w:sz w:val="24"/>
                <w:szCs w:val="24"/>
              </w:rPr>
              <w:t>月</w:t>
            </w:r>
            <w:r>
              <w:rPr>
                <w:sz w:val="24"/>
                <w:szCs w:val="24"/>
              </w:rPr>
              <w:t>~2024</w:t>
            </w:r>
            <w:r>
              <w:rPr>
                <w:sz w:val="24"/>
                <w:szCs w:val="24"/>
              </w:rPr>
              <w:t>年</w:t>
            </w:r>
            <w:r>
              <w:rPr>
                <w:sz w:val="24"/>
                <w:szCs w:val="24"/>
              </w:rPr>
              <w:t>11</w:t>
            </w:r>
            <w:r>
              <w:rPr>
                <w:sz w:val="24"/>
                <w:szCs w:val="24"/>
              </w:rPr>
              <w:t>月</w:t>
            </w:r>
          </w:p>
        </w:tc>
      </w:tr>
      <w:tr w:rsidR="00BC07F0">
        <w:trPr>
          <w:trHeight w:val="454"/>
        </w:trPr>
        <w:tc>
          <w:tcPr>
            <w:tcW w:w="1800" w:type="dxa"/>
            <w:tcMar>
              <w:top w:w="16" w:type="dxa"/>
              <w:left w:w="16" w:type="dxa"/>
              <w:right w:w="16" w:type="dxa"/>
            </w:tcMar>
            <w:vAlign w:val="center"/>
          </w:tcPr>
          <w:p w:rsidR="00BC07F0" w:rsidRDefault="00073EFB">
            <w:pPr>
              <w:pStyle w:val="a7"/>
              <w:rPr>
                <w:rFonts w:hint="default"/>
                <w:b/>
                <w:bCs/>
                <w:sz w:val="24"/>
                <w:szCs w:val="24"/>
              </w:rPr>
            </w:pPr>
            <w:r>
              <w:rPr>
                <w:b/>
                <w:bCs/>
                <w:sz w:val="24"/>
                <w:szCs w:val="24"/>
              </w:rPr>
              <w:t>是否开工建设</w:t>
            </w:r>
          </w:p>
        </w:tc>
        <w:tc>
          <w:tcPr>
            <w:tcW w:w="7602" w:type="dxa"/>
            <w:gridSpan w:val="3"/>
            <w:vAlign w:val="center"/>
          </w:tcPr>
          <w:p w:rsidR="00BC07F0" w:rsidRDefault="00073EFB">
            <w:pPr>
              <w:pStyle w:val="a7"/>
              <w:jc w:val="left"/>
              <w:rPr>
                <w:rFonts w:hint="default"/>
                <w:sz w:val="24"/>
                <w:szCs w:val="24"/>
              </w:rPr>
            </w:pPr>
            <w:r>
              <w:rPr>
                <w:sz w:val="24"/>
                <w:szCs w:val="24"/>
              </w:rPr>
              <w:t>☑</w:t>
            </w:r>
            <w:r>
              <w:rPr>
                <w:sz w:val="24"/>
                <w:szCs w:val="24"/>
              </w:rPr>
              <w:t>否</w:t>
            </w:r>
          </w:p>
          <w:p w:rsidR="00BC07F0" w:rsidRDefault="00073EFB">
            <w:pPr>
              <w:pStyle w:val="a7"/>
              <w:jc w:val="left"/>
              <w:rPr>
                <w:rFonts w:hint="default"/>
                <w:sz w:val="24"/>
                <w:szCs w:val="24"/>
              </w:rPr>
            </w:pPr>
            <w:r>
              <w:rPr>
                <w:sz w:val="24"/>
                <w:szCs w:val="24"/>
              </w:rPr>
              <w:t>□是：</w:t>
            </w:r>
          </w:p>
        </w:tc>
      </w:tr>
      <w:tr w:rsidR="00BC07F0">
        <w:trPr>
          <w:trHeight w:val="454"/>
        </w:trPr>
        <w:tc>
          <w:tcPr>
            <w:tcW w:w="1800" w:type="dxa"/>
            <w:tcMar>
              <w:top w:w="16" w:type="dxa"/>
              <w:left w:w="16" w:type="dxa"/>
              <w:right w:w="16" w:type="dxa"/>
            </w:tcMar>
            <w:vAlign w:val="center"/>
          </w:tcPr>
          <w:p w:rsidR="00BC07F0" w:rsidRDefault="00073EFB">
            <w:pPr>
              <w:pStyle w:val="a7"/>
              <w:rPr>
                <w:rFonts w:hint="default"/>
                <w:b/>
                <w:bCs/>
                <w:sz w:val="24"/>
                <w:szCs w:val="24"/>
              </w:rPr>
            </w:pPr>
            <w:r>
              <w:rPr>
                <w:b/>
                <w:bCs/>
                <w:sz w:val="24"/>
                <w:szCs w:val="24"/>
              </w:rPr>
              <w:t>专项评价</w:t>
            </w:r>
          </w:p>
          <w:p w:rsidR="00BC07F0" w:rsidRDefault="00073EFB">
            <w:pPr>
              <w:pStyle w:val="a7"/>
              <w:rPr>
                <w:rFonts w:hint="default"/>
                <w:b/>
                <w:bCs/>
                <w:sz w:val="24"/>
                <w:szCs w:val="24"/>
              </w:rPr>
            </w:pPr>
            <w:r>
              <w:rPr>
                <w:b/>
                <w:bCs/>
                <w:sz w:val="24"/>
                <w:szCs w:val="24"/>
              </w:rPr>
              <w:t>设置情况</w:t>
            </w:r>
          </w:p>
        </w:tc>
        <w:tc>
          <w:tcPr>
            <w:tcW w:w="7602" w:type="dxa"/>
            <w:gridSpan w:val="3"/>
            <w:tcMar>
              <w:top w:w="16" w:type="dxa"/>
              <w:left w:w="16" w:type="dxa"/>
              <w:right w:w="16" w:type="dxa"/>
            </w:tcMar>
            <w:vAlign w:val="center"/>
          </w:tcPr>
          <w:p w:rsidR="00BC07F0" w:rsidRDefault="00073EFB" w:rsidP="00C55F5E">
            <w:pPr>
              <w:tabs>
                <w:tab w:val="left" w:pos="480"/>
              </w:tabs>
              <w:ind w:firstLine="482"/>
              <w:rPr>
                <w:b/>
                <w:bCs/>
              </w:rPr>
            </w:pPr>
            <w:r>
              <w:rPr>
                <w:rFonts w:hint="eastAsia"/>
                <w:b/>
                <w:bCs/>
              </w:rPr>
              <w:t>1.1</w:t>
            </w:r>
            <w:r>
              <w:rPr>
                <w:rFonts w:hint="eastAsia"/>
                <w:b/>
                <w:bCs/>
              </w:rPr>
              <w:t>专项评价设置情况</w:t>
            </w:r>
          </w:p>
          <w:p w:rsidR="00BC07F0" w:rsidRDefault="00073EFB">
            <w:pPr>
              <w:tabs>
                <w:tab w:val="left" w:pos="480"/>
              </w:tabs>
              <w:ind w:firstLine="480"/>
            </w:pPr>
            <w:r>
              <w:rPr>
                <w:rFonts w:hint="eastAsia"/>
              </w:rPr>
              <w:t>对照</w:t>
            </w:r>
            <w:r>
              <w:rPr>
                <w:rFonts w:hint="eastAsia"/>
              </w:rPr>
              <w:t>《建设项目环境影响报告表编制技术指南（生态影响类）（试行）》表</w:t>
            </w:r>
            <w:r>
              <w:rPr>
                <w:rFonts w:hint="eastAsia"/>
              </w:rPr>
              <w:t>1</w:t>
            </w:r>
            <w:r>
              <w:rPr>
                <w:rFonts w:hint="eastAsia"/>
              </w:rPr>
              <w:t>，本项目</w:t>
            </w:r>
            <w:r>
              <w:rPr>
                <w:rFonts w:hint="eastAsia"/>
              </w:rPr>
              <w:t>专项评价</w:t>
            </w:r>
            <w:r>
              <w:rPr>
                <w:rFonts w:hint="eastAsia"/>
              </w:rPr>
              <w:t>设置情况如下表</w:t>
            </w:r>
            <w:r>
              <w:rPr>
                <w:rFonts w:hint="eastAsia"/>
              </w:rPr>
              <w:t>1.1-1</w:t>
            </w:r>
            <w:r>
              <w:rPr>
                <w:rFonts w:hint="eastAsia"/>
              </w:rPr>
              <w:t>。</w:t>
            </w:r>
          </w:p>
          <w:p w:rsidR="00BC07F0" w:rsidRDefault="00073EFB">
            <w:pPr>
              <w:pStyle w:val="a7"/>
              <w:rPr>
                <w:rFonts w:hint="default"/>
                <w:b/>
                <w:bCs/>
              </w:rPr>
            </w:pPr>
            <w:r>
              <w:rPr>
                <w:b/>
                <w:bCs/>
              </w:rPr>
              <w:t>表</w:t>
            </w:r>
            <w:r>
              <w:rPr>
                <w:b/>
                <w:bCs/>
              </w:rPr>
              <w:t>1.1-1</w:t>
            </w:r>
            <w:r>
              <w:rPr>
                <w:b/>
                <w:bCs/>
              </w:rPr>
              <w:t>专项评价设置原则表</w:t>
            </w:r>
          </w:p>
          <w:tbl>
            <w:tblPr>
              <w:tblW w:w="4941" w:type="pct"/>
              <w:jc w:val="center"/>
              <w:tblLayout w:type="fixed"/>
              <w:tblLook w:val="04A0"/>
            </w:tblPr>
            <w:tblGrid>
              <w:gridCol w:w="1173"/>
              <w:gridCol w:w="3718"/>
              <w:gridCol w:w="1678"/>
              <w:gridCol w:w="896"/>
            </w:tblGrid>
            <w:tr w:rsidR="00BC07F0">
              <w:trPr>
                <w:trHeight w:val="454"/>
                <w:tblHeader/>
                <w:jc w:val="center"/>
              </w:trPr>
              <w:tc>
                <w:tcPr>
                  <w:tcW w:w="1175" w:type="dxa"/>
                  <w:tcBorders>
                    <w:top w:val="single" w:sz="4" w:space="0" w:color="auto"/>
                    <w:left w:val="single" w:sz="4" w:space="0" w:color="auto"/>
                    <w:bottom w:val="single" w:sz="4" w:space="0" w:color="auto"/>
                    <w:right w:val="single" w:sz="4" w:space="0" w:color="auto"/>
                  </w:tcBorders>
                  <w:vAlign w:val="center"/>
                </w:tcPr>
                <w:p w:rsidR="00BC07F0" w:rsidRDefault="00073EFB">
                  <w:pPr>
                    <w:pStyle w:val="a7"/>
                    <w:rPr>
                      <w:rFonts w:hint="default"/>
                    </w:rPr>
                  </w:pPr>
                  <w:r>
                    <w:t>专项评价的类别</w:t>
                  </w:r>
                </w:p>
              </w:tc>
              <w:tc>
                <w:tcPr>
                  <w:tcW w:w="3724" w:type="dxa"/>
                  <w:tcBorders>
                    <w:top w:val="single" w:sz="4" w:space="0" w:color="auto"/>
                    <w:left w:val="nil"/>
                    <w:bottom w:val="single" w:sz="4" w:space="0" w:color="auto"/>
                    <w:right w:val="single" w:sz="4" w:space="0" w:color="auto"/>
                  </w:tcBorders>
                  <w:vAlign w:val="center"/>
                </w:tcPr>
                <w:p w:rsidR="00BC07F0" w:rsidRDefault="00073EFB">
                  <w:pPr>
                    <w:pStyle w:val="a7"/>
                    <w:rPr>
                      <w:rFonts w:hint="default"/>
                    </w:rPr>
                  </w:pPr>
                  <w:r>
                    <w:t>涉及项目类别</w:t>
                  </w:r>
                </w:p>
              </w:tc>
              <w:tc>
                <w:tcPr>
                  <w:tcW w:w="1681" w:type="dxa"/>
                  <w:tcBorders>
                    <w:top w:val="single" w:sz="4" w:space="0" w:color="auto"/>
                    <w:left w:val="nil"/>
                    <w:bottom w:val="single" w:sz="4" w:space="0" w:color="auto"/>
                    <w:right w:val="single" w:sz="4" w:space="0" w:color="auto"/>
                  </w:tcBorders>
                  <w:vAlign w:val="center"/>
                </w:tcPr>
                <w:p w:rsidR="00BC07F0" w:rsidRDefault="00073EFB">
                  <w:pPr>
                    <w:pStyle w:val="a7"/>
                    <w:rPr>
                      <w:rFonts w:hint="default"/>
                    </w:rPr>
                  </w:pPr>
                  <w:r>
                    <w:t>本项目</w:t>
                  </w:r>
                  <w:r>
                    <w:t>情况</w:t>
                  </w:r>
                </w:p>
              </w:tc>
              <w:tc>
                <w:tcPr>
                  <w:tcW w:w="897" w:type="dxa"/>
                  <w:tcBorders>
                    <w:top w:val="single" w:sz="4" w:space="0" w:color="auto"/>
                    <w:left w:val="nil"/>
                    <w:bottom w:val="single" w:sz="4" w:space="0" w:color="auto"/>
                    <w:right w:val="single" w:sz="4" w:space="0" w:color="auto"/>
                  </w:tcBorders>
                  <w:vAlign w:val="center"/>
                </w:tcPr>
                <w:p w:rsidR="00BC07F0" w:rsidRDefault="00073EFB">
                  <w:pPr>
                    <w:pStyle w:val="a7"/>
                    <w:rPr>
                      <w:rFonts w:hint="default"/>
                    </w:rPr>
                  </w:pPr>
                  <w:r>
                    <w:t>是否需开展专项评价</w:t>
                  </w:r>
                </w:p>
              </w:tc>
            </w:tr>
            <w:tr w:rsidR="00BC07F0">
              <w:trPr>
                <w:trHeight w:val="454"/>
                <w:jc w:val="center"/>
              </w:trPr>
              <w:tc>
                <w:tcPr>
                  <w:tcW w:w="1175" w:type="dxa"/>
                  <w:tcBorders>
                    <w:top w:val="nil"/>
                    <w:left w:val="single" w:sz="4" w:space="0" w:color="auto"/>
                    <w:bottom w:val="single" w:sz="4" w:space="0" w:color="auto"/>
                    <w:right w:val="single" w:sz="4" w:space="0" w:color="auto"/>
                  </w:tcBorders>
                  <w:vAlign w:val="center"/>
                </w:tcPr>
                <w:p w:rsidR="00BC07F0" w:rsidRDefault="00073EFB">
                  <w:pPr>
                    <w:pStyle w:val="a7"/>
                    <w:rPr>
                      <w:rFonts w:hint="default"/>
                    </w:rPr>
                  </w:pPr>
                  <w:r>
                    <w:t>地表水</w:t>
                  </w:r>
                </w:p>
              </w:tc>
              <w:tc>
                <w:tcPr>
                  <w:tcW w:w="3724" w:type="dxa"/>
                  <w:tcBorders>
                    <w:top w:val="nil"/>
                    <w:left w:val="nil"/>
                    <w:bottom w:val="single" w:sz="4" w:space="0" w:color="auto"/>
                    <w:right w:val="single" w:sz="4" w:space="0" w:color="auto"/>
                  </w:tcBorders>
                  <w:vAlign w:val="center"/>
                </w:tcPr>
                <w:p w:rsidR="00BC07F0" w:rsidRDefault="00073EFB">
                  <w:pPr>
                    <w:pStyle w:val="a7"/>
                    <w:jc w:val="left"/>
                    <w:rPr>
                      <w:rFonts w:hint="default"/>
                    </w:rPr>
                  </w:pPr>
                  <w:r>
                    <w:t>水力发电：引水式发电、涉及调峰发电的项目；</w:t>
                  </w:r>
                </w:p>
                <w:p w:rsidR="00BC07F0" w:rsidRDefault="00073EFB">
                  <w:pPr>
                    <w:pStyle w:val="a7"/>
                    <w:jc w:val="left"/>
                    <w:rPr>
                      <w:rFonts w:hint="default"/>
                    </w:rPr>
                  </w:pPr>
                  <w:r>
                    <w:t>人工湖、人工湿地：全部；</w:t>
                  </w:r>
                </w:p>
                <w:p w:rsidR="00BC07F0" w:rsidRDefault="00073EFB">
                  <w:pPr>
                    <w:pStyle w:val="a7"/>
                    <w:jc w:val="left"/>
                    <w:rPr>
                      <w:rFonts w:hint="default"/>
                    </w:rPr>
                  </w:pPr>
                  <w:r>
                    <w:t>项目</w:t>
                  </w:r>
                  <w:r>
                    <w:t>：全部；</w:t>
                  </w:r>
                </w:p>
                <w:p w:rsidR="00BC07F0" w:rsidRDefault="00073EFB">
                  <w:pPr>
                    <w:pStyle w:val="a7"/>
                    <w:jc w:val="left"/>
                    <w:rPr>
                      <w:rFonts w:hint="default"/>
                    </w:rPr>
                  </w:pPr>
                  <w:r>
                    <w:t>引水工程：全部（配套的管线工程等除外）；</w:t>
                  </w:r>
                </w:p>
                <w:p w:rsidR="00BC07F0" w:rsidRDefault="00073EFB">
                  <w:pPr>
                    <w:pStyle w:val="a7"/>
                    <w:jc w:val="left"/>
                    <w:rPr>
                      <w:rFonts w:hint="default"/>
                    </w:rPr>
                  </w:pPr>
                  <w:r>
                    <w:t>防洪除涝工程：包含</w:t>
                  </w:r>
                  <w:r>
                    <w:t>水库</w:t>
                  </w:r>
                  <w:r>
                    <w:t>的项目；</w:t>
                  </w:r>
                </w:p>
                <w:p w:rsidR="00BC07F0" w:rsidRDefault="00073EFB">
                  <w:pPr>
                    <w:pStyle w:val="a7"/>
                    <w:jc w:val="left"/>
                    <w:rPr>
                      <w:rFonts w:hint="default"/>
                    </w:rPr>
                  </w:pPr>
                  <w:r>
                    <w:t>河湖整治：涉及清淤且底泥存在重金属污染的项目</w:t>
                  </w:r>
                  <w:r>
                    <w:t>；</w:t>
                  </w:r>
                </w:p>
              </w:tc>
              <w:tc>
                <w:tcPr>
                  <w:tcW w:w="1681" w:type="dxa"/>
                  <w:tcBorders>
                    <w:top w:val="nil"/>
                    <w:left w:val="nil"/>
                    <w:bottom w:val="single" w:sz="4" w:space="0" w:color="auto"/>
                    <w:right w:val="single" w:sz="4" w:space="0" w:color="auto"/>
                  </w:tcBorders>
                  <w:vAlign w:val="center"/>
                </w:tcPr>
                <w:p w:rsidR="00BC07F0" w:rsidRDefault="00073EFB">
                  <w:pPr>
                    <w:pStyle w:val="a7"/>
                    <w:rPr>
                      <w:rFonts w:hint="default"/>
                    </w:rPr>
                  </w:pPr>
                  <w:r>
                    <w:t>铜桥港湿地公园工程</w:t>
                  </w:r>
                  <w:r>
                    <w:t>涉及</w:t>
                  </w:r>
                  <w:r>
                    <w:t>人工湿地</w:t>
                  </w:r>
                </w:p>
              </w:tc>
              <w:tc>
                <w:tcPr>
                  <w:tcW w:w="897" w:type="dxa"/>
                  <w:tcBorders>
                    <w:top w:val="nil"/>
                    <w:left w:val="nil"/>
                    <w:bottom w:val="single" w:sz="4" w:space="0" w:color="auto"/>
                    <w:right w:val="single" w:sz="4" w:space="0" w:color="auto"/>
                  </w:tcBorders>
                  <w:vAlign w:val="center"/>
                </w:tcPr>
                <w:p w:rsidR="00BC07F0" w:rsidRDefault="00073EFB">
                  <w:pPr>
                    <w:pStyle w:val="a7"/>
                    <w:rPr>
                      <w:rFonts w:hint="default"/>
                    </w:rPr>
                  </w:pPr>
                  <w:r>
                    <w:t>√</w:t>
                  </w:r>
                </w:p>
              </w:tc>
            </w:tr>
            <w:tr w:rsidR="00BC07F0">
              <w:trPr>
                <w:trHeight w:val="454"/>
                <w:jc w:val="center"/>
              </w:trPr>
              <w:tc>
                <w:tcPr>
                  <w:tcW w:w="1175" w:type="dxa"/>
                  <w:tcBorders>
                    <w:top w:val="nil"/>
                    <w:left w:val="single" w:sz="4" w:space="0" w:color="auto"/>
                    <w:bottom w:val="single" w:sz="4" w:space="0" w:color="auto"/>
                    <w:right w:val="single" w:sz="4" w:space="0" w:color="auto"/>
                  </w:tcBorders>
                  <w:vAlign w:val="center"/>
                </w:tcPr>
                <w:p w:rsidR="00BC07F0" w:rsidRDefault="00073EFB">
                  <w:pPr>
                    <w:pStyle w:val="a7"/>
                    <w:rPr>
                      <w:rFonts w:hint="default"/>
                    </w:rPr>
                  </w:pPr>
                  <w:r>
                    <w:t>地下水</w:t>
                  </w:r>
                </w:p>
              </w:tc>
              <w:tc>
                <w:tcPr>
                  <w:tcW w:w="3724" w:type="dxa"/>
                  <w:tcBorders>
                    <w:top w:val="nil"/>
                    <w:left w:val="nil"/>
                    <w:bottom w:val="single" w:sz="4" w:space="0" w:color="auto"/>
                    <w:right w:val="single" w:sz="4" w:space="0" w:color="auto"/>
                  </w:tcBorders>
                  <w:vAlign w:val="center"/>
                </w:tcPr>
                <w:p w:rsidR="00BC07F0" w:rsidRDefault="00073EFB">
                  <w:pPr>
                    <w:pStyle w:val="a7"/>
                    <w:jc w:val="left"/>
                    <w:rPr>
                      <w:rFonts w:hint="default"/>
                    </w:rPr>
                  </w:pPr>
                  <w:r>
                    <w:t>陆地石油和天然气开采：全部；</w:t>
                  </w:r>
                </w:p>
                <w:p w:rsidR="00BC07F0" w:rsidRDefault="00073EFB">
                  <w:pPr>
                    <w:pStyle w:val="a7"/>
                    <w:jc w:val="left"/>
                    <w:rPr>
                      <w:rFonts w:hint="default"/>
                    </w:rPr>
                  </w:pPr>
                  <w:r>
                    <w:t>地下水（含矿泉水）开采：全部；</w:t>
                  </w:r>
                </w:p>
                <w:p w:rsidR="00BC07F0" w:rsidRDefault="00073EFB">
                  <w:pPr>
                    <w:pStyle w:val="a7"/>
                    <w:jc w:val="left"/>
                    <w:rPr>
                      <w:rFonts w:hint="default"/>
                    </w:rPr>
                  </w:pPr>
                  <w:r>
                    <w:t>水利、水电、交通等：含穿越可溶岩地层隧道的项目</w:t>
                  </w:r>
                  <w:r>
                    <w:t>。</w:t>
                  </w:r>
                </w:p>
              </w:tc>
              <w:tc>
                <w:tcPr>
                  <w:tcW w:w="1681" w:type="dxa"/>
                  <w:tcBorders>
                    <w:top w:val="nil"/>
                    <w:left w:val="nil"/>
                    <w:bottom w:val="single" w:sz="4" w:space="0" w:color="auto"/>
                    <w:right w:val="single" w:sz="4" w:space="0" w:color="auto"/>
                  </w:tcBorders>
                  <w:vAlign w:val="center"/>
                </w:tcPr>
                <w:p w:rsidR="00BC07F0" w:rsidRDefault="00073EFB">
                  <w:pPr>
                    <w:pStyle w:val="a7"/>
                    <w:rPr>
                      <w:rFonts w:hint="default"/>
                    </w:rPr>
                  </w:pPr>
                  <w:r>
                    <w:t>本项目工程</w:t>
                  </w:r>
                  <w:r>
                    <w:t>不涉及</w:t>
                  </w:r>
                  <w:r>
                    <w:t>地下水</w:t>
                  </w:r>
                  <w:r>
                    <w:t>专项评价的类别</w:t>
                  </w:r>
                </w:p>
              </w:tc>
              <w:tc>
                <w:tcPr>
                  <w:tcW w:w="897" w:type="dxa"/>
                  <w:tcBorders>
                    <w:top w:val="nil"/>
                    <w:left w:val="nil"/>
                    <w:bottom w:val="single" w:sz="4" w:space="0" w:color="auto"/>
                    <w:right w:val="single" w:sz="4" w:space="0" w:color="auto"/>
                  </w:tcBorders>
                  <w:vAlign w:val="center"/>
                </w:tcPr>
                <w:p w:rsidR="00BC07F0" w:rsidRDefault="00073EFB">
                  <w:pPr>
                    <w:pStyle w:val="a7"/>
                    <w:rPr>
                      <w:rFonts w:hint="default"/>
                    </w:rPr>
                  </w:pPr>
                  <w:r>
                    <w:t>×</w:t>
                  </w:r>
                </w:p>
              </w:tc>
            </w:tr>
            <w:tr w:rsidR="00BC07F0">
              <w:trPr>
                <w:trHeight w:val="454"/>
                <w:jc w:val="center"/>
              </w:trPr>
              <w:tc>
                <w:tcPr>
                  <w:tcW w:w="1175" w:type="dxa"/>
                  <w:tcBorders>
                    <w:top w:val="nil"/>
                    <w:left w:val="single" w:sz="4" w:space="0" w:color="auto"/>
                    <w:bottom w:val="single" w:sz="4" w:space="0" w:color="auto"/>
                    <w:right w:val="single" w:sz="4" w:space="0" w:color="auto"/>
                  </w:tcBorders>
                  <w:vAlign w:val="center"/>
                </w:tcPr>
                <w:p w:rsidR="00BC07F0" w:rsidRDefault="00073EFB">
                  <w:pPr>
                    <w:pStyle w:val="a7"/>
                    <w:rPr>
                      <w:rFonts w:hint="default"/>
                    </w:rPr>
                  </w:pPr>
                  <w:r>
                    <w:t>生态</w:t>
                  </w:r>
                </w:p>
              </w:tc>
              <w:tc>
                <w:tcPr>
                  <w:tcW w:w="3724" w:type="dxa"/>
                  <w:tcBorders>
                    <w:top w:val="nil"/>
                    <w:left w:val="nil"/>
                    <w:bottom w:val="single" w:sz="4" w:space="0" w:color="auto"/>
                    <w:right w:val="single" w:sz="4" w:space="0" w:color="auto"/>
                  </w:tcBorders>
                  <w:vAlign w:val="center"/>
                </w:tcPr>
                <w:p w:rsidR="00BC07F0" w:rsidRDefault="00073EFB">
                  <w:pPr>
                    <w:pStyle w:val="a7"/>
                    <w:jc w:val="left"/>
                    <w:rPr>
                      <w:rFonts w:hint="default"/>
                    </w:rPr>
                  </w:pPr>
                  <w:r>
                    <w:t>涉及环境敏感区（不包括饮用水水源保护区，以居住、医疗卫生、文化教育、科研、行政办公为主要功能的区域，以及文物保护单位）的项目</w:t>
                  </w:r>
                </w:p>
              </w:tc>
              <w:tc>
                <w:tcPr>
                  <w:tcW w:w="1681" w:type="dxa"/>
                  <w:tcBorders>
                    <w:top w:val="nil"/>
                    <w:left w:val="nil"/>
                    <w:bottom w:val="single" w:sz="4" w:space="0" w:color="auto"/>
                    <w:right w:val="single" w:sz="4" w:space="0" w:color="auto"/>
                  </w:tcBorders>
                  <w:vAlign w:val="center"/>
                </w:tcPr>
                <w:p w:rsidR="00BC07F0" w:rsidRDefault="00073EFB">
                  <w:pPr>
                    <w:pStyle w:val="a7"/>
                    <w:rPr>
                      <w:rFonts w:hint="default"/>
                    </w:rPr>
                  </w:pPr>
                  <w:r>
                    <w:t>本项目工程</w:t>
                  </w:r>
                  <w:r>
                    <w:t>不涉及</w:t>
                  </w:r>
                  <w:r>
                    <w:t>生态</w:t>
                  </w:r>
                  <w:r>
                    <w:t>专项评价的类别</w:t>
                  </w:r>
                </w:p>
              </w:tc>
              <w:tc>
                <w:tcPr>
                  <w:tcW w:w="897" w:type="dxa"/>
                  <w:tcBorders>
                    <w:top w:val="nil"/>
                    <w:left w:val="nil"/>
                    <w:bottom w:val="single" w:sz="4" w:space="0" w:color="auto"/>
                    <w:right w:val="single" w:sz="4" w:space="0" w:color="auto"/>
                  </w:tcBorders>
                  <w:vAlign w:val="center"/>
                </w:tcPr>
                <w:p w:rsidR="00BC07F0" w:rsidRDefault="00073EFB">
                  <w:pPr>
                    <w:pStyle w:val="a7"/>
                    <w:rPr>
                      <w:rFonts w:hint="default"/>
                    </w:rPr>
                  </w:pPr>
                  <w:r>
                    <w:t>×</w:t>
                  </w:r>
                </w:p>
              </w:tc>
            </w:tr>
            <w:tr w:rsidR="00BC07F0">
              <w:trPr>
                <w:trHeight w:val="454"/>
                <w:jc w:val="center"/>
              </w:trPr>
              <w:tc>
                <w:tcPr>
                  <w:tcW w:w="1175" w:type="dxa"/>
                  <w:tcBorders>
                    <w:top w:val="nil"/>
                    <w:left w:val="single" w:sz="4" w:space="0" w:color="auto"/>
                    <w:bottom w:val="single" w:sz="4" w:space="0" w:color="auto"/>
                    <w:right w:val="single" w:sz="4" w:space="0" w:color="auto"/>
                  </w:tcBorders>
                  <w:vAlign w:val="center"/>
                </w:tcPr>
                <w:p w:rsidR="00BC07F0" w:rsidRDefault="00073EFB">
                  <w:pPr>
                    <w:pStyle w:val="a7"/>
                    <w:rPr>
                      <w:rFonts w:hint="default"/>
                    </w:rPr>
                  </w:pPr>
                  <w:r>
                    <w:t>大气</w:t>
                  </w:r>
                </w:p>
              </w:tc>
              <w:tc>
                <w:tcPr>
                  <w:tcW w:w="3724" w:type="dxa"/>
                  <w:tcBorders>
                    <w:top w:val="nil"/>
                    <w:left w:val="nil"/>
                    <w:bottom w:val="single" w:sz="4" w:space="0" w:color="auto"/>
                    <w:right w:val="single" w:sz="4" w:space="0" w:color="auto"/>
                  </w:tcBorders>
                  <w:vAlign w:val="center"/>
                </w:tcPr>
                <w:p w:rsidR="00BC07F0" w:rsidRDefault="00073EFB">
                  <w:pPr>
                    <w:pStyle w:val="a7"/>
                    <w:jc w:val="left"/>
                    <w:rPr>
                      <w:rFonts w:hint="default"/>
                    </w:rPr>
                  </w:pPr>
                  <w:r>
                    <w:t>油气、液体化工码头：全部；</w:t>
                  </w:r>
                </w:p>
                <w:p w:rsidR="00BC07F0" w:rsidRDefault="00073EFB">
                  <w:pPr>
                    <w:pStyle w:val="a7"/>
                    <w:jc w:val="left"/>
                    <w:rPr>
                      <w:rFonts w:hint="default"/>
                    </w:rPr>
                  </w:pPr>
                  <w:r>
                    <w:t>干散货（含煤炭、矿石）、件杂、多用途、通用码头：涉及粉尘、挥发性有机物排放的项目</w:t>
                  </w:r>
                </w:p>
              </w:tc>
              <w:tc>
                <w:tcPr>
                  <w:tcW w:w="1681" w:type="dxa"/>
                  <w:tcBorders>
                    <w:top w:val="nil"/>
                    <w:left w:val="nil"/>
                    <w:bottom w:val="single" w:sz="4" w:space="0" w:color="auto"/>
                    <w:right w:val="single" w:sz="4" w:space="0" w:color="auto"/>
                  </w:tcBorders>
                  <w:vAlign w:val="center"/>
                </w:tcPr>
                <w:p w:rsidR="00BC07F0" w:rsidRDefault="00073EFB">
                  <w:pPr>
                    <w:pStyle w:val="a7"/>
                    <w:rPr>
                      <w:rFonts w:hint="default"/>
                    </w:rPr>
                  </w:pPr>
                  <w:r>
                    <w:t>本项目工程</w:t>
                  </w:r>
                  <w:r>
                    <w:t>不涉及</w:t>
                  </w:r>
                  <w:r>
                    <w:t>大气</w:t>
                  </w:r>
                  <w:r>
                    <w:t>专项评价的类别</w:t>
                  </w:r>
                </w:p>
              </w:tc>
              <w:tc>
                <w:tcPr>
                  <w:tcW w:w="897" w:type="dxa"/>
                  <w:tcBorders>
                    <w:top w:val="nil"/>
                    <w:left w:val="nil"/>
                    <w:bottom w:val="single" w:sz="4" w:space="0" w:color="auto"/>
                    <w:right w:val="single" w:sz="4" w:space="0" w:color="auto"/>
                  </w:tcBorders>
                  <w:vAlign w:val="center"/>
                </w:tcPr>
                <w:p w:rsidR="00BC07F0" w:rsidRDefault="00073EFB">
                  <w:pPr>
                    <w:pStyle w:val="a7"/>
                    <w:rPr>
                      <w:rFonts w:hint="default"/>
                    </w:rPr>
                  </w:pPr>
                  <w:r>
                    <w:t>×</w:t>
                  </w:r>
                </w:p>
              </w:tc>
            </w:tr>
            <w:tr w:rsidR="00BC07F0">
              <w:trPr>
                <w:trHeight w:val="454"/>
                <w:jc w:val="center"/>
              </w:trPr>
              <w:tc>
                <w:tcPr>
                  <w:tcW w:w="1175" w:type="dxa"/>
                  <w:tcBorders>
                    <w:top w:val="nil"/>
                    <w:left w:val="single" w:sz="4" w:space="0" w:color="auto"/>
                    <w:bottom w:val="single" w:sz="4" w:space="0" w:color="auto"/>
                    <w:right w:val="single" w:sz="4" w:space="0" w:color="auto"/>
                  </w:tcBorders>
                  <w:vAlign w:val="center"/>
                </w:tcPr>
                <w:p w:rsidR="00BC07F0" w:rsidRDefault="00073EFB">
                  <w:pPr>
                    <w:pStyle w:val="a7"/>
                    <w:rPr>
                      <w:rFonts w:hint="default"/>
                    </w:rPr>
                  </w:pPr>
                  <w:r>
                    <w:t>噪声</w:t>
                  </w:r>
                </w:p>
              </w:tc>
              <w:tc>
                <w:tcPr>
                  <w:tcW w:w="3724" w:type="dxa"/>
                  <w:tcBorders>
                    <w:top w:val="nil"/>
                    <w:left w:val="nil"/>
                    <w:bottom w:val="single" w:sz="4" w:space="0" w:color="auto"/>
                    <w:right w:val="single" w:sz="4" w:space="0" w:color="auto"/>
                  </w:tcBorders>
                  <w:vAlign w:val="center"/>
                </w:tcPr>
                <w:p w:rsidR="00BC07F0" w:rsidRDefault="00073EFB">
                  <w:pPr>
                    <w:pStyle w:val="a7"/>
                    <w:jc w:val="left"/>
                    <w:rPr>
                      <w:rFonts w:hint="default"/>
                    </w:rPr>
                  </w:pPr>
                  <w:r>
                    <w:t>公路、铁路、机场等交通运输业涉及环境敏感区（以居住、医疗卫生、文化教育、科研、行政办公为主要功能的区域）的项目；</w:t>
                  </w:r>
                </w:p>
                <w:p w:rsidR="00BC07F0" w:rsidRDefault="00073EFB">
                  <w:pPr>
                    <w:pStyle w:val="a7"/>
                    <w:jc w:val="left"/>
                    <w:rPr>
                      <w:rFonts w:hint="default"/>
                    </w:rPr>
                  </w:pPr>
                  <w:r>
                    <w:lastRenderedPageBreak/>
                    <w:t>城市道路（不含维护，不含支路、人行天桥、人行地道）：全部</w:t>
                  </w:r>
                </w:p>
              </w:tc>
              <w:tc>
                <w:tcPr>
                  <w:tcW w:w="1681" w:type="dxa"/>
                  <w:tcBorders>
                    <w:top w:val="nil"/>
                    <w:left w:val="nil"/>
                    <w:bottom w:val="single" w:sz="4" w:space="0" w:color="auto"/>
                    <w:right w:val="single" w:sz="4" w:space="0" w:color="auto"/>
                  </w:tcBorders>
                  <w:vAlign w:val="center"/>
                </w:tcPr>
                <w:p w:rsidR="00BC07F0" w:rsidRDefault="00073EFB">
                  <w:pPr>
                    <w:pStyle w:val="a7"/>
                    <w:rPr>
                      <w:rFonts w:hint="default"/>
                    </w:rPr>
                  </w:pPr>
                  <w:r>
                    <w:lastRenderedPageBreak/>
                    <w:t>配套城市道路前进路、酃白路工程</w:t>
                  </w:r>
                  <w:r>
                    <w:t>涉及</w:t>
                  </w:r>
                  <w:r>
                    <w:t>城市道路</w:t>
                  </w:r>
                </w:p>
              </w:tc>
              <w:tc>
                <w:tcPr>
                  <w:tcW w:w="897" w:type="dxa"/>
                  <w:tcBorders>
                    <w:top w:val="nil"/>
                    <w:left w:val="nil"/>
                    <w:bottom w:val="single" w:sz="4" w:space="0" w:color="auto"/>
                    <w:right w:val="single" w:sz="4" w:space="0" w:color="auto"/>
                  </w:tcBorders>
                  <w:vAlign w:val="center"/>
                </w:tcPr>
                <w:p w:rsidR="00BC07F0" w:rsidRDefault="00073EFB">
                  <w:pPr>
                    <w:pStyle w:val="a7"/>
                    <w:rPr>
                      <w:rFonts w:hint="default"/>
                    </w:rPr>
                  </w:pPr>
                  <w:r>
                    <w:t>√</w:t>
                  </w:r>
                </w:p>
              </w:tc>
            </w:tr>
            <w:tr w:rsidR="00BC07F0">
              <w:trPr>
                <w:trHeight w:val="454"/>
                <w:jc w:val="center"/>
              </w:trPr>
              <w:tc>
                <w:tcPr>
                  <w:tcW w:w="1175" w:type="dxa"/>
                  <w:tcBorders>
                    <w:top w:val="single" w:sz="4" w:space="0" w:color="auto"/>
                    <w:left w:val="single" w:sz="4" w:space="0" w:color="auto"/>
                    <w:bottom w:val="single" w:sz="4" w:space="0" w:color="auto"/>
                    <w:right w:val="single" w:sz="4" w:space="0" w:color="auto"/>
                  </w:tcBorders>
                  <w:vAlign w:val="center"/>
                </w:tcPr>
                <w:p w:rsidR="00BC07F0" w:rsidRDefault="00073EFB">
                  <w:pPr>
                    <w:pStyle w:val="a7"/>
                    <w:rPr>
                      <w:rFonts w:hint="default"/>
                    </w:rPr>
                  </w:pPr>
                  <w:r>
                    <w:lastRenderedPageBreak/>
                    <w:t>环境风险</w:t>
                  </w:r>
                </w:p>
              </w:tc>
              <w:tc>
                <w:tcPr>
                  <w:tcW w:w="3724" w:type="dxa"/>
                  <w:tcBorders>
                    <w:top w:val="single" w:sz="4" w:space="0" w:color="auto"/>
                    <w:left w:val="nil"/>
                    <w:bottom w:val="single" w:sz="4" w:space="0" w:color="auto"/>
                    <w:right w:val="single" w:sz="4" w:space="0" w:color="auto"/>
                  </w:tcBorders>
                  <w:vAlign w:val="center"/>
                </w:tcPr>
                <w:p w:rsidR="00BC07F0" w:rsidRDefault="00073EFB">
                  <w:pPr>
                    <w:pStyle w:val="a7"/>
                    <w:jc w:val="left"/>
                    <w:rPr>
                      <w:rFonts w:hint="default"/>
                    </w:rPr>
                  </w:pPr>
                  <w:r>
                    <w:t>石油和天然气开采：全部；</w:t>
                  </w:r>
                </w:p>
                <w:p w:rsidR="00BC07F0" w:rsidRDefault="00073EFB">
                  <w:pPr>
                    <w:pStyle w:val="a7"/>
                    <w:jc w:val="left"/>
                    <w:rPr>
                      <w:rFonts w:hint="default"/>
                    </w:rPr>
                  </w:pPr>
                  <w:r>
                    <w:t>油气、液体化工码头：全部；</w:t>
                  </w:r>
                </w:p>
                <w:p w:rsidR="00BC07F0" w:rsidRDefault="00073EFB">
                  <w:pPr>
                    <w:pStyle w:val="a7"/>
                    <w:jc w:val="left"/>
                    <w:rPr>
                      <w:rFonts w:hint="default"/>
                    </w:rPr>
                  </w:pPr>
                  <w:r>
                    <w:t>原油、成品油、天然气管线（不含城镇天然气管线、企业厂区内管线），危险化学品输送管线（不含企业厂区内管线）：全部</w:t>
                  </w:r>
                </w:p>
              </w:tc>
              <w:tc>
                <w:tcPr>
                  <w:tcW w:w="1681" w:type="dxa"/>
                  <w:tcBorders>
                    <w:top w:val="single" w:sz="4" w:space="0" w:color="auto"/>
                    <w:left w:val="nil"/>
                    <w:bottom w:val="single" w:sz="4" w:space="0" w:color="auto"/>
                    <w:right w:val="single" w:sz="4" w:space="0" w:color="auto"/>
                  </w:tcBorders>
                  <w:vAlign w:val="center"/>
                </w:tcPr>
                <w:p w:rsidR="00BC07F0" w:rsidRDefault="00073EFB">
                  <w:pPr>
                    <w:pStyle w:val="a7"/>
                    <w:rPr>
                      <w:rFonts w:hint="default"/>
                    </w:rPr>
                  </w:pPr>
                  <w:r>
                    <w:t>本项目工程</w:t>
                  </w:r>
                  <w:r>
                    <w:t>不涉及</w:t>
                  </w:r>
                  <w:r>
                    <w:t>环境风险专项评价的类别</w:t>
                  </w:r>
                </w:p>
              </w:tc>
              <w:tc>
                <w:tcPr>
                  <w:tcW w:w="897" w:type="dxa"/>
                  <w:tcBorders>
                    <w:top w:val="single" w:sz="4" w:space="0" w:color="auto"/>
                    <w:left w:val="nil"/>
                    <w:bottom w:val="single" w:sz="4" w:space="0" w:color="auto"/>
                    <w:right w:val="single" w:sz="4" w:space="0" w:color="auto"/>
                  </w:tcBorders>
                  <w:vAlign w:val="center"/>
                </w:tcPr>
                <w:p w:rsidR="00BC07F0" w:rsidRDefault="00073EFB">
                  <w:pPr>
                    <w:pStyle w:val="a7"/>
                    <w:rPr>
                      <w:rFonts w:hint="default"/>
                    </w:rPr>
                  </w:pPr>
                  <w:r>
                    <w:t>×</w:t>
                  </w:r>
                </w:p>
              </w:tc>
            </w:tr>
          </w:tbl>
          <w:p w:rsidR="00BC07F0" w:rsidRDefault="00BC07F0">
            <w:pPr>
              <w:pStyle w:val="a7"/>
              <w:jc w:val="left"/>
              <w:rPr>
                <w:rFonts w:hint="default"/>
                <w:sz w:val="24"/>
                <w:szCs w:val="24"/>
              </w:rPr>
            </w:pPr>
          </w:p>
        </w:tc>
      </w:tr>
      <w:tr w:rsidR="00BC07F0">
        <w:trPr>
          <w:trHeight w:val="454"/>
        </w:trPr>
        <w:tc>
          <w:tcPr>
            <w:tcW w:w="1800" w:type="dxa"/>
            <w:tcMar>
              <w:top w:w="16" w:type="dxa"/>
              <w:left w:w="16" w:type="dxa"/>
              <w:right w:w="16" w:type="dxa"/>
            </w:tcMar>
            <w:vAlign w:val="center"/>
          </w:tcPr>
          <w:p w:rsidR="00BC07F0" w:rsidRDefault="00073EFB">
            <w:pPr>
              <w:pStyle w:val="a7"/>
              <w:rPr>
                <w:rFonts w:hint="default"/>
                <w:b/>
                <w:bCs/>
                <w:sz w:val="24"/>
                <w:szCs w:val="24"/>
              </w:rPr>
            </w:pPr>
            <w:r>
              <w:rPr>
                <w:b/>
                <w:bCs/>
                <w:sz w:val="24"/>
                <w:szCs w:val="24"/>
              </w:rPr>
              <w:lastRenderedPageBreak/>
              <w:t>规划情况</w:t>
            </w:r>
          </w:p>
        </w:tc>
        <w:tc>
          <w:tcPr>
            <w:tcW w:w="7602" w:type="dxa"/>
            <w:gridSpan w:val="3"/>
            <w:tcMar>
              <w:top w:w="16" w:type="dxa"/>
              <w:left w:w="16" w:type="dxa"/>
              <w:right w:w="16" w:type="dxa"/>
            </w:tcMar>
            <w:vAlign w:val="center"/>
          </w:tcPr>
          <w:p w:rsidR="00BC07F0" w:rsidRDefault="00073EFB">
            <w:pPr>
              <w:ind w:firstLineChars="0" w:firstLine="0"/>
              <w:jc w:val="center"/>
            </w:pPr>
            <w:r>
              <w:rPr>
                <w:rFonts w:hint="eastAsia"/>
              </w:rPr>
              <w:t>无</w:t>
            </w:r>
          </w:p>
        </w:tc>
      </w:tr>
      <w:tr w:rsidR="00BC07F0">
        <w:trPr>
          <w:trHeight w:val="454"/>
        </w:trPr>
        <w:tc>
          <w:tcPr>
            <w:tcW w:w="1800" w:type="dxa"/>
            <w:tcMar>
              <w:top w:w="16" w:type="dxa"/>
              <w:left w:w="16" w:type="dxa"/>
              <w:right w:w="16" w:type="dxa"/>
            </w:tcMar>
            <w:vAlign w:val="center"/>
          </w:tcPr>
          <w:p w:rsidR="00BC07F0" w:rsidRDefault="00073EFB">
            <w:pPr>
              <w:pStyle w:val="a7"/>
              <w:rPr>
                <w:rFonts w:hint="default"/>
                <w:b/>
                <w:bCs/>
                <w:sz w:val="24"/>
                <w:szCs w:val="24"/>
              </w:rPr>
            </w:pPr>
            <w:r>
              <w:rPr>
                <w:b/>
                <w:bCs/>
                <w:sz w:val="24"/>
                <w:szCs w:val="24"/>
              </w:rPr>
              <w:t>规划环境影响</w:t>
            </w:r>
          </w:p>
          <w:p w:rsidR="00BC07F0" w:rsidRDefault="00073EFB">
            <w:pPr>
              <w:pStyle w:val="a7"/>
              <w:rPr>
                <w:rFonts w:hint="default"/>
                <w:b/>
                <w:bCs/>
                <w:sz w:val="24"/>
                <w:szCs w:val="24"/>
              </w:rPr>
            </w:pPr>
            <w:r>
              <w:rPr>
                <w:b/>
                <w:bCs/>
                <w:sz w:val="24"/>
                <w:szCs w:val="24"/>
              </w:rPr>
              <w:t>评价情况</w:t>
            </w:r>
          </w:p>
        </w:tc>
        <w:tc>
          <w:tcPr>
            <w:tcW w:w="7602" w:type="dxa"/>
            <w:gridSpan w:val="3"/>
            <w:tcMar>
              <w:top w:w="16" w:type="dxa"/>
              <w:left w:w="16" w:type="dxa"/>
              <w:right w:w="16" w:type="dxa"/>
            </w:tcMar>
            <w:vAlign w:val="center"/>
          </w:tcPr>
          <w:p w:rsidR="00BC07F0" w:rsidRDefault="00073EFB">
            <w:pPr>
              <w:ind w:firstLineChars="0" w:firstLine="0"/>
              <w:jc w:val="center"/>
            </w:pPr>
            <w:r>
              <w:rPr>
                <w:rFonts w:hint="eastAsia"/>
              </w:rPr>
              <w:t>无</w:t>
            </w:r>
          </w:p>
        </w:tc>
      </w:tr>
      <w:tr w:rsidR="00BC07F0">
        <w:trPr>
          <w:trHeight w:val="454"/>
        </w:trPr>
        <w:tc>
          <w:tcPr>
            <w:tcW w:w="1800" w:type="dxa"/>
            <w:tcMar>
              <w:top w:w="16" w:type="dxa"/>
              <w:left w:w="16" w:type="dxa"/>
              <w:right w:w="16" w:type="dxa"/>
            </w:tcMar>
            <w:vAlign w:val="center"/>
          </w:tcPr>
          <w:p w:rsidR="00BC07F0" w:rsidRDefault="00073EFB">
            <w:pPr>
              <w:pStyle w:val="a7"/>
              <w:rPr>
                <w:rFonts w:hint="default"/>
                <w:b/>
                <w:bCs/>
                <w:sz w:val="24"/>
                <w:szCs w:val="24"/>
              </w:rPr>
            </w:pPr>
            <w:r>
              <w:rPr>
                <w:b/>
                <w:bCs/>
                <w:sz w:val="24"/>
                <w:szCs w:val="24"/>
              </w:rPr>
              <w:t>规划及规划环境影响评价符合性分析</w:t>
            </w:r>
          </w:p>
        </w:tc>
        <w:tc>
          <w:tcPr>
            <w:tcW w:w="7602" w:type="dxa"/>
            <w:gridSpan w:val="3"/>
            <w:tcMar>
              <w:top w:w="16" w:type="dxa"/>
              <w:left w:w="16" w:type="dxa"/>
              <w:right w:w="16" w:type="dxa"/>
            </w:tcMar>
            <w:vAlign w:val="center"/>
          </w:tcPr>
          <w:p w:rsidR="00BC07F0" w:rsidRDefault="00073EFB">
            <w:pPr>
              <w:ind w:firstLineChars="0" w:firstLine="0"/>
              <w:jc w:val="center"/>
            </w:pPr>
            <w:r>
              <w:rPr>
                <w:rFonts w:hint="eastAsia"/>
              </w:rPr>
              <w:t>无</w:t>
            </w:r>
          </w:p>
        </w:tc>
      </w:tr>
      <w:tr w:rsidR="00BC07F0">
        <w:trPr>
          <w:trHeight w:val="454"/>
        </w:trPr>
        <w:tc>
          <w:tcPr>
            <w:tcW w:w="1800" w:type="dxa"/>
            <w:tcMar>
              <w:top w:w="16" w:type="dxa"/>
              <w:left w:w="16" w:type="dxa"/>
              <w:right w:w="16" w:type="dxa"/>
            </w:tcMar>
            <w:vAlign w:val="center"/>
          </w:tcPr>
          <w:p w:rsidR="00BC07F0" w:rsidRDefault="00073EFB">
            <w:pPr>
              <w:pStyle w:val="a7"/>
              <w:rPr>
                <w:rFonts w:hint="default"/>
                <w:b/>
                <w:bCs/>
                <w:sz w:val="24"/>
                <w:szCs w:val="24"/>
              </w:rPr>
            </w:pPr>
            <w:bookmarkStart w:id="10" w:name="_Hlk56690880"/>
            <w:r>
              <w:rPr>
                <w:b/>
                <w:bCs/>
                <w:sz w:val="24"/>
                <w:szCs w:val="24"/>
              </w:rPr>
              <w:t>其他符合性分析</w:t>
            </w:r>
            <w:bookmarkEnd w:id="10"/>
          </w:p>
        </w:tc>
        <w:tc>
          <w:tcPr>
            <w:tcW w:w="7602" w:type="dxa"/>
            <w:gridSpan w:val="3"/>
            <w:tcMar>
              <w:top w:w="16" w:type="dxa"/>
              <w:left w:w="16" w:type="dxa"/>
              <w:right w:w="16" w:type="dxa"/>
            </w:tcMar>
            <w:vAlign w:val="center"/>
          </w:tcPr>
          <w:p w:rsidR="00BC07F0" w:rsidRDefault="00073EFB">
            <w:pPr>
              <w:tabs>
                <w:tab w:val="left" w:pos="480"/>
              </w:tabs>
              <w:ind w:firstLine="482"/>
              <w:rPr>
                <w:b/>
                <w:bCs/>
              </w:rPr>
            </w:pPr>
            <w:r>
              <w:rPr>
                <w:rFonts w:hint="eastAsia"/>
                <w:b/>
                <w:bCs/>
              </w:rPr>
              <w:t>1.2</w:t>
            </w:r>
            <w:r>
              <w:rPr>
                <w:rFonts w:hint="eastAsia"/>
                <w:b/>
                <w:bCs/>
              </w:rPr>
              <w:t>本项目与《</w:t>
            </w:r>
            <w:r>
              <w:rPr>
                <w:rFonts w:hint="eastAsia"/>
                <w:b/>
                <w:bCs/>
              </w:rPr>
              <w:t>衡阳市人民政府关于实施“三线一单”生态环境分区管控的意见</w:t>
            </w:r>
            <w:r>
              <w:rPr>
                <w:rFonts w:hint="eastAsia"/>
                <w:b/>
                <w:bCs/>
              </w:rPr>
              <w:t>》衡政发〔</w:t>
            </w:r>
            <w:r>
              <w:rPr>
                <w:rFonts w:hint="eastAsia"/>
                <w:b/>
                <w:bCs/>
              </w:rPr>
              <w:t>2020</w:t>
            </w:r>
            <w:r>
              <w:rPr>
                <w:rFonts w:hint="eastAsia"/>
                <w:b/>
                <w:bCs/>
              </w:rPr>
              <w:t>〕</w:t>
            </w:r>
            <w:r>
              <w:rPr>
                <w:rFonts w:hint="eastAsia"/>
                <w:b/>
                <w:bCs/>
              </w:rPr>
              <w:t>9</w:t>
            </w:r>
            <w:r>
              <w:rPr>
                <w:rFonts w:hint="eastAsia"/>
                <w:b/>
                <w:bCs/>
              </w:rPr>
              <w:t>号</w:t>
            </w:r>
            <w:r>
              <w:rPr>
                <w:rFonts w:hint="eastAsia"/>
                <w:b/>
                <w:bCs/>
              </w:rPr>
              <w:t>的符合性</w:t>
            </w:r>
            <w:r>
              <w:rPr>
                <w:rFonts w:hint="eastAsia"/>
                <w:b/>
                <w:bCs/>
              </w:rPr>
              <w:t>分析</w:t>
            </w:r>
          </w:p>
          <w:p w:rsidR="00BC07F0" w:rsidRDefault="00073EFB">
            <w:pPr>
              <w:tabs>
                <w:tab w:val="left" w:pos="480"/>
              </w:tabs>
              <w:ind w:firstLine="480"/>
            </w:pPr>
            <w:r>
              <w:rPr>
                <w:rFonts w:hint="eastAsia"/>
              </w:rPr>
              <w:t>为坚决贯彻“共抓大保护，不搞大开发”方针，推动长江经济带高质量发展，根据《湖南省人民政府关于实施“三线一单”生态环境分区管控的意见》（湘政发〔</w:t>
            </w:r>
            <w:r>
              <w:rPr>
                <w:rFonts w:hint="eastAsia"/>
              </w:rPr>
              <w:t>2020</w:t>
            </w:r>
            <w:r>
              <w:rPr>
                <w:rFonts w:hint="eastAsia"/>
              </w:rPr>
              <w:t>〕</w:t>
            </w:r>
            <w:r>
              <w:rPr>
                <w:rFonts w:hint="eastAsia"/>
              </w:rPr>
              <w:t>12</w:t>
            </w:r>
            <w:r>
              <w:rPr>
                <w:rFonts w:hint="eastAsia"/>
              </w:rPr>
              <w:t>号）等有关规定，衡阳市人民政府就实施“生态保护红线、环境质量底线、资源利用上线和生态环境准入清单”（以下简称“三线一单”）生态环境分区提出了管控意见，雁峰区环境管控单元生态环境准入清单</w:t>
            </w:r>
            <w:r>
              <w:rPr>
                <w:rFonts w:hint="eastAsia"/>
              </w:rPr>
              <w:t>如下</w:t>
            </w:r>
            <w:r>
              <w:rPr>
                <w:rFonts w:hint="eastAsia"/>
              </w:rPr>
              <w:t>。</w:t>
            </w:r>
          </w:p>
          <w:p w:rsidR="00BC07F0" w:rsidRDefault="00073EFB">
            <w:pPr>
              <w:pStyle w:val="a7"/>
              <w:rPr>
                <w:rFonts w:hint="default"/>
                <w:b/>
                <w:bCs/>
              </w:rPr>
            </w:pPr>
            <w:r>
              <w:rPr>
                <w:b/>
                <w:bCs/>
              </w:rPr>
              <w:t>表</w:t>
            </w:r>
            <w:r>
              <w:rPr>
                <w:b/>
                <w:bCs/>
              </w:rPr>
              <w:t>1</w:t>
            </w:r>
            <w:r>
              <w:rPr>
                <w:b/>
                <w:bCs/>
              </w:rPr>
              <w:t>.2</w:t>
            </w:r>
            <w:r>
              <w:rPr>
                <w:b/>
                <w:bCs/>
              </w:rPr>
              <w:t>-</w:t>
            </w:r>
            <w:r>
              <w:rPr>
                <w:b/>
                <w:bCs/>
              </w:rPr>
              <w:t>1</w:t>
            </w:r>
            <w:r>
              <w:rPr>
                <w:b/>
                <w:bCs/>
              </w:rPr>
              <w:t>本项目与“</w:t>
            </w:r>
            <w:r>
              <w:rPr>
                <w:b/>
                <w:bCs/>
              </w:rPr>
              <w:t>雁峰区</w:t>
            </w:r>
            <w:r>
              <w:rPr>
                <w:b/>
                <w:bCs/>
              </w:rPr>
              <w:t>环境管控单元生态环境准入清单”符合性分析一览表</w:t>
            </w:r>
          </w:p>
          <w:tbl>
            <w:tblPr>
              <w:tblStyle w:val="a6"/>
              <w:tblW w:w="4949" w:type="pct"/>
              <w:jc w:val="center"/>
              <w:tblLayout w:type="fixed"/>
              <w:tblCellMar>
                <w:left w:w="28" w:type="dxa"/>
                <w:right w:w="28" w:type="dxa"/>
              </w:tblCellMar>
              <w:tblLook w:val="04A0"/>
            </w:tblPr>
            <w:tblGrid>
              <w:gridCol w:w="613"/>
              <w:gridCol w:w="876"/>
              <w:gridCol w:w="764"/>
              <w:gridCol w:w="749"/>
              <w:gridCol w:w="1855"/>
              <w:gridCol w:w="824"/>
              <w:gridCol w:w="1796"/>
            </w:tblGrid>
            <w:tr w:rsidR="00BC07F0">
              <w:trPr>
                <w:trHeight w:val="454"/>
                <w:jc w:val="center"/>
              </w:trPr>
              <w:tc>
                <w:tcPr>
                  <w:tcW w:w="615" w:type="dxa"/>
                  <w:tcBorders>
                    <w:tl2br w:val="nil"/>
                    <w:tr2bl w:val="nil"/>
                  </w:tcBorders>
                  <w:vAlign w:val="center"/>
                </w:tcPr>
                <w:p w:rsidR="00BC07F0" w:rsidRDefault="00073EFB">
                  <w:pPr>
                    <w:pStyle w:val="a7"/>
                    <w:rPr>
                      <w:rFonts w:hint="default"/>
                    </w:rPr>
                  </w:pPr>
                  <w:r>
                    <w:t>环境管控单元编码</w:t>
                  </w:r>
                </w:p>
              </w:tc>
              <w:tc>
                <w:tcPr>
                  <w:tcW w:w="877" w:type="dxa"/>
                  <w:tcBorders>
                    <w:tl2br w:val="nil"/>
                    <w:tr2bl w:val="nil"/>
                  </w:tcBorders>
                  <w:vAlign w:val="center"/>
                </w:tcPr>
                <w:p w:rsidR="00BC07F0" w:rsidRDefault="00073EFB">
                  <w:pPr>
                    <w:pStyle w:val="a7"/>
                    <w:rPr>
                      <w:rFonts w:hint="default"/>
                    </w:rPr>
                  </w:pPr>
                  <w:r>
                    <w:t>行政区划</w:t>
                  </w:r>
                </w:p>
              </w:tc>
              <w:tc>
                <w:tcPr>
                  <w:tcW w:w="765" w:type="dxa"/>
                  <w:tcBorders>
                    <w:tl2br w:val="nil"/>
                    <w:tr2bl w:val="nil"/>
                  </w:tcBorders>
                  <w:vAlign w:val="center"/>
                </w:tcPr>
                <w:p w:rsidR="00BC07F0" w:rsidRDefault="00073EFB">
                  <w:pPr>
                    <w:pStyle w:val="a7"/>
                    <w:rPr>
                      <w:rFonts w:hint="default"/>
                    </w:rPr>
                  </w:pPr>
                  <w:r>
                    <w:t>单元分类</w:t>
                  </w:r>
                </w:p>
              </w:tc>
              <w:tc>
                <w:tcPr>
                  <w:tcW w:w="750" w:type="dxa"/>
                  <w:tcBorders>
                    <w:tl2br w:val="nil"/>
                    <w:tr2bl w:val="nil"/>
                  </w:tcBorders>
                  <w:vAlign w:val="center"/>
                </w:tcPr>
                <w:p w:rsidR="00BC07F0" w:rsidRDefault="00073EFB">
                  <w:pPr>
                    <w:pStyle w:val="a7"/>
                    <w:rPr>
                      <w:rFonts w:hint="default"/>
                    </w:rPr>
                  </w:pPr>
                  <w:r>
                    <w:t>单元面积（</w:t>
                  </w:r>
                  <w:r>
                    <w:t>km</w:t>
                  </w:r>
                  <w:r>
                    <w:rPr>
                      <w:vertAlign w:val="superscript"/>
                    </w:rPr>
                    <w:t>2</w:t>
                  </w:r>
                  <w:r>
                    <w:t>）</w:t>
                  </w:r>
                </w:p>
              </w:tc>
              <w:tc>
                <w:tcPr>
                  <w:tcW w:w="1858" w:type="dxa"/>
                  <w:tcBorders>
                    <w:tl2br w:val="nil"/>
                    <w:tr2bl w:val="nil"/>
                  </w:tcBorders>
                  <w:vAlign w:val="center"/>
                </w:tcPr>
                <w:p w:rsidR="00BC07F0" w:rsidRDefault="00073EFB">
                  <w:pPr>
                    <w:pStyle w:val="a7"/>
                    <w:rPr>
                      <w:rFonts w:hint="default"/>
                    </w:rPr>
                  </w:pPr>
                  <w:r>
                    <w:t>涉及乡镇（街道）</w:t>
                  </w:r>
                </w:p>
              </w:tc>
              <w:tc>
                <w:tcPr>
                  <w:tcW w:w="825" w:type="dxa"/>
                  <w:tcBorders>
                    <w:tl2br w:val="nil"/>
                    <w:tr2bl w:val="nil"/>
                  </w:tcBorders>
                  <w:vAlign w:val="center"/>
                </w:tcPr>
                <w:p w:rsidR="00BC07F0" w:rsidRDefault="00073EFB">
                  <w:pPr>
                    <w:pStyle w:val="a7"/>
                    <w:rPr>
                      <w:rFonts w:hint="default"/>
                    </w:rPr>
                  </w:pPr>
                  <w:r>
                    <w:t>主体功能定位</w:t>
                  </w:r>
                </w:p>
              </w:tc>
              <w:tc>
                <w:tcPr>
                  <w:tcW w:w="1799" w:type="dxa"/>
                  <w:tcBorders>
                    <w:tl2br w:val="nil"/>
                    <w:tr2bl w:val="nil"/>
                  </w:tcBorders>
                  <w:vAlign w:val="center"/>
                </w:tcPr>
                <w:p w:rsidR="00BC07F0" w:rsidRDefault="00073EFB">
                  <w:pPr>
                    <w:pStyle w:val="a7"/>
                    <w:rPr>
                      <w:rFonts w:hint="default"/>
                    </w:rPr>
                  </w:pPr>
                  <w:r>
                    <w:t>主要环境问题</w:t>
                  </w:r>
                </w:p>
              </w:tc>
            </w:tr>
            <w:tr w:rsidR="00BC07F0">
              <w:trPr>
                <w:trHeight w:val="454"/>
                <w:jc w:val="center"/>
              </w:trPr>
              <w:tc>
                <w:tcPr>
                  <w:tcW w:w="615" w:type="dxa"/>
                  <w:tcBorders>
                    <w:tl2br w:val="nil"/>
                    <w:tr2bl w:val="nil"/>
                  </w:tcBorders>
                  <w:vAlign w:val="center"/>
                </w:tcPr>
                <w:p w:rsidR="00BC07F0" w:rsidRDefault="00073EFB">
                  <w:pPr>
                    <w:pStyle w:val="a7"/>
                    <w:rPr>
                      <w:rFonts w:hint="default"/>
                    </w:rPr>
                  </w:pPr>
                  <w:r>
                    <w:t>ZH43040620001</w:t>
                  </w:r>
                </w:p>
              </w:tc>
              <w:tc>
                <w:tcPr>
                  <w:tcW w:w="877" w:type="dxa"/>
                  <w:tcBorders>
                    <w:tl2br w:val="nil"/>
                    <w:tr2bl w:val="nil"/>
                  </w:tcBorders>
                  <w:vAlign w:val="center"/>
                </w:tcPr>
                <w:p w:rsidR="00BC07F0" w:rsidRDefault="00073EFB">
                  <w:pPr>
                    <w:pStyle w:val="a7"/>
                    <w:rPr>
                      <w:rFonts w:hint="default"/>
                    </w:rPr>
                  </w:pPr>
                  <w:r>
                    <w:t>湖南省衡阳市</w:t>
                  </w:r>
                  <w:r>
                    <w:t>雁峰</w:t>
                  </w:r>
                  <w:r>
                    <w:t>区</w:t>
                  </w:r>
                </w:p>
              </w:tc>
              <w:tc>
                <w:tcPr>
                  <w:tcW w:w="765" w:type="dxa"/>
                  <w:tcBorders>
                    <w:tl2br w:val="nil"/>
                    <w:tr2bl w:val="nil"/>
                  </w:tcBorders>
                  <w:vAlign w:val="center"/>
                </w:tcPr>
                <w:p w:rsidR="00BC07F0" w:rsidRDefault="00073EFB">
                  <w:pPr>
                    <w:pStyle w:val="a7"/>
                    <w:rPr>
                      <w:rFonts w:hint="default"/>
                    </w:rPr>
                  </w:pPr>
                  <w:r>
                    <w:t>重点管控单元</w:t>
                  </w:r>
                </w:p>
              </w:tc>
              <w:tc>
                <w:tcPr>
                  <w:tcW w:w="750" w:type="dxa"/>
                  <w:tcBorders>
                    <w:tl2br w:val="nil"/>
                    <w:tr2bl w:val="nil"/>
                  </w:tcBorders>
                  <w:vAlign w:val="center"/>
                </w:tcPr>
                <w:p w:rsidR="00BC07F0" w:rsidRDefault="00073EFB">
                  <w:pPr>
                    <w:pStyle w:val="a7"/>
                    <w:rPr>
                      <w:rFonts w:hint="default"/>
                    </w:rPr>
                  </w:pPr>
                  <w:r>
                    <w:t>78.90</w:t>
                  </w:r>
                </w:p>
              </w:tc>
              <w:tc>
                <w:tcPr>
                  <w:tcW w:w="1858" w:type="dxa"/>
                  <w:tcBorders>
                    <w:tl2br w:val="nil"/>
                    <w:tr2bl w:val="nil"/>
                  </w:tcBorders>
                  <w:vAlign w:val="center"/>
                </w:tcPr>
                <w:p w:rsidR="00BC07F0" w:rsidRDefault="00073EFB">
                  <w:pPr>
                    <w:pStyle w:val="a7"/>
                    <w:rPr>
                      <w:rFonts w:hint="default"/>
                    </w:rPr>
                  </w:pPr>
                  <w:r>
                    <w:t>先锋街道</w:t>
                  </w:r>
                  <w:r>
                    <w:t>/</w:t>
                  </w:r>
                  <w:r>
                    <w:t>雁峰街道</w:t>
                  </w:r>
                  <w:r>
                    <w:t>/</w:t>
                  </w:r>
                  <w:r>
                    <w:t>天马山街道</w:t>
                  </w:r>
                  <w:r>
                    <w:t>/</w:t>
                  </w:r>
                  <w:r>
                    <w:t>黄茶岭街道</w:t>
                  </w:r>
                  <w:r>
                    <w:t>/</w:t>
                  </w:r>
                  <w:r>
                    <w:t>白沙洲街道</w:t>
                  </w:r>
                  <w:r>
                    <w:t>/</w:t>
                  </w:r>
                  <w:r>
                    <w:t>岳屏镇</w:t>
                  </w:r>
                  <w:r>
                    <w:t>/</w:t>
                  </w:r>
                  <w:r>
                    <w:t>金龙坪街道</w:t>
                  </w:r>
                </w:p>
              </w:tc>
              <w:tc>
                <w:tcPr>
                  <w:tcW w:w="825" w:type="dxa"/>
                  <w:tcBorders>
                    <w:tl2br w:val="nil"/>
                    <w:tr2bl w:val="nil"/>
                  </w:tcBorders>
                  <w:vAlign w:val="center"/>
                </w:tcPr>
                <w:p w:rsidR="00BC07F0" w:rsidRDefault="00073EFB">
                  <w:pPr>
                    <w:pStyle w:val="a7"/>
                    <w:rPr>
                      <w:rFonts w:hint="default"/>
                    </w:rPr>
                  </w:pPr>
                  <w:r>
                    <w:t>国家层面重点开发区</w:t>
                  </w:r>
                </w:p>
              </w:tc>
              <w:tc>
                <w:tcPr>
                  <w:tcW w:w="1799" w:type="dxa"/>
                  <w:tcBorders>
                    <w:tl2br w:val="nil"/>
                    <w:tr2bl w:val="nil"/>
                  </w:tcBorders>
                  <w:vAlign w:val="center"/>
                </w:tcPr>
                <w:p w:rsidR="00BC07F0" w:rsidRDefault="00073EFB">
                  <w:pPr>
                    <w:pStyle w:val="a7"/>
                    <w:rPr>
                      <w:rFonts w:hint="default"/>
                    </w:rPr>
                  </w:pPr>
                  <w:r>
                    <w:rPr>
                      <w:rFonts w:eastAsiaTheme="minorEastAsia"/>
                      <w:kern w:val="0"/>
                      <w:szCs w:val="21"/>
                    </w:rPr>
                    <w:t>城区餐饮油烟、噪声及施工扬尘等问题；养殖废水处理不能稳定达标。</w:t>
                  </w:r>
                </w:p>
              </w:tc>
            </w:tr>
            <w:tr w:rsidR="00BC07F0">
              <w:trPr>
                <w:trHeight w:val="454"/>
                <w:jc w:val="center"/>
              </w:trPr>
              <w:tc>
                <w:tcPr>
                  <w:tcW w:w="615" w:type="dxa"/>
                  <w:tcBorders>
                    <w:tl2br w:val="nil"/>
                    <w:tr2bl w:val="nil"/>
                  </w:tcBorders>
                  <w:vAlign w:val="center"/>
                </w:tcPr>
                <w:p w:rsidR="00BC07F0" w:rsidRDefault="00073EFB">
                  <w:pPr>
                    <w:pStyle w:val="a7"/>
                    <w:rPr>
                      <w:rFonts w:hint="default"/>
                    </w:rPr>
                  </w:pPr>
                  <w:r>
                    <w:t>管控维度</w:t>
                  </w:r>
                </w:p>
              </w:tc>
              <w:tc>
                <w:tcPr>
                  <w:tcW w:w="5075" w:type="dxa"/>
                  <w:gridSpan w:val="5"/>
                  <w:tcBorders>
                    <w:tl2br w:val="nil"/>
                    <w:tr2bl w:val="nil"/>
                  </w:tcBorders>
                  <w:vAlign w:val="center"/>
                </w:tcPr>
                <w:p w:rsidR="00BC07F0" w:rsidRDefault="00073EFB">
                  <w:pPr>
                    <w:pStyle w:val="a7"/>
                    <w:rPr>
                      <w:rFonts w:hint="default"/>
                    </w:rPr>
                  </w:pPr>
                  <w:r>
                    <w:t>管控要求</w:t>
                  </w:r>
                </w:p>
              </w:tc>
              <w:tc>
                <w:tcPr>
                  <w:tcW w:w="1799" w:type="dxa"/>
                  <w:tcBorders>
                    <w:tl2br w:val="nil"/>
                    <w:tr2bl w:val="nil"/>
                  </w:tcBorders>
                  <w:vAlign w:val="center"/>
                </w:tcPr>
                <w:p w:rsidR="00BC07F0" w:rsidRDefault="00073EFB">
                  <w:pPr>
                    <w:pStyle w:val="a7"/>
                    <w:rPr>
                      <w:rFonts w:hint="default"/>
                    </w:rPr>
                  </w:pPr>
                  <w:r>
                    <w:t>本项目符合性分析</w:t>
                  </w:r>
                </w:p>
              </w:tc>
            </w:tr>
            <w:tr w:rsidR="00BC07F0">
              <w:trPr>
                <w:trHeight w:val="3198"/>
                <w:jc w:val="center"/>
              </w:trPr>
              <w:tc>
                <w:tcPr>
                  <w:tcW w:w="615" w:type="dxa"/>
                  <w:tcBorders>
                    <w:tl2br w:val="nil"/>
                    <w:tr2bl w:val="nil"/>
                  </w:tcBorders>
                  <w:vAlign w:val="center"/>
                </w:tcPr>
                <w:p w:rsidR="00BC07F0" w:rsidRDefault="00073EFB">
                  <w:pPr>
                    <w:pStyle w:val="a7"/>
                    <w:rPr>
                      <w:rFonts w:hint="default"/>
                    </w:rPr>
                  </w:pPr>
                  <w:r>
                    <w:lastRenderedPageBreak/>
                    <w:t>空间布局约束</w:t>
                  </w:r>
                </w:p>
              </w:tc>
              <w:tc>
                <w:tcPr>
                  <w:tcW w:w="5075" w:type="dxa"/>
                  <w:gridSpan w:val="5"/>
                  <w:tcBorders>
                    <w:tl2br w:val="nil"/>
                    <w:tr2bl w:val="nil"/>
                  </w:tcBorders>
                  <w:vAlign w:val="center"/>
                </w:tcPr>
                <w:p w:rsidR="00BC07F0" w:rsidRDefault="00073EFB">
                  <w:pPr>
                    <w:pStyle w:val="a7"/>
                    <w:rPr>
                      <w:rFonts w:hint="default"/>
                    </w:rPr>
                  </w:pPr>
                  <w:r>
                    <w:t>（</w:t>
                  </w:r>
                  <w:r>
                    <w:t>1.1</w:t>
                  </w:r>
                  <w:r>
                    <w:t>）依法关停并取缔不符合国家产业政策、装备水平低和环保设施差的小型造纸、制革、印染、染料、炼焦、炼硫、炼砷、炼油、电镀、农药等“十小”严重污染水环境的行业。</w:t>
                  </w:r>
                </w:p>
                <w:p w:rsidR="00BC07F0" w:rsidRDefault="00073EFB">
                  <w:pPr>
                    <w:pStyle w:val="a7"/>
                    <w:rPr>
                      <w:rFonts w:hint="default"/>
                    </w:rPr>
                  </w:pPr>
                  <w:r>
                    <w:t>（</w:t>
                  </w:r>
                  <w:r>
                    <w:t>1.2</w:t>
                  </w:r>
                  <w:r>
                    <w:t>）在全区范围内对淘汰类“散乱污”企业依法依规完成关停取缔。</w:t>
                  </w:r>
                </w:p>
                <w:p w:rsidR="00BC07F0" w:rsidRDefault="00073EFB">
                  <w:pPr>
                    <w:pStyle w:val="a7"/>
                    <w:rPr>
                      <w:rFonts w:hint="default"/>
                    </w:rPr>
                  </w:pPr>
                  <w:r>
                    <w:t>（</w:t>
                  </w:r>
                  <w:r>
                    <w:t>1.3</w:t>
                  </w:r>
                  <w:r>
                    <w:t>）水产种质资源保护区按《水产种质资源保护区管理暂行办法》要求管理。</w:t>
                  </w:r>
                </w:p>
              </w:tc>
              <w:tc>
                <w:tcPr>
                  <w:tcW w:w="1799" w:type="dxa"/>
                  <w:tcBorders>
                    <w:tl2br w:val="nil"/>
                    <w:tr2bl w:val="nil"/>
                  </w:tcBorders>
                  <w:vAlign w:val="center"/>
                </w:tcPr>
                <w:p w:rsidR="00BC07F0" w:rsidRDefault="00073EFB">
                  <w:pPr>
                    <w:pStyle w:val="a7"/>
                    <w:rPr>
                      <w:rFonts w:hint="default"/>
                    </w:rPr>
                  </w:pPr>
                  <w:r>
                    <w:t>本项目建设内容不涉及</w:t>
                  </w:r>
                  <w:r>
                    <w:t>（</w:t>
                  </w:r>
                  <w:r>
                    <w:t>1.1</w:t>
                  </w:r>
                  <w:r>
                    <w:t>）</w:t>
                  </w:r>
                  <w:r>
                    <w:t>、</w:t>
                  </w:r>
                  <w:r>
                    <w:t>（</w:t>
                  </w:r>
                  <w:r>
                    <w:t>1.</w:t>
                  </w:r>
                  <w:r>
                    <w:t>2</w:t>
                  </w:r>
                  <w:r>
                    <w:t>）</w:t>
                  </w:r>
                  <w:r>
                    <w:t>，湘江南岸（衡阳港</w:t>
                  </w:r>
                  <w:r>
                    <w:t>-</w:t>
                  </w:r>
                  <w:r>
                    <w:t>铜桥港）水环境水安全综合治理工程</w:t>
                  </w:r>
                  <w:r>
                    <w:t>距离</w:t>
                  </w:r>
                  <w:r>
                    <w:t>水产种质资源保护区</w:t>
                  </w:r>
                  <w:r>
                    <w:t>较近，本次评价要求建设单位严格遵守</w:t>
                  </w:r>
                  <w:r>
                    <w:t>《水产种质资源保护区管理暂行办法》</w:t>
                  </w:r>
                  <w:r>
                    <w:t>的各项</w:t>
                  </w:r>
                  <w:r>
                    <w:t>要求</w:t>
                  </w:r>
                  <w:r>
                    <w:t>，</w:t>
                  </w:r>
                  <w:r>
                    <w:t>施工期及运营期禁止对</w:t>
                  </w:r>
                  <w:r>
                    <w:t>水产种质资源保护区</w:t>
                  </w:r>
                  <w:r>
                    <w:t>造成负面影响。</w:t>
                  </w:r>
                </w:p>
              </w:tc>
            </w:tr>
            <w:tr w:rsidR="00BC07F0">
              <w:trPr>
                <w:trHeight w:val="454"/>
                <w:jc w:val="center"/>
              </w:trPr>
              <w:tc>
                <w:tcPr>
                  <w:tcW w:w="615" w:type="dxa"/>
                  <w:tcBorders>
                    <w:tl2br w:val="nil"/>
                    <w:tr2bl w:val="nil"/>
                  </w:tcBorders>
                  <w:vAlign w:val="center"/>
                </w:tcPr>
                <w:p w:rsidR="00BC07F0" w:rsidRDefault="00073EFB">
                  <w:pPr>
                    <w:pStyle w:val="a7"/>
                    <w:rPr>
                      <w:rFonts w:hint="default"/>
                    </w:rPr>
                  </w:pPr>
                  <w:r>
                    <w:t>污染物排放管控</w:t>
                  </w:r>
                </w:p>
              </w:tc>
              <w:tc>
                <w:tcPr>
                  <w:tcW w:w="5075" w:type="dxa"/>
                  <w:gridSpan w:val="5"/>
                  <w:tcBorders>
                    <w:tl2br w:val="nil"/>
                    <w:tr2bl w:val="nil"/>
                  </w:tcBorders>
                  <w:vAlign w:val="center"/>
                </w:tcPr>
                <w:p w:rsidR="00BC07F0" w:rsidRDefault="00073EFB">
                  <w:pPr>
                    <w:pStyle w:val="a7"/>
                    <w:rPr>
                      <w:rFonts w:hint="default"/>
                    </w:rPr>
                  </w:pPr>
                  <w:r>
                    <w:t>（</w:t>
                  </w:r>
                  <w:r>
                    <w:t>2.1</w:t>
                  </w:r>
                  <w:r>
                    <w:t>）加强医疗卫生机构废水处理。未达到行业排放标准的医院，须强化污水处理设施建设或改造升级，</w:t>
                  </w:r>
                  <w:r>
                    <w:t>20</w:t>
                  </w:r>
                  <w:r>
                    <w:t>20</w:t>
                  </w:r>
                  <w:r>
                    <w:t>年底前，全区医疗废水处理率应达到</w:t>
                  </w:r>
                  <w:r>
                    <w:t>100%</w:t>
                  </w:r>
                  <w:r>
                    <w:t>。</w:t>
                  </w:r>
                </w:p>
                <w:p w:rsidR="00BC07F0" w:rsidRDefault="00073EFB">
                  <w:pPr>
                    <w:pStyle w:val="a7"/>
                    <w:rPr>
                      <w:rFonts w:hint="default"/>
                    </w:rPr>
                  </w:pPr>
                  <w:r>
                    <w:t>（</w:t>
                  </w:r>
                  <w:r>
                    <w:t>2.2</w:t>
                  </w:r>
                  <w:r>
                    <w:t>）现有污水处理厂污泥处理处置设施全部完成达标改造。污泥应进行稳定化、无害化和资源化处理处置，禁止处理处置未达标的污泥进入耕地。非法污泥堆放点一律予以取缔。</w:t>
                  </w:r>
                </w:p>
                <w:p w:rsidR="00BC07F0" w:rsidRDefault="00073EFB">
                  <w:pPr>
                    <w:pStyle w:val="a7"/>
                    <w:rPr>
                      <w:rFonts w:hint="default"/>
                    </w:rPr>
                  </w:pPr>
                  <w:r>
                    <w:t>（</w:t>
                  </w:r>
                  <w:r>
                    <w:t>2.3</w:t>
                  </w:r>
                  <w:r>
                    <w:t>）科学划定畜禽养殖禁养区，在畜禽养殖污染防治规划编制和禁养区划定工作基础上，依法关闭或搬迁禁养区内的畜禽养殖场（小区）和养殖专业户。现有规模化畜禽养殖场（小区）要根据污染防治需要，配套建设粪便污水贮存、处理、利用设施，到</w:t>
                  </w:r>
                  <w:r>
                    <w:t>2020</w:t>
                  </w:r>
                  <w:r>
                    <w:t>年，配套设施比例达到</w:t>
                  </w:r>
                  <w:r>
                    <w:t>95%</w:t>
                  </w:r>
                  <w:r>
                    <w:t>以上。散养密集区要实行畜禽粪便污水分户</w:t>
                  </w:r>
                  <w:r>
                    <w:t>收集、集中处理利用。全面完成适养区内存栏生猪</w:t>
                  </w:r>
                  <w:r>
                    <w:t>500</w:t>
                  </w:r>
                  <w:r>
                    <w:t>头以上规模养殖场的污染防治设施配套；新建、改建、扩建规模化畜禽养殖场（小区）全面实施雨污分流，粪便污水和病死畜禽等有机废弃物实现资源化利用。</w:t>
                  </w:r>
                </w:p>
                <w:p w:rsidR="00BC07F0" w:rsidRDefault="00073EFB">
                  <w:pPr>
                    <w:pStyle w:val="a7"/>
                    <w:rPr>
                      <w:rFonts w:hint="default"/>
                    </w:rPr>
                  </w:pPr>
                  <w:r>
                    <w:t>（</w:t>
                  </w:r>
                  <w:r>
                    <w:t>2.4</w:t>
                  </w:r>
                  <w:r>
                    <w:t>）推广低毒、低残留农药，开展农作物病虫害绿色防控和统防统治。</w:t>
                  </w:r>
                </w:p>
                <w:p w:rsidR="00BC07F0" w:rsidRDefault="00073EFB">
                  <w:pPr>
                    <w:pStyle w:val="a7"/>
                    <w:rPr>
                      <w:rFonts w:hint="default"/>
                    </w:rPr>
                  </w:pPr>
                  <w:r>
                    <w:t>（</w:t>
                  </w:r>
                  <w:r>
                    <w:t>2.5</w:t>
                  </w:r>
                  <w:r>
                    <w:t>）以钢铁、建材、化工、有色金属冶炼等行业为重点，全面推进清洁生产技术改造，注重过程控制。积极推进火电、钢铁、建材、平板玻璃、有色、化工等重点行业以及符合政策予以保留的在用燃煤锅炉环保设施升级改造，实现连续稳定达标排放。</w:t>
                  </w:r>
                </w:p>
                <w:p w:rsidR="00BC07F0" w:rsidRDefault="00073EFB">
                  <w:pPr>
                    <w:pStyle w:val="a7"/>
                    <w:rPr>
                      <w:rFonts w:hint="default"/>
                    </w:rPr>
                  </w:pPr>
                  <w:r>
                    <w:t>（</w:t>
                  </w:r>
                  <w:r>
                    <w:t>2.6</w:t>
                  </w:r>
                  <w:r>
                    <w:t>）加快建材、有色、化工等行业和锅炉物料（含废渣）运输、装卸、储存、转移与输送以及生产工艺过程等无组织排放治理。工业生产企业采取密闭、围挡、遮盖、清扫、洒水等措施，减少内部物料的堆存、传输、装卸等环节产生的粉尘和气态污染物的排放。</w:t>
                  </w:r>
                </w:p>
                <w:p w:rsidR="00BC07F0" w:rsidRDefault="00073EFB">
                  <w:pPr>
                    <w:pStyle w:val="a7"/>
                    <w:rPr>
                      <w:rFonts w:hint="default"/>
                    </w:rPr>
                  </w:pPr>
                  <w:r>
                    <w:t>（</w:t>
                  </w:r>
                  <w:r>
                    <w:t>2.7</w:t>
                  </w:r>
                  <w:r>
                    <w:t>）严禁在城市建成区内新建石化、有机化工、包装印刷、沥青搅拌站、工业涂装等高</w:t>
                  </w:r>
                  <w:r>
                    <w:t>VOCs</w:t>
                  </w:r>
                  <w:r>
                    <w:t>排放建设项目。强化末端治理，加快推进有机化工、工业涂装、包装印刷、沥青搅拌等行业企业</w:t>
                  </w:r>
                  <w:r>
                    <w:t>VOCs</w:t>
                  </w:r>
                  <w:r>
                    <w:t>治理，确保达标排放。完成交通运输设备制造、汽车制造、工程机械制造和家具制造行业全面实施油性漆</w:t>
                  </w:r>
                  <w:r>
                    <w:t>改水性漆，减少</w:t>
                  </w:r>
                  <w:r>
                    <w:t>VOCs</w:t>
                  </w:r>
                  <w:r>
                    <w:t>产生</w:t>
                  </w:r>
                  <w:r>
                    <w:lastRenderedPageBreak/>
                    <w:t>量。</w:t>
                  </w:r>
                </w:p>
                <w:p w:rsidR="00BC07F0" w:rsidRDefault="00073EFB">
                  <w:pPr>
                    <w:pStyle w:val="a7"/>
                    <w:rPr>
                      <w:rFonts w:hint="default"/>
                    </w:rPr>
                  </w:pPr>
                  <w:r>
                    <w:t>（</w:t>
                  </w:r>
                  <w:r>
                    <w:t>2.8</w:t>
                  </w:r>
                  <w:r>
                    <w:t>）年销售汽油量大于</w:t>
                  </w:r>
                  <w:r>
                    <w:t>5000</w:t>
                  </w:r>
                  <w:r>
                    <w:t>吨的加油站，要安装油气回收在线监测设备。禁止露天烧烤直排，禁止秸秆违规露天焚烧。</w:t>
                  </w:r>
                </w:p>
                <w:p w:rsidR="00BC07F0" w:rsidRDefault="00073EFB">
                  <w:pPr>
                    <w:pStyle w:val="a7"/>
                    <w:rPr>
                      <w:rFonts w:hint="default"/>
                    </w:rPr>
                  </w:pPr>
                  <w:r>
                    <w:t>（</w:t>
                  </w:r>
                  <w:r>
                    <w:t>2.9</w:t>
                  </w:r>
                  <w:r>
                    <w:t>）积极推进垃圾分类，建设覆盖城乡的垃圾收运体系和垃圾分类收集系统。完善生活垃圾处理设施建设、运营和排放监管体系，加强垃圾处理监管能力。开展非正规垃圾堆放点排查整治。以整县推进为主要方式，推进农村环境综合整治全区域覆盖。</w:t>
                  </w:r>
                </w:p>
              </w:tc>
              <w:tc>
                <w:tcPr>
                  <w:tcW w:w="1799" w:type="dxa"/>
                  <w:tcBorders>
                    <w:tl2br w:val="nil"/>
                    <w:tr2bl w:val="nil"/>
                  </w:tcBorders>
                  <w:vAlign w:val="center"/>
                </w:tcPr>
                <w:p w:rsidR="00BC07F0" w:rsidRDefault="00073EFB">
                  <w:pPr>
                    <w:pStyle w:val="a7"/>
                    <w:rPr>
                      <w:rFonts w:hint="default"/>
                    </w:rPr>
                  </w:pPr>
                  <w:r>
                    <w:lastRenderedPageBreak/>
                    <w:t>本项目建设内容不涉及</w:t>
                  </w:r>
                  <w:r>
                    <w:t>（</w:t>
                  </w:r>
                  <w:r>
                    <w:t>2</w:t>
                  </w:r>
                  <w:r>
                    <w:t>.1</w:t>
                  </w:r>
                  <w:r>
                    <w:t>）</w:t>
                  </w:r>
                  <w:r>
                    <w:t>、</w:t>
                  </w:r>
                  <w:r>
                    <w:t>（</w:t>
                  </w:r>
                  <w:r>
                    <w:t>2</w:t>
                  </w:r>
                  <w:r>
                    <w:t>.</w:t>
                  </w:r>
                  <w:r>
                    <w:t>2</w:t>
                  </w:r>
                  <w:r>
                    <w:t>）</w:t>
                  </w:r>
                  <w:r>
                    <w:t>、</w:t>
                  </w:r>
                  <w:r>
                    <w:t>（</w:t>
                  </w:r>
                  <w:r>
                    <w:t>2</w:t>
                  </w:r>
                  <w:r>
                    <w:t>.</w:t>
                  </w:r>
                  <w:r>
                    <w:t>3</w:t>
                  </w:r>
                  <w:r>
                    <w:t>）</w:t>
                  </w:r>
                  <w:r>
                    <w:t>、</w:t>
                  </w:r>
                  <w:r>
                    <w:t>（</w:t>
                  </w:r>
                  <w:r>
                    <w:t>2</w:t>
                  </w:r>
                  <w:r>
                    <w:t>.</w:t>
                  </w:r>
                  <w:r>
                    <w:t>4</w:t>
                  </w:r>
                  <w:r>
                    <w:t>）</w:t>
                  </w:r>
                  <w:r>
                    <w:t>、</w:t>
                  </w:r>
                  <w:r>
                    <w:t>（</w:t>
                  </w:r>
                  <w:r>
                    <w:t>2</w:t>
                  </w:r>
                  <w:r>
                    <w:t>.</w:t>
                  </w:r>
                  <w:r>
                    <w:t>5</w:t>
                  </w:r>
                  <w:r>
                    <w:t>）</w:t>
                  </w:r>
                  <w:r>
                    <w:t>、</w:t>
                  </w:r>
                  <w:r>
                    <w:t>（</w:t>
                  </w:r>
                  <w:r>
                    <w:t>2</w:t>
                  </w:r>
                  <w:r>
                    <w:t>.</w:t>
                  </w:r>
                  <w:r>
                    <w:t>6</w:t>
                  </w:r>
                  <w:r>
                    <w:t>）</w:t>
                  </w:r>
                  <w:r>
                    <w:t>、</w:t>
                  </w:r>
                  <w:r>
                    <w:t>（</w:t>
                  </w:r>
                  <w:r>
                    <w:t>2</w:t>
                  </w:r>
                  <w:r>
                    <w:t>.</w:t>
                  </w:r>
                  <w:r>
                    <w:t>7</w:t>
                  </w:r>
                  <w:r>
                    <w:t>）</w:t>
                  </w:r>
                  <w:r>
                    <w:t>、</w:t>
                  </w:r>
                  <w:r>
                    <w:t>（</w:t>
                  </w:r>
                  <w:r>
                    <w:t>2</w:t>
                  </w:r>
                  <w:r>
                    <w:t>.</w:t>
                  </w:r>
                  <w:r>
                    <w:t>8</w:t>
                  </w:r>
                  <w:r>
                    <w:t>）</w:t>
                  </w:r>
                  <w:r>
                    <w:t>，</w:t>
                  </w:r>
                  <w:r>
                    <w:t>各项工程施工期及运营期产生的生活垃圾分类收集后交由市政环卫部门处理。</w:t>
                  </w:r>
                </w:p>
              </w:tc>
            </w:tr>
            <w:tr w:rsidR="00BC07F0">
              <w:trPr>
                <w:trHeight w:val="454"/>
                <w:jc w:val="center"/>
              </w:trPr>
              <w:tc>
                <w:tcPr>
                  <w:tcW w:w="615" w:type="dxa"/>
                  <w:tcBorders>
                    <w:tl2br w:val="nil"/>
                    <w:tr2bl w:val="nil"/>
                  </w:tcBorders>
                  <w:vAlign w:val="center"/>
                </w:tcPr>
                <w:p w:rsidR="00BC07F0" w:rsidRDefault="00073EFB">
                  <w:pPr>
                    <w:pStyle w:val="a7"/>
                    <w:rPr>
                      <w:rFonts w:hint="default"/>
                    </w:rPr>
                  </w:pPr>
                  <w:r>
                    <w:lastRenderedPageBreak/>
                    <w:t>环境风险防控</w:t>
                  </w:r>
                </w:p>
              </w:tc>
              <w:tc>
                <w:tcPr>
                  <w:tcW w:w="5075" w:type="dxa"/>
                  <w:gridSpan w:val="5"/>
                  <w:tcBorders>
                    <w:tl2br w:val="nil"/>
                    <w:tr2bl w:val="nil"/>
                  </w:tcBorders>
                  <w:vAlign w:val="center"/>
                </w:tcPr>
                <w:p w:rsidR="00BC07F0" w:rsidRDefault="00073EFB">
                  <w:pPr>
                    <w:pStyle w:val="a7"/>
                    <w:rPr>
                      <w:rFonts w:hint="default"/>
                    </w:rPr>
                  </w:pPr>
                  <w:r>
                    <w:t>（</w:t>
                  </w:r>
                  <w:r>
                    <w:t>3.1</w:t>
                  </w:r>
                  <w:r>
                    <w:t>）强化固体废物、危险废物等污染源管控。推进现有危险废物经营企业进入工业园区。</w:t>
                  </w:r>
                </w:p>
              </w:tc>
              <w:tc>
                <w:tcPr>
                  <w:tcW w:w="1799" w:type="dxa"/>
                  <w:tcBorders>
                    <w:tl2br w:val="nil"/>
                    <w:tr2bl w:val="nil"/>
                  </w:tcBorders>
                  <w:vAlign w:val="center"/>
                </w:tcPr>
                <w:p w:rsidR="00BC07F0" w:rsidRDefault="00073EFB">
                  <w:pPr>
                    <w:pStyle w:val="a7"/>
                    <w:rPr>
                      <w:rFonts w:hint="default"/>
                    </w:rPr>
                  </w:pPr>
                  <w:r>
                    <w:t>本项目各项工程施工期及运营期产生的固体废物均能得到合理处置。</w:t>
                  </w:r>
                </w:p>
              </w:tc>
            </w:tr>
            <w:tr w:rsidR="00BC07F0">
              <w:trPr>
                <w:trHeight w:val="454"/>
                <w:jc w:val="center"/>
              </w:trPr>
              <w:tc>
                <w:tcPr>
                  <w:tcW w:w="615" w:type="dxa"/>
                  <w:tcBorders>
                    <w:tl2br w:val="nil"/>
                    <w:tr2bl w:val="nil"/>
                  </w:tcBorders>
                  <w:vAlign w:val="center"/>
                </w:tcPr>
                <w:p w:rsidR="00BC07F0" w:rsidRDefault="00073EFB">
                  <w:pPr>
                    <w:pStyle w:val="a7"/>
                    <w:rPr>
                      <w:rFonts w:hint="default"/>
                    </w:rPr>
                  </w:pPr>
                  <w:r>
                    <w:t>资源开发效率要求</w:t>
                  </w:r>
                </w:p>
              </w:tc>
              <w:tc>
                <w:tcPr>
                  <w:tcW w:w="5075" w:type="dxa"/>
                  <w:gridSpan w:val="5"/>
                  <w:tcBorders>
                    <w:tl2br w:val="nil"/>
                    <w:tr2bl w:val="nil"/>
                  </w:tcBorders>
                  <w:vAlign w:val="center"/>
                </w:tcPr>
                <w:p w:rsidR="00BC07F0" w:rsidRDefault="00073EFB">
                  <w:pPr>
                    <w:pStyle w:val="a7"/>
                    <w:rPr>
                      <w:rFonts w:hint="default"/>
                    </w:rPr>
                  </w:pPr>
                  <w:r>
                    <w:t>（</w:t>
                  </w:r>
                  <w:r>
                    <w:t>4.1</w:t>
                  </w:r>
                  <w:r>
                    <w:t>）能源：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w:t>
                  </w:r>
                  <w:r>
                    <w:t>、煤改电，鼓励利用可再生能源、天然气、电力等优质能源替代燃煤使用。到</w:t>
                  </w:r>
                  <w:r>
                    <w:t>2020</w:t>
                  </w:r>
                  <w:r>
                    <w:t>年，全区能耗强度降低</w:t>
                  </w:r>
                  <w:r>
                    <w:t>16%</w:t>
                  </w:r>
                  <w:r>
                    <w:t>，控制目标</w:t>
                  </w:r>
                  <w:r>
                    <w:t>111.22</w:t>
                  </w:r>
                  <w:r>
                    <w:t>万吨标准煤。</w:t>
                  </w:r>
                </w:p>
                <w:p w:rsidR="00BC07F0" w:rsidRDefault="00073EFB">
                  <w:pPr>
                    <w:pStyle w:val="a7"/>
                    <w:rPr>
                      <w:rFonts w:hint="default"/>
                    </w:rPr>
                  </w:pPr>
                  <w:r>
                    <w:t>（</w:t>
                  </w:r>
                  <w:r>
                    <w:t>4.2</w:t>
                  </w:r>
                  <w:r>
                    <w:t>）水资源：鼓励企业在稳定达标排放的基础上进行深度治理，实施清洁化改造，提高工业用水循环利用率。到</w:t>
                  </w:r>
                  <w:r>
                    <w:t>2020</w:t>
                  </w:r>
                  <w:r>
                    <w:t>年，全区万元国内生产总值用水量、万元工业增加值用水量分别比</w:t>
                  </w:r>
                  <w:r>
                    <w:t>2015</w:t>
                  </w:r>
                  <w:r>
                    <w:t>年降低</w:t>
                  </w:r>
                  <w:r>
                    <w:t>30%</w:t>
                  </w:r>
                  <w:r>
                    <w:t>和</w:t>
                  </w:r>
                  <w:r>
                    <w:t>32.7%</w:t>
                  </w:r>
                  <w:r>
                    <w:t>；农田灌溉水有效利用系数提高到</w:t>
                  </w:r>
                  <w:r>
                    <w:t>0.604</w:t>
                  </w:r>
                  <w:r>
                    <w:t>。</w:t>
                  </w:r>
                </w:p>
              </w:tc>
              <w:tc>
                <w:tcPr>
                  <w:tcW w:w="1799" w:type="dxa"/>
                  <w:tcBorders>
                    <w:tl2br w:val="nil"/>
                    <w:tr2bl w:val="nil"/>
                  </w:tcBorders>
                  <w:vAlign w:val="center"/>
                </w:tcPr>
                <w:p w:rsidR="00BC07F0" w:rsidRDefault="00073EFB">
                  <w:pPr>
                    <w:pStyle w:val="a7"/>
                    <w:rPr>
                      <w:rFonts w:hint="default"/>
                    </w:rPr>
                  </w:pPr>
                  <w:r>
                    <w:t>本项目各项工程不涉及</w:t>
                  </w:r>
                  <w:r>
                    <w:t>资源开发</w:t>
                  </w:r>
                  <w:r>
                    <w:t>，</w:t>
                  </w:r>
                  <w:r>
                    <w:t>施工期使用的能源主要是电能和水能，不属于高耗能高污染项目，当地电力及水力供应满足本项目需求。</w:t>
                  </w:r>
                </w:p>
              </w:tc>
            </w:tr>
          </w:tbl>
          <w:p w:rsidR="00BC07F0" w:rsidRDefault="00073EFB" w:rsidP="00C55F5E">
            <w:pPr>
              <w:tabs>
                <w:tab w:val="left" w:pos="480"/>
              </w:tabs>
              <w:ind w:firstLine="480"/>
            </w:pPr>
            <w:r>
              <w:rPr>
                <w:rFonts w:hint="eastAsia"/>
              </w:rPr>
              <w:t>综</w:t>
            </w:r>
            <w:r>
              <w:rPr>
                <w:rFonts w:hint="eastAsia"/>
              </w:rPr>
              <w:t>上所述，</w:t>
            </w:r>
            <w:r>
              <w:rPr>
                <w:rFonts w:hint="eastAsia"/>
              </w:rPr>
              <w:t>本项目</w:t>
            </w:r>
            <w:r>
              <w:rPr>
                <w:rFonts w:hint="eastAsia"/>
              </w:rPr>
              <w:t>符合</w:t>
            </w:r>
            <w:r>
              <w:rPr>
                <w:rFonts w:hint="eastAsia"/>
              </w:rPr>
              <w:t>《湖南省人民政府关于实施“三线一单”生态环境分区管控的意见》（湘政发〔</w:t>
            </w:r>
            <w:r>
              <w:rPr>
                <w:rFonts w:hint="eastAsia"/>
              </w:rPr>
              <w:t>2020</w:t>
            </w:r>
            <w:r>
              <w:rPr>
                <w:rFonts w:hint="eastAsia"/>
              </w:rPr>
              <w:t>〕</w:t>
            </w:r>
            <w:r>
              <w:rPr>
                <w:rFonts w:hint="eastAsia"/>
              </w:rPr>
              <w:t>12</w:t>
            </w:r>
            <w:r>
              <w:rPr>
                <w:rFonts w:hint="eastAsia"/>
              </w:rPr>
              <w:t>号）</w:t>
            </w:r>
            <w:r>
              <w:rPr>
                <w:rFonts w:hint="eastAsia"/>
              </w:rPr>
              <w:t>中</w:t>
            </w:r>
            <w:r>
              <w:rPr>
                <w:rFonts w:hint="eastAsia"/>
              </w:rPr>
              <w:t>“</w:t>
            </w:r>
            <w:r>
              <w:rPr>
                <w:rFonts w:hint="eastAsia"/>
              </w:rPr>
              <w:t>雁峰</w:t>
            </w:r>
            <w:r>
              <w:rPr>
                <w:rFonts w:hint="eastAsia"/>
              </w:rPr>
              <w:t>区环境管控单元生态环境准入清单”</w:t>
            </w:r>
            <w:r>
              <w:rPr>
                <w:rFonts w:hint="eastAsia"/>
              </w:rPr>
              <w:t>的各项要求</w:t>
            </w:r>
            <w:r>
              <w:rPr>
                <w:rFonts w:hint="eastAsia"/>
              </w:rPr>
              <w:t>。</w:t>
            </w:r>
          </w:p>
          <w:p w:rsidR="00BC07F0" w:rsidRDefault="00073EFB">
            <w:pPr>
              <w:tabs>
                <w:tab w:val="left" w:pos="480"/>
              </w:tabs>
              <w:ind w:firstLine="482"/>
            </w:pPr>
            <w:r>
              <w:rPr>
                <w:rFonts w:hint="eastAsia"/>
                <w:b/>
                <w:bCs/>
              </w:rPr>
              <w:t>1.2.1</w:t>
            </w:r>
            <w:r>
              <w:rPr>
                <w:rFonts w:hint="eastAsia"/>
                <w:b/>
                <w:bCs/>
              </w:rPr>
              <w:t>生态保护红线</w:t>
            </w:r>
          </w:p>
          <w:p w:rsidR="00BC07F0" w:rsidRDefault="00073EFB">
            <w:pPr>
              <w:tabs>
                <w:tab w:val="left" w:pos="480"/>
              </w:tabs>
              <w:ind w:firstLine="480"/>
            </w:pPr>
            <w:r>
              <w:rPr>
                <w:rFonts w:hint="eastAsia"/>
              </w:rPr>
              <w:t>根据《湖南省生态保护红线划定技术方案》和衡阳市生态保护红线分布图</w:t>
            </w:r>
            <w:r>
              <w:rPr>
                <w:rFonts w:hint="eastAsia"/>
              </w:rPr>
              <w:t>和“关于请求查询湘江南岸水环境水安全治理工程项目范围与生态保护红线和永久基本农田位置关系的函及复函（附件</w:t>
            </w:r>
            <w:r>
              <w:rPr>
                <w:rFonts w:hint="eastAsia"/>
              </w:rPr>
              <w:t>4</w:t>
            </w:r>
            <w:r>
              <w:rPr>
                <w:rFonts w:hint="eastAsia"/>
              </w:rPr>
              <w:t>）”</w:t>
            </w:r>
            <w:r>
              <w:rPr>
                <w:rFonts w:hint="eastAsia"/>
              </w:rPr>
              <w:t>，</w:t>
            </w:r>
            <w:r>
              <w:rPr>
                <w:rFonts w:hint="eastAsia"/>
              </w:rPr>
              <w:t>可知本</w:t>
            </w:r>
            <w:r>
              <w:rPr>
                <w:rFonts w:hint="eastAsia"/>
              </w:rPr>
              <w:t>项目</w:t>
            </w:r>
            <w:r>
              <w:rPr>
                <w:rFonts w:hint="eastAsia"/>
              </w:rPr>
              <w:t>施工范围不涉及衡阳市</w:t>
            </w:r>
            <w:r>
              <w:rPr>
                <w:rFonts w:hint="eastAsia"/>
              </w:rPr>
              <w:t>生态红线。</w:t>
            </w:r>
          </w:p>
          <w:p w:rsidR="00BC07F0" w:rsidRDefault="00073EFB">
            <w:pPr>
              <w:tabs>
                <w:tab w:val="left" w:pos="480"/>
              </w:tabs>
              <w:ind w:firstLine="482"/>
              <w:rPr>
                <w:b/>
                <w:bCs/>
              </w:rPr>
            </w:pPr>
            <w:r>
              <w:rPr>
                <w:rFonts w:hint="eastAsia"/>
                <w:b/>
                <w:bCs/>
              </w:rPr>
              <w:t>1.2.2</w:t>
            </w:r>
            <w:r>
              <w:rPr>
                <w:rFonts w:hint="eastAsia"/>
                <w:b/>
                <w:bCs/>
              </w:rPr>
              <w:t>环境质量底线</w:t>
            </w:r>
          </w:p>
          <w:p w:rsidR="00BC07F0" w:rsidRDefault="00073EFB">
            <w:pPr>
              <w:numPr>
                <w:ilvl w:val="0"/>
                <w:numId w:val="1"/>
              </w:numPr>
              <w:tabs>
                <w:tab w:val="left" w:pos="480"/>
              </w:tabs>
              <w:ind w:left="0" w:firstLineChars="0" w:firstLine="420"/>
            </w:pPr>
            <w:r>
              <w:rPr>
                <w:rFonts w:hint="eastAsia"/>
              </w:rPr>
              <w:t>大气环境</w:t>
            </w:r>
            <w:r>
              <w:rPr>
                <w:rFonts w:hint="eastAsia"/>
              </w:rPr>
              <w:t>：</w:t>
            </w:r>
            <w:r>
              <w:rPr>
                <w:rFonts w:hint="eastAsia"/>
              </w:rPr>
              <w:t>衡阳市雁峰区</w:t>
            </w:r>
            <w:r>
              <w:rPr>
                <w:rFonts w:hint="eastAsia"/>
              </w:rPr>
              <w:t>环境空气质量数据</w:t>
            </w:r>
            <w:r>
              <w:rPr>
                <w:rFonts w:hint="eastAsia"/>
              </w:rPr>
              <w:t>PM2.5</w:t>
            </w:r>
            <w:r>
              <w:rPr>
                <w:rFonts w:hint="eastAsia"/>
              </w:rPr>
              <w:t>、</w:t>
            </w:r>
            <w:r>
              <w:rPr>
                <w:rFonts w:hint="eastAsia"/>
              </w:rPr>
              <w:t>PM10</w:t>
            </w:r>
            <w:r>
              <w:rPr>
                <w:rFonts w:hint="eastAsia"/>
              </w:rPr>
              <w:t>、</w:t>
            </w:r>
            <w:r>
              <w:rPr>
                <w:rFonts w:hint="eastAsia"/>
              </w:rPr>
              <w:t>SO</w:t>
            </w:r>
            <w:r>
              <w:rPr>
                <w:rFonts w:hint="eastAsia"/>
                <w:vertAlign w:val="subscript"/>
              </w:rPr>
              <w:t>2</w:t>
            </w:r>
            <w:r>
              <w:rPr>
                <w:rFonts w:hint="eastAsia"/>
              </w:rPr>
              <w:t>、</w:t>
            </w:r>
            <w:r>
              <w:rPr>
                <w:rFonts w:hint="eastAsia"/>
              </w:rPr>
              <w:t>NO</w:t>
            </w:r>
            <w:r>
              <w:rPr>
                <w:rFonts w:hint="eastAsia"/>
                <w:vertAlign w:val="subscript"/>
              </w:rPr>
              <w:t>2</w:t>
            </w:r>
            <w:r>
              <w:rPr>
                <w:rFonts w:hint="eastAsia"/>
              </w:rPr>
              <w:t>、</w:t>
            </w:r>
            <w:r>
              <w:rPr>
                <w:rFonts w:hint="eastAsia"/>
              </w:rPr>
              <w:t>CO</w:t>
            </w:r>
            <w:r>
              <w:rPr>
                <w:rFonts w:hint="eastAsia"/>
              </w:rPr>
              <w:t>、</w:t>
            </w:r>
            <w:r>
              <w:rPr>
                <w:rFonts w:hint="eastAsia"/>
              </w:rPr>
              <w:t>O</w:t>
            </w:r>
            <w:r>
              <w:rPr>
                <w:rFonts w:hint="eastAsia"/>
                <w:vertAlign w:val="subscript"/>
              </w:rPr>
              <w:t>3</w:t>
            </w:r>
            <w:r>
              <w:rPr>
                <w:rFonts w:hint="eastAsia"/>
              </w:rPr>
              <w:t>监测因子的年均值浓度满足《环境空气质量标准》（</w:t>
            </w:r>
            <w:r>
              <w:rPr>
                <w:rFonts w:hint="eastAsia"/>
              </w:rPr>
              <w:t>GB3095-2012</w:t>
            </w:r>
            <w:r>
              <w:rPr>
                <w:rFonts w:hint="eastAsia"/>
              </w:rPr>
              <w:t>）二级标准年均值要求，因此</w:t>
            </w:r>
            <w:r>
              <w:rPr>
                <w:rFonts w:hint="eastAsia"/>
              </w:rPr>
              <w:t>雁峰</w:t>
            </w:r>
            <w:r>
              <w:rPr>
                <w:rFonts w:hint="eastAsia"/>
              </w:rPr>
              <w:t>区属于达标区。</w:t>
            </w:r>
          </w:p>
          <w:p w:rsidR="00BC07F0" w:rsidRDefault="00073EFB">
            <w:pPr>
              <w:numPr>
                <w:ilvl w:val="0"/>
                <w:numId w:val="1"/>
              </w:numPr>
              <w:tabs>
                <w:tab w:val="left" w:pos="480"/>
              </w:tabs>
              <w:ind w:left="0" w:firstLineChars="0" w:firstLine="420"/>
            </w:pPr>
            <w:r>
              <w:rPr>
                <w:rFonts w:hint="eastAsia"/>
              </w:rPr>
              <w:t>地表水环境：</w:t>
            </w:r>
            <w:r>
              <w:rPr>
                <w:rFonts w:hint="eastAsia"/>
              </w:rPr>
              <w:t>本次评价监测河流断面的各项因子均未超出</w:t>
            </w:r>
            <w:r>
              <w:rPr>
                <w:rFonts w:hint="eastAsia"/>
              </w:rPr>
              <w:t>《地表水环境质量标准》（</w:t>
            </w:r>
            <w:r>
              <w:rPr>
                <w:rFonts w:hint="eastAsia"/>
              </w:rPr>
              <w:t>GB3838-2002</w:t>
            </w:r>
            <w:r>
              <w:rPr>
                <w:rFonts w:hint="eastAsia"/>
              </w:rPr>
              <w:t>）</w:t>
            </w:r>
            <w:r>
              <w:rPr>
                <w:rFonts w:hint="eastAsia"/>
              </w:rPr>
              <w:t>Ⅲ</w:t>
            </w:r>
            <w:r>
              <w:rPr>
                <w:rFonts w:hint="eastAsia"/>
              </w:rPr>
              <w:t>类标准。</w:t>
            </w:r>
          </w:p>
          <w:p w:rsidR="00BC07F0" w:rsidRDefault="00073EFB">
            <w:pPr>
              <w:numPr>
                <w:ilvl w:val="0"/>
                <w:numId w:val="1"/>
              </w:numPr>
              <w:tabs>
                <w:tab w:val="left" w:pos="480"/>
              </w:tabs>
              <w:ind w:left="0" w:firstLineChars="0" w:firstLine="420"/>
            </w:pPr>
            <w:r>
              <w:rPr>
                <w:rFonts w:hint="eastAsia"/>
              </w:rPr>
              <w:lastRenderedPageBreak/>
              <w:t>声环境：</w:t>
            </w:r>
            <w:r>
              <w:rPr>
                <w:rFonts w:hint="eastAsia"/>
              </w:rPr>
              <w:t>项目施工场地</w:t>
            </w:r>
            <w:r>
              <w:rPr>
                <w:rFonts w:hint="eastAsia"/>
              </w:rPr>
              <w:t>周边区域声环境质量均满足</w:t>
            </w:r>
            <w:r>
              <w:t>《声环境质量标准》（</w:t>
            </w:r>
            <w:r>
              <w:t>GB3096-2008</w:t>
            </w:r>
            <w:r>
              <w:t>）</w:t>
            </w:r>
            <w:r>
              <w:rPr>
                <w:rFonts w:hint="eastAsia"/>
              </w:rPr>
              <w:t>2</w:t>
            </w:r>
            <w:r>
              <w:rPr>
                <w:rFonts w:hint="eastAsia"/>
              </w:rPr>
              <w:t>类</w:t>
            </w:r>
            <w:r>
              <w:t>标准</w:t>
            </w:r>
            <w:r>
              <w:rPr>
                <w:rFonts w:hint="eastAsia"/>
              </w:rPr>
              <w:t>。</w:t>
            </w:r>
          </w:p>
          <w:p w:rsidR="00BC07F0" w:rsidRDefault="00073EFB">
            <w:pPr>
              <w:tabs>
                <w:tab w:val="left" w:pos="480"/>
              </w:tabs>
              <w:ind w:firstLine="480"/>
            </w:pPr>
            <w:r>
              <w:rPr>
                <w:rFonts w:hint="eastAsia"/>
              </w:rPr>
              <w:t>综上所述，本项目建设</w:t>
            </w:r>
            <w:r>
              <w:rPr>
                <w:rFonts w:hint="eastAsia"/>
              </w:rPr>
              <w:t>不突破区域环境质量底线。</w:t>
            </w:r>
          </w:p>
          <w:p w:rsidR="00BC07F0" w:rsidRDefault="00073EFB">
            <w:pPr>
              <w:tabs>
                <w:tab w:val="left" w:pos="480"/>
              </w:tabs>
              <w:ind w:firstLine="482"/>
              <w:rPr>
                <w:b/>
                <w:bCs/>
              </w:rPr>
            </w:pPr>
            <w:r>
              <w:rPr>
                <w:rFonts w:hint="eastAsia"/>
                <w:b/>
                <w:bCs/>
              </w:rPr>
              <w:t>1.2.3</w:t>
            </w:r>
            <w:r>
              <w:rPr>
                <w:rFonts w:hint="eastAsia"/>
                <w:b/>
                <w:bCs/>
              </w:rPr>
              <w:t>资源利用上线</w:t>
            </w:r>
          </w:p>
          <w:p w:rsidR="00BC07F0" w:rsidRDefault="00073EFB">
            <w:pPr>
              <w:tabs>
                <w:tab w:val="left" w:pos="480"/>
              </w:tabs>
              <w:ind w:firstLine="480"/>
            </w:pPr>
            <w:r>
              <w:rPr>
                <w:rFonts w:hint="eastAsia"/>
              </w:rPr>
              <w:t>本项目</w:t>
            </w:r>
            <w:r>
              <w:rPr>
                <w:rFonts w:hint="eastAsia"/>
              </w:rPr>
              <w:t>各工程对应的</w:t>
            </w:r>
            <w:r>
              <w:rPr>
                <w:rFonts w:hint="eastAsia"/>
              </w:rPr>
              <w:t>行业类别</w:t>
            </w:r>
            <w:r>
              <w:rPr>
                <w:rFonts w:hint="eastAsia"/>
              </w:rPr>
              <w:t>分别为防洪除涝工程、河湖整治、交通运输业、社会事业与服务业，各工程均</w:t>
            </w:r>
            <w:r>
              <w:rPr>
                <w:rFonts w:hint="eastAsia"/>
              </w:rPr>
              <w:t>不</w:t>
            </w:r>
            <w:r>
              <w:rPr>
                <w:rFonts w:hint="eastAsia"/>
              </w:rPr>
              <w:t>涉及</w:t>
            </w:r>
            <w:r>
              <w:rPr>
                <w:rFonts w:hint="eastAsia"/>
              </w:rPr>
              <w:t>高耗能、高污染</w:t>
            </w:r>
            <w:r>
              <w:rPr>
                <w:rFonts w:hint="eastAsia"/>
              </w:rPr>
              <w:t>、</w:t>
            </w:r>
            <w:r>
              <w:rPr>
                <w:rFonts w:hint="eastAsia"/>
              </w:rPr>
              <w:t>资</w:t>
            </w:r>
            <w:r>
              <w:rPr>
                <w:rFonts w:hint="eastAsia"/>
              </w:rPr>
              <w:t>源开发，施工期使用的能源主要是电能和水能，当地电力及水力供应满足本项目需求，</w:t>
            </w:r>
            <w:r>
              <w:rPr>
                <w:rFonts w:hint="eastAsia"/>
              </w:rPr>
              <w:t>不突破当地资源利用上线</w:t>
            </w:r>
            <w:r>
              <w:rPr>
                <w:rFonts w:hint="eastAsia"/>
              </w:rPr>
              <w:t>。</w:t>
            </w:r>
          </w:p>
          <w:p w:rsidR="00BC07F0" w:rsidRDefault="00073EFB">
            <w:pPr>
              <w:tabs>
                <w:tab w:val="left" w:pos="480"/>
              </w:tabs>
              <w:ind w:firstLine="482"/>
              <w:rPr>
                <w:b/>
                <w:bCs/>
              </w:rPr>
            </w:pPr>
            <w:r>
              <w:rPr>
                <w:rFonts w:hint="eastAsia"/>
                <w:b/>
                <w:bCs/>
              </w:rPr>
              <w:t>1.2.4</w:t>
            </w:r>
            <w:r>
              <w:rPr>
                <w:rFonts w:hint="eastAsia"/>
                <w:b/>
                <w:bCs/>
              </w:rPr>
              <w:t>生态环境准入清单</w:t>
            </w:r>
          </w:p>
          <w:p w:rsidR="00BC07F0" w:rsidRDefault="00073EFB">
            <w:pPr>
              <w:tabs>
                <w:tab w:val="left" w:pos="480"/>
              </w:tabs>
              <w:ind w:firstLine="480"/>
            </w:pPr>
            <w:r>
              <w:rPr>
                <w:rFonts w:hint="eastAsia"/>
              </w:rPr>
              <w:t>对照</w:t>
            </w:r>
            <w:r>
              <w:rPr>
                <w:rFonts w:hint="eastAsia"/>
              </w:rPr>
              <w:t>《产业结构调整指导目录（</w:t>
            </w:r>
            <w:r>
              <w:rPr>
                <w:rFonts w:hint="eastAsia"/>
              </w:rPr>
              <w:t>2019</w:t>
            </w:r>
            <w:r>
              <w:rPr>
                <w:rFonts w:hint="eastAsia"/>
              </w:rPr>
              <w:t>本）》（</w:t>
            </w:r>
            <w:r>
              <w:rPr>
                <w:rFonts w:hint="eastAsia"/>
              </w:rPr>
              <w:t>2021</w:t>
            </w:r>
            <w:r>
              <w:rPr>
                <w:rFonts w:hint="eastAsia"/>
              </w:rPr>
              <w:t>年修改），</w:t>
            </w:r>
            <w:r>
              <w:rPr>
                <w:rFonts w:hint="eastAsia"/>
              </w:rPr>
              <w:t>湘江南岸（衡阳港</w:t>
            </w:r>
            <w:r>
              <w:rPr>
                <w:rFonts w:hint="eastAsia"/>
              </w:rPr>
              <w:t>-</w:t>
            </w:r>
            <w:r>
              <w:rPr>
                <w:rFonts w:hint="eastAsia"/>
              </w:rPr>
              <w:t>铜桥港）水环境水安全综合治理工程、幸福河支流水生态环境综合治理工程、铜桥港湿地公园工程属于鼓励类——水利类——江河湖海堤防建设及河道治理工程、江河湖库清淤疏浚工程，配套城市道路前进路、酃白路工程属于鼓励类——城镇基础设施——城市道路及智能交通体系建设</w:t>
            </w:r>
            <w:r>
              <w:rPr>
                <w:rFonts w:hint="eastAsia"/>
              </w:rPr>
              <w:t>。对照</w:t>
            </w:r>
            <w:r>
              <w:rPr>
                <w:rFonts w:hint="eastAsia"/>
              </w:rPr>
              <w:t>《</w:t>
            </w:r>
            <w:r>
              <w:rPr>
                <w:rFonts w:hint="eastAsia"/>
              </w:rPr>
              <w:t>长江经济带发展负面清单指南</w:t>
            </w:r>
            <w:r>
              <w:rPr>
                <w:rFonts w:hint="eastAsia"/>
              </w:rPr>
              <w:t>》</w:t>
            </w:r>
            <w:r>
              <w:rPr>
                <w:rFonts w:hint="eastAsia"/>
              </w:rPr>
              <w:t>（试行，</w:t>
            </w:r>
            <w:r>
              <w:rPr>
                <w:rFonts w:hint="eastAsia"/>
              </w:rPr>
              <w:t>2022</w:t>
            </w:r>
            <w:r>
              <w:rPr>
                <w:rFonts w:hint="eastAsia"/>
              </w:rPr>
              <w:t>年版），本项目不涉及清单中禁止建设的</w:t>
            </w:r>
            <w:r>
              <w:rPr>
                <w:rFonts w:hint="eastAsia"/>
              </w:rPr>
              <w:t>1~1</w:t>
            </w:r>
            <w:r>
              <w:rPr>
                <w:rFonts w:hint="eastAsia"/>
              </w:rPr>
              <w:t>2</w:t>
            </w:r>
            <w:r>
              <w:rPr>
                <w:rFonts w:hint="eastAsia"/>
              </w:rPr>
              <w:t>条。</w:t>
            </w:r>
            <w:r>
              <w:rPr>
                <w:rFonts w:hint="eastAsia"/>
              </w:rPr>
              <w:t>因此</w:t>
            </w:r>
            <w:r>
              <w:rPr>
                <w:rFonts w:hint="eastAsia"/>
              </w:rPr>
              <w:t>本项目</w:t>
            </w:r>
            <w:r>
              <w:rPr>
                <w:rFonts w:ascii="宋体" w:hAnsi="宋体" w:cs="宋体" w:hint="eastAsia"/>
                <w:spacing w:val="-9"/>
              </w:rPr>
              <w:t>不涉及生态环境准入清单中禁止类行业</w:t>
            </w:r>
            <w:r>
              <w:rPr>
                <w:rFonts w:hint="eastAsia"/>
              </w:rPr>
              <w:t>。</w:t>
            </w:r>
          </w:p>
          <w:p w:rsidR="00BC07F0" w:rsidRDefault="00073EFB">
            <w:pPr>
              <w:tabs>
                <w:tab w:val="left" w:pos="480"/>
              </w:tabs>
              <w:ind w:firstLine="482"/>
              <w:rPr>
                <w:b/>
                <w:bCs/>
              </w:rPr>
            </w:pPr>
            <w:r>
              <w:rPr>
                <w:rFonts w:hint="eastAsia"/>
                <w:b/>
                <w:bCs/>
              </w:rPr>
              <w:t>1.3</w:t>
            </w:r>
            <w:r>
              <w:rPr>
                <w:rFonts w:hint="eastAsia"/>
                <w:b/>
                <w:bCs/>
              </w:rPr>
              <w:t>本项目与《中华人民共和国河道管理条例》（</w:t>
            </w:r>
            <w:r>
              <w:rPr>
                <w:rFonts w:hint="eastAsia"/>
                <w:b/>
                <w:bCs/>
              </w:rPr>
              <w:t>2018</w:t>
            </w:r>
            <w:r>
              <w:rPr>
                <w:rFonts w:hint="eastAsia"/>
                <w:b/>
                <w:bCs/>
              </w:rPr>
              <w:t>修正版）的符合性分析</w:t>
            </w:r>
          </w:p>
          <w:p w:rsidR="00BC07F0" w:rsidRDefault="00073EFB" w:rsidP="00C55F5E">
            <w:pPr>
              <w:tabs>
                <w:tab w:val="left" w:pos="480"/>
              </w:tabs>
              <w:ind w:firstLine="480"/>
            </w:pPr>
            <w:r>
              <w:rPr>
                <w:rFonts w:hint="eastAsia"/>
              </w:rPr>
              <w:t>根据</w:t>
            </w:r>
            <w:r>
              <w:rPr>
                <w:rFonts w:hint="eastAsia"/>
              </w:rPr>
              <w:t>衡阳市人民政府公布的</w:t>
            </w:r>
            <w:r>
              <w:rPr>
                <w:rFonts w:hint="eastAsia"/>
              </w:rPr>
              <w:t>《中华人民共和国河道管理条例》（</w:t>
            </w:r>
            <w:r>
              <w:rPr>
                <w:rFonts w:hint="eastAsia"/>
              </w:rPr>
              <w:t>2018</w:t>
            </w:r>
            <w:r>
              <w:rPr>
                <w:rFonts w:hint="eastAsia"/>
              </w:rPr>
              <w:t>修正版）</w:t>
            </w:r>
            <w:r>
              <w:rPr>
                <w:rFonts w:hint="eastAsia"/>
              </w:rPr>
              <w:t>，</w:t>
            </w:r>
            <w:r>
              <w:rPr>
                <w:rFonts w:hint="eastAsia"/>
              </w:rPr>
              <w:t>本项目与《条例》的符合性分析如下</w:t>
            </w:r>
            <w:r>
              <w:rPr>
                <w:rFonts w:hint="eastAsia"/>
              </w:rPr>
              <w:t>：</w:t>
            </w:r>
          </w:p>
          <w:p w:rsidR="00BC07F0" w:rsidRDefault="00073EFB" w:rsidP="00C55F5E">
            <w:pPr>
              <w:tabs>
                <w:tab w:val="left" w:pos="480"/>
              </w:tabs>
              <w:ind w:firstLine="480"/>
            </w:pPr>
            <w:r>
              <w:rPr>
                <w:rFonts w:hint="eastAsia"/>
              </w:rPr>
              <w:t>第二十四条在河道管理范围内，禁止修建围堤、阻水渠道、阻水道路；种植高杆农作物、芦苇、杞柳、荻柴和树木（堤防防护林除外）；设置拦河渔具；弃置矿渣、石渣、煤灰、泥土、垃圾等。在堤防和护堤地，禁止建房、放牧、开渠、打井、</w:t>
            </w:r>
            <w:r>
              <w:rPr>
                <w:rFonts w:hint="eastAsia"/>
              </w:rPr>
              <w:t>挖窖、葬坟、晒粮、存放物料、开采地下资源、进行考古发掘以及开展集市贸易活动。</w:t>
            </w:r>
          </w:p>
          <w:p w:rsidR="00BC07F0" w:rsidRDefault="00073EFB" w:rsidP="00C55F5E">
            <w:pPr>
              <w:tabs>
                <w:tab w:val="left" w:pos="480"/>
              </w:tabs>
              <w:ind w:firstLine="480"/>
            </w:pPr>
            <w:r>
              <w:rPr>
                <w:rFonts w:hint="eastAsia"/>
              </w:rPr>
              <w:t>第二十五条在河道管理范围内进行下列活动，必须报经河道主管机关批准；涉及其他部门的，由河道主管机关会同有关部门批准：采砂、取土、淘金、弃置砂石或者淤泥；爆破、钻探、挖筑鱼塘；在河道滩地存放物料、</w:t>
            </w:r>
            <w:r>
              <w:rPr>
                <w:rFonts w:hint="eastAsia"/>
              </w:rPr>
              <w:lastRenderedPageBreak/>
              <w:t>修建厂房或者其他建筑设施；在河道滩地开采地下资源及进行考古发掘。</w:t>
            </w:r>
          </w:p>
          <w:p w:rsidR="00BC07F0" w:rsidRDefault="00073EFB" w:rsidP="00C55F5E">
            <w:pPr>
              <w:tabs>
                <w:tab w:val="left" w:pos="480"/>
              </w:tabs>
              <w:ind w:firstLine="480"/>
            </w:pPr>
            <w:r>
              <w:rPr>
                <w:rFonts w:hint="eastAsia"/>
              </w:rPr>
              <w:t>本</w:t>
            </w:r>
            <w:r>
              <w:rPr>
                <w:rFonts w:hint="eastAsia"/>
              </w:rPr>
              <w:t>项目湘江南岸（衡阳港</w:t>
            </w:r>
            <w:r>
              <w:rPr>
                <w:rFonts w:hint="eastAsia"/>
              </w:rPr>
              <w:t>-</w:t>
            </w:r>
            <w:r>
              <w:rPr>
                <w:rFonts w:hint="eastAsia"/>
              </w:rPr>
              <w:t>铜桥港）水环境水安全综合治理工程、幸福河支流水生态环境综合治理工程、铜桥港湿地公园工程、配套城市道路前进路、酃白路工程均</w:t>
            </w:r>
            <w:r>
              <w:rPr>
                <w:rFonts w:hint="eastAsia"/>
              </w:rPr>
              <w:t>不涉及第二十四条禁止的修建围堤、</w:t>
            </w:r>
            <w:r>
              <w:rPr>
                <w:rFonts w:hint="eastAsia"/>
              </w:rPr>
              <w:t>阻水渠道、阻水道路，种植高杆农作物、芦苇、杞柳、荻柴和树木（堤防防护林除外），设置拦河渔具；弃置矿渣、石渣、煤灰、泥土、垃圾等。不涉及建房、放牧、开渠、打井、挖窖、葬坟、晒粮、存放物料、开采地下资源、进行考古发掘以及开展集市贸易活动。</w:t>
            </w:r>
            <w:r>
              <w:rPr>
                <w:rFonts w:hint="eastAsia"/>
              </w:rPr>
              <w:t>不涉及第二十五条禁止的采砂、取土、淘金、弃置砂石或者淤泥；爆破、钻探、挖筑鱼塘；在河道滩地存放物料、修建厂房或者其他建筑设施；在河道滩地开采地下资源及进行考古发掘。</w:t>
            </w:r>
          </w:p>
          <w:p w:rsidR="00BC07F0" w:rsidRDefault="00073EFB" w:rsidP="00C55F5E">
            <w:pPr>
              <w:tabs>
                <w:tab w:val="left" w:pos="480"/>
              </w:tabs>
              <w:ind w:firstLine="480"/>
            </w:pPr>
            <w:r>
              <w:rPr>
                <w:rFonts w:hint="eastAsia"/>
              </w:rPr>
              <w:t>综上所述，本项目不涉及《中华人民共和国河道管理条例》（</w:t>
            </w:r>
            <w:r>
              <w:rPr>
                <w:rFonts w:hint="eastAsia"/>
              </w:rPr>
              <w:t>2018</w:t>
            </w:r>
            <w:r>
              <w:rPr>
                <w:rFonts w:hint="eastAsia"/>
              </w:rPr>
              <w:t>修正版）明令禁止的各项活动，与条例相符。</w:t>
            </w:r>
          </w:p>
          <w:p w:rsidR="00BC07F0" w:rsidRDefault="00073EFB" w:rsidP="00C55F5E">
            <w:pPr>
              <w:tabs>
                <w:tab w:val="left" w:pos="480"/>
              </w:tabs>
              <w:ind w:firstLine="482"/>
              <w:rPr>
                <w:b/>
                <w:bCs/>
              </w:rPr>
            </w:pPr>
            <w:r>
              <w:rPr>
                <w:rFonts w:hint="eastAsia"/>
                <w:b/>
                <w:bCs/>
              </w:rPr>
              <w:t>1.4</w:t>
            </w:r>
            <w:r>
              <w:rPr>
                <w:rFonts w:hint="eastAsia"/>
                <w:b/>
                <w:bCs/>
              </w:rPr>
              <w:t>本</w:t>
            </w:r>
            <w:r>
              <w:rPr>
                <w:rFonts w:hint="eastAsia"/>
                <w:b/>
                <w:bCs/>
              </w:rPr>
              <w:t>项目与《中华人民共和国水污染防治法》的符合性分析</w:t>
            </w:r>
          </w:p>
          <w:p w:rsidR="00BC07F0" w:rsidRDefault="00073EFB" w:rsidP="00C55F5E">
            <w:pPr>
              <w:tabs>
                <w:tab w:val="left" w:pos="480"/>
              </w:tabs>
              <w:ind w:firstLine="480"/>
            </w:pPr>
            <w:r>
              <w:rPr>
                <w:rFonts w:hint="eastAsia"/>
              </w:rPr>
              <w:t>参考《中华人民共和国水污染防治法》，其中与本项目相关的规定如下：</w:t>
            </w:r>
          </w:p>
          <w:p w:rsidR="00BC07F0" w:rsidRDefault="00073EFB" w:rsidP="00C55F5E">
            <w:pPr>
              <w:tabs>
                <w:tab w:val="left" w:pos="480"/>
              </w:tabs>
              <w:ind w:firstLine="480"/>
            </w:pPr>
            <w:r>
              <w:rPr>
                <w:rFonts w:hint="eastAsia"/>
              </w:rPr>
              <w:t>第六十五条：禁止在饮用水水源一级保护区内新建、改建、扩建与供水设施和保护水源无关的建设项目；已建成的与供水设施和保护水源无关的建设项目，由县级以上人民政府责令拆除或者关闭。禁止在饮用水水源一级保护区内从事网箱养殖、旅游、游泳、垂钓或者其他可能污染饮用水水体的活动。</w:t>
            </w:r>
          </w:p>
          <w:p w:rsidR="00BC07F0" w:rsidRDefault="00073EFB" w:rsidP="00C55F5E">
            <w:pPr>
              <w:tabs>
                <w:tab w:val="left" w:pos="480"/>
              </w:tabs>
              <w:ind w:firstLine="480"/>
            </w:pPr>
            <w:r>
              <w:rPr>
                <w:rFonts w:hint="eastAsia"/>
              </w:rPr>
              <w:t>第六十六条：禁止在饮用水水源二级保护区内新建、改建、扩建排放污染物的建设项目；已建成的排放污染物的建设项目，由县级以上人民政府责令拆除或者关闭。在饮用水水源二级保护区内从事网箱养殖、旅游等活动的，应当按照规定采取措施，防止污染饮用水水体。</w:t>
            </w:r>
          </w:p>
          <w:p w:rsidR="00BC07F0" w:rsidRDefault="00073EFB" w:rsidP="00C55F5E">
            <w:pPr>
              <w:tabs>
                <w:tab w:val="left" w:pos="480"/>
              </w:tabs>
              <w:ind w:firstLine="480"/>
            </w:pPr>
            <w:r>
              <w:rPr>
                <w:rFonts w:hint="eastAsia"/>
              </w:rPr>
              <w:t>第六十七条：禁止在饮用水水源准保护区内新建、扩建对水体污染严重的建设项目；改建建设项目，不得增加排污量。</w:t>
            </w:r>
          </w:p>
          <w:p w:rsidR="00BC07F0" w:rsidRDefault="00073EFB" w:rsidP="00C55F5E">
            <w:pPr>
              <w:tabs>
                <w:tab w:val="left" w:pos="480"/>
              </w:tabs>
              <w:ind w:firstLine="480"/>
            </w:pPr>
            <w:r>
              <w:rPr>
                <w:rFonts w:hint="eastAsia"/>
              </w:rPr>
              <w:t>本项目不涉及一级水源保护区，</w:t>
            </w:r>
            <w:r>
              <w:rPr>
                <w:rFonts w:hint="eastAsia"/>
              </w:rPr>
              <w:t>不涉及衡阳市饮用水保护区及自然保护区，</w:t>
            </w:r>
            <w:r>
              <w:rPr>
                <w:rFonts w:hint="eastAsia"/>
              </w:rPr>
              <w:t>不属于有损主导生态系统服务功能的开发建设项目，对区域饮用水水源保护区不产生有害影响，因此不违背《中华</w:t>
            </w:r>
            <w:r>
              <w:rPr>
                <w:rFonts w:hint="eastAsia"/>
              </w:rPr>
              <w:t>人民共和国水污染防治法》</w:t>
            </w:r>
            <w:r>
              <w:rPr>
                <w:rFonts w:hint="eastAsia"/>
              </w:rPr>
              <w:lastRenderedPageBreak/>
              <w:t>中第六十五条、第六十六条、第六十七条的要求相符合。</w:t>
            </w:r>
          </w:p>
          <w:p w:rsidR="00BC07F0" w:rsidRDefault="00073EFB" w:rsidP="00C55F5E">
            <w:pPr>
              <w:tabs>
                <w:tab w:val="left" w:pos="480"/>
              </w:tabs>
              <w:ind w:firstLine="482"/>
              <w:rPr>
                <w:b/>
                <w:bCs/>
              </w:rPr>
            </w:pPr>
            <w:r>
              <w:rPr>
                <w:rFonts w:hint="eastAsia"/>
                <w:b/>
                <w:bCs/>
              </w:rPr>
              <w:t>1.5</w:t>
            </w:r>
            <w:r>
              <w:rPr>
                <w:rFonts w:hint="eastAsia"/>
                <w:b/>
                <w:bCs/>
              </w:rPr>
              <w:t>本项目与《水污染防治行动计划》〔国发【</w:t>
            </w:r>
            <w:r>
              <w:rPr>
                <w:rFonts w:hint="eastAsia"/>
                <w:b/>
                <w:bCs/>
              </w:rPr>
              <w:t>2015</w:t>
            </w:r>
            <w:r>
              <w:rPr>
                <w:rFonts w:hint="eastAsia"/>
                <w:b/>
                <w:bCs/>
              </w:rPr>
              <w:t>】</w:t>
            </w:r>
            <w:r>
              <w:rPr>
                <w:rFonts w:hint="eastAsia"/>
                <w:b/>
                <w:bCs/>
              </w:rPr>
              <w:t>17</w:t>
            </w:r>
            <w:r>
              <w:rPr>
                <w:rFonts w:hint="eastAsia"/>
                <w:b/>
                <w:bCs/>
              </w:rPr>
              <w:t>号〕符合性分析</w:t>
            </w:r>
          </w:p>
          <w:p w:rsidR="00BC07F0" w:rsidRDefault="00073EFB" w:rsidP="00C55F5E">
            <w:pPr>
              <w:tabs>
                <w:tab w:val="left" w:pos="480"/>
              </w:tabs>
              <w:ind w:firstLine="480"/>
            </w:pPr>
            <w:r>
              <w:rPr>
                <w:rFonts w:hint="eastAsia"/>
              </w:rPr>
              <w:t>《水污染防治行动计划》简称“水十条”，是为切实加大水污染防治力度保障国家水安全而制定的法规。</w:t>
            </w:r>
            <w:r>
              <w:rPr>
                <w:rFonts w:hint="eastAsia"/>
              </w:rPr>
              <w:t>2015</w:t>
            </w:r>
            <w:r>
              <w:rPr>
                <w:rFonts w:hint="eastAsia"/>
              </w:rPr>
              <w:t>年</w:t>
            </w:r>
            <w:r>
              <w:rPr>
                <w:rFonts w:hint="eastAsia"/>
              </w:rPr>
              <w:t>2</w:t>
            </w:r>
            <w:r>
              <w:rPr>
                <w:rFonts w:hint="eastAsia"/>
              </w:rPr>
              <w:t>月中央政治局常务委员会会议审议通过《水十条》，</w:t>
            </w:r>
            <w:r>
              <w:rPr>
                <w:rFonts w:hint="eastAsia"/>
              </w:rPr>
              <w:t>2015</w:t>
            </w:r>
            <w:r>
              <w:rPr>
                <w:rFonts w:hint="eastAsia"/>
              </w:rPr>
              <w:t>年</w:t>
            </w:r>
            <w:r>
              <w:rPr>
                <w:rFonts w:hint="eastAsia"/>
              </w:rPr>
              <w:t>4</w:t>
            </w:r>
            <w:r>
              <w:rPr>
                <w:rFonts w:hint="eastAsia"/>
              </w:rPr>
              <w:t>月</w:t>
            </w:r>
            <w:r>
              <w:rPr>
                <w:rFonts w:hint="eastAsia"/>
              </w:rPr>
              <w:t>2</w:t>
            </w:r>
            <w:r>
              <w:rPr>
                <w:rFonts w:hint="eastAsia"/>
              </w:rPr>
              <w:t>日成文，</w:t>
            </w:r>
            <w:r>
              <w:rPr>
                <w:rFonts w:hint="eastAsia"/>
              </w:rPr>
              <w:t>2015</w:t>
            </w:r>
            <w:r>
              <w:rPr>
                <w:rFonts w:hint="eastAsia"/>
              </w:rPr>
              <w:t>年</w:t>
            </w:r>
            <w:r>
              <w:rPr>
                <w:rFonts w:hint="eastAsia"/>
              </w:rPr>
              <w:t>4</w:t>
            </w:r>
            <w:r>
              <w:rPr>
                <w:rFonts w:hint="eastAsia"/>
              </w:rPr>
              <w:t>月</w:t>
            </w:r>
            <w:r>
              <w:rPr>
                <w:rFonts w:hint="eastAsia"/>
              </w:rPr>
              <w:t>16</w:t>
            </w:r>
            <w:r>
              <w:rPr>
                <w:rFonts w:hint="eastAsia"/>
              </w:rPr>
              <w:t>日发布，自起实施。“水十条”</w:t>
            </w:r>
            <w:r>
              <w:rPr>
                <w:rFonts w:hint="eastAsia"/>
              </w:rPr>
              <w:t>关于“全力保障水生态环境安全”提出：</w:t>
            </w:r>
            <w:r>
              <w:rPr>
                <w:rFonts w:hint="eastAsia"/>
              </w:rPr>
              <w:t>深化重点流域污染防治研究建立流域水生态环境功能分区管理体系</w:t>
            </w:r>
            <w:r>
              <w:rPr>
                <w:rFonts w:hint="eastAsia"/>
              </w:rPr>
              <w:t>，</w:t>
            </w:r>
            <w:r>
              <w:rPr>
                <w:rFonts w:hint="eastAsia"/>
              </w:rPr>
              <w:t>对化学需氧量、氨氮、总磷、重金属及其他影响人体</w:t>
            </w:r>
            <w:r>
              <w:rPr>
                <w:rFonts w:hint="eastAsia"/>
              </w:rPr>
              <w:t>健康的污染物采取针对性措施，加大整治力度</w:t>
            </w:r>
            <w:r>
              <w:rPr>
                <w:rFonts w:hint="eastAsia"/>
              </w:rPr>
              <w:t>；</w:t>
            </w:r>
            <w:r>
              <w:rPr>
                <w:rFonts w:hint="eastAsia"/>
              </w:rPr>
              <w:t>整治城市黑臭水体。采取控源截污、垃圾清理、清淤疏浚、生态修复等措施，加大黑臭水体治理力度，每半年向社会公布治理情况。</w:t>
            </w:r>
          </w:p>
          <w:p w:rsidR="00BC07F0" w:rsidRDefault="00073EFB" w:rsidP="00C55F5E">
            <w:pPr>
              <w:tabs>
                <w:tab w:val="left" w:pos="480"/>
              </w:tabs>
              <w:ind w:firstLine="480"/>
            </w:pPr>
            <w:r>
              <w:rPr>
                <w:rFonts w:hint="eastAsia"/>
              </w:rPr>
              <w:t>本项目</w:t>
            </w:r>
            <w:r>
              <w:rPr>
                <w:rFonts w:hint="eastAsia"/>
              </w:rPr>
              <w:t>主要建设内容包括湘江南水环境水安全综合治理工程、幸福河支流水生态环境综合治理、铜桥港湿地公园工程、配套城市道路前进路、酃白路工程，符合</w:t>
            </w:r>
            <w:r>
              <w:rPr>
                <w:rFonts w:hint="eastAsia"/>
              </w:rPr>
              <w:t>“水十条”</w:t>
            </w:r>
            <w:r>
              <w:rPr>
                <w:rFonts w:hint="eastAsia"/>
              </w:rPr>
              <w:t>中“全力保障水生态环境安全”的要求</w:t>
            </w:r>
            <w:r>
              <w:rPr>
                <w:rFonts w:hint="eastAsia"/>
              </w:rPr>
              <w:t>，项目建成后可</w:t>
            </w:r>
            <w:r>
              <w:rPr>
                <w:rFonts w:hint="eastAsia"/>
              </w:rPr>
              <w:t>改善</w:t>
            </w:r>
            <w:r>
              <w:rPr>
                <w:rFonts w:hint="eastAsia"/>
              </w:rPr>
              <w:t>项目</w:t>
            </w:r>
            <w:r>
              <w:rPr>
                <w:rFonts w:hint="eastAsia"/>
              </w:rPr>
              <w:t>生态环境，有良好的环境效益和社会效益，促进当地经济社会的持续发展。</w:t>
            </w:r>
            <w:r>
              <w:rPr>
                <w:rFonts w:hint="eastAsia"/>
              </w:rPr>
              <w:t>综上所述，本项目与</w:t>
            </w:r>
            <w:r>
              <w:rPr>
                <w:rFonts w:hint="eastAsia"/>
              </w:rPr>
              <w:t>《水污染防治行动计划》〔国发【</w:t>
            </w:r>
            <w:r>
              <w:rPr>
                <w:rFonts w:hint="eastAsia"/>
              </w:rPr>
              <w:t>2015</w:t>
            </w:r>
            <w:r>
              <w:rPr>
                <w:rFonts w:hint="eastAsia"/>
              </w:rPr>
              <w:t>】</w:t>
            </w:r>
            <w:r>
              <w:rPr>
                <w:rFonts w:hint="eastAsia"/>
              </w:rPr>
              <w:t>17</w:t>
            </w:r>
            <w:r>
              <w:rPr>
                <w:rFonts w:hint="eastAsia"/>
              </w:rPr>
              <w:t>号〕</w:t>
            </w:r>
            <w:r>
              <w:rPr>
                <w:rFonts w:hint="eastAsia"/>
              </w:rPr>
              <w:t>相</w:t>
            </w:r>
            <w:r>
              <w:rPr>
                <w:rFonts w:hint="eastAsia"/>
              </w:rPr>
              <w:t>符合</w:t>
            </w:r>
            <w:r>
              <w:rPr>
                <w:rFonts w:hint="eastAsia"/>
              </w:rPr>
              <w:t>。</w:t>
            </w:r>
          </w:p>
          <w:p w:rsidR="00BC07F0" w:rsidRDefault="00073EFB">
            <w:pPr>
              <w:tabs>
                <w:tab w:val="left" w:pos="480"/>
              </w:tabs>
              <w:ind w:firstLine="482"/>
              <w:rPr>
                <w:b/>
                <w:bCs/>
              </w:rPr>
            </w:pPr>
            <w:r>
              <w:rPr>
                <w:rFonts w:hint="eastAsia"/>
                <w:b/>
                <w:bCs/>
              </w:rPr>
              <w:t>1.6</w:t>
            </w:r>
            <w:r>
              <w:rPr>
                <w:rFonts w:hint="eastAsia"/>
                <w:b/>
                <w:bCs/>
              </w:rPr>
              <w:t>本项目产业政策符合性</w:t>
            </w:r>
          </w:p>
          <w:p w:rsidR="00BC07F0" w:rsidRDefault="00073EFB">
            <w:pPr>
              <w:tabs>
                <w:tab w:val="left" w:pos="480"/>
              </w:tabs>
              <w:ind w:firstLine="480"/>
            </w:pPr>
            <w:r>
              <w:rPr>
                <w:rFonts w:hint="eastAsia"/>
              </w:rPr>
              <w:t>对照</w:t>
            </w:r>
            <w:r>
              <w:rPr>
                <w:rFonts w:hint="eastAsia"/>
              </w:rPr>
              <w:t>《产业结构调整指导目录（</w:t>
            </w:r>
            <w:r>
              <w:rPr>
                <w:rFonts w:hint="eastAsia"/>
              </w:rPr>
              <w:t>2019</w:t>
            </w:r>
            <w:r>
              <w:rPr>
                <w:rFonts w:hint="eastAsia"/>
              </w:rPr>
              <w:t>本）》（</w:t>
            </w:r>
            <w:r>
              <w:rPr>
                <w:rFonts w:hint="eastAsia"/>
              </w:rPr>
              <w:t>2021</w:t>
            </w:r>
            <w:r>
              <w:rPr>
                <w:rFonts w:hint="eastAsia"/>
              </w:rPr>
              <w:t>年修改），本项目属于“鼓励类</w:t>
            </w:r>
            <w:r>
              <w:rPr>
                <w:rFonts w:hint="eastAsia"/>
              </w:rPr>
              <w:t>-</w:t>
            </w:r>
            <w:r>
              <w:rPr>
                <w:rFonts w:hint="eastAsia"/>
              </w:rPr>
              <w:t>二、水利</w:t>
            </w:r>
            <w:r>
              <w:rPr>
                <w:rFonts w:hint="eastAsia"/>
              </w:rPr>
              <w:t>-</w:t>
            </w:r>
            <w:r>
              <w:rPr>
                <w:rFonts w:hint="eastAsia"/>
              </w:rPr>
              <w:t>江河湖海堤防建设及河道治理工程</w:t>
            </w:r>
            <w:r>
              <w:rPr>
                <w:rFonts w:hint="eastAsia"/>
              </w:rPr>
              <w:t>”。对照</w:t>
            </w:r>
            <w:r>
              <w:rPr>
                <w:rFonts w:hint="eastAsia"/>
              </w:rPr>
              <w:t>《</w:t>
            </w:r>
            <w:r>
              <w:rPr>
                <w:rFonts w:hint="eastAsia"/>
              </w:rPr>
              <w:t>长江经济带发展负面清单指南</w:t>
            </w:r>
            <w:r>
              <w:rPr>
                <w:rFonts w:hint="eastAsia"/>
              </w:rPr>
              <w:t>》</w:t>
            </w:r>
            <w:r>
              <w:rPr>
                <w:rFonts w:hint="eastAsia"/>
              </w:rPr>
              <w:t>（试行，</w:t>
            </w:r>
            <w:r>
              <w:rPr>
                <w:rFonts w:hint="eastAsia"/>
              </w:rPr>
              <w:t>2022</w:t>
            </w:r>
            <w:r>
              <w:rPr>
                <w:rFonts w:hint="eastAsia"/>
              </w:rPr>
              <w:t>年版），本项目不涉及清单中禁止建设的</w:t>
            </w:r>
            <w:r>
              <w:rPr>
                <w:rFonts w:hint="eastAsia"/>
              </w:rPr>
              <w:t>1~1</w:t>
            </w:r>
            <w:r>
              <w:rPr>
                <w:rFonts w:hint="eastAsia"/>
              </w:rPr>
              <w:t>2</w:t>
            </w:r>
            <w:r>
              <w:rPr>
                <w:rFonts w:hint="eastAsia"/>
              </w:rPr>
              <w:t>条</w:t>
            </w:r>
            <w:r>
              <w:rPr>
                <w:rFonts w:hint="eastAsia"/>
              </w:rPr>
              <w:t>，因此</w:t>
            </w:r>
            <w:r>
              <w:rPr>
                <w:rFonts w:hint="eastAsia"/>
              </w:rPr>
              <w:t>本项目</w:t>
            </w:r>
            <w:r>
              <w:rPr>
                <w:rFonts w:ascii="宋体" w:hAnsi="宋体" w:cs="宋体"/>
                <w:spacing w:val="-9"/>
              </w:rPr>
              <w:t>符合国家当前的产业政策</w:t>
            </w:r>
            <w:r>
              <w:rPr>
                <w:rFonts w:hint="eastAsia"/>
              </w:rPr>
              <w:t>。</w:t>
            </w: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tc>
      </w:tr>
    </w:tbl>
    <w:p w:rsidR="00BC07F0" w:rsidRDefault="00BC07F0" w:rsidP="00C55F5E">
      <w:pPr>
        <w:ind w:firstLine="480"/>
        <w:sectPr w:rsidR="00BC07F0">
          <w:footerReference w:type="default" r:id="rId15"/>
          <w:pgSz w:w="11906" w:h="16838"/>
          <w:pgMar w:top="1440" w:right="1080" w:bottom="1440" w:left="1080" w:header="283" w:footer="283" w:gutter="0"/>
          <w:pgNumType w:start="1"/>
          <w:cols w:space="425"/>
          <w:docGrid w:type="lines" w:linePitch="312"/>
        </w:sectPr>
      </w:pPr>
    </w:p>
    <w:p w:rsidR="00BC07F0" w:rsidRDefault="00073EFB">
      <w:pPr>
        <w:pStyle w:val="1"/>
      </w:pPr>
      <w:bookmarkStart w:id="11" w:name="_Toc23713"/>
      <w:bookmarkStart w:id="12" w:name="_Toc136"/>
      <w:bookmarkStart w:id="13" w:name="_Toc28834"/>
      <w:bookmarkStart w:id="14" w:name="_Toc3465"/>
      <w:r>
        <w:rPr>
          <w:rFonts w:hint="eastAsia"/>
        </w:rPr>
        <w:lastRenderedPageBreak/>
        <w:t>二、建设内容</w:t>
      </w:r>
      <w:bookmarkEnd w:id="11"/>
      <w:bookmarkEnd w:id="12"/>
      <w:bookmarkEnd w:id="13"/>
      <w:bookmarkEnd w:id="14"/>
    </w:p>
    <w:tbl>
      <w:tblPr>
        <w:tblW w:w="494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532"/>
        <w:gridCol w:w="9324"/>
      </w:tblGrid>
      <w:tr w:rsidR="00BC07F0">
        <w:trPr>
          <w:trHeight w:val="397"/>
          <w:jc w:val="center"/>
        </w:trPr>
        <w:tc>
          <w:tcPr>
            <w:tcW w:w="532" w:type="dxa"/>
            <w:vAlign w:val="center"/>
          </w:tcPr>
          <w:p w:rsidR="00BC07F0" w:rsidRDefault="00073EFB">
            <w:pPr>
              <w:pStyle w:val="a7"/>
              <w:rPr>
                <w:rFonts w:hint="default"/>
                <w:b/>
                <w:bCs/>
                <w:sz w:val="24"/>
                <w:szCs w:val="24"/>
              </w:rPr>
            </w:pPr>
            <w:r>
              <w:rPr>
                <w:b/>
                <w:bCs/>
                <w:sz w:val="24"/>
                <w:szCs w:val="24"/>
              </w:rPr>
              <w:t>地理位置</w:t>
            </w:r>
          </w:p>
        </w:tc>
        <w:tc>
          <w:tcPr>
            <w:tcW w:w="9326" w:type="dxa"/>
            <w:vAlign w:val="center"/>
          </w:tcPr>
          <w:p w:rsidR="00BC07F0" w:rsidRDefault="00073EFB" w:rsidP="00C55F5E">
            <w:pPr>
              <w:ind w:firstLine="482"/>
              <w:rPr>
                <w:b/>
                <w:bCs/>
              </w:rPr>
            </w:pPr>
            <w:r>
              <w:rPr>
                <w:rFonts w:hint="eastAsia"/>
                <w:b/>
                <w:bCs/>
              </w:rPr>
              <w:t>2.1</w:t>
            </w:r>
            <w:r>
              <w:rPr>
                <w:rFonts w:hint="eastAsia"/>
                <w:b/>
                <w:bCs/>
              </w:rPr>
              <w:t>地理位置</w:t>
            </w:r>
          </w:p>
          <w:p w:rsidR="00BC07F0" w:rsidRDefault="00073EFB" w:rsidP="00C55F5E">
            <w:pPr>
              <w:ind w:firstLine="480"/>
            </w:pPr>
            <w:r>
              <w:rPr>
                <w:rFonts w:hint="eastAsia"/>
              </w:rPr>
              <w:t>湘江南岸（衡阳港</w:t>
            </w:r>
            <w:r>
              <w:rPr>
                <w:rFonts w:hint="eastAsia"/>
              </w:rPr>
              <w:t>-</w:t>
            </w:r>
            <w:r>
              <w:rPr>
                <w:rFonts w:hint="eastAsia"/>
              </w:rPr>
              <w:t>铜桥港）水环境水安全综合治理工程</w:t>
            </w:r>
            <w:r>
              <w:rPr>
                <w:rFonts w:hint="eastAsia"/>
              </w:rPr>
              <w:t>位于衡阳市雁峰区湘江西岸，</w:t>
            </w:r>
            <w:r>
              <w:t>中心地理坐标</w:t>
            </w:r>
            <w:r>
              <w:rPr>
                <w:rFonts w:hint="eastAsia"/>
              </w:rPr>
              <w:t>E</w:t>
            </w:r>
            <w:r>
              <w:t>112°39′20.83579″</w:t>
            </w:r>
            <w:r>
              <w:rPr>
                <w:rFonts w:hint="eastAsia"/>
              </w:rPr>
              <w:t>，</w:t>
            </w:r>
            <w:r>
              <w:rPr>
                <w:rFonts w:hint="eastAsia"/>
              </w:rPr>
              <w:t>N</w:t>
            </w:r>
            <w:r>
              <w:t>26°51′43.05046″</w:t>
            </w:r>
            <w:r>
              <w:t>；</w:t>
            </w:r>
          </w:p>
          <w:p w:rsidR="00BC07F0" w:rsidRDefault="00073EFB" w:rsidP="00C55F5E">
            <w:pPr>
              <w:ind w:firstLine="480"/>
            </w:pPr>
            <w:r>
              <w:t>幸福河支流水生态环境综合治理工程</w:t>
            </w:r>
            <w:r>
              <w:rPr>
                <w:rFonts w:hint="eastAsia"/>
              </w:rPr>
              <w:t>位于蒸阳南路西侧河段</w:t>
            </w:r>
            <w:r>
              <w:rPr>
                <w:rFonts w:hint="eastAsia"/>
              </w:rPr>
              <w:t>，</w:t>
            </w:r>
            <w:r>
              <w:t>起点坐标</w:t>
            </w:r>
            <w:r>
              <w:t>E112°37′38.463″</w:t>
            </w:r>
            <w:r>
              <w:rPr>
                <w:rFonts w:hint="eastAsia"/>
              </w:rPr>
              <w:t>，</w:t>
            </w:r>
            <w:r>
              <w:t>N26°49′54.112″</w:t>
            </w:r>
            <w:r>
              <w:t>，终点坐标</w:t>
            </w:r>
            <w:r>
              <w:t>E112°36′40.083″</w:t>
            </w:r>
            <w:r>
              <w:rPr>
                <w:rFonts w:hint="eastAsia"/>
              </w:rPr>
              <w:t>，</w:t>
            </w:r>
            <w:r>
              <w:t>N26°49′54.034″</w:t>
            </w:r>
            <w:r>
              <w:t>；</w:t>
            </w:r>
          </w:p>
          <w:p w:rsidR="00BC07F0" w:rsidRDefault="00073EFB" w:rsidP="00C55F5E">
            <w:pPr>
              <w:ind w:firstLine="480"/>
            </w:pPr>
            <w:r>
              <w:t>铜桥港湿地公园工程</w:t>
            </w:r>
            <w:r>
              <w:rPr>
                <w:rFonts w:hint="eastAsia"/>
              </w:rPr>
              <w:t>位于衡阳市铜桥港污水处理厂西南侧，</w:t>
            </w:r>
            <w:r>
              <w:t>中心地理坐标</w:t>
            </w:r>
            <w:r>
              <w:t>E112°39′3.126″</w:t>
            </w:r>
            <w:r>
              <w:rPr>
                <w:rFonts w:hint="eastAsia"/>
              </w:rPr>
              <w:t>，</w:t>
            </w:r>
            <w:r>
              <w:t>N26°50′12.690″</w:t>
            </w:r>
            <w:r>
              <w:t>；</w:t>
            </w:r>
          </w:p>
          <w:p w:rsidR="00BC07F0" w:rsidRDefault="00073EFB" w:rsidP="00C55F5E">
            <w:pPr>
              <w:ind w:firstLine="480"/>
            </w:pPr>
            <w:r>
              <w:rPr>
                <w:rFonts w:hint="eastAsia"/>
              </w:rPr>
              <w:t>配套城市道路前进路、酃白路工程</w:t>
            </w:r>
            <w:r>
              <w:rPr>
                <w:rFonts w:hint="eastAsia"/>
              </w:rPr>
              <w:t>位于湘江南路南侧的酃白路、前进路，</w:t>
            </w:r>
            <w:r>
              <w:rPr>
                <w:rFonts w:hint="eastAsia"/>
              </w:rPr>
              <w:t>酃白路</w:t>
            </w:r>
            <w:r>
              <w:t>起点坐标</w:t>
            </w:r>
            <w:r>
              <w:t>E112°39′9.576″</w:t>
            </w:r>
            <w:r>
              <w:rPr>
                <w:rFonts w:hint="eastAsia"/>
              </w:rPr>
              <w:t>，</w:t>
            </w:r>
            <w:r>
              <w:t>N26°50′56.180″</w:t>
            </w:r>
            <w:r>
              <w:t>，终点坐标</w:t>
            </w:r>
            <w:r>
              <w:t>E112°39′13.90281″</w:t>
            </w:r>
            <w:r>
              <w:rPr>
                <w:rFonts w:hint="eastAsia"/>
              </w:rPr>
              <w:t>，</w:t>
            </w:r>
            <w:r>
              <w:t>N26°51′43.37876″</w:t>
            </w:r>
            <w:r>
              <w:t>；前进路起点坐标</w:t>
            </w:r>
            <w:r>
              <w:t>E112°38′37.364″</w:t>
            </w:r>
            <w:r>
              <w:rPr>
                <w:rFonts w:hint="eastAsia"/>
              </w:rPr>
              <w:t>，</w:t>
            </w:r>
            <w:r>
              <w:t>N26°50′54.558″</w:t>
            </w:r>
            <w:r>
              <w:t>，终点坐标</w:t>
            </w:r>
            <w:r>
              <w:t>E112°39′30.124″</w:t>
            </w:r>
            <w:r>
              <w:rPr>
                <w:rFonts w:hint="eastAsia"/>
              </w:rPr>
              <w:t>，</w:t>
            </w:r>
            <w:r>
              <w:t>N26°50′55.25350″</w:t>
            </w:r>
            <w:r>
              <w:rPr>
                <w:rFonts w:hint="eastAsia"/>
              </w:rPr>
              <w:t>。</w:t>
            </w:r>
          </w:p>
          <w:p w:rsidR="00BC07F0" w:rsidRDefault="00073EFB">
            <w:pPr>
              <w:pStyle w:val="a7"/>
              <w:rPr>
                <w:rFonts w:hint="default"/>
              </w:rPr>
            </w:pPr>
            <w:r>
              <w:rPr>
                <w:noProof/>
              </w:rPr>
              <w:drawing>
                <wp:inline distT="0" distB="0" distL="114300" distR="114300">
                  <wp:extent cx="4777740" cy="3110865"/>
                  <wp:effectExtent l="0" t="0" r="3810" b="13335"/>
                  <wp:docPr id="32" name="图片 32" descr="9520d200f8ff2e04115466ab46bf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520d200f8ff2e04115466ab46bf144"/>
                          <pic:cNvPicPr>
                            <a:picLocks noChangeAspect="1"/>
                          </pic:cNvPicPr>
                        </pic:nvPicPr>
                        <pic:blipFill>
                          <a:blip r:embed="rId16" cstate="print"/>
                          <a:stretch>
                            <a:fillRect/>
                          </a:stretch>
                        </pic:blipFill>
                        <pic:spPr>
                          <a:xfrm>
                            <a:off x="0" y="0"/>
                            <a:ext cx="4777740" cy="3110865"/>
                          </a:xfrm>
                          <a:prstGeom prst="rect">
                            <a:avLst/>
                          </a:prstGeom>
                        </pic:spPr>
                      </pic:pic>
                    </a:graphicData>
                  </a:graphic>
                </wp:inline>
              </w:drawing>
            </w:r>
          </w:p>
          <w:p w:rsidR="00BC07F0" w:rsidRDefault="00073EFB">
            <w:pPr>
              <w:pStyle w:val="a7"/>
              <w:rPr>
                <w:rFonts w:hint="default"/>
              </w:rPr>
            </w:pPr>
            <w:r>
              <w:rPr>
                <w:b/>
                <w:bCs/>
              </w:rPr>
              <w:t>图</w:t>
            </w:r>
            <w:r>
              <w:rPr>
                <w:b/>
                <w:bCs/>
              </w:rPr>
              <w:t>1-1</w:t>
            </w:r>
            <w:r>
              <w:rPr>
                <w:b/>
                <w:bCs/>
              </w:rPr>
              <w:t>本项目各工程位置图</w:t>
            </w:r>
          </w:p>
        </w:tc>
      </w:tr>
      <w:tr w:rsidR="00BC07F0">
        <w:trPr>
          <w:trHeight w:val="397"/>
          <w:jc w:val="center"/>
        </w:trPr>
        <w:tc>
          <w:tcPr>
            <w:tcW w:w="532" w:type="dxa"/>
            <w:vAlign w:val="center"/>
          </w:tcPr>
          <w:p w:rsidR="00BC07F0" w:rsidRDefault="00073EFB">
            <w:pPr>
              <w:pStyle w:val="a7"/>
              <w:rPr>
                <w:rFonts w:hint="default"/>
                <w:b/>
                <w:bCs/>
                <w:sz w:val="24"/>
                <w:szCs w:val="24"/>
              </w:rPr>
            </w:pPr>
            <w:r>
              <w:rPr>
                <w:b/>
                <w:bCs/>
                <w:sz w:val="24"/>
                <w:szCs w:val="24"/>
              </w:rPr>
              <w:t>项目组成及规模</w:t>
            </w:r>
          </w:p>
        </w:tc>
        <w:tc>
          <w:tcPr>
            <w:tcW w:w="9326" w:type="dxa"/>
            <w:vAlign w:val="center"/>
          </w:tcPr>
          <w:p w:rsidR="00BC07F0" w:rsidRDefault="00073EFB" w:rsidP="00C55F5E">
            <w:pPr>
              <w:ind w:firstLine="482"/>
              <w:rPr>
                <w:b/>
                <w:bCs/>
              </w:rPr>
            </w:pPr>
            <w:r>
              <w:rPr>
                <w:rFonts w:hint="eastAsia"/>
                <w:b/>
                <w:bCs/>
              </w:rPr>
              <w:t>2.2</w:t>
            </w:r>
            <w:r>
              <w:rPr>
                <w:rFonts w:hint="eastAsia"/>
                <w:b/>
                <w:bCs/>
              </w:rPr>
              <w:t>项目组成</w:t>
            </w:r>
          </w:p>
          <w:p w:rsidR="00BC07F0" w:rsidRDefault="00073EFB" w:rsidP="00C55F5E">
            <w:pPr>
              <w:ind w:firstLine="480"/>
            </w:pPr>
            <w:r>
              <w:rPr>
                <w:rFonts w:hint="eastAsia"/>
              </w:rPr>
              <w:t>项目主要建设内容包括湘江南水环境水安全综合治理工程、幸福河支流水生态环境综合治理、铜桥港湿地公园工程、</w:t>
            </w:r>
            <w:r>
              <w:rPr>
                <w:rFonts w:hint="eastAsia"/>
              </w:rPr>
              <w:t>配套城市道路前进路、酃白路工程，</w:t>
            </w:r>
            <w:r>
              <w:rPr>
                <w:rFonts w:hint="eastAsia"/>
              </w:rPr>
              <w:t>各工程的</w:t>
            </w:r>
            <w:r>
              <w:rPr>
                <w:rFonts w:hint="eastAsia"/>
              </w:rPr>
              <w:t>主体工程、辅助工程、公用工程、环保工程、储运工程</w:t>
            </w:r>
            <w:r>
              <w:rPr>
                <w:rFonts w:hint="eastAsia"/>
              </w:rPr>
              <w:t>概况</w:t>
            </w:r>
            <w:r>
              <w:rPr>
                <w:rFonts w:hint="eastAsia"/>
              </w:rPr>
              <w:t>下表。</w:t>
            </w:r>
          </w:p>
          <w:p w:rsidR="00BC07F0" w:rsidRDefault="00073EFB">
            <w:pPr>
              <w:pStyle w:val="a7"/>
              <w:rPr>
                <w:rFonts w:hint="default"/>
                <w:b/>
                <w:bCs/>
              </w:rPr>
            </w:pPr>
            <w:r>
              <w:rPr>
                <w:b/>
                <w:bCs/>
              </w:rPr>
              <w:t>表</w:t>
            </w:r>
            <w:r>
              <w:rPr>
                <w:b/>
                <w:bCs/>
              </w:rPr>
              <w:t>2</w:t>
            </w:r>
            <w:r>
              <w:rPr>
                <w:b/>
                <w:bCs/>
              </w:rPr>
              <w:t>.2</w:t>
            </w:r>
            <w:r>
              <w:rPr>
                <w:b/>
                <w:bCs/>
              </w:rPr>
              <w:t>-1</w:t>
            </w:r>
            <w:r>
              <w:rPr>
                <w:b/>
                <w:bCs/>
              </w:rPr>
              <w:t>项目组成一览表</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
              <w:gridCol w:w="1059"/>
              <w:gridCol w:w="1077"/>
              <w:gridCol w:w="5539"/>
              <w:gridCol w:w="653"/>
            </w:tblGrid>
            <w:tr w:rsidR="00BC07F0">
              <w:trPr>
                <w:trHeight w:val="397"/>
                <w:jc w:val="center"/>
              </w:trPr>
              <w:tc>
                <w:tcPr>
                  <w:tcW w:w="373" w:type="pct"/>
                  <w:vAlign w:val="center"/>
                </w:tcPr>
                <w:p w:rsidR="00BC07F0" w:rsidRDefault="00073EFB">
                  <w:pPr>
                    <w:pStyle w:val="a7"/>
                    <w:rPr>
                      <w:rFonts w:hint="default"/>
                    </w:rPr>
                  </w:pPr>
                  <w:r>
                    <w:t>类别</w:t>
                  </w:r>
                </w:p>
              </w:tc>
              <w:tc>
                <w:tcPr>
                  <w:tcW w:w="588" w:type="pct"/>
                  <w:vAlign w:val="center"/>
                </w:tcPr>
                <w:p w:rsidR="00BC07F0" w:rsidRDefault="00073EFB">
                  <w:pPr>
                    <w:pStyle w:val="a7"/>
                    <w:rPr>
                      <w:rFonts w:hint="default"/>
                    </w:rPr>
                  </w:pPr>
                  <w:r>
                    <w:t>工程</w:t>
                  </w:r>
                  <w:r>
                    <w:t>名称</w:t>
                  </w:r>
                </w:p>
              </w:tc>
              <w:tc>
                <w:tcPr>
                  <w:tcW w:w="3674" w:type="pct"/>
                  <w:gridSpan w:val="2"/>
                  <w:vAlign w:val="center"/>
                </w:tcPr>
                <w:p w:rsidR="00BC07F0" w:rsidRDefault="00073EFB">
                  <w:pPr>
                    <w:pStyle w:val="a7"/>
                    <w:rPr>
                      <w:rFonts w:hint="default"/>
                    </w:rPr>
                  </w:pPr>
                  <w:r>
                    <w:t>工程内容及规模</w:t>
                  </w:r>
                </w:p>
              </w:tc>
              <w:tc>
                <w:tcPr>
                  <w:tcW w:w="363" w:type="pct"/>
                  <w:vAlign w:val="center"/>
                </w:tcPr>
                <w:p w:rsidR="00BC07F0" w:rsidRDefault="00073EFB">
                  <w:pPr>
                    <w:pStyle w:val="a7"/>
                    <w:rPr>
                      <w:rFonts w:hint="default"/>
                    </w:rPr>
                  </w:pPr>
                  <w:r>
                    <w:t>备注</w:t>
                  </w:r>
                </w:p>
              </w:tc>
            </w:tr>
            <w:tr w:rsidR="00BC07F0">
              <w:trPr>
                <w:trHeight w:val="397"/>
                <w:jc w:val="center"/>
              </w:trPr>
              <w:tc>
                <w:tcPr>
                  <w:tcW w:w="373" w:type="pct"/>
                  <w:vMerge w:val="restart"/>
                  <w:vAlign w:val="center"/>
                </w:tcPr>
                <w:p w:rsidR="00BC07F0" w:rsidRDefault="00073EFB">
                  <w:pPr>
                    <w:pStyle w:val="a7"/>
                    <w:rPr>
                      <w:rFonts w:hint="default"/>
                    </w:rPr>
                  </w:pPr>
                  <w:r>
                    <w:t>主体</w:t>
                  </w:r>
                  <w:r>
                    <w:lastRenderedPageBreak/>
                    <w:t>工程</w:t>
                  </w:r>
                </w:p>
              </w:tc>
              <w:tc>
                <w:tcPr>
                  <w:tcW w:w="588" w:type="pct"/>
                  <w:vMerge w:val="restart"/>
                  <w:vAlign w:val="center"/>
                </w:tcPr>
                <w:p w:rsidR="00BC07F0" w:rsidRDefault="00073EFB">
                  <w:pPr>
                    <w:pStyle w:val="a7"/>
                    <w:rPr>
                      <w:rFonts w:hint="default"/>
                    </w:rPr>
                  </w:pPr>
                  <w:r>
                    <w:lastRenderedPageBreak/>
                    <w:t>湘江南岸</w:t>
                  </w:r>
                  <w:r>
                    <w:lastRenderedPageBreak/>
                    <w:t>（衡阳港</w:t>
                  </w:r>
                  <w:r>
                    <w:t>-</w:t>
                  </w:r>
                  <w:r>
                    <w:t>铜桥港）水环境水安全综合治理工程</w:t>
                  </w:r>
                </w:p>
              </w:tc>
              <w:tc>
                <w:tcPr>
                  <w:tcW w:w="598" w:type="pct"/>
                  <w:vAlign w:val="center"/>
                </w:tcPr>
                <w:p w:rsidR="00BC07F0" w:rsidRDefault="00073EFB">
                  <w:pPr>
                    <w:pStyle w:val="a7"/>
                    <w:rPr>
                      <w:rFonts w:hint="default"/>
                    </w:rPr>
                  </w:pPr>
                  <w:r>
                    <w:lastRenderedPageBreak/>
                    <w:t>湘江南岸</w:t>
                  </w:r>
                  <w:r>
                    <w:lastRenderedPageBreak/>
                    <w:t>风光带</w:t>
                  </w:r>
                </w:p>
              </w:tc>
              <w:tc>
                <w:tcPr>
                  <w:tcW w:w="3076" w:type="pct"/>
                  <w:vAlign w:val="center"/>
                </w:tcPr>
                <w:p w:rsidR="00BC07F0" w:rsidRDefault="00073EFB">
                  <w:pPr>
                    <w:pStyle w:val="a7"/>
                    <w:rPr>
                      <w:rFonts w:hint="default"/>
                    </w:rPr>
                  </w:pPr>
                  <w:r>
                    <w:lastRenderedPageBreak/>
                    <w:t>起点位于湘江西岸白沙洲千吨级码头，终点位于</w:t>
                  </w:r>
                  <w:r>
                    <w:rPr>
                      <w:color w:val="000000" w:themeColor="text1"/>
                    </w:rPr>
                    <w:t>前进路口</w:t>
                  </w:r>
                  <w:r>
                    <w:t>，</w:t>
                  </w:r>
                  <w:r>
                    <w:lastRenderedPageBreak/>
                    <w:t>总长度约</w:t>
                  </w:r>
                  <w:r>
                    <w:t>3.8km</w:t>
                  </w:r>
                  <w:r>
                    <w:t>，规划用地面积</w:t>
                  </w:r>
                  <w:r>
                    <w:t>363100m</w:t>
                  </w:r>
                  <w:r>
                    <w:rPr>
                      <w:vertAlign w:val="superscript"/>
                    </w:rPr>
                    <w:t>2</w:t>
                  </w:r>
                  <w:r>
                    <w:t>，建设内容包括</w:t>
                  </w:r>
                  <w:r w:rsidR="00947D5B">
                    <w:t>：防洪堤、</w:t>
                  </w:r>
                  <w:r>
                    <w:t>人行通道、道路照明、景观照明、园林景观、给排水。</w:t>
                  </w:r>
                </w:p>
              </w:tc>
              <w:tc>
                <w:tcPr>
                  <w:tcW w:w="363" w:type="pct"/>
                  <w:vAlign w:val="center"/>
                </w:tcPr>
                <w:p w:rsidR="00BC07F0" w:rsidRDefault="00073EFB">
                  <w:pPr>
                    <w:pStyle w:val="a7"/>
                    <w:rPr>
                      <w:rFonts w:hint="default"/>
                    </w:rPr>
                  </w:pPr>
                  <w:r>
                    <w:lastRenderedPageBreak/>
                    <w:t>新建</w:t>
                  </w:r>
                </w:p>
              </w:tc>
            </w:tr>
            <w:tr w:rsidR="00BC07F0">
              <w:trPr>
                <w:trHeight w:val="397"/>
                <w:jc w:val="center"/>
              </w:trPr>
              <w:tc>
                <w:tcPr>
                  <w:tcW w:w="373" w:type="pct"/>
                  <w:vMerge/>
                  <w:vAlign w:val="center"/>
                </w:tcPr>
                <w:p w:rsidR="00BC07F0" w:rsidRDefault="00BC07F0">
                  <w:pPr>
                    <w:pStyle w:val="a7"/>
                    <w:rPr>
                      <w:rFonts w:hint="default"/>
                    </w:rPr>
                  </w:pPr>
                </w:p>
              </w:tc>
              <w:tc>
                <w:tcPr>
                  <w:tcW w:w="588" w:type="pct"/>
                  <w:vMerge/>
                  <w:vAlign w:val="center"/>
                </w:tcPr>
                <w:p w:rsidR="00BC07F0" w:rsidRDefault="00BC07F0">
                  <w:pPr>
                    <w:pStyle w:val="a7"/>
                    <w:rPr>
                      <w:rFonts w:hint="default"/>
                    </w:rPr>
                  </w:pPr>
                </w:p>
              </w:tc>
              <w:tc>
                <w:tcPr>
                  <w:tcW w:w="598" w:type="pct"/>
                  <w:vAlign w:val="center"/>
                </w:tcPr>
                <w:p w:rsidR="00BC07F0" w:rsidRDefault="00073EFB">
                  <w:pPr>
                    <w:pStyle w:val="a7"/>
                    <w:rPr>
                      <w:rFonts w:hint="default"/>
                    </w:rPr>
                  </w:pPr>
                  <w:r>
                    <w:t>湘江南路（白沙大道——前进路）</w:t>
                  </w:r>
                </w:p>
              </w:tc>
              <w:tc>
                <w:tcPr>
                  <w:tcW w:w="3076" w:type="pct"/>
                  <w:vAlign w:val="center"/>
                </w:tcPr>
                <w:p w:rsidR="00BC07F0" w:rsidRDefault="00073EFB">
                  <w:pPr>
                    <w:pStyle w:val="a7"/>
                    <w:rPr>
                      <w:rFonts w:hint="default"/>
                    </w:rPr>
                  </w:pPr>
                  <w:r>
                    <w:t>西起白沙大道，与现状湘江路相接，向南与前进路相接。</w:t>
                  </w:r>
                  <w:r>
                    <w:t>道路</w:t>
                  </w:r>
                  <w:r>
                    <w:t>总长</w:t>
                  </w:r>
                  <w:r>
                    <w:t>2.887km</w:t>
                  </w:r>
                  <w:r>
                    <w:t>，</w:t>
                  </w:r>
                  <w:r>
                    <w:t>等级为城市次干</w:t>
                  </w:r>
                  <w:r>
                    <w:t>道</w:t>
                  </w:r>
                  <w:r>
                    <w:t>，设计</w:t>
                  </w:r>
                  <w:r>
                    <w:t>车速</w:t>
                  </w:r>
                  <w:r>
                    <w:t>50km/h</w:t>
                  </w:r>
                  <w:r>
                    <w:t>，路幅宽度</w:t>
                  </w:r>
                  <w:r>
                    <w:t>40m</w:t>
                  </w:r>
                  <w:r>
                    <w:t>。</w:t>
                  </w:r>
                </w:p>
              </w:tc>
              <w:tc>
                <w:tcPr>
                  <w:tcW w:w="363" w:type="pct"/>
                  <w:vAlign w:val="center"/>
                </w:tcPr>
                <w:p w:rsidR="00BC07F0" w:rsidRDefault="00073EFB">
                  <w:pPr>
                    <w:pStyle w:val="a7"/>
                    <w:rPr>
                      <w:rFonts w:hint="default"/>
                    </w:rPr>
                  </w:pPr>
                  <w:r>
                    <w:t>新建</w:t>
                  </w:r>
                </w:p>
              </w:tc>
            </w:tr>
            <w:tr w:rsidR="00BC07F0">
              <w:trPr>
                <w:trHeight w:val="397"/>
                <w:jc w:val="center"/>
              </w:trPr>
              <w:tc>
                <w:tcPr>
                  <w:tcW w:w="373" w:type="pct"/>
                  <w:vMerge/>
                  <w:vAlign w:val="center"/>
                </w:tcPr>
                <w:p w:rsidR="00BC07F0" w:rsidRDefault="00BC07F0">
                  <w:pPr>
                    <w:pStyle w:val="a7"/>
                    <w:rPr>
                      <w:rFonts w:hint="default"/>
                    </w:rPr>
                  </w:pPr>
                </w:p>
              </w:tc>
              <w:tc>
                <w:tcPr>
                  <w:tcW w:w="588" w:type="pct"/>
                  <w:vMerge w:val="restart"/>
                  <w:vAlign w:val="center"/>
                </w:tcPr>
                <w:p w:rsidR="00BC07F0" w:rsidRDefault="00073EFB">
                  <w:pPr>
                    <w:pStyle w:val="a7"/>
                    <w:rPr>
                      <w:rFonts w:hint="default"/>
                    </w:rPr>
                  </w:pPr>
                  <w:r>
                    <w:t>幸福河支流水生态环境综合治理工程</w:t>
                  </w:r>
                </w:p>
              </w:tc>
              <w:tc>
                <w:tcPr>
                  <w:tcW w:w="598" w:type="pct"/>
                  <w:vAlign w:val="center"/>
                </w:tcPr>
                <w:p w:rsidR="00BC07F0" w:rsidRDefault="00073EFB">
                  <w:pPr>
                    <w:pStyle w:val="a7"/>
                    <w:rPr>
                      <w:rFonts w:hint="default"/>
                    </w:rPr>
                  </w:pPr>
                  <w:r>
                    <w:t>生态护坡</w:t>
                  </w:r>
                </w:p>
              </w:tc>
              <w:tc>
                <w:tcPr>
                  <w:tcW w:w="3076" w:type="pct"/>
                  <w:vAlign w:val="center"/>
                </w:tcPr>
                <w:p w:rsidR="00BC07F0" w:rsidRDefault="00073EFB">
                  <w:pPr>
                    <w:pStyle w:val="a7"/>
                    <w:rPr>
                      <w:rFonts w:hint="default"/>
                    </w:rPr>
                  </w:pPr>
                  <w:r>
                    <w:rPr>
                      <w:rFonts w:hint="default"/>
                    </w:rPr>
                    <w:t>生态护坡工程治理范围上起衡桂铁路箱涵，下至幸福河入汇口箱涵，流经蒸阳南路两处箱涵，治理长度约为</w:t>
                  </w:r>
                  <w:r>
                    <w:rPr>
                      <w:rFonts w:hint="default"/>
                    </w:rPr>
                    <w:t>1.83km</w:t>
                  </w:r>
                  <w:r>
                    <w:rPr>
                      <w:rFonts w:hint="default"/>
                    </w:rPr>
                    <w:t>，工程左右岸新修护岸总长约</w:t>
                  </w:r>
                  <w:r>
                    <w:rPr>
                      <w:rFonts w:hint="default"/>
                    </w:rPr>
                    <w:t>3.67km</w:t>
                  </w:r>
                  <w:r>
                    <w:rPr>
                      <w:rFonts w:hint="default"/>
                    </w:rPr>
                    <w:t>，其中左岸护岸长约</w:t>
                  </w:r>
                  <w:r>
                    <w:rPr>
                      <w:rFonts w:hint="default"/>
                    </w:rPr>
                    <w:t>1.84km</w:t>
                  </w:r>
                  <w:r>
                    <w:rPr>
                      <w:rFonts w:hint="default"/>
                    </w:rPr>
                    <w:t>，右岸护岸长约</w:t>
                  </w:r>
                  <w:r>
                    <w:rPr>
                      <w:rFonts w:hint="default"/>
                    </w:rPr>
                    <w:t>1.83km</w:t>
                  </w:r>
                  <w:r>
                    <w:rPr>
                      <w:rFonts w:hint="default"/>
                    </w:rPr>
                    <w:t>，工程按</w:t>
                  </w:r>
                  <w:r>
                    <w:rPr>
                      <w:rFonts w:hint="default"/>
                    </w:rPr>
                    <w:t>20</w:t>
                  </w:r>
                  <w:r>
                    <w:rPr>
                      <w:rFonts w:hint="default"/>
                    </w:rPr>
                    <w:t>年一遇洪水设计，相应洪峰流量为</w:t>
                  </w:r>
                  <w:r>
                    <w:rPr>
                      <w:rFonts w:hint="default"/>
                    </w:rPr>
                    <w:t>93m</w:t>
                  </w:r>
                  <w:r>
                    <w:rPr>
                      <w:rFonts w:hint="default"/>
                      <w:vertAlign w:val="superscript"/>
                    </w:rPr>
                    <w:t>3</w:t>
                  </w:r>
                  <w:r>
                    <w:rPr>
                      <w:rFonts w:hint="default"/>
                    </w:rPr>
                    <w:t>/s</w:t>
                  </w:r>
                  <w:r>
                    <w:rPr>
                      <w:rFonts w:hint="default"/>
                    </w:rPr>
                    <w:t>，堤防工程级别为</w:t>
                  </w:r>
                  <w:r>
                    <w:rPr>
                      <w:rFonts w:hint="default"/>
                    </w:rPr>
                    <w:t>4</w:t>
                  </w:r>
                  <w:r>
                    <w:rPr>
                      <w:rFonts w:hint="default"/>
                    </w:rPr>
                    <w:t>级</w:t>
                  </w:r>
                  <w:r>
                    <w:t>。</w:t>
                  </w:r>
                  <w:r>
                    <w:rPr>
                      <w:rFonts w:hint="default"/>
                    </w:rPr>
                    <w:t>河段需进行河道疏浚，</w:t>
                  </w:r>
                  <w:r>
                    <w:t>清淤量</w:t>
                  </w:r>
                  <w:r>
                    <w:rPr>
                      <w:rFonts w:hint="default"/>
                    </w:rPr>
                    <w:t>19768m</w:t>
                  </w:r>
                  <w:r>
                    <w:rPr>
                      <w:rFonts w:hint="default"/>
                      <w:vertAlign w:val="superscript"/>
                    </w:rPr>
                    <w:t>3</w:t>
                  </w:r>
                  <w:r>
                    <w:rPr>
                      <w:rFonts w:hint="default"/>
                    </w:rPr>
                    <w:t>。</w:t>
                  </w:r>
                </w:p>
              </w:tc>
              <w:tc>
                <w:tcPr>
                  <w:tcW w:w="363" w:type="pct"/>
                  <w:vMerge w:val="restart"/>
                  <w:vAlign w:val="center"/>
                </w:tcPr>
                <w:p w:rsidR="00BC07F0" w:rsidRDefault="00073EFB">
                  <w:pPr>
                    <w:pStyle w:val="a7"/>
                    <w:rPr>
                      <w:rFonts w:hint="default"/>
                    </w:rPr>
                  </w:pPr>
                  <w:r>
                    <w:t>新建</w:t>
                  </w:r>
                </w:p>
              </w:tc>
            </w:tr>
            <w:tr w:rsidR="00BC07F0">
              <w:trPr>
                <w:trHeight w:val="397"/>
                <w:jc w:val="center"/>
              </w:trPr>
              <w:tc>
                <w:tcPr>
                  <w:tcW w:w="373" w:type="pct"/>
                  <w:vMerge/>
                  <w:vAlign w:val="center"/>
                </w:tcPr>
                <w:p w:rsidR="00BC07F0" w:rsidRDefault="00BC07F0">
                  <w:pPr>
                    <w:pStyle w:val="a7"/>
                    <w:rPr>
                      <w:rFonts w:hint="default"/>
                    </w:rPr>
                  </w:pPr>
                </w:p>
              </w:tc>
              <w:tc>
                <w:tcPr>
                  <w:tcW w:w="588" w:type="pct"/>
                  <w:vMerge/>
                  <w:vAlign w:val="center"/>
                </w:tcPr>
                <w:p w:rsidR="00BC07F0" w:rsidRDefault="00BC07F0">
                  <w:pPr>
                    <w:pStyle w:val="a7"/>
                    <w:rPr>
                      <w:rFonts w:hint="default"/>
                    </w:rPr>
                  </w:pPr>
                </w:p>
              </w:tc>
              <w:tc>
                <w:tcPr>
                  <w:tcW w:w="598" w:type="pct"/>
                  <w:vAlign w:val="center"/>
                </w:tcPr>
                <w:p w:rsidR="00BC07F0" w:rsidRDefault="00073EFB">
                  <w:pPr>
                    <w:pStyle w:val="a7"/>
                    <w:rPr>
                      <w:rFonts w:hint="default"/>
                    </w:rPr>
                  </w:pPr>
                  <w:r>
                    <w:t>液压坝</w:t>
                  </w:r>
                </w:p>
              </w:tc>
              <w:tc>
                <w:tcPr>
                  <w:tcW w:w="3076" w:type="pct"/>
                  <w:vAlign w:val="center"/>
                </w:tcPr>
                <w:p w:rsidR="00BC07F0" w:rsidRDefault="00073EFB">
                  <w:pPr>
                    <w:pStyle w:val="a7"/>
                    <w:rPr>
                      <w:rFonts w:hint="default"/>
                    </w:rPr>
                  </w:pPr>
                  <w:r>
                    <w:t>新建液压坝一座，坝长</w:t>
                  </w:r>
                  <w:r>
                    <w:t>16.5m</w:t>
                  </w:r>
                  <w:r>
                    <w:t>，高</w:t>
                  </w:r>
                  <w:r>
                    <w:t>2.5m</w:t>
                  </w:r>
                  <w:r>
                    <w:t>，采用主要材料：液压坝坝底板及其边墙采用</w:t>
                  </w:r>
                  <w:r>
                    <w:t>C30</w:t>
                  </w:r>
                  <w:r>
                    <w:t>等级，其余部位采用</w:t>
                  </w:r>
                  <w:r>
                    <w:t>C25</w:t>
                  </w:r>
                  <w:r>
                    <w:t>论，砼抗渗等级均为</w:t>
                  </w:r>
                  <w:r>
                    <w:t>4</w:t>
                  </w:r>
                  <w:r>
                    <w:t>，砼垫层采用</w:t>
                  </w:r>
                  <w:r>
                    <w:t>C20</w:t>
                  </w:r>
                  <w:r>
                    <w:t>等级；上下游防冲采用格宾笼石。钢筋砼铺盖及块石砼海漫基础底深入基岩以下不小于</w:t>
                  </w:r>
                  <w:r>
                    <w:t>1.0m</w:t>
                  </w:r>
                  <w:r>
                    <w:t>。</w:t>
                  </w:r>
                </w:p>
              </w:tc>
              <w:tc>
                <w:tcPr>
                  <w:tcW w:w="363" w:type="pct"/>
                  <w:vMerge/>
                  <w:vAlign w:val="center"/>
                </w:tcPr>
                <w:p w:rsidR="00BC07F0" w:rsidRDefault="00BC07F0">
                  <w:pPr>
                    <w:pStyle w:val="a7"/>
                    <w:rPr>
                      <w:rFonts w:hint="default"/>
                    </w:rPr>
                  </w:pPr>
                </w:p>
              </w:tc>
            </w:tr>
            <w:tr w:rsidR="00BC07F0">
              <w:trPr>
                <w:trHeight w:val="397"/>
                <w:jc w:val="center"/>
              </w:trPr>
              <w:tc>
                <w:tcPr>
                  <w:tcW w:w="373" w:type="pct"/>
                  <w:vMerge/>
                  <w:vAlign w:val="center"/>
                </w:tcPr>
                <w:p w:rsidR="00BC07F0" w:rsidRDefault="00BC07F0">
                  <w:pPr>
                    <w:pStyle w:val="a7"/>
                    <w:rPr>
                      <w:rFonts w:hint="default"/>
                    </w:rPr>
                  </w:pPr>
                </w:p>
              </w:tc>
              <w:tc>
                <w:tcPr>
                  <w:tcW w:w="588" w:type="pct"/>
                  <w:vAlign w:val="center"/>
                </w:tcPr>
                <w:p w:rsidR="00BC07F0" w:rsidRDefault="00073EFB">
                  <w:pPr>
                    <w:pStyle w:val="a7"/>
                    <w:rPr>
                      <w:rFonts w:hint="default"/>
                    </w:rPr>
                  </w:pPr>
                  <w:r>
                    <w:t>铜桥港湿地公园</w:t>
                  </w:r>
                  <w:r>
                    <w:t>工程</w:t>
                  </w:r>
                </w:p>
              </w:tc>
              <w:tc>
                <w:tcPr>
                  <w:tcW w:w="598" w:type="pct"/>
                  <w:vAlign w:val="center"/>
                </w:tcPr>
                <w:p w:rsidR="00BC07F0" w:rsidRDefault="00073EFB">
                  <w:pPr>
                    <w:pStyle w:val="a7"/>
                    <w:rPr>
                      <w:rFonts w:hint="default"/>
                    </w:rPr>
                  </w:pPr>
                  <w:r>
                    <w:t>人工湿地</w:t>
                  </w:r>
                </w:p>
              </w:tc>
              <w:tc>
                <w:tcPr>
                  <w:tcW w:w="3076" w:type="pct"/>
                  <w:vAlign w:val="center"/>
                </w:tcPr>
                <w:p w:rsidR="00BC07F0" w:rsidRDefault="00073EFB">
                  <w:pPr>
                    <w:pStyle w:val="a7"/>
                    <w:rPr>
                      <w:rFonts w:hint="default"/>
                    </w:rPr>
                  </w:pPr>
                  <w:r>
                    <w:t>主要是表面流</w:t>
                  </w:r>
                  <w:r>
                    <w:t>人工湿地</w:t>
                  </w:r>
                  <w:r>
                    <w:t>，</w:t>
                  </w:r>
                  <w:r>
                    <w:t>总用地面积</w:t>
                  </w:r>
                  <w:r>
                    <w:t>135385.44m</w:t>
                  </w:r>
                  <w:r>
                    <w:rPr>
                      <w:vertAlign w:val="superscript"/>
                    </w:rPr>
                    <w:t>2</w:t>
                  </w:r>
                  <w:r>
                    <w:t>，其中水体用地面积</w:t>
                  </w:r>
                  <w:r>
                    <w:t>56661.26m</w:t>
                  </w:r>
                  <w:r>
                    <w:rPr>
                      <w:vertAlign w:val="superscript"/>
                    </w:rPr>
                    <w:t>2</w:t>
                  </w:r>
                  <w:r>
                    <w:t>，陆地用地面积</w:t>
                  </w:r>
                  <w:r>
                    <w:t>78724.18m</w:t>
                  </w:r>
                  <w:r>
                    <w:rPr>
                      <w:vertAlign w:val="superscript"/>
                    </w:rPr>
                    <w:t>2</w:t>
                  </w:r>
                  <w:r>
                    <w:t>，主要功能是深度净化衡阳市铜桥港污水处理厂尾水和中水再利用，洪水期污水厂尾水不排入</w:t>
                  </w:r>
                  <w:r>
                    <w:t>湿地</w:t>
                  </w:r>
                  <w:r>
                    <w:t>，工程不新建排污口。配套建筑包括管理用房占地面积</w:t>
                  </w:r>
                  <w:r>
                    <w:t>260.62m</w:t>
                  </w:r>
                  <w:r>
                    <w:rPr>
                      <w:vertAlign w:val="superscript"/>
                    </w:rPr>
                    <w:t>2</w:t>
                  </w:r>
                  <w:r>
                    <w:t>，休闲厅</w:t>
                  </w:r>
                  <w:r>
                    <w:t>+</w:t>
                  </w:r>
                  <w:r>
                    <w:t>公厕</w:t>
                  </w:r>
                  <w:r>
                    <w:t>297.92m</w:t>
                  </w:r>
                  <w:r>
                    <w:rPr>
                      <w:vertAlign w:val="superscript"/>
                    </w:rPr>
                    <w:t>2</w:t>
                  </w:r>
                  <w:r>
                    <w:t>，休闲书吧</w:t>
                  </w:r>
                  <w:r>
                    <w:t>296.44m</w:t>
                  </w:r>
                  <w:r>
                    <w:rPr>
                      <w:vertAlign w:val="superscript"/>
                    </w:rPr>
                    <w:t>2</w:t>
                  </w:r>
                  <w:r>
                    <w:t>，湿地科普馆</w:t>
                  </w:r>
                  <w:r>
                    <w:t>1117.44m</w:t>
                  </w:r>
                  <w:r>
                    <w:rPr>
                      <w:vertAlign w:val="superscript"/>
                    </w:rPr>
                    <w:t>2</w:t>
                  </w:r>
                  <w:r>
                    <w:t>，观景厅</w:t>
                  </w:r>
                  <w:r>
                    <w:t>249m</w:t>
                  </w:r>
                  <w:r>
                    <w:rPr>
                      <w:vertAlign w:val="superscript"/>
                    </w:rPr>
                    <w:t>2</w:t>
                  </w:r>
                  <w:r>
                    <w:t>。</w:t>
                  </w:r>
                </w:p>
              </w:tc>
              <w:tc>
                <w:tcPr>
                  <w:tcW w:w="363" w:type="pct"/>
                  <w:vAlign w:val="center"/>
                </w:tcPr>
                <w:p w:rsidR="00BC07F0" w:rsidRDefault="00073EFB">
                  <w:pPr>
                    <w:pStyle w:val="a7"/>
                    <w:rPr>
                      <w:rFonts w:hint="default"/>
                    </w:rPr>
                  </w:pPr>
                  <w:r>
                    <w:t>新建</w:t>
                  </w:r>
                </w:p>
              </w:tc>
            </w:tr>
            <w:tr w:rsidR="00BC07F0">
              <w:trPr>
                <w:trHeight w:val="397"/>
                <w:jc w:val="center"/>
              </w:trPr>
              <w:tc>
                <w:tcPr>
                  <w:tcW w:w="373" w:type="pct"/>
                  <w:vMerge/>
                  <w:vAlign w:val="center"/>
                </w:tcPr>
                <w:p w:rsidR="00BC07F0" w:rsidRDefault="00BC07F0">
                  <w:pPr>
                    <w:pStyle w:val="a7"/>
                    <w:rPr>
                      <w:rFonts w:hint="default"/>
                    </w:rPr>
                  </w:pPr>
                </w:p>
              </w:tc>
              <w:tc>
                <w:tcPr>
                  <w:tcW w:w="588" w:type="pct"/>
                  <w:vMerge w:val="restart"/>
                  <w:vAlign w:val="center"/>
                </w:tcPr>
                <w:p w:rsidR="00BC07F0" w:rsidRDefault="00073EFB">
                  <w:pPr>
                    <w:pStyle w:val="a7"/>
                    <w:rPr>
                      <w:rFonts w:hint="default"/>
                    </w:rPr>
                  </w:pPr>
                  <w:r>
                    <w:t>配套城市道路前进路、酃白路工程</w:t>
                  </w:r>
                </w:p>
              </w:tc>
              <w:tc>
                <w:tcPr>
                  <w:tcW w:w="598" w:type="pct"/>
                  <w:vAlign w:val="center"/>
                </w:tcPr>
                <w:p w:rsidR="00BC07F0" w:rsidRDefault="00073EFB">
                  <w:pPr>
                    <w:pStyle w:val="a7"/>
                    <w:rPr>
                      <w:rFonts w:hint="default"/>
                    </w:rPr>
                  </w:pPr>
                  <w:r>
                    <w:t>酃白路</w:t>
                  </w:r>
                </w:p>
              </w:tc>
              <w:tc>
                <w:tcPr>
                  <w:tcW w:w="3076" w:type="pct"/>
                  <w:vAlign w:val="center"/>
                </w:tcPr>
                <w:p w:rsidR="00BC07F0" w:rsidRDefault="00073EFB">
                  <w:pPr>
                    <w:pStyle w:val="a7"/>
                    <w:rPr>
                      <w:rFonts w:hint="default"/>
                    </w:rPr>
                  </w:pPr>
                  <w:r>
                    <w:t>北起湘江南路，向南接规划前进路，与现状输变电科技产业园段</w:t>
                  </w:r>
                  <w:r>
                    <w:t>酃白路</w:t>
                  </w:r>
                  <w:r>
                    <w:t>顺接，</w:t>
                  </w:r>
                  <w:r>
                    <w:t>道路</w:t>
                  </w:r>
                  <w:r>
                    <w:t>总长</w:t>
                  </w:r>
                  <w:r>
                    <w:t>1.564km</w:t>
                  </w:r>
                  <w:r>
                    <w:t>，</w:t>
                  </w:r>
                  <w:r>
                    <w:t>等级为城市主干路，设计车速</w:t>
                  </w:r>
                  <w:r>
                    <w:t>60km/h</w:t>
                  </w:r>
                  <w:r>
                    <w:t>，</w:t>
                  </w:r>
                  <w:r>
                    <w:t>路幅</w:t>
                  </w:r>
                  <w:r>
                    <w:t>宽度</w:t>
                  </w:r>
                  <w:r>
                    <w:t>40m</w:t>
                  </w:r>
                  <w:r>
                    <w:t>。</w:t>
                  </w:r>
                </w:p>
              </w:tc>
              <w:tc>
                <w:tcPr>
                  <w:tcW w:w="363" w:type="pct"/>
                  <w:vAlign w:val="center"/>
                </w:tcPr>
                <w:p w:rsidR="00BC07F0" w:rsidRDefault="00073EFB">
                  <w:pPr>
                    <w:pStyle w:val="a7"/>
                    <w:rPr>
                      <w:rFonts w:hint="default"/>
                    </w:rPr>
                  </w:pPr>
                  <w:r>
                    <w:t>新建</w:t>
                  </w:r>
                </w:p>
              </w:tc>
            </w:tr>
            <w:tr w:rsidR="00BC07F0">
              <w:trPr>
                <w:trHeight w:val="397"/>
                <w:jc w:val="center"/>
              </w:trPr>
              <w:tc>
                <w:tcPr>
                  <w:tcW w:w="373" w:type="pct"/>
                  <w:vMerge/>
                  <w:vAlign w:val="center"/>
                </w:tcPr>
                <w:p w:rsidR="00BC07F0" w:rsidRDefault="00BC07F0">
                  <w:pPr>
                    <w:pStyle w:val="a7"/>
                    <w:rPr>
                      <w:rFonts w:hint="default"/>
                    </w:rPr>
                  </w:pPr>
                </w:p>
              </w:tc>
              <w:tc>
                <w:tcPr>
                  <w:tcW w:w="588" w:type="pct"/>
                  <w:vMerge/>
                  <w:vAlign w:val="center"/>
                </w:tcPr>
                <w:p w:rsidR="00BC07F0" w:rsidRDefault="00BC07F0">
                  <w:pPr>
                    <w:pStyle w:val="a7"/>
                    <w:rPr>
                      <w:rFonts w:hint="default"/>
                    </w:rPr>
                  </w:pPr>
                </w:p>
              </w:tc>
              <w:tc>
                <w:tcPr>
                  <w:tcW w:w="598" w:type="pct"/>
                  <w:vAlign w:val="center"/>
                </w:tcPr>
                <w:p w:rsidR="00BC07F0" w:rsidRDefault="00073EFB">
                  <w:pPr>
                    <w:pStyle w:val="a7"/>
                    <w:rPr>
                      <w:rFonts w:hint="default"/>
                    </w:rPr>
                  </w:pPr>
                  <w:r>
                    <w:t>前进路</w:t>
                  </w:r>
                </w:p>
              </w:tc>
              <w:tc>
                <w:tcPr>
                  <w:tcW w:w="3076" w:type="pct"/>
                  <w:vAlign w:val="center"/>
                </w:tcPr>
                <w:p w:rsidR="00BC07F0" w:rsidRDefault="00073EFB">
                  <w:pPr>
                    <w:pStyle w:val="a7"/>
                    <w:rPr>
                      <w:rFonts w:hint="default"/>
                    </w:rPr>
                  </w:pPr>
                  <w:r>
                    <w:t>起于白沙大道，从西至东经冲塘路、新衡路、酃白路、白田东路，最后到达湘江南路。</w:t>
                  </w:r>
                  <w:r>
                    <w:t>道路</w:t>
                  </w:r>
                  <w:r>
                    <w:t>总长</w:t>
                  </w:r>
                  <w:r>
                    <w:t>1.47km</w:t>
                  </w:r>
                  <w:r>
                    <w:t>，</w:t>
                  </w:r>
                  <w:r>
                    <w:t>等级为</w:t>
                  </w:r>
                  <w:r>
                    <w:t>城市次干道，设计车速度</w:t>
                  </w:r>
                  <w:r>
                    <w:t>40km/</w:t>
                  </w:r>
                  <w:r>
                    <w:t>h</w:t>
                  </w:r>
                  <w:r>
                    <w:t>，</w:t>
                  </w:r>
                  <w:r>
                    <w:t>路幅宽度</w:t>
                  </w:r>
                  <w:r>
                    <w:t>40m</w:t>
                  </w:r>
                  <w:r>
                    <w:t>。</w:t>
                  </w:r>
                </w:p>
              </w:tc>
              <w:tc>
                <w:tcPr>
                  <w:tcW w:w="363" w:type="pct"/>
                  <w:vAlign w:val="center"/>
                </w:tcPr>
                <w:p w:rsidR="00BC07F0" w:rsidRDefault="00073EFB">
                  <w:pPr>
                    <w:pStyle w:val="a7"/>
                    <w:rPr>
                      <w:rFonts w:hint="default"/>
                    </w:rPr>
                  </w:pPr>
                  <w:r>
                    <w:t>新建</w:t>
                  </w:r>
                </w:p>
              </w:tc>
            </w:tr>
            <w:tr w:rsidR="00BC07F0">
              <w:trPr>
                <w:trHeight w:val="397"/>
                <w:jc w:val="center"/>
              </w:trPr>
              <w:tc>
                <w:tcPr>
                  <w:tcW w:w="373" w:type="pct"/>
                  <w:vAlign w:val="center"/>
                </w:tcPr>
                <w:p w:rsidR="00BC07F0" w:rsidRDefault="00073EFB">
                  <w:pPr>
                    <w:pStyle w:val="a7"/>
                    <w:rPr>
                      <w:rFonts w:hint="default"/>
                    </w:rPr>
                  </w:pPr>
                  <w:r>
                    <w:t>辅助工程</w:t>
                  </w:r>
                </w:p>
              </w:tc>
              <w:tc>
                <w:tcPr>
                  <w:tcW w:w="588" w:type="pct"/>
                  <w:vAlign w:val="center"/>
                </w:tcPr>
                <w:p w:rsidR="00BC07F0" w:rsidRDefault="00073EFB">
                  <w:pPr>
                    <w:pStyle w:val="a7"/>
                    <w:rPr>
                      <w:rFonts w:hint="default"/>
                    </w:rPr>
                  </w:pPr>
                  <w:r>
                    <w:t>施工营地</w:t>
                  </w:r>
                </w:p>
              </w:tc>
              <w:tc>
                <w:tcPr>
                  <w:tcW w:w="3674" w:type="pct"/>
                  <w:gridSpan w:val="2"/>
                  <w:vAlign w:val="center"/>
                </w:tcPr>
                <w:p w:rsidR="00BC07F0" w:rsidRDefault="00073EFB">
                  <w:pPr>
                    <w:pStyle w:val="a7"/>
                    <w:rPr>
                      <w:rFonts w:hint="default"/>
                    </w:rPr>
                  </w:pPr>
                  <w:r>
                    <w:t>施工现场不设置生活污水处理措施，员工如厕依托施工场地周边公厕，住宿租赁施工场地周边居民房。各工程不设置混凝土拌合站、沥青搅拌站和预制场等临时场所。</w:t>
                  </w:r>
                </w:p>
              </w:tc>
              <w:tc>
                <w:tcPr>
                  <w:tcW w:w="363" w:type="pct"/>
                  <w:vAlign w:val="center"/>
                </w:tcPr>
                <w:p w:rsidR="00BC07F0" w:rsidRDefault="00073EFB">
                  <w:pPr>
                    <w:pStyle w:val="a7"/>
                    <w:rPr>
                      <w:rFonts w:hint="default"/>
                    </w:rPr>
                  </w:pPr>
                  <w:r>
                    <w:t>新建</w:t>
                  </w:r>
                </w:p>
              </w:tc>
            </w:tr>
            <w:tr w:rsidR="00BC07F0">
              <w:trPr>
                <w:trHeight w:val="397"/>
                <w:jc w:val="center"/>
              </w:trPr>
              <w:tc>
                <w:tcPr>
                  <w:tcW w:w="373" w:type="pct"/>
                  <w:vMerge w:val="restart"/>
                  <w:vAlign w:val="center"/>
                </w:tcPr>
                <w:p w:rsidR="00BC07F0" w:rsidRDefault="00073EFB">
                  <w:pPr>
                    <w:pStyle w:val="a7"/>
                    <w:rPr>
                      <w:rFonts w:hint="default"/>
                    </w:rPr>
                  </w:pPr>
                  <w:r>
                    <w:t>公用工程</w:t>
                  </w:r>
                </w:p>
              </w:tc>
              <w:tc>
                <w:tcPr>
                  <w:tcW w:w="588" w:type="pct"/>
                  <w:vAlign w:val="center"/>
                </w:tcPr>
                <w:p w:rsidR="00BC07F0" w:rsidRDefault="00073EFB">
                  <w:pPr>
                    <w:pStyle w:val="a7"/>
                    <w:rPr>
                      <w:rFonts w:hint="default"/>
                    </w:rPr>
                  </w:pPr>
                  <w:r>
                    <w:t>供水</w:t>
                  </w:r>
                </w:p>
              </w:tc>
              <w:tc>
                <w:tcPr>
                  <w:tcW w:w="3674" w:type="pct"/>
                  <w:gridSpan w:val="2"/>
                  <w:vAlign w:val="center"/>
                </w:tcPr>
                <w:p w:rsidR="00BC07F0" w:rsidRDefault="00073EFB">
                  <w:pPr>
                    <w:pStyle w:val="a7"/>
                    <w:rPr>
                      <w:rFonts w:hint="default"/>
                    </w:rPr>
                  </w:pPr>
                  <w:r>
                    <w:t>本项目施工区均已接通自来水管网，施工期用水来自市政供水。</w:t>
                  </w:r>
                </w:p>
              </w:tc>
              <w:tc>
                <w:tcPr>
                  <w:tcW w:w="363" w:type="pct"/>
                  <w:vAlign w:val="center"/>
                </w:tcPr>
                <w:p w:rsidR="00BC07F0" w:rsidRDefault="00073EFB">
                  <w:pPr>
                    <w:pStyle w:val="a7"/>
                    <w:rPr>
                      <w:rFonts w:hint="default"/>
                    </w:rPr>
                  </w:pPr>
                  <w:r>
                    <w:t>依托</w:t>
                  </w:r>
                </w:p>
              </w:tc>
            </w:tr>
            <w:tr w:rsidR="00BC07F0">
              <w:trPr>
                <w:trHeight w:val="397"/>
                <w:jc w:val="center"/>
              </w:trPr>
              <w:tc>
                <w:tcPr>
                  <w:tcW w:w="373" w:type="pct"/>
                  <w:vMerge/>
                  <w:vAlign w:val="center"/>
                </w:tcPr>
                <w:p w:rsidR="00BC07F0" w:rsidRDefault="00BC07F0">
                  <w:pPr>
                    <w:pStyle w:val="a7"/>
                    <w:rPr>
                      <w:rFonts w:hint="default"/>
                    </w:rPr>
                  </w:pPr>
                </w:p>
              </w:tc>
              <w:tc>
                <w:tcPr>
                  <w:tcW w:w="588" w:type="pct"/>
                  <w:vAlign w:val="center"/>
                </w:tcPr>
                <w:p w:rsidR="00BC07F0" w:rsidRDefault="00073EFB">
                  <w:pPr>
                    <w:pStyle w:val="a7"/>
                    <w:rPr>
                      <w:rFonts w:hint="default"/>
                    </w:rPr>
                  </w:pPr>
                  <w:r>
                    <w:t>供电</w:t>
                  </w:r>
                </w:p>
              </w:tc>
              <w:tc>
                <w:tcPr>
                  <w:tcW w:w="3674" w:type="pct"/>
                  <w:gridSpan w:val="2"/>
                  <w:vAlign w:val="center"/>
                </w:tcPr>
                <w:p w:rsidR="00BC07F0" w:rsidRDefault="00073EFB">
                  <w:pPr>
                    <w:pStyle w:val="a7"/>
                    <w:rPr>
                      <w:rFonts w:hint="default"/>
                    </w:rPr>
                  </w:pPr>
                  <w:r>
                    <w:t>本项目施工区均已接通国家电网，施工期用电来自市政供电。</w:t>
                  </w:r>
                </w:p>
              </w:tc>
              <w:tc>
                <w:tcPr>
                  <w:tcW w:w="363" w:type="pct"/>
                  <w:vAlign w:val="center"/>
                </w:tcPr>
                <w:p w:rsidR="00BC07F0" w:rsidRDefault="00073EFB">
                  <w:pPr>
                    <w:pStyle w:val="a7"/>
                    <w:rPr>
                      <w:rFonts w:hint="default"/>
                    </w:rPr>
                  </w:pPr>
                  <w:r>
                    <w:t>依托</w:t>
                  </w:r>
                </w:p>
              </w:tc>
            </w:tr>
            <w:tr w:rsidR="00BC07F0">
              <w:trPr>
                <w:trHeight w:val="397"/>
                <w:jc w:val="center"/>
              </w:trPr>
              <w:tc>
                <w:tcPr>
                  <w:tcW w:w="373" w:type="pct"/>
                  <w:vMerge w:val="restart"/>
                  <w:vAlign w:val="center"/>
                </w:tcPr>
                <w:p w:rsidR="00BC07F0" w:rsidRDefault="00073EFB">
                  <w:pPr>
                    <w:pStyle w:val="a7"/>
                    <w:rPr>
                      <w:rFonts w:hint="default"/>
                    </w:rPr>
                  </w:pPr>
                  <w:r>
                    <w:t>环保工程</w:t>
                  </w:r>
                </w:p>
              </w:tc>
              <w:tc>
                <w:tcPr>
                  <w:tcW w:w="588" w:type="pct"/>
                  <w:vMerge w:val="restart"/>
                  <w:vAlign w:val="center"/>
                </w:tcPr>
                <w:p w:rsidR="00BC07F0" w:rsidRDefault="00073EFB">
                  <w:pPr>
                    <w:pStyle w:val="a7"/>
                    <w:rPr>
                      <w:rFonts w:hint="default"/>
                    </w:rPr>
                  </w:pPr>
                  <w:r>
                    <w:t>废气防治</w:t>
                  </w:r>
                </w:p>
              </w:tc>
              <w:tc>
                <w:tcPr>
                  <w:tcW w:w="3674" w:type="pct"/>
                  <w:gridSpan w:val="2"/>
                  <w:vAlign w:val="center"/>
                </w:tcPr>
                <w:p w:rsidR="00BC07F0" w:rsidRDefault="00073EFB">
                  <w:pPr>
                    <w:pStyle w:val="a7"/>
                    <w:jc w:val="left"/>
                    <w:rPr>
                      <w:rFonts w:hint="default"/>
                    </w:rPr>
                  </w:pPr>
                  <w:r>
                    <w:t>燃油废气</w:t>
                  </w:r>
                  <w:r>
                    <w:t>：工程施工地段地势开阔，空气扩散条件很好，燃油废气对区域环境空气质量影响较小。</w:t>
                  </w:r>
                </w:p>
              </w:tc>
              <w:tc>
                <w:tcPr>
                  <w:tcW w:w="363" w:type="pct"/>
                  <w:vAlign w:val="center"/>
                </w:tcPr>
                <w:p w:rsidR="00BC07F0" w:rsidRDefault="00073EFB">
                  <w:pPr>
                    <w:pStyle w:val="a7"/>
                    <w:rPr>
                      <w:rFonts w:hint="default"/>
                    </w:rPr>
                  </w:pPr>
                  <w:r>
                    <w:t>/</w:t>
                  </w:r>
                </w:p>
              </w:tc>
            </w:tr>
            <w:tr w:rsidR="00BC07F0">
              <w:trPr>
                <w:trHeight w:val="397"/>
                <w:jc w:val="center"/>
              </w:trPr>
              <w:tc>
                <w:tcPr>
                  <w:tcW w:w="373" w:type="pct"/>
                  <w:vMerge/>
                  <w:vAlign w:val="center"/>
                </w:tcPr>
                <w:p w:rsidR="00BC07F0" w:rsidRDefault="00BC07F0">
                  <w:pPr>
                    <w:pStyle w:val="a7"/>
                    <w:rPr>
                      <w:rFonts w:hint="default"/>
                    </w:rPr>
                  </w:pPr>
                </w:p>
              </w:tc>
              <w:tc>
                <w:tcPr>
                  <w:tcW w:w="588" w:type="pct"/>
                  <w:vMerge/>
                  <w:vAlign w:val="center"/>
                </w:tcPr>
                <w:p w:rsidR="00BC07F0" w:rsidRDefault="00BC07F0">
                  <w:pPr>
                    <w:pStyle w:val="a7"/>
                    <w:rPr>
                      <w:rFonts w:hint="default"/>
                    </w:rPr>
                  </w:pPr>
                </w:p>
              </w:tc>
              <w:tc>
                <w:tcPr>
                  <w:tcW w:w="3674" w:type="pct"/>
                  <w:gridSpan w:val="2"/>
                  <w:vAlign w:val="center"/>
                </w:tcPr>
                <w:p w:rsidR="00BC07F0" w:rsidRDefault="00073EFB">
                  <w:pPr>
                    <w:pStyle w:val="a7"/>
                    <w:jc w:val="left"/>
                    <w:rPr>
                      <w:rFonts w:hint="default"/>
                    </w:rPr>
                  </w:pPr>
                  <w:r>
                    <w:t>施工扬尘</w:t>
                  </w:r>
                  <w:r>
                    <w:t>：参照执行新修订的的《衡阳市施工工地扬尘管理规范》，施工工地扬尘“</w:t>
                  </w:r>
                  <w:r>
                    <w:t>8</w:t>
                  </w:r>
                  <w:r>
                    <w:t>个</w:t>
                  </w:r>
                  <w:r>
                    <w:t>100%</w:t>
                  </w:r>
                  <w:r>
                    <w:t>”防治措施，</w:t>
                  </w:r>
                  <w:r>
                    <w:t>工程建设现场要设置洒水喷淋设备等降尘设施</w:t>
                  </w:r>
                  <w:r>
                    <w:t>，</w:t>
                  </w:r>
                  <w:r>
                    <w:t>设置</w:t>
                  </w:r>
                  <w:r>
                    <w:t>施工围挡</w:t>
                  </w:r>
                  <w:r>
                    <w:t>，</w:t>
                  </w:r>
                  <w:r>
                    <w:t>场地硬化</w:t>
                  </w:r>
                  <w:r>
                    <w:t>，</w:t>
                  </w:r>
                  <w:r>
                    <w:t>进出</w:t>
                  </w:r>
                  <w:r>
                    <w:t>车辆冲洗</w:t>
                  </w:r>
                  <w:r>
                    <w:t>，</w:t>
                  </w:r>
                  <w:r>
                    <w:t>建筑材料应按规定要求分类堆放，设置标牌</w:t>
                  </w:r>
                  <w:r>
                    <w:t>，</w:t>
                  </w:r>
                  <w:r>
                    <w:t>临时堆放场应当采取围挡、覆盖等防尘措施</w:t>
                  </w:r>
                  <w:r>
                    <w:t>，</w:t>
                  </w:r>
                  <w:r>
                    <w:t>加强设备维护保养</w:t>
                  </w:r>
                  <w:r>
                    <w:t>。</w:t>
                  </w:r>
                </w:p>
              </w:tc>
              <w:tc>
                <w:tcPr>
                  <w:tcW w:w="363" w:type="pct"/>
                  <w:vAlign w:val="center"/>
                </w:tcPr>
                <w:p w:rsidR="00BC07F0" w:rsidRDefault="00073EFB">
                  <w:pPr>
                    <w:pStyle w:val="a7"/>
                    <w:rPr>
                      <w:rFonts w:hint="default"/>
                    </w:rPr>
                  </w:pPr>
                  <w:r>
                    <w:t>/</w:t>
                  </w:r>
                </w:p>
              </w:tc>
            </w:tr>
            <w:tr w:rsidR="00BC07F0">
              <w:trPr>
                <w:trHeight w:val="397"/>
                <w:jc w:val="center"/>
              </w:trPr>
              <w:tc>
                <w:tcPr>
                  <w:tcW w:w="373" w:type="pct"/>
                  <w:vMerge/>
                  <w:vAlign w:val="center"/>
                </w:tcPr>
                <w:p w:rsidR="00BC07F0" w:rsidRDefault="00BC07F0">
                  <w:pPr>
                    <w:pStyle w:val="a7"/>
                    <w:rPr>
                      <w:rFonts w:hint="default"/>
                    </w:rPr>
                  </w:pPr>
                </w:p>
              </w:tc>
              <w:tc>
                <w:tcPr>
                  <w:tcW w:w="588" w:type="pct"/>
                  <w:vMerge/>
                  <w:vAlign w:val="center"/>
                </w:tcPr>
                <w:p w:rsidR="00BC07F0" w:rsidRDefault="00BC07F0">
                  <w:pPr>
                    <w:pStyle w:val="a7"/>
                    <w:rPr>
                      <w:rFonts w:hint="default"/>
                    </w:rPr>
                  </w:pPr>
                </w:p>
              </w:tc>
              <w:tc>
                <w:tcPr>
                  <w:tcW w:w="3674" w:type="pct"/>
                  <w:gridSpan w:val="2"/>
                  <w:vAlign w:val="center"/>
                </w:tcPr>
                <w:p w:rsidR="00BC07F0" w:rsidRDefault="00073EFB">
                  <w:pPr>
                    <w:pStyle w:val="a7"/>
                    <w:jc w:val="left"/>
                    <w:rPr>
                      <w:rFonts w:hint="default"/>
                    </w:rPr>
                  </w:pPr>
                  <w:r>
                    <w:t>堆场扬尘</w:t>
                  </w:r>
                  <w:r>
                    <w:t>：</w:t>
                  </w:r>
                  <w:r>
                    <w:t>堆场</w:t>
                  </w:r>
                  <w:r>
                    <w:t>定期洒水，并且用帆布覆盖</w:t>
                  </w:r>
                  <w:r>
                    <w:t>。</w:t>
                  </w:r>
                </w:p>
              </w:tc>
              <w:tc>
                <w:tcPr>
                  <w:tcW w:w="363" w:type="pct"/>
                  <w:vAlign w:val="center"/>
                </w:tcPr>
                <w:p w:rsidR="00BC07F0" w:rsidRDefault="00073EFB">
                  <w:pPr>
                    <w:pStyle w:val="a7"/>
                    <w:rPr>
                      <w:rFonts w:hint="default"/>
                    </w:rPr>
                  </w:pPr>
                  <w:r>
                    <w:t>/</w:t>
                  </w:r>
                </w:p>
              </w:tc>
            </w:tr>
            <w:tr w:rsidR="00BC07F0">
              <w:trPr>
                <w:trHeight w:val="397"/>
                <w:jc w:val="center"/>
              </w:trPr>
              <w:tc>
                <w:tcPr>
                  <w:tcW w:w="373" w:type="pct"/>
                  <w:vMerge/>
                  <w:vAlign w:val="center"/>
                </w:tcPr>
                <w:p w:rsidR="00BC07F0" w:rsidRDefault="00BC07F0">
                  <w:pPr>
                    <w:pStyle w:val="a7"/>
                    <w:rPr>
                      <w:rFonts w:hint="default"/>
                    </w:rPr>
                  </w:pPr>
                </w:p>
              </w:tc>
              <w:tc>
                <w:tcPr>
                  <w:tcW w:w="588" w:type="pct"/>
                  <w:vMerge/>
                  <w:vAlign w:val="center"/>
                </w:tcPr>
                <w:p w:rsidR="00BC07F0" w:rsidRDefault="00BC07F0">
                  <w:pPr>
                    <w:pStyle w:val="a7"/>
                    <w:rPr>
                      <w:rFonts w:hint="default"/>
                    </w:rPr>
                  </w:pPr>
                </w:p>
              </w:tc>
              <w:tc>
                <w:tcPr>
                  <w:tcW w:w="3674" w:type="pct"/>
                  <w:gridSpan w:val="2"/>
                  <w:vAlign w:val="center"/>
                </w:tcPr>
                <w:p w:rsidR="00BC07F0" w:rsidRDefault="00073EFB">
                  <w:pPr>
                    <w:pStyle w:val="a7"/>
                    <w:jc w:val="left"/>
                    <w:rPr>
                      <w:rFonts w:hint="default"/>
                    </w:rPr>
                  </w:pPr>
                  <w:r>
                    <w:t>道路扬尘</w:t>
                  </w:r>
                  <w:r>
                    <w:t>：</w:t>
                  </w:r>
                  <w:r>
                    <w:t>加强对装载散装物资如砂石、水泥等车辆的检查与管理，要求运输物资需加盖篷布，同时定期对路面进行清扫</w:t>
                  </w:r>
                  <w:r>
                    <w:t>。</w:t>
                  </w:r>
                </w:p>
              </w:tc>
              <w:tc>
                <w:tcPr>
                  <w:tcW w:w="363" w:type="pct"/>
                  <w:vAlign w:val="center"/>
                </w:tcPr>
                <w:p w:rsidR="00BC07F0" w:rsidRDefault="00073EFB">
                  <w:pPr>
                    <w:pStyle w:val="a7"/>
                    <w:rPr>
                      <w:rFonts w:hint="default"/>
                    </w:rPr>
                  </w:pPr>
                  <w:r>
                    <w:t>/</w:t>
                  </w:r>
                </w:p>
              </w:tc>
            </w:tr>
            <w:tr w:rsidR="00BC07F0">
              <w:trPr>
                <w:trHeight w:val="397"/>
                <w:jc w:val="center"/>
              </w:trPr>
              <w:tc>
                <w:tcPr>
                  <w:tcW w:w="373" w:type="pct"/>
                  <w:vMerge/>
                  <w:vAlign w:val="center"/>
                </w:tcPr>
                <w:p w:rsidR="00BC07F0" w:rsidRDefault="00BC07F0">
                  <w:pPr>
                    <w:pStyle w:val="a7"/>
                    <w:rPr>
                      <w:rFonts w:hint="default"/>
                    </w:rPr>
                  </w:pPr>
                </w:p>
              </w:tc>
              <w:tc>
                <w:tcPr>
                  <w:tcW w:w="588" w:type="pct"/>
                  <w:vMerge/>
                  <w:vAlign w:val="center"/>
                </w:tcPr>
                <w:p w:rsidR="00BC07F0" w:rsidRDefault="00BC07F0">
                  <w:pPr>
                    <w:pStyle w:val="a7"/>
                    <w:rPr>
                      <w:rFonts w:hint="default"/>
                    </w:rPr>
                  </w:pPr>
                </w:p>
              </w:tc>
              <w:tc>
                <w:tcPr>
                  <w:tcW w:w="3674" w:type="pct"/>
                  <w:gridSpan w:val="2"/>
                  <w:vAlign w:val="center"/>
                </w:tcPr>
                <w:p w:rsidR="00BC07F0" w:rsidRDefault="00073EFB">
                  <w:pPr>
                    <w:pStyle w:val="a7"/>
                    <w:jc w:val="left"/>
                    <w:rPr>
                      <w:rFonts w:hint="default"/>
                    </w:rPr>
                  </w:pPr>
                  <w:r>
                    <w:t>底泥恶臭</w:t>
                  </w:r>
                  <w:r>
                    <w:t>：</w:t>
                  </w:r>
                  <w:r>
                    <w:t>清淤季节建议在冬季，敏感点段施工时加快施工进程，设置挡板</w:t>
                  </w:r>
                  <w:r>
                    <w:t>。</w:t>
                  </w:r>
                </w:p>
              </w:tc>
              <w:tc>
                <w:tcPr>
                  <w:tcW w:w="363" w:type="pct"/>
                  <w:vAlign w:val="center"/>
                </w:tcPr>
                <w:p w:rsidR="00BC07F0" w:rsidRDefault="00073EFB">
                  <w:pPr>
                    <w:pStyle w:val="a7"/>
                    <w:rPr>
                      <w:rFonts w:hint="default"/>
                    </w:rPr>
                  </w:pPr>
                  <w:r>
                    <w:t>/</w:t>
                  </w:r>
                </w:p>
              </w:tc>
            </w:tr>
            <w:tr w:rsidR="00BC07F0">
              <w:trPr>
                <w:trHeight w:val="397"/>
                <w:jc w:val="center"/>
              </w:trPr>
              <w:tc>
                <w:tcPr>
                  <w:tcW w:w="373" w:type="pct"/>
                  <w:vMerge/>
                  <w:vAlign w:val="center"/>
                </w:tcPr>
                <w:p w:rsidR="00BC07F0" w:rsidRDefault="00BC07F0">
                  <w:pPr>
                    <w:pStyle w:val="a7"/>
                    <w:rPr>
                      <w:rFonts w:hint="default"/>
                    </w:rPr>
                  </w:pPr>
                </w:p>
              </w:tc>
              <w:tc>
                <w:tcPr>
                  <w:tcW w:w="588" w:type="pct"/>
                  <w:vMerge w:val="restart"/>
                  <w:vAlign w:val="center"/>
                </w:tcPr>
                <w:p w:rsidR="00BC07F0" w:rsidRDefault="00073EFB">
                  <w:pPr>
                    <w:pStyle w:val="a7"/>
                    <w:rPr>
                      <w:rFonts w:hint="default"/>
                    </w:rPr>
                  </w:pPr>
                  <w:r>
                    <w:t>废水处理</w:t>
                  </w:r>
                </w:p>
              </w:tc>
              <w:tc>
                <w:tcPr>
                  <w:tcW w:w="3674" w:type="pct"/>
                  <w:gridSpan w:val="2"/>
                  <w:vAlign w:val="center"/>
                </w:tcPr>
                <w:p w:rsidR="00BC07F0" w:rsidRDefault="00073EFB">
                  <w:pPr>
                    <w:pStyle w:val="a7"/>
                    <w:jc w:val="left"/>
                    <w:rPr>
                      <w:rFonts w:hint="default"/>
                    </w:rPr>
                  </w:pPr>
                  <w:r>
                    <w:t>员工生活污水</w:t>
                  </w:r>
                  <w:r>
                    <w:t>：</w:t>
                  </w:r>
                  <w:r>
                    <w:t>经化粪池处理达《污水综合排放标准》（</w:t>
                  </w:r>
                  <w:r>
                    <w:t>GB8978-1996</w:t>
                  </w:r>
                  <w:r>
                    <w:t>）中三级标准后排入市政污水管网，后进入衡阳市铜桥港污水处理厂深度处理达《城镇污水处理厂污染物排放标准》（</w:t>
                  </w:r>
                  <w:r>
                    <w:t>GB 18918-2002</w:t>
                  </w:r>
                  <w:r>
                    <w:t>）一级</w:t>
                  </w:r>
                  <w:r>
                    <w:t>A</w:t>
                  </w:r>
                  <w:r>
                    <w:t>标后排入湘江。</w:t>
                  </w:r>
                </w:p>
              </w:tc>
              <w:tc>
                <w:tcPr>
                  <w:tcW w:w="363" w:type="pct"/>
                  <w:vAlign w:val="center"/>
                </w:tcPr>
                <w:p w:rsidR="00BC07F0" w:rsidRDefault="00073EFB">
                  <w:pPr>
                    <w:pStyle w:val="a7"/>
                    <w:rPr>
                      <w:rFonts w:hint="default"/>
                    </w:rPr>
                  </w:pPr>
                  <w:r>
                    <w:t>/</w:t>
                  </w:r>
                </w:p>
              </w:tc>
            </w:tr>
            <w:tr w:rsidR="00BC07F0">
              <w:trPr>
                <w:trHeight w:val="397"/>
                <w:jc w:val="center"/>
              </w:trPr>
              <w:tc>
                <w:tcPr>
                  <w:tcW w:w="373" w:type="pct"/>
                  <w:vMerge/>
                  <w:vAlign w:val="center"/>
                </w:tcPr>
                <w:p w:rsidR="00BC07F0" w:rsidRDefault="00BC07F0">
                  <w:pPr>
                    <w:pStyle w:val="a7"/>
                    <w:rPr>
                      <w:rFonts w:hint="default"/>
                    </w:rPr>
                  </w:pPr>
                </w:p>
              </w:tc>
              <w:tc>
                <w:tcPr>
                  <w:tcW w:w="588" w:type="pct"/>
                  <w:vMerge/>
                  <w:vAlign w:val="center"/>
                </w:tcPr>
                <w:p w:rsidR="00BC07F0" w:rsidRDefault="00BC07F0">
                  <w:pPr>
                    <w:pStyle w:val="a7"/>
                    <w:rPr>
                      <w:rFonts w:hint="default"/>
                    </w:rPr>
                  </w:pPr>
                </w:p>
              </w:tc>
              <w:tc>
                <w:tcPr>
                  <w:tcW w:w="3674" w:type="pct"/>
                  <w:gridSpan w:val="2"/>
                  <w:vAlign w:val="center"/>
                </w:tcPr>
                <w:p w:rsidR="00BC07F0" w:rsidRDefault="00073EFB">
                  <w:pPr>
                    <w:pStyle w:val="a7"/>
                    <w:jc w:val="left"/>
                    <w:rPr>
                      <w:rFonts w:hint="default"/>
                    </w:rPr>
                  </w:pPr>
                  <w:r>
                    <w:t>道路养护废水</w:t>
                  </w:r>
                  <w:r>
                    <w:t>：道路养护废水产生量较少，其主要污染物为</w:t>
                  </w:r>
                  <w:r>
                    <w:t>SS</w:t>
                  </w:r>
                  <w:r>
                    <w:t>，在地面直接损耗。</w:t>
                  </w:r>
                </w:p>
              </w:tc>
              <w:tc>
                <w:tcPr>
                  <w:tcW w:w="363" w:type="pct"/>
                  <w:vAlign w:val="center"/>
                </w:tcPr>
                <w:p w:rsidR="00BC07F0" w:rsidRDefault="00073EFB">
                  <w:pPr>
                    <w:pStyle w:val="a7"/>
                    <w:rPr>
                      <w:rFonts w:hint="default"/>
                    </w:rPr>
                  </w:pPr>
                  <w:r>
                    <w:t>/</w:t>
                  </w:r>
                </w:p>
              </w:tc>
            </w:tr>
            <w:tr w:rsidR="00BC07F0">
              <w:trPr>
                <w:trHeight w:val="397"/>
                <w:jc w:val="center"/>
              </w:trPr>
              <w:tc>
                <w:tcPr>
                  <w:tcW w:w="373" w:type="pct"/>
                  <w:vMerge/>
                  <w:vAlign w:val="center"/>
                </w:tcPr>
                <w:p w:rsidR="00BC07F0" w:rsidRDefault="00BC07F0">
                  <w:pPr>
                    <w:pStyle w:val="a7"/>
                    <w:rPr>
                      <w:rFonts w:hint="default"/>
                    </w:rPr>
                  </w:pPr>
                </w:p>
              </w:tc>
              <w:tc>
                <w:tcPr>
                  <w:tcW w:w="588" w:type="pct"/>
                  <w:vMerge w:val="restart"/>
                  <w:vAlign w:val="center"/>
                </w:tcPr>
                <w:p w:rsidR="00BC07F0" w:rsidRDefault="00073EFB">
                  <w:pPr>
                    <w:pStyle w:val="a7"/>
                    <w:rPr>
                      <w:rFonts w:hint="default"/>
                    </w:rPr>
                  </w:pPr>
                  <w:r>
                    <w:t>噪声防治</w:t>
                  </w:r>
                </w:p>
              </w:tc>
              <w:tc>
                <w:tcPr>
                  <w:tcW w:w="3674" w:type="pct"/>
                  <w:gridSpan w:val="2"/>
                  <w:vAlign w:val="center"/>
                </w:tcPr>
                <w:p w:rsidR="00BC07F0" w:rsidRDefault="00073EFB">
                  <w:pPr>
                    <w:pStyle w:val="a7"/>
                    <w:jc w:val="left"/>
                    <w:rPr>
                      <w:rFonts w:hint="default"/>
                    </w:rPr>
                  </w:pPr>
                  <w:r>
                    <w:t>施工机械作业噪声</w:t>
                  </w:r>
                  <w:r>
                    <w:t>：</w:t>
                  </w:r>
                  <w:r>
                    <w:t>采用先进的低噪声施工机具</w:t>
                  </w:r>
                  <w:r>
                    <w:t>，</w:t>
                  </w:r>
                  <w:r>
                    <w:t>合理安排施工时间，</w:t>
                  </w:r>
                  <w:r>
                    <w:t>合理安排使用高噪声设备时间，避开居民休息时间</w:t>
                  </w:r>
                  <w:r>
                    <w:t>，</w:t>
                  </w:r>
                  <w:r>
                    <w:t>设置隔声墙等。</w:t>
                  </w:r>
                </w:p>
              </w:tc>
              <w:tc>
                <w:tcPr>
                  <w:tcW w:w="363" w:type="pct"/>
                  <w:vAlign w:val="center"/>
                </w:tcPr>
                <w:p w:rsidR="00BC07F0" w:rsidRDefault="00073EFB">
                  <w:pPr>
                    <w:pStyle w:val="a7"/>
                    <w:rPr>
                      <w:rFonts w:hint="default"/>
                    </w:rPr>
                  </w:pPr>
                  <w:r>
                    <w:t>/</w:t>
                  </w:r>
                </w:p>
              </w:tc>
            </w:tr>
            <w:tr w:rsidR="00BC07F0">
              <w:trPr>
                <w:trHeight w:val="397"/>
                <w:jc w:val="center"/>
              </w:trPr>
              <w:tc>
                <w:tcPr>
                  <w:tcW w:w="373" w:type="pct"/>
                  <w:vMerge/>
                  <w:vAlign w:val="center"/>
                </w:tcPr>
                <w:p w:rsidR="00BC07F0" w:rsidRDefault="00BC07F0">
                  <w:pPr>
                    <w:pStyle w:val="a7"/>
                    <w:rPr>
                      <w:rFonts w:hint="default"/>
                    </w:rPr>
                  </w:pPr>
                </w:p>
              </w:tc>
              <w:tc>
                <w:tcPr>
                  <w:tcW w:w="588" w:type="pct"/>
                  <w:vMerge/>
                  <w:vAlign w:val="center"/>
                </w:tcPr>
                <w:p w:rsidR="00BC07F0" w:rsidRDefault="00BC07F0">
                  <w:pPr>
                    <w:pStyle w:val="a7"/>
                    <w:rPr>
                      <w:rFonts w:hint="default"/>
                    </w:rPr>
                  </w:pPr>
                </w:p>
              </w:tc>
              <w:tc>
                <w:tcPr>
                  <w:tcW w:w="3674" w:type="pct"/>
                  <w:gridSpan w:val="2"/>
                  <w:vAlign w:val="center"/>
                </w:tcPr>
                <w:p w:rsidR="00BC07F0" w:rsidRDefault="00073EFB">
                  <w:pPr>
                    <w:pStyle w:val="a7"/>
                    <w:jc w:val="left"/>
                    <w:rPr>
                      <w:rFonts w:hint="default"/>
                    </w:rPr>
                  </w:pPr>
                  <w:r>
                    <w:t>运输车辆噪声</w:t>
                  </w:r>
                  <w:r>
                    <w:t>：</w:t>
                  </w:r>
                  <w:r>
                    <w:t>合理安排车辆运行时间，规定大型车辆出行道路，设置禁止鸣笛的标志灯。</w:t>
                  </w:r>
                </w:p>
              </w:tc>
              <w:tc>
                <w:tcPr>
                  <w:tcW w:w="363" w:type="pct"/>
                  <w:vAlign w:val="center"/>
                </w:tcPr>
                <w:p w:rsidR="00BC07F0" w:rsidRDefault="00073EFB">
                  <w:pPr>
                    <w:pStyle w:val="a7"/>
                    <w:rPr>
                      <w:rFonts w:hint="default"/>
                    </w:rPr>
                  </w:pPr>
                  <w:r>
                    <w:t>/</w:t>
                  </w:r>
                </w:p>
              </w:tc>
            </w:tr>
            <w:tr w:rsidR="00BC07F0">
              <w:trPr>
                <w:trHeight w:val="397"/>
                <w:jc w:val="center"/>
              </w:trPr>
              <w:tc>
                <w:tcPr>
                  <w:tcW w:w="373" w:type="pct"/>
                  <w:vMerge/>
                  <w:vAlign w:val="center"/>
                </w:tcPr>
                <w:p w:rsidR="00BC07F0" w:rsidRDefault="00BC07F0">
                  <w:pPr>
                    <w:pStyle w:val="a7"/>
                    <w:rPr>
                      <w:rFonts w:hint="default"/>
                    </w:rPr>
                  </w:pPr>
                </w:p>
              </w:tc>
              <w:tc>
                <w:tcPr>
                  <w:tcW w:w="588" w:type="pct"/>
                  <w:vMerge w:val="restart"/>
                  <w:vAlign w:val="center"/>
                </w:tcPr>
                <w:p w:rsidR="00BC07F0" w:rsidRDefault="00073EFB">
                  <w:pPr>
                    <w:pStyle w:val="a7"/>
                    <w:rPr>
                      <w:rFonts w:hint="default"/>
                    </w:rPr>
                  </w:pPr>
                  <w:r>
                    <w:t>固废处理</w:t>
                  </w:r>
                </w:p>
              </w:tc>
              <w:tc>
                <w:tcPr>
                  <w:tcW w:w="3674" w:type="pct"/>
                  <w:gridSpan w:val="2"/>
                  <w:vAlign w:val="center"/>
                </w:tcPr>
                <w:p w:rsidR="00BC07F0" w:rsidRDefault="00073EFB">
                  <w:pPr>
                    <w:pStyle w:val="a7"/>
                    <w:jc w:val="left"/>
                    <w:rPr>
                      <w:rFonts w:hint="default"/>
                    </w:rPr>
                  </w:pPr>
                  <w:r>
                    <w:t>表土清除和开挖产生的土石方</w:t>
                  </w:r>
                  <w:r>
                    <w:t>：</w:t>
                  </w:r>
                  <w:r>
                    <w:t>堆场暂存后全部回填。</w:t>
                  </w:r>
                </w:p>
              </w:tc>
              <w:tc>
                <w:tcPr>
                  <w:tcW w:w="363" w:type="pct"/>
                  <w:vAlign w:val="center"/>
                </w:tcPr>
                <w:p w:rsidR="00BC07F0" w:rsidRDefault="00073EFB">
                  <w:pPr>
                    <w:pStyle w:val="a7"/>
                    <w:rPr>
                      <w:rFonts w:hint="default"/>
                    </w:rPr>
                  </w:pPr>
                  <w:r>
                    <w:t>/</w:t>
                  </w:r>
                </w:p>
              </w:tc>
            </w:tr>
            <w:tr w:rsidR="00BC07F0">
              <w:trPr>
                <w:trHeight w:val="397"/>
                <w:jc w:val="center"/>
              </w:trPr>
              <w:tc>
                <w:tcPr>
                  <w:tcW w:w="373" w:type="pct"/>
                  <w:vMerge/>
                  <w:vAlign w:val="center"/>
                </w:tcPr>
                <w:p w:rsidR="00BC07F0" w:rsidRDefault="00BC07F0">
                  <w:pPr>
                    <w:pStyle w:val="a7"/>
                    <w:rPr>
                      <w:rFonts w:hint="default"/>
                    </w:rPr>
                  </w:pPr>
                </w:p>
              </w:tc>
              <w:tc>
                <w:tcPr>
                  <w:tcW w:w="588" w:type="pct"/>
                  <w:vMerge/>
                  <w:vAlign w:val="center"/>
                </w:tcPr>
                <w:p w:rsidR="00BC07F0" w:rsidRDefault="00BC07F0">
                  <w:pPr>
                    <w:pStyle w:val="a7"/>
                    <w:rPr>
                      <w:rFonts w:hint="default"/>
                    </w:rPr>
                  </w:pPr>
                </w:p>
              </w:tc>
              <w:tc>
                <w:tcPr>
                  <w:tcW w:w="3674" w:type="pct"/>
                  <w:gridSpan w:val="2"/>
                  <w:vAlign w:val="center"/>
                </w:tcPr>
                <w:p w:rsidR="00BC07F0" w:rsidRDefault="00073EFB">
                  <w:pPr>
                    <w:pStyle w:val="a7"/>
                    <w:jc w:val="left"/>
                    <w:rPr>
                      <w:rFonts w:hint="default"/>
                    </w:rPr>
                  </w:pPr>
                  <w:r>
                    <w:t>生活垃圾</w:t>
                  </w:r>
                  <w:r>
                    <w:t>：</w:t>
                  </w:r>
                  <w:r>
                    <w:t>分类</w:t>
                  </w:r>
                  <w:r>
                    <w:t>收集后交由环卫部门清运处置</w:t>
                  </w:r>
                  <w:r>
                    <w:t>。</w:t>
                  </w:r>
                </w:p>
              </w:tc>
              <w:tc>
                <w:tcPr>
                  <w:tcW w:w="363" w:type="pct"/>
                  <w:vAlign w:val="center"/>
                </w:tcPr>
                <w:p w:rsidR="00BC07F0" w:rsidRDefault="00073EFB">
                  <w:pPr>
                    <w:pStyle w:val="a7"/>
                    <w:rPr>
                      <w:rFonts w:hint="default"/>
                    </w:rPr>
                  </w:pPr>
                  <w:r>
                    <w:t>/</w:t>
                  </w:r>
                </w:p>
              </w:tc>
            </w:tr>
            <w:tr w:rsidR="00BC07F0">
              <w:trPr>
                <w:trHeight w:val="397"/>
                <w:jc w:val="center"/>
              </w:trPr>
              <w:tc>
                <w:tcPr>
                  <w:tcW w:w="373" w:type="pct"/>
                  <w:vMerge/>
                  <w:vAlign w:val="center"/>
                </w:tcPr>
                <w:p w:rsidR="00BC07F0" w:rsidRDefault="00BC07F0">
                  <w:pPr>
                    <w:pStyle w:val="a7"/>
                    <w:rPr>
                      <w:rFonts w:hint="default"/>
                    </w:rPr>
                  </w:pPr>
                </w:p>
              </w:tc>
              <w:tc>
                <w:tcPr>
                  <w:tcW w:w="588" w:type="pct"/>
                  <w:vMerge/>
                  <w:vAlign w:val="center"/>
                </w:tcPr>
                <w:p w:rsidR="00BC07F0" w:rsidRDefault="00BC07F0">
                  <w:pPr>
                    <w:pStyle w:val="a7"/>
                    <w:rPr>
                      <w:rFonts w:hint="default"/>
                    </w:rPr>
                  </w:pPr>
                </w:p>
              </w:tc>
              <w:tc>
                <w:tcPr>
                  <w:tcW w:w="3674" w:type="pct"/>
                  <w:gridSpan w:val="2"/>
                  <w:vAlign w:val="center"/>
                </w:tcPr>
                <w:p w:rsidR="00BC07F0" w:rsidRDefault="00073EFB">
                  <w:pPr>
                    <w:pStyle w:val="a7"/>
                    <w:jc w:val="left"/>
                    <w:rPr>
                      <w:rFonts w:hint="default"/>
                    </w:rPr>
                  </w:pPr>
                  <w:r>
                    <w:t>河道疏浚污泥</w:t>
                  </w:r>
                  <w:r>
                    <w:t>：</w:t>
                  </w:r>
                  <w:r>
                    <w:t>围堰板围堰，然后用抽水泵将河水抽出围堰外，作为生态护岸、人工湿地、植被种植的覆土，做到项目内部平衡，无弃方产生</w:t>
                  </w:r>
                  <w:r>
                    <w:t>，</w:t>
                  </w:r>
                  <w:r>
                    <w:t>淤泥堆放在蒸湘南路以西，幸福河以东</w:t>
                  </w:r>
                </w:p>
              </w:tc>
              <w:tc>
                <w:tcPr>
                  <w:tcW w:w="363" w:type="pct"/>
                  <w:vAlign w:val="center"/>
                </w:tcPr>
                <w:p w:rsidR="00BC07F0" w:rsidRDefault="00073EFB">
                  <w:pPr>
                    <w:pStyle w:val="a7"/>
                    <w:rPr>
                      <w:rFonts w:hint="default"/>
                    </w:rPr>
                  </w:pPr>
                  <w:r>
                    <w:t>/</w:t>
                  </w:r>
                </w:p>
              </w:tc>
            </w:tr>
            <w:tr w:rsidR="00BC07F0">
              <w:trPr>
                <w:trHeight w:val="397"/>
                <w:jc w:val="center"/>
              </w:trPr>
              <w:tc>
                <w:tcPr>
                  <w:tcW w:w="373" w:type="pct"/>
                  <w:vMerge w:val="restart"/>
                  <w:vAlign w:val="center"/>
                </w:tcPr>
                <w:p w:rsidR="00BC07F0" w:rsidRDefault="00073EFB">
                  <w:pPr>
                    <w:pStyle w:val="a7"/>
                    <w:rPr>
                      <w:rFonts w:hint="default"/>
                    </w:rPr>
                  </w:pPr>
                  <w:r>
                    <w:t>储运工程</w:t>
                  </w:r>
                </w:p>
              </w:tc>
              <w:tc>
                <w:tcPr>
                  <w:tcW w:w="588" w:type="pct"/>
                  <w:vAlign w:val="center"/>
                </w:tcPr>
                <w:p w:rsidR="00BC07F0" w:rsidRDefault="00073EFB">
                  <w:pPr>
                    <w:pStyle w:val="a7"/>
                    <w:rPr>
                      <w:rFonts w:hint="default"/>
                    </w:rPr>
                  </w:pPr>
                  <w:r>
                    <w:t>物料堆场</w:t>
                  </w:r>
                </w:p>
              </w:tc>
              <w:tc>
                <w:tcPr>
                  <w:tcW w:w="3674" w:type="pct"/>
                  <w:gridSpan w:val="2"/>
                  <w:vMerge w:val="restart"/>
                  <w:vAlign w:val="center"/>
                </w:tcPr>
                <w:p w:rsidR="00BC07F0" w:rsidRDefault="00073EFB">
                  <w:pPr>
                    <w:pStyle w:val="a7"/>
                    <w:jc w:val="left"/>
                    <w:rPr>
                      <w:rFonts w:hint="default"/>
                    </w:rPr>
                  </w:pPr>
                  <w:r>
                    <w:t>选择距离施工现场较近，</w:t>
                  </w:r>
                  <w:r>
                    <w:t>避免选择在雨水汇集量大，</w:t>
                  </w:r>
                  <w:r>
                    <w:t xml:space="preserve"> </w:t>
                  </w:r>
                  <w:r>
                    <w:t>冲刷严重的地</w:t>
                  </w:r>
                  <w:r>
                    <w:t>位置。</w:t>
                  </w:r>
                </w:p>
              </w:tc>
              <w:tc>
                <w:tcPr>
                  <w:tcW w:w="363" w:type="pct"/>
                  <w:vAlign w:val="center"/>
                </w:tcPr>
                <w:p w:rsidR="00BC07F0" w:rsidRDefault="00073EFB">
                  <w:pPr>
                    <w:pStyle w:val="a7"/>
                    <w:rPr>
                      <w:rFonts w:hint="default"/>
                    </w:rPr>
                  </w:pPr>
                  <w:r>
                    <w:t>依托</w:t>
                  </w:r>
                </w:p>
              </w:tc>
            </w:tr>
            <w:tr w:rsidR="00BC07F0">
              <w:trPr>
                <w:trHeight w:val="397"/>
                <w:jc w:val="center"/>
              </w:trPr>
              <w:tc>
                <w:tcPr>
                  <w:tcW w:w="373" w:type="pct"/>
                  <w:vMerge/>
                  <w:vAlign w:val="center"/>
                </w:tcPr>
                <w:p w:rsidR="00BC07F0" w:rsidRDefault="00BC07F0">
                  <w:pPr>
                    <w:pStyle w:val="a7"/>
                    <w:rPr>
                      <w:rFonts w:hint="default"/>
                    </w:rPr>
                  </w:pPr>
                </w:p>
              </w:tc>
              <w:tc>
                <w:tcPr>
                  <w:tcW w:w="588" w:type="pct"/>
                  <w:vAlign w:val="center"/>
                </w:tcPr>
                <w:p w:rsidR="00BC07F0" w:rsidRDefault="00073EFB">
                  <w:pPr>
                    <w:pStyle w:val="a7"/>
                    <w:rPr>
                      <w:rFonts w:hint="default"/>
                    </w:rPr>
                  </w:pPr>
                  <w:r>
                    <w:t>弃土场</w:t>
                  </w:r>
                </w:p>
              </w:tc>
              <w:tc>
                <w:tcPr>
                  <w:tcW w:w="3674" w:type="pct"/>
                  <w:gridSpan w:val="2"/>
                  <w:vMerge/>
                  <w:vAlign w:val="center"/>
                </w:tcPr>
                <w:p w:rsidR="00BC07F0" w:rsidRDefault="00BC07F0">
                  <w:pPr>
                    <w:pStyle w:val="a7"/>
                    <w:jc w:val="left"/>
                    <w:rPr>
                      <w:rFonts w:hint="default"/>
                    </w:rPr>
                  </w:pPr>
                </w:p>
              </w:tc>
              <w:tc>
                <w:tcPr>
                  <w:tcW w:w="363" w:type="pct"/>
                  <w:vAlign w:val="center"/>
                </w:tcPr>
                <w:p w:rsidR="00BC07F0" w:rsidRDefault="00073EFB">
                  <w:pPr>
                    <w:pStyle w:val="a7"/>
                    <w:rPr>
                      <w:rFonts w:hint="default"/>
                    </w:rPr>
                  </w:pPr>
                  <w:r>
                    <w:t>依托</w:t>
                  </w:r>
                </w:p>
              </w:tc>
            </w:tr>
            <w:tr w:rsidR="00BC07F0">
              <w:trPr>
                <w:trHeight w:val="397"/>
                <w:jc w:val="center"/>
              </w:trPr>
              <w:tc>
                <w:tcPr>
                  <w:tcW w:w="373" w:type="pct"/>
                  <w:vMerge/>
                  <w:vAlign w:val="center"/>
                </w:tcPr>
                <w:p w:rsidR="00BC07F0" w:rsidRDefault="00BC07F0">
                  <w:pPr>
                    <w:pStyle w:val="a7"/>
                    <w:rPr>
                      <w:rFonts w:hint="default"/>
                    </w:rPr>
                  </w:pPr>
                </w:p>
              </w:tc>
              <w:tc>
                <w:tcPr>
                  <w:tcW w:w="588" w:type="pct"/>
                  <w:vAlign w:val="center"/>
                </w:tcPr>
                <w:p w:rsidR="00BC07F0" w:rsidRDefault="00073EFB">
                  <w:pPr>
                    <w:pStyle w:val="a7"/>
                    <w:rPr>
                      <w:rFonts w:hint="default"/>
                    </w:rPr>
                  </w:pPr>
                  <w:r>
                    <w:t>淤泥去向</w:t>
                  </w:r>
                </w:p>
              </w:tc>
              <w:tc>
                <w:tcPr>
                  <w:tcW w:w="3674" w:type="pct"/>
                  <w:gridSpan w:val="2"/>
                  <w:vAlign w:val="center"/>
                </w:tcPr>
                <w:p w:rsidR="00BC07F0" w:rsidRDefault="00073EFB">
                  <w:pPr>
                    <w:pStyle w:val="a7"/>
                    <w:jc w:val="left"/>
                    <w:rPr>
                      <w:rFonts w:hint="default"/>
                    </w:rPr>
                  </w:pPr>
                  <w:r>
                    <w:t>围堰板围堰，然后用抽水泵将河水抽出围堰外，作为生态护岸、人工湿地、植被种植的覆土，做到项目内部平衡，无弃方产生</w:t>
                  </w:r>
                  <w:r>
                    <w:t>，</w:t>
                  </w:r>
                  <w:r>
                    <w:t>淤泥堆放在蒸湘南路以西，幸福河以东</w:t>
                  </w:r>
                </w:p>
              </w:tc>
              <w:tc>
                <w:tcPr>
                  <w:tcW w:w="363" w:type="pct"/>
                  <w:vAlign w:val="center"/>
                </w:tcPr>
                <w:p w:rsidR="00BC07F0" w:rsidRDefault="00073EFB">
                  <w:pPr>
                    <w:pStyle w:val="a7"/>
                    <w:rPr>
                      <w:rFonts w:hint="default"/>
                    </w:rPr>
                  </w:pPr>
                  <w:r>
                    <w:t>依托</w:t>
                  </w:r>
                </w:p>
              </w:tc>
            </w:tr>
          </w:tbl>
          <w:p w:rsidR="00BC07F0" w:rsidRDefault="00073EFB" w:rsidP="00C55F5E">
            <w:pPr>
              <w:ind w:firstLine="482"/>
              <w:rPr>
                <w:b/>
                <w:bCs/>
              </w:rPr>
            </w:pPr>
            <w:r>
              <w:rPr>
                <w:rFonts w:hint="eastAsia"/>
                <w:b/>
                <w:bCs/>
              </w:rPr>
              <w:t>2.3</w:t>
            </w:r>
            <w:r>
              <w:rPr>
                <w:rFonts w:hint="eastAsia"/>
                <w:b/>
                <w:bCs/>
              </w:rPr>
              <w:t>湘江南岸（衡阳港</w:t>
            </w:r>
            <w:r>
              <w:rPr>
                <w:rFonts w:hint="eastAsia"/>
                <w:b/>
                <w:bCs/>
              </w:rPr>
              <w:t>-</w:t>
            </w:r>
            <w:r>
              <w:rPr>
                <w:rFonts w:hint="eastAsia"/>
                <w:b/>
                <w:bCs/>
              </w:rPr>
              <w:t>铜桥港）水环境水安全综合治理工程</w:t>
            </w:r>
          </w:p>
          <w:p w:rsidR="00BC07F0" w:rsidRDefault="00073EFB" w:rsidP="00C55F5E">
            <w:pPr>
              <w:ind w:firstLine="482"/>
              <w:rPr>
                <w:b/>
                <w:bCs/>
              </w:rPr>
            </w:pPr>
            <w:r>
              <w:rPr>
                <w:rFonts w:hint="eastAsia"/>
                <w:b/>
                <w:bCs/>
              </w:rPr>
              <w:t>2.3.1</w:t>
            </w:r>
            <w:r>
              <w:rPr>
                <w:rFonts w:hint="eastAsia"/>
                <w:b/>
                <w:bCs/>
              </w:rPr>
              <w:t>湘江南岸风光带</w:t>
            </w:r>
          </w:p>
          <w:p w:rsidR="00BC07F0" w:rsidRDefault="00073EFB" w:rsidP="00C55F5E">
            <w:pPr>
              <w:ind w:firstLine="480"/>
            </w:pPr>
            <w:r>
              <w:rPr>
                <w:rFonts w:hint="eastAsia"/>
              </w:rPr>
              <w:t>湘江南岸风光带起点位于湘江西岸白沙洲千吨级码头，终点位于前进路口，总长度约</w:t>
            </w:r>
            <w:r>
              <w:rPr>
                <w:rFonts w:hint="eastAsia"/>
              </w:rPr>
              <w:t>3.8km</w:t>
            </w:r>
            <w:r>
              <w:rPr>
                <w:rFonts w:hint="eastAsia"/>
              </w:rPr>
              <w:t>，规划用地面积</w:t>
            </w:r>
            <w:r>
              <w:rPr>
                <w:rFonts w:hint="eastAsia"/>
              </w:rPr>
              <w:t>363100m</w:t>
            </w:r>
            <w:r>
              <w:rPr>
                <w:rFonts w:hint="eastAsia"/>
                <w:vertAlign w:val="superscript"/>
              </w:rPr>
              <w:t>2</w:t>
            </w:r>
            <w:r>
              <w:rPr>
                <w:rFonts w:hint="eastAsia"/>
              </w:rPr>
              <w:t>，建设内容包括</w:t>
            </w:r>
            <w:r w:rsidR="00DC6973">
              <w:rPr>
                <w:rFonts w:hint="eastAsia"/>
              </w:rPr>
              <w:t>：</w:t>
            </w:r>
            <w:r w:rsidR="009846DD">
              <w:rPr>
                <w:rFonts w:hint="eastAsia"/>
              </w:rPr>
              <w:t>防洪堤、</w:t>
            </w:r>
            <w:r>
              <w:rPr>
                <w:rFonts w:hint="eastAsia"/>
              </w:rPr>
              <w:t>道路照明、人行通道、绿化种植、景观照明、园林、给排水。</w:t>
            </w:r>
          </w:p>
          <w:p w:rsidR="00BC07F0" w:rsidRDefault="00073EFB" w:rsidP="00C55F5E">
            <w:pPr>
              <w:ind w:firstLine="482"/>
            </w:pPr>
            <w:r>
              <w:rPr>
                <w:rFonts w:hint="eastAsia"/>
                <w:b/>
                <w:bCs/>
              </w:rPr>
              <w:t>2.3.1.1</w:t>
            </w:r>
            <w:r>
              <w:rPr>
                <w:rFonts w:hint="eastAsia"/>
                <w:b/>
                <w:bCs/>
              </w:rPr>
              <w:t>人行通道</w:t>
            </w:r>
          </w:p>
          <w:p w:rsidR="00BC07F0" w:rsidRDefault="00073EFB" w:rsidP="00C55F5E">
            <w:pPr>
              <w:ind w:firstLine="480"/>
            </w:pPr>
            <w:r>
              <w:rPr>
                <w:rFonts w:hint="eastAsia"/>
              </w:rPr>
              <w:t>本工程结构设计主要为</w:t>
            </w:r>
            <w:r>
              <w:rPr>
                <w:rFonts w:hint="eastAsia"/>
              </w:rPr>
              <w:t>4</w:t>
            </w:r>
            <w:r>
              <w:rPr>
                <w:rFonts w:hint="eastAsia"/>
              </w:rPr>
              <w:t>处钢筋混凝土人行地下通道设计。第一处中心桩号为</w:t>
            </w:r>
            <w:r>
              <w:rPr>
                <w:rFonts w:hint="eastAsia"/>
              </w:rPr>
              <w:t>KO+203.82</w:t>
            </w:r>
            <w:r>
              <w:rPr>
                <w:rFonts w:hint="eastAsia"/>
              </w:rPr>
              <w:t>，净跨</w:t>
            </w:r>
            <w:r>
              <w:rPr>
                <w:rFonts w:hint="eastAsia"/>
              </w:rPr>
              <w:t>5.1m</w:t>
            </w:r>
            <w:r>
              <w:rPr>
                <w:rFonts w:hint="eastAsia"/>
              </w:rPr>
              <w:t>，净高</w:t>
            </w:r>
            <w:r>
              <w:rPr>
                <w:rFonts w:hint="eastAsia"/>
              </w:rPr>
              <w:t>2.75m</w:t>
            </w:r>
            <w:r>
              <w:rPr>
                <w:rFonts w:hint="eastAsia"/>
              </w:rPr>
              <w:t>，通道长度</w:t>
            </w:r>
            <w:r>
              <w:rPr>
                <w:rFonts w:hint="eastAsia"/>
              </w:rPr>
              <w:t>47.35m</w:t>
            </w:r>
            <w:r>
              <w:rPr>
                <w:rFonts w:hint="eastAsia"/>
              </w:rPr>
              <w:t>，覆土约</w:t>
            </w:r>
            <w:r>
              <w:rPr>
                <w:rFonts w:hint="eastAsia"/>
              </w:rPr>
              <w:t>1m;</w:t>
            </w:r>
            <w:r>
              <w:rPr>
                <w:rFonts w:hint="eastAsia"/>
              </w:rPr>
              <w:t>第二处中心桩号放</w:t>
            </w:r>
            <w:r>
              <w:rPr>
                <w:rFonts w:hint="eastAsia"/>
              </w:rPr>
              <w:t>K1+200</w:t>
            </w:r>
            <w:r>
              <w:rPr>
                <w:rFonts w:hint="eastAsia"/>
              </w:rPr>
              <w:t>，净跨</w:t>
            </w:r>
            <w:r>
              <w:rPr>
                <w:rFonts w:hint="eastAsia"/>
              </w:rPr>
              <w:t>5.1m</w:t>
            </w:r>
            <w:r>
              <w:rPr>
                <w:rFonts w:hint="eastAsia"/>
              </w:rPr>
              <w:t>，净高</w:t>
            </w:r>
            <w:r>
              <w:rPr>
                <w:rFonts w:hint="eastAsia"/>
              </w:rPr>
              <w:t>2.75m</w:t>
            </w:r>
            <w:r>
              <w:rPr>
                <w:rFonts w:hint="eastAsia"/>
              </w:rPr>
              <w:t>，通道长度</w:t>
            </w:r>
            <w:r>
              <w:rPr>
                <w:rFonts w:hint="eastAsia"/>
              </w:rPr>
              <w:t>47.35m</w:t>
            </w:r>
            <w:r>
              <w:rPr>
                <w:rFonts w:hint="eastAsia"/>
              </w:rPr>
              <w:t>，覆土约</w:t>
            </w:r>
            <w:r>
              <w:rPr>
                <w:rFonts w:hint="eastAsia"/>
              </w:rPr>
              <w:t>1m;</w:t>
            </w:r>
            <w:r>
              <w:rPr>
                <w:rFonts w:hint="eastAsia"/>
              </w:rPr>
              <w:t>第三处中心桩号为</w:t>
            </w:r>
            <w:r>
              <w:rPr>
                <w:rFonts w:hint="eastAsia"/>
              </w:rPr>
              <w:t>K2+100</w:t>
            </w:r>
            <w:r>
              <w:rPr>
                <w:rFonts w:hint="eastAsia"/>
              </w:rPr>
              <w:t>，净跨</w:t>
            </w:r>
            <w:r>
              <w:rPr>
                <w:rFonts w:hint="eastAsia"/>
              </w:rPr>
              <w:t>5.1m</w:t>
            </w:r>
            <w:r>
              <w:rPr>
                <w:rFonts w:hint="eastAsia"/>
              </w:rPr>
              <w:t>，净高</w:t>
            </w:r>
            <w:r>
              <w:rPr>
                <w:rFonts w:hint="eastAsia"/>
              </w:rPr>
              <w:t>2.75m</w:t>
            </w:r>
            <w:r>
              <w:rPr>
                <w:rFonts w:hint="eastAsia"/>
              </w:rPr>
              <w:t>，通道长度</w:t>
            </w:r>
            <w:r>
              <w:rPr>
                <w:rFonts w:hint="eastAsia"/>
              </w:rPr>
              <w:t>47.6m</w:t>
            </w:r>
            <w:r>
              <w:rPr>
                <w:rFonts w:hint="eastAsia"/>
              </w:rPr>
              <w:t>，覆土约</w:t>
            </w:r>
            <w:r>
              <w:rPr>
                <w:rFonts w:hint="eastAsia"/>
              </w:rPr>
              <w:t>1m;</w:t>
            </w:r>
            <w:r>
              <w:rPr>
                <w:rFonts w:hint="eastAsia"/>
              </w:rPr>
              <w:t>第四处中心桩号为</w:t>
            </w:r>
            <w:r>
              <w:rPr>
                <w:rFonts w:hint="eastAsia"/>
              </w:rPr>
              <w:t>K2+670</w:t>
            </w:r>
            <w:r>
              <w:rPr>
                <w:rFonts w:hint="eastAsia"/>
              </w:rPr>
              <w:t>，净跨</w:t>
            </w:r>
            <w:r>
              <w:rPr>
                <w:rFonts w:hint="eastAsia"/>
              </w:rPr>
              <w:t>5.1m</w:t>
            </w:r>
            <w:r>
              <w:rPr>
                <w:rFonts w:hint="eastAsia"/>
              </w:rPr>
              <w:t>，净高</w:t>
            </w:r>
            <w:r>
              <w:rPr>
                <w:rFonts w:hint="eastAsia"/>
              </w:rPr>
              <w:t>2.75m</w:t>
            </w:r>
            <w:r>
              <w:rPr>
                <w:rFonts w:hint="eastAsia"/>
              </w:rPr>
              <w:t>，通道长度</w:t>
            </w:r>
            <w:r>
              <w:rPr>
                <w:rFonts w:hint="eastAsia"/>
              </w:rPr>
              <w:t>47.6m</w:t>
            </w:r>
            <w:r>
              <w:rPr>
                <w:rFonts w:hint="eastAsia"/>
              </w:rPr>
              <w:t>，覆土约</w:t>
            </w:r>
            <w:r>
              <w:rPr>
                <w:rFonts w:hint="eastAsia"/>
              </w:rPr>
              <w:t>1m</w:t>
            </w:r>
            <w:r>
              <w:rPr>
                <w:rFonts w:hint="eastAsia"/>
              </w:rPr>
              <w:t>。</w:t>
            </w:r>
          </w:p>
          <w:p w:rsidR="00BC07F0" w:rsidRDefault="00073EFB" w:rsidP="00C55F5E">
            <w:pPr>
              <w:ind w:firstLine="482"/>
              <w:rPr>
                <w:b/>
                <w:bCs/>
              </w:rPr>
            </w:pPr>
            <w:r>
              <w:rPr>
                <w:rFonts w:hint="eastAsia"/>
                <w:b/>
                <w:bCs/>
              </w:rPr>
              <w:t>2.3.1.2</w:t>
            </w:r>
            <w:r>
              <w:rPr>
                <w:rFonts w:hint="eastAsia"/>
                <w:b/>
                <w:bCs/>
              </w:rPr>
              <w:t>道路照明</w:t>
            </w:r>
          </w:p>
          <w:p w:rsidR="00BC07F0" w:rsidRDefault="00073EFB" w:rsidP="00C55F5E">
            <w:pPr>
              <w:ind w:firstLine="480"/>
            </w:pPr>
            <w:r>
              <w:rPr>
                <w:rFonts w:hint="eastAsia"/>
              </w:rPr>
              <w:t>工程主要建设内容为沿线道路及各道</w:t>
            </w:r>
            <w:r>
              <w:rPr>
                <w:rFonts w:hint="eastAsia"/>
              </w:rPr>
              <w:t>路交叉口照明，地面辅道段按城市次干路标准设计：平均亮度</w:t>
            </w:r>
            <w:r>
              <w:rPr>
                <w:rFonts w:hint="eastAsia"/>
              </w:rPr>
              <w:t>[</w:t>
            </w:r>
            <w:r>
              <w:rPr>
                <w:rFonts w:hint="eastAsia"/>
              </w:rPr>
              <w:t>照度</w:t>
            </w:r>
            <w:r>
              <w:rPr>
                <w:rFonts w:hint="eastAsia"/>
              </w:rPr>
              <w:t>1</w:t>
            </w:r>
            <w:r>
              <w:rPr>
                <w:rFonts w:hint="eastAsia"/>
              </w:rPr>
              <w:t>：</w:t>
            </w:r>
            <w:r>
              <w:rPr>
                <w:rFonts w:hint="eastAsia"/>
              </w:rPr>
              <w:t>Lav[Eav1&gt;1.5(cd/m2)[20(lx)1</w:t>
            </w:r>
            <w:r>
              <w:rPr>
                <w:rFonts w:hint="eastAsia"/>
              </w:rPr>
              <w:t>（维持值</w:t>
            </w:r>
            <w:r>
              <w:rPr>
                <w:rFonts w:hint="eastAsia"/>
              </w:rPr>
              <w:t>)</w:t>
            </w:r>
            <w:r>
              <w:rPr>
                <w:rFonts w:hint="eastAsia"/>
              </w:rPr>
              <w:t>，照度均匀度：</w:t>
            </w:r>
            <w:r>
              <w:rPr>
                <w:rFonts w:hint="eastAsia"/>
              </w:rPr>
              <w:t>Emin/Eav&gt;0.4.</w:t>
            </w:r>
            <w:r>
              <w:rPr>
                <w:rFonts w:hint="eastAsia"/>
              </w:rPr>
              <w:t>标准路段机动车道照明功率密度值不大于</w:t>
            </w:r>
            <w:r>
              <w:rPr>
                <w:rFonts w:hint="eastAsia"/>
              </w:rPr>
              <w:t>0.8W/m2.</w:t>
            </w:r>
            <w:r>
              <w:rPr>
                <w:rFonts w:hint="eastAsia"/>
              </w:rPr>
              <w:t>人行道平均照度不低于</w:t>
            </w:r>
            <w:r>
              <w:rPr>
                <w:rFonts w:hint="eastAsia"/>
              </w:rPr>
              <w:t>5lx</w:t>
            </w:r>
            <w:r>
              <w:rPr>
                <w:rFonts w:hint="eastAsia"/>
              </w:rPr>
              <w:t>（维持值</w:t>
            </w:r>
            <w:r>
              <w:rPr>
                <w:rFonts w:hint="eastAsia"/>
              </w:rPr>
              <w:t>)</w:t>
            </w:r>
            <w:r>
              <w:rPr>
                <w:rFonts w:hint="eastAsia"/>
              </w:rPr>
              <w:t>。人行地下通道均照度</w:t>
            </w:r>
            <w:r>
              <w:rPr>
                <w:rFonts w:hint="eastAsia"/>
              </w:rPr>
              <w:t>10OIx</w:t>
            </w:r>
            <w:r>
              <w:rPr>
                <w:rFonts w:hint="eastAsia"/>
              </w:rPr>
              <w:t>。道路照明配电线路末端电压损失小于额定电压的</w:t>
            </w:r>
            <w:r>
              <w:rPr>
                <w:rFonts w:hint="eastAsia"/>
              </w:rPr>
              <w:t>10%</w:t>
            </w:r>
            <w:r>
              <w:rPr>
                <w:rFonts w:hint="eastAsia"/>
              </w:rPr>
              <w:t>。照明采用普通双臂路灯，路灯在道略两侧侧绿化带内装设。标准段照明</w:t>
            </w:r>
            <w:r>
              <w:rPr>
                <w:rFonts w:hint="eastAsia"/>
              </w:rPr>
              <w:lastRenderedPageBreak/>
              <w:t>光源功率为</w:t>
            </w:r>
            <w:r>
              <w:rPr>
                <w:rFonts w:hint="eastAsia"/>
              </w:rPr>
              <w:t>150W+90W</w:t>
            </w:r>
            <w:r>
              <w:rPr>
                <w:rFonts w:hint="eastAsia"/>
              </w:rPr>
              <w:t>，机动车道展宽段光源功率为</w:t>
            </w:r>
            <w:r>
              <w:rPr>
                <w:rFonts w:hint="eastAsia"/>
              </w:rPr>
              <w:t>180W+90W</w:t>
            </w:r>
            <w:r>
              <w:rPr>
                <w:rFonts w:hint="eastAsia"/>
              </w:rPr>
              <w:t>，灯具为</w:t>
            </w:r>
            <w:r>
              <w:rPr>
                <w:rFonts w:hint="eastAsia"/>
              </w:rPr>
              <w:t>LED</w:t>
            </w:r>
            <w:r>
              <w:rPr>
                <w:rFonts w:hint="eastAsia"/>
              </w:rPr>
              <w:t>灯，灯杆安装高度</w:t>
            </w:r>
            <w:r>
              <w:rPr>
                <w:rFonts w:hint="eastAsia"/>
              </w:rPr>
              <w:t>12m+9m</w:t>
            </w:r>
            <w:r>
              <w:rPr>
                <w:rFonts w:hint="eastAsia"/>
              </w:rPr>
              <w:t>，</w:t>
            </w:r>
            <w:r>
              <w:rPr>
                <w:rFonts w:hint="eastAsia"/>
              </w:rPr>
              <w:t>臂长</w:t>
            </w:r>
            <w:r>
              <w:rPr>
                <w:rFonts w:hint="eastAsia"/>
              </w:rPr>
              <w:t>2.0m+1.5m</w:t>
            </w:r>
            <w:r>
              <w:rPr>
                <w:rFonts w:hint="eastAsia"/>
              </w:rPr>
              <w:t>。直线段照明灯杆间距为</w:t>
            </w:r>
            <w:r>
              <w:rPr>
                <w:rFonts w:hint="eastAsia"/>
              </w:rPr>
              <w:t>30m</w:t>
            </w:r>
            <w:r>
              <w:rPr>
                <w:rFonts w:hint="eastAsia"/>
              </w:rPr>
              <w:t>左右，曲线段适当缩小灯杆间距至</w:t>
            </w:r>
            <w:r>
              <w:rPr>
                <w:rFonts w:hint="eastAsia"/>
              </w:rPr>
              <w:t>25m</w:t>
            </w:r>
            <w:r>
              <w:rPr>
                <w:rFonts w:hint="eastAsia"/>
              </w:rPr>
              <w:t>左右。</w:t>
            </w:r>
          </w:p>
          <w:p w:rsidR="00BC07F0" w:rsidRDefault="00073EFB" w:rsidP="00C55F5E">
            <w:pPr>
              <w:ind w:firstLine="480"/>
            </w:pPr>
            <w:r>
              <w:rPr>
                <w:rFonts w:hint="eastAsia"/>
              </w:rPr>
              <w:t>采用</w:t>
            </w:r>
            <w:r>
              <w:rPr>
                <w:rFonts w:hint="eastAsia"/>
              </w:rPr>
              <w:t>10kV</w:t>
            </w:r>
            <w:r>
              <w:rPr>
                <w:rFonts w:hint="eastAsia"/>
              </w:rPr>
              <w:t>路灯专用电源环网供电及</w:t>
            </w:r>
            <w:r>
              <w:rPr>
                <w:rFonts w:hint="eastAsia"/>
              </w:rPr>
              <w:t>0.38kV</w:t>
            </w:r>
            <w:r>
              <w:rPr>
                <w:rFonts w:hint="eastAsia"/>
              </w:rPr>
              <w:t>配电，设置专用略灯箱变。为确保沿线照明供电可靠性，控制方式由路灯高压统一投切。</w:t>
            </w:r>
            <w:r>
              <w:rPr>
                <w:rFonts w:hint="eastAsia"/>
              </w:rPr>
              <w:t>10kV</w:t>
            </w:r>
            <w:r>
              <w:rPr>
                <w:rFonts w:hint="eastAsia"/>
              </w:rPr>
              <w:t>路灯高压外线工程由建设单位单独向供电部门申报。设计范围内沿线道路及各交叉路口照明设置</w:t>
            </w:r>
            <w:r>
              <w:rPr>
                <w:rFonts w:hint="eastAsia"/>
              </w:rPr>
              <w:t>2</w:t>
            </w:r>
            <w:r>
              <w:rPr>
                <w:rFonts w:hint="eastAsia"/>
              </w:rPr>
              <w:t>台</w:t>
            </w:r>
            <w:r>
              <w:rPr>
                <w:rFonts w:hint="eastAsia"/>
              </w:rPr>
              <w:t>160kVA</w:t>
            </w:r>
            <w:r>
              <w:rPr>
                <w:rFonts w:hint="eastAsia"/>
              </w:rPr>
              <w:t>箱式变电站。其中</w:t>
            </w:r>
            <w:r>
              <w:rPr>
                <w:rFonts w:hint="eastAsia"/>
              </w:rPr>
              <w:t>1#</w:t>
            </w:r>
            <w:r>
              <w:rPr>
                <w:rFonts w:hint="eastAsia"/>
              </w:rPr>
              <w:t>箱变照明负荷</w:t>
            </w:r>
            <w:r>
              <w:rPr>
                <w:rFonts w:hint="eastAsia"/>
              </w:rPr>
              <w:t>34KW</w:t>
            </w:r>
            <w:r>
              <w:rPr>
                <w:rFonts w:hint="eastAsia"/>
              </w:rPr>
              <w:t>，预留交通负荷</w:t>
            </w:r>
            <w:r>
              <w:rPr>
                <w:rFonts w:hint="eastAsia"/>
              </w:rPr>
              <w:t>10KW</w:t>
            </w:r>
            <w:r>
              <w:rPr>
                <w:rFonts w:hint="eastAsia"/>
              </w:rPr>
              <w:t>，其他负荷</w:t>
            </w:r>
            <w:r>
              <w:rPr>
                <w:rFonts w:hint="eastAsia"/>
              </w:rPr>
              <w:t>10KW</w:t>
            </w:r>
            <w:r>
              <w:rPr>
                <w:rFonts w:hint="eastAsia"/>
              </w:rPr>
              <w:t>，箱变负载率为</w:t>
            </w:r>
            <w:r>
              <w:rPr>
                <w:rFonts w:hint="eastAsia"/>
              </w:rPr>
              <w:t>39.7%;1#</w:t>
            </w:r>
            <w:r>
              <w:rPr>
                <w:rFonts w:hint="eastAsia"/>
              </w:rPr>
              <w:t>箱变照明负荷</w:t>
            </w:r>
            <w:r>
              <w:rPr>
                <w:rFonts w:hint="eastAsia"/>
              </w:rPr>
              <w:t>37.3KW</w:t>
            </w:r>
            <w:r>
              <w:rPr>
                <w:rFonts w:hint="eastAsia"/>
              </w:rPr>
              <w:t>，预留交通负荷</w:t>
            </w:r>
            <w:r>
              <w:rPr>
                <w:rFonts w:hint="eastAsia"/>
              </w:rPr>
              <w:t>10KW</w:t>
            </w:r>
            <w:r>
              <w:rPr>
                <w:rFonts w:hint="eastAsia"/>
              </w:rPr>
              <w:t>，其他负荷</w:t>
            </w:r>
            <w:r>
              <w:rPr>
                <w:rFonts w:hint="eastAsia"/>
              </w:rPr>
              <w:t>10KW</w:t>
            </w:r>
            <w:r>
              <w:rPr>
                <w:rFonts w:hint="eastAsia"/>
              </w:rPr>
              <w:t>，箱变负载率</w:t>
            </w:r>
            <w:r>
              <w:rPr>
                <w:rFonts w:hint="eastAsia"/>
              </w:rPr>
              <w:t>为</w:t>
            </w:r>
            <w:r>
              <w:rPr>
                <w:rFonts w:hint="eastAsia"/>
              </w:rPr>
              <w:t>42.1%</w:t>
            </w:r>
            <w:r>
              <w:rPr>
                <w:rFonts w:hint="eastAsia"/>
              </w:rPr>
              <w:t>。路灯箱变容量除满足本工程范围内功能照明的需要外，尚考虑与相关衔接地面道路预留部分接入容量。路灯箱变应采用露天安装方式，要求其配置温显及肪凝露装置。根据衡阳市路灯管理所要求，本次设计采用设置长</w:t>
            </w:r>
            <w:r>
              <w:rPr>
                <w:rFonts w:hint="eastAsia"/>
              </w:rPr>
              <w:t>/</w:t>
            </w:r>
            <w:r>
              <w:rPr>
                <w:rFonts w:hint="eastAsia"/>
              </w:rPr>
              <w:t>半夜灯的方式节约电能。长</w:t>
            </w:r>
            <w:r>
              <w:rPr>
                <w:rFonts w:hint="eastAsia"/>
              </w:rPr>
              <w:t>/</w:t>
            </w:r>
            <w:r>
              <w:rPr>
                <w:rFonts w:hint="eastAsia"/>
              </w:rPr>
              <w:t>半夜灯采用时钟控制方式，根据预先设定的时间，自动开</w:t>
            </w:r>
            <w:r>
              <w:rPr>
                <w:rFonts w:hint="eastAsia"/>
              </w:rPr>
              <w:t>/</w:t>
            </w:r>
            <w:r>
              <w:rPr>
                <w:rFonts w:hint="eastAsia"/>
              </w:rPr>
              <w:t>合路灯回路，同时设置</w:t>
            </w:r>
            <w:r>
              <w:rPr>
                <w:rFonts w:hint="eastAsia"/>
              </w:rPr>
              <w:t>"</w:t>
            </w:r>
            <w:r>
              <w:rPr>
                <w:rFonts w:hint="eastAsia"/>
              </w:rPr>
              <w:t>三遥</w:t>
            </w:r>
            <w:r>
              <w:rPr>
                <w:rFonts w:hint="eastAsia"/>
              </w:rPr>
              <w:t>"</w:t>
            </w:r>
            <w:r>
              <w:rPr>
                <w:rFonts w:hint="eastAsia"/>
              </w:rPr>
              <w:t>接口，路灯管理部门可对照明路灯进行有选择性的半夜控制。</w:t>
            </w:r>
          </w:p>
          <w:p w:rsidR="00BC07F0" w:rsidRDefault="00073EFB">
            <w:pPr>
              <w:pStyle w:val="a7"/>
              <w:rPr>
                <w:rFonts w:hint="default"/>
                <w:b/>
                <w:bCs/>
              </w:rPr>
            </w:pPr>
            <w:r>
              <w:rPr>
                <w:b/>
                <w:bCs/>
              </w:rPr>
              <w:t>表</w:t>
            </w:r>
            <w:r>
              <w:rPr>
                <w:b/>
                <w:bCs/>
              </w:rPr>
              <w:t>2.3-1</w:t>
            </w:r>
            <w:r>
              <w:rPr>
                <w:b/>
                <w:bCs/>
              </w:rPr>
              <w:t>照明主要设备材料表</w:t>
            </w:r>
          </w:p>
          <w:p w:rsidR="00BC07F0" w:rsidRDefault="00073EFB" w:rsidP="00C55F5E">
            <w:pPr>
              <w:ind w:firstLine="480"/>
              <w:jc w:val="center"/>
              <w:rPr>
                <w:b/>
                <w:bCs/>
              </w:rPr>
            </w:pPr>
            <w:r>
              <w:rPr>
                <w:noProof/>
              </w:rPr>
              <w:lastRenderedPageBreak/>
              <w:drawing>
                <wp:inline distT="0" distB="0" distL="114300" distR="114300">
                  <wp:extent cx="3931920" cy="4802505"/>
                  <wp:effectExtent l="0" t="0" r="11430" b="171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cstate="print"/>
                          <a:stretch>
                            <a:fillRect/>
                          </a:stretch>
                        </pic:blipFill>
                        <pic:spPr>
                          <a:xfrm>
                            <a:off x="0" y="0"/>
                            <a:ext cx="3931920" cy="4802505"/>
                          </a:xfrm>
                          <a:prstGeom prst="rect">
                            <a:avLst/>
                          </a:prstGeom>
                          <a:noFill/>
                          <a:ln>
                            <a:noFill/>
                          </a:ln>
                        </pic:spPr>
                      </pic:pic>
                    </a:graphicData>
                  </a:graphic>
                </wp:inline>
              </w:drawing>
            </w:r>
          </w:p>
          <w:p w:rsidR="00BC07F0" w:rsidRDefault="00073EFB" w:rsidP="00C55F5E">
            <w:pPr>
              <w:ind w:firstLine="482"/>
            </w:pPr>
            <w:r>
              <w:rPr>
                <w:rFonts w:hint="eastAsia"/>
                <w:b/>
                <w:bCs/>
              </w:rPr>
              <w:t>2.3.1.3</w:t>
            </w:r>
            <w:r>
              <w:rPr>
                <w:rFonts w:hint="eastAsia"/>
                <w:b/>
                <w:bCs/>
              </w:rPr>
              <w:t>景观照明</w:t>
            </w:r>
          </w:p>
          <w:p w:rsidR="00BC07F0" w:rsidRDefault="00073EFB" w:rsidP="00C55F5E">
            <w:pPr>
              <w:ind w:firstLine="480"/>
            </w:pPr>
            <w:r>
              <w:rPr>
                <w:rFonts w:hint="eastAsia"/>
              </w:rPr>
              <w:t>景观照明安装庭院灯、草坪灯、特色灯、水下灯、照射灯、亭架壁灯、景观灯等，灯具主要起道</w:t>
            </w:r>
            <w:r>
              <w:rPr>
                <w:rFonts w:hint="eastAsia"/>
              </w:rPr>
              <w:t>路照明和节点装饰作用，各灯具具体使用功能详见照明系统表述</w:t>
            </w:r>
            <w:r>
              <w:rPr>
                <w:rFonts w:hint="eastAsia"/>
              </w:rPr>
              <w:t>;</w:t>
            </w:r>
            <w:r>
              <w:rPr>
                <w:rFonts w:hint="eastAsia"/>
              </w:rPr>
              <w:t>所有接头进行防潮处理后加热缩套管密封封装，所有室外照明灯具全部为防水型，灯具布设于距人行道边</w:t>
            </w:r>
            <w:r>
              <w:rPr>
                <w:rFonts w:hint="eastAsia"/>
              </w:rPr>
              <w:t>(</w:t>
            </w:r>
            <w:r>
              <w:rPr>
                <w:rFonts w:hint="eastAsia"/>
              </w:rPr>
              <w:t>或隐形消防通道边</w:t>
            </w:r>
            <w:r>
              <w:rPr>
                <w:rFonts w:hint="eastAsia"/>
              </w:rPr>
              <w:t>)</w:t>
            </w:r>
            <w:r>
              <w:rPr>
                <w:rFonts w:hint="eastAsia"/>
              </w:rPr>
              <w:t>约</w:t>
            </w:r>
            <w:r>
              <w:rPr>
                <w:rFonts w:hint="eastAsia"/>
              </w:rPr>
              <w:t>0.5</w:t>
            </w:r>
            <w:r>
              <w:rPr>
                <w:rFonts w:hint="eastAsia"/>
              </w:rPr>
              <w:t>米处。室外照明灯具外壳防护等级应不低于</w:t>
            </w:r>
            <w:r>
              <w:rPr>
                <w:rFonts w:hint="eastAsia"/>
              </w:rPr>
              <w:t>IP65</w:t>
            </w:r>
            <w:r>
              <w:rPr>
                <w:rFonts w:hint="eastAsia"/>
              </w:rPr>
              <w:t>，室外埋地灯具外壳防护等级应不低升</w:t>
            </w:r>
            <w:r>
              <w:rPr>
                <w:rFonts w:hint="eastAsia"/>
              </w:rPr>
              <w:t>P67</w:t>
            </w:r>
            <w:r>
              <w:rPr>
                <w:rFonts w:hint="eastAsia"/>
              </w:rPr>
              <w:t>，水下安装的灯具外壳防护等级应不低于</w:t>
            </w:r>
            <w:r>
              <w:rPr>
                <w:rFonts w:hint="eastAsia"/>
              </w:rPr>
              <w:t>P68</w:t>
            </w:r>
            <w:r>
              <w:rPr>
                <w:rFonts w:hint="eastAsia"/>
              </w:rPr>
              <w:t>，所有灯具均自带补偿器，要求补偿后灯具功率因素不低于</w:t>
            </w:r>
            <w:r>
              <w:rPr>
                <w:rFonts w:hint="eastAsia"/>
              </w:rPr>
              <w:t>0.9</w:t>
            </w:r>
            <w:r>
              <w:rPr>
                <w:rFonts w:hint="eastAsia"/>
              </w:rPr>
              <w:t>。所有水下灯灯具均采用</w:t>
            </w:r>
            <w:r>
              <w:rPr>
                <w:rFonts w:hint="eastAsia"/>
              </w:rPr>
              <w:t>12V</w:t>
            </w:r>
            <w:r>
              <w:rPr>
                <w:rFonts w:hint="eastAsia"/>
              </w:rPr>
              <w:t>安全电压供电，安装采用·</w:t>
            </w:r>
            <w:r>
              <w:rPr>
                <w:rFonts w:hint="eastAsia"/>
              </w:rPr>
              <w:t>ABS</w:t>
            </w:r>
            <w:r>
              <w:rPr>
                <w:rFonts w:hint="eastAsia"/>
              </w:rPr>
              <w:t>防水接线三通</w:t>
            </w:r>
            <w:r>
              <w:rPr>
                <w:rFonts w:hint="eastAsia"/>
              </w:rPr>
              <w:t>w</w:t>
            </w:r>
            <w:r>
              <w:rPr>
                <w:rFonts w:hint="eastAsia"/>
              </w:rPr>
              <w:t>加硅酸玻璃胶密封防水处理·防水接线。室外照明灯具为防止漏电引起人员触电等安全</w:t>
            </w:r>
            <w:r>
              <w:rPr>
                <w:rFonts w:hint="eastAsia"/>
              </w:rPr>
              <w:t>事故，室外照明的供电回路应设置漏电开关保护，漏电动作电流应整定为</w:t>
            </w:r>
            <w:r>
              <w:rPr>
                <w:rFonts w:hint="eastAsia"/>
              </w:rPr>
              <w:t>30mA</w:t>
            </w:r>
            <w:r>
              <w:rPr>
                <w:rFonts w:hint="eastAsia"/>
              </w:rPr>
              <w:t>。车道照明的电源接驳点由地下室公共照明回路引来控制。</w:t>
            </w:r>
          </w:p>
          <w:p w:rsidR="00BC07F0" w:rsidRDefault="00073EFB" w:rsidP="00C55F5E">
            <w:pPr>
              <w:ind w:firstLine="482"/>
            </w:pPr>
            <w:r>
              <w:rPr>
                <w:rFonts w:hint="eastAsia"/>
                <w:b/>
                <w:bCs/>
              </w:rPr>
              <w:t>2.3.1.3</w:t>
            </w:r>
            <w:r>
              <w:rPr>
                <w:rFonts w:hint="eastAsia"/>
                <w:b/>
                <w:bCs/>
              </w:rPr>
              <w:t>园林景观</w:t>
            </w:r>
          </w:p>
          <w:p w:rsidR="00BC07F0" w:rsidRDefault="00073EFB" w:rsidP="00C55F5E">
            <w:pPr>
              <w:ind w:firstLine="480"/>
            </w:pPr>
            <w:r>
              <w:rPr>
                <w:rFonts w:hint="eastAsia"/>
              </w:rPr>
              <w:t>园林景观结构主要包括水池、挡墙、花架、围墙、栈道、景墙、小假山、亭廊、旗</w:t>
            </w:r>
            <w:r>
              <w:rPr>
                <w:rFonts w:hint="eastAsia"/>
              </w:rPr>
              <w:lastRenderedPageBreak/>
              <w:t>杆基础等。</w:t>
            </w:r>
          </w:p>
          <w:p w:rsidR="00BC07F0" w:rsidRDefault="00073EFB" w:rsidP="00C55F5E">
            <w:pPr>
              <w:ind w:firstLine="482"/>
            </w:pPr>
            <w:r>
              <w:rPr>
                <w:rFonts w:hint="eastAsia"/>
                <w:b/>
                <w:bCs/>
              </w:rPr>
              <w:t>2.3.1.4</w:t>
            </w:r>
            <w:r>
              <w:rPr>
                <w:rFonts w:hint="eastAsia"/>
                <w:b/>
                <w:bCs/>
              </w:rPr>
              <w:t>给排水</w:t>
            </w:r>
          </w:p>
          <w:p w:rsidR="00BC07F0" w:rsidRDefault="00073EFB" w:rsidP="00C55F5E">
            <w:pPr>
              <w:ind w:firstLine="480"/>
            </w:pPr>
            <w:r>
              <w:rPr>
                <w:rFonts w:hint="eastAsia"/>
              </w:rPr>
              <w:t>给排水主要是室外园林景观工程，用地红线范围内的室外景观绿化浇灌﹐行车道路、园路、绿地的地面排水管道系统。</w:t>
            </w:r>
          </w:p>
          <w:p w:rsidR="00BC07F0" w:rsidRDefault="00073EFB" w:rsidP="00C55F5E">
            <w:pPr>
              <w:ind w:firstLine="480"/>
            </w:pPr>
            <w:r>
              <w:rPr>
                <w:rFonts w:hint="eastAsia"/>
              </w:rPr>
              <w:t>给水：</w:t>
            </w:r>
            <w:r>
              <w:rPr>
                <w:rFonts w:hint="eastAsia"/>
              </w:rPr>
              <w:t>景观用水由市政给水管网直接供给。园区内设计从市政给水干管引入四根</w:t>
            </w:r>
            <w:r>
              <w:rPr>
                <w:rFonts w:hint="eastAsia"/>
              </w:rPr>
              <w:t>DN100</w:t>
            </w:r>
            <w:r>
              <w:rPr>
                <w:rFonts w:hint="eastAsia"/>
              </w:rPr>
              <w:t>给水主管供地面所有绿化种植浇灌用水。绿化浇灌采用人工拉皮管浇水方式，取水口安装位置详见本次设计给水总平面图中标示，每个取水口设计浇灌半径为</w:t>
            </w:r>
            <w:r>
              <w:rPr>
                <w:rFonts w:hint="eastAsia"/>
              </w:rPr>
              <w:t>20~25m</w:t>
            </w:r>
            <w:r>
              <w:rPr>
                <w:rFonts w:hint="eastAsia"/>
              </w:rPr>
              <w:t>，景观日用水量按</w:t>
            </w:r>
            <w:r>
              <w:rPr>
                <w:rFonts w:hint="eastAsia"/>
              </w:rPr>
              <w:t>2L/m</w:t>
            </w:r>
            <w:r>
              <w:rPr>
                <w:rFonts w:hint="eastAsia"/>
              </w:rPr>
              <w:t>计。</w:t>
            </w:r>
          </w:p>
          <w:p w:rsidR="00BC07F0" w:rsidRDefault="00073EFB" w:rsidP="00C55F5E">
            <w:pPr>
              <w:ind w:firstLine="480"/>
            </w:pPr>
            <w:r>
              <w:rPr>
                <w:rFonts w:hint="eastAsia"/>
              </w:rPr>
              <w:t>排水：</w:t>
            </w:r>
            <w:r>
              <w:rPr>
                <w:rFonts w:hint="eastAsia"/>
              </w:rPr>
              <w:t>园区内地面雨水由雨水口、雨水沟收集，重力自排入雨水检查井。</w:t>
            </w:r>
          </w:p>
          <w:p w:rsidR="00BC07F0" w:rsidRDefault="00073EFB" w:rsidP="00C55F5E">
            <w:pPr>
              <w:ind w:firstLine="480"/>
            </w:pPr>
            <w:r>
              <w:rPr>
                <w:rFonts w:hint="eastAsia"/>
              </w:rPr>
              <w:t>管道材料：给水管采用</w:t>
            </w:r>
            <w:r>
              <w:rPr>
                <w:rFonts w:hint="eastAsia"/>
              </w:rPr>
              <w:t>PE</w:t>
            </w:r>
            <w:r>
              <w:rPr>
                <w:rFonts w:hint="eastAsia"/>
              </w:rPr>
              <w:t>给水管，工作压力为</w:t>
            </w:r>
            <w:r>
              <w:rPr>
                <w:rFonts w:hint="eastAsia"/>
              </w:rPr>
              <w:t>1.OMPa</w:t>
            </w:r>
            <w:r>
              <w:rPr>
                <w:rFonts w:hint="eastAsia"/>
              </w:rPr>
              <w:t>，电热熔连接或按照产品要求的连接方式</w:t>
            </w:r>
            <w:r>
              <w:rPr>
                <w:rFonts w:hint="eastAsia"/>
              </w:rPr>
              <w:t>6.3.2</w:t>
            </w:r>
            <w:r>
              <w:rPr>
                <w:rFonts w:hint="eastAsia"/>
              </w:rPr>
              <w:t>雨水管</w:t>
            </w:r>
            <w:r>
              <w:rPr>
                <w:rFonts w:hint="eastAsia"/>
              </w:rPr>
              <w:t>&lt;</w:t>
            </w:r>
            <w:r>
              <w:rPr>
                <w:rFonts w:hint="eastAsia"/>
              </w:rPr>
              <w:t>DN200</w:t>
            </w:r>
            <w:r>
              <w:rPr>
                <w:rFonts w:hint="eastAsia"/>
              </w:rPr>
              <w:t>时采用</w:t>
            </w:r>
            <w:r>
              <w:rPr>
                <w:rFonts w:hint="eastAsia"/>
              </w:rPr>
              <w:t>UPVC</w:t>
            </w:r>
            <w:r>
              <w:rPr>
                <w:rFonts w:hint="eastAsia"/>
              </w:rPr>
              <w:t>排水管﹐其余采剧</w:t>
            </w:r>
            <w:r>
              <w:rPr>
                <w:rFonts w:hint="eastAsia"/>
              </w:rPr>
              <w:t>HDPE</w:t>
            </w:r>
            <w:r>
              <w:rPr>
                <w:rFonts w:hint="eastAsia"/>
              </w:rPr>
              <w:t>双壁波纹管</w:t>
            </w:r>
            <w:r>
              <w:rPr>
                <w:rFonts w:hint="eastAsia"/>
              </w:rPr>
              <w:t>;UPVC</w:t>
            </w:r>
            <w:r>
              <w:rPr>
                <w:rFonts w:hint="eastAsia"/>
              </w:rPr>
              <w:t>排水管采用承插粘接，</w:t>
            </w:r>
            <w:r>
              <w:rPr>
                <w:rFonts w:hint="eastAsia"/>
              </w:rPr>
              <w:t>HDPE</w:t>
            </w:r>
            <w:r>
              <w:rPr>
                <w:rFonts w:hint="eastAsia"/>
              </w:rPr>
              <w:t>双壁波纹管采用插口橡胶圈密封连接。</w:t>
            </w:r>
            <w:r>
              <w:rPr>
                <w:rFonts w:hint="eastAsia"/>
              </w:rPr>
              <w:t>HDPE</w:t>
            </w:r>
            <w:r>
              <w:rPr>
                <w:rFonts w:hint="eastAsia"/>
              </w:rPr>
              <w:t>双壁波纹管材在车行道下的环刚度≥</w:t>
            </w:r>
            <w:r>
              <w:rPr>
                <w:rFonts w:hint="eastAsia"/>
              </w:rPr>
              <w:t>8.0KN/m2</w:t>
            </w:r>
            <w:r>
              <w:rPr>
                <w:rFonts w:hint="eastAsia"/>
              </w:rPr>
              <w:t>，非车行道下的环刚度≥</w:t>
            </w:r>
            <w:r>
              <w:rPr>
                <w:rFonts w:hint="eastAsia"/>
              </w:rPr>
              <w:t>4.0KN/m</w:t>
            </w:r>
            <w:r>
              <w:rPr>
                <w:rFonts w:hint="eastAsia"/>
                <w:vertAlign w:val="superscript"/>
              </w:rPr>
              <w:t>2</w:t>
            </w:r>
            <w:r>
              <w:rPr>
                <w:rFonts w:hint="eastAsia"/>
              </w:rPr>
              <w:t>。</w:t>
            </w:r>
          </w:p>
          <w:p w:rsidR="00BC07F0" w:rsidRDefault="00073EFB" w:rsidP="00C55F5E">
            <w:pPr>
              <w:ind w:firstLine="480"/>
            </w:pPr>
            <w:r>
              <w:rPr>
                <w:rFonts w:hint="eastAsia"/>
              </w:rPr>
              <w:t>给排水阀门及构筑物：景观给水阀门≤</w:t>
            </w:r>
            <w:r>
              <w:rPr>
                <w:rFonts w:hint="eastAsia"/>
              </w:rPr>
              <w:t>DN50</w:t>
            </w:r>
            <w:r>
              <w:rPr>
                <w:rFonts w:hint="eastAsia"/>
              </w:rPr>
              <w:t>采用截止阀，阀门</w:t>
            </w:r>
            <w:r>
              <w:rPr>
                <w:rFonts w:hint="eastAsia"/>
              </w:rPr>
              <w:t>&gt;DN50</w:t>
            </w:r>
            <w:r>
              <w:rPr>
                <w:rFonts w:hint="eastAsia"/>
              </w:rPr>
              <w:t>采用闸阀</w:t>
            </w:r>
            <w:r>
              <w:rPr>
                <w:rFonts w:hint="eastAsia"/>
              </w:rPr>
              <w:t>;</w:t>
            </w:r>
            <w:r>
              <w:rPr>
                <w:rFonts w:hint="eastAsia"/>
              </w:rPr>
              <w:t>水景给水循环管道阀门均采用闸阀。所有阀门均采用全铜质阀门，工作压力为</w:t>
            </w:r>
            <w:r>
              <w:rPr>
                <w:rFonts w:hint="eastAsia"/>
              </w:rPr>
              <w:t>1.6MPa</w:t>
            </w:r>
            <w:r>
              <w:rPr>
                <w:rFonts w:hint="eastAsia"/>
              </w:rPr>
              <w:t>。安装空间小的场所，宜采用蝶阀、球阀。行车道雨水蓖子采用重型铸铁雨水蓖子，园路及绿地雨水口采用复合材料雨水蓖子。</w:t>
            </w:r>
          </w:p>
          <w:p w:rsidR="00BC07F0" w:rsidRDefault="00073EFB">
            <w:pPr>
              <w:pStyle w:val="a7"/>
              <w:rPr>
                <w:rFonts w:hint="default"/>
                <w:b/>
                <w:bCs/>
              </w:rPr>
            </w:pPr>
            <w:r>
              <w:rPr>
                <w:b/>
                <w:bCs/>
              </w:rPr>
              <w:t>表</w:t>
            </w:r>
            <w:r>
              <w:rPr>
                <w:b/>
                <w:bCs/>
              </w:rPr>
              <w:t>2.3-2</w:t>
            </w:r>
            <w:r>
              <w:rPr>
                <w:b/>
                <w:bCs/>
              </w:rPr>
              <w:t>给水管径对照表</w:t>
            </w:r>
          </w:p>
          <w:p w:rsidR="00BC07F0" w:rsidRDefault="00073EFB">
            <w:pPr>
              <w:pStyle w:val="a7"/>
              <w:rPr>
                <w:rFonts w:hint="default"/>
              </w:rPr>
            </w:pPr>
            <w:r>
              <w:rPr>
                <w:noProof/>
              </w:rPr>
              <w:drawing>
                <wp:inline distT="0" distB="0" distL="114300" distR="114300">
                  <wp:extent cx="5059680" cy="1014730"/>
                  <wp:effectExtent l="0" t="0" r="7620" b="139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8" cstate="print"/>
                          <a:stretch>
                            <a:fillRect/>
                          </a:stretch>
                        </pic:blipFill>
                        <pic:spPr>
                          <a:xfrm>
                            <a:off x="0" y="0"/>
                            <a:ext cx="5059680" cy="1014730"/>
                          </a:xfrm>
                          <a:prstGeom prst="rect">
                            <a:avLst/>
                          </a:prstGeom>
                          <a:noFill/>
                          <a:ln>
                            <a:noFill/>
                          </a:ln>
                        </pic:spPr>
                      </pic:pic>
                    </a:graphicData>
                  </a:graphic>
                </wp:inline>
              </w:drawing>
            </w:r>
          </w:p>
          <w:p w:rsidR="00BC07F0" w:rsidRDefault="00073EFB">
            <w:pPr>
              <w:pStyle w:val="a7"/>
              <w:rPr>
                <w:rFonts w:hint="default"/>
                <w:b/>
                <w:bCs/>
              </w:rPr>
            </w:pPr>
            <w:r>
              <w:rPr>
                <w:b/>
                <w:bCs/>
              </w:rPr>
              <w:t>表</w:t>
            </w:r>
            <w:r>
              <w:rPr>
                <w:b/>
                <w:bCs/>
              </w:rPr>
              <w:t>2.3-3</w:t>
            </w:r>
            <w:r>
              <w:rPr>
                <w:b/>
                <w:bCs/>
              </w:rPr>
              <w:t>排水管径对照表</w:t>
            </w:r>
          </w:p>
          <w:p w:rsidR="00BC07F0" w:rsidRDefault="00073EFB">
            <w:pPr>
              <w:pStyle w:val="a7"/>
              <w:rPr>
                <w:rFonts w:hint="default"/>
              </w:rPr>
            </w:pPr>
            <w:r>
              <w:rPr>
                <w:noProof/>
              </w:rPr>
              <w:drawing>
                <wp:inline distT="0" distB="0" distL="114300" distR="114300">
                  <wp:extent cx="5015865" cy="829310"/>
                  <wp:effectExtent l="0" t="0" r="13335" b="889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9" cstate="print"/>
                          <a:stretch>
                            <a:fillRect/>
                          </a:stretch>
                        </pic:blipFill>
                        <pic:spPr>
                          <a:xfrm>
                            <a:off x="0" y="0"/>
                            <a:ext cx="5015865" cy="829310"/>
                          </a:xfrm>
                          <a:prstGeom prst="rect">
                            <a:avLst/>
                          </a:prstGeom>
                          <a:noFill/>
                          <a:ln>
                            <a:noFill/>
                          </a:ln>
                        </pic:spPr>
                      </pic:pic>
                    </a:graphicData>
                  </a:graphic>
                </wp:inline>
              </w:drawing>
            </w:r>
          </w:p>
          <w:p w:rsidR="00BC07F0" w:rsidRDefault="00073EFB" w:rsidP="00C55F5E">
            <w:pPr>
              <w:ind w:firstLine="482"/>
              <w:rPr>
                <w:b/>
                <w:bCs/>
              </w:rPr>
            </w:pPr>
            <w:r>
              <w:rPr>
                <w:rFonts w:hint="eastAsia"/>
                <w:b/>
                <w:bCs/>
              </w:rPr>
              <w:t>2.3.2</w:t>
            </w:r>
            <w:r>
              <w:rPr>
                <w:rFonts w:hint="eastAsia"/>
                <w:b/>
                <w:bCs/>
              </w:rPr>
              <w:t>湘江南路（白沙大道——前进路）</w:t>
            </w:r>
          </w:p>
          <w:p w:rsidR="00BC07F0" w:rsidRDefault="00073EFB" w:rsidP="00C55F5E">
            <w:pPr>
              <w:ind w:firstLine="482"/>
              <w:rPr>
                <w:b/>
                <w:bCs/>
              </w:rPr>
            </w:pPr>
            <w:r>
              <w:rPr>
                <w:rFonts w:hint="eastAsia"/>
                <w:b/>
                <w:bCs/>
              </w:rPr>
              <w:t>2.3.2.1</w:t>
            </w:r>
            <w:r>
              <w:rPr>
                <w:rFonts w:hint="eastAsia"/>
                <w:b/>
                <w:bCs/>
              </w:rPr>
              <w:t>建设内容</w:t>
            </w:r>
          </w:p>
          <w:p w:rsidR="00BC07F0" w:rsidRDefault="00073EFB" w:rsidP="00C55F5E">
            <w:pPr>
              <w:ind w:firstLine="480"/>
            </w:pPr>
            <w:r>
              <w:rPr>
                <w:rFonts w:hint="eastAsia"/>
              </w:rPr>
              <w:t>路西起白沙大道，与现状湘江路相接，向南与前进路相接。规划道路等级为城市次干路，设计速度</w:t>
            </w:r>
            <w:r>
              <w:rPr>
                <w:rFonts w:hint="eastAsia"/>
              </w:rPr>
              <w:t>50km/h</w:t>
            </w:r>
            <w:r>
              <w:rPr>
                <w:rFonts w:hint="eastAsia"/>
              </w:rPr>
              <w:t>，双向</w:t>
            </w:r>
            <w:r>
              <w:rPr>
                <w:rFonts w:hint="eastAsia"/>
              </w:rPr>
              <w:t>6</w:t>
            </w:r>
            <w:r>
              <w:rPr>
                <w:rFonts w:hint="eastAsia"/>
              </w:rPr>
              <w:t>车道，红线宽度</w:t>
            </w:r>
            <w:r>
              <w:rPr>
                <w:rFonts w:hint="eastAsia"/>
              </w:rPr>
              <w:t>40m</w:t>
            </w:r>
            <w:r>
              <w:rPr>
                <w:rFonts w:hint="eastAsia"/>
              </w:rPr>
              <w:t>，长度</w:t>
            </w:r>
            <w:r>
              <w:rPr>
                <w:rFonts w:hint="eastAsia"/>
              </w:rPr>
              <w:t>2.887km</w:t>
            </w:r>
            <w:r>
              <w:rPr>
                <w:rFonts w:hint="eastAsia"/>
              </w:rPr>
              <w:t>。工程主要</w:t>
            </w:r>
            <w:r>
              <w:rPr>
                <w:rFonts w:hint="eastAsia"/>
              </w:rPr>
              <w:t>建设</w:t>
            </w:r>
            <w:r>
              <w:rPr>
                <w:rFonts w:hint="eastAsia"/>
              </w:rPr>
              <w:t>内容包括：指定路段的道路、涵洞、污水、雨水、照明、电力、电信、道路绿化、交通工</w:t>
            </w:r>
            <w:r>
              <w:rPr>
                <w:rFonts w:hint="eastAsia"/>
              </w:rPr>
              <w:lastRenderedPageBreak/>
              <w:t>程及附属设施及工程经济。</w:t>
            </w:r>
          </w:p>
          <w:p w:rsidR="00BC07F0" w:rsidRDefault="00073EFB" w:rsidP="00C55F5E">
            <w:pPr>
              <w:ind w:firstLine="482"/>
              <w:rPr>
                <w:b/>
                <w:bCs/>
              </w:rPr>
            </w:pPr>
            <w:r>
              <w:rPr>
                <w:rFonts w:hint="eastAsia"/>
                <w:b/>
                <w:bCs/>
              </w:rPr>
              <w:t>2.3.2.2</w:t>
            </w:r>
            <w:r>
              <w:rPr>
                <w:rFonts w:hint="eastAsia"/>
                <w:b/>
                <w:bCs/>
              </w:rPr>
              <w:t>交通量预测</w:t>
            </w:r>
          </w:p>
          <w:p w:rsidR="00BC07F0" w:rsidRDefault="00073EFB" w:rsidP="00C55F5E">
            <w:pPr>
              <w:ind w:firstLine="480"/>
            </w:pPr>
            <w:r>
              <w:rPr>
                <w:rFonts w:hint="eastAsia"/>
              </w:rPr>
              <w:t>交通量预测结果见下表</w:t>
            </w:r>
            <w:r>
              <w:rPr>
                <w:rFonts w:hint="eastAsia"/>
              </w:rPr>
              <w:t>2.3-1</w:t>
            </w:r>
            <w:r>
              <w:rPr>
                <w:rFonts w:hint="eastAsia"/>
              </w:rPr>
              <w:t>。</w:t>
            </w:r>
          </w:p>
          <w:p w:rsidR="00BC07F0" w:rsidRDefault="00073EFB">
            <w:pPr>
              <w:pStyle w:val="a7"/>
              <w:rPr>
                <w:rFonts w:hint="default"/>
                <w:b/>
                <w:bCs/>
              </w:rPr>
            </w:pPr>
            <w:r>
              <w:rPr>
                <w:b/>
                <w:bCs/>
              </w:rPr>
              <w:t>表</w:t>
            </w:r>
            <w:r>
              <w:rPr>
                <w:b/>
                <w:bCs/>
              </w:rPr>
              <w:t>2.3-1</w:t>
            </w:r>
            <w:r>
              <w:rPr>
                <w:b/>
                <w:bCs/>
              </w:rPr>
              <w:t>湘江南路高峰小时流量表</w:t>
            </w:r>
            <w:r>
              <w:rPr>
                <w:b/>
                <w:bCs/>
              </w:rPr>
              <w:t>(</w:t>
            </w:r>
            <w:r>
              <w:rPr>
                <w:b/>
                <w:bCs/>
              </w:rPr>
              <w:t>取最大负荷断面</w:t>
            </w:r>
            <w:r>
              <w:rPr>
                <w:b/>
                <w:bCs/>
              </w:rPr>
              <w:t>)</w:t>
            </w:r>
          </w:p>
          <w:tbl>
            <w:tblPr>
              <w:tblStyle w:val="TableNormal"/>
              <w:tblW w:w="4950" w:type="pct"/>
              <w:jc w:val="center"/>
              <w:tblInd w:w="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Look w:val="04A0"/>
            </w:tblPr>
            <w:tblGrid>
              <w:gridCol w:w="2374"/>
              <w:gridCol w:w="2015"/>
              <w:gridCol w:w="2312"/>
              <w:gridCol w:w="2310"/>
            </w:tblGrid>
            <w:tr w:rsidR="00BC07F0">
              <w:trPr>
                <w:trHeight w:val="397"/>
                <w:jc w:val="center"/>
              </w:trPr>
              <w:tc>
                <w:tcPr>
                  <w:tcW w:w="2282" w:type="dxa"/>
                  <w:tcBorders>
                    <w:tl2br w:val="nil"/>
                    <w:tr2bl w:val="nil"/>
                  </w:tcBorders>
                  <w:vAlign w:val="center"/>
                </w:tcPr>
                <w:p w:rsidR="00BC07F0" w:rsidRDefault="00073EFB">
                  <w:pPr>
                    <w:pStyle w:val="a7"/>
                    <w:rPr>
                      <w:rFonts w:hint="default"/>
                    </w:rPr>
                  </w:pPr>
                  <w:r>
                    <w:t>特征年道路</w:t>
                  </w:r>
                </w:p>
              </w:tc>
              <w:tc>
                <w:tcPr>
                  <w:tcW w:w="1937" w:type="dxa"/>
                  <w:tcBorders>
                    <w:tl2br w:val="nil"/>
                    <w:tr2bl w:val="nil"/>
                  </w:tcBorders>
                  <w:vAlign w:val="center"/>
                </w:tcPr>
                <w:p w:rsidR="00BC07F0" w:rsidRDefault="00073EFB">
                  <w:pPr>
                    <w:pStyle w:val="a7"/>
                    <w:rPr>
                      <w:rFonts w:hint="default"/>
                    </w:rPr>
                  </w:pPr>
                  <w:r>
                    <w:t>20</w:t>
                  </w:r>
                  <w:r>
                    <w:t>2</w:t>
                  </w:r>
                  <w:r>
                    <w:t>5</w:t>
                  </w:r>
                  <w:r>
                    <w:t>年</w:t>
                  </w:r>
                </w:p>
              </w:tc>
              <w:tc>
                <w:tcPr>
                  <w:tcW w:w="2222" w:type="dxa"/>
                  <w:tcBorders>
                    <w:tl2br w:val="nil"/>
                    <w:tr2bl w:val="nil"/>
                  </w:tcBorders>
                  <w:vAlign w:val="center"/>
                </w:tcPr>
                <w:p w:rsidR="00BC07F0" w:rsidRDefault="00073EFB">
                  <w:pPr>
                    <w:pStyle w:val="a7"/>
                    <w:rPr>
                      <w:rFonts w:hint="default"/>
                    </w:rPr>
                  </w:pPr>
                  <w:r>
                    <w:t>2027</w:t>
                  </w:r>
                  <w:r>
                    <w:t>年</w:t>
                  </w:r>
                </w:p>
              </w:tc>
              <w:tc>
                <w:tcPr>
                  <w:tcW w:w="2220" w:type="dxa"/>
                  <w:tcBorders>
                    <w:tl2br w:val="nil"/>
                    <w:tr2bl w:val="nil"/>
                  </w:tcBorders>
                  <w:vAlign w:val="center"/>
                </w:tcPr>
                <w:p w:rsidR="00BC07F0" w:rsidRDefault="00073EFB">
                  <w:pPr>
                    <w:pStyle w:val="a7"/>
                    <w:rPr>
                      <w:rFonts w:hint="default"/>
                    </w:rPr>
                  </w:pPr>
                  <w:r>
                    <w:t>2032</w:t>
                  </w:r>
                  <w:r>
                    <w:t>年</w:t>
                  </w:r>
                </w:p>
              </w:tc>
            </w:tr>
            <w:tr w:rsidR="00BC07F0">
              <w:trPr>
                <w:trHeight w:val="397"/>
                <w:jc w:val="center"/>
              </w:trPr>
              <w:tc>
                <w:tcPr>
                  <w:tcW w:w="2282" w:type="dxa"/>
                  <w:tcBorders>
                    <w:tl2br w:val="nil"/>
                    <w:tr2bl w:val="nil"/>
                  </w:tcBorders>
                  <w:vAlign w:val="center"/>
                </w:tcPr>
                <w:p w:rsidR="00BC07F0" w:rsidRDefault="00073EFB">
                  <w:pPr>
                    <w:pStyle w:val="a7"/>
                    <w:rPr>
                      <w:rFonts w:hint="default"/>
                    </w:rPr>
                  </w:pPr>
                  <w:r>
                    <w:t>湘江南路</w:t>
                  </w:r>
                </w:p>
                <w:p w:rsidR="00BC07F0" w:rsidRDefault="00073EFB">
                  <w:pPr>
                    <w:pStyle w:val="a7"/>
                    <w:rPr>
                      <w:rFonts w:hint="default"/>
                    </w:rPr>
                  </w:pPr>
                  <w:r>
                    <w:t>（白沙大道——前进路）</w:t>
                  </w:r>
                </w:p>
              </w:tc>
              <w:tc>
                <w:tcPr>
                  <w:tcW w:w="1937" w:type="dxa"/>
                  <w:tcBorders>
                    <w:tl2br w:val="nil"/>
                    <w:tr2bl w:val="nil"/>
                  </w:tcBorders>
                  <w:vAlign w:val="center"/>
                </w:tcPr>
                <w:p w:rsidR="00BC07F0" w:rsidRDefault="00073EFB">
                  <w:pPr>
                    <w:pStyle w:val="a7"/>
                    <w:rPr>
                      <w:rFonts w:hint="default"/>
                    </w:rPr>
                  </w:pPr>
                  <w:r>
                    <w:t>1660</w:t>
                  </w:r>
                </w:p>
              </w:tc>
              <w:tc>
                <w:tcPr>
                  <w:tcW w:w="2222" w:type="dxa"/>
                  <w:tcBorders>
                    <w:tl2br w:val="nil"/>
                    <w:tr2bl w:val="nil"/>
                  </w:tcBorders>
                  <w:vAlign w:val="center"/>
                </w:tcPr>
                <w:p w:rsidR="00BC07F0" w:rsidRDefault="00073EFB">
                  <w:pPr>
                    <w:pStyle w:val="a7"/>
                    <w:rPr>
                      <w:rFonts w:hint="default"/>
                    </w:rPr>
                  </w:pPr>
                  <w:r>
                    <w:t>2146</w:t>
                  </w:r>
                </w:p>
              </w:tc>
              <w:tc>
                <w:tcPr>
                  <w:tcW w:w="2220" w:type="dxa"/>
                  <w:tcBorders>
                    <w:tl2br w:val="nil"/>
                    <w:tr2bl w:val="nil"/>
                  </w:tcBorders>
                  <w:vAlign w:val="center"/>
                </w:tcPr>
                <w:p w:rsidR="00BC07F0" w:rsidRDefault="00073EFB">
                  <w:pPr>
                    <w:pStyle w:val="a7"/>
                    <w:rPr>
                      <w:rFonts w:hint="default"/>
                    </w:rPr>
                  </w:pPr>
                  <w:r>
                    <w:t>2718</w:t>
                  </w:r>
                </w:p>
              </w:tc>
            </w:tr>
          </w:tbl>
          <w:p w:rsidR="00BC07F0" w:rsidRDefault="00073EFB" w:rsidP="00C55F5E">
            <w:pPr>
              <w:ind w:firstLine="482"/>
            </w:pPr>
            <w:r>
              <w:rPr>
                <w:rFonts w:hint="eastAsia"/>
                <w:b/>
                <w:bCs/>
              </w:rPr>
              <w:t>2.3.2.3</w:t>
            </w:r>
            <w:r>
              <w:rPr>
                <w:rFonts w:hint="eastAsia"/>
                <w:b/>
                <w:bCs/>
              </w:rPr>
              <w:t>主要技术标准</w:t>
            </w:r>
          </w:p>
          <w:p w:rsidR="00BC07F0" w:rsidRDefault="00073EFB" w:rsidP="00C55F5E">
            <w:pPr>
              <w:ind w:firstLine="480"/>
            </w:pPr>
            <w:r>
              <w:rPr>
                <w:rFonts w:hint="eastAsia"/>
              </w:rPr>
              <w:t>道路等级：次干路；</w:t>
            </w:r>
          </w:p>
          <w:p w:rsidR="00BC07F0" w:rsidRDefault="00073EFB" w:rsidP="00C55F5E">
            <w:pPr>
              <w:ind w:firstLine="480"/>
            </w:pPr>
            <w:r>
              <w:rPr>
                <w:rFonts w:hint="eastAsia"/>
              </w:rPr>
              <w:t>设计速度：</w:t>
            </w:r>
            <w:r>
              <w:rPr>
                <w:rFonts w:hint="eastAsia"/>
              </w:rPr>
              <w:t>V</w:t>
            </w:r>
            <w:r>
              <w:rPr>
                <w:rFonts w:hint="eastAsia"/>
              </w:rPr>
              <w:t>＝</w:t>
            </w:r>
            <w:r>
              <w:rPr>
                <w:rFonts w:hint="eastAsia"/>
              </w:rPr>
              <w:t>50km/h</w:t>
            </w:r>
            <w:r>
              <w:rPr>
                <w:rFonts w:hint="eastAsia"/>
              </w:rPr>
              <w:t>；</w:t>
            </w:r>
          </w:p>
          <w:p w:rsidR="00BC07F0" w:rsidRDefault="00073EFB" w:rsidP="00C55F5E">
            <w:pPr>
              <w:ind w:firstLine="480"/>
            </w:pPr>
            <w:r>
              <w:rPr>
                <w:rFonts w:hint="eastAsia"/>
              </w:rPr>
              <w:t>荷载标准</w:t>
            </w:r>
          </w:p>
          <w:p w:rsidR="00BC07F0" w:rsidRDefault="00073EFB" w:rsidP="00C55F5E">
            <w:pPr>
              <w:ind w:firstLine="480"/>
            </w:pPr>
            <w:r>
              <w:rPr>
                <w:rFonts w:hint="eastAsia"/>
              </w:rPr>
              <w:t>桥梁荷载：城</w:t>
            </w:r>
            <w:r>
              <w:rPr>
                <w:rFonts w:hint="eastAsia"/>
              </w:rPr>
              <w:t>-A</w:t>
            </w:r>
            <w:r>
              <w:rPr>
                <w:rFonts w:hint="eastAsia"/>
              </w:rPr>
              <w:t>级。</w:t>
            </w:r>
          </w:p>
          <w:p w:rsidR="00BC07F0" w:rsidRDefault="00073EFB" w:rsidP="00C55F5E">
            <w:pPr>
              <w:ind w:firstLine="480"/>
            </w:pPr>
            <w:r>
              <w:rPr>
                <w:rFonts w:hint="eastAsia"/>
              </w:rPr>
              <w:t>人群荷载</w:t>
            </w:r>
            <w:r>
              <w:rPr>
                <w:rFonts w:hint="eastAsia"/>
              </w:rPr>
              <w:t>3.5KN/m2</w:t>
            </w:r>
            <w:r>
              <w:rPr>
                <w:rFonts w:hint="eastAsia"/>
              </w:rPr>
              <w:t>。</w:t>
            </w:r>
            <w:r>
              <w:rPr>
                <w:rFonts w:hint="eastAsia"/>
              </w:rPr>
              <w:t>3)</w:t>
            </w:r>
            <w:r>
              <w:rPr>
                <w:rFonts w:hint="eastAsia"/>
              </w:rPr>
              <w:t>路面设计荷载：</w:t>
            </w:r>
            <w:r>
              <w:rPr>
                <w:rFonts w:hint="eastAsia"/>
              </w:rPr>
              <w:t>Bzz</w:t>
            </w:r>
            <w:r>
              <w:rPr>
                <w:rFonts w:hint="eastAsia"/>
              </w:rPr>
              <w:t>－</w:t>
            </w:r>
            <w:r>
              <w:rPr>
                <w:rFonts w:hint="eastAsia"/>
              </w:rPr>
              <w:t>100</w:t>
            </w:r>
            <w:r>
              <w:rPr>
                <w:rFonts w:hint="eastAsia"/>
              </w:rPr>
              <w:t>型标准车。</w:t>
            </w:r>
          </w:p>
          <w:p w:rsidR="00BC07F0" w:rsidRDefault="00073EFB" w:rsidP="00C55F5E">
            <w:pPr>
              <w:ind w:firstLine="480"/>
            </w:pPr>
            <w:r>
              <w:rPr>
                <w:rFonts w:hint="eastAsia"/>
              </w:rPr>
              <w:t>道路最小净高</w:t>
            </w:r>
          </w:p>
          <w:p w:rsidR="00BC07F0" w:rsidRDefault="00073EFB" w:rsidP="00C55F5E">
            <w:pPr>
              <w:ind w:firstLine="480"/>
            </w:pPr>
            <w:r>
              <w:rPr>
                <w:rFonts w:hint="eastAsia"/>
              </w:rPr>
              <w:t>机动车道：≥</w:t>
            </w:r>
            <w:r>
              <w:rPr>
                <w:rFonts w:hint="eastAsia"/>
              </w:rPr>
              <w:t>4.5m</w:t>
            </w:r>
            <w:r>
              <w:rPr>
                <w:rFonts w:hint="eastAsia"/>
              </w:rPr>
              <w:t>。</w:t>
            </w:r>
          </w:p>
          <w:p w:rsidR="00BC07F0" w:rsidRDefault="00073EFB" w:rsidP="00C55F5E">
            <w:pPr>
              <w:ind w:firstLine="480"/>
            </w:pPr>
            <w:r>
              <w:rPr>
                <w:rFonts w:hint="eastAsia"/>
              </w:rPr>
              <w:t>非机动车道及人行道：≥</w:t>
            </w:r>
            <w:r>
              <w:rPr>
                <w:rFonts w:hint="eastAsia"/>
              </w:rPr>
              <w:t>2.5m</w:t>
            </w:r>
            <w:r>
              <w:rPr>
                <w:rFonts w:hint="eastAsia"/>
              </w:rPr>
              <w:t>。</w:t>
            </w:r>
          </w:p>
          <w:p w:rsidR="00BC07F0" w:rsidRDefault="00073EFB" w:rsidP="00C55F5E">
            <w:pPr>
              <w:ind w:firstLine="480"/>
            </w:pPr>
            <w:r>
              <w:rPr>
                <w:rFonts w:hint="eastAsia"/>
              </w:rPr>
              <w:t>抗震设防标准：场地所在区抗震设防烈度为</w:t>
            </w:r>
            <w:r>
              <w:rPr>
                <w:rFonts w:hint="eastAsia"/>
              </w:rPr>
              <w:t>VI</w:t>
            </w:r>
            <w:r>
              <w:rPr>
                <w:rFonts w:hint="eastAsia"/>
              </w:rPr>
              <w:t>度；地震峰值加速度值为</w:t>
            </w:r>
            <w:r>
              <w:rPr>
                <w:rFonts w:hint="eastAsia"/>
              </w:rPr>
              <w:t>0.05g</w:t>
            </w:r>
            <w:r>
              <w:rPr>
                <w:rFonts w:hint="eastAsia"/>
              </w:rPr>
              <w:t>，设计地震分组为第一组，场地的设计特征周期为</w:t>
            </w:r>
            <w:r>
              <w:rPr>
                <w:rFonts w:hint="eastAsia"/>
              </w:rPr>
              <w:t>0.35s</w:t>
            </w:r>
            <w:r>
              <w:rPr>
                <w:rFonts w:hint="eastAsia"/>
              </w:rPr>
              <w:t>。</w:t>
            </w:r>
          </w:p>
          <w:p w:rsidR="00BC07F0" w:rsidRDefault="00073EFB" w:rsidP="00C55F5E">
            <w:pPr>
              <w:ind w:firstLine="480"/>
            </w:pPr>
            <w:r>
              <w:rPr>
                <w:rFonts w:hint="eastAsia"/>
              </w:rPr>
              <w:t>车行道宽度：机动车道宽度采用</w:t>
            </w:r>
            <w:r>
              <w:rPr>
                <w:rFonts w:hint="eastAsia"/>
              </w:rPr>
              <w:t>3.25m</w:t>
            </w:r>
            <w:r>
              <w:rPr>
                <w:rFonts w:hint="eastAsia"/>
              </w:rPr>
              <w:t>和</w:t>
            </w:r>
            <w:r>
              <w:rPr>
                <w:rFonts w:hint="eastAsia"/>
              </w:rPr>
              <w:t>3.5m</w:t>
            </w:r>
            <w:r>
              <w:rPr>
                <w:rFonts w:hint="eastAsia"/>
              </w:rPr>
              <w:t>，路缘带宽度采用</w:t>
            </w:r>
            <w:r>
              <w:rPr>
                <w:rFonts w:hint="eastAsia"/>
              </w:rPr>
              <w:t>0.25m</w:t>
            </w:r>
            <w:r>
              <w:rPr>
                <w:rFonts w:hint="eastAsia"/>
              </w:rPr>
              <w:t>。</w:t>
            </w:r>
          </w:p>
          <w:p w:rsidR="00BC07F0" w:rsidRDefault="00073EFB" w:rsidP="00C55F5E">
            <w:pPr>
              <w:ind w:firstLine="482"/>
            </w:pPr>
            <w:r>
              <w:rPr>
                <w:rFonts w:hint="eastAsia"/>
                <w:b/>
                <w:bCs/>
              </w:rPr>
              <w:t>2.3.2.4</w:t>
            </w:r>
            <w:r>
              <w:rPr>
                <w:rFonts w:hint="eastAsia"/>
                <w:b/>
                <w:bCs/>
              </w:rPr>
              <w:t>路线走向及主要控制点</w:t>
            </w:r>
          </w:p>
          <w:p w:rsidR="00BC07F0" w:rsidRDefault="00073EFB" w:rsidP="00C55F5E">
            <w:pPr>
              <w:ind w:firstLine="480"/>
            </w:pPr>
            <w:r>
              <w:rPr>
                <w:rFonts w:hint="eastAsia"/>
              </w:rPr>
              <w:t>(1)</w:t>
            </w:r>
            <w:r>
              <w:rPr>
                <w:rFonts w:hint="eastAsia"/>
              </w:rPr>
              <w:t>道路走向</w:t>
            </w:r>
          </w:p>
          <w:p w:rsidR="00BC07F0" w:rsidRDefault="00073EFB">
            <w:pPr>
              <w:pStyle w:val="a7"/>
              <w:rPr>
                <w:rFonts w:hint="default"/>
                <w:b/>
                <w:bCs/>
              </w:rPr>
            </w:pPr>
            <w:r>
              <w:rPr>
                <w:b/>
                <w:bCs/>
              </w:rPr>
              <w:t>表</w:t>
            </w:r>
            <w:r>
              <w:rPr>
                <w:b/>
                <w:bCs/>
              </w:rPr>
              <w:t>2.3-2</w:t>
            </w:r>
            <w:r>
              <w:rPr>
                <w:b/>
                <w:bCs/>
              </w:rPr>
              <w:t>道路走向表</w:t>
            </w:r>
          </w:p>
          <w:tbl>
            <w:tblPr>
              <w:tblStyle w:val="TableNormal"/>
              <w:tblW w:w="4949" w:type="pct"/>
              <w:jc w:val="center"/>
              <w:tblInd w:w="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Look w:val="04A0"/>
            </w:tblPr>
            <w:tblGrid>
              <w:gridCol w:w="1142"/>
              <w:gridCol w:w="1269"/>
              <w:gridCol w:w="1267"/>
              <w:gridCol w:w="1317"/>
              <w:gridCol w:w="1661"/>
              <w:gridCol w:w="1227"/>
              <w:gridCol w:w="1126"/>
            </w:tblGrid>
            <w:tr w:rsidR="00BC07F0">
              <w:trPr>
                <w:trHeight w:val="397"/>
                <w:jc w:val="center"/>
              </w:trPr>
              <w:tc>
                <w:tcPr>
                  <w:tcW w:w="1146" w:type="dxa"/>
                  <w:tcBorders>
                    <w:tl2br w:val="nil"/>
                    <w:tr2bl w:val="nil"/>
                  </w:tcBorders>
                  <w:vAlign w:val="center"/>
                </w:tcPr>
                <w:p w:rsidR="00BC07F0" w:rsidRDefault="00073EFB">
                  <w:pPr>
                    <w:pStyle w:val="a7"/>
                    <w:rPr>
                      <w:rFonts w:hint="default"/>
                    </w:rPr>
                  </w:pPr>
                  <w:r>
                    <w:t>路名</w:t>
                  </w:r>
                </w:p>
              </w:tc>
              <w:tc>
                <w:tcPr>
                  <w:tcW w:w="1272" w:type="dxa"/>
                  <w:tcBorders>
                    <w:tl2br w:val="nil"/>
                    <w:tr2bl w:val="nil"/>
                  </w:tcBorders>
                  <w:vAlign w:val="center"/>
                </w:tcPr>
                <w:p w:rsidR="00BC07F0" w:rsidRDefault="00073EFB">
                  <w:pPr>
                    <w:pStyle w:val="a7"/>
                    <w:rPr>
                      <w:rFonts w:hint="default"/>
                    </w:rPr>
                  </w:pPr>
                  <w:r>
                    <w:t>道路等级</w:t>
                  </w:r>
                </w:p>
              </w:tc>
              <w:tc>
                <w:tcPr>
                  <w:tcW w:w="1270" w:type="dxa"/>
                  <w:tcBorders>
                    <w:tl2br w:val="nil"/>
                    <w:tr2bl w:val="nil"/>
                  </w:tcBorders>
                  <w:vAlign w:val="center"/>
                </w:tcPr>
                <w:p w:rsidR="00BC07F0" w:rsidRDefault="00073EFB">
                  <w:pPr>
                    <w:pStyle w:val="a7"/>
                    <w:rPr>
                      <w:rFonts w:hint="default"/>
                    </w:rPr>
                  </w:pPr>
                  <w:r>
                    <w:t>红线宽度</w:t>
                  </w:r>
                </w:p>
              </w:tc>
              <w:tc>
                <w:tcPr>
                  <w:tcW w:w="1320" w:type="dxa"/>
                  <w:tcBorders>
                    <w:tl2br w:val="nil"/>
                    <w:tr2bl w:val="nil"/>
                  </w:tcBorders>
                  <w:vAlign w:val="center"/>
                </w:tcPr>
                <w:p w:rsidR="00BC07F0" w:rsidRDefault="00073EFB">
                  <w:pPr>
                    <w:pStyle w:val="a7"/>
                    <w:rPr>
                      <w:rFonts w:hint="default"/>
                    </w:rPr>
                  </w:pPr>
                  <w:r>
                    <w:t>长度</w:t>
                  </w:r>
                </w:p>
              </w:tc>
              <w:tc>
                <w:tcPr>
                  <w:tcW w:w="1665" w:type="dxa"/>
                  <w:tcBorders>
                    <w:tl2br w:val="nil"/>
                    <w:tr2bl w:val="nil"/>
                  </w:tcBorders>
                  <w:vAlign w:val="center"/>
                </w:tcPr>
                <w:p w:rsidR="00BC07F0" w:rsidRDefault="00073EFB">
                  <w:pPr>
                    <w:pStyle w:val="a7"/>
                    <w:rPr>
                      <w:rFonts w:hint="default"/>
                    </w:rPr>
                  </w:pPr>
                  <w:r>
                    <w:t>走向</w:t>
                  </w:r>
                </w:p>
              </w:tc>
              <w:tc>
                <w:tcPr>
                  <w:tcW w:w="1230" w:type="dxa"/>
                  <w:tcBorders>
                    <w:tl2br w:val="nil"/>
                    <w:tr2bl w:val="nil"/>
                  </w:tcBorders>
                  <w:vAlign w:val="center"/>
                </w:tcPr>
                <w:p w:rsidR="00BC07F0" w:rsidRDefault="00073EFB">
                  <w:pPr>
                    <w:pStyle w:val="a7"/>
                    <w:rPr>
                      <w:rFonts w:hint="default"/>
                    </w:rPr>
                  </w:pPr>
                  <w:r>
                    <w:t>起点</w:t>
                  </w:r>
                </w:p>
              </w:tc>
              <w:tc>
                <w:tcPr>
                  <w:tcW w:w="1129" w:type="dxa"/>
                  <w:tcBorders>
                    <w:tl2br w:val="nil"/>
                    <w:tr2bl w:val="nil"/>
                  </w:tcBorders>
                  <w:vAlign w:val="center"/>
                </w:tcPr>
                <w:p w:rsidR="00BC07F0" w:rsidRDefault="00073EFB">
                  <w:pPr>
                    <w:pStyle w:val="a7"/>
                    <w:rPr>
                      <w:rFonts w:hint="default"/>
                    </w:rPr>
                  </w:pPr>
                  <w:r>
                    <w:t>终点</w:t>
                  </w:r>
                </w:p>
              </w:tc>
            </w:tr>
            <w:tr w:rsidR="00BC07F0">
              <w:trPr>
                <w:trHeight w:val="397"/>
                <w:jc w:val="center"/>
              </w:trPr>
              <w:tc>
                <w:tcPr>
                  <w:tcW w:w="1146" w:type="dxa"/>
                  <w:tcBorders>
                    <w:tl2br w:val="nil"/>
                    <w:tr2bl w:val="nil"/>
                  </w:tcBorders>
                  <w:vAlign w:val="center"/>
                </w:tcPr>
                <w:p w:rsidR="00BC07F0" w:rsidRDefault="00073EFB">
                  <w:pPr>
                    <w:pStyle w:val="a7"/>
                    <w:rPr>
                      <w:rFonts w:hint="default"/>
                    </w:rPr>
                  </w:pPr>
                  <w:r>
                    <w:t>湘江南路</w:t>
                  </w:r>
                </w:p>
              </w:tc>
              <w:tc>
                <w:tcPr>
                  <w:tcW w:w="1272" w:type="dxa"/>
                  <w:tcBorders>
                    <w:tl2br w:val="nil"/>
                    <w:tr2bl w:val="nil"/>
                  </w:tcBorders>
                  <w:vAlign w:val="center"/>
                </w:tcPr>
                <w:p w:rsidR="00BC07F0" w:rsidRDefault="00073EFB">
                  <w:pPr>
                    <w:pStyle w:val="a7"/>
                    <w:rPr>
                      <w:rFonts w:hint="default"/>
                    </w:rPr>
                  </w:pPr>
                  <w:r>
                    <w:t>次干路</w:t>
                  </w:r>
                </w:p>
              </w:tc>
              <w:tc>
                <w:tcPr>
                  <w:tcW w:w="1270" w:type="dxa"/>
                  <w:tcBorders>
                    <w:tl2br w:val="nil"/>
                    <w:tr2bl w:val="nil"/>
                  </w:tcBorders>
                  <w:vAlign w:val="center"/>
                </w:tcPr>
                <w:p w:rsidR="00BC07F0" w:rsidRDefault="00073EFB">
                  <w:pPr>
                    <w:pStyle w:val="a7"/>
                    <w:rPr>
                      <w:rFonts w:hint="default"/>
                    </w:rPr>
                  </w:pPr>
                  <w:r>
                    <w:t>40m</w:t>
                  </w:r>
                </w:p>
              </w:tc>
              <w:tc>
                <w:tcPr>
                  <w:tcW w:w="1320" w:type="dxa"/>
                  <w:tcBorders>
                    <w:tl2br w:val="nil"/>
                    <w:tr2bl w:val="nil"/>
                  </w:tcBorders>
                  <w:vAlign w:val="center"/>
                </w:tcPr>
                <w:p w:rsidR="00BC07F0" w:rsidRDefault="00073EFB">
                  <w:pPr>
                    <w:pStyle w:val="a7"/>
                    <w:rPr>
                      <w:rFonts w:hint="default"/>
                    </w:rPr>
                  </w:pPr>
                  <w:r>
                    <w:t>2.887</w:t>
                  </w:r>
                  <w:r>
                    <w:t>k</w:t>
                  </w:r>
                  <w:r>
                    <w:t>m</w:t>
                  </w:r>
                </w:p>
              </w:tc>
              <w:tc>
                <w:tcPr>
                  <w:tcW w:w="1665" w:type="dxa"/>
                  <w:tcBorders>
                    <w:tl2br w:val="nil"/>
                    <w:tr2bl w:val="nil"/>
                  </w:tcBorders>
                  <w:vAlign w:val="center"/>
                </w:tcPr>
                <w:p w:rsidR="00BC07F0" w:rsidRDefault="00073EFB">
                  <w:pPr>
                    <w:pStyle w:val="a7"/>
                    <w:rPr>
                      <w:rFonts w:hint="default"/>
                    </w:rPr>
                  </w:pPr>
                  <w:r>
                    <w:t>东西</w:t>
                  </w:r>
                  <w:r>
                    <w:t>-</w:t>
                  </w:r>
                  <w:r>
                    <w:t>南北</w:t>
                  </w:r>
                </w:p>
              </w:tc>
              <w:tc>
                <w:tcPr>
                  <w:tcW w:w="1230" w:type="dxa"/>
                  <w:tcBorders>
                    <w:tl2br w:val="nil"/>
                    <w:tr2bl w:val="nil"/>
                  </w:tcBorders>
                  <w:vAlign w:val="center"/>
                </w:tcPr>
                <w:p w:rsidR="00BC07F0" w:rsidRDefault="00073EFB">
                  <w:pPr>
                    <w:pStyle w:val="a7"/>
                    <w:rPr>
                      <w:rFonts w:hint="default"/>
                    </w:rPr>
                  </w:pPr>
                  <w:r>
                    <w:t>白沙大道</w:t>
                  </w:r>
                </w:p>
              </w:tc>
              <w:tc>
                <w:tcPr>
                  <w:tcW w:w="1129" w:type="dxa"/>
                  <w:tcBorders>
                    <w:tl2br w:val="nil"/>
                    <w:tr2bl w:val="nil"/>
                  </w:tcBorders>
                  <w:vAlign w:val="center"/>
                </w:tcPr>
                <w:p w:rsidR="00BC07F0" w:rsidRDefault="00073EFB">
                  <w:pPr>
                    <w:pStyle w:val="a7"/>
                    <w:rPr>
                      <w:rFonts w:hint="default"/>
                    </w:rPr>
                  </w:pPr>
                  <w:r>
                    <w:t>前进路</w:t>
                  </w:r>
                </w:p>
              </w:tc>
            </w:tr>
          </w:tbl>
          <w:p w:rsidR="00BC07F0" w:rsidRDefault="00073EFB" w:rsidP="00C55F5E">
            <w:pPr>
              <w:ind w:firstLine="480"/>
            </w:pPr>
            <w:r>
              <w:rPr>
                <w:rFonts w:hint="eastAsia"/>
              </w:rPr>
              <w:t>道路线位与规划线位基本保持一致，只在需要设置缓和曲线段增设了缓和曲线，在规划线位不满足线形指标段进行了拟合调整。</w:t>
            </w:r>
          </w:p>
          <w:p w:rsidR="00BC07F0" w:rsidRDefault="00073EFB" w:rsidP="00C55F5E">
            <w:pPr>
              <w:ind w:firstLine="480"/>
            </w:pPr>
            <w:r>
              <w:rPr>
                <w:rFonts w:hint="eastAsia"/>
              </w:rPr>
              <w:t>(2)</w:t>
            </w:r>
            <w:r>
              <w:rPr>
                <w:rFonts w:hint="eastAsia"/>
              </w:rPr>
              <w:t>主要控制因素</w:t>
            </w:r>
          </w:p>
          <w:p w:rsidR="00BC07F0" w:rsidRDefault="00073EFB" w:rsidP="00C55F5E">
            <w:pPr>
              <w:ind w:firstLine="480"/>
            </w:pPr>
            <w:r>
              <w:rPr>
                <w:rFonts w:hint="eastAsia"/>
              </w:rPr>
              <w:t>道路起点接现状湘江路，标高与现状道路标高接顺，按</w:t>
            </w:r>
            <w:r>
              <w:rPr>
                <w:rFonts w:hint="eastAsia"/>
              </w:rPr>
              <w:t>58.92m</w:t>
            </w:r>
            <w:r>
              <w:rPr>
                <w:rFonts w:hint="eastAsia"/>
              </w:rPr>
              <w:t>控制。</w:t>
            </w:r>
            <w:r>
              <w:rPr>
                <w:rFonts w:hint="eastAsia"/>
              </w:rPr>
              <w:t>2)</w:t>
            </w:r>
            <w:r>
              <w:rPr>
                <w:rFonts w:hint="eastAsia"/>
              </w:rPr>
              <w:t>交叉口标高控制考虑片区开发整体需求及道路排水需求，本次道路交叉口位置标高基本按规划标高确定本次道路设计标高，只在同向坡且坡度相差较小段进行了坡度合并。其中酃白路规划标高为</w:t>
            </w:r>
            <w:r>
              <w:rPr>
                <w:rFonts w:hint="eastAsia"/>
              </w:rPr>
              <w:t>58m</w:t>
            </w:r>
            <w:r>
              <w:rPr>
                <w:rFonts w:hint="eastAsia"/>
              </w:rPr>
              <w:t>，设计标高</w:t>
            </w:r>
            <w:r>
              <w:rPr>
                <w:rFonts w:hint="eastAsia"/>
              </w:rPr>
              <w:t>58.09m</w:t>
            </w:r>
            <w:r>
              <w:rPr>
                <w:rFonts w:hint="eastAsia"/>
              </w:rPr>
              <w:t>；五星路规划标高为</w:t>
            </w:r>
            <w:r>
              <w:rPr>
                <w:rFonts w:hint="eastAsia"/>
              </w:rPr>
              <w:t>57.98m</w:t>
            </w:r>
            <w:r>
              <w:rPr>
                <w:rFonts w:hint="eastAsia"/>
              </w:rPr>
              <w:t>，设计标高</w:t>
            </w:r>
            <w:r>
              <w:rPr>
                <w:rFonts w:hint="eastAsia"/>
              </w:rPr>
              <w:t>58.09m</w:t>
            </w:r>
            <w:r>
              <w:rPr>
                <w:rFonts w:hint="eastAsia"/>
              </w:rPr>
              <w:t>；塑田路规划标高为</w:t>
            </w:r>
            <w:r>
              <w:rPr>
                <w:rFonts w:hint="eastAsia"/>
              </w:rPr>
              <w:t>60m</w:t>
            </w:r>
            <w:r>
              <w:rPr>
                <w:rFonts w:hint="eastAsia"/>
              </w:rPr>
              <w:t>，设计标高</w:t>
            </w:r>
            <w:r>
              <w:rPr>
                <w:rFonts w:hint="eastAsia"/>
              </w:rPr>
              <w:t>60m</w:t>
            </w:r>
            <w:r>
              <w:rPr>
                <w:rFonts w:hint="eastAsia"/>
              </w:rPr>
              <w:t>；前进路规划标高为</w:t>
            </w:r>
            <w:r>
              <w:rPr>
                <w:rFonts w:hint="eastAsia"/>
              </w:rPr>
              <w:t>60m</w:t>
            </w:r>
            <w:r>
              <w:rPr>
                <w:rFonts w:hint="eastAsia"/>
              </w:rPr>
              <w:t>，设计标高</w:t>
            </w:r>
            <w:r>
              <w:rPr>
                <w:rFonts w:hint="eastAsia"/>
              </w:rPr>
              <w:t>60m</w:t>
            </w:r>
            <w:r>
              <w:rPr>
                <w:rFonts w:hint="eastAsia"/>
              </w:rPr>
              <w:t>。</w:t>
            </w:r>
          </w:p>
          <w:p w:rsidR="00BC07F0" w:rsidRDefault="00073EFB" w:rsidP="00C55F5E">
            <w:pPr>
              <w:ind w:firstLine="482"/>
            </w:pPr>
            <w:r>
              <w:rPr>
                <w:rFonts w:hint="eastAsia"/>
                <w:b/>
                <w:bCs/>
              </w:rPr>
              <w:lastRenderedPageBreak/>
              <w:t>2.3.2.5</w:t>
            </w:r>
            <w:r>
              <w:rPr>
                <w:rFonts w:hint="eastAsia"/>
                <w:b/>
                <w:bCs/>
              </w:rPr>
              <w:t>道路标准横断面布置</w:t>
            </w:r>
          </w:p>
          <w:p w:rsidR="00BC07F0" w:rsidRDefault="00073EFB" w:rsidP="00C55F5E">
            <w:pPr>
              <w:ind w:firstLine="480"/>
            </w:pPr>
            <w:r>
              <w:rPr>
                <w:rFonts w:hint="eastAsia"/>
              </w:rPr>
              <w:t>湘江南路红线宽度</w:t>
            </w:r>
            <w:r>
              <w:rPr>
                <w:rFonts w:hint="eastAsia"/>
              </w:rPr>
              <w:t>40m</w:t>
            </w:r>
            <w:r>
              <w:rPr>
                <w:rFonts w:hint="eastAsia"/>
              </w:rPr>
              <w:t>，道路标准横断面采用</w:t>
            </w:r>
            <w:r>
              <w:rPr>
                <w:rFonts w:hint="eastAsia"/>
              </w:rPr>
              <w:t>3</w:t>
            </w:r>
            <w:r>
              <w:rPr>
                <w:rFonts w:hint="eastAsia"/>
              </w:rPr>
              <w:t>块板形式，具体布置如下：</w:t>
            </w:r>
            <w:r>
              <w:rPr>
                <w:rFonts w:hint="eastAsia"/>
              </w:rPr>
              <w:t>2.5</w:t>
            </w:r>
            <w:r>
              <w:rPr>
                <w:rFonts w:hint="eastAsia"/>
              </w:rPr>
              <w:t>m(</w:t>
            </w:r>
            <w:r>
              <w:rPr>
                <w:rFonts w:hint="eastAsia"/>
              </w:rPr>
              <w:t>路侧停车带</w:t>
            </w:r>
            <w:r>
              <w:rPr>
                <w:rFonts w:hint="eastAsia"/>
              </w:rPr>
              <w:t>)+4.5m(</w:t>
            </w:r>
            <w:r>
              <w:rPr>
                <w:rFonts w:hint="eastAsia"/>
              </w:rPr>
              <w:t>混行车道</w:t>
            </w:r>
            <w:r>
              <w:rPr>
                <w:rFonts w:hint="eastAsia"/>
              </w:rPr>
              <w:t>)+2.0m(</w:t>
            </w:r>
            <w:r>
              <w:rPr>
                <w:rFonts w:hint="eastAsia"/>
              </w:rPr>
              <w:t>绿化带</w:t>
            </w:r>
            <w:r>
              <w:rPr>
                <w:rFonts w:hint="eastAsia"/>
              </w:rPr>
              <w:t>)+10.5m(</w:t>
            </w:r>
            <w:r>
              <w:rPr>
                <w:rFonts w:hint="eastAsia"/>
              </w:rPr>
              <w:t>机动车道</w:t>
            </w:r>
            <w:r>
              <w:rPr>
                <w:rFonts w:hint="eastAsia"/>
              </w:rPr>
              <w:t>)+1m(</w:t>
            </w:r>
            <w:r>
              <w:rPr>
                <w:rFonts w:hint="eastAsia"/>
              </w:rPr>
              <w:t>中央隔离护栏</w:t>
            </w:r>
            <w:r>
              <w:rPr>
                <w:rFonts w:hint="eastAsia"/>
              </w:rPr>
              <w:t>)+10.5m(</w:t>
            </w:r>
            <w:r>
              <w:rPr>
                <w:rFonts w:hint="eastAsia"/>
              </w:rPr>
              <w:t>机动车道</w:t>
            </w:r>
            <w:r>
              <w:rPr>
                <w:rFonts w:hint="eastAsia"/>
              </w:rPr>
              <w:t>)+2.0m(</w:t>
            </w:r>
            <w:r>
              <w:rPr>
                <w:rFonts w:hint="eastAsia"/>
              </w:rPr>
              <w:t>绿化带</w:t>
            </w:r>
            <w:r>
              <w:rPr>
                <w:rFonts w:hint="eastAsia"/>
              </w:rPr>
              <w:t>)+3.5m(</w:t>
            </w:r>
            <w:r>
              <w:rPr>
                <w:rFonts w:hint="eastAsia"/>
              </w:rPr>
              <w:t>非机动车道</w:t>
            </w:r>
            <w:r>
              <w:rPr>
                <w:rFonts w:hint="eastAsia"/>
              </w:rPr>
              <w:t>)+3.5m(</w:t>
            </w:r>
            <w:r>
              <w:rPr>
                <w:rFonts w:hint="eastAsia"/>
              </w:rPr>
              <w:t>人行道</w:t>
            </w:r>
            <w:r>
              <w:rPr>
                <w:rFonts w:hint="eastAsia"/>
              </w:rPr>
              <w:t>)=40.0m</w:t>
            </w:r>
            <w:r>
              <w:rPr>
                <w:rFonts w:hint="eastAsia"/>
              </w:rPr>
              <w:t>。</w:t>
            </w:r>
          </w:p>
          <w:p w:rsidR="00BC07F0" w:rsidRDefault="00073EFB">
            <w:pPr>
              <w:pStyle w:val="a7"/>
              <w:rPr>
                <w:rFonts w:hint="default"/>
              </w:rPr>
            </w:pPr>
            <w:r>
              <w:rPr>
                <w:noProof/>
              </w:rPr>
              <w:drawing>
                <wp:inline distT="0" distB="0" distL="114300" distR="114300">
                  <wp:extent cx="5784215" cy="1556385"/>
                  <wp:effectExtent l="0" t="0" r="6985" b="57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0" cstate="print"/>
                          <a:stretch>
                            <a:fillRect/>
                          </a:stretch>
                        </pic:blipFill>
                        <pic:spPr>
                          <a:xfrm>
                            <a:off x="0" y="0"/>
                            <a:ext cx="5784215" cy="1556385"/>
                          </a:xfrm>
                          <a:prstGeom prst="rect">
                            <a:avLst/>
                          </a:prstGeom>
                          <a:noFill/>
                          <a:ln>
                            <a:noFill/>
                          </a:ln>
                        </pic:spPr>
                      </pic:pic>
                    </a:graphicData>
                  </a:graphic>
                </wp:inline>
              </w:drawing>
            </w:r>
          </w:p>
          <w:p w:rsidR="00BC07F0" w:rsidRDefault="00073EFB">
            <w:pPr>
              <w:pStyle w:val="a7"/>
              <w:rPr>
                <w:rFonts w:hint="default"/>
                <w:b/>
                <w:bCs/>
              </w:rPr>
            </w:pPr>
            <w:r>
              <w:rPr>
                <w:b/>
                <w:bCs/>
              </w:rPr>
              <w:t>图</w:t>
            </w:r>
            <w:r>
              <w:rPr>
                <w:b/>
                <w:bCs/>
              </w:rPr>
              <w:t>2.3-1</w:t>
            </w:r>
            <w:r>
              <w:rPr>
                <w:b/>
                <w:bCs/>
              </w:rPr>
              <w:t>道路标准横断面</w:t>
            </w:r>
          </w:p>
          <w:p w:rsidR="00BC07F0" w:rsidRDefault="00073EFB">
            <w:pPr>
              <w:pStyle w:val="a7"/>
              <w:rPr>
                <w:rFonts w:hint="default"/>
              </w:rPr>
            </w:pPr>
            <w:r>
              <w:rPr>
                <w:noProof/>
              </w:rPr>
              <w:drawing>
                <wp:inline distT="0" distB="0" distL="114300" distR="114300">
                  <wp:extent cx="5795010" cy="1685925"/>
                  <wp:effectExtent l="0" t="0" r="1524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1" cstate="print"/>
                          <a:stretch>
                            <a:fillRect/>
                          </a:stretch>
                        </pic:blipFill>
                        <pic:spPr>
                          <a:xfrm>
                            <a:off x="0" y="0"/>
                            <a:ext cx="5795010" cy="1685925"/>
                          </a:xfrm>
                          <a:prstGeom prst="rect">
                            <a:avLst/>
                          </a:prstGeom>
                          <a:noFill/>
                          <a:ln>
                            <a:noFill/>
                          </a:ln>
                        </pic:spPr>
                      </pic:pic>
                    </a:graphicData>
                  </a:graphic>
                </wp:inline>
              </w:drawing>
            </w:r>
          </w:p>
          <w:p w:rsidR="00BC07F0" w:rsidRDefault="00073EFB">
            <w:pPr>
              <w:pStyle w:val="a7"/>
              <w:rPr>
                <w:rFonts w:hint="default"/>
                <w:b/>
                <w:bCs/>
              </w:rPr>
            </w:pPr>
            <w:r>
              <w:rPr>
                <w:b/>
                <w:bCs/>
              </w:rPr>
              <w:t>图</w:t>
            </w:r>
            <w:r>
              <w:rPr>
                <w:b/>
                <w:bCs/>
              </w:rPr>
              <w:t>2.3-2</w:t>
            </w:r>
            <w:r>
              <w:rPr>
                <w:b/>
                <w:bCs/>
              </w:rPr>
              <w:t>道路典型横断面</w:t>
            </w:r>
            <w:r>
              <w:rPr>
                <w:b/>
                <w:bCs/>
              </w:rPr>
              <w:t>(</w:t>
            </w:r>
            <w:r>
              <w:rPr>
                <w:b/>
                <w:bCs/>
              </w:rPr>
              <w:t>适用于</w:t>
            </w:r>
            <w:r>
              <w:rPr>
                <w:b/>
                <w:bCs/>
              </w:rPr>
              <w:t>K0+140-K0+290</w:t>
            </w:r>
            <w:r>
              <w:rPr>
                <w:b/>
                <w:bCs/>
              </w:rPr>
              <w:t>段</w:t>
            </w:r>
            <w:r>
              <w:rPr>
                <w:b/>
                <w:bCs/>
              </w:rPr>
              <w:t>)</w:t>
            </w:r>
          </w:p>
          <w:p w:rsidR="00BC07F0" w:rsidRDefault="00073EFB">
            <w:pPr>
              <w:pStyle w:val="a7"/>
              <w:rPr>
                <w:rFonts w:hint="default"/>
              </w:rPr>
            </w:pPr>
            <w:r>
              <w:rPr>
                <w:noProof/>
              </w:rPr>
              <w:drawing>
                <wp:inline distT="0" distB="0" distL="114300" distR="114300">
                  <wp:extent cx="5791200" cy="1815465"/>
                  <wp:effectExtent l="0" t="0" r="0" b="133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cstate="print"/>
                          <a:stretch>
                            <a:fillRect/>
                          </a:stretch>
                        </pic:blipFill>
                        <pic:spPr>
                          <a:xfrm>
                            <a:off x="0" y="0"/>
                            <a:ext cx="5791200" cy="1815465"/>
                          </a:xfrm>
                          <a:prstGeom prst="rect">
                            <a:avLst/>
                          </a:prstGeom>
                          <a:noFill/>
                          <a:ln>
                            <a:noFill/>
                          </a:ln>
                        </pic:spPr>
                      </pic:pic>
                    </a:graphicData>
                  </a:graphic>
                </wp:inline>
              </w:drawing>
            </w:r>
          </w:p>
          <w:p w:rsidR="00BC07F0" w:rsidRDefault="00073EFB">
            <w:pPr>
              <w:pStyle w:val="a7"/>
              <w:rPr>
                <w:rFonts w:hint="default"/>
                <w:b/>
                <w:bCs/>
              </w:rPr>
            </w:pPr>
            <w:r>
              <w:rPr>
                <w:b/>
                <w:bCs/>
              </w:rPr>
              <w:t>图</w:t>
            </w:r>
            <w:r>
              <w:rPr>
                <w:b/>
                <w:bCs/>
              </w:rPr>
              <w:t>2.3-3</w:t>
            </w:r>
            <w:r>
              <w:rPr>
                <w:b/>
                <w:bCs/>
              </w:rPr>
              <w:t>道路典型横断面</w:t>
            </w:r>
            <w:r>
              <w:rPr>
                <w:b/>
                <w:bCs/>
              </w:rPr>
              <w:t>(</w:t>
            </w:r>
            <w:r>
              <w:rPr>
                <w:b/>
                <w:bCs/>
              </w:rPr>
              <w:t>适用于</w:t>
            </w:r>
            <w:r>
              <w:rPr>
                <w:b/>
                <w:bCs/>
              </w:rPr>
              <w:t>K0+290-K1+360</w:t>
            </w:r>
            <w:r>
              <w:rPr>
                <w:b/>
                <w:bCs/>
              </w:rPr>
              <w:t>段分离式路基段</w:t>
            </w:r>
            <w:r>
              <w:rPr>
                <w:b/>
                <w:bCs/>
              </w:rPr>
              <w:t>)</w:t>
            </w:r>
          </w:p>
          <w:p w:rsidR="00BC07F0" w:rsidRDefault="00073EFB" w:rsidP="00C55F5E">
            <w:pPr>
              <w:ind w:firstLine="482"/>
            </w:pPr>
            <w:r>
              <w:rPr>
                <w:rFonts w:hint="eastAsia"/>
                <w:b/>
                <w:bCs/>
              </w:rPr>
              <w:t>2.3.2.6</w:t>
            </w:r>
            <w:r>
              <w:rPr>
                <w:rFonts w:hint="eastAsia"/>
                <w:b/>
                <w:bCs/>
              </w:rPr>
              <w:t>交叉口</w:t>
            </w:r>
          </w:p>
          <w:p w:rsidR="00BC07F0" w:rsidRDefault="00073EFB" w:rsidP="00C55F5E">
            <w:pPr>
              <w:ind w:firstLine="480"/>
            </w:pPr>
            <w:r>
              <w:rPr>
                <w:rFonts w:hint="eastAsia"/>
              </w:rPr>
              <w:t>相交交叉口共有</w:t>
            </w:r>
            <w:r>
              <w:rPr>
                <w:rFonts w:hint="eastAsia"/>
              </w:rPr>
              <w:t>10</w:t>
            </w:r>
            <w:r>
              <w:rPr>
                <w:rFonts w:hint="eastAsia"/>
              </w:rPr>
              <w:t>处。沿线交叉口交通组织形式见下表：</w:t>
            </w:r>
          </w:p>
          <w:p w:rsidR="00BC07F0" w:rsidRDefault="00073EFB">
            <w:pPr>
              <w:pStyle w:val="a7"/>
              <w:rPr>
                <w:rFonts w:hint="default"/>
                <w:b/>
                <w:bCs/>
              </w:rPr>
            </w:pPr>
            <w:r>
              <w:rPr>
                <w:b/>
                <w:bCs/>
              </w:rPr>
              <w:t>表</w:t>
            </w:r>
            <w:r>
              <w:rPr>
                <w:b/>
                <w:bCs/>
              </w:rPr>
              <w:t>2.3-3</w:t>
            </w:r>
            <w:r>
              <w:rPr>
                <w:b/>
                <w:bCs/>
              </w:rPr>
              <w:t>交叉口交通组织形式表</w:t>
            </w:r>
          </w:p>
          <w:tbl>
            <w:tblPr>
              <w:tblStyle w:val="TableNormal"/>
              <w:tblW w:w="4949" w:type="pct"/>
              <w:jc w:val="center"/>
              <w:tblInd w:w="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Look w:val="04A0"/>
            </w:tblPr>
            <w:tblGrid>
              <w:gridCol w:w="4514"/>
              <w:gridCol w:w="4495"/>
            </w:tblGrid>
            <w:tr w:rsidR="00BC07F0">
              <w:trPr>
                <w:trHeight w:val="397"/>
                <w:jc w:val="center"/>
              </w:trPr>
              <w:tc>
                <w:tcPr>
                  <w:tcW w:w="4526" w:type="dxa"/>
                  <w:tcBorders>
                    <w:tl2br w:val="nil"/>
                    <w:tr2bl w:val="nil"/>
                  </w:tcBorders>
                  <w:vAlign w:val="center"/>
                </w:tcPr>
                <w:p w:rsidR="00BC07F0" w:rsidRDefault="00073EFB">
                  <w:pPr>
                    <w:pStyle w:val="a7"/>
                    <w:rPr>
                      <w:rFonts w:hint="default"/>
                    </w:rPr>
                  </w:pPr>
                  <w:r>
                    <w:t>道路名称</w:t>
                  </w:r>
                </w:p>
              </w:tc>
              <w:tc>
                <w:tcPr>
                  <w:tcW w:w="4506" w:type="dxa"/>
                  <w:tcBorders>
                    <w:tl2br w:val="nil"/>
                    <w:tr2bl w:val="nil"/>
                  </w:tcBorders>
                  <w:vAlign w:val="center"/>
                </w:tcPr>
                <w:p w:rsidR="00BC07F0" w:rsidRDefault="00073EFB">
                  <w:pPr>
                    <w:pStyle w:val="a7"/>
                    <w:rPr>
                      <w:rFonts w:hint="default"/>
                    </w:rPr>
                  </w:pPr>
                  <w:r>
                    <w:t>湘江南路</w:t>
                  </w:r>
                </w:p>
              </w:tc>
            </w:tr>
            <w:tr w:rsidR="00BC07F0">
              <w:trPr>
                <w:trHeight w:val="397"/>
                <w:jc w:val="center"/>
              </w:trPr>
              <w:tc>
                <w:tcPr>
                  <w:tcW w:w="4526" w:type="dxa"/>
                  <w:tcBorders>
                    <w:tl2br w:val="nil"/>
                    <w:tr2bl w:val="nil"/>
                  </w:tcBorders>
                  <w:vAlign w:val="center"/>
                </w:tcPr>
                <w:p w:rsidR="00BC07F0" w:rsidRDefault="00073EFB">
                  <w:pPr>
                    <w:pStyle w:val="a7"/>
                    <w:rPr>
                      <w:rFonts w:hint="default"/>
                    </w:rPr>
                  </w:pPr>
                  <w:r>
                    <w:t>白沙大道</w:t>
                  </w:r>
                </w:p>
              </w:tc>
              <w:tc>
                <w:tcPr>
                  <w:tcW w:w="4506" w:type="dxa"/>
                  <w:tcBorders>
                    <w:tl2br w:val="nil"/>
                    <w:tr2bl w:val="nil"/>
                  </w:tcBorders>
                  <w:vAlign w:val="center"/>
                </w:tcPr>
                <w:p w:rsidR="00BC07F0" w:rsidRDefault="00073EFB">
                  <w:pPr>
                    <w:pStyle w:val="a7"/>
                    <w:rPr>
                      <w:rFonts w:hint="default"/>
                    </w:rPr>
                  </w:pPr>
                  <w:r>
                    <w:t>平</w:t>
                  </w:r>
                  <w:r>
                    <w:t>A1</w:t>
                  </w:r>
                </w:p>
              </w:tc>
            </w:tr>
            <w:tr w:rsidR="00BC07F0">
              <w:trPr>
                <w:trHeight w:val="397"/>
                <w:jc w:val="center"/>
              </w:trPr>
              <w:tc>
                <w:tcPr>
                  <w:tcW w:w="4526" w:type="dxa"/>
                  <w:tcBorders>
                    <w:tl2br w:val="nil"/>
                    <w:tr2bl w:val="nil"/>
                  </w:tcBorders>
                  <w:vAlign w:val="center"/>
                </w:tcPr>
                <w:p w:rsidR="00BC07F0" w:rsidRDefault="00073EFB">
                  <w:pPr>
                    <w:pStyle w:val="a7"/>
                    <w:rPr>
                      <w:rFonts w:hint="default"/>
                    </w:rPr>
                  </w:pPr>
                  <w:r>
                    <w:t>白冲塘路</w:t>
                  </w:r>
                </w:p>
              </w:tc>
              <w:tc>
                <w:tcPr>
                  <w:tcW w:w="4506" w:type="dxa"/>
                  <w:tcBorders>
                    <w:tl2br w:val="nil"/>
                    <w:tr2bl w:val="nil"/>
                  </w:tcBorders>
                  <w:vAlign w:val="center"/>
                </w:tcPr>
                <w:p w:rsidR="00BC07F0" w:rsidRDefault="00073EFB">
                  <w:pPr>
                    <w:pStyle w:val="a7"/>
                    <w:rPr>
                      <w:rFonts w:hint="default"/>
                    </w:rPr>
                  </w:pPr>
                  <w:r>
                    <w:t>平</w:t>
                  </w:r>
                  <w:r>
                    <w:t>B2</w:t>
                  </w:r>
                </w:p>
              </w:tc>
            </w:tr>
            <w:tr w:rsidR="00BC07F0">
              <w:trPr>
                <w:trHeight w:val="397"/>
                <w:jc w:val="center"/>
              </w:trPr>
              <w:tc>
                <w:tcPr>
                  <w:tcW w:w="4526" w:type="dxa"/>
                  <w:tcBorders>
                    <w:tl2br w:val="nil"/>
                    <w:tr2bl w:val="nil"/>
                  </w:tcBorders>
                  <w:vAlign w:val="center"/>
                </w:tcPr>
                <w:p w:rsidR="00BC07F0" w:rsidRDefault="00073EFB">
                  <w:pPr>
                    <w:pStyle w:val="a7"/>
                    <w:rPr>
                      <w:rFonts w:hint="default"/>
                    </w:rPr>
                  </w:pPr>
                  <w:r>
                    <w:t>新衡路</w:t>
                  </w:r>
                </w:p>
              </w:tc>
              <w:tc>
                <w:tcPr>
                  <w:tcW w:w="4506" w:type="dxa"/>
                  <w:tcBorders>
                    <w:tl2br w:val="nil"/>
                    <w:tr2bl w:val="nil"/>
                  </w:tcBorders>
                  <w:vAlign w:val="center"/>
                </w:tcPr>
                <w:p w:rsidR="00BC07F0" w:rsidRDefault="00073EFB">
                  <w:pPr>
                    <w:pStyle w:val="a7"/>
                    <w:rPr>
                      <w:rFonts w:hint="default"/>
                    </w:rPr>
                  </w:pPr>
                  <w:r>
                    <w:t>平</w:t>
                  </w:r>
                  <w:r>
                    <w:t>B2</w:t>
                  </w:r>
                </w:p>
              </w:tc>
            </w:tr>
            <w:tr w:rsidR="00BC07F0">
              <w:trPr>
                <w:trHeight w:val="397"/>
                <w:jc w:val="center"/>
              </w:trPr>
              <w:tc>
                <w:tcPr>
                  <w:tcW w:w="4526" w:type="dxa"/>
                  <w:tcBorders>
                    <w:tl2br w:val="nil"/>
                    <w:tr2bl w:val="nil"/>
                  </w:tcBorders>
                  <w:vAlign w:val="center"/>
                </w:tcPr>
                <w:p w:rsidR="00BC07F0" w:rsidRDefault="00073EFB">
                  <w:pPr>
                    <w:pStyle w:val="a7"/>
                    <w:rPr>
                      <w:rFonts w:hint="default"/>
                    </w:rPr>
                  </w:pPr>
                  <w:r>
                    <w:lastRenderedPageBreak/>
                    <w:t>酃白路</w:t>
                  </w:r>
                </w:p>
              </w:tc>
              <w:tc>
                <w:tcPr>
                  <w:tcW w:w="4506" w:type="dxa"/>
                  <w:tcBorders>
                    <w:tl2br w:val="nil"/>
                    <w:tr2bl w:val="nil"/>
                  </w:tcBorders>
                  <w:vAlign w:val="center"/>
                </w:tcPr>
                <w:p w:rsidR="00BC07F0" w:rsidRDefault="00073EFB">
                  <w:pPr>
                    <w:pStyle w:val="a7"/>
                    <w:rPr>
                      <w:rFonts w:hint="default"/>
                    </w:rPr>
                  </w:pPr>
                  <w:r>
                    <w:t>平</w:t>
                  </w:r>
                  <w:r>
                    <w:t>A1</w:t>
                  </w:r>
                </w:p>
              </w:tc>
            </w:tr>
            <w:tr w:rsidR="00BC07F0">
              <w:trPr>
                <w:trHeight w:val="397"/>
                <w:jc w:val="center"/>
              </w:trPr>
              <w:tc>
                <w:tcPr>
                  <w:tcW w:w="4526" w:type="dxa"/>
                  <w:tcBorders>
                    <w:tl2br w:val="nil"/>
                    <w:tr2bl w:val="nil"/>
                  </w:tcBorders>
                  <w:vAlign w:val="center"/>
                </w:tcPr>
                <w:p w:rsidR="00BC07F0" w:rsidRDefault="00073EFB">
                  <w:pPr>
                    <w:pStyle w:val="a7"/>
                    <w:rPr>
                      <w:rFonts w:hint="default"/>
                    </w:rPr>
                  </w:pPr>
                  <w:r>
                    <w:t>规划路</w:t>
                  </w:r>
                </w:p>
              </w:tc>
              <w:tc>
                <w:tcPr>
                  <w:tcW w:w="4506" w:type="dxa"/>
                  <w:tcBorders>
                    <w:tl2br w:val="nil"/>
                    <w:tr2bl w:val="nil"/>
                  </w:tcBorders>
                  <w:vAlign w:val="center"/>
                </w:tcPr>
                <w:p w:rsidR="00BC07F0" w:rsidRDefault="00073EFB">
                  <w:pPr>
                    <w:pStyle w:val="a7"/>
                    <w:rPr>
                      <w:rFonts w:hint="default"/>
                    </w:rPr>
                  </w:pPr>
                  <w:r>
                    <w:t>平</w:t>
                  </w:r>
                  <w:r>
                    <w:t>B2</w:t>
                  </w:r>
                </w:p>
              </w:tc>
            </w:tr>
            <w:tr w:rsidR="00BC07F0">
              <w:trPr>
                <w:trHeight w:val="397"/>
                <w:jc w:val="center"/>
              </w:trPr>
              <w:tc>
                <w:tcPr>
                  <w:tcW w:w="4526" w:type="dxa"/>
                  <w:tcBorders>
                    <w:tl2br w:val="nil"/>
                    <w:tr2bl w:val="nil"/>
                  </w:tcBorders>
                  <w:vAlign w:val="center"/>
                </w:tcPr>
                <w:p w:rsidR="00BC07F0" w:rsidRDefault="00073EFB">
                  <w:pPr>
                    <w:pStyle w:val="a7"/>
                    <w:rPr>
                      <w:rFonts w:hint="default"/>
                    </w:rPr>
                  </w:pPr>
                  <w:r>
                    <w:t>五星路</w:t>
                  </w:r>
                </w:p>
              </w:tc>
              <w:tc>
                <w:tcPr>
                  <w:tcW w:w="4506" w:type="dxa"/>
                  <w:tcBorders>
                    <w:tl2br w:val="nil"/>
                    <w:tr2bl w:val="nil"/>
                  </w:tcBorders>
                  <w:vAlign w:val="center"/>
                </w:tcPr>
                <w:p w:rsidR="00BC07F0" w:rsidRDefault="00073EFB">
                  <w:pPr>
                    <w:pStyle w:val="a7"/>
                    <w:rPr>
                      <w:rFonts w:hint="default"/>
                    </w:rPr>
                  </w:pPr>
                  <w:r>
                    <w:t>平</w:t>
                  </w:r>
                  <w:r>
                    <w:t>A1</w:t>
                  </w:r>
                </w:p>
              </w:tc>
            </w:tr>
            <w:tr w:rsidR="00BC07F0">
              <w:trPr>
                <w:trHeight w:val="397"/>
                <w:jc w:val="center"/>
              </w:trPr>
              <w:tc>
                <w:tcPr>
                  <w:tcW w:w="4526" w:type="dxa"/>
                  <w:tcBorders>
                    <w:tl2br w:val="nil"/>
                    <w:tr2bl w:val="nil"/>
                  </w:tcBorders>
                  <w:vAlign w:val="center"/>
                </w:tcPr>
                <w:p w:rsidR="00BC07F0" w:rsidRDefault="00073EFB">
                  <w:pPr>
                    <w:pStyle w:val="a7"/>
                    <w:rPr>
                      <w:rFonts w:hint="default"/>
                    </w:rPr>
                  </w:pPr>
                  <w:r>
                    <w:t>湘田路</w:t>
                  </w:r>
                </w:p>
              </w:tc>
              <w:tc>
                <w:tcPr>
                  <w:tcW w:w="4506" w:type="dxa"/>
                  <w:tcBorders>
                    <w:tl2br w:val="nil"/>
                    <w:tr2bl w:val="nil"/>
                  </w:tcBorders>
                  <w:vAlign w:val="center"/>
                </w:tcPr>
                <w:p w:rsidR="00BC07F0" w:rsidRDefault="00073EFB">
                  <w:pPr>
                    <w:pStyle w:val="a7"/>
                    <w:rPr>
                      <w:rFonts w:hint="default"/>
                    </w:rPr>
                  </w:pPr>
                  <w:r>
                    <w:t>平</w:t>
                  </w:r>
                  <w:r>
                    <w:t>B2</w:t>
                  </w:r>
                </w:p>
              </w:tc>
            </w:tr>
            <w:tr w:rsidR="00BC07F0">
              <w:trPr>
                <w:trHeight w:val="397"/>
                <w:jc w:val="center"/>
              </w:trPr>
              <w:tc>
                <w:tcPr>
                  <w:tcW w:w="4526" w:type="dxa"/>
                  <w:tcBorders>
                    <w:tl2br w:val="nil"/>
                    <w:tr2bl w:val="nil"/>
                  </w:tcBorders>
                  <w:vAlign w:val="center"/>
                </w:tcPr>
                <w:p w:rsidR="00BC07F0" w:rsidRDefault="00073EFB">
                  <w:pPr>
                    <w:pStyle w:val="a7"/>
                    <w:rPr>
                      <w:rFonts w:hint="default"/>
                    </w:rPr>
                  </w:pPr>
                  <w:r>
                    <w:t>塑田路</w:t>
                  </w:r>
                </w:p>
              </w:tc>
              <w:tc>
                <w:tcPr>
                  <w:tcW w:w="4506" w:type="dxa"/>
                  <w:tcBorders>
                    <w:tl2br w:val="nil"/>
                    <w:tr2bl w:val="nil"/>
                  </w:tcBorders>
                  <w:vAlign w:val="center"/>
                </w:tcPr>
                <w:p w:rsidR="00BC07F0" w:rsidRDefault="00073EFB">
                  <w:pPr>
                    <w:pStyle w:val="a7"/>
                    <w:rPr>
                      <w:rFonts w:hint="default"/>
                    </w:rPr>
                  </w:pPr>
                  <w:r>
                    <w:t>平</w:t>
                  </w:r>
                  <w:r>
                    <w:t>A1</w:t>
                  </w:r>
                </w:p>
              </w:tc>
            </w:tr>
            <w:tr w:rsidR="00BC07F0">
              <w:trPr>
                <w:trHeight w:val="397"/>
                <w:jc w:val="center"/>
              </w:trPr>
              <w:tc>
                <w:tcPr>
                  <w:tcW w:w="4526" w:type="dxa"/>
                  <w:tcBorders>
                    <w:tl2br w:val="nil"/>
                    <w:tr2bl w:val="nil"/>
                  </w:tcBorders>
                  <w:vAlign w:val="center"/>
                </w:tcPr>
                <w:p w:rsidR="00BC07F0" w:rsidRDefault="00073EFB">
                  <w:pPr>
                    <w:pStyle w:val="a7"/>
                    <w:rPr>
                      <w:rFonts w:hint="default"/>
                    </w:rPr>
                  </w:pPr>
                  <w:r>
                    <w:t>量具路</w:t>
                  </w:r>
                </w:p>
              </w:tc>
              <w:tc>
                <w:tcPr>
                  <w:tcW w:w="4506" w:type="dxa"/>
                  <w:tcBorders>
                    <w:tl2br w:val="nil"/>
                    <w:tr2bl w:val="nil"/>
                  </w:tcBorders>
                  <w:vAlign w:val="center"/>
                </w:tcPr>
                <w:p w:rsidR="00BC07F0" w:rsidRDefault="00073EFB">
                  <w:pPr>
                    <w:pStyle w:val="a7"/>
                    <w:rPr>
                      <w:rFonts w:hint="default"/>
                    </w:rPr>
                  </w:pPr>
                  <w:r>
                    <w:t>平</w:t>
                  </w:r>
                  <w:r>
                    <w:t>B2</w:t>
                  </w:r>
                </w:p>
              </w:tc>
            </w:tr>
            <w:tr w:rsidR="00BC07F0">
              <w:trPr>
                <w:trHeight w:val="397"/>
                <w:jc w:val="center"/>
              </w:trPr>
              <w:tc>
                <w:tcPr>
                  <w:tcW w:w="4526" w:type="dxa"/>
                  <w:tcBorders>
                    <w:tl2br w:val="nil"/>
                    <w:tr2bl w:val="nil"/>
                  </w:tcBorders>
                  <w:vAlign w:val="center"/>
                </w:tcPr>
                <w:p w:rsidR="00BC07F0" w:rsidRDefault="00073EFB">
                  <w:pPr>
                    <w:pStyle w:val="a7"/>
                    <w:rPr>
                      <w:rFonts w:hint="default"/>
                    </w:rPr>
                  </w:pPr>
                  <w:r>
                    <w:t>前进路</w:t>
                  </w:r>
                </w:p>
              </w:tc>
              <w:tc>
                <w:tcPr>
                  <w:tcW w:w="4506" w:type="dxa"/>
                  <w:tcBorders>
                    <w:tl2br w:val="nil"/>
                    <w:tr2bl w:val="nil"/>
                  </w:tcBorders>
                  <w:vAlign w:val="center"/>
                </w:tcPr>
                <w:p w:rsidR="00BC07F0" w:rsidRDefault="00073EFB">
                  <w:pPr>
                    <w:pStyle w:val="a7"/>
                    <w:rPr>
                      <w:rFonts w:hint="default"/>
                    </w:rPr>
                  </w:pPr>
                  <w:r>
                    <w:t>平</w:t>
                  </w:r>
                  <w:r>
                    <w:t>A1</w:t>
                  </w:r>
                </w:p>
              </w:tc>
            </w:tr>
          </w:tbl>
          <w:p w:rsidR="00BC07F0" w:rsidRDefault="00073EFB" w:rsidP="00C55F5E">
            <w:pPr>
              <w:ind w:firstLine="482"/>
            </w:pPr>
            <w:r>
              <w:rPr>
                <w:rFonts w:hint="eastAsia"/>
                <w:b/>
                <w:bCs/>
              </w:rPr>
              <w:t>2.3.2.7</w:t>
            </w:r>
            <w:r>
              <w:rPr>
                <w:rFonts w:hint="eastAsia"/>
                <w:b/>
                <w:bCs/>
              </w:rPr>
              <w:t>路基</w:t>
            </w:r>
          </w:p>
          <w:p w:rsidR="00BC07F0" w:rsidRDefault="00073EFB" w:rsidP="00C55F5E">
            <w:pPr>
              <w:ind w:firstLine="480"/>
            </w:pPr>
            <w:r>
              <w:rPr>
                <w:rFonts w:hint="eastAsia"/>
              </w:rPr>
              <w:t>一般路基：填方路基边坡一级边坡坡率采用</w:t>
            </w:r>
            <w:r>
              <w:rPr>
                <w:rFonts w:hint="eastAsia"/>
              </w:rPr>
              <w:t>1</w:t>
            </w:r>
            <w:r>
              <w:rPr>
                <w:rFonts w:hint="eastAsia"/>
              </w:rPr>
              <w:t>：</w:t>
            </w:r>
            <w:r>
              <w:rPr>
                <w:rFonts w:hint="eastAsia"/>
              </w:rPr>
              <w:t>1.5</w:t>
            </w:r>
            <w:r>
              <w:rPr>
                <w:rFonts w:hint="eastAsia"/>
              </w:rPr>
              <w:t>，二级边坡采用</w:t>
            </w:r>
            <w:r>
              <w:rPr>
                <w:rFonts w:hint="eastAsia"/>
              </w:rPr>
              <w:t>1</w:t>
            </w:r>
            <w:r>
              <w:rPr>
                <w:rFonts w:hint="eastAsia"/>
              </w:rPr>
              <w:t>：</w:t>
            </w:r>
            <w:r>
              <w:rPr>
                <w:rFonts w:hint="eastAsia"/>
              </w:rPr>
              <w:t>1.75</w:t>
            </w:r>
            <w:r>
              <w:rPr>
                <w:rFonts w:hint="eastAsia"/>
              </w:rPr>
              <w:t>，中间设置平台；挖方路基采用多级边坡，一级边坡率采用</w:t>
            </w:r>
            <w:r>
              <w:rPr>
                <w:rFonts w:hint="eastAsia"/>
              </w:rPr>
              <w:t>1</w:t>
            </w:r>
            <w:r>
              <w:rPr>
                <w:rFonts w:hint="eastAsia"/>
              </w:rPr>
              <w:t>：</w:t>
            </w:r>
            <w:r>
              <w:rPr>
                <w:rFonts w:hint="eastAsia"/>
              </w:rPr>
              <w:t>1</w:t>
            </w:r>
            <w:r>
              <w:rPr>
                <w:rFonts w:hint="eastAsia"/>
              </w:rPr>
              <w:t>，二级边坡采用</w:t>
            </w:r>
            <w:r>
              <w:rPr>
                <w:rFonts w:hint="eastAsia"/>
              </w:rPr>
              <w:t>1</w:t>
            </w:r>
            <w:r>
              <w:rPr>
                <w:rFonts w:hint="eastAsia"/>
              </w:rPr>
              <w:t>：</w:t>
            </w:r>
            <w:r>
              <w:rPr>
                <w:rFonts w:hint="eastAsia"/>
              </w:rPr>
              <w:t>1.5</w:t>
            </w:r>
            <w:r>
              <w:rPr>
                <w:rFonts w:hint="eastAsia"/>
              </w:rPr>
              <w:t>，三级边坡采用</w:t>
            </w:r>
            <w:r>
              <w:rPr>
                <w:rFonts w:hint="eastAsia"/>
              </w:rPr>
              <w:t>1</w:t>
            </w:r>
            <w:r>
              <w:rPr>
                <w:rFonts w:hint="eastAsia"/>
              </w:rPr>
              <w:t>：</w:t>
            </w:r>
            <w:r>
              <w:rPr>
                <w:rFonts w:hint="eastAsia"/>
              </w:rPr>
              <w:t>1.75</w:t>
            </w:r>
            <w:r>
              <w:rPr>
                <w:rFonts w:hint="eastAsia"/>
              </w:rPr>
              <w:t>，每级边坡间设置平台。路基填料路应选用液限大于</w:t>
            </w:r>
            <w:r>
              <w:rPr>
                <w:rFonts w:hint="eastAsia"/>
              </w:rPr>
              <w:t>50</w:t>
            </w:r>
            <w:r>
              <w:rPr>
                <w:rFonts w:hint="eastAsia"/>
              </w:rPr>
              <w:t>％，塑性指数大于</w:t>
            </w:r>
            <w:r>
              <w:rPr>
                <w:rFonts w:hint="eastAsia"/>
              </w:rPr>
              <w:t>26</w:t>
            </w:r>
            <w:r>
              <w:rPr>
                <w:rFonts w:hint="eastAsia"/>
              </w:rPr>
              <w:t>的粘质土，以及淤泥、沼泽土、泥炭土，含草皮土、生活垃圾、腐朽物质的土；填土要求在最佳含水量时压实。路基强度采用重型压实标准，路基顶面土基设计回弹模量应不小于</w:t>
            </w:r>
            <w:r>
              <w:rPr>
                <w:rFonts w:hint="eastAsia"/>
              </w:rPr>
              <w:t>35Mpa</w:t>
            </w:r>
            <w:r>
              <w:rPr>
                <w:rFonts w:hint="eastAsia"/>
              </w:rPr>
              <w:t>。</w:t>
            </w:r>
          </w:p>
          <w:p w:rsidR="00BC07F0" w:rsidRDefault="00073EFB" w:rsidP="00C55F5E">
            <w:pPr>
              <w:ind w:firstLine="480"/>
            </w:pPr>
            <w:r>
              <w:rPr>
                <w:rFonts w:hint="eastAsia"/>
              </w:rPr>
              <w:t>特殊路基处理：根据现场踏勘情况，道路路基范围内软弱地基主要为鱼塘、水沟。处理方式主要为换填</w:t>
            </w:r>
            <w:r>
              <w:rPr>
                <w:rFonts w:hint="eastAsia"/>
              </w:rPr>
              <w:t>处理。</w:t>
            </w:r>
          </w:p>
          <w:p w:rsidR="00BC07F0" w:rsidRDefault="00073EFB" w:rsidP="00C55F5E">
            <w:pPr>
              <w:ind w:firstLine="482"/>
            </w:pPr>
            <w:r>
              <w:rPr>
                <w:rFonts w:hint="eastAsia"/>
                <w:b/>
                <w:bCs/>
              </w:rPr>
              <w:t>2.3.2.8</w:t>
            </w:r>
            <w:r>
              <w:rPr>
                <w:rFonts w:hint="eastAsia"/>
                <w:b/>
                <w:bCs/>
              </w:rPr>
              <w:t>路面</w:t>
            </w:r>
          </w:p>
          <w:p w:rsidR="00BC07F0" w:rsidRDefault="00073EFB" w:rsidP="00C55F5E">
            <w:pPr>
              <w:ind w:firstLine="480"/>
            </w:pPr>
            <w:r>
              <w:rPr>
                <w:rFonts w:hint="eastAsia"/>
              </w:rPr>
              <w:t>(1)</w:t>
            </w:r>
            <w:r>
              <w:rPr>
                <w:rFonts w:hint="eastAsia"/>
              </w:rPr>
              <w:t>机动车道路面结构</w:t>
            </w:r>
          </w:p>
          <w:p w:rsidR="00BC07F0" w:rsidRDefault="00073EFB" w:rsidP="00C55F5E">
            <w:pPr>
              <w:ind w:firstLine="480"/>
            </w:pPr>
            <w:r>
              <w:rPr>
                <w:rFonts w:hint="eastAsia"/>
              </w:rPr>
              <w:t>4cmAC-13C</w:t>
            </w:r>
            <w:r>
              <w:rPr>
                <w:rFonts w:hint="eastAsia"/>
              </w:rPr>
              <w:t>细粒式</w:t>
            </w:r>
            <w:r>
              <w:rPr>
                <w:rFonts w:hint="eastAsia"/>
              </w:rPr>
              <w:t>SBS</w:t>
            </w:r>
            <w:r>
              <w:rPr>
                <w:rFonts w:hint="eastAsia"/>
              </w:rPr>
              <w:t>改性沥青混凝土</w:t>
            </w:r>
          </w:p>
          <w:p w:rsidR="00BC07F0" w:rsidRDefault="00073EFB" w:rsidP="00C55F5E">
            <w:pPr>
              <w:ind w:firstLine="480"/>
            </w:pPr>
            <w:r>
              <w:rPr>
                <w:rFonts w:hint="eastAsia"/>
              </w:rPr>
              <w:t>PCR</w:t>
            </w:r>
            <w:r>
              <w:rPr>
                <w:rFonts w:hint="eastAsia"/>
              </w:rPr>
              <w:t>改性乳化沥青粘层油</w:t>
            </w:r>
          </w:p>
          <w:p w:rsidR="00BC07F0" w:rsidRDefault="00073EFB" w:rsidP="00C55F5E">
            <w:pPr>
              <w:ind w:firstLine="480"/>
            </w:pPr>
            <w:r>
              <w:rPr>
                <w:rFonts w:hint="eastAsia"/>
              </w:rPr>
              <w:t>5cmAC-16C</w:t>
            </w:r>
            <w:r>
              <w:rPr>
                <w:rFonts w:hint="eastAsia"/>
              </w:rPr>
              <w:t>中粒式沥青混凝土</w:t>
            </w:r>
          </w:p>
          <w:p w:rsidR="00BC07F0" w:rsidRDefault="00073EFB" w:rsidP="00C55F5E">
            <w:pPr>
              <w:ind w:firstLine="480"/>
            </w:pPr>
            <w:r>
              <w:rPr>
                <w:rFonts w:hint="eastAsia"/>
              </w:rPr>
              <w:t>PCR</w:t>
            </w:r>
            <w:r>
              <w:rPr>
                <w:rFonts w:hint="eastAsia"/>
              </w:rPr>
              <w:t>改性乳化沥青粘层油</w:t>
            </w:r>
          </w:p>
          <w:p w:rsidR="00BC07F0" w:rsidRDefault="00073EFB" w:rsidP="00C55F5E">
            <w:pPr>
              <w:ind w:firstLine="480"/>
            </w:pPr>
            <w:r>
              <w:rPr>
                <w:rFonts w:hint="eastAsia"/>
              </w:rPr>
              <w:t>7cmAC-25C</w:t>
            </w:r>
            <w:r>
              <w:rPr>
                <w:rFonts w:hint="eastAsia"/>
              </w:rPr>
              <w:t>粗粒式沥青混凝土</w:t>
            </w:r>
          </w:p>
          <w:p w:rsidR="00BC07F0" w:rsidRDefault="00073EFB" w:rsidP="00C55F5E">
            <w:pPr>
              <w:ind w:firstLine="480"/>
            </w:pPr>
            <w:r>
              <w:rPr>
                <w:rFonts w:hint="eastAsia"/>
              </w:rPr>
              <w:t>0.8cm</w:t>
            </w:r>
            <w:r>
              <w:rPr>
                <w:rFonts w:hint="eastAsia"/>
              </w:rPr>
              <w:t>乳化沥青稀浆下封层</w:t>
            </w:r>
          </w:p>
          <w:p w:rsidR="00BC07F0" w:rsidRDefault="00073EFB" w:rsidP="00C55F5E">
            <w:pPr>
              <w:ind w:firstLine="480"/>
            </w:pPr>
            <w:r>
              <w:rPr>
                <w:rFonts w:hint="eastAsia"/>
              </w:rPr>
              <w:t>PC-2</w:t>
            </w:r>
            <w:r>
              <w:rPr>
                <w:rFonts w:hint="eastAsia"/>
              </w:rPr>
              <w:t>型乳化沥青透层油</w:t>
            </w:r>
          </w:p>
          <w:p w:rsidR="00BC07F0" w:rsidRDefault="00073EFB" w:rsidP="00C55F5E">
            <w:pPr>
              <w:ind w:firstLine="480"/>
            </w:pPr>
            <w:r>
              <w:rPr>
                <w:rFonts w:hint="eastAsia"/>
              </w:rPr>
              <w:t>20cm5.5%</w:t>
            </w:r>
            <w:r>
              <w:rPr>
                <w:rFonts w:hint="eastAsia"/>
              </w:rPr>
              <w:t>水泥稳定碎石上基层</w:t>
            </w:r>
          </w:p>
          <w:p w:rsidR="00BC07F0" w:rsidRDefault="00073EFB" w:rsidP="00C55F5E">
            <w:pPr>
              <w:ind w:firstLine="480"/>
            </w:pPr>
            <w:r>
              <w:rPr>
                <w:rFonts w:hint="eastAsia"/>
              </w:rPr>
              <w:t>25cm4.0%</w:t>
            </w:r>
            <w:r>
              <w:rPr>
                <w:rFonts w:hint="eastAsia"/>
              </w:rPr>
              <w:t>水泥稳定碎石下基层</w:t>
            </w:r>
          </w:p>
          <w:p w:rsidR="00BC07F0" w:rsidRDefault="00073EFB" w:rsidP="00C55F5E">
            <w:pPr>
              <w:ind w:firstLine="480"/>
            </w:pPr>
            <w:r>
              <w:rPr>
                <w:rFonts w:hint="eastAsia"/>
              </w:rPr>
              <w:t>15cm</w:t>
            </w:r>
            <w:r>
              <w:rPr>
                <w:rFonts w:hint="eastAsia"/>
              </w:rPr>
              <w:t>级配碎石</w:t>
            </w:r>
          </w:p>
          <w:p w:rsidR="00BC07F0" w:rsidRDefault="00073EFB" w:rsidP="00C55F5E">
            <w:pPr>
              <w:ind w:firstLine="480"/>
            </w:pPr>
            <w:r>
              <w:rPr>
                <w:rFonts w:hint="eastAsia"/>
              </w:rPr>
              <w:t>总厚度为</w:t>
            </w:r>
            <w:r>
              <w:rPr>
                <w:rFonts w:hint="eastAsia"/>
              </w:rPr>
              <w:t>76.8cm</w:t>
            </w:r>
          </w:p>
          <w:p w:rsidR="00BC07F0" w:rsidRDefault="00073EFB" w:rsidP="00C55F5E">
            <w:pPr>
              <w:ind w:firstLine="480"/>
            </w:pPr>
            <w:r>
              <w:rPr>
                <w:rFonts w:hint="eastAsia"/>
              </w:rPr>
              <w:t>(2)</w:t>
            </w:r>
            <w:r>
              <w:rPr>
                <w:rFonts w:hint="eastAsia"/>
              </w:rPr>
              <w:t>非机动车道路面结构</w:t>
            </w:r>
          </w:p>
          <w:p w:rsidR="00BC07F0" w:rsidRDefault="00073EFB" w:rsidP="00C55F5E">
            <w:pPr>
              <w:ind w:firstLine="480"/>
            </w:pPr>
            <w:r>
              <w:rPr>
                <w:rFonts w:hint="eastAsia"/>
              </w:rPr>
              <w:t>4cmAC-13C</w:t>
            </w:r>
            <w:r>
              <w:rPr>
                <w:rFonts w:hint="eastAsia"/>
              </w:rPr>
              <w:t>细粒式</w:t>
            </w:r>
            <w:r>
              <w:rPr>
                <w:rFonts w:hint="eastAsia"/>
              </w:rPr>
              <w:t>SBS</w:t>
            </w:r>
            <w:r>
              <w:rPr>
                <w:rFonts w:hint="eastAsia"/>
              </w:rPr>
              <w:t>改性沥青混凝土</w:t>
            </w:r>
          </w:p>
          <w:p w:rsidR="00BC07F0" w:rsidRDefault="00073EFB" w:rsidP="00C55F5E">
            <w:pPr>
              <w:ind w:firstLine="480"/>
            </w:pPr>
            <w:r>
              <w:rPr>
                <w:rFonts w:hint="eastAsia"/>
              </w:rPr>
              <w:lastRenderedPageBreak/>
              <w:t>PCR</w:t>
            </w:r>
            <w:r>
              <w:rPr>
                <w:rFonts w:hint="eastAsia"/>
              </w:rPr>
              <w:t>改性乳化沥青粘层油</w:t>
            </w:r>
          </w:p>
          <w:p w:rsidR="00BC07F0" w:rsidRDefault="00073EFB" w:rsidP="00C55F5E">
            <w:pPr>
              <w:ind w:firstLine="480"/>
            </w:pPr>
            <w:r>
              <w:rPr>
                <w:rFonts w:hint="eastAsia"/>
              </w:rPr>
              <w:t>5cmAC-16C</w:t>
            </w:r>
            <w:r>
              <w:rPr>
                <w:rFonts w:hint="eastAsia"/>
              </w:rPr>
              <w:t>中粒式沥青混凝土</w:t>
            </w:r>
          </w:p>
          <w:p w:rsidR="00BC07F0" w:rsidRDefault="00073EFB" w:rsidP="00C55F5E">
            <w:pPr>
              <w:ind w:firstLine="480"/>
            </w:pPr>
            <w:r>
              <w:rPr>
                <w:rFonts w:hint="eastAsia"/>
              </w:rPr>
              <w:t>0.8cm</w:t>
            </w:r>
            <w:r>
              <w:rPr>
                <w:rFonts w:hint="eastAsia"/>
              </w:rPr>
              <w:t>乳化沥青稀浆下封层</w:t>
            </w:r>
          </w:p>
          <w:p w:rsidR="00BC07F0" w:rsidRDefault="00073EFB" w:rsidP="00C55F5E">
            <w:pPr>
              <w:ind w:firstLine="480"/>
            </w:pPr>
            <w:r>
              <w:rPr>
                <w:rFonts w:hint="eastAsia"/>
              </w:rPr>
              <w:t>PC-2</w:t>
            </w:r>
            <w:r>
              <w:rPr>
                <w:rFonts w:hint="eastAsia"/>
              </w:rPr>
              <w:t>型乳化沥青透层油</w:t>
            </w:r>
          </w:p>
          <w:p w:rsidR="00BC07F0" w:rsidRDefault="00073EFB" w:rsidP="00C55F5E">
            <w:pPr>
              <w:ind w:firstLine="480"/>
            </w:pPr>
            <w:r>
              <w:rPr>
                <w:rFonts w:hint="eastAsia"/>
              </w:rPr>
              <w:t>15cm5.5%</w:t>
            </w:r>
            <w:r>
              <w:rPr>
                <w:rFonts w:hint="eastAsia"/>
              </w:rPr>
              <w:t>水泥稳定碎石上基层</w:t>
            </w:r>
          </w:p>
          <w:p w:rsidR="00BC07F0" w:rsidRDefault="00073EFB" w:rsidP="00C55F5E">
            <w:pPr>
              <w:ind w:firstLine="480"/>
            </w:pPr>
            <w:r>
              <w:rPr>
                <w:rFonts w:hint="eastAsia"/>
              </w:rPr>
              <w:t>15cm4.0%</w:t>
            </w:r>
            <w:r>
              <w:rPr>
                <w:rFonts w:hint="eastAsia"/>
              </w:rPr>
              <w:t>水泥稳定碎石下基层</w:t>
            </w:r>
          </w:p>
          <w:p w:rsidR="00BC07F0" w:rsidRDefault="00073EFB" w:rsidP="00C55F5E">
            <w:pPr>
              <w:ind w:firstLine="480"/>
            </w:pPr>
            <w:r>
              <w:rPr>
                <w:rFonts w:hint="eastAsia"/>
              </w:rPr>
              <w:t>15cm</w:t>
            </w:r>
            <w:r>
              <w:rPr>
                <w:rFonts w:hint="eastAsia"/>
              </w:rPr>
              <w:t>级配碎石</w:t>
            </w:r>
          </w:p>
          <w:p w:rsidR="00BC07F0" w:rsidRDefault="00073EFB" w:rsidP="00C55F5E">
            <w:pPr>
              <w:ind w:firstLine="480"/>
            </w:pPr>
            <w:r>
              <w:rPr>
                <w:rFonts w:hint="eastAsia"/>
              </w:rPr>
              <w:t>总厚度为</w:t>
            </w:r>
            <w:r>
              <w:rPr>
                <w:rFonts w:hint="eastAsia"/>
              </w:rPr>
              <w:t>54.8cm</w:t>
            </w:r>
          </w:p>
          <w:p w:rsidR="00BC07F0" w:rsidRDefault="00073EFB" w:rsidP="00C55F5E">
            <w:pPr>
              <w:ind w:firstLine="480"/>
            </w:pPr>
            <w:r>
              <w:rPr>
                <w:rFonts w:hint="eastAsia"/>
              </w:rPr>
              <w:t>(3)</w:t>
            </w:r>
            <w:r>
              <w:rPr>
                <w:rFonts w:hint="eastAsia"/>
              </w:rPr>
              <w:t>人行道路面结构</w:t>
            </w:r>
          </w:p>
          <w:p w:rsidR="00BC07F0" w:rsidRDefault="00073EFB" w:rsidP="00C55F5E">
            <w:pPr>
              <w:ind w:firstLine="480"/>
            </w:pPr>
            <w:r>
              <w:rPr>
                <w:rFonts w:hint="eastAsia"/>
              </w:rPr>
              <w:t>6cm</w:t>
            </w:r>
            <w:r>
              <w:rPr>
                <w:rFonts w:hint="eastAsia"/>
              </w:rPr>
              <w:t>环保透水砖</w:t>
            </w:r>
          </w:p>
          <w:p w:rsidR="00BC07F0" w:rsidRDefault="00073EFB" w:rsidP="00C55F5E">
            <w:pPr>
              <w:ind w:firstLine="480"/>
            </w:pPr>
            <w:r>
              <w:rPr>
                <w:rFonts w:hint="eastAsia"/>
              </w:rPr>
              <w:t>3cmM7.5</w:t>
            </w:r>
            <w:r>
              <w:rPr>
                <w:rFonts w:hint="eastAsia"/>
              </w:rPr>
              <w:t>水泥砂浆找平层</w:t>
            </w:r>
          </w:p>
          <w:p w:rsidR="00BC07F0" w:rsidRDefault="00073EFB" w:rsidP="00C55F5E">
            <w:pPr>
              <w:ind w:firstLine="480"/>
            </w:pPr>
            <w:r>
              <w:rPr>
                <w:rFonts w:hint="eastAsia"/>
              </w:rPr>
              <w:t>20cmC20</w:t>
            </w:r>
            <w:r>
              <w:rPr>
                <w:rFonts w:hint="eastAsia"/>
              </w:rPr>
              <w:t>水泥混凝土基层</w:t>
            </w:r>
          </w:p>
          <w:p w:rsidR="00BC07F0" w:rsidRDefault="00073EFB" w:rsidP="00C55F5E">
            <w:pPr>
              <w:ind w:firstLine="480"/>
            </w:pPr>
            <w:r>
              <w:rPr>
                <w:rFonts w:hint="eastAsia"/>
              </w:rPr>
              <w:t>总厚度为</w:t>
            </w:r>
            <w:r>
              <w:rPr>
                <w:rFonts w:hint="eastAsia"/>
              </w:rPr>
              <w:t>29cm</w:t>
            </w:r>
            <w:r>
              <w:rPr>
                <w:rFonts w:hint="eastAsia"/>
              </w:rPr>
              <w:t>。</w:t>
            </w:r>
          </w:p>
          <w:p w:rsidR="00BC07F0" w:rsidRDefault="00073EFB" w:rsidP="00C55F5E">
            <w:pPr>
              <w:ind w:firstLine="482"/>
            </w:pPr>
            <w:r>
              <w:rPr>
                <w:rFonts w:hint="eastAsia"/>
                <w:b/>
                <w:bCs/>
              </w:rPr>
              <w:t>2.3.2.9</w:t>
            </w:r>
            <w:r>
              <w:rPr>
                <w:rFonts w:hint="eastAsia"/>
                <w:b/>
                <w:bCs/>
              </w:rPr>
              <w:t>涵洞及地下通道</w:t>
            </w:r>
          </w:p>
          <w:p w:rsidR="00BC07F0" w:rsidRDefault="00073EFB" w:rsidP="00C55F5E">
            <w:pPr>
              <w:ind w:firstLine="480"/>
            </w:pPr>
            <w:r>
              <w:rPr>
                <w:rFonts w:hint="eastAsia"/>
              </w:rPr>
              <w:t>道路全线共设</w:t>
            </w:r>
            <w:r>
              <w:rPr>
                <w:rFonts w:hint="eastAsia"/>
              </w:rPr>
              <w:t>2</w:t>
            </w:r>
            <w:r>
              <w:rPr>
                <w:rFonts w:hint="eastAsia"/>
              </w:rPr>
              <w:t>道</w:t>
            </w:r>
            <w:r>
              <w:rPr>
                <w:rFonts w:hint="eastAsia"/>
              </w:rPr>
              <w:t>1-6m*3m</w:t>
            </w:r>
            <w:r>
              <w:rPr>
                <w:rFonts w:hint="eastAsia"/>
              </w:rPr>
              <w:t>箱涵，</w:t>
            </w:r>
            <w:r>
              <w:rPr>
                <w:rFonts w:hint="eastAsia"/>
              </w:rPr>
              <w:t>4</w:t>
            </w:r>
            <w:r>
              <w:rPr>
                <w:rFonts w:hint="eastAsia"/>
              </w:rPr>
              <w:t>道</w:t>
            </w:r>
            <w:r>
              <w:rPr>
                <w:rFonts w:hint="eastAsia"/>
              </w:rPr>
              <w:t>1-5.1m</w:t>
            </w:r>
            <w:r>
              <w:rPr>
                <w:rFonts w:hint="eastAsia"/>
              </w:rPr>
              <w:t>×</w:t>
            </w:r>
            <w:r>
              <w:rPr>
                <w:rFonts w:hint="eastAsia"/>
              </w:rPr>
              <w:t>2.75m</w:t>
            </w:r>
            <w:r>
              <w:rPr>
                <w:rFonts w:hint="eastAsia"/>
              </w:rPr>
              <w:t>钢筋混凝土箱涵</w:t>
            </w:r>
            <w:r>
              <w:rPr>
                <w:rFonts w:hint="eastAsia"/>
              </w:rPr>
              <w:t>(</w:t>
            </w:r>
            <w:r>
              <w:rPr>
                <w:rFonts w:hint="eastAsia"/>
              </w:rPr>
              <w:t>地下通道</w:t>
            </w:r>
            <w:r>
              <w:rPr>
                <w:rFonts w:hint="eastAsia"/>
              </w:rPr>
              <w:t>)</w:t>
            </w:r>
            <w:r>
              <w:rPr>
                <w:rFonts w:hint="eastAsia"/>
              </w:rPr>
              <w:t>。</w:t>
            </w:r>
          </w:p>
          <w:p w:rsidR="00BC07F0" w:rsidRDefault="00073EFB">
            <w:pPr>
              <w:pStyle w:val="a7"/>
              <w:rPr>
                <w:rFonts w:hint="default"/>
                <w:b/>
                <w:bCs/>
              </w:rPr>
            </w:pPr>
            <w:r>
              <w:rPr>
                <w:b/>
                <w:bCs/>
              </w:rPr>
              <w:t>表</w:t>
            </w:r>
            <w:r>
              <w:rPr>
                <w:b/>
                <w:bCs/>
              </w:rPr>
              <w:t>2.3-4</w:t>
            </w:r>
            <w:r>
              <w:rPr>
                <w:b/>
                <w:bCs/>
              </w:rPr>
              <w:t>涵洞设置一览表</w:t>
            </w:r>
          </w:p>
          <w:tbl>
            <w:tblPr>
              <w:tblW w:w="4962" w:type="pct"/>
              <w:jc w:val="center"/>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Look w:val="04A0"/>
            </w:tblPr>
            <w:tblGrid>
              <w:gridCol w:w="1236"/>
              <w:gridCol w:w="770"/>
              <w:gridCol w:w="1519"/>
              <w:gridCol w:w="823"/>
              <w:gridCol w:w="958"/>
              <w:gridCol w:w="928"/>
              <w:gridCol w:w="928"/>
              <w:gridCol w:w="1002"/>
              <w:gridCol w:w="869"/>
            </w:tblGrid>
            <w:tr w:rsidR="00BC07F0">
              <w:trPr>
                <w:trHeight w:val="397"/>
                <w:jc w:val="center"/>
              </w:trPr>
              <w:tc>
                <w:tcPr>
                  <w:tcW w:w="1240" w:type="dxa"/>
                  <w:tcBorders>
                    <w:tl2br w:val="nil"/>
                    <w:tr2bl w:val="nil"/>
                  </w:tcBorders>
                  <w:shd w:val="clear" w:color="auto" w:fill="auto"/>
                  <w:vAlign w:val="center"/>
                </w:tcPr>
                <w:p w:rsidR="00BC07F0" w:rsidRDefault="00073EFB">
                  <w:pPr>
                    <w:pStyle w:val="a7"/>
                    <w:rPr>
                      <w:rFonts w:hint="default"/>
                    </w:rPr>
                  </w:pPr>
                  <w:r>
                    <w:t>涵洞中心桩号</w:t>
                  </w:r>
                </w:p>
              </w:tc>
              <w:tc>
                <w:tcPr>
                  <w:tcW w:w="772" w:type="dxa"/>
                  <w:vMerge w:val="restart"/>
                  <w:tcBorders>
                    <w:tl2br w:val="nil"/>
                    <w:tr2bl w:val="nil"/>
                  </w:tcBorders>
                  <w:shd w:val="clear" w:color="auto" w:fill="auto"/>
                  <w:vAlign w:val="center"/>
                </w:tcPr>
                <w:p w:rsidR="00BC07F0" w:rsidRDefault="00073EFB">
                  <w:pPr>
                    <w:pStyle w:val="a7"/>
                    <w:rPr>
                      <w:rFonts w:hint="default"/>
                    </w:rPr>
                  </w:pPr>
                  <w:r>
                    <w:t>结构类型</w:t>
                  </w:r>
                </w:p>
              </w:tc>
              <w:tc>
                <w:tcPr>
                  <w:tcW w:w="1523" w:type="dxa"/>
                  <w:tcBorders>
                    <w:tl2br w:val="nil"/>
                    <w:tr2bl w:val="nil"/>
                  </w:tcBorders>
                  <w:shd w:val="clear" w:color="auto" w:fill="auto"/>
                  <w:vAlign w:val="center"/>
                </w:tcPr>
                <w:p w:rsidR="00BC07F0" w:rsidRDefault="00073EFB">
                  <w:pPr>
                    <w:pStyle w:val="a7"/>
                    <w:rPr>
                      <w:rFonts w:hint="default"/>
                    </w:rPr>
                  </w:pPr>
                  <w:r>
                    <w:t>孔数</w:t>
                  </w:r>
                  <w:r>
                    <w:t>--</w:t>
                  </w:r>
                  <w:r>
                    <w:t>跨径×涵高</w:t>
                  </w:r>
                </w:p>
              </w:tc>
              <w:tc>
                <w:tcPr>
                  <w:tcW w:w="825" w:type="dxa"/>
                  <w:vMerge w:val="restart"/>
                  <w:tcBorders>
                    <w:tl2br w:val="nil"/>
                    <w:tr2bl w:val="nil"/>
                  </w:tcBorders>
                  <w:shd w:val="clear" w:color="auto" w:fill="auto"/>
                  <w:vAlign w:val="center"/>
                </w:tcPr>
                <w:p w:rsidR="00BC07F0" w:rsidRDefault="00073EFB">
                  <w:pPr>
                    <w:pStyle w:val="a7"/>
                    <w:rPr>
                      <w:rFonts w:hint="default"/>
                    </w:rPr>
                  </w:pPr>
                  <w:r>
                    <w:t>与路线交角θ</w:t>
                  </w:r>
                </w:p>
              </w:tc>
              <w:tc>
                <w:tcPr>
                  <w:tcW w:w="960" w:type="dxa"/>
                  <w:tcBorders>
                    <w:tl2br w:val="nil"/>
                    <w:tr2bl w:val="nil"/>
                  </w:tcBorders>
                  <w:shd w:val="clear" w:color="auto" w:fill="auto"/>
                  <w:vAlign w:val="center"/>
                </w:tcPr>
                <w:p w:rsidR="00BC07F0" w:rsidRDefault="00073EFB">
                  <w:pPr>
                    <w:pStyle w:val="a7"/>
                    <w:rPr>
                      <w:rFonts w:hint="default"/>
                    </w:rPr>
                  </w:pPr>
                  <w:r>
                    <w:t>填土高度</w:t>
                  </w:r>
                </w:p>
              </w:tc>
              <w:tc>
                <w:tcPr>
                  <w:tcW w:w="930" w:type="dxa"/>
                  <w:tcBorders>
                    <w:tl2br w:val="nil"/>
                    <w:tr2bl w:val="nil"/>
                  </w:tcBorders>
                  <w:shd w:val="clear" w:color="auto" w:fill="auto"/>
                  <w:vAlign w:val="center"/>
                </w:tcPr>
                <w:p w:rsidR="00BC07F0" w:rsidRDefault="00073EFB">
                  <w:pPr>
                    <w:pStyle w:val="a7"/>
                    <w:rPr>
                      <w:rFonts w:hint="default"/>
                    </w:rPr>
                  </w:pPr>
                  <w:r>
                    <w:t>涵长</w:t>
                  </w:r>
                </w:p>
              </w:tc>
              <w:tc>
                <w:tcPr>
                  <w:tcW w:w="930" w:type="dxa"/>
                  <w:tcBorders>
                    <w:tl2br w:val="nil"/>
                    <w:tr2bl w:val="nil"/>
                  </w:tcBorders>
                  <w:shd w:val="clear" w:color="auto" w:fill="auto"/>
                  <w:vAlign w:val="center"/>
                </w:tcPr>
                <w:p w:rsidR="00BC07F0" w:rsidRDefault="00073EFB">
                  <w:pPr>
                    <w:pStyle w:val="a7"/>
                    <w:rPr>
                      <w:rFonts w:hint="default"/>
                    </w:rPr>
                  </w:pPr>
                  <w:r>
                    <w:t>路面设计标高</w:t>
                  </w:r>
                </w:p>
              </w:tc>
              <w:tc>
                <w:tcPr>
                  <w:tcW w:w="1005" w:type="dxa"/>
                  <w:tcBorders>
                    <w:tl2br w:val="nil"/>
                    <w:tr2bl w:val="nil"/>
                  </w:tcBorders>
                  <w:shd w:val="clear" w:color="auto" w:fill="auto"/>
                  <w:vAlign w:val="center"/>
                </w:tcPr>
                <w:p w:rsidR="00BC07F0" w:rsidRDefault="00073EFB">
                  <w:pPr>
                    <w:pStyle w:val="a7"/>
                    <w:rPr>
                      <w:rFonts w:hint="default"/>
                    </w:rPr>
                  </w:pPr>
                  <w:r>
                    <w:t>涵洞内底标高</w:t>
                  </w:r>
                </w:p>
              </w:tc>
              <w:tc>
                <w:tcPr>
                  <w:tcW w:w="871" w:type="dxa"/>
                  <w:tcBorders>
                    <w:tl2br w:val="nil"/>
                    <w:tr2bl w:val="nil"/>
                  </w:tcBorders>
                  <w:shd w:val="clear" w:color="auto" w:fill="auto"/>
                  <w:vAlign w:val="center"/>
                </w:tcPr>
                <w:p w:rsidR="00BC07F0" w:rsidRDefault="00073EFB">
                  <w:pPr>
                    <w:pStyle w:val="a7"/>
                    <w:rPr>
                      <w:rFonts w:hint="default"/>
                    </w:rPr>
                  </w:pPr>
                  <w:r>
                    <w:t>水流方向</w:t>
                  </w:r>
                </w:p>
              </w:tc>
            </w:tr>
            <w:tr w:rsidR="00BC07F0">
              <w:trPr>
                <w:trHeight w:val="397"/>
                <w:jc w:val="center"/>
              </w:trPr>
              <w:tc>
                <w:tcPr>
                  <w:tcW w:w="1240" w:type="dxa"/>
                  <w:tcBorders>
                    <w:tl2br w:val="nil"/>
                    <w:tr2bl w:val="nil"/>
                  </w:tcBorders>
                  <w:shd w:val="clear" w:color="auto" w:fill="auto"/>
                  <w:vAlign w:val="center"/>
                </w:tcPr>
                <w:p w:rsidR="00BC07F0" w:rsidRDefault="00073EFB">
                  <w:pPr>
                    <w:pStyle w:val="a7"/>
                    <w:rPr>
                      <w:rFonts w:hint="default"/>
                    </w:rPr>
                  </w:pPr>
                  <w:r>
                    <w:rPr>
                      <w:rFonts w:hint="default"/>
                    </w:rPr>
                    <w:t>(m)</w:t>
                  </w:r>
                </w:p>
              </w:tc>
              <w:tc>
                <w:tcPr>
                  <w:tcW w:w="772" w:type="dxa"/>
                  <w:vMerge/>
                  <w:tcBorders>
                    <w:tl2br w:val="nil"/>
                    <w:tr2bl w:val="nil"/>
                  </w:tcBorders>
                  <w:shd w:val="clear" w:color="auto" w:fill="auto"/>
                  <w:vAlign w:val="center"/>
                </w:tcPr>
                <w:p w:rsidR="00BC07F0" w:rsidRDefault="00BC07F0">
                  <w:pPr>
                    <w:pStyle w:val="a7"/>
                    <w:rPr>
                      <w:rFonts w:hint="default"/>
                    </w:rPr>
                  </w:pPr>
                </w:p>
              </w:tc>
              <w:tc>
                <w:tcPr>
                  <w:tcW w:w="1523" w:type="dxa"/>
                  <w:tcBorders>
                    <w:tl2br w:val="nil"/>
                    <w:tr2bl w:val="nil"/>
                  </w:tcBorders>
                  <w:shd w:val="clear" w:color="auto" w:fill="auto"/>
                  <w:vAlign w:val="center"/>
                </w:tcPr>
                <w:p w:rsidR="00BC07F0" w:rsidRDefault="00073EFB">
                  <w:pPr>
                    <w:pStyle w:val="a7"/>
                    <w:rPr>
                      <w:rFonts w:hint="default"/>
                    </w:rPr>
                  </w:pPr>
                  <w:r>
                    <w:rPr>
                      <w:rFonts w:hint="default"/>
                    </w:rPr>
                    <w:t>(</w:t>
                  </w:r>
                  <w:r>
                    <w:t>孔</w:t>
                  </w:r>
                  <w:r>
                    <w:t>--</w:t>
                  </w:r>
                  <w:r>
                    <w:t>米×米</w:t>
                  </w:r>
                  <w:r>
                    <w:t>)</w:t>
                  </w:r>
                </w:p>
              </w:tc>
              <w:tc>
                <w:tcPr>
                  <w:tcW w:w="825" w:type="dxa"/>
                  <w:vMerge/>
                  <w:tcBorders>
                    <w:tl2br w:val="nil"/>
                    <w:tr2bl w:val="nil"/>
                  </w:tcBorders>
                  <w:shd w:val="clear" w:color="auto" w:fill="auto"/>
                  <w:vAlign w:val="center"/>
                </w:tcPr>
                <w:p w:rsidR="00BC07F0" w:rsidRDefault="00BC07F0">
                  <w:pPr>
                    <w:pStyle w:val="a7"/>
                    <w:rPr>
                      <w:rFonts w:hint="default"/>
                    </w:rPr>
                  </w:pPr>
                </w:p>
              </w:tc>
              <w:tc>
                <w:tcPr>
                  <w:tcW w:w="960" w:type="dxa"/>
                  <w:tcBorders>
                    <w:tl2br w:val="nil"/>
                    <w:tr2bl w:val="nil"/>
                  </w:tcBorders>
                  <w:shd w:val="clear" w:color="auto" w:fill="auto"/>
                  <w:vAlign w:val="center"/>
                </w:tcPr>
                <w:p w:rsidR="00BC07F0" w:rsidRDefault="00073EFB">
                  <w:pPr>
                    <w:pStyle w:val="a7"/>
                    <w:rPr>
                      <w:rFonts w:hint="default"/>
                    </w:rPr>
                  </w:pPr>
                  <w:r>
                    <w:rPr>
                      <w:rFonts w:hint="default"/>
                    </w:rPr>
                    <w:t>(m)</w:t>
                  </w:r>
                </w:p>
              </w:tc>
              <w:tc>
                <w:tcPr>
                  <w:tcW w:w="930" w:type="dxa"/>
                  <w:tcBorders>
                    <w:tl2br w:val="nil"/>
                    <w:tr2bl w:val="nil"/>
                  </w:tcBorders>
                  <w:shd w:val="clear" w:color="auto" w:fill="auto"/>
                  <w:vAlign w:val="center"/>
                </w:tcPr>
                <w:p w:rsidR="00BC07F0" w:rsidRDefault="00073EFB">
                  <w:pPr>
                    <w:pStyle w:val="a7"/>
                    <w:rPr>
                      <w:rFonts w:hint="default"/>
                    </w:rPr>
                  </w:pPr>
                  <w:r>
                    <w:rPr>
                      <w:rFonts w:hint="default"/>
                    </w:rPr>
                    <w:t>(m)</w:t>
                  </w:r>
                </w:p>
              </w:tc>
              <w:tc>
                <w:tcPr>
                  <w:tcW w:w="930" w:type="dxa"/>
                  <w:tcBorders>
                    <w:tl2br w:val="nil"/>
                    <w:tr2bl w:val="nil"/>
                  </w:tcBorders>
                  <w:shd w:val="clear" w:color="auto" w:fill="auto"/>
                  <w:vAlign w:val="center"/>
                </w:tcPr>
                <w:p w:rsidR="00BC07F0" w:rsidRDefault="00073EFB">
                  <w:pPr>
                    <w:pStyle w:val="a7"/>
                    <w:rPr>
                      <w:rFonts w:hint="default"/>
                    </w:rPr>
                  </w:pPr>
                  <w:r>
                    <w:rPr>
                      <w:rFonts w:hint="default"/>
                    </w:rPr>
                    <w:t>(m)</w:t>
                  </w:r>
                </w:p>
              </w:tc>
              <w:tc>
                <w:tcPr>
                  <w:tcW w:w="1005" w:type="dxa"/>
                  <w:tcBorders>
                    <w:tl2br w:val="nil"/>
                    <w:tr2bl w:val="nil"/>
                  </w:tcBorders>
                  <w:shd w:val="clear" w:color="auto" w:fill="auto"/>
                  <w:vAlign w:val="center"/>
                </w:tcPr>
                <w:p w:rsidR="00BC07F0" w:rsidRDefault="00073EFB">
                  <w:pPr>
                    <w:pStyle w:val="a7"/>
                    <w:rPr>
                      <w:rFonts w:hint="default"/>
                    </w:rPr>
                  </w:pPr>
                  <w:r>
                    <w:rPr>
                      <w:rFonts w:hint="default"/>
                    </w:rPr>
                    <w:t>(m)</w:t>
                  </w:r>
                </w:p>
              </w:tc>
              <w:tc>
                <w:tcPr>
                  <w:tcW w:w="871" w:type="dxa"/>
                  <w:tcBorders>
                    <w:tl2br w:val="nil"/>
                    <w:tr2bl w:val="nil"/>
                  </w:tcBorders>
                  <w:shd w:val="clear" w:color="auto" w:fill="auto"/>
                  <w:vAlign w:val="center"/>
                </w:tcPr>
                <w:p w:rsidR="00BC07F0" w:rsidRDefault="00073EFB">
                  <w:pPr>
                    <w:pStyle w:val="a7"/>
                    <w:rPr>
                      <w:rFonts w:hint="default"/>
                    </w:rPr>
                  </w:pPr>
                  <w:r>
                    <w:t>左—右</w:t>
                  </w:r>
                </w:p>
              </w:tc>
            </w:tr>
            <w:tr w:rsidR="00BC07F0">
              <w:trPr>
                <w:trHeight w:val="397"/>
                <w:jc w:val="center"/>
              </w:trPr>
              <w:tc>
                <w:tcPr>
                  <w:tcW w:w="1240" w:type="dxa"/>
                  <w:tcBorders>
                    <w:tl2br w:val="nil"/>
                    <w:tr2bl w:val="nil"/>
                  </w:tcBorders>
                  <w:shd w:val="clear" w:color="auto" w:fill="auto"/>
                  <w:vAlign w:val="center"/>
                </w:tcPr>
                <w:p w:rsidR="00BC07F0" w:rsidRDefault="00073EFB">
                  <w:pPr>
                    <w:pStyle w:val="a7"/>
                    <w:rPr>
                      <w:rFonts w:hint="default"/>
                    </w:rPr>
                  </w:pPr>
                  <w:r>
                    <w:rPr>
                      <w:rFonts w:hint="default"/>
                    </w:rPr>
                    <w:t>K0+562</w:t>
                  </w:r>
                </w:p>
              </w:tc>
              <w:tc>
                <w:tcPr>
                  <w:tcW w:w="772" w:type="dxa"/>
                  <w:tcBorders>
                    <w:tl2br w:val="nil"/>
                    <w:tr2bl w:val="nil"/>
                  </w:tcBorders>
                  <w:shd w:val="clear" w:color="auto" w:fill="auto"/>
                  <w:vAlign w:val="center"/>
                </w:tcPr>
                <w:p w:rsidR="00BC07F0" w:rsidRDefault="00073EFB">
                  <w:pPr>
                    <w:pStyle w:val="a7"/>
                    <w:rPr>
                      <w:rFonts w:hint="default"/>
                    </w:rPr>
                  </w:pPr>
                  <w:r>
                    <w:t>箱涵</w:t>
                  </w:r>
                </w:p>
              </w:tc>
              <w:tc>
                <w:tcPr>
                  <w:tcW w:w="1523" w:type="dxa"/>
                  <w:tcBorders>
                    <w:tl2br w:val="nil"/>
                    <w:tr2bl w:val="nil"/>
                  </w:tcBorders>
                  <w:shd w:val="clear" w:color="auto" w:fill="auto"/>
                  <w:vAlign w:val="center"/>
                </w:tcPr>
                <w:p w:rsidR="00BC07F0" w:rsidRDefault="00073EFB">
                  <w:pPr>
                    <w:pStyle w:val="a7"/>
                    <w:rPr>
                      <w:rFonts w:hint="default"/>
                    </w:rPr>
                  </w:pPr>
                  <w:r>
                    <w:rPr>
                      <w:rFonts w:hint="default"/>
                    </w:rPr>
                    <w:t>1-6.0</w:t>
                  </w:r>
                  <w:r>
                    <w:t>×</w:t>
                  </w:r>
                  <w:r>
                    <w:t>3.0m</w:t>
                  </w:r>
                </w:p>
              </w:tc>
              <w:tc>
                <w:tcPr>
                  <w:tcW w:w="825" w:type="dxa"/>
                  <w:tcBorders>
                    <w:tl2br w:val="nil"/>
                    <w:tr2bl w:val="nil"/>
                  </w:tcBorders>
                  <w:shd w:val="clear" w:color="auto" w:fill="auto"/>
                  <w:vAlign w:val="center"/>
                </w:tcPr>
                <w:p w:rsidR="00BC07F0" w:rsidRDefault="00073EFB">
                  <w:pPr>
                    <w:pStyle w:val="a7"/>
                    <w:rPr>
                      <w:rFonts w:hint="default"/>
                    </w:rPr>
                  </w:pPr>
                  <w:r>
                    <w:rPr>
                      <w:rFonts w:hint="default"/>
                    </w:rPr>
                    <w:t>100</w:t>
                  </w:r>
                </w:p>
              </w:tc>
              <w:tc>
                <w:tcPr>
                  <w:tcW w:w="960" w:type="dxa"/>
                  <w:tcBorders>
                    <w:tl2br w:val="nil"/>
                    <w:tr2bl w:val="nil"/>
                  </w:tcBorders>
                  <w:shd w:val="clear" w:color="auto" w:fill="auto"/>
                  <w:vAlign w:val="center"/>
                </w:tcPr>
                <w:p w:rsidR="00BC07F0" w:rsidRDefault="00073EFB">
                  <w:pPr>
                    <w:pStyle w:val="a7"/>
                    <w:rPr>
                      <w:rFonts w:hint="default"/>
                    </w:rPr>
                  </w:pPr>
                  <w:r>
                    <w:rPr>
                      <w:rFonts w:hint="default"/>
                    </w:rPr>
                    <w:t>4.29</w:t>
                  </w:r>
                </w:p>
              </w:tc>
              <w:tc>
                <w:tcPr>
                  <w:tcW w:w="930" w:type="dxa"/>
                  <w:tcBorders>
                    <w:tl2br w:val="nil"/>
                    <w:tr2bl w:val="nil"/>
                  </w:tcBorders>
                  <w:shd w:val="clear" w:color="auto" w:fill="auto"/>
                  <w:vAlign w:val="center"/>
                </w:tcPr>
                <w:p w:rsidR="00BC07F0" w:rsidRDefault="00073EFB">
                  <w:pPr>
                    <w:pStyle w:val="a7"/>
                    <w:rPr>
                      <w:rFonts w:hint="default"/>
                    </w:rPr>
                  </w:pPr>
                  <w:r>
                    <w:rPr>
                      <w:rFonts w:hint="default"/>
                    </w:rPr>
                    <w:t>54</w:t>
                  </w:r>
                </w:p>
              </w:tc>
              <w:tc>
                <w:tcPr>
                  <w:tcW w:w="930" w:type="dxa"/>
                  <w:tcBorders>
                    <w:tl2br w:val="nil"/>
                    <w:tr2bl w:val="nil"/>
                  </w:tcBorders>
                  <w:shd w:val="clear" w:color="auto" w:fill="auto"/>
                  <w:vAlign w:val="center"/>
                </w:tcPr>
                <w:p w:rsidR="00BC07F0" w:rsidRDefault="00073EFB">
                  <w:pPr>
                    <w:pStyle w:val="a7"/>
                    <w:rPr>
                      <w:rFonts w:hint="default"/>
                    </w:rPr>
                  </w:pPr>
                  <w:r>
                    <w:rPr>
                      <w:rFonts w:hint="default"/>
                    </w:rPr>
                    <w:t>59.67</w:t>
                  </w:r>
                </w:p>
              </w:tc>
              <w:tc>
                <w:tcPr>
                  <w:tcW w:w="1005" w:type="dxa"/>
                  <w:tcBorders>
                    <w:tl2br w:val="nil"/>
                    <w:tr2bl w:val="nil"/>
                  </w:tcBorders>
                  <w:shd w:val="clear" w:color="auto" w:fill="auto"/>
                  <w:vAlign w:val="center"/>
                </w:tcPr>
                <w:p w:rsidR="00BC07F0" w:rsidRDefault="00073EFB">
                  <w:pPr>
                    <w:pStyle w:val="a7"/>
                    <w:rPr>
                      <w:rFonts w:hint="default"/>
                    </w:rPr>
                  </w:pPr>
                  <w:r>
                    <w:rPr>
                      <w:rFonts w:hint="default"/>
                    </w:rPr>
                    <w:t>51.88</w:t>
                  </w:r>
                </w:p>
              </w:tc>
              <w:tc>
                <w:tcPr>
                  <w:tcW w:w="871" w:type="dxa"/>
                  <w:tcBorders>
                    <w:tl2br w:val="nil"/>
                    <w:tr2bl w:val="nil"/>
                  </w:tcBorders>
                  <w:shd w:val="clear" w:color="auto" w:fill="auto"/>
                  <w:vAlign w:val="center"/>
                </w:tcPr>
                <w:p w:rsidR="00BC07F0" w:rsidRDefault="00073EFB">
                  <w:pPr>
                    <w:pStyle w:val="a7"/>
                    <w:rPr>
                      <w:rFonts w:hint="default"/>
                    </w:rPr>
                  </w:pPr>
                  <w:r>
                    <w:t>←</w:t>
                  </w:r>
                </w:p>
              </w:tc>
            </w:tr>
            <w:tr w:rsidR="00BC07F0">
              <w:trPr>
                <w:trHeight w:val="397"/>
                <w:jc w:val="center"/>
              </w:trPr>
              <w:tc>
                <w:tcPr>
                  <w:tcW w:w="1240" w:type="dxa"/>
                  <w:tcBorders>
                    <w:tl2br w:val="nil"/>
                    <w:tr2bl w:val="nil"/>
                  </w:tcBorders>
                  <w:shd w:val="clear" w:color="auto" w:fill="auto"/>
                  <w:vAlign w:val="center"/>
                </w:tcPr>
                <w:p w:rsidR="00BC07F0" w:rsidRDefault="00073EFB">
                  <w:pPr>
                    <w:pStyle w:val="a7"/>
                    <w:rPr>
                      <w:rFonts w:hint="default"/>
                    </w:rPr>
                  </w:pPr>
                  <w:r>
                    <w:rPr>
                      <w:rFonts w:hint="default"/>
                    </w:rPr>
                    <w:t>K2+062.04</w:t>
                  </w:r>
                </w:p>
              </w:tc>
              <w:tc>
                <w:tcPr>
                  <w:tcW w:w="772" w:type="dxa"/>
                  <w:tcBorders>
                    <w:tl2br w:val="nil"/>
                    <w:tr2bl w:val="nil"/>
                  </w:tcBorders>
                  <w:shd w:val="clear" w:color="auto" w:fill="auto"/>
                  <w:vAlign w:val="center"/>
                </w:tcPr>
                <w:p w:rsidR="00BC07F0" w:rsidRDefault="00073EFB">
                  <w:pPr>
                    <w:pStyle w:val="a7"/>
                    <w:rPr>
                      <w:rFonts w:hint="default"/>
                    </w:rPr>
                  </w:pPr>
                  <w:r>
                    <w:t>箱涵</w:t>
                  </w:r>
                </w:p>
              </w:tc>
              <w:tc>
                <w:tcPr>
                  <w:tcW w:w="1523" w:type="dxa"/>
                  <w:tcBorders>
                    <w:tl2br w:val="nil"/>
                    <w:tr2bl w:val="nil"/>
                  </w:tcBorders>
                  <w:shd w:val="clear" w:color="auto" w:fill="auto"/>
                  <w:vAlign w:val="center"/>
                </w:tcPr>
                <w:p w:rsidR="00BC07F0" w:rsidRDefault="00073EFB">
                  <w:pPr>
                    <w:pStyle w:val="a7"/>
                    <w:rPr>
                      <w:rFonts w:hint="default"/>
                    </w:rPr>
                  </w:pPr>
                  <w:r>
                    <w:rPr>
                      <w:rFonts w:hint="default"/>
                    </w:rPr>
                    <w:t>1-6.0</w:t>
                  </w:r>
                  <w:r>
                    <w:t>×</w:t>
                  </w:r>
                  <w:r>
                    <w:t>3.0m</w:t>
                  </w:r>
                </w:p>
              </w:tc>
              <w:tc>
                <w:tcPr>
                  <w:tcW w:w="825" w:type="dxa"/>
                  <w:tcBorders>
                    <w:tl2br w:val="nil"/>
                    <w:tr2bl w:val="nil"/>
                  </w:tcBorders>
                  <w:shd w:val="clear" w:color="auto" w:fill="auto"/>
                  <w:vAlign w:val="center"/>
                </w:tcPr>
                <w:p w:rsidR="00BC07F0" w:rsidRDefault="00073EFB">
                  <w:pPr>
                    <w:pStyle w:val="a7"/>
                    <w:rPr>
                      <w:rFonts w:hint="default"/>
                    </w:rPr>
                  </w:pPr>
                  <w:r>
                    <w:rPr>
                      <w:rFonts w:hint="default"/>
                    </w:rPr>
                    <w:t>90</w:t>
                  </w:r>
                </w:p>
              </w:tc>
              <w:tc>
                <w:tcPr>
                  <w:tcW w:w="960" w:type="dxa"/>
                  <w:tcBorders>
                    <w:tl2br w:val="nil"/>
                    <w:tr2bl w:val="nil"/>
                  </w:tcBorders>
                  <w:shd w:val="clear" w:color="auto" w:fill="auto"/>
                  <w:vAlign w:val="center"/>
                </w:tcPr>
                <w:p w:rsidR="00BC07F0" w:rsidRDefault="00073EFB">
                  <w:pPr>
                    <w:pStyle w:val="a7"/>
                    <w:rPr>
                      <w:rFonts w:hint="default"/>
                    </w:rPr>
                  </w:pPr>
                  <w:r>
                    <w:rPr>
                      <w:rFonts w:hint="default"/>
                    </w:rPr>
                    <w:t>5.58</w:t>
                  </w:r>
                </w:p>
              </w:tc>
              <w:tc>
                <w:tcPr>
                  <w:tcW w:w="930" w:type="dxa"/>
                  <w:tcBorders>
                    <w:tl2br w:val="nil"/>
                    <w:tr2bl w:val="nil"/>
                  </w:tcBorders>
                  <w:shd w:val="clear" w:color="auto" w:fill="auto"/>
                  <w:vAlign w:val="center"/>
                </w:tcPr>
                <w:p w:rsidR="00BC07F0" w:rsidRDefault="00073EFB">
                  <w:pPr>
                    <w:pStyle w:val="a7"/>
                    <w:rPr>
                      <w:rFonts w:hint="default"/>
                    </w:rPr>
                  </w:pPr>
                  <w:r>
                    <w:rPr>
                      <w:rFonts w:hint="default"/>
                    </w:rPr>
                    <w:t>57</w:t>
                  </w:r>
                </w:p>
              </w:tc>
              <w:tc>
                <w:tcPr>
                  <w:tcW w:w="930" w:type="dxa"/>
                  <w:tcBorders>
                    <w:tl2br w:val="nil"/>
                    <w:tr2bl w:val="nil"/>
                  </w:tcBorders>
                  <w:shd w:val="clear" w:color="auto" w:fill="auto"/>
                  <w:vAlign w:val="center"/>
                </w:tcPr>
                <w:p w:rsidR="00BC07F0" w:rsidRDefault="00073EFB">
                  <w:pPr>
                    <w:pStyle w:val="a7"/>
                    <w:rPr>
                      <w:rFonts w:hint="default"/>
                    </w:rPr>
                  </w:pPr>
                  <w:r>
                    <w:rPr>
                      <w:rFonts w:hint="default"/>
                    </w:rPr>
                    <w:t>59.48</w:t>
                  </w:r>
                </w:p>
              </w:tc>
              <w:tc>
                <w:tcPr>
                  <w:tcW w:w="1005" w:type="dxa"/>
                  <w:tcBorders>
                    <w:tl2br w:val="nil"/>
                    <w:tr2bl w:val="nil"/>
                  </w:tcBorders>
                  <w:shd w:val="clear" w:color="auto" w:fill="auto"/>
                  <w:vAlign w:val="center"/>
                </w:tcPr>
                <w:p w:rsidR="00BC07F0" w:rsidRDefault="00073EFB">
                  <w:pPr>
                    <w:pStyle w:val="a7"/>
                    <w:rPr>
                      <w:rFonts w:hint="default"/>
                    </w:rPr>
                  </w:pPr>
                  <w:r>
                    <w:rPr>
                      <w:rFonts w:hint="default"/>
                    </w:rPr>
                    <w:t>50.4</w:t>
                  </w:r>
                </w:p>
              </w:tc>
              <w:tc>
                <w:tcPr>
                  <w:tcW w:w="871" w:type="dxa"/>
                  <w:tcBorders>
                    <w:tl2br w:val="nil"/>
                    <w:tr2bl w:val="nil"/>
                  </w:tcBorders>
                  <w:shd w:val="clear" w:color="auto" w:fill="auto"/>
                  <w:vAlign w:val="center"/>
                </w:tcPr>
                <w:p w:rsidR="00BC07F0" w:rsidRDefault="00073EFB">
                  <w:pPr>
                    <w:pStyle w:val="a7"/>
                    <w:rPr>
                      <w:rFonts w:hint="default"/>
                    </w:rPr>
                  </w:pPr>
                  <w:r>
                    <w:t>←</w:t>
                  </w:r>
                </w:p>
              </w:tc>
            </w:tr>
          </w:tbl>
          <w:p w:rsidR="00BC07F0" w:rsidRDefault="00073EFB" w:rsidP="00C55F5E">
            <w:pPr>
              <w:ind w:firstLine="480"/>
            </w:pPr>
            <w:r>
              <w:rPr>
                <w:rFonts w:hint="eastAsia"/>
              </w:rPr>
              <w:t>通过对道路沿线现状和两侧用地规划分析，同时结合规划的公交站台设计，保证人行安全过街和方便道路两厢用地需求，本次道路设计范围共需设置人行立体过街设施</w:t>
            </w:r>
            <w:r>
              <w:rPr>
                <w:rFonts w:hint="eastAsia"/>
              </w:rPr>
              <w:t>4</w:t>
            </w:r>
            <w:r>
              <w:rPr>
                <w:rFonts w:hint="eastAsia"/>
              </w:rPr>
              <w:t>处，具体设置位置如下表表</w:t>
            </w:r>
            <w:r>
              <w:rPr>
                <w:rFonts w:hint="eastAsia"/>
              </w:rPr>
              <w:t>2.3-</w:t>
            </w:r>
            <w:r>
              <w:rPr>
                <w:rFonts w:hint="eastAsia"/>
              </w:rPr>
              <w:t>5</w:t>
            </w:r>
            <w:r>
              <w:rPr>
                <w:rFonts w:hint="eastAsia"/>
              </w:rPr>
              <w:t>。</w:t>
            </w:r>
          </w:p>
          <w:p w:rsidR="00BC07F0" w:rsidRDefault="00073EFB">
            <w:pPr>
              <w:pStyle w:val="a7"/>
              <w:rPr>
                <w:rFonts w:hint="default"/>
                <w:b/>
                <w:bCs/>
              </w:rPr>
            </w:pPr>
            <w:r>
              <w:rPr>
                <w:b/>
                <w:bCs/>
              </w:rPr>
              <w:t>表</w:t>
            </w:r>
            <w:r>
              <w:rPr>
                <w:b/>
                <w:bCs/>
              </w:rPr>
              <w:t>2.3-5</w:t>
            </w:r>
            <w:r>
              <w:rPr>
                <w:b/>
                <w:bCs/>
              </w:rPr>
              <w:t>地下通道设置一览表</w:t>
            </w:r>
          </w:p>
          <w:tbl>
            <w:tblPr>
              <w:tblW w:w="4945" w:type="pct"/>
              <w:jc w:val="center"/>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Look w:val="04A0"/>
            </w:tblPr>
            <w:tblGrid>
              <w:gridCol w:w="1401"/>
              <w:gridCol w:w="1405"/>
              <w:gridCol w:w="1867"/>
              <w:gridCol w:w="778"/>
              <w:gridCol w:w="868"/>
              <w:gridCol w:w="973"/>
              <w:gridCol w:w="852"/>
              <w:gridCol w:w="858"/>
            </w:tblGrid>
            <w:tr w:rsidR="00BC07F0">
              <w:trPr>
                <w:trHeight w:val="397"/>
                <w:jc w:val="center"/>
              </w:trPr>
              <w:tc>
                <w:tcPr>
                  <w:tcW w:w="1405" w:type="dxa"/>
                  <w:vMerge w:val="restart"/>
                  <w:tcBorders>
                    <w:tl2br w:val="nil"/>
                    <w:tr2bl w:val="nil"/>
                  </w:tcBorders>
                  <w:shd w:val="clear" w:color="auto" w:fill="auto"/>
                  <w:vAlign w:val="center"/>
                </w:tcPr>
                <w:p w:rsidR="00BC07F0" w:rsidRDefault="00073EFB">
                  <w:pPr>
                    <w:pStyle w:val="a7"/>
                    <w:rPr>
                      <w:rFonts w:hint="default"/>
                    </w:rPr>
                  </w:pPr>
                  <w:r>
                    <w:t>中</w:t>
                  </w:r>
                  <w:r>
                    <w:t>心桩号</w:t>
                  </w:r>
                </w:p>
              </w:tc>
              <w:tc>
                <w:tcPr>
                  <w:tcW w:w="1409" w:type="dxa"/>
                  <w:vMerge w:val="restart"/>
                  <w:tcBorders>
                    <w:tl2br w:val="nil"/>
                    <w:tr2bl w:val="nil"/>
                  </w:tcBorders>
                  <w:shd w:val="clear" w:color="auto" w:fill="auto"/>
                  <w:vAlign w:val="center"/>
                </w:tcPr>
                <w:p w:rsidR="00BC07F0" w:rsidRDefault="00073EFB">
                  <w:pPr>
                    <w:pStyle w:val="a7"/>
                    <w:rPr>
                      <w:rFonts w:hint="default"/>
                    </w:rPr>
                  </w:pPr>
                  <w:r>
                    <w:t>结</w:t>
                  </w:r>
                  <w:r>
                    <w:t>构类型</w:t>
                  </w:r>
                </w:p>
              </w:tc>
              <w:tc>
                <w:tcPr>
                  <w:tcW w:w="1872" w:type="dxa"/>
                  <w:tcBorders>
                    <w:tl2br w:val="nil"/>
                    <w:tr2bl w:val="nil"/>
                  </w:tcBorders>
                  <w:shd w:val="clear" w:color="auto" w:fill="auto"/>
                  <w:vAlign w:val="center"/>
                </w:tcPr>
                <w:p w:rsidR="00BC07F0" w:rsidRDefault="00073EFB">
                  <w:pPr>
                    <w:pStyle w:val="a7"/>
                    <w:rPr>
                      <w:rFonts w:hint="default"/>
                    </w:rPr>
                  </w:pPr>
                  <w:r>
                    <w:t>孔</w:t>
                  </w:r>
                  <w:r>
                    <w:t>数</w:t>
                  </w:r>
                  <w:r>
                    <w:t>-</w:t>
                  </w:r>
                  <w:r>
                    <w:t>净跨×净高</w:t>
                  </w:r>
                </w:p>
              </w:tc>
              <w:tc>
                <w:tcPr>
                  <w:tcW w:w="780" w:type="dxa"/>
                  <w:tcBorders>
                    <w:tl2br w:val="nil"/>
                    <w:tr2bl w:val="nil"/>
                  </w:tcBorders>
                  <w:shd w:val="clear" w:color="auto" w:fill="auto"/>
                  <w:vAlign w:val="center"/>
                </w:tcPr>
                <w:p w:rsidR="00BC07F0" w:rsidRDefault="00073EFB">
                  <w:pPr>
                    <w:pStyle w:val="a7"/>
                    <w:rPr>
                      <w:rFonts w:hint="default"/>
                    </w:rPr>
                  </w:pPr>
                  <w:r>
                    <w:t>交角</w:t>
                  </w:r>
                </w:p>
              </w:tc>
              <w:tc>
                <w:tcPr>
                  <w:tcW w:w="870" w:type="dxa"/>
                  <w:tcBorders>
                    <w:tl2br w:val="nil"/>
                    <w:tr2bl w:val="nil"/>
                  </w:tcBorders>
                  <w:shd w:val="clear" w:color="auto" w:fill="auto"/>
                  <w:vAlign w:val="center"/>
                </w:tcPr>
                <w:p w:rsidR="00BC07F0" w:rsidRDefault="00073EFB">
                  <w:pPr>
                    <w:pStyle w:val="a7"/>
                    <w:rPr>
                      <w:rFonts w:hint="default"/>
                    </w:rPr>
                  </w:pPr>
                  <w:r>
                    <w:t>路</w:t>
                  </w:r>
                  <w:r>
                    <w:t>面设计高程</w:t>
                  </w:r>
                </w:p>
              </w:tc>
              <w:tc>
                <w:tcPr>
                  <w:tcW w:w="975" w:type="dxa"/>
                  <w:tcBorders>
                    <w:tl2br w:val="nil"/>
                    <w:tr2bl w:val="nil"/>
                  </w:tcBorders>
                  <w:shd w:val="clear" w:color="auto" w:fill="auto"/>
                  <w:vAlign w:val="center"/>
                </w:tcPr>
                <w:p w:rsidR="00BC07F0" w:rsidRDefault="00073EFB">
                  <w:pPr>
                    <w:pStyle w:val="a7"/>
                    <w:rPr>
                      <w:rFonts w:hint="default"/>
                    </w:rPr>
                  </w:pPr>
                  <w:r>
                    <w:t>涵</w:t>
                  </w:r>
                  <w:r>
                    <w:t>底高程</w:t>
                  </w:r>
                </w:p>
              </w:tc>
              <w:tc>
                <w:tcPr>
                  <w:tcW w:w="854" w:type="dxa"/>
                  <w:tcBorders>
                    <w:tl2br w:val="nil"/>
                    <w:tr2bl w:val="nil"/>
                  </w:tcBorders>
                  <w:shd w:val="clear" w:color="auto" w:fill="auto"/>
                  <w:vAlign w:val="center"/>
                </w:tcPr>
                <w:p w:rsidR="00BC07F0" w:rsidRDefault="00073EFB">
                  <w:pPr>
                    <w:pStyle w:val="a7"/>
                    <w:rPr>
                      <w:rFonts w:hint="default"/>
                    </w:rPr>
                  </w:pPr>
                  <w:r>
                    <w:t>填土</w:t>
                  </w:r>
                  <w:r>
                    <w:t>高度</w:t>
                  </w:r>
                </w:p>
              </w:tc>
              <w:tc>
                <w:tcPr>
                  <w:tcW w:w="860" w:type="dxa"/>
                  <w:tcBorders>
                    <w:tl2br w:val="nil"/>
                    <w:tr2bl w:val="nil"/>
                  </w:tcBorders>
                  <w:shd w:val="clear" w:color="auto" w:fill="auto"/>
                  <w:vAlign w:val="center"/>
                </w:tcPr>
                <w:p w:rsidR="00BC07F0" w:rsidRDefault="00073EFB">
                  <w:pPr>
                    <w:pStyle w:val="a7"/>
                    <w:rPr>
                      <w:rFonts w:hint="default"/>
                    </w:rPr>
                  </w:pPr>
                  <w:r>
                    <w:t>通</w:t>
                  </w:r>
                  <w:r>
                    <w:t>道长度</w:t>
                  </w:r>
                </w:p>
              </w:tc>
            </w:tr>
            <w:tr w:rsidR="00BC07F0">
              <w:trPr>
                <w:trHeight w:val="397"/>
                <w:jc w:val="center"/>
              </w:trPr>
              <w:tc>
                <w:tcPr>
                  <w:tcW w:w="1405" w:type="dxa"/>
                  <w:vMerge/>
                  <w:tcBorders>
                    <w:tl2br w:val="nil"/>
                    <w:tr2bl w:val="nil"/>
                  </w:tcBorders>
                  <w:shd w:val="clear" w:color="auto" w:fill="auto"/>
                  <w:vAlign w:val="center"/>
                </w:tcPr>
                <w:p w:rsidR="00BC07F0" w:rsidRDefault="00BC07F0">
                  <w:pPr>
                    <w:pStyle w:val="a7"/>
                    <w:rPr>
                      <w:rFonts w:hint="default"/>
                    </w:rPr>
                  </w:pPr>
                </w:p>
              </w:tc>
              <w:tc>
                <w:tcPr>
                  <w:tcW w:w="1409" w:type="dxa"/>
                  <w:vMerge/>
                  <w:tcBorders>
                    <w:tl2br w:val="nil"/>
                    <w:tr2bl w:val="nil"/>
                  </w:tcBorders>
                  <w:shd w:val="clear" w:color="auto" w:fill="auto"/>
                  <w:vAlign w:val="center"/>
                </w:tcPr>
                <w:p w:rsidR="00BC07F0" w:rsidRDefault="00BC07F0">
                  <w:pPr>
                    <w:pStyle w:val="a7"/>
                    <w:rPr>
                      <w:rFonts w:hint="default"/>
                    </w:rPr>
                  </w:pPr>
                </w:p>
              </w:tc>
              <w:tc>
                <w:tcPr>
                  <w:tcW w:w="1872" w:type="dxa"/>
                  <w:tcBorders>
                    <w:tl2br w:val="nil"/>
                    <w:tr2bl w:val="nil"/>
                  </w:tcBorders>
                  <w:shd w:val="clear" w:color="auto" w:fill="auto"/>
                  <w:vAlign w:val="center"/>
                </w:tcPr>
                <w:p w:rsidR="00BC07F0" w:rsidRDefault="00073EFB">
                  <w:pPr>
                    <w:pStyle w:val="a7"/>
                    <w:rPr>
                      <w:rFonts w:hint="default"/>
                    </w:rPr>
                  </w:pPr>
                  <w:r>
                    <w:t>(</w:t>
                  </w:r>
                  <w:r>
                    <w:t>孔</w:t>
                  </w:r>
                  <w:r>
                    <w:t>-m)</w:t>
                  </w:r>
                </w:p>
              </w:tc>
              <w:tc>
                <w:tcPr>
                  <w:tcW w:w="780" w:type="dxa"/>
                  <w:tcBorders>
                    <w:tl2br w:val="nil"/>
                    <w:tr2bl w:val="nil"/>
                  </w:tcBorders>
                  <w:shd w:val="clear" w:color="auto" w:fill="auto"/>
                  <w:vAlign w:val="center"/>
                </w:tcPr>
                <w:p w:rsidR="00BC07F0" w:rsidRDefault="00073EFB">
                  <w:pPr>
                    <w:pStyle w:val="a7"/>
                    <w:rPr>
                      <w:rFonts w:hint="default"/>
                    </w:rPr>
                  </w:pPr>
                  <w:r>
                    <w:t>(</w:t>
                  </w:r>
                  <w:r>
                    <w:t>o)</w:t>
                  </w:r>
                </w:p>
              </w:tc>
              <w:tc>
                <w:tcPr>
                  <w:tcW w:w="870" w:type="dxa"/>
                  <w:tcBorders>
                    <w:tl2br w:val="nil"/>
                    <w:tr2bl w:val="nil"/>
                  </w:tcBorders>
                  <w:shd w:val="clear" w:color="auto" w:fill="auto"/>
                  <w:vAlign w:val="center"/>
                </w:tcPr>
                <w:p w:rsidR="00BC07F0" w:rsidRDefault="00073EFB">
                  <w:pPr>
                    <w:pStyle w:val="a7"/>
                    <w:rPr>
                      <w:rFonts w:hint="default"/>
                    </w:rPr>
                  </w:pPr>
                  <w:r>
                    <w:t>(</w:t>
                  </w:r>
                  <w:r>
                    <w:t>m)</w:t>
                  </w:r>
                </w:p>
              </w:tc>
              <w:tc>
                <w:tcPr>
                  <w:tcW w:w="975" w:type="dxa"/>
                  <w:tcBorders>
                    <w:tl2br w:val="nil"/>
                    <w:tr2bl w:val="nil"/>
                  </w:tcBorders>
                  <w:shd w:val="clear" w:color="auto" w:fill="auto"/>
                  <w:vAlign w:val="center"/>
                </w:tcPr>
                <w:p w:rsidR="00BC07F0" w:rsidRDefault="00073EFB">
                  <w:pPr>
                    <w:pStyle w:val="a7"/>
                    <w:rPr>
                      <w:rFonts w:hint="default"/>
                    </w:rPr>
                  </w:pPr>
                  <w:r>
                    <w:t>(</w:t>
                  </w:r>
                  <w:r>
                    <w:t>m)</w:t>
                  </w:r>
                </w:p>
              </w:tc>
              <w:tc>
                <w:tcPr>
                  <w:tcW w:w="854" w:type="dxa"/>
                  <w:tcBorders>
                    <w:tl2br w:val="nil"/>
                    <w:tr2bl w:val="nil"/>
                  </w:tcBorders>
                  <w:shd w:val="clear" w:color="auto" w:fill="auto"/>
                  <w:vAlign w:val="center"/>
                </w:tcPr>
                <w:p w:rsidR="00BC07F0" w:rsidRDefault="00073EFB">
                  <w:pPr>
                    <w:pStyle w:val="a7"/>
                    <w:rPr>
                      <w:rFonts w:hint="default"/>
                    </w:rPr>
                  </w:pPr>
                  <w:r>
                    <w:t>(</w:t>
                  </w:r>
                  <w:r>
                    <w:t>m)</w:t>
                  </w:r>
                </w:p>
              </w:tc>
              <w:tc>
                <w:tcPr>
                  <w:tcW w:w="860" w:type="dxa"/>
                  <w:tcBorders>
                    <w:tl2br w:val="nil"/>
                    <w:tr2bl w:val="nil"/>
                  </w:tcBorders>
                  <w:shd w:val="clear" w:color="auto" w:fill="auto"/>
                  <w:vAlign w:val="center"/>
                </w:tcPr>
                <w:p w:rsidR="00BC07F0" w:rsidRDefault="00073EFB">
                  <w:pPr>
                    <w:pStyle w:val="a7"/>
                    <w:rPr>
                      <w:rFonts w:hint="default"/>
                    </w:rPr>
                  </w:pPr>
                  <w:r>
                    <w:t>(</w:t>
                  </w:r>
                  <w:r>
                    <w:t>m)</w:t>
                  </w:r>
                </w:p>
              </w:tc>
            </w:tr>
            <w:tr w:rsidR="00BC07F0">
              <w:trPr>
                <w:trHeight w:val="397"/>
                <w:jc w:val="center"/>
              </w:trPr>
              <w:tc>
                <w:tcPr>
                  <w:tcW w:w="1405" w:type="dxa"/>
                  <w:tcBorders>
                    <w:tl2br w:val="nil"/>
                    <w:tr2bl w:val="nil"/>
                  </w:tcBorders>
                  <w:shd w:val="clear" w:color="auto" w:fill="auto"/>
                  <w:vAlign w:val="center"/>
                </w:tcPr>
                <w:p w:rsidR="00BC07F0" w:rsidRDefault="00073EFB">
                  <w:pPr>
                    <w:pStyle w:val="a7"/>
                    <w:rPr>
                      <w:rFonts w:hint="default"/>
                    </w:rPr>
                  </w:pPr>
                  <w:r>
                    <w:t>K</w:t>
                  </w:r>
                  <w:r>
                    <w:t>0+240</w:t>
                  </w:r>
                  <w:r>
                    <w:t>通道</w:t>
                  </w:r>
                </w:p>
              </w:tc>
              <w:tc>
                <w:tcPr>
                  <w:tcW w:w="1409" w:type="dxa"/>
                  <w:tcBorders>
                    <w:tl2br w:val="nil"/>
                    <w:tr2bl w:val="nil"/>
                  </w:tcBorders>
                  <w:shd w:val="clear" w:color="auto" w:fill="auto"/>
                  <w:vAlign w:val="center"/>
                </w:tcPr>
                <w:p w:rsidR="00BC07F0" w:rsidRDefault="00073EFB">
                  <w:pPr>
                    <w:pStyle w:val="a7"/>
                    <w:rPr>
                      <w:rFonts w:hint="default"/>
                    </w:rPr>
                  </w:pPr>
                  <w:r>
                    <w:t>钢筋砂</w:t>
                  </w:r>
                  <w:r>
                    <w:t>箱涵</w:t>
                  </w:r>
                </w:p>
              </w:tc>
              <w:tc>
                <w:tcPr>
                  <w:tcW w:w="1872" w:type="dxa"/>
                  <w:tcBorders>
                    <w:tl2br w:val="nil"/>
                    <w:tr2bl w:val="nil"/>
                  </w:tcBorders>
                  <w:shd w:val="clear" w:color="auto" w:fill="auto"/>
                  <w:vAlign w:val="center"/>
                </w:tcPr>
                <w:p w:rsidR="00BC07F0" w:rsidRDefault="00073EFB">
                  <w:pPr>
                    <w:pStyle w:val="a7"/>
                    <w:rPr>
                      <w:rFonts w:hint="default"/>
                    </w:rPr>
                  </w:pPr>
                  <w:r>
                    <w:t>1</w:t>
                  </w:r>
                  <w:r>
                    <w:t>-5.1</w:t>
                  </w:r>
                  <w:r>
                    <w:t>×</w:t>
                  </w:r>
                  <w:r>
                    <w:t>2.75</w:t>
                  </w:r>
                </w:p>
              </w:tc>
              <w:tc>
                <w:tcPr>
                  <w:tcW w:w="780" w:type="dxa"/>
                  <w:tcBorders>
                    <w:tl2br w:val="nil"/>
                    <w:tr2bl w:val="nil"/>
                  </w:tcBorders>
                  <w:shd w:val="clear" w:color="auto" w:fill="auto"/>
                  <w:vAlign w:val="center"/>
                </w:tcPr>
                <w:p w:rsidR="00BC07F0" w:rsidRDefault="00073EFB">
                  <w:pPr>
                    <w:pStyle w:val="a7"/>
                    <w:rPr>
                      <w:rFonts w:hint="default"/>
                    </w:rPr>
                  </w:pPr>
                  <w:r>
                    <w:t>90</w:t>
                  </w:r>
                </w:p>
              </w:tc>
              <w:tc>
                <w:tcPr>
                  <w:tcW w:w="870" w:type="dxa"/>
                  <w:tcBorders>
                    <w:tl2br w:val="nil"/>
                    <w:tr2bl w:val="nil"/>
                  </w:tcBorders>
                  <w:shd w:val="clear" w:color="auto" w:fill="auto"/>
                  <w:vAlign w:val="center"/>
                </w:tcPr>
                <w:p w:rsidR="00BC07F0" w:rsidRDefault="00073EFB">
                  <w:pPr>
                    <w:pStyle w:val="a7"/>
                    <w:rPr>
                      <w:rFonts w:hint="default"/>
                    </w:rPr>
                  </w:pPr>
                  <w:r>
                    <w:t>60.17</w:t>
                  </w:r>
                </w:p>
              </w:tc>
              <w:tc>
                <w:tcPr>
                  <w:tcW w:w="975" w:type="dxa"/>
                  <w:tcBorders>
                    <w:tl2br w:val="nil"/>
                    <w:tr2bl w:val="nil"/>
                  </w:tcBorders>
                  <w:shd w:val="clear" w:color="auto" w:fill="auto"/>
                  <w:vAlign w:val="center"/>
                </w:tcPr>
                <w:p w:rsidR="00BC07F0" w:rsidRDefault="00073EFB">
                  <w:pPr>
                    <w:pStyle w:val="a7"/>
                    <w:rPr>
                      <w:rFonts w:hint="default"/>
                    </w:rPr>
                  </w:pPr>
                  <w:r>
                    <w:t>55.52</w:t>
                  </w:r>
                </w:p>
              </w:tc>
              <w:tc>
                <w:tcPr>
                  <w:tcW w:w="854" w:type="dxa"/>
                  <w:tcBorders>
                    <w:tl2br w:val="nil"/>
                    <w:tr2bl w:val="nil"/>
                  </w:tcBorders>
                  <w:shd w:val="clear" w:color="auto" w:fill="auto"/>
                  <w:vAlign w:val="center"/>
                </w:tcPr>
                <w:p w:rsidR="00BC07F0" w:rsidRDefault="00073EFB">
                  <w:pPr>
                    <w:pStyle w:val="a7"/>
                    <w:rPr>
                      <w:rFonts w:hint="default"/>
                    </w:rPr>
                  </w:pPr>
                  <w:r>
                    <w:t>1</w:t>
                  </w:r>
                </w:p>
              </w:tc>
              <w:tc>
                <w:tcPr>
                  <w:tcW w:w="860" w:type="dxa"/>
                  <w:tcBorders>
                    <w:tl2br w:val="nil"/>
                    <w:tr2bl w:val="nil"/>
                  </w:tcBorders>
                  <w:shd w:val="clear" w:color="auto" w:fill="auto"/>
                  <w:vAlign w:val="center"/>
                </w:tcPr>
                <w:p w:rsidR="00BC07F0" w:rsidRDefault="00073EFB">
                  <w:pPr>
                    <w:pStyle w:val="a7"/>
                    <w:rPr>
                      <w:rFonts w:hint="default"/>
                    </w:rPr>
                  </w:pPr>
                  <w:r>
                    <w:t>47.4</w:t>
                  </w:r>
                </w:p>
              </w:tc>
            </w:tr>
            <w:tr w:rsidR="00BC07F0">
              <w:trPr>
                <w:trHeight w:val="397"/>
                <w:jc w:val="center"/>
              </w:trPr>
              <w:tc>
                <w:tcPr>
                  <w:tcW w:w="1405" w:type="dxa"/>
                  <w:tcBorders>
                    <w:tl2br w:val="nil"/>
                    <w:tr2bl w:val="nil"/>
                  </w:tcBorders>
                  <w:shd w:val="clear" w:color="auto" w:fill="auto"/>
                  <w:vAlign w:val="center"/>
                </w:tcPr>
                <w:p w:rsidR="00BC07F0" w:rsidRDefault="00073EFB">
                  <w:pPr>
                    <w:pStyle w:val="a7"/>
                    <w:rPr>
                      <w:rFonts w:hint="default"/>
                    </w:rPr>
                  </w:pPr>
                  <w:r>
                    <w:t>K</w:t>
                  </w:r>
                  <w:r>
                    <w:t>1+200</w:t>
                  </w:r>
                  <w:r>
                    <w:t>通道</w:t>
                  </w:r>
                </w:p>
              </w:tc>
              <w:tc>
                <w:tcPr>
                  <w:tcW w:w="1409" w:type="dxa"/>
                  <w:tcBorders>
                    <w:tl2br w:val="nil"/>
                    <w:tr2bl w:val="nil"/>
                  </w:tcBorders>
                  <w:shd w:val="clear" w:color="auto" w:fill="auto"/>
                  <w:vAlign w:val="center"/>
                </w:tcPr>
                <w:p w:rsidR="00BC07F0" w:rsidRDefault="00073EFB">
                  <w:pPr>
                    <w:pStyle w:val="a7"/>
                    <w:rPr>
                      <w:rFonts w:hint="default"/>
                    </w:rPr>
                  </w:pPr>
                  <w:r>
                    <w:t>钢筋砂</w:t>
                  </w:r>
                  <w:r>
                    <w:t>箱涵</w:t>
                  </w:r>
                </w:p>
              </w:tc>
              <w:tc>
                <w:tcPr>
                  <w:tcW w:w="1872" w:type="dxa"/>
                  <w:tcBorders>
                    <w:tl2br w:val="nil"/>
                    <w:tr2bl w:val="nil"/>
                  </w:tcBorders>
                  <w:shd w:val="clear" w:color="auto" w:fill="auto"/>
                  <w:vAlign w:val="center"/>
                </w:tcPr>
                <w:p w:rsidR="00BC07F0" w:rsidRDefault="00073EFB">
                  <w:pPr>
                    <w:pStyle w:val="a7"/>
                    <w:rPr>
                      <w:rFonts w:hint="default"/>
                    </w:rPr>
                  </w:pPr>
                  <w:r>
                    <w:t>1</w:t>
                  </w:r>
                  <w:r>
                    <w:t>-5.1</w:t>
                  </w:r>
                  <w:r>
                    <w:t>×</w:t>
                  </w:r>
                  <w:r>
                    <w:t>2.75</w:t>
                  </w:r>
                </w:p>
              </w:tc>
              <w:tc>
                <w:tcPr>
                  <w:tcW w:w="780" w:type="dxa"/>
                  <w:tcBorders>
                    <w:tl2br w:val="nil"/>
                    <w:tr2bl w:val="nil"/>
                  </w:tcBorders>
                  <w:shd w:val="clear" w:color="auto" w:fill="auto"/>
                  <w:vAlign w:val="center"/>
                </w:tcPr>
                <w:p w:rsidR="00BC07F0" w:rsidRDefault="00073EFB">
                  <w:pPr>
                    <w:pStyle w:val="a7"/>
                    <w:rPr>
                      <w:rFonts w:hint="default"/>
                    </w:rPr>
                  </w:pPr>
                  <w:r>
                    <w:t>90</w:t>
                  </w:r>
                </w:p>
              </w:tc>
              <w:tc>
                <w:tcPr>
                  <w:tcW w:w="870" w:type="dxa"/>
                  <w:tcBorders>
                    <w:tl2br w:val="nil"/>
                    <w:tr2bl w:val="nil"/>
                  </w:tcBorders>
                  <w:shd w:val="clear" w:color="auto" w:fill="auto"/>
                  <w:vAlign w:val="center"/>
                </w:tcPr>
                <w:p w:rsidR="00BC07F0" w:rsidRDefault="00073EFB">
                  <w:pPr>
                    <w:pStyle w:val="a7"/>
                    <w:rPr>
                      <w:rFonts w:hint="default"/>
                    </w:rPr>
                  </w:pPr>
                  <w:r>
                    <w:t>58.31</w:t>
                  </w:r>
                </w:p>
              </w:tc>
              <w:tc>
                <w:tcPr>
                  <w:tcW w:w="975" w:type="dxa"/>
                  <w:tcBorders>
                    <w:tl2br w:val="nil"/>
                    <w:tr2bl w:val="nil"/>
                  </w:tcBorders>
                  <w:shd w:val="clear" w:color="auto" w:fill="auto"/>
                  <w:vAlign w:val="center"/>
                </w:tcPr>
                <w:p w:rsidR="00BC07F0" w:rsidRDefault="00073EFB">
                  <w:pPr>
                    <w:pStyle w:val="a7"/>
                    <w:rPr>
                      <w:rFonts w:hint="default"/>
                    </w:rPr>
                  </w:pPr>
                  <w:r>
                    <w:t>53.66</w:t>
                  </w:r>
                </w:p>
              </w:tc>
              <w:tc>
                <w:tcPr>
                  <w:tcW w:w="854" w:type="dxa"/>
                  <w:tcBorders>
                    <w:tl2br w:val="nil"/>
                    <w:tr2bl w:val="nil"/>
                  </w:tcBorders>
                  <w:shd w:val="clear" w:color="auto" w:fill="auto"/>
                  <w:vAlign w:val="center"/>
                </w:tcPr>
                <w:p w:rsidR="00BC07F0" w:rsidRDefault="00073EFB">
                  <w:pPr>
                    <w:pStyle w:val="a7"/>
                    <w:rPr>
                      <w:rFonts w:hint="default"/>
                    </w:rPr>
                  </w:pPr>
                  <w:r>
                    <w:t>1</w:t>
                  </w:r>
                </w:p>
              </w:tc>
              <w:tc>
                <w:tcPr>
                  <w:tcW w:w="860" w:type="dxa"/>
                  <w:tcBorders>
                    <w:tl2br w:val="nil"/>
                    <w:tr2bl w:val="nil"/>
                  </w:tcBorders>
                  <w:shd w:val="clear" w:color="auto" w:fill="auto"/>
                  <w:vAlign w:val="center"/>
                </w:tcPr>
                <w:p w:rsidR="00BC07F0" w:rsidRDefault="00073EFB">
                  <w:pPr>
                    <w:pStyle w:val="a7"/>
                    <w:rPr>
                      <w:rFonts w:hint="default"/>
                    </w:rPr>
                  </w:pPr>
                  <w:r>
                    <w:t>38.4</w:t>
                  </w:r>
                </w:p>
              </w:tc>
            </w:tr>
            <w:tr w:rsidR="00BC07F0">
              <w:trPr>
                <w:trHeight w:val="397"/>
                <w:jc w:val="center"/>
              </w:trPr>
              <w:tc>
                <w:tcPr>
                  <w:tcW w:w="1405" w:type="dxa"/>
                  <w:tcBorders>
                    <w:tl2br w:val="nil"/>
                    <w:tr2bl w:val="nil"/>
                  </w:tcBorders>
                  <w:shd w:val="clear" w:color="auto" w:fill="auto"/>
                  <w:vAlign w:val="center"/>
                </w:tcPr>
                <w:p w:rsidR="00BC07F0" w:rsidRDefault="00073EFB">
                  <w:pPr>
                    <w:pStyle w:val="a7"/>
                    <w:rPr>
                      <w:rFonts w:hint="default"/>
                    </w:rPr>
                  </w:pPr>
                  <w:r>
                    <w:t>K</w:t>
                  </w:r>
                  <w:r>
                    <w:t>2+293</w:t>
                  </w:r>
                  <w:r>
                    <w:t>通道</w:t>
                  </w:r>
                </w:p>
              </w:tc>
              <w:tc>
                <w:tcPr>
                  <w:tcW w:w="1409" w:type="dxa"/>
                  <w:tcBorders>
                    <w:tl2br w:val="nil"/>
                    <w:tr2bl w:val="nil"/>
                  </w:tcBorders>
                  <w:shd w:val="clear" w:color="auto" w:fill="auto"/>
                  <w:vAlign w:val="center"/>
                </w:tcPr>
                <w:p w:rsidR="00BC07F0" w:rsidRDefault="00073EFB">
                  <w:pPr>
                    <w:pStyle w:val="a7"/>
                    <w:rPr>
                      <w:rFonts w:hint="default"/>
                    </w:rPr>
                  </w:pPr>
                  <w:r>
                    <w:t>钢筋砂</w:t>
                  </w:r>
                  <w:r>
                    <w:t>箱涵</w:t>
                  </w:r>
                </w:p>
              </w:tc>
              <w:tc>
                <w:tcPr>
                  <w:tcW w:w="1872" w:type="dxa"/>
                  <w:tcBorders>
                    <w:tl2br w:val="nil"/>
                    <w:tr2bl w:val="nil"/>
                  </w:tcBorders>
                  <w:shd w:val="clear" w:color="auto" w:fill="auto"/>
                  <w:vAlign w:val="center"/>
                </w:tcPr>
                <w:p w:rsidR="00BC07F0" w:rsidRDefault="00073EFB">
                  <w:pPr>
                    <w:pStyle w:val="a7"/>
                    <w:rPr>
                      <w:rFonts w:hint="default"/>
                    </w:rPr>
                  </w:pPr>
                  <w:r>
                    <w:t>1</w:t>
                  </w:r>
                  <w:r>
                    <w:t>-5.1</w:t>
                  </w:r>
                  <w:r>
                    <w:t>×</w:t>
                  </w:r>
                  <w:r>
                    <w:t>2.75</w:t>
                  </w:r>
                </w:p>
              </w:tc>
              <w:tc>
                <w:tcPr>
                  <w:tcW w:w="780" w:type="dxa"/>
                  <w:tcBorders>
                    <w:tl2br w:val="nil"/>
                    <w:tr2bl w:val="nil"/>
                  </w:tcBorders>
                  <w:shd w:val="clear" w:color="auto" w:fill="auto"/>
                  <w:vAlign w:val="center"/>
                </w:tcPr>
                <w:p w:rsidR="00BC07F0" w:rsidRDefault="00073EFB">
                  <w:pPr>
                    <w:pStyle w:val="a7"/>
                    <w:rPr>
                      <w:rFonts w:hint="default"/>
                    </w:rPr>
                  </w:pPr>
                  <w:r>
                    <w:t>90</w:t>
                  </w:r>
                </w:p>
              </w:tc>
              <w:tc>
                <w:tcPr>
                  <w:tcW w:w="870" w:type="dxa"/>
                  <w:tcBorders>
                    <w:tl2br w:val="nil"/>
                    <w:tr2bl w:val="nil"/>
                  </w:tcBorders>
                  <w:shd w:val="clear" w:color="auto" w:fill="auto"/>
                  <w:vAlign w:val="center"/>
                </w:tcPr>
                <w:p w:rsidR="00BC07F0" w:rsidRDefault="00073EFB">
                  <w:pPr>
                    <w:pStyle w:val="a7"/>
                    <w:rPr>
                      <w:rFonts w:hint="default"/>
                    </w:rPr>
                  </w:pPr>
                  <w:r>
                    <w:t>60.253</w:t>
                  </w:r>
                </w:p>
              </w:tc>
              <w:tc>
                <w:tcPr>
                  <w:tcW w:w="975" w:type="dxa"/>
                  <w:tcBorders>
                    <w:tl2br w:val="nil"/>
                    <w:tr2bl w:val="nil"/>
                  </w:tcBorders>
                  <w:shd w:val="clear" w:color="auto" w:fill="auto"/>
                  <w:vAlign w:val="center"/>
                </w:tcPr>
                <w:p w:rsidR="00BC07F0" w:rsidRDefault="00073EFB">
                  <w:pPr>
                    <w:pStyle w:val="a7"/>
                    <w:rPr>
                      <w:rFonts w:hint="default"/>
                    </w:rPr>
                  </w:pPr>
                  <w:r>
                    <w:t>55.603</w:t>
                  </w:r>
                </w:p>
              </w:tc>
              <w:tc>
                <w:tcPr>
                  <w:tcW w:w="854" w:type="dxa"/>
                  <w:tcBorders>
                    <w:tl2br w:val="nil"/>
                    <w:tr2bl w:val="nil"/>
                  </w:tcBorders>
                  <w:shd w:val="clear" w:color="auto" w:fill="auto"/>
                  <w:vAlign w:val="center"/>
                </w:tcPr>
                <w:p w:rsidR="00BC07F0" w:rsidRDefault="00073EFB">
                  <w:pPr>
                    <w:pStyle w:val="a7"/>
                    <w:rPr>
                      <w:rFonts w:hint="default"/>
                    </w:rPr>
                  </w:pPr>
                  <w:r>
                    <w:t>1</w:t>
                  </w:r>
                </w:p>
              </w:tc>
              <w:tc>
                <w:tcPr>
                  <w:tcW w:w="860" w:type="dxa"/>
                  <w:tcBorders>
                    <w:tl2br w:val="nil"/>
                    <w:tr2bl w:val="nil"/>
                  </w:tcBorders>
                  <w:shd w:val="clear" w:color="auto" w:fill="auto"/>
                  <w:vAlign w:val="center"/>
                </w:tcPr>
                <w:p w:rsidR="00BC07F0" w:rsidRDefault="00073EFB">
                  <w:pPr>
                    <w:pStyle w:val="a7"/>
                    <w:rPr>
                      <w:rFonts w:hint="default"/>
                    </w:rPr>
                  </w:pPr>
                  <w:r>
                    <w:t>47.4</w:t>
                  </w:r>
                </w:p>
              </w:tc>
            </w:tr>
            <w:tr w:rsidR="00BC07F0">
              <w:trPr>
                <w:trHeight w:val="397"/>
                <w:jc w:val="center"/>
              </w:trPr>
              <w:tc>
                <w:tcPr>
                  <w:tcW w:w="1405" w:type="dxa"/>
                  <w:tcBorders>
                    <w:tl2br w:val="nil"/>
                    <w:tr2bl w:val="nil"/>
                  </w:tcBorders>
                  <w:shd w:val="clear" w:color="auto" w:fill="auto"/>
                  <w:vAlign w:val="center"/>
                </w:tcPr>
                <w:p w:rsidR="00BC07F0" w:rsidRDefault="00073EFB">
                  <w:pPr>
                    <w:pStyle w:val="a7"/>
                    <w:rPr>
                      <w:rFonts w:hint="default"/>
                    </w:rPr>
                  </w:pPr>
                  <w:r>
                    <w:t>K</w:t>
                  </w:r>
                  <w:r>
                    <w:t>2+795</w:t>
                  </w:r>
                  <w:r>
                    <w:t>通道</w:t>
                  </w:r>
                </w:p>
              </w:tc>
              <w:tc>
                <w:tcPr>
                  <w:tcW w:w="1409" w:type="dxa"/>
                  <w:tcBorders>
                    <w:tl2br w:val="nil"/>
                    <w:tr2bl w:val="nil"/>
                  </w:tcBorders>
                  <w:shd w:val="clear" w:color="auto" w:fill="auto"/>
                  <w:vAlign w:val="center"/>
                </w:tcPr>
                <w:p w:rsidR="00BC07F0" w:rsidRDefault="00073EFB">
                  <w:pPr>
                    <w:pStyle w:val="a7"/>
                    <w:rPr>
                      <w:rFonts w:hint="default"/>
                    </w:rPr>
                  </w:pPr>
                  <w:r>
                    <w:t>钢筋砂</w:t>
                  </w:r>
                  <w:r>
                    <w:t>箱涵</w:t>
                  </w:r>
                </w:p>
              </w:tc>
              <w:tc>
                <w:tcPr>
                  <w:tcW w:w="1872" w:type="dxa"/>
                  <w:tcBorders>
                    <w:tl2br w:val="nil"/>
                    <w:tr2bl w:val="nil"/>
                  </w:tcBorders>
                  <w:shd w:val="clear" w:color="auto" w:fill="auto"/>
                  <w:vAlign w:val="center"/>
                </w:tcPr>
                <w:p w:rsidR="00BC07F0" w:rsidRDefault="00073EFB">
                  <w:pPr>
                    <w:pStyle w:val="a7"/>
                    <w:rPr>
                      <w:rFonts w:hint="default"/>
                    </w:rPr>
                  </w:pPr>
                  <w:r>
                    <w:t>1</w:t>
                  </w:r>
                  <w:r>
                    <w:t>-5.1</w:t>
                  </w:r>
                  <w:r>
                    <w:t>×</w:t>
                  </w:r>
                  <w:r>
                    <w:t>2.75</w:t>
                  </w:r>
                </w:p>
              </w:tc>
              <w:tc>
                <w:tcPr>
                  <w:tcW w:w="780" w:type="dxa"/>
                  <w:tcBorders>
                    <w:tl2br w:val="nil"/>
                    <w:tr2bl w:val="nil"/>
                  </w:tcBorders>
                  <w:shd w:val="clear" w:color="auto" w:fill="auto"/>
                  <w:vAlign w:val="center"/>
                </w:tcPr>
                <w:p w:rsidR="00BC07F0" w:rsidRDefault="00073EFB">
                  <w:pPr>
                    <w:pStyle w:val="a7"/>
                    <w:rPr>
                      <w:rFonts w:hint="default"/>
                    </w:rPr>
                  </w:pPr>
                  <w:r>
                    <w:t>90</w:t>
                  </w:r>
                </w:p>
              </w:tc>
              <w:tc>
                <w:tcPr>
                  <w:tcW w:w="870" w:type="dxa"/>
                  <w:tcBorders>
                    <w:tl2br w:val="nil"/>
                    <w:tr2bl w:val="nil"/>
                  </w:tcBorders>
                  <w:shd w:val="clear" w:color="auto" w:fill="auto"/>
                  <w:vAlign w:val="center"/>
                </w:tcPr>
                <w:p w:rsidR="00BC07F0" w:rsidRDefault="00073EFB">
                  <w:pPr>
                    <w:pStyle w:val="a7"/>
                    <w:rPr>
                      <w:rFonts w:hint="default"/>
                    </w:rPr>
                  </w:pPr>
                  <w:r>
                    <w:t>60.275</w:t>
                  </w:r>
                </w:p>
              </w:tc>
              <w:tc>
                <w:tcPr>
                  <w:tcW w:w="975" w:type="dxa"/>
                  <w:tcBorders>
                    <w:tl2br w:val="nil"/>
                    <w:tr2bl w:val="nil"/>
                  </w:tcBorders>
                  <w:shd w:val="clear" w:color="auto" w:fill="auto"/>
                  <w:vAlign w:val="center"/>
                </w:tcPr>
                <w:p w:rsidR="00BC07F0" w:rsidRDefault="00073EFB">
                  <w:pPr>
                    <w:pStyle w:val="a7"/>
                    <w:rPr>
                      <w:rFonts w:hint="default"/>
                    </w:rPr>
                  </w:pPr>
                  <w:r>
                    <w:t>55.625</w:t>
                  </w:r>
                </w:p>
              </w:tc>
              <w:tc>
                <w:tcPr>
                  <w:tcW w:w="854" w:type="dxa"/>
                  <w:tcBorders>
                    <w:tl2br w:val="nil"/>
                    <w:tr2bl w:val="nil"/>
                  </w:tcBorders>
                  <w:shd w:val="clear" w:color="auto" w:fill="auto"/>
                  <w:vAlign w:val="center"/>
                </w:tcPr>
                <w:p w:rsidR="00BC07F0" w:rsidRDefault="00073EFB">
                  <w:pPr>
                    <w:pStyle w:val="a7"/>
                    <w:rPr>
                      <w:rFonts w:hint="default"/>
                    </w:rPr>
                  </w:pPr>
                  <w:r>
                    <w:t>1</w:t>
                  </w:r>
                </w:p>
              </w:tc>
              <w:tc>
                <w:tcPr>
                  <w:tcW w:w="860" w:type="dxa"/>
                  <w:tcBorders>
                    <w:tl2br w:val="nil"/>
                    <w:tr2bl w:val="nil"/>
                  </w:tcBorders>
                  <w:shd w:val="clear" w:color="auto" w:fill="auto"/>
                  <w:vAlign w:val="center"/>
                </w:tcPr>
                <w:p w:rsidR="00BC07F0" w:rsidRDefault="00073EFB">
                  <w:pPr>
                    <w:pStyle w:val="a7"/>
                    <w:rPr>
                      <w:rFonts w:hint="default"/>
                    </w:rPr>
                  </w:pPr>
                  <w:r>
                    <w:t>47.4</w:t>
                  </w:r>
                </w:p>
              </w:tc>
            </w:tr>
          </w:tbl>
          <w:p w:rsidR="00BC07F0" w:rsidRDefault="00073EFB" w:rsidP="00C55F5E">
            <w:pPr>
              <w:ind w:firstLine="482"/>
              <w:rPr>
                <w:b/>
                <w:bCs/>
              </w:rPr>
            </w:pPr>
            <w:r>
              <w:rPr>
                <w:rFonts w:hint="eastAsia"/>
                <w:b/>
                <w:bCs/>
              </w:rPr>
              <w:t>2.3.2.</w:t>
            </w:r>
            <w:r>
              <w:rPr>
                <w:rFonts w:hint="eastAsia"/>
                <w:b/>
                <w:bCs/>
              </w:rPr>
              <w:t>10</w:t>
            </w:r>
            <w:r>
              <w:rPr>
                <w:rFonts w:hint="eastAsia"/>
                <w:b/>
                <w:bCs/>
              </w:rPr>
              <w:t>排水</w:t>
            </w:r>
          </w:p>
          <w:p w:rsidR="00BC07F0" w:rsidRDefault="00073EFB" w:rsidP="00C55F5E">
            <w:pPr>
              <w:ind w:firstLine="480"/>
            </w:pPr>
            <w:r>
              <w:rPr>
                <w:rFonts w:hint="eastAsia"/>
              </w:rPr>
              <w:lastRenderedPageBreak/>
              <w:t>污水：仅对局部现状污水管道进行改造，</w:t>
            </w:r>
            <w:r>
              <w:rPr>
                <w:rFonts w:hint="eastAsia"/>
              </w:rPr>
              <w:t>规划上片区的西北片污水经由丁家桥污水提升泵站提升，沿湘江南路布设污水干管进入铜桥港污水处理厂。在管线最短、埋深最浅、最大限度地将收集雨污水的前提下通过重力流分别流入天然水体与污水处理厂。对沿线居民排入污水管道的污水，生活污水经化粪池物理处理后再排入污水管，以防止管道的堵塞。污水管道每隔</w:t>
            </w:r>
            <w:r>
              <w:rPr>
                <w:rFonts w:hint="eastAsia"/>
              </w:rPr>
              <w:t>120m</w:t>
            </w:r>
            <w:r>
              <w:rPr>
                <w:rFonts w:hint="eastAsia"/>
              </w:rPr>
              <w:t>预留街坊接入管，预留接入管管径采用</w:t>
            </w:r>
            <w:r>
              <w:rPr>
                <w:rFonts w:hint="eastAsia"/>
              </w:rPr>
              <w:t>DN500</w:t>
            </w:r>
            <w:r>
              <w:rPr>
                <w:rFonts w:hint="eastAsia"/>
              </w:rPr>
              <w:t>，以备远期居民污水接入。</w:t>
            </w:r>
          </w:p>
          <w:p w:rsidR="00BC07F0" w:rsidRDefault="00073EFB" w:rsidP="00C55F5E">
            <w:pPr>
              <w:ind w:firstLine="480"/>
            </w:pPr>
            <w:r>
              <w:rPr>
                <w:rFonts w:hint="eastAsia"/>
              </w:rPr>
              <w:t>雨水：</w:t>
            </w:r>
            <w:r>
              <w:rPr>
                <w:rFonts w:hint="eastAsia"/>
              </w:rPr>
              <w:t>根据完全分流、高水高排、低水低排、多点分散排放的原则，结合主要雨水排水水系的分布情况及地形地势，以</w:t>
            </w:r>
            <w:r>
              <w:rPr>
                <w:rFonts w:hint="eastAsia"/>
              </w:rPr>
              <w:t>61.5</w:t>
            </w:r>
            <w:r>
              <w:rPr>
                <w:rFonts w:hint="eastAsia"/>
              </w:rPr>
              <w:t>米为高低区分界线。片区规划上有一人工</w:t>
            </w:r>
            <w:r>
              <w:rPr>
                <w:rFonts w:hint="eastAsia"/>
              </w:rPr>
              <w:t>水渠横穿酃白路、湘江南路排入湘江。片区均属于低排，片区雨水均通过自然沟渠、幸福河、或规划人工渠道汛期通过排渍泵站，最终排入湘江。给道路两厢预留接户管，接户管连入雨水管。接户井均设置在道路红线外</w:t>
            </w:r>
            <w:r>
              <w:rPr>
                <w:rFonts w:hint="eastAsia"/>
              </w:rPr>
              <w:t>2</w:t>
            </w:r>
            <w:r>
              <w:rPr>
                <w:rFonts w:hint="eastAsia"/>
              </w:rPr>
              <w:t>米处。每隔</w:t>
            </w:r>
            <w:r>
              <w:rPr>
                <w:rFonts w:hint="eastAsia"/>
              </w:rPr>
              <w:t>120m</w:t>
            </w:r>
            <w:r>
              <w:rPr>
                <w:rFonts w:hint="eastAsia"/>
              </w:rPr>
              <w:t>预留街坊接入管，雨水管预留接入管管径采用</w:t>
            </w:r>
            <w:r>
              <w:rPr>
                <w:rFonts w:hint="eastAsia"/>
              </w:rPr>
              <w:t>DN600</w:t>
            </w:r>
            <w:r>
              <w:rPr>
                <w:rFonts w:hint="eastAsia"/>
              </w:rPr>
              <w:t>，坡度采用</w:t>
            </w:r>
            <w:r>
              <w:rPr>
                <w:rFonts w:hint="eastAsia"/>
              </w:rPr>
              <w:t>0.005</w:t>
            </w:r>
            <w:r>
              <w:rPr>
                <w:rFonts w:hint="eastAsia"/>
              </w:rPr>
              <w:t>。</w:t>
            </w:r>
          </w:p>
          <w:p w:rsidR="00BC07F0" w:rsidRDefault="00073EFB">
            <w:pPr>
              <w:pStyle w:val="a7"/>
              <w:rPr>
                <w:rFonts w:hint="default"/>
              </w:rPr>
            </w:pPr>
            <w:r>
              <w:rPr>
                <w:noProof/>
              </w:rPr>
              <w:drawing>
                <wp:inline distT="0" distB="0" distL="114300" distR="114300">
                  <wp:extent cx="5782310" cy="1569720"/>
                  <wp:effectExtent l="0" t="0" r="8890" b="1143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3" cstate="print"/>
                          <a:stretch>
                            <a:fillRect/>
                          </a:stretch>
                        </pic:blipFill>
                        <pic:spPr>
                          <a:xfrm>
                            <a:off x="0" y="0"/>
                            <a:ext cx="5782310" cy="1569720"/>
                          </a:xfrm>
                          <a:prstGeom prst="rect">
                            <a:avLst/>
                          </a:prstGeom>
                          <a:noFill/>
                          <a:ln>
                            <a:noFill/>
                          </a:ln>
                        </pic:spPr>
                      </pic:pic>
                    </a:graphicData>
                  </a:graphic>
                </wp:inline>
              </w:drawing>
            </w:r>
          </w:p>
          <w:p w:rsidR="00BC07F0" w:rsidRDefault="00073EFB">
            <w:pPr>
              <w:pStyle w:val="a7"/>
              <w:rPr>
                <w:rFonts w:hint="default"/>
                <w:b/>
                <w:bCs/>
              </w:rPr>
            </w:pPr>
            <w:r>
              <w:rPr>
                <w:b/>
                <w:bCs/>
              </w:rPr>
              <w:t>图</w:t>
            </w:r>
            <w:r>
              <w:rPr>
                <w:b/>
                <w:bCs/>
              </w:rPr>
              <w:t>2.3-</w:t>
            </w:r>
            <w:r>
              <w:rPr>
                <w:b/>
                <w:bCs/>
              </w:rPr>
              <w:t>4</w:t>
            </w:r>
            <w:r>
              <w:rPr>
                <w:b/>
                <w:bCs/>
              </w:rPr>
              <w:t>管线综合标准横断面布置图</w:t>
            </w:r>
          </w:p>
          <w:p w:rsidR="00BC07F0" w:rsidRDefault="00073EFB" w:rsidP="00C55F5E">
            <w:pPr>
              <w:ind w:firstLine="482"/>
              <w:rPr>
                <w:b/>
                <w:bCs/>
              </w:rPr>
            </w:pPr>
            <w:r>
              <w:rPr>
                <w:rFonts w:hint="eastAsia"/>
                <w:b/>
                <w:bCs/>
              </w:rPr>
              <w:t>2.3.2.11</w:t>
            </w:r>
            <w:r>
              <w:rPr>
                <w:rFonts w:hint="eastAsia"/>
                <w:b/>
                <w:bCs/>
              </w:rPr>
              <w:t>照明</w:t>
            </w:r>
          </w:p>
          <w:p w:rsidR="00BC07F0" w:rsidRDefault="00073EFB" w:rsidP="00C55F5E">
            <w:pPr>
              <w:ind w:firstLine="480"/>
            </w:pPr>
            <w:r>
              <w:rPr>
                <w:rFonts w:hint="eastAsia"/>
              </w:rPr>
              <w:t>沿线道路及相交道路交叉口照明，照明采用普通双臂路灯双侧对称布灯方式，路灯杆在道路两侧绿化带内装设。机动车道侧照明光源功率为</w:t>
            </w:r>
            <w:r>
              <w:rPr>
                <w:rFonts w:hint="eastAsia"/>
              </w:rPr>
              <w:t>150W</w:t>
            </w:r>
            <w:r>
              <w:rPr>
                <w:rFonts w:hint="eastAsia"/>
              </w:rPr>
              <w:t>，非机动车道侧照明光源功率为</w:t>
            </w:r>
            <w:r>
              <w:rPr>
                <w:rFonts w:hint="eastAsia"/>
              </w:rPr>
              <w:t>90W</w:t>
            </w:r>
            <w:r>
              <w:rPr>
                <w:rFonts w:hint="eastAsia"/>
              </w:rPr>
              <w:t>，局部展宽段机动车道侧照明光源功率为</w:t>
            </w:r>
            <w:r>
              <w:rPr>
                <w:rFonts w:hint="eastAsia"/>
              </w:rPr>
              <w:t>180W</w:t>
            </w:r>
            <w:r>
              <w:rPr>
                <w:rFonts w:hint="eastAsia"/>
              </w:rPr>
              <w:t>。灯具为</w:t>
            </w:r>
            <w:r>
              <w:rPr>
                <w:rFonts w:hint="eastAsia"/>
              </w:rPr>
              <w:t>LED</w:t>
            </w:r>
            <w:r>
              <w:rPr>
                <w:rFonts w:hint="eastAsia"/>
              </w:rPr>
              <w:t>灯。灯杆安装高度</w:t>
            </w:r>
            <w:r>
              <w:rPr>
                <w:rFonts w:hint="eastAsia"/>
              </w:rPr>
              <w:t>12m+9m</w:t>
            </w:r>
            <w:r>
              <w:rPr>
                <w:rFonts w:hint="eastAsia"/>
              </w:rPr>
              <w:t>，臂长</w:t>
            </w:r>
            <w:r>
              <w:rPr>
                <w:rFonts w:hint="eastAsia"/>
              </w:rPr>
              <w:t>2.0m+1.5m</w:t>
            </w:r>
            <w:r>
              <w:rPr>
                <w:rFonts w:hint="eastAsia"/>
              </w:rPr>
              <w:t>。照明灯杆间距为</w:t>
            </w:r>
            <w:r>
              <w:rPr>
                <w:rFonts w:hint="eastAsia"/>
              </w:rPr>
              <w:t>30m</w:t>
            </w:r>
            <w:r>
              <w:rPr>
                <w:rFonts w:hint="eastAsia"/>
              </w:rPr>
              <w:t>左右。</w:t>
            </w:r>
          </w:p>
          <w:p w:rsidR="00BC07F0" w:rsidRDefault="00073EFB" w:rsidP="00C55F5E">
            <w:pPr>
              <w:ind w:firstLine="480"/>
            </w:pPr>
            <w:r>
              <w:rPr>
                <w:rFonts w:hint="eastAsia"/>
              </w:rPr>
              <w:t>2.3.2.12</w:t>
            </w:r>
            <w:r>
              <w:rPr>
                <w:rFonts w:hint="eastAsia"/>
              </w:rPr>
              <w:t>电力、电信</w:t>
            </w:r>
          </w:p>
          <w:p w:rsidR="00BC07F0" w:rsidRDefault="00073EFB" w:rsidP="00C55F5E">
            <w:pPr>
              <w:ind w:firstLine="480"/>
            </w:pPr>
            <w:r>
              <w:rPr>
                <w:rFonts w:hint="eastAsia"/>
              </w:rPr>
              <w:t>电力管群布置在道路西</w:t>
            </w:r>
            <w:r>
              <w:rPr>
                <w:rFonts w:hint="eastAsia"/>
              </w:rPr>
              <w:t>(</w:t>
            </w:r>
            <w:r>
              <w:rPr>
                <w:rFonts w:hint="eastAsia"/>
              </w:rPr>
              <w:t>南</w:t>
            </w:r>
            <w:r>
              <w:rPr>
                <w:rFonts w:hint="eastAsia"/>
              </w:rPr>
              <w:t>)</w:t>
            </w:r>
            <w:r>
              <w:rPr>
                <w:rFonts w:hint="eastAsia"/>
              </w:rPr>
              <w:t>侧人行道下，管群中心距离道路红线</w:t>
            </w:r>
            <w:r>
              <w:rPr>
                <w:rFonts w:hint="eastAsia"/>
              </w:rPr>
              <w:t>0.5m</w:t>
            </w:r>
            <w:r>
              <w:rPr>
                <w:rFonts w:hint="eastAsia"/>
              </w:rPr>
              <w:t>。管群采用</w:t>
            </w:r>
            <w:r>
              <w:rPr>
                <w:rFonts w:hint="eastAsia"/>
              </w:rPr>
              <w:t>12</w:t>
            </w:r>
            <w:r>
              <w:rPr>
                <w:rFonts w:hint="eastAsia"/>
              </w:rPr>
              <w:t>孔</w:t>
            </w:r>
            <w:r>
              <w:rPr>
                <w:rFonts w:hint="eastAsia"/>
              </w:rPr>
              <w:t>CPVC</w:t>
            </w:r>
            <w:r>
              <w:rPr>
                <w:rFonts w:hint="eastAsia"/>
              </w:rPr>
              <w:t>Φ</w:t>
            </w:r>
            <w:r>
              <w:rPr>
                <w:rFonts w:hint="eastAsia"/>
              </w:rPr>
              <w:t>200</w:t>
            </w:r>
            <w:r>
              <w:rPr>
                <w:rFonts w:hint="eastAsia"/>
              </w:rPr>
              <w:t>双壁波纹管</w:t>
            </w:r>
            <w:r>
              <w:rPr>
                <w:rFonts w:hint="eastAsia"/>
              </w:rPr>
              <w:t>(</w:t>
            </w:r>
            <w:r>
              <w:rPr>
                <w:rFonts w:hint="eastAsia"/>
              </w:rPr>
              <w:t>壁厚</w:t>
            </w:r>
            <w:r>
              <w:rPr>
                <w:rFonts w:hint="eastAsia"/>
              </w:rPr>
              <w:t>8mm)</w:t>
            </w:r>
            <w:r>
              <w:rPr>
                <w:rFonts w:hint="eastAsia"/>
              </w:rPr>
              <w:t>。一般路段下塑料管按</w:t>
            </w:r>
            <w:r>
              <w:rPr>
                <w:rFonts w:hint="eastAsia"/>
              </w:rPr>
              <w:t>2</w:t>
            </w:r>
            <w:r>
              <w:rPr>
                <w:rFonts w:hint="eastAsia"/>
              </w:rPr>
              <w:t>层叠铺，管间用</w:t>
            </w:r>
            <w:r>
              <w:rPr>
                <w:rFonts w:hint="eastAsia"/>
              </w:rPr>
              <w:t>C20</w:t>
            </w:r>
            <w:r>
              <w:rPr>
                <w:rFonts w:hint="eastAsia"/>
              </w:rPr>
              <w:t>砂填充，铺</w:t>
            </w:r>
            <w:r>
              <w:rPr>
                <w:rFonts w:hint="eastAsia"/>
              </w:rPr>
              <w:t>100</w:t>
            </w:r>
            <w:r>
              <w:rPr>
                <w:rFonts w:hint="eastAsia"/>
              </w:rPr>
              <w:t>mm</w:t>
            </w:r>
            <w:r>
              <w:rPr>
                <w:rFonts w:hint="eastAsia"/>
              </w:rPr>
              <w:t>碎石垫层，垫层上覆</w:t>
            </w:r>
            <w:r>
              <w:rPr>
                <w:rFonts w:hint="eastAsia"/>
              </w:rPr>
              <w:t>100mm</w:t>
            </w:r>
            <w:r>
              <w:rPr>
                <w:rFonts w:hint="eastAsia"/>
              </w:rPr>
              <w:t>混凝土底板。基础采用素土夯实，压实度不小于</w:t>
            </w:r>
            <w:r>
              <w:rPr>
                <w:rFonts w:hint="eastAsia"/>
              </w:rPr>
              <w:t>93%</w:t>
            </w:r>
            <w:r>
              <w:rPr>
                <w:rFonts w:hint="eastAsia"/>
              </w:rPr>
              <w:t>。管道间采用承插法加粘接的连接方式。人行道下管群埋深不小于</w:t>
            </w:r>
            <w:r>
              <w:rPr>
                <w:rFonts w:hint="eastAsia"/>
              </w:rPr>
              <w:t>0.6m</w:t>
            </w:r>
            <w:r>
              <w:rPr>
                <w:rFonts w:hint="eastAsia"/>
              </w:rPr>
              <w:t>，车行道下为</w:t>
            </w:r>
            <w:r>
              <w:rPr>
                <w:rFonts w:hint="eastAsia"/>
              </w:rPr>
              <w:t>0.9m</w:t>
            </w:r>
            <w:r>
              <w:rPr>
                <w:rFonts w:hint="eastAsia"/>
              </w:rPr>
              <w:t>，管道坡度与道路坡度一致，过路横穿管坡度按</w:t>
            </w:r>
            <w:r>
              <w:rPr>
                <w:rFonts w:hint="eastAsia"/>
              </w:rPr>
              <w:t>0.25%</w:t>
            </w:r>
            <w:r>
              <w:rPr>
                <w:rFonts w:hint="eastAsia"/>
              </w:rPr>
              <w:t>控制。</w:t>
            </w:r>
          </w:p>
          <w:p w:rsidR="00BC07F0" w:rsidRDefault="00073EFB" w:rsidP="00C55F5E">
            <w:pPr>
              <w:ind w:firstLine="480"/>
            </w:pPr>
            <w:r>
              <w:rPr>
                <w:rFonts w:hint="eastAsia"/>
              </w:rPr>
              <w:t>通信管群布置在道路西</w:t>
            </w:r>
            <w:r>
              <w:rPr>
                <w:rFonts w:hint="eastAsia"/>
              </w:rPr>
              <w:t>(</w:t>
            </w:r>
            <w:r>
              <w:rPr>
                <w:rFonts w:hint="eastAsia"/>
              </w:rPr>
              <w:t>南</w:t>
            </w:r>
            <w:r>
              <w:rPr>
                <w:rFonts w:hint="eastAsia"/>
              </w:rPr>
              <w:t>)</w:t>
            </w:r>
            <w:r>
              <w:rPr>
                <w:rFonts w:hint="eastAsia"/>
              </w:rPr>
              <w:t>侧人行道下，管群中心距离道路红线</w:t>
            </w:r>
            <w:r>
              <w:rPr>
                <w:rFonts w:hint="eastAsia"/>
              </w:rPr>
              <w:t>2m</w:t>
            </w:r>
            <w:r>
              <w:rPr>
                <w:rFonts w:hint="eastAsia"/>
              </w:rPr>
              <w:t>。管道类型及容</w:t>
            </w:r>
            <w:r>
              <w:rPr>
                <w:rFonts w:hint="eastAsia"/>
              </w:rPr>
              <w:lastRenderedPageBreak/>
              <w:t>量：根据衡阳市以往通信工程惯例，确定本工程设计通信管群采用</w:t>
            </w:r>
            <w:r>
              <w:rPr>
                <w:rFonts w:hint="eastAsia"/>
              </w:rPr>
              <w:t>8</w:t>
            </w:r>
            <w:r>
              <w:rPr>
                <w:rFonts w:hint="eastAsia"/>
              </w:rPr>
              <w:t>孔</w:t>
            </w:r>
            <w:r>
              <w:rPr>
                <w:rFonts w:hint="eastAsia"/>
              </w:rPr>
              <w:t>HDPE</w:t>
            </w:r>
            <w:r>
              <w:rPr>
                <w:rFonts w:hint="eastAsia"/>
              </w:rPr>
              <w:t>Φ</w:t>
            </w:r>
            <w:r>
              <w:rPr>
                <w:rFonts w:hint="eastAsia"/>
              </w:rPr>
              <w:t>110</w:t>
            </w:r>
            <w:r>
              <w:rPr>
                <w:rFonts w:hint="eastAsia"/>
              </w:rPr>
              <w:t>双壁波纹管</w:t>
            </w:r>
            <w:r>
              <w:rPr>
                <w:rFonts w:hint="eastAsia"/>
              </w:rPr>
              <w:t>(</w:t>
            </w:r>
            <w:r>
              <w:rPr>
                <w:rFonts w:hint="eastAsia"/>
              </w:rPr>
              <w:t>壁厚</w:t>
            </w:r>
            <w:r>
              <w:rPr>
                <w:rFonts w:hint="eastAsia"/>
              </w:rPr>
              <w:t>3mm)</w:t>
            </w:r>
            <w:r>
              <w:rPr>
                <w:rFonts w:hint="eastAsia"/>
              </w:rPr>
              <w:t>。管孔组合：一般路段下塑料管按</w:t>
            </w:r>
            <w:r>
              <w:rPr>
                <w:rFonts w:hint="eastAsia"/>
              </w:rPr>
              <w:t>2</w:t>
            </w:r>
            <w:r>
              <w:rPr>
                <w:rFonts w:hint="eastAsia"/>
              </w:rPr>
              <w:t>层叠铺，管间用</w:t>
            </w:r>
            <w:r>
              <w:rPr>
                <w:rFonts w:hint="eastAsia"/>
              </w:rPr>
              <w:t>C20</w:t>
            </w:r>
            <w:r>
              <w:rPr>
                <w:rFonts w:hint="eastAsia"/>
              </w:rPr>
              <w:t>砂填充，铺</w:t>
            </w:r>
            <w:r>
              <w:rPr>
                <w:rFonts w:hint="eastAsia"/>
              </w:rPr>
              <w:t>100mm</w:t>
            </w:r>
            <w:r>
              <w:rPr>
                <w:rFonts w:hint="eastAsia"/>
              </w:rPr>
              <w:t>碎石垫层，垫层上覆</w:t>
            </w:r>
            <w:r>
              <w:rPr>
                <w:rFonts w:hint="eastAsia"/>
              </w:rPr>
              <w:t>60mm</w:t>
            </w:r>
            <w:r>
              <w:rPr>
                <w:rFonts w:hint="eastAsia"/>
              </w:rPr>
              <w:t>混凝土底板</w:t>
            </w:r>
            <w:r>
              <w:rPr>
                <w:rFonts w:hint="eastAsia"/>
              </w:rPr>
              <w:t>。人行道下管群上层用</w:t>
            </w:r>
            <w:r>
              <w:rPr>
                <w:rFonts w:hint="eastAsia"/>
              </w:rPr>
              <w:t>58mm</w:t>
            </w:r>
            <w:r>
              <w:rPr>
                <w:rFonts w:hint="eastAsia"/>
              </w:rPr>
              <w:t>厚砂包封，侧面用</w:t>
            </w:r>
            <w:r>
              <w:rPr>
                <w:rFonts w:hint="eastAsia"/>
              </w:rPr>
              <w:t>75mm</w:t>
            </w:r>
            <w:r>
              <w:rPr>
                <w:rFonts w:hint="eastAsia"/>
              </w:rPr>
              <w:t>厚砼包封；车行道下上层用</w:t>
            </w:r>
            <w:r>
              <w:rPr>
                <w:rFonts w:hint="eastAsia"/>
              </w:rPr>
              <w:t>158mm</w:t>
            </w:r>
            <w:r>
              <w:rPr>
                <w:rFonts w:hint="eastAsia"/>
              </w:rPr>
              <w:t>厚砼包封，侧面用</w:t>
            </w:r>
            <w:r>
              <w:rPr>
                <w:rFonts w:hint="eastAsia"/>
              </w:rPr>
              <w:t>75mm</w:t>
            </w:r>
            <w:r>
              <w:rPr>
                <w:rFonts w:hint="eastAsia"/>
              </w:rPr>
              <w:t>厚砼包封。基础采用素土夯实，压实度不小于</w:t>
            </w:r>
            <w:r>
              <w:rPr>
                <w:rFonts w:hint="eastAsia"/>
              </w:rPr>
              <w:t>93%</w:t>
            </w:r>
            <w:r>
              <w:rPr>
                <w:rFonts w:hint="eastAsia"/>
              </w:rPr>
              <w:t>。管道间采用承插法加粘接的连接方式。管道埋深及坡度：人行道下管群埋深不小于</w:t>
            </w:r>
            <w:r>
              <w:rPr>
                <w:rFonts w:hint="eastAsia"/>
              </w:rPr>
              <w:t>0.5m</w:t>
            </w:r>
            <w:r>
              <w:rPr>
                <w:rFonts w:hint="eastAsia"/>
              </w:rPr>
              <w:t>，车行道下为</w:t>
            </w:r>
            <w:r>
              <w:rPr>
                <w:rFonts w:hint="eastAsia"/>
              </w:rPr>
              <w:t>0.4m</w:t>
            </w:r>
            <w:r>
              <w:rPr>
                <w:rFonts w:hint="eastAsia"/>
              </w:rPr>
              <w:t>。本次设计管道坡度与道路坡度一致，过路横穿管坡度按</w:t>
            </w:r>
            <w:r>
              <w:rPr>
                <w:rFonts w:hint="eastAsia"/>
              </w:rPr>
              <w:t>0.25%</w:t>
            </w:r>
            <w:r>
              <w:rPr>
                <w:rFonts w:hint="eastAsia"/>
              </w:rPr>
              <w:t>控制。人孔井类型：根据需要设置直通或分支人孔井。人孔井间距原则上位</w:t>
            </w:r>
            <w:r>
              <w:rPr>
                <w:rFonts w:hint="eastAsia"/>
              </w:rPr>
              <w:t>80m</w:t>
            </w:r>
            <w:r>
              <w:rPr>
                <w:rFonts w:hint="eastAsia"/>
              </w:rPr>
              <w:t>。预留过路管：为避免以后重复开挖，本次设计在各道路交叉口设置</w:t>
            </w:r>
            <w:r>
              <w:rPr>
                <w:rFonts w:hint="eastAsia"/>
              </w:rPr>
              <w:t>8</w:t>
            </w:r>
            <w:r>
              <w:rPr>
                <w:rFonts w:hint="eastAsia"/>
              </w:rPr>
              <w:t>孔过路横管。</w:t>
            </w:r>
            <w:r>
              <w:rPr>
                <w:rFonts w:hint="eastAsia"/>
              </w:rPr>
              <w:t>8</w:t>
            </w:r>
            <w:r>
              <w:rPr>
                <w:rFonts w:hint="eastAsia"/>
              </w:rPr>
              <w:t>孔过路横管按</w:t>
            </w:r>
            <w:r>
              <w:rPr>
                <w:rFonts w:hint="eastAsia"/>
              </w:rPr>
              <w:t>2</w:t>
            </w:r>
            <w:r>
              <w:rPr>
                <w:rFonts w:hint="eastAsia"/>
              </w:rPr>
              <w:t>层叠铺。预留管埋设坡度按</w:t>
            </w:r>
            <w:r>
              <w:rPr>
                <w:rFonts w:hint="eastAsia"/>
              </w:rPr>
              <w:t>0.25</w:t>
            </w:r>
            <w:r>
              <w:rPr>
                <w:rFonts w:hint="eastAsia"/>
              </w:rPr>
              <w:t>%</w:t>
            </w:r>
            <w:r>
              <w:rPr>
                <w:rFonts w:hint="eastAsia"/>
              </w:rPr>
              <w:t>控制。</w:t>
            </w:r>
          </w:p>
          <w:p w:rsidR="00BC07F0" w:rsidRDefault="00073EFB" w:rsidP="00C55F5E">
            <w:pPr>
              <w:ind w:firstLine="482"/>
              <w:rPr>
                <w:b/>
                <w:bCs/>
              </w:rPr>
            </w:pPr>
            <w:r>
              <w:rPr>
                <w:rFonts w:hint="eastAsia"/>
                <w:b/>
                <w:bCs/>
              </w:rPr>
              <w:t>2.4</w:t>
            </w:r>
            <w:r>
              <w:rPr>
                <w:rFonts w:hint="eastAsia"/>
                <w:b/>
                <w:bCs/>
              </w:rPr>
              <w:t>幸福河支流水生态环境综合治理工程</w:t>
            </w:r>
          </w:p>
          <w:p w:rsidR="00BC07F0" w:rsidRDefault="00073EFB" w:rsidP="00C55F5E">
            <w:pPr>
              <w:ind w:firstLine="482"/>
              <w:rPr>
                <w:b/>
                <w:bCs/>
              </w:rPr>
            </w:pPr>
            <w:r>
              <w:rPr>
                <w:rFonts w:hint="eastAsia"/>
                <w:b/>
                <w:bCs/>
              </w:rPr>
              <w:t>2.4.1</w:t>
            </w:r>
            <w:r>
              <w:rPr>
                <w:rFonts w:hint="eastAsia"/>
                <w:b/>
                <w:bCs/>
              </w:rPr>
              <w:t>生态护坡工程</w:t>
            </w:r>
          </w:p>
          <w:p w:rsidR="00BC07F0" w:rsidRDefault="00073EFB" w:rsidP="00C55F5E">
            <w:pPr>
              <w:ind w:firstLine="480"/>
            </w:pPr>
            <w:r>
              <w:rPr>
                <w:rFonts w:hint="eastAsia"/>
              </w:rPr>
              <w:t>生态护坡工程治理范围上起衡桂铁路箱涵，下至幸福河入汇口箱涵，流经蒸阳南路两处箱涵，治理长度约为</w:t>
            </w:r>
            <w:r>
              <w:rPr>
                <w:rFonts w:hint="eastAsia"/>
              </w:rPr>
              <w:t>1.86km</w:t>
            </w:r>
            <w:r>
              <w:rPr>
                <w:rFonts w:hint="eastAsia"/>
              </w:rPr>
              <w:t>。</w:t>
            </w:r>
          </w:p>
          <w:p w:rsidR="00BC07F0" w:rsidRDefault="00073EFB" w:rsidP="00C55F5E">
            <w:pPr>
              <w:ind w:firstLine="480"/>
            </w:pPr>
            <w:r>
              <w:rPr>
                <w:rFonts w:hint="eastAsia"/>
              </w:rPr>
              <w:t>生态护坡工程左右岸新修护岸总长约</w:t>
            </w:r>
            <w:r>
              <w:rPr>
                <w:rFonts w:hint="eastAsia"/>
              </w:rPr>
              <w:t>3.67km</w:t>
            </w:r>
            <w:r>
              <w:rPr>
                <w:rFonts w:hint="eastAsia"/>
              </w:rPr>
              <w:t>，其中左岸护岸长约</w:t>
            </w:r>
            <w:r>
              <w:rPr>
                <w:rFonts w:hint="eastAsia"/>
              </w:rPr>
              <w:t>1.84km</w:t>
            </w:r>
            <w:r>
              <w:rPr>
                <w:rFonts w:hint="eastAsia"/>
              </w:rPr>
              <w:t>，</w:t>
            </w:r>
            <w:r>
              <w:rPr>
                <w:rFonts w:hint="eastAsia"/>
              </w:rPr>
              <w:t>右</w:t>
            </w:r>
            <w:r>
              <w:rPr>
                <w:rFonts w:hint="eastAsia"/>
              </w:rPr>
              <w:t>岸护岸长约</w:t>
            </w:r>
            <w:r>
              <w:rPr>
                <w:rFonts w:hint="eastAsia"/>
              </w:rPr>
              <w:t>1.83km</w:t>
            </w:r>
            <w:r>
              <w:rPr>
                <w:rFonts w:hint="eastAsia"/>
              </w:rPr>
              <w:t>，工程按</w:t>
            </w:r>
            <w:r>
              <w:rPr>
                <w:rFonts w:hint="eastAsia"/>
              </w:rPr>
              <w:t>20</w:t>
            </w:r>
            <w:r>
              <w:rPr>
                <w:rFonts w:hint="eastAsia"/>
              </w:rPr>
              <w:t>年一遇洪水设计，相应洪峰流量为</w:t>
            </w:r>
            <w:r>
              <w:rPr>
                <w:rFonts w:hint="eastAsia"/>
              </w:rPr>
              <w:t>93m</w:t>
            </w:r>
            <w:r>
              <w:rPr>
                <w:rFonts w:hint="eastAsia"/>
              </w:rPr>
              <w:t>³</w:t>
            </w:r>
            <w:r>
              <w:rPr>
                <w:rFonts w:hint="eastAsia"/>
              </w:rPr>
              <w:t>/s</w:t>
            </w:r>
            <w:r>
              <w:rPr>
                <w:rFonts w:hint="eastAsia"/>
              </w:rPr>
              <w:t>，堤防工程级别为</w:t>
            </w:r>
            <w:r>
              <w:rPr>
                <w:rFonts w:hint="eastAsia"/>
              </w:rPr>
              <w:t>4</w:t>
            </w:r>
            <w:r>
              <w:rPr>
                <w:rFonts w:hint="eastAsia"/>
              </w:rPr>
              <w:t>级。堤身填筑前应进行清基，清基厚度不小于</w:t>
            </w:r>
            <w:r>
              <w:rPr>
                <w:rFonts w:hint="eastAsia"/>
              </w:rPr>
              <w:t>0.3m</w:t>
            </w:r>
            <w:r>
              <w:rPr>
                <w:rFonts w:hint="eastAsia"/>
              </w:rPr>
              <w:t>，确保将树根、墓穴、腐植土等彻底清除。清基后，应对基础底面进行压实、整平，方可进行堤身填筑。夯填土、回填土均</w:t>
            </w:r>
            <w:r>
              <w:rPr>
                <w:rFonts w:hint="eastAsia"/>
              </w:rPr>
              <w:t>应分层压实，夯填土的压实密度不小于</w:t>
            </w:r>
            <w:r>
              <w:rPr>
                <w:rFonts w:hint="eastAsia"/>
              </w:rPr>
              <w:t>0.91</w:t>
            </w:r>
            <w:r>
              <w:rPr>
                <w:rFonts w:hint="eastAsia"/>
              </w:rPr>
              <w:t>。护岸临水侧坡比在液压坝上游段为</w:t>
            </w:r>
            <w:r>
              <w:rPr>
                <w:rFonts w:hint="eastAsia"/>
              </w:rPr>
              <w:t>1</w:t>
            </w:r>
            <w:r>
              <w:rPr>
                <w:rFonts w:hint="eastAsia"/>
              </w:rPr>
              <w:t>∶</w:t>
            </w:r>
            <w:r>
              <w:rPr>
                <w:rFonts w:hint="eastAsia"/>
              </w:rPr>
              <w:t>1.8</w:t>
            </w:r>
            <w:r>
              <w:rPr>
                <w:rFonts w:hint="eastAsia"/>
              </w:rPr>
              <w:t>、液压坝下游段为</w:t>
            </w:r>
            <w:r>
              <w:rPr>
                <w:rFonts w:hint="eastAsia"/>
              </w:rPr>
              <w:t>1</w:t>
            </w:r>
            <w:r>
              <w:rPr>
                <w:rFonts w:hint="eastAsia"/>
              </w:rPr>
              <w:t>∶</w:t>
            </w:r>
            <w:r>
              <w:rPr>
                <w:rFonts w:hint="eastAsia"/>
              </w:rPr>
              <w:t>2</w:t>
            </w:r>
            <w:r>
              <w:rPr>
                <w:rFonts w:hint="eastAsia"/>
              </w:rPr>
              <w:t>，采用蜂巢网格护坡，迎水侧下铺设土工布反滤（单布</w:t>
            </w:r>
            <w:r>
              <w:rPr>
                <w:rFonts w:hint="eastAsia"/>
              </w:rPr>
              <w:t>300g/m</w:t>
            </w:r>
            <w:r>
              <w:rPr>
                <w:rFonts w:hint="eastAsia"/>
              </w:rPr>
              <w:t>²），土工布压入压顶及护脚下不小于</w:t>
            </w:r>
            <w:r>
              <w:rPr>
                <w:rFonts w:hint="eastAsia"/>
              </w:rPr>
              <w:t>0.5m</w:t>
            </w:r>
            <w:r>
              <w:rPr>
                <w:rFonts w:hint="eastAsia"/>
              </w:rPr>
              <w:t>。护岸顶高程不低于</w:t>
            </w:r>
            <w:r>
              <w:rPr>
                <w:rFonts w:hint="eastAsia"/>
              </w:rPr>
              <w:t>20</w:t>
            </w:r>
            <w:r>
              <w:rPr>
                <w:rFonts w:hint="eastAsia"/>
              </w:rPr>
              <w:t>年设计洪水位加</w:t>
            </w:r>
            <w:r>
              <w:rPr>
                <w:rFonts w:hint="eastAsia"/>
              </w:rPr>
              <w:t>0.5m</w:t>
            </w:r>
            <w:r>
              <w:rPr>
                <w:rFonts w:hint="eastAsia"/>
              </w:rPr>
              <w:t>，并结合现状岸坡高程、新建路网高程、两岸岸线修补工程标高综合确定。基础采用</w:t>
            </w:r>
            <w:r>
              <w:rPr>
                <w:rFonts w:hint="eastAsia"/>
              </w:rPr>
              <w:t>M10</w:t>
            </w:r>
            <w:r>
              <w:rPr>
                <w:rFonts w:hint="eastAsia"/>
              </w:rPr>
              <w:t>浆砌石，尺寸为</w:t>
            </w:r>
            <w:r>
              <w:rPr>
                <w:rFonts w:hint="eastAsia"/>
              </w:rPr>
              <w:t>1.0m</w:t>
            </w:r>
            <w:r>
              <w:rPr>
                <w:rFonts w:hint="eastAsia"/>
              </w:rPr>
              <w:t>×</w:t>
            </w:r>
            <w:r>
              <w:rPr>
                <w:rFonts w:hint="eastAsia"/>
              </w:rPr>
              <w:t>0.8m</w:t>
            </w:r>
            <w:r>
              <w:rPr>
                <w:rFonts w:hint="eastAsia"/>
              </w:rPr>
              <w:t>，基础底须埋置于淤泥质土以下。岸顶设置压顶，长度为</w:t>
            </w:r>
            <w:r>
              <w:rPr>
                <w:rFonts w:hint="eastAsia"/>
              </w:rPr>
              <w:t>0.5m</w:t>
            </w:r>
            <w:r>
              <w:rPr>
                <w:rFonts w:hint="eastAsia"/>
              </w:rPr>
              <w:t>，材料与护坡相同，并设置一根专用锚杆固定。</w:t>
            </w:r>
          </w:p>
          <w:p w:rsidR="00BC07F0" w:rsidRDefault="00073EFB" w:rsidP="00C55F5E">
            <w:pPr>
              <w:ind w:firstLine="480"/>
            </w:pPr>
            <w:r>
              <w:rPr>
                <w:rFonts w:hint="eastAsia"/>
              </w:rPr>
              <w:t>蜂巢网格护坡与浆砌石护脚连接处理</w:t>
            </w:r>
            <w:r>
              <w:rPr>
                <w:rFonts w:hint="eastAsia"/>
              </w:rPr>
              <w:t>为</w:t>
            </w:r>
            <w:r>
              <w:rPr>
                <w:rFonts w:hint="eastAsia"/>
              </w:rPr>
              <w:t>护坡与浆砌石</w:t>
            </w:r>
            <w:r>
              <w:rPr>
                <w:rFonts w:hint="eastAsia"/>
              </w:rPr>
              <w:t>基础内侧搭接</w:t>
            </w:r>
            <w:r>
              <w:rPr>
                <w:rFonts w:hint="eastAsia"/>
              </w:rPr>
              <w:t>0.8m</w:t>
            </w:r>
            <w:r>
              <w:rPr>
                <w:rFonts w:hint="eastAsia"/>
              </w:rPr>
              <w:t>，并在浆砌石护脚预埋一根专用锚杆，深入护脚长度不小于</w:t>
            </w:r>
            <w:r>
              <w:rPr>
                <w:rFonts w:hint="eastAsia"/>
              </w:rPr>
              <w:t>0.5m</w:t>
            </w:r>
            <w:r>
              <w:rPr>
                <w:rFonts w:hint="eastAsia"/>
              </w:rPr>
              <w:t>。液压坝上下游河道河底疏浚后回填</w:t>
            </w:r>
            <w:r>
              <w:rPr>
                <w:rFonts w:hint="eastAsia"/>
              </w:rPr>
              <w:t>0.5m</w:t>
            </w:r>
            <w:r>
              <w:rPr>
                <w:rFonts w:hint="eastAsia"/>
              </w:rPr>
              <w:t>厚抛石，起点桩号为河</w:t>
            </w:r>
            <w:r>
              <w:rPr>
                <w:rFonts w:hint="eastAsia"/>
              </w:rPr>
              <w:t>1+300</w:t>
            </w:r>
            <w:r>
              <w:rPr>
                <w:rFonts w:hint="eastAsia"/>
              </w:rPr>
              <w:t>至工程末点（不含液压坝区域）。中心医院处</w:t>
            </w:r>
            <w:r>
              <w:rPr>
                <w:rFonts w:hint="eastAsia"/>
              </w:rPr>
              <w:t>Z0+726.98~806.98</w:t>
            </w:r>
            <w:r>
              <w:rPr>
                <w:rFonts w:hint="eastAsia"/>
              </w:rPr>
              <w:t>段护岸下部采用</w:t>
            </w:r>
            <w:r>
              <w:rPr>
                <w:rFonts w:hint="eastAsia"/>
              </w:rPr>
              <w:t>C30</w:t>
            </w:r>
            <w:r>
              <w:rPr>
                <w:rFonts w:hint="eastAsia"/>
              </w:rPr>
              <w:t>块石砼衡重式挡土墙，埋石率不大于</w:t>
            </w:r>
            <w:r>
              <w:rPr>
                <w:rFonts w:hint="eastAsia"/>
              </w:rPr>
              <w:t>25%</w:t>
            </w:r>
            <w:r>
              <w:rPr>
                <w:rFonts w:hint="eastAsia"/>
              </w:rPr>
              <w:t>，上部采用生态自嵌式挡墙，结构尺寸详见</w:t>
            </w:r>
            <w:r>
              <w:rPr>
                <w:rFonts w:hint="eastAsia"/>
              </w:rPr>
              <w:t>D7</w:t>
            </w:r>
            <w:r>
              <w:rPr>
                <w:rFonts w:hint="eastAsia"/>
              </w:rPr>
              <w:t>断面，挡墙底部采用碎石换填，厚度为</w:t>
            </w:r>
            <w:r>
              <w:rPr>
                <w:rFonts w:hint="eastAsia"/>
              </w:rPr>
              <w:t>1.5m</w:t>
            </w:r>
            <w:r>
              <w:rPr>
                <w:rFonts w:hint="eastAsia"/>
              </w:rPr>
              <w:t>，夯填相对密度不小于</w:t>
            </w:r>
            <w:r>
              <w:rPr>
                <w:rFonts w:hint="eastAsia"/>
              </w:rPr>
              <w:t>0.75</w:t>
            </w:r>
            <w:r>
              <w:rPr>
                <w:rFonts w:hint="eastAsia"/>
              </w:rPr>
              <w:t>，承载力不要求</w:t>
            </w:r>
            <w:r>
              <w:rPr>
                <w:rFonts w:hint="eastAsia"/>
              </w:rPr>
              <w:t>200kpa</w:t>
            </w:r>
            <w:r>
              <w:rPr>
                <w:rFonts w:hint="eastAsia"/>
              </w:rPr>
              <w:t>。液压坝后基础采用仰斜式挡墙，墙高</w:t>
            </w:r>
            <w:r>
              <w:rPr>
                <w:rFonts w:hint="eastAsia"/>
              </w:rPr>
              <w:lastRenderedPageBreak/>
              <w:t>2.5m</w:t>
            </w:r>
            <w:r>
              <w:rPr>
                <w:rFonts w:hint="eastAsia"/>
              </w:rPr>
              <w:t>，结构尺寸详见</w:t>
            </w:r>
            <w:r>
              <w:rPr>
                <w:rFonts w:hint="eastAsia"/>
              </w:rPr>
              <w:t>D16</w:t>
            </w:r>
            <w:r>
              <w:rPr>
                <w:rFonts w:hint="eastAsia"/>
              </w:rPr>
              <w:t>断面，挡墙底部采用碎石换填，厚度</w:t>
            </w:r>
            <w:r>
              <w:rPr>
                <w:rFonts w:hint="eastAsia"/>
              </w:rPr>
              <w:t>为</w:t>
            </w:r>
            <w:r>
              <w:rPr>
                <w:rFonts w:hint="eastAsia"/>
              </w:rPr>
              <w:t>1.0m</w:t>
            </w:r>
            <w:r>
              <w:rPr>
                <w:rFonts w:hint="eastAsia"/>
              </w:rPr>
              <w:t>，夯填相对密度不小于</w:t>
            </w:r>
            <w:r>
              <w:rPr>
                <w:rFonts w:hint="eastAsia"/>
              </w:rPr>
              <w:t>0.75</w:t>
            </w:r>
            <w:r>
              <w:rPr>
                <w:rFonts w:hint="eastAsia"/>
              </w:rPr>
              <w:t>，承载力不要求</w:t>
            </w:r>
            <w:r>
              <w:rPr>
                <w:rFonts w:hint="eastAsia"/>
              </w:rPr>
              <w:t>200kpa</w:t>
            </w:r>
            <w:r>
              <w:rPr>
                <w:rFonts w:hint="eastAsia"/>
              </w:rPr>
              <w:t>。</w:t>
            </w:r>
            <w:r>
              <w:rPr>
                <w:rFonts w:hint="eastAsia"/>
              </w:rPr>
              <w:t>C30</w:t>
            </w:r>
            <w:r>
              <w:rPr>
                <w:rFonts w:hint="eastAsia"/>
              </w:rPr>
              <w:t>衡重式挡墙、</w:t>
            </w:r>
            <w:r>
              <w:rPr>
                <w:rFonts w:hint="eastAsia"/>
              </w:rPr>
              <w:t>M10</w:t>
            </w:r>
            <w:r>
              <w:rPr>
                <w:rFonts w:hint="eastAsia"/>
              </w:rPr>
              <w:t>浆砌石挡墙及生态自嵌式挡墙背侧设置级配碎石夯填，相对密度不小于</w:t>
            </w:r>
            <w:r>
              <w:rPr>
                <w:rFonts w:hint="eastAsia"/>
              </w:rPr>
              <w:t>0.65</w:t>
            </w:r>
            <w:r>
              <w:rPr>
                <w:rFonts w:hint="eastAsia"/>
              </w:rPr>
              <w:t>，厚度不小于</w:t>
            </w:r>
            <w:r>
              <w:rPr>
                <w:rFonts w:hint="eastAsia"/>
              </w:rPr>
              <w:t>0.5m</w:t>
            </w:r>
            <w:r>
              <w:rPr>
                <w:rFonts w:hint="eastAsia"/>
              </w:rPr>
              <w:t>。</w:t>
            </w:r>
          </w:p>
          <w:p w:rsidR="00BC07F0" w:rsidRDefault="00073EFB" w:rsidP="00C55F5E">
            <w:pPr>
              <w:ind w:firstLine="480"/>
            </w:pPr>
            <w:r>
              <w:rPr>
                <w:rFonts w:hint="eastAsia"/>
              </w:rPr>
              <w:t>土工布选用严格执行《土工合成材料短纤针刺非织造土工布》</w:t>
            </w:r>
            <w:r>
              <w:rPr>
                <w:rFonts w:hint="eastAsia"/>
              </w:rPr>
              <w:t>GB/T17638-2017</w:t>
            </w:r>
            <w:r>
              <w:rPr>
                <w:rFonts w:hint="eastAsia"/>
              </w:rPr>
              <w:t>。土工布采用宽幅（不小于</w:t>
            </w:r>
            <w:r>
              <w:rPr>
                <w:rFonts w:hint="eastAsia"/>
              </w:rPr>
              <w:t>6m</w:t>
            </w:r>
            <w:r>
              <w:rPr>
                <w:rFonts w:hint="eastAsia"/>
              </w:rPr>
              <w:t>）短纤针刺非织造布，规格</w:t>
            </w:r>
            <w:r>
              <w:rPr>
                <w:rFonts w:hint="eastAsia"/>
              </w:rPr>
              <w:t>300g/m</w:t>
            </w:r>
            <w:r>
              <w:rPr>
                <w:rFonts w:hint="eastAsia"/>
                <w:vertAlign w:val="superscript"/>
              </w:rPr>
              <w:t>2</w:t>
            </w:r>
            <w:r>
              <w:rPr>
                <w:rFonts w:hint="eastAsia"/>
              </w:rPr>
              <w:t>，纵横向断裂强度不小于</w:t>
            </w:r>
            <w:r>
              <w:rPr>
                <w:rFonts w:hint="eastAsia"/>
              </w:rPr>
              <w:t>10KN/m</w:t>
            </w:r>
            <w:r>
              <w:rPr>
                <w:rFonts w:hint="eastAsia"/>
              </w:rPr>
              <w:t>，纵横向撕破强力不小于</w:t>
            </w:r>
            <w:r>
              <w:rPr>
                <w:rFonts w:hint="eastAsia"/>
              </w:rPr>
              <w:t>0.25KN</w:t>
            </w:r>
            <w:r>
              <w:rPr>
                <w:rFonts w:hint="eastAsia"/>
              </w:rPr>
              <w:t>，顶破强力不小于</w:t>
            </w:r>
            <w:r>
              <w:rPr>
                <w:rFonts w:hint="eastAsia"/>
              </w:rPr>
              <w:t>1.8KN</w:t>
            </w:r>
            <w:r>
              <w:rPr>
                <w:rFonts w:hint="eastAsia"/>
              </w:rPr>
              <w:t>，垂直渗透系数为</w:t>
            </w:r>
            <w:r>
              <w:rPr>
                <w:rFonts w:hint="eastAsia"/>
              </w:rPr>
              <w:t>5</w:t>
            </w:r>
            <w:r>
              <w:rPr>
                <w:rFonts w:hint="eastAsia"/>
              </w:rPr>
              <w:t>×</w:t>
            </w:r>
            <w:r>
              <w:rPr>
                <w:rFonts w:hint="eastAsia"/>
              </w:rPr>
              <w:t>10</w:t>
            </w:r>
            <w:r>
              <w:rPr>
                <w:rFonts w:hint="eastAsia"/>
                <w:vertAlign w:val="superscript"/>
              </w:rPr>
              <w:t>3</w:t>
            </w:r>
            <w:r>
              <w:rPr>
                <w:rFonts w:hint="eastAsia"/>
              </w:rPr>
              <w:t>~1</w:t>
            </w:r>
            <w:r>
              <w:rPr>
                <w:rFonts w:hint="eastAsia"/>
              </w:rPr>
              <w:t>×</w:t>
            </w:r>
            <w:r>
              <w:rPr>
                <w:rFonts w:hint="eastAsia"/>
              </w:rPr>
              <w:t>10</w:t>
            </w:r>
            <w:r>
              <w:rPr>
                <w:rFonts w:cs="Times New Roman"/>
              </w:rPr>
              <w:t>′</w:t>
            </w:r>
            <w:r>
              <w:rPr>
                <w:rFonts w:hint="eastAsia"/>
              </w:rPr>
              <w:t>cm/s</w:t>
            </w:r>
            <w:r>
              <w:rPr>
                <w:rFonts w:hint="eastAsia"/>
              </w:rPr>
              <w:t>。</w:t>
            </w:r>
          </w:p>
          <w:p w:rsidR="00BC07F0" w:rsidRDefault="00073EFB" w:rsidP="00C55F5E">
            <w:pPr>
              <w:ind w:firstLine="480"/>
            </w:pPr>
            <w:r>
              <w:rPr>
                <w:rFonts w:hint="eastAsia"/>
              </w:rPr>
              <w:t>填方段、中心医院挡墙背侧填方以及生态</w:t>
            </w:r>
            <w:r>
              <w:rPr>
                <w:rFonts w:hint="eastAsia"/>
              </w:rPr>
              <w:t>自嵌式挡墙背侧设置土工格栅加固，施工时开挖</w:t>
            </w:r>
            <w:r>
              <w:rPr>
                <w:rFonts w:hint="eastAsia"/>
              </w:rPr>
              <w:t>1m</w:t>
            </w:r>
            <w:r>
              <w:rPr>
                <w:rFonts w:hint="eastAsia"/>
              </w:rPr>
              <w:t>宽，</w:t>
            </w:r>
            <w:r>
              <w:rPr>
                <w:rFonts w:hint="eastAsia"/>
              </w:rPr>
              <w:t>0.3m</w:t>
            </w:r>
            <w:r>
              <w:rPr>
                <w:rFonts w:hint="eastAsia"/>
              </w:rPr>
              <w:t>高，内倾</w:t>
            </w:r>
            <w:r>
              <w:rPr>
                <w:rFonts w:hint="eastAsia"/>
              </w:rPr>
              <w:t>4%</w:t>
            </w:r>
            <w:r>
              <w:rPr>
                <w:rFonts w:hint="eastAsia"/>
              </w:rPr>
              <w:t>的台阶，台阶上铺设双向土工格栅。土工格栅横向质控拉伸强度不小于</w:t>
            </w:r>
            <w:r>
              <w:rPr>
                <w:rFonts w:hint="eastAsia"/>
              </w:rPr>
              <w:t>60KN/m</w:t>
            </w:r>
            <w:r>
              <w:rPr>
                <w:rFonts w:hint="eastAsia"/>
              </w:rPr>
              <w:t>，纵向质控拉伸强度不小于</w:t>
            </w:r>
            <w:r>
              <w:rPr>
                <w:rFonts w:hint="eastAsia"/>
              </w:rPr>
              <w:t>20KN/m</w:t>
            </w:r>
            <w:r>
              <w:rPr>
                <w:rFonts w:hint="eastAsia"/>
              </w:rPr>
              <w:t>，</w:t>
            </w:r>
            <w:r>
              <w:rPr>
                <w:rFonts w:hint="eastAsia"/>
              </w:rPr>
              <w:t>2%</w:t>
            </w:r>
            <w:r>
              <w:rPr>
                <w:rFonts w:hint="eastAsia"/>
              </w:rPr>
              <w:t>应变强度不小于</w:t>
            </w:r>
            <w:r>
              <w:rPr>
                <w:rFonts w:hint="eastAsia"/>
              </w:rPr>
              <w:t>7.0KN/m</w:t>
            </w:r>
            <w:r>
              <w:rPr>
                <w:rFonts w:hint="eastAsia"/>
              </w:rPr>
              <w:t>，</w:t>
            </w:r>
            <w:r>
              <w:rPr>
                <w:rFonts w:hint="eastAsia"/>
              </w:rPr>
              <w:t>5%</w:t>
            </w:r>
            <w:r>
              <w:rPr>
                <w:rFonts w:hint="eastAsia"/>
              </w:rPr>
              <w:t>应变强度不小于</w:t>
            </w:r>
            <w:r>
              <w:rPr>
                <w:rFonts w:hint="eastAsia"/>
              </w:rPr>
              <w:t>14.0KN/m</w:t>
            </w:r>
            <w:r>
              <w:rPr>
                <w:rFonts w:hint="eastAsia"/>
              </w:rPr>
              <w:t>。格栅材料碳黑含量不小于</w:t>
            </w:r>
            <w:r>
              <w:rPr>
                <w:rFonts w:hint="eastAsia"/>
              </w:rPr>
              <w:t>2%</w:t>
            </w:r>
            <w:r>
              <w:rPr>
                <w:rFonts w:hint="eastAsia"/>
              </w:rPr>
              <w:t>，以满足抗老化要求。土工格栅采用锚钉锚固在土工格栅末端，锚固深度不小于</w:t>
            </w:r>
            <w:r>
              <w:rPr>
                <w:rFonts w:hint="eastAsia"/>
              </w:rPr>
              <w:t>30cm</w:t>
            </w:r>
            <w:r>
              <w:rPr>
                <w:rFonts w:hint="eastAsia"/>
              </w:rPr>
              <w:t>，锚钉采用</w:t>
            </w:r>
            <w:r>
              <w:rPr>
                <w:rFonts w:hint="eastAsia"/>
              </w:rPr>
              <w:t>010</w:t>
            </w:r>
            <w:r>
              <w:rPr>
                <w:rFonts w:hint="eastAsia"/>
              </w:rPr>
              <w:t>钢筋弯制而成，纵向布置两排，间距为</w:t>
            </w:r>
            <w:r>
              <w:rPr>
                <w:rFonts w:hint="eastAsia"/>
              </w:rPr>
              <w:t>1m</w:t>
            </w:r>
            <w:r>
              <w:rPr>
                <w:rFonts w:hint="eastAsia"/>
              </w:rPr>
              <w:t>，排距</w:t>
            </w:r>
            <w:r>
              <w:rPr>
                <w:rFonts w:hint="eastAsia"/>
              </w:rPr>
              <w:t>0.5m</w:t>
            </w:r>
            <w:r>
              <w:rPr>
                <w:rFonts w:hint="eastAsia"/>
              </w:rPr>
              <w:t>。</w:t>
            </w:r>
          </w:p>
          <w:p w:rsidR="00BC07F0" w:rsidRDefault="00073EFB" w:rsidP="00C55F5E">
            <w:pPr>
              <w:ind w:firstLine="480"/>
            </w:pPr>
            <w:r>
              <w:rPr>
                <w:rFonts w:hint="eastAsia"/>
              </w:rPr>
              <w:t>工程河段需进行河道疏浚，疏浚时挖高不填低。河道内现有树木较多，为保证行洪安全</w:t>
            </w:r>
            <w:r>
              <w:rPr>
                <w:rFonts w:hint="eastAsia"/>
              </w:rPr>
              <w:t>工程将</w:t>
            </w:r>
            <w:r>
              <w:rPr>
                <w:rFonts w:hint="eastAsia"/>
              </w:rPr>
              <w:t>对</w:t>
            </w:r>
            <w:r>
              <w:rPr>
                <w:rFonts w:hint="eastAsia"/>
              </w:rPr>
              <w:t>疏浚线加</w:t>
            </w:r>
            <w:r>
              <w:rPr>
                <w:rFonts w:hint="eastAsia"/>
              </w:rPr>
              <w:t>1.5m</w:t>
            </w:r>
            <w:r>
              <w:rPr>
                <w:rFonts w:hint="eastAsia"/>
              </w:rPr>
              <w:t>高程以下树木进行清理，疏浚线加</w:t>
            </w:r>
            <w:r>
              <w:rPr>
                <w:rFonts w:hint="eastAsia"/>
              </w:rPr>
              <w:t>1.5m</w:t>
            </w:r>
            <w:r>
              <w:rPr>
                <w:rFonts w:hint="eastAsia"/>
              </w:rPr>
              <w:t>高程以上至堤顶高程的坡面范围内，胸径大于</w:t>
            </w:r>
            <w:r>
              <w:rPr>
                <w:rFonts w:hint="eastAsia"/>
              </w:rPr>
              <w:t>20cm</w:t>
            </w:r>
            <w:r>
              <w:rPr>
                <w:rFonts w:hint="eastAsia"/>
              </w:rPr>
              <w:t>树木予以保留，并设置</w:t>
            </w:r>
            <w:r>
              <w:rPr>
                <w:rFonts w:hint="eastAsia"/>
              </w:rPr>
              <w:t>C20</w:t>
            </w:r>
            <w:r>
              <w:rPr>
                <w:rFonts w:hint="eastAsia"/>
              </w:rPr>
              <w:t>预制砼围护。在液压坝上游回水区与岸坡交界处种植挺水植物，种类采用美人蕉、菖蒲、香蒲以及黄花鸢尾，种植范围为交界处</w:t>
            </w:r>
            <w:r>
              <w:rPr>
                <w:rFonts w:hint="eastAsia"/>
              </w:rPr>
              <w:t>1m</w:t>
            </w:r>
            <w:r>
              <w:rPr>
                <w:rFonts w:hint="eastAsia"/>
              </w:rPr>
              <w:t>宽水域。回水区河底种植沉水植物，种类采用苦草、篦齿眼子菜、狐尾藻及轮叶黑藻，种植范围为工程起点下游</w:t>
            </w:r>
            <w:r>
              <w:rPr>
                <w:rFonts w:hint="eastAsia"/>
              </w:rPr>
              <w:t>300m</w:t>
            </w:r>
            <w:r>
              <w:rPr>
                <w:rFonts w:hint="eastAsia"/>
              </w:rPr>
              <w:t>至液压坝上游</w:t>
            </w:r>
            <w:r>
              <w:rPr>
                <w:rFonts w:hint="eastAsia"/>
              </w:rPr>
              <w:t>200m</w:t>
            </w:r>
            <w:r>
              <w:rPr>
                <w:rFonts w:hint="eastAsia"/>
              </w:rPr>
              <w:t>，长约</w:t>
            </w:r>
            <w:r>
              <w:rPr>
                <w:rFonts w:hint="eastAsia"/>
              </w:rPr>
              <w:t>1000m</w:t>
            </w:r>
            <w:r>
              <w:rPr>
                <w:rFonts w:hint="eastAsia"/>
              </w:rPr>
              <w:t>，河底宽度约为</w:t>
            </w:r>
            <w:r>
              <w:rPr>
                <w:rFonts w:hint="eastAsia"/>
              </w:rPr>
              <w:t>8m</w:t>
            </w:r>
            <w:r>
              <w:rPr>
                <w:rFonts w:hint="eastAsia"/>
              </w:rPr>
              <w:t>的区域。工程施工中，如地形、地质情况与设计不相符，应及时通知设计单位。施工时严格按照《堤防工程施工规范》（</w:t>
            </w:r>
            <w:r>
              <w:rPr>
                <w:rFonts w:hint="eastAsia"/>
              </w:rPr>
              <w:t>S</w:t>
            </w:r>
            <w:r>
              <w:rPr>
                <w:rFonts w:hint="eastAsia"/>
              </w:rPr>
              <w:t>L260-2014</w:t>
            </w:r>
            <w:r>
              <w:rPr>
                <w:rFonts w:hint="eastAsia"/>
              </w:rPr>
              <w:t>）、《土工合成材料短纤针刺非织造土工布》</w:t>
            </w:r>
            <w:r>
              <w:rPr>
                <w:rFonts w:hint="eastAsia"/>
              </w:rPr>
              <w:t>GB/T17638-2017</w:t>
            </w:r>
            <w:r>
              <w:rPr>
                <w:rFonts w:hint="eastAsia"/>
              </w:rPr>
              <w:t>、《砌体结构工程施工规范》（</w:t>
            </w:r>
            <w:r>
              <w:rPr>
                <w:rFonts w:hint="eastAsia"/>
              </w:rPr>
              <w:t>GB50924-2014</w:t>
            </w:r>
            <w:r>
              <w:rPr>
                <w:rFonts w:hint="eastAsia"/>
              </w:rPr>
              <w:t>）等相关规范规定执行。施工过程中需加强对现有桥涵的保护，保证施工过程中桥涵的运行安全。</w:t>
            </w:r>
          </w:p>
          <w:p w:rsidR="00BC07F0" w:rsidRDefault="00073EFB">
            <w:pPr>
              <w:pStyle w:val="a7"/>
              <w:rPr>
                <w:rFonts w:hint="default"/>
                <w:b/>
                <w:bCs/>
              </w:rPr>
            </w:pPr>
            <w:r>
              <w:rPr>
                <w:b/>
                <w:bCs/>
              </w:rPr>
              <w:t>2.4-1</w:t>
            </w:r>
            <w:r>
              <w:rPr>
                <w:b/>
                <w:bCs/>
              </w:rPr>
              <w:t>生态护坡工程工程量表</w:t>
            </w:r>
          </w:p>
          <w:tbl>
            <w:tblPr>
              <w:tblStyle w:val="TableNormal"/>
              <w:tblW w:w="495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6"/>
              <w:gridCol w:w="4413"/>
              <w:gridCol w:w="1018"/>
              <w:gridCol w:w="2700"/>
            </w:tblGrid>
            <w:tr w:rsidR="00BC07F0">
              <w:trPr>
                <w:trHeight w:val="397"/>
                <w:jc w:val="center"/>
              </w:trPr>
              <w:tc>
                <w:tcPr>
                  <w:tcW w:w="879" w:type="dxa"/>
                  <w:vAlign w:val="center"/>
                </w:tcPr>
                <w:p w:rsidR="00BC07F0" w:rsidRDefault="00073EFB">
                  <w:pPr>
                    <w:pStyle w:val="a7"/>
                    <w:rPr>
                      <w:rFonts w:hint="default"/>
                    </w:rPr>
                  </w:pPr>
                  <w:r>
                    <w:t>序号</w:t>
                  </w:r>
                </w:p>
              </w:tc>
              <w:tc>
                <w:tcPr>
                  <w:tcW w:w="4423" w:type="dxa"/>
                  <w:vAlign w:val="center"/>
                </w:tcPr>
                <w:p w:rsidR="00BC07F0" w:rsidRDefault="00073EFB">
                  <w:pPr>
                    <w:pStyle w:val="a7"/>
                    <w:rPr>
                      <w:rFonts w:hint="default"/>
                    </w:rPr>
                  </w:pPr>
                  <w:r>
                    <w:t>名称</w:t>
                  </w:r>
                </w:p>
              </w:tc>
              <w:tc>
                <w:tcPr>
                  <w:tcW w:w="1020" w:type="dxa"/>
                  <w:vAlign w:val="center"/>
                </w:tcPr>
                <w:p w:rsidR="00BC07F0" w:rsidRDefault="00073EFB">
                  <w:pPr>
                    <w:pStyle w:val="a7"/>
                    <w:rPr>
                      <w:rFonts w:hint="default"/>
                    </w:rPr>
                  </w:pPr>
                  <w:r>
                    <w:t>单位</w:t>
                  </w:r>
                </w:p>
              </w:tc>
              <w:tc>
                <w:tcPr>
                  <w:tcW w:w="2706" w:type="dxa"/>
                  <w:vAlign w:val="center"/>
                </w:tcPr>
                <w:p w:rsidR="00BC07F0" w:rsidRDefault="00073EFB">
                  <w:pPr>
                    <w:pStyle w:val="a7"/>
                    <w:rPr>
                      <w:rFonts w:hint="default"/>
                    </w:rPr>
                  </w:pPr>
                  <w:r>
                    <w:t>工程量</w:t>
                  </w:r>
                </w:p>
              </w:tc>
            </w:tr>
            <w:tr w:rsidR="00BC07F0">
              <w:trPr>
                <w:trHeight w:val="397"/>
                <w:jc w:val="center"/>
              </w:trPr>
              <w:tc>
                <w:tcPr>
                  <w:tcW w:w="879" w:type="dxa"/>
                  <w:vAlign w:val="center"/>
                </w:tcPr>
                <w:p w:rsidR="00BC07F0" w:rsidRDefault="00073EFB">
                  <w:pPr>
                    <w:pStyle w:val="a7"/>
                    <w:rPr>
                      <w:rFonts w:hint="default"/>
                    </w:rPr>
                  </w:pPr>
                  <w:r>
                    <w:t>1</w:t>
                  </w:r>
                </w:p>
              </w:tc>
              <w:tc>
                <w:tcPr>
                  <w:tcW w:w="4423" w:type="dxa"/>
                  <w:vAlign w:val="center"/>
                </w:tcPr>
                <w:p w:rsidR="00BC07F0" w:rsidRDefault="00073EFB">
                  <w:pPr>
                    <w:pStyle w:val="a7"/>
                    <w:rPr>
                      <w:rFonts w:hint="default"/>
                    </w:rPr>
                  </w:pPr>
                  <w:r>
                    <w:t>河道清淤</w:t>
                  </w:r>
                </w:p>
              </w:tc>
              <w:tc>
                <w:tcPr>
                  <w:tcW w:w="1020" w:type="dxa"/>
                  <w:vAlign w:val="center"/>
                </w:tcPr>
                <w:p w:rsidR="00BC07F0" w:rsidRDefault="00073EFB">
                  <w:pPr>
                    <w:pStyle w:val="a7"/>
                    <w:rPr>
                      <w:rFonts w:hint="default"/>
                    </w:rPr>
                  </w:pPr>
                  <w:r>
                    <w:t>m</w:t>
                  </w:r>
                  <w:r>
                    <w:rPr>
                      <w:vertAlign w:val="superscript"/>
                    </w:rPr>
                    <w:t>3</w:t>
                  </w:r>
                </w:p>
              </w:tc>
              <w:tc>
                <w:tcPr>
                  <w:tcW w:w="2706" w:type="dxa"/>
                  <w:vAlign w:val="center"/>
                </w:tcPr>
                <w:p w:rsidR="00BC07F0" w:rsidRDefault="00073EFB">
                  <w:pPr>
                    <w:pStyle w:val="a7"/>
                    <w:rPr>
                      <w:rFonts w:hint="default"/>
                    </w:rPr>
                  </w:pPr>
                  <w:r>
                    <w:t>18013</w:t>
                  </w:r>
                </w:p>
              </w:tc>
            </w:tr>
            <w:tr w:rsidR="00BC07F0">
              <w:trPr>
                <w:trHeight w:val="397"/>
                <w:jc w:val="center"/>
              </w:trPr>
              <w:tc>
                <w:tcPr>
                  <w:tcW w:w="879" w:type="dxa"/>
                  <w:vAlign w:val="center"/>
                </w:tcPr>
                <w:p w:rsidR="00BC07F0" w:rsidRDefault="00073EFB">
                  <w:pPr>
                    <w:pStyle w:val="a7"/>
                    <w:rPr>
                      <w:rFonts w:hint="default"/>
                    </w:rPr>
                  </w:pPr>
                  <w:r>
                    <w:t>2</w:t>
                  </w:r>
                </w:p>
              </w:tc>
              <w:tc>
                <w:tcPr>
                  <w:tcW w:w="4423" w:type="dxa"/>
                  <w:vAlign w:val="center"/>
                </w:tcPr>
                <w:p w:rsidR="00BC07F0" w:rsidRDefault="00073EFB">
                  <w:pPr>
                    <w:pStyle w:val="a7"/>
                    <w:rPr>
                      <w:rFonts w:hint="default"/>
                    </w:rPr>
                  </w:pPr>
                  <w:r>
                    <w:t>清除表土</w:t>
                  </w:r>
                </w:p>
              </w:tc>
              <w:tc>
                <w:tcPr>
                  <w:tcW w:w="1020" w:type="dxa"/>
                  <w:vAlign w:val="center"/>
                </w:tcPr>
                <w:p w:rsidR="00BC07F0" w:rsidRDefault="00073EFB">
                  <w:pPr>
                    <w:pStyle w:val="a7"/>
                    <w:rPr>
                      <w:rFonts w:hint="default"/>
                    </w:rPr>
                  </w:pPr>
                  <w:r>
                    <w:t>m</w:t>
                  </w:r>
                  <w:r>
                    <w:rPr>
                      <w:vertAlign w:val="superscript"/>
                    </w:rPr>
                    <w:t>3</w:t>
                  </w:r>
                </w:p>
              </w:tc>
              <w:tc>
                <w:tcPr>
                  <w:tcW w:w="2706" w:type="dxa"/>
                  <w:vAlign w:val="center"/>
                </w:tcPr>
                <w:p w:rsidR="00BC07F0" w:rsidRDefault="00073EFB">
                  <w:pPr>
                    <w:pStyle w:val="a7"/>
                    <w:rPr>
                      <w:rFonts w:hint="default"/>
                    </w:rPr>
                  </w:pPr>
                  <w:r>
                    <w:t>7874</w:t>
                  </w:r>
                </w:p>
              </w:tc>
            </w:tr>
            <w:tr w:rsidR="00BC07F0">
              <w:trPr>
                <w:trHeight w:val="397"/>
                <w:jc w:val="center"/>
              </w:trPr>
              <w:tc>
                <w:tcPr>
                  <w:tcW w:w="879" w:type="dxa"/>
                  <w:vAlign w:val="center"/>
                </w:tcPr>
                <w:p w:rsidR="00BC07F0" w:rsidRDefault="00073EFB">
                  <w:pPr>
                    <w:pStyle w:val="a7"/>
                    <w:rPr>
                      <w:rFonts w:hint="default"/>
                    </w:rPr>
                  </w:pPr>
                  <w:r>
                    <w:t>3</w:t>
                  </w:r>
                </w:p>
              </w:tc>
              <w:tc>
                <w:tcPr>
                  <w:tcW w:w="4423" w:type="dxa"/>
                  <w:vAlign w:val="center"/>
                </w:tcPr>
                <w:p w:rsidR="00BC07F0" w:rsidRDefault="00073EFB">
                  <w:pPr>
                    <w:pStyle w:val="a7"/>
                    <w:rPr>
                      <w:rFonts w:hint="default"/>
                    </w:rPr>
                  </w:pPr>
                  <w:r>
                    <w:t>土方开挖</w:t>
                  </w:r>
                </w:p>
              </w:tc>
              <w:tc>
                <w:tcPr>
                  <w:tcW w:w="1020" w:type="dxa"/>
                  <w:vAlign w:val="center"/>
                </w:tcPr>
                <w:p w:rsidR="00BC07F0" w:rsidRDefault="00073EFB">
                  <w:pPr>
                    <w:pStyle w:val="a7"/>
                    <w:rPr>
                      <w:rFonts w:hint="default"/>
                    </w:rPr>
                  </w:pPr>
                  <w:r>
                    <w:t>m</w:t>
                  </w:r>
                  <w:r>
                    <w:rPr>
                      <w:vertAlign w:val="superscript"/>
                    </w:rPr>
                    <w:t>3</w:t>
                  </w:r>
                </w:p>
              </w:tc>
              <w:tc>
                <w:tcPr>
                  <w:tcW w:w="2706" w:type="dxa"/>
                  <w:vAlign w:val="center"/>
                </w:tcPr>
                <w:p w:rsidR="00BC07F0" w:rsidRDefault="00073EFB">
                  <w:pPr>
                    <w:pStyle w:val="a7"/>
                    <w:rPr>
                      <w:rFonts w:hint="default"/>
                    </w:rPr>
                  </w:pPr>
                  <w:r>
                    <w:t>10289</w:t>
                  </w:r>
                </w:p>
              </w:tc>
            </w:tr>
            <w:tr w:rsidR="00BC07F0">
              <w:trPr>
                <w:trHeight w:val="397"/>
                <w:jc w:val="center"/>
              </w:trPr>
              <w:tc>
                <w:tcPr>
                  <w:tcW w:w="879" w:type="dxa"/>
                  <w:vAlign w:val="center"/>
                </w:tcPr>
                <w:p w:rsidR="00BC07F0" w:rsidRDefault="00073EFB">
                  <w:pPr>
                    <w:pStyle w:val="a7"/>
                    <w:rPr>
                      <w:rFonts w:hint="default"/>
                    </w:rPr>
                  </w:pPr>
                  <w:r>
                    <w:t>4</w:t>
                  </w:r>
                </w:p>
              </w:tc>
              <w:tc>
                <w:tcPr>
                  <w:tcW w:w="4423" w:type="dxa"/>
                  <w:vAlign w:val="center"/>
                </w:tcPr>
                <w:p w:rsidR="00BC07F0" w:rsidRDefault="00073EFB">
                  <w:pPr>
                    <w:pStyle w:val="a7"/>
                    <w:rPr>
                      <w:rFonts w:hint="default"/>
                    </w:rPr>
                  </w:pPr>
                  <w:r>
                    <w:t>土方夯填</w:t>
                  </w:r>
                </w:p>
              </w:tc>
              <w:tc>
                <w:tcPr>
                  <w:tcW w:w="1020" w:type="dxa"/>
                  <w:vAlign w:val="center"/>
                </w:tcPr>
                <w:p w:rsidR="00BC07F0" w:rsidRDefault="00073EFB">
                  <w:pPr>
                    <w:pStyle w:val="a7"/>
                    <w:rPr>
                      <w:rFonts w:hint="default"/>
                    </w:rPr>
                  </w:pPr>
                  <w:r>
                    <w:t>m</w:t>
                  </w:r>
                  <w:r>
                    <w:rPr>
                      <w:vertAlign w:val="superscript"/>
                    </w:rPr>
                    <w:t>3</w:t>
                  </w:r>
                </w:p>
              </w:tc>
              <w:tc>
                <w:tcPr>
                  <w:tcW w:w="2706" w:type="dxa"/>
                  <w:vAlign w:val="center"/>
                </w:tcPr>
                <w:p w:rsidR="00BC07F0" w:rsidRDefault="00073EFB">
                  <w:pPr>
                    <w:pStyle w:val="a7"/>
                    <w:rPr>
                      <w:rFonts w:hint="default"/>
                    </w:rPr>
                  </w:pPr>
                  <w:r>
                    <w:t>11143</w:t>
                  </w:r>
                </w:p>
              </w:tc>
            </w:tr>
            <w:tr w:rsidR="00BC07F0">
              <w:trPr>
                <w:trHeight w:val="397"/>
                <w:jc w:val="center"/>
              </w:trPr>
              <w:tc>
                <w:tcPr>
                  <w:tcW w:w="879" w:type="dxa"/>
                  <w:vAlign w:val="center"/>
                </w:tcPr>
                <w:p w:rsidR="00BC07F0" w:rsidRDefault="00073EFB">
                  <w:pPr>
                    <w:pStyle w:val="a7"/>
                    <w:rPr>
                      <w:rFonts w:hint="default"/>
                    </w:rPr>
                  </w:pPr>
                  <w:r>
                    <w:lastRenderedPageBreak/>
                    <w:t>5</w:t>
                  </w:r>
                </w:p>
              </w:tc>
              <w:tc>
                <w:tcPr>
                  <w:tcW w:w="4423" w:type="dxa"/>
                  <w:vAlign w:val="center"/>
                </w:tcPr>
                <w:p w:rsidR="00BC07F0" w:rsidRDefault="00073EFB">
                  <w:pPr>
                    <w:pStyle w:val="a7"/>
                    <w:rPr>
                      <w:rFonts w:hint="default"/>
                    </w:rPr>
                  </w:pPr>
                  <w:r>
                    <w:t>蜂巢网格系统</w:t>
                  </w:r>
                  <w:r>
                    <w:t>（</w:t>
                  </w:r>
                  <w:r>
                    <w:t>厚</w:t>
                  </w:r>
                  <w:r>
                    <w:t>150mm</w:t>
                  </w:r>
                  <w:r>
                    <w:t>，</w:t>
                  </w:r>
                  <w:r>
                    <w:t>含锚杆等配</w:t>
                  </w:r>
                  <w:r>
                    <w:t>）</w:t>
                  </w:r>
                </w:p>
              </w:tc>
              <w:tc>
                <w:tcPr>
                  <w:tcW w:w="1020" w:type="dxa"/>
                  <w:vAlign w:val="center"/>
                </w:tcPr>
                <w:p w:rsidR="00BC07F0" w:rsidRDefault="00073EFB">
                  <w:pPr>
                    <w:pStyle w:val="a7"/>
                    <w:rPr>
                      <w:rFonts w:hint="default"/>
                    </w:rPr>
                  </w:pPr>
                  <w:r>
                    <w:t>m</w:t>
                  </w:r>
                  <w:r>
                    <w:rPr>
                      <w:vertAlign w:val="superscript"/>
                    </w:rPr>
                    <w:t>2</w:t>
                  </w:r>
                </w:p>
              </w:tc>
              <w:tc>
                <w:tcPr>
                  <w:tcW w:w="2706" w:type="dxa"/>
                  <w:vAlign w:val="center"/>
                </w:tcPr>
                <w:p w:rsidR="00BC07F0" w:rsidRDefault="00073EFB">
                  <w:pPr>
                    <w:pStyle w:val="a7"/>
                    <w:rPr>
                      <w:rFonts w:hint="default"/>
                    </w:rPr>
                  </w:pPr>
                  <w:r>
                    <w:t>33431</w:t>
                  </w:r>
                </w:p>
              </w:tc>
            </w:tr>
            <w:tr w:rsidR="00BC07F0">
              <w:trPr>
                <w:trHeight w:val="397"/>
                <w:jc w:val="center"/>
              </w:trPr>
              <w:tc>
                <w:tcPr>
                  <w:tcW w:w="879" w:type="dxa"/>
                  <w:vAlign w:val="center"/>
                </w:tcPr>
                <w:p w:rsidR="00BC07F0" w:rsidRDefault="00073EFB">
                  <w:pPr>
                    <w:pStyle w:val="a7"/>
                    <w:rPr>
                      <w:rFonts w:hint="default"/>
                    </w:rPr>
                  </w:pPr>
                  <w:r>
                    <w:t>6</w:t>
                  </w:r>
                </w:p>
              </w:tc>
              <w:tc>
                <w:tcPr>
                  <w:tcW w:w="4423" w:type="dxa"/>
                  <w:vAlign w:val="center"/>
                </w:tcPr>
                <w:p w:rsidR="00BC07F0" w:rsidRDefault="00073EFB">
                  <w:pPr>
                    <w:pStyle w:val="a7"/>
                    <w:rPr>
                      <w:rFonts w:hint="default"/>
                    </w:rPr>
                  </w:pPr>
                  <w:r>
                    <w:t>填充土料及种植土</w:t>
                  </w:r>
                  <w:r>
                    <w:t>（</w:t>
                  </w:r>
                  <w:r>
                    <w:t>厚</w:t>
                  </w:r>
                  <w:r>
                    <w:t>300mm</w:t>
                  </w:r>
                  <w:r>
                    <w:t>）</w:t>
                  </w:r>
                </w:p>
              </w:tc>
              <w:tc>
                <w:tcPr>
                  <w:tcW w:w="1020" w:type="dxa"/>
                  <w:vAlign w:val="center"/>
                </w:tcPr>
                <w:p w:rsidR="00BC07F0" w:rsidRDefault="00073EFB">
                  <w:pPr>
                    <w:pStyle w:val="a7"/>
                    <w:rPr>
                      <w:rFonts w:hint="default"/>
                    </w:rPr>
                  </w:pPr>
                  <w:r>
                    <w:t>m</w:t>
                  </w:r>
                  <w:r>
                    <w:rPr>
                      <w:vertAlign w:val="superscript"/>
                    </w:rPr>
                    <w:t>3</w:t>
                  </w:r>
                </w:p>
              </w:tc>
              <w:tc>
                <w:tcPr>
                  <w:tcW w:w="2706" w:type="dxa"/>
                  <w:vAlign w:val="center"/>
                </w:tcPr>
                <w:p w:rsidR="00BC07F0" w:rsidRDefault="00073EFB">
                  <w:pPr>
                    <w:pStyle w:val="a7"/>
                    <w:rPr>
                      <w:rFonts w:hint="default"/>
                    </w:rPr>
                  </w:pPr>
                  <w:r>
                    <w:t>10030</w:t>
                  </w:r>
                </w:p>
              </w:tc>
            </w:tr>
            <w:tr w:rsidR="00BC07F0">
              <w:trPr>
                <w:trHeight w:val="397"/>
                <w:jc w:val="center"/>
              </w:trPr>
              <w:tc>
                <w:tcPr>
                  <w:tcW w:w="879" w:type="dxa"/>
                  <w:vAlign w:val="center"/>
                </w:tcPr>
                <w:p w:rsidR="00BC07F0" w:rsidRDefault="00073EFB">
                  <w:pPr>
                    <w:pStyle w:val="a7"/>
                    <w:rPr>
                      <w:rFonts w:hint="default"/>
                    </w:rPr>
                  </w:pPr>
                  <w:r>
                    <w:t>7</w:t>
                  </w:r>
                </w:p>
              </w:tc>
              <w:tc>
                <w:tcPr>
                  <w:tcW w:w="4423" w:type="dxa"/>
                  <w:vAlign w:val="center"/>
                </w:tcPr>
                <w:p w:rsidR="00BC07F0" w:rsidRDefault="00073EFB">
                  <w:pPr>
                    <w:pStyle w:val="a7"/>
                    <w:rPr>
                      <w:rFonts w:hint="default"/>
                    </w:rPr>
                  </w:pPr>
                  <w:r>
                    <w:t>土工布</w:t>
                  </w:r>
                  <w:r>
                    <w:t>（</w:t>
                  </w:r>
                  <w:r>
                    <w:t>单布厚</w:t>
                  </w:r>
                  <w:r>
                    <w:t>300g/m</w:t>
                  </w:r>
                  <w:r>
                    <w:t>²</w:t>
                  </w:r>
                  <w:r>
                    <w:t>）</w:t>
                  </w:r>
                </w:p>
              </w:tc>
              <w:tc>
                <w:tcPr>
                  <w:tcW w:w="1020" w:type="dxa"/>
                  <w:vAlign w:val="center"/>
                </w:tcPr>
                <w:p w:rsidR="00BC07F0" w:rsidRDefault="00073EFB">
                  <w:pPr>
                    <w:pStyle w:val="a7"/>
                    <w:rPr>
                      <w:rFonts w:hint="default"/>
                    </w:rPr>
                  </w:pPr>
                  <w:r>
                    <w:t>m</w:t>
                  </w:r>
                  <w:r>
                    <w:rPr>
                      <w:vertAlign w:val="superscript"/>
                    </w:rPr>
                    <w:t>3</w:t>
                  </w:r>
                </w:p>
              </w:tc>
              <w:tc>
                <w:tcPr>
                  <w:tcW w:w="2706" w:type="dxa"/>
                  <w:vAlign w:val="center"/>
                </w:tcPr>
                <w:p w:rsidR="00BC07F0" w:rsidRDefault="00073EFB">
                  <w:pPr>
                    <w:pStyle w:val="a7"/>
                    <w:rPr>
                      <w:rFonts w:hint="default"/>
                    </w:rPr>
                  </w:pPr>
                  <w:r>
                    <w:t>37806</w:t>
                  </w:r>
                </w:p>
              </w:tc>
            </w:tr>
            <w:tr w:rsidR="00BC07F0">
              <w:trPr>
                <w:trHeight w:val="397"/>
                <w:jc w:val="center"/>
              </w:trPr>
              <w:tc>
                <w:tcPr>
                  <w:tcW w:w="879" w:type="dxa"/>
                  <w:vAlign w:val="center"/>
                </w:tcPr>
                <w:p w:rsidR="00BC07F0" w:rsidRDefault="00073EFB">
                  <w:pPr>
                    <w:pStyle w:val="a7"/>
                    <w:rPr>
                      <w:rFonts w:hint="default"/>
                    </w:rPr>
                  </w:pPr>
                  <w:r>
                    <w:t>8</w:t>
                  </w:r>
                </w:p>
              </w:tc>
              <w:tc>
                <w:tcPr>
                  <w:tcW w:w="4423" w:type="dxa"/>
                  <w:vAlign w:val="center"/>
                </w:tcPr>
                <w:p w:rsidR="00BC07F0" w:rsidRDefault="00073EFB">
                  <w:pPr>
                    <w:pStyle w:val="a7"/>
                    <w:rPr>
                      <w:rFonts w:hint="default"/>
                    </w:rPr>
                  </w:pPr>
                  <w:r>
                    <w:t>拆除原拦水坝砼结构</w:t>
                  </w:r>
                </w:p>
              </w:tc>
              <w:tc>
                <w:tcPr>
                  <w:tcW w:w="1020" w:type="dxa"/>
                  <w:vAlign w:val="center"/>
                </w:tcPr>
                <w:p w:rsidR="00BC07F0" w:rsidRDefault="00073EFB">
                  <w:pPr>
                    <w:pStyle w:val="a7"/>
                    <w:rPr>
                      <w:rFonts w:hint="default"/>
                    </w:rPr>
                  </w:pPr>
                  <w:r>
                    <w:t>m</w:t>
                  </w:r>
                  <w:r>
                    <w:rPr>
                      <w:vertAlign w:val="superscript"/>
                    </w:rPr>
                    <w:t>3</w:t>
                  </w:r>
                </w:p>
              </w:tc>
              <w:tc>
                <w:tcPr>
                  <w:tcW w:w="2706" w:type="dxa"/>
                  <w:vAlign w:val="center"/>
                </w:tcPr>
                <w:p w:rsidR="00BC07F0" w:rsidRDefault="00073EFB">
                  <w:pPr>
                    <w:pStyle w:val="a7"/>
                    <w:rPr>
                      <w:rFonts w:hint="default"/>
                    </w:rPr>
                  </w:pPr>
                  <w:r>
                    <w:t>49</w:t>
                  </w:r>
                </w:p>
              </w:tc>
            </w:tr>
            <w:tr w:rsidR="00BC07F0">
              <w:trPr>
                <w:trHeight w:val="397"/>
                <w:jc w:val="center"/>
              </w:trPr>
              <w:tc>
                <w:tcPr>
                  <w:tcW w:w="879" w:type="dxa"/>
                  <w:vAlign w:val="center"/>
                </w:tcPr>
                <w:p w:rsidR="00BC07F0" w:rsidRDefault="00073EFB">
                  <w:pPr>
                    <w:pStyle w:val="a7"/>
                    <w:rPr>
                      <w:rFonts w:hint="default"/>
                    </w:rPr>
                  </w:pPr>
                  <w:r>
                    <w:t>9</w:t>
                  </w:r>
                </w:p>
              </w:tc>
              <w:tc>
                <w:tcPr>
                  <w:tcW w:w="4423" w:type="dxa"/>
                  <w:vAlign w:val="center"/>
                </w:tcPr>
                <w:p w:rsidR="00BC07F0" w:rsidRDefault="00073EFB">
                  <w:pPr>
                    <w:pStyle w:val="a7"/>
                    <w:rPr>
                      <w:rFonts w:hint="default"/>
                    </w:rPr>
                  </w:pPr>
                  <w:r>
                    <w:t>拆除原拦水坝砖砌结构</w:t>
                  </w:r>
                </w:p>
              </w:tc>
              <w:tc>
                <w:tcPr>
                  <w:tcW w:w="1020" w:type="dxa"/>
                  <w:vAlign w:val="center"/>
                </w:tcPr>
                <w:p w:rsidR="00BC07F0" w:rsidRDefault="00073EFB">
                  <w:pPr>
                    <w:pStyle w:val="a7"/>
                    <w:rPr>
                      <w:rFonts w:hint="default"/>
                    </w:rPr>
                  </w:pPr>
                  <w:r>
                    <w:t>m</w:t>
                  </w:r>
                  <w:r>
                    <w:rPr>
                      <w:vertAlign w:val="superscript"/>
                    </w:rPr>
                    <w:t>3</w:t>
                  </w:r>
                </w:p>
              </w:tc>
              <w:tc>
                <w:tcPr>
                  <w:tcW w:w="2706" w:type="dxa"/>
                  <w:vAlign w:val="center"/>
                </w:tcPr>
                <w:p w:rsidR="00BC07F0" w:rsidRDefault="00073EFB">
                  <w:pPr>
                    <w:pStyle w:val="a7"/>
                    <w:rPr>
                      <w:rFonts w:hint="default"/>
                    </w:rPr>
                  </w:pPr>
                  <w:r>
                    <w:t>51</w:t>
                  </w:r>
                </w:p>
              </w:tc>
            </w:tr>
            <w:tr w:rsidR="00BC07F0">
              <w:trPr>
                <w:trHeight w:val="397"/>
                <w:jc w:val="center"/>
              </w:trPr>
              <w:tc>
                <w:tcPr>
                  <w:tcW w:w="879" w:type="dxa"/>
                  <w:vAlign w:val="center"/>
                </w:tcPr>
                <w:p w:rsidR="00BC07F0" w:rsidRDefault="00073EFB">
                  <w:pPr>
                    <w:pStyle w:val="a7"/>
                    <w:rPr>
                      <w:rFonts w:hint="default"/>
                    </w:rPr>
                  </w:pPr>
                  <w:r>
                    <w:t>10</w:t>
                  </w:r>
                </w:p>
              </w:tc>
              <w:tc>
                <w:tcPr>
                  <w:tcW w:w="4423" w:type="dxa"/>
                  <w:vAlign w:val="center"/>
                </w:tcPr>
                <w:p w:rsidR="00BC07F0" w:rsidRDefault="00073EFB">
                  <w:pPr>
                    <w:pStyle w:val="a7"/>
                    <w:rPr>
                      <w:rFonts w:hint="default"/>
                    </w:rPr>
                  </w:pPr>
                  <w:r>
                    <w:t>树池围护</w:t>
                  </w:r>
                </w:p>
              </w:tc>
              <w:tc>
                <w:tcPr>
                  <w:tcW w:w="1020" w:type="dxa"/>
                  <w:vAlign w:val="center"/>
                </w:tcPr>
                <w:p w:rsidR="00BC07F0" w:rsidRDefault="00073EFB">
                  <w:pPr>
                    <w:pStyle w:val="a7"/>
                    <w:rPr>
                      <w:rFonts w:hint="default"/>
                    </w:rPr>
                  </w:pPr>
                  <w:r>
                    <w:t>m</w:t>
                  </w:r>
                </w:p>
              </w:tc>
              <w:tc>
                <w:tcPr>
                  <w:tcW w:w="2706" w:type="dxa"/>
                  <w:vAlign w:val="center"/>
                </w:tcPr>
                <w:p w:rsidR="00BC07F0" w:rsidRDefault="00073EFB">
                  <w:pPr>
                    <w:pStyle w:val="a7"/>
                    <w:rPr>
                      <w:rFonts w:hint="default"/>
                    </w:rPr>
                  </w:pPr>
                  <w:r>
                    <w:t>20</w:t>
                  </w:r>
                </w:p>
              </w:tc>
            </w:tr>
            <w:tr w:rsidR="00BC07F0">
              <w:trPr>
                <w:trHeight w:val="397"/>
                <w:jc w:val="center"/>
              </w:trPr>
              <w:tc>
                <w:tcPr>
                  <w:tcW w:w="879" w:type="dxa"/>
                  <w:vAlign w:val="center"/>
                </w:tcPr>
                <w:p w:rsidR="00BC07F0" w:rsidRDefault="00073EFB">
                  <w:pPr>
                    <w:pStyle w:val="a7"/>
                    <w:rPr>
                      <w:rFonts w:hint="default"/>
                    </w:rPr>
                  </w:pPr>
                  <w:r>
                    <w:t>11</w:t>
                  </w:r>
                </w:p>
              </w:tc>
              <w:tc>
                <w:tcPr>
                  <w:tcW w:w="4423" w:type="dxa"/>
                  <w:vAlign w:val="center"/>
                </w:tcPr>
                <w:p w:rsidR="00BC07F0" w:rsidRDefault="00073EFB">
                  <w:pPr>
                    <w:pStyle w:val="a7"/>
                    <w:rPr>
                      <w:rFonts w:hint="default"/>
                    </w:rPr>
                  </w:pPr>
                  <w:r>
                    <w:t>C20</w:t>
                  </w:r>
                  <w:r>
                    <w:t>砼垫层</w:t>
                  </w:r>
                </w:p>
              </w:tc>
              <w:tc>
                <w:tcPr>
                  <w:tcW w:w="1020" w:type="dxa"/>
                  <w:vAlign w:val="center"/>
                </w:tcPr>
                <w:p w:rsidR="00BC07F0" w:rsidRDefault="00073EFB">
                  <w:pPr>
                    <w:pStyle w:val="a7"/>
                    <w:rPr>
                      <w:rFonts w:hint="default"/>
                    </w:rPr>
                  </w:pPr>
                  <w:r>
                    <w:t>m</w:t>
                  </w:r>
                  <w:r>
                    <w:rPr>
                      <w:vertAlign w:val="superscript"/>
                    </w:rPr>
                    <w:t>2</w:t>
                  </w:r>
                </w:p>
              </w:tc>
              <w:tc>
                <w:tcPr>
                  <w:tcW w:w="2706" w:type="dxa"/>
                  <w:vAlign w:val="center"/>
                </w:tcPr>
                <w:p w:rsidR="00BC07F0" w:rsidRDefault="00073EFB">
                  <w:pPr>
                    <w:pStyle w:val="a7"/>
                    <w:rPr>
                      <w:rFonts w:hint="default"/>
                    </w:rPr>
                  </w:pPr>
                  <w:r>
                    <w:t>407</w:t>
                  </w:r>
                </w:p>
              </w:tc>
            </w:tr>
            <w:tr w:rsidR="00BC07F0">
              <w:trPr>
                <w:trHeight w:val="397"/>
                <w:jc w:val="center"/>
              </w:trPr>
              <w:tc>
                <w:tcPr>
                  <w:tcW w:w="879" w:type="dxa"/>
                  <w:vAlign w:val="center"/>
                </w:tcPr>
                <w:p w:rsidR="00BC07F0" w:rsidRDefault="00073EFB">
                  <w:pPr>
                    <w:pStyle w:val="a7"/>
                    <w:rPr>
                      <w:rFonts w:hint="default"/>
                    </w:rPr>
                  </w:pPr>
                  <w:r>
                    <w:t>12</w:t>
                  </w:r>
                </w:p>
              </w:tc>
              <w:tc>
                <w:tcPr>
                  <w:tcW w:w="4423" w:type="dxa"/>
                  <w:vAlign w:val="center"/>
                </w:tcPr>
                <w:p w:rsidR="00BC07F0" w:rsidRDefault="00073EFB">
                  <w:pPr>
                    <w:pStyle w:val="a7"/>
                    <w:rPr>
                      <w:rFonts w:hint="default"/>
                    </w:rPr>
                  </w:pPr>
                  <w:r>
                    <w:t>M10</w:t>
                  </w:r>
                  <w:r>
                    <w:t>浆砌石基础</w:t>
                  </w:r>
                </w:p>
              </w:tc>
              <w:tc>
                <w:tcPr>
                  <w:tcW w:w="1020" w:type="dxa"/>
                  <w:vAlign w:val="center"/>
                </w:tcPr>
                <w:p w:rsidR="00BC07F0" w:rsidRDefault="00073EFB">
                  <w:pPr>
                    <w:pStyle w:val="a7"/>
                    <w:rPr>
                      <w:rFonts w:hint="default"/>
                    </w:rPr>
                  </w:pPr>
                  <w:r>
                    <w:t>m</w:t>
                  </w:r>
                  <w:r>
                    <w:rPr>
                      <w:vertAlign w:val="superscript"/>
                    </w:rPr>
                    <w:t>2</w:t>
                  </w:r>
                </w:p>
              </w:tc>
              <w:tc>
                <w:tcPr>
                  <w:tcW w:w="2706" w:type="dxa"/>
                  <w:vAlign w:val="center"/>
                </w:tcPr>
                <w:p w:rsidR="00BC07F0" w:rsidRDefault="00073EFB">
                  <w:pPr>
                    <w:pStyle w:val="a7"/>
                    <w:rPr>
                      <w:rFonts w:hint="default"/>
                    </w:rPr>
                  </w:pPr>
                  <w:r>
                    <w:t>2272</w:t>
                  </w:r>
                </w:p>
              </w:tc>
            </w:tr>
            <w:tr w:rsidR="00BC07F0">
              <w:trPr>
                <w:trHeight w:val="397"/>
                <w:jc w:val="center"/>
              </w:trPr>
              <w:tc>
                <w:tcPr>
                  <w:tcW w:w="879" w:type="dxa"/>
                  <w:vAlign w:val="center"/>
                </w:tcPr>
                <w:p w:rsidR="00BC07F0" w:rsidRDefault="00073EFB">
                  <w:pPr>
                    <w:pStyle w:val="a7"/>
                    <w:rPr>
                      <w:rFonts w:hint="default"/>
                    </w:rPr>
                  </w:pPr>
                  <w:r>
                    <w:t>13</w:t>
                  </w:r>
                </w:p>
              </w:tc>
              <w:tc>
                <w:tcPr>
                  <w:tcW w:w="4423" w:type="dxa"/>
                  <w:vAlign w:val="center"/>
                </w:tcPr>
                <w:p w:rsidR="00BC07F0" w:rsidRDefault="00073EFB">
                  <w:pPr>
                    <w:pStyle w:val="a7"/>
                    <w:rPr>
                      <w:rFonts w:hint="default"/>
                    </w:rPr>
                  </w:pPr>
                  <w:r>
                    <w:t>M10</w:t>
                  </w:r>
                  <w:r>
                    <w:t>浆砌石仰斜式挡墙</w:t>
                  </w:r>
                </w:p>
              </w:tc>
              <w:tc>
                <w:tcPr>
                  <w:tcW w:w="1020" w:type="dxa"/>
                  <w:vAlign w:val="center"/>
                </w:tcPr>
                <w:p w:rsidR="00BC07F0" w:rsidRDefault="00073EFB">
                  <w:pPr>
                    <w:pStyle w:val="a7"/>
                    <w:rPr>
                      <w:rFonts w:hint="default"/>
                    </w:rPr>
                  </w:pPr>
                  <w:r>
                    <w:t>m</w:t>
                  </w:r>
                  <w:r>
                    <w:rPr>
                      <w:vertAlign w:val="superscript"/>
                    </w:rPr>
                    <w:t>2</w:t>
                  </w:r>
                </w:p>
              </w:tc>
              <w:tc>
                <w:tcPr>
                  <w:tcW w:w="2706" w:type="dxa"/>
                  <w:vAlign w:val="center"/>
                </w:tcPr>
                <w:p w:rsidR="00BC07F0" w:rsidRDefault="00073EFB">
                  <w:pPr>
                    <w:pStyle w:val="a7"/>
                    <w:rPr>
                      <w:rFonts w:hint="default"/>
                    </w:rPr>
                  </w:pPr>
                  <w:r>
                    <w:t>1092</w:t>
                  </w:r>
                </w:p>
              </w:tc>
            </w:tr>
            <w:tr w:rsidR="00BC07F0">
              <w:trPr>
                <w:trHeight w:val="397"/>
                <w:jc w:val="center"/>
              </w:trPr>
              <w:tc>
                <w:tcPr>
                  <w:tcW w:w="879" w:type="dxa"/>
                  <w:vAlign w:val="center"/>
                </w:tcPr>
                <w:p w:rsidR="00BC07F0" w:rsidRDefault="00073EFB">
                  <w:pPr>
                    <w:pStyle w:val="a7"/>
                    <w:rPr>
                      <w:rFonts w:hint="default"/>
                    </w:rPr>
                  </w:pPr>
                  <w:r>
                    <w:t>14</w:t>
                  </w:r>
                </w:p>
              </w:tc>
              <w:tc>
                <w:tcPr>
                  <w:tcW w:w="4423" w:type="dxa"/>
                  <w:vAlign w:val="center"/>
                </w:tcPr>
                <w:p w:rsidR="00BC07F0" w:rsidRDefault="00073EFB">
                  <w:pPr>
                    <w:pStyle w:val="a7"/>
                    <w:rPr>
                      <w:rFonts w:hint="default"/>
                    </w:rPr>
                  </w:pPr>
                  <w:r>
                    <w:t>C30</w:t>
                  </w:r>
                  <w:r>
                    <w:t>块石砼挡墙</w:t>
                  </w:r>
                </w:p>
              </w:tc>
              <w:tc>
                <w:tcPr>
                  <w:tcW w:w="1020" w:type="dxa"/>
                  <w:vAlign w:val="center"/>
                </w:tcPr>
                <w:p w:rsidR="00BC07F0" w:rsidRDefault="00073EFB">
                  <w:pPr>
                    <w:pStyle w:val="a7"/>
                    <w:rPr>
                      <w:rFonts w:hint="default"/>
                    </w:rPr>
                  </w:pPr>
                  <w:r>
                    <w:t>m</w:t>
                  </w:r>
                  <w:r>
                    <w:rPr>
                      <w:vertAlign w:val="superscript"/>
                    </w:rPr>
                    <w:t>2</w:t>
                  </w:r>
                </w:p>
              </w:tc>
              <w:tc>
                <w:tcPr>
                  <w:tcW w:w="2706" w:type="dxa"/>
                  <w:vAlign w:val="center"/>
                </w:tcPr>
                <w:p w:rsidR="00BC07F0" w:rsidRDefault="00073EFB">
                  <w:pPr>
                    <w:pStyle w:val="a7"/>
                    <w:rPr>
                      <w:rFonts w:hint="default"/>
                    </w:rPr>
                  </w:pPr>
                  <w:r>
                    <w:t>1136</w:t>
                  </w:r>
                </w:p>
              </w:tc>
            </w:tr>
            <w:tr w:rsidR="00BC07F0">
              <w:trPr>
                <w:trHeight w:val="397"/>
                <w:jc w:val="center"/>
              </w:trPr>
              <w:tc>
                <w:tcPr>
                  <w:tcW w:w="879" w:type="dxa"/>
                  <w:vAlign w:val="center"/>
                </w:tcPr>
                <w:p w:rsidR="00BC07F0" w:rsidRDefault="00073EFB">
                  <w:pPr>
                    <w:pStyle w:val="a7"/>
                    <w:rPr>
                      <w:rFonts w:hint="default"/>
                    </w:rPr>
                  </w:pPr>
                  <w:r>
                    <w:t>15</w:t>
                  </w:r>
                </w:p>
              </w:tc>
              <w:tc>
                <w:tcPr>
                  <w:tcW w:w="4423" w:type="dxa"/>
                  <w:vAlign w:val="center"/>
                </w:tcPr>
                <w:p w:rsidR="00BC07F0" w:rsidRDefault="00073EFB">
                  <w:pPr>
                    <w:pStyle w:val="a7"/>
                    <w:rPr>
                      <w:rFonts w:hint="default"/>
                    </w:rPr>
                  </w:pPr>
                  <w:r>
                    <w:t>土工格栅</w:t>
                  </w:r>
                </w:p>
              </w:tc>
              <w:tc>
                <w:tcPr>
                  <w:tcW w:w="1020" w:type="dxa"/>
                  <w:vAlign w:val="center"/>
                </w:tcPr>
                <w:p w:rsidR="00BC07F0" w:rsidRDefault="00073EFB">
                  <w:pPr>
                    <w:pStyle w:val="a7"/>
                    <w:rPr>
                      <w:rFonts w:hint="default"/>
                    </w:rPr>
                  </w:pPr>
                  <w:r>
                    <w:t>m</w:t>
                  </w:r>
                  <w:r>
                    <w:rPr>
                      <w:vertAlign w:val="superscript"/>
                    </w:rPr>
                    <w:t>2</w:t>
                  </w:r>
                </w:p>
              </w:tc>
              <w:tc>
                <w:tcPr>
                  <w:tcW w:w="2706" w:type="dxa"/>
                  <w:vAlign w:val="center"/>
                </w:tcPr>
                <w:p w:rsidR="00BC07F0" w:rsidRDefault="00073EFB">
                  <w:pPr>
                    <w:pStyle w:val="a7"/>
                    <w:rPr>
                      <w:rFonts w:hint="default"/>
                    </w:rPr>
                  </w:pPr>
                  <w:r>
                    <w:t>17503</w:t>
                  </w:r>
                </w:p>
              </w:tc>
            </w:tr>
            <w:tr w:rsidR="00BC07F0">
              <w:trPr>
                <w:trHeight w:val="397"/>
                <w:jc w:val="center"/>
              </w:trPr>
              <w:tc>
                <w:tcPr>
                  <w:tcW w:w="879" w:type="dxa"/>
                  <w:vAlign w:val="center"/>
                </w:tcPr>
                <w:p w:rsidR="00BC07F0" w:rsidRDefault="00073EFB">
                  <w:pPr>
                    <w:pStyle w:val="a7"/>
                    <w:rPr>
                      <w:rFonts w:hint="default"/>
                    </w:rPr>
                  </w:pPr>
                  <w:r>
                    <w:t>16</w:t>
                  </w:r>
                </w:p>
              </w:tc>
              <w:tc>
                <w:tcPr>
                  <w:tcW w:w="4423" w:type="dxa"/>
                  <w:vAlign w:val="center"/>
                </w:tcPr>
                <w:p w:rsidR="00BC07F0" w:rsidRDefault="00073EFB">
                  <w:pPr>
                    <w:pStyle w:val="a7"/>
                    <w:rPr>
                      <w:rFonts w:hint="default"/>
                    </w:rPr>
                  </w:pPr>
                  <w:r>
                    <w:t>锚钉</w:t>
                  </w:r>
                </w:p>
              </w:tc>
              <w:tc>
                <w:tcPr>
                  <w:tcW w:w="1020" w:type="dxa"/>
                  <w:vAlign w:val="center"/>
                </w:tcPr>
                <w:p w:rsidR="00BC07F0" w:rsidRDefault="00073EFB">
                  <w:pPr>
                    <w:pStyle w:val="a7"/>
                    <w:rPr>
                      <w:rFonts w:hint="default"/>
                    </w:rPr>
                  </w:pPr>
                  <w:r>
                    <w:t>t</w:t>
                  </w:r>
                </w:p>
              </w:tc>
              <w:tc>
                <w:tcPr>
                  <w:tcW w:w="2706" w:type="dxa"/>
                  <w:vAlign w:val="center"/>
                </w:tcPr>
                <w:p w:rsidR="00BC07F0" w:rsidRDefault="00073EFB">
                  <w:pPr>
                    <w:pStyle w:val="a7"/>
                    <w:rPr>
                      <w:rFonts w:hint="default"/>
                    </w:rPr>
                  </w:pPr>
                  <w:r>
                    <w:t>3</w:t>
                  </w:r>
                </w:p>
              </w:tc>
            </w:tr>
            <w:tr w:rsidR="00BC07F0">
              <w:trPr>
                <w:trHeight w:val="397"/>
                <w:jc w:val="center"/>
              </w:trPr>
              <w:tc>
                <w:tcPr>
                  <w:tcW w:w="879" w:type="dxa"/>
                  <w:vAlign w:val="center"/>
                </w:tcPr>
                <w:p w:rsidR="00BC07F0" w:rsidRDefault="00073EFB">
                  <w:pPr>
                    <w:pStyle w:val="a7"/>
                    <w:rPr>
                      <w:rFonts w:hint="default"/>
                    </w:rPr>
                  </w:pPr>
                  <w:r>
                    <w:t>17</w:t>
                  </w:r>
                </w:p>
              </w:tc>
              <w:tc>
                <w:tcPr>
                  <w:tcW w:w="4423" w:type="dxa"/>
                  <w:vAlign w:val="center"/>
                </w:tcPr>
                <w:p w:rsidR="00BC07F0" w:rsidRDefault="00073EFB">
                  <w:pPr>
                    <w:pStyle w:val="a7"/>
                    <w:rPr>
                      <w:rFonts w:hint="default"/>
                    </w:rPr>
                  </w:pPr>
                  <w:r>
                    <w:t>DN50PVC</w:t>
                  </w:r>
                  <w:r>
                    <w:t>排水管</w:t>
                  </w:r>
                </w:p>
              </w:tc>
              <w:tc>
                <w:tcPr>
                  <w:tcW w:w="1020" w:type="dxa"/>
                  <w:vAlign w:val="center"/>
                </w:tcPr>
                <w:p w:rsidR="00BC07F0" w:rsidRDefault="00073EFB">
                  <w:pPr>
                    <w:pStyle w:val="a7"/>
                    <w:rPr>
                      <w:rFonts w:hint="default"/>
                    </w:rPr>
                  </w:pPr>
                  <w:r>
                    <w:t>m</w:t>
                  </w:r>
                </w:p>
              </w:tc>
              <w:tc>
                <w:tcPr>
                  <w:tcW w:w="2706" w:type="dxa"/>
                  <w:vAlign w:val="center"/>
                </w:tcPr>
                <w:p w:rsidR="00BC07F0" w:rsidRDefault="00073EFB">
                  <w:pPr>
                    <w:pStyle w:val="a7"/>
                    <w:rPr>
                      <w:rFonts w:hint="default"/>
                    </w:rPr>
                  </w:pPr>
                  <w:r>
                    <w:t>200</w:t>
                  </w:r>
                </w:p>
              </w:tc>
            </w:tr>
            <w:tr w:rsidR="00BC07F0">
              <w:trPr>
                <w:trHeight w:val="397"/>
                <w:jc w:val="center"/>
              </w:trPr>
              <w:tc>
                <w:tcPr>
                  <w:tcW w:w="879" w:type="dxa"/>
                  <w:vAlign w:val="center"/>
                </w:tcPr>
                <w:p w:rsidR="00BC07F0" w:rsidRDefault="00073EFB">
                  <w:pPr>
                    <w:pStyle w:val="a7"/>
                    <w:rPr>
                      <w:rFonts w:hint="default"/>
                    </w:rPr>
                  </w:pPr>
                  <w:r>
                    <w:t>18</w:t>
                  </w:r>
                </w:p>
              </w:tc>
              <w:tc>
                <w:tcPr>
                  <w:tcW w:w="4423" w:type="dxa"/>
                  <w:vAlign w:val="center"/>
                </w:tcPr>
                <w:p w:rsidR="00BC07F0" w:rsidRDefault="00073EFB">
                  <w:pPr>
                    <w:pStyle w:val="a7"/>
                    <w:rPr>
                      <w:rFonts w:hint="default"/>
                    </w:rPr>
                  </w:pPr>
                  <w:r>
                    <w:t>低发泡聚乙烯闭孔泡沫板</w:t>
                  </w:r>
                </w:p>
              </w:tc>
              <w:tc>
                <w:tcPr>
                  <w:tcW w:w="1020" w:type="dxa"/>
                  <w:vAlign w:val="center"/>
                </w:tcPr>
                <w:p w:rsidR="00BC07F0" w:rsidRDefault="00073EFB">
                  <w:pPr>
                    <w:pStyle w:val="a7"/>
                    <w:rPr>
                      <w:rFonts w:hint="default"/>
                    </w:rPr>
                  </w:pPr>
                  <w:r>
                    <w:t>m</w:t>
                  </w:r>
                  <w:r>
                    <w:rPr>
                      <w:vertAlign w:val="superscript"/>
                    </w:rPr>
                    <w:t>2</w:t>
                  </w:r>
                </w:p>
              </w:tc>
              <w:tc>
                <w:tcPr>
                  <w:tcW w:w="2706" w:type="dxa"/>
                  <w:vAlign w:val="center"/>
                </w:tcPr>
                <w:p w:rsidR="00BC07F0" w:rsidRDefault="00073EFB">
                  <w:pPr>
                    <w:pStyle w:val="a7"/>
                    <w:rPr>
                      <w:rFonts w:hint="default"/>
                    </w:rPr>
                  </w:pPr>
                  <w:r>
                    <w:t>172</w:t>
                  </w:r>
                </w:p>
              </w:tc>
            </w:tr>
            <w:tr w:rsidR="00BC07F0">
              <w:trPr>
                <w:trHeight w:val="397"/>
                <w:jc w:val="center"/>
              </w:trPr>
              <w:tc>
                <w:tcPr>
                  <w:tcW w:w="879" w:type="dxa"/>
                  <w:vAlign w:val="center"/>
                </w:tcPr>
                <w:p w:rsidR="00BC07F0" w:rsidRDefault="00073EFB">
                  <w:pPr>
                    <w:pStyle w:val="a7"/>
                    <w:rPr>
                      <w:rFonts w:hint="default"/>
                    </w:rPr>
                  </w:pPr>
                  <w:r>
                    <w:t>19</w:t>
                  </w:r>
                </w:p>
              </w:tc>
              <w:tc>
                <w:tcPr>
                  <w:tcW w:w="4423" w:type="dxa"/>
                  <w:vAlign w:val="center"/>
                </w:tcPr>
                <w:p w:rsidR="00BC07F0" w:rsidRDefault="00073EFB">
                  <w:pPr>
                    <w:pStyle w:val="a7"/>
                    <w:rPr>
                      <w:rFonts w:hint="default"/>
                    </w:rPr>
                  </w:pPr>
                  <w:r>
                    <w:t>抛石回填</w:t>
                  </w:r>
                  <w:r>
                    <w:t>（</w:t>
                  </w:r>
                  <w:r>
                    <w:t>厚</w:t>
                  </w:r>
                  <w:r>
                    <w:t>500mm</w:t>
                  </w:r>
                  <w:r>
                    <w:t>）</w:t>
                  </w:r>
                </w:p>
              </w:tc>
              <w:tc>
                <w:tcPr>
                  <w:tcW w:w="1020" w:type="dxa"/>
                  <w:vAlign w:val="center"/>
                </w:tcPr>
                <w:p w:rsidR="00BC07F0" w:rsidRDefault="00073EFB">
                  <w:pPr>
                    <w:pStyle w:val="a7"/>
                    <w:rPr>
                      <w:rFonts w:hint="default"/>
                    </w:rPr>
                  </w:pPr>
                  <w:r>
                    <w:t>m</w:t>
                  </w:r>
                  <w:r>
                    <w:rPr>
                      <w:vertAlign w:val="superscript"/>
                    </w:rPr>
                    <w:t>2</w:t>
                  </w:r>
                </w:p>
              </w:tc>
              <w:tc>
                <w:tcPr>
                  <w:tcW w:w="2706" w:type="dxa"/>
                  <w:vAlign w:val="center"/>
                </w:tcPr>
                <w:p w:rsidR="00BC07F0" w:rsidRDefault="00073EFB">
                  <w:pPr>
                    <w:pStyle w:val="a7"/>
                    <w:rPr>
                      <w:rFonts w:hint="default"/>
                    </w:rPr>
                  </w:pPr>
                  <w:r>
                    <w:t>3875</w:t>
                  </w:r>
                </w:p>
              </w:tc>
            </w:tr>
            <w:tr w:rsidR="00BC07F0">
              <w:trPr>
                <w:trHeight w:val="397"/>
                <w:jc w:val="center"/>
              </w:trPr>
              <w:tc>
                <w:tcPr>
                  <w:tcW w:w="879" w:type="dxa"/>
                  <w:vAlign w:val="center"/>
                </w:tcPr>
                <w:p w:rsidR="00BC07F0" w:rsidRDefault="00073EFB">
                  <w:pPr>
                    <w:pStyle w:val="a7"/>
                    <w:rPr>
                      <w:rFonts w:hint="default"/>
                    </w:rPr>
                  </w:pPr>
                  <w:r>
                    <w:t>20</w:t>
                  </w:r>
                </w:p>
              </w:tc>
              <w:tc>
                <w:tcPr>
                  <w:tcW w:w="4423" w:type="dxa"/>
                  <w:vAlign w:val="center"/>
                </w:tcPr>
                <w:p w:rsidR="00BC07F0" w:rsidRDefault="00073EFB">
                  <w:pPr>
                    <w:pStyle w:val="a7"/>
                    <w:rPr>
                      <w:rFonts w:hint="default"/>
                    </w:rPr>
                  </w:pPr>
                  <w:r>
                    <w:t>千米桩</w:t>
                  </w:r>
                </w:p>
              </w:tc>
              <w:tc>
                <w:tcPr>
                  <w:tcW w:w="1020" w:type="dxa"/>
                  <w:vAlign w:val="center"/>
                </w:tcPr>
                <w:p w:rsidR="00BC07F0" w:rsidRDefault="00073EFB">
                  <w:pPr>
                    <w:pStyle w:val="a7"/>
                    <w:rPr>
                      <w:rFonts w:hint="default"/>
                    </w:rPr>
                  </w:pPr>
                  <w:r>
                    <w:t>个</w:t>
                  </w:r>
                </w:p>
              </w:tc>
              <w:tc>
                <w:tcPr>
                  <w:tcW w:w="2706" w:type="dxa"/>
                  <w:vAlign w:val="center"/>
                </w:tcPr>
                <w:p w:rsidR="00BC07F0" w:rsidRDefault="00073EFB">
                  <w:pPr>
                    <w:pStyle w:val="a7"/>
                    <w:rPr>
                      <w:rFonts w:hint="default"/>
                    </w:rPr>
                  </w:pPr>
                  <w:r>
                    <w:t>2</w:t>
                  </w:r>
                </w:p>
              </w:tc>
            </w:tr>
            <w:tr w:rsidR="00BC07F0">
              <w:trPr>
                <w:trHeight w:val="397"/>
                <w:jc w:val="center"/>
              </w:trPr>
              <w:tc>
                <w:tcPr>
                  <w:tcW w:w="879" w:type="dxa"/>
                  <w:vAlign w:val="center"/>
                </w:tcPr>
                <w:p w:rsidR="00BC07F0" w:rsidRDefault="00073EFB">
                  <w:pPr>
                    <w:pStyle w:val="a7"/>
                    <w:rPr>
                      <w:rFonts w:hint="default"/>
                    </w:rPr>
                  </w:pPr>
                  <w:r>
                    <w:t>21</w:t>
                  </w:r>
                </w:p>
              </w:tc>
              <w:tc>
                <w:tcPr>
                  <w:tcW w:w="4423" w:type="dxa"/>
                  <w:vAlign w:val="center"/>
                </w:tcPr>
                <w:p w:rsidR="00BC07F0" w:rsidRDefault="00073EFB">
                  <w:pPr>
                    <w:pStyle w:val="a7"/>
                    <w:rPr>
                      <w:rFonts w:hint="default"/>
                    </w:rPr>
                  </w:pPr>
                  <w:r>
                    <w:t>百米桩</w:t>
                  </w:r>
                </w:p>
              </w:tc>
              <w:tc>
                <w:tcPr>
                  <w:tcW w:w="1020" w:type="dxa"/>
                  <w:vAlign w:val="center"/>
                </w:tcPr>
                <w:p w:rsidR="00BC07F0" w:rsidRDefault="00073EFB">
                  <w:pPr>
                    <w:pStyle w:val="a7"/>
                    <w:rPr>
                      <w:rFonts w:hint="default"/>
                    </w:rPr>
                  </w:pPr>
                  <w:r>
                    <w:t>个</w:t>
                  </w:r>
                </w:p>
              </w:tc>
              <w:tc>
                <w:tcPr>
                  <w:tcW w:w="2706" w:type="dxa"/>
                  <w:vAlign w:val="center"/>
                </w:tcPr>
                <w:p w:rsidR="00BC07F0" w:rsidRDefault="00073EFB">
                  <w:pPr>
                    <w:pStyle w:val="a7"/>
                    <w:rPr>
                      <w:rFonts w:hint="default"/>
                    </w:rPr>
                  </w:pPr>
                  <w:r>
                    <w:t>36</w:t>
                  </w:r>
                </w:p>
              </w:tc>
            </w:tr>
            <w:tr w:rsidR="00BC07F0">
              <w:trPr>
                <w:trHeight w:val="397"/>
                <w:jc w:val="center"/>
              </w:trPr>
              <w:tc>
                <w:tcPr>
                  <w:tcW w:w="879" w:type="dxa"/>
                  <w:vAlign w:val="center"/>
                </w:tcPr>
                <w:p w:rsidR="00BC07F0" w:rsidRDefault="00073EFB">
                  <w:pPr>
                    <w:pStyle w:val="a7"/>
                    <w:rPr>
                      <w:rFonts w:hint="default"/>
                    </w:rPr>
                  </w:pPr>
                  <w:r>
                    <w:t>22</w:t>
                  </w:r>
                </w:p>
              </w:tc>
              <w:tc>
                <w:tcPr>
                  <w:tcW w:w="4423" w:type="dxa"/>
                  <w:vAlign w:val="center"/>
                </w:tcPr>
                <w:p w:rsidR="00BC07F0" w:rsidRDefault="00073EFB">
                  <w:pPr>
                    <w:pStyle w:val="a7"/>
                    <w:rPr>
                      <w:rFonts w:hint="default"/>
                    </w:rPr>
                  </w:pPr>
                  <w:r>
                    <w:t>沟槽淤泥开挖</w:t>
                  </w:r>
                </w:p>
              </w:tc>
              <w:tc>
                <w:tcPr>
                  <w:tcW w:w="1020" w:type="dxa"/>
                  <w:vAlign w:val="center"/>
                </w:tcPr>
                <w:p w:rsidR="00BC07F0" w:rsidRDefault="00073EFB">
                  <w:pPr>
                    <w:pStyle w:val="a7"/>
                    <w:rPr>
                      <w:rFonts w:hint="default"/>
                    </w:rPr>
                  </w:pPr>
                  <w:r>
                    <w:t>m</w:t>
                  </w:r>
                  <w:r>
                    <w:rPr>
                      <w:vertAlign w:val="superscript"/>
                    </w:rPr>
                    <w:t>3</w:t>
                  </w:r>
                </w:p>
              </w:tc>
              <w:tc>
                <w:tcPr>
                  <w:tcW w:w="2706" w:type="dxa"/>
                  <w:vAlign w:val="center"/>
                </w:tcPr>
                <w:p w:rsidR="00BC07F0" w:rsidRDefault="00073EFB">
                  <w:pPr>
                    <w:pStyle w:val="a7"/>
                    <w:rPr>
                      <w:rFonts w:hint="default"/>
                    </w:rPr>
                  </w:pPr>
                  <w:r>
                    <w:t>16155.5</w:t>
                  </w:r>
                </w:p>
              </w:tc>
            </w:tr>
            <w:tr w:rsidR="00BC07F0">
              <w:trPr>
                <w:trHeight w:val="397"/>
                <w:jc w:val="center"/>
              </w:trPr>
              <w:tc>
                <w:tcPr>
                  <w:tcW w:w="879" w:type="dxa"/>
                  <w:vAlign w:val="center"/>
                </w:tcPr>
                <w:p w:rsidR="00BC07F0" w:rsidRDefault="00073EFB">
                  <w:pPr>
                    <w:pStyle w:val="a7"/>
                    <w:rPr>
                      <w:rFonts w:hint="default"/>
                    </w:rPr>
                  </w:pPr>
                  <w:r>
                    <w:t>23</w:t>
                  </w:r>
                </w:p>
              </w:tc>
              <w:tc>
                <w:tcPr>
                  <w:tcW w:w="4423" w:type="dxa"/>
                  <w:vAlign w:val="center"/>
                </w:tcPr>
                <w:p w:rsidR="00BC07F0" w:rsidRDefault="00073EFB">
                  <w:pPr>
                    <w:pStyle w:val="a7"/>
                    <w:rPr>
                      <w:rFonts w:hint="default"/>
                    </w:rPr>
                  </w:pPr>
                  <w:r>
                    <w:t>沟槽基础碎石换填</w:t>
                  </w:r>
                </w:p>
              </w:tc>
              <w:tc>
                <w:tcPr>
                  <w:tcW w:w="1020" w:type="dxa"/>
                  <w:vAlign w:val="center"/>
                </w:tcPr>
                <w:p w:rsidR="00BC07F0" w:rsidRDefault="00073EFB">
                  <w:pPr>
                    <w:pStyle w:val="a7"/>
                    <w:rPr>
                      <w:rFonts w:hint="default"/>
                    </w:rPr>
                  </w:pPr>
                  <w:r>
                    <w:t>m</w:t>
                  </w:r>
                  <w:r>
                    <w:rPr>
                      <w:vertAlign w:val="superscript"/>
                    </w:rPr>
                    <w:t>3</w:t>
                  </w:r>
                </w:p>
              </w:tc>
              <w:tc>
                <w:tcPr>
                  <w:tcW w:w="2706" w:type="dxa"/>
                  <w:vAlign w:val="center"/>
                </w:tcPr>
                <w:p w:rsidR="00BC07F0" w:rsidRDefault="00073EFB">
                  <w:pPr>
                    <w:pStyle w:val="a7"/>
                    <w:rPr>
                      <w:rFonts w:hint="default"/>
                    </w:rPr>
                  </w:pPr>
                  <w:r>
                    <w:t>1474.3</w:t>
                  </w:r>
                </w:p>
              </w:tc>
            </w:tr>
            <w:tr w:rsidR="00BC07F0">
              <w:trPr>
                <w:trHeight w:val="397"/>
                <w:jc w:val="center"/>
              </w:trPr>
              <w:tc>
                <w:tcPr>
                  <w:tcW w:w="879" w:type="dxa"/>
                  <w:vAlign w:val="center"/>
                </w:tcPr>
                <w:p w:rsidR="00BC07F0" w:rsidRDefault="00073EFB">
                  <w:pPr>
                    <w:pStyle w:val="a7"/>
                    <w:rPr>
                      <w:rFonts w:hint="default"/>
                    </w:rPr>
                  </w:pPr>
                  <w:r>
                    <w:t>24</w:t>
                  </w:r>
                </w:p>
              </w:tc>
              <w:tc>
                <w:tcPr>
                  <w:tcW w:w="4423" w:type="dxa"/>
                  <w:vAlign w:val="center"/>
                </w:tcPr>
                <w:p w:rsidR="00BC07F0" w:rsidRDefault="00073EFB">
                  <w:pPr>
                    <w:pStyle w:val="a7"/>
                    <w:rPr>
                      <w:rFonts w:hint="default"/>
                    </w:rPr>
                  </w:pPr>
                  <w:r>
                    <w:t>级配碎石台背回填</w:t>
                  </w:r>
                </w:p>
              </w:tc>
              <w:tc>
                <w:tcPr>
                  <w:tcW w:w="1020" w:type="dxa"/>
                  <w:vAlign w:val="center"/>
                </w:tcPr>
                <w:p w:rsidR="00BC07F0" w:rsidRDefault="00073EFB">
                  <w:pPr>
                    <w:pStyle w:val="a7"/>
                    <w:rPr>
                      <w:rFonts w:hint="default"/>
                    </w:rPr>
                  </w:pPr>
                  <w:r>
                    <w:t>m</w:t>
                  </w:r>
                  <w:r>
                    <w:rPr>
                      <w:vertAlign w:val="superscript"/>
                    </w:rPr>
                    <w:t>3</w:t>
                  </w:r>
                </w:p>
              </w:tc>
              <w:tc>
                <w:tcPr>
                  <w:tcW w:w="2706" w:type="dxa"/>
                  <w:vAlign w:val="center"/>
                </w:tcPr>
                <w:p w:rsidR="00BC07F0" w:rsidRDefault="00073EFB">
                  <w:pPr>
                    <w:pStyle w:val="a7"/>
                    <w:rPr>
                      <w:rFonts w:hint="default"/>
                    </w:rPr>
                  </w:pPr>
                  <w:r>
                    <w:t>1455</w:t>
                  </w:r>
                </w:p>
              </w:tc>
            </w:tr>
            <w:tr w:rsidR="00BC07F0">
              <w:trPr>
                <w:trHeight w:val="397"/>
                <w:jc w:val="center"/>
              </w:trPr>
              <w:tc>
                <w:tcPr>
                  <w:tcW w:w="879" w:type="dxa"/>
                  <w:vAlign w:val="center"/>
                </w:tcPr>
                <w:p w:rsidR="00BC07F0" w:rsidRDefault="00073EFB">
                  <w:pPr>
                    <w:pStyle w:val="a7"/>
                    <w:rPr>
                      <w:rFonts w:hint="default"/>
                    </w:rPr>
                  </w:pPr>
                  <w:r>
                    <w:t>25</w:t>
                  </w:r>
                </w:p>
              </w:tc>
              <w:tc>
                <w:tcPr>
                  <w:tcW w:w="4423" w:type="dxa"/>
                  <w:vAlign w:val="center"/>
                </w:tcPr>
                <w:p w:rsidR="00BC07F0" w:rsidRDefault="00073EFB">
                  <w:pPr>
                    <w:pStyle w:val="a7"/>
                    <w:rPr>
                      <w:rFonts w:hint="default"/>
                    </w:rPr>
                  </w:pPr>
                  <w:r>
                    <w:t>土方台背回填</w:t>
                  </w:r>
                </w:p>
              </w:tc>
              <w:tc>
                <w:tcPr>
                  <w:tcW w:w="1020" w:type="dxa"/>
                  <w:vAlign w:val="center"/>
                </w:tcPr>
                <w:p w:rsidR="00BC07F0" w:rsidRDefault="00073EFB">
                  <w:pPr>
                    <w:pStyle w:val="a7"/>
                    <w:rPr>
                      <w:rFonts w:hint="default"/>
                    </w:rPr>
                  </w:pPr>
                  <w:r>
                    <w:t>m</w:t>
                  </w:r>
                  <w:r>
                    <w:rPr>
                      <w:vertAlign w:val="superscript"/>
                    </w:rPr>
                    <w:t>3</w:t>
                  </w:r>
                </w:p>
              </w:tc>
              <w:tc>
                <w:tcPr>
                  <w:tcW w:w="2706" w:type="dxa"/>
                  <w:vAlign w:val="center"/>
                </w:tcPr>
                <w:p w:rsidR="00BC07F0" w:rsidRDefault="00073EFB">
                  <w:pPr>
                    <w:pStyle w:val="a7"/>
                    <w:rPr>
                      <w:rFonts w:hint="default"/>
                    </w:rPr>
                  </w:pPr>
                  <w:r>
                    <w:t>10500</w:t>
                  </w:r>
                </w:p>
              </w:tc>
            </w:tr>
          </w:tbl>
          <w:p w:rsidR="00BC07F0" w:rsidRDefault="00073EFB" w:rsidP="00C55F5E">
            <w:pPr>
              <w:ind w:firstLine="482"/>
              <w:rPr>
                <w:b/>
                <w:bCs/>
              </w:rPr>
            </w:pPr>
            <w:r>
              <w:rPr>
                <w:rFonts w:hint="eastAsia"/>
                <w:b/>
                <w:bCs/>
              </w:rPr>
              <w:t>2.4.2</w:t>
            </w:r>
            <w:r>
              <w:rPr>
                <w:rFonts w:hint="eastAsia"/>
                <w:b/>
                <w:bCs/>
              </w:rPr>
              <w:t>液压坝工程</w:t>
            </w:r>
          </w:p>
          <w:p w:rsidR="00BC07F0" w:rsidRDefault="00073EFB" w:rsidP="00C55F5E">
            <w:pPr>
              <w:ind w:firstLine="482"/>
              <w:rPr>
                <w:b/>
                <w:bCs/>
              </w:rPr>
            </w:pPr>
            <w:r>
              <w:rPr>
                <w:rFonts w:hint="eastAsia"/>
                <w:b/>
                <w:bCs/>
              </w:rPr>
              <w:t>2.4.2.1</w:t>
            </w:r>
            <w:r>
              <w:rPr>
                <w:rFonts w:hint="eastAsia"/>
                <w:b/>
                <w:bCs/>
              </w:rPr>
              <w:t>液压坝</w:t>
            </w:r>
            <w:r>
              <w:rPr>
                <w:rFonts w:hint="eastAsia"/>
                <w:b/>
                <w:bCs/>
              </w:rPr>
              <w:t>材质</w:t>
            </w:r>
          </w:p>
          <w:p w:rsidR="00BC07F0" w:rsidRDefault="00073EFB" w:rsidP="00C55F5E">
            <w:pPr>
              <w:ind w:firstLine="480"/>
            </w:pPr>
            <w:r>
              <w:rPr>
                <w:rFonts w:hint="eastAsia"/>
              </w:rPr>
              <w:t>幸福河支流液压坝坝高为</w:t>
            </w:r>
            <w:r>
              <w:rPr>
                <w:rFonts w:hint="eastAsia"/>
              </w:rPr>
              <w:t>2.5m</w:t>
            </w:r>
            <w:r>
              <w:rPr>
                <w:rFonts w:hint="eastAsia"/>
              </w:rPr>
              <w:t>，坝长</w:t>
            </w:r>
            <w:r>
              <w:rPr>
                <w:rFonts w:hint="eastAsia"/>
              </w:rPr>
              <w:t>16.5m</w:t>
            </w:r>
            <w:r>
              <w:rPr>
                <w:rFonts w:hint="eastAsia"/>
              </w:rPr>
              <w:t>，采用主要材料：液压坝坝底板及其边墙采用</w:t>
            </w:r>
            <w:r>
              <w:rPr>
                <w:rFonts w:hint="eastAsia"/>
              </w:rPr>
              <w:t>C30</w:t>
            </w:r>
            <w:r>
              <w:rPr>
                <w:rFonts w:hint="eastAsia"/>
              </w:rPr>
              <w:t>等级，其余部位采用</w:t>
            </w:r>
            <w:r>
              <w:rPr>
                <w:rFonts w:hint="eastAsia"/>
              </w:rPr>
              <w:t>C25</w:t>
            </w:r>
            <w:r>
              <w:rPr>
                <w:rFonts w:hint="eastAsia"/>
              </w:rPr>
              <w:t>砼，砼抗渗等级均为</w:t>
            </w:r>
            <w:r>
              <w:rPr>
                <w:rFonts w:hint="eastAsia"/>
              </w:rPr>
              <w:t>W4</w:t>
            </w:r>
            <w:r>
              <w:rPr>
                <w:rFonts w:hint="eastAsia"/>
              </w:rPr>
              <w:t>，砼垫层采用</w:t>
            </w:r>
            <w:r>
              <w:rPr>
                <w:rFonts w:hint="eastAsia"/>
              </w:rPr>
              <w:t>C20</w:t>
            </w:r>
            <w:r>
              <w:rPr>
                <w:rFonts w:hint="eastAsia"/>
              </w:rPr>
              <w:t>等级；上下游防冲采用格宾笼石。钢筋砼铺盖及块石砼海漫基础底深入基岩以下不小于</w:t>
            </w:r>
            <w:r>
              <w:rPr>
                <w:rFonts w:hint="eastAsia"/>
              </w:rPr>
              <w:t>1.0m</w:t>
            </w:r>
            <w:r>
              <w:rPr>
                <w:rFonts w:hint="eastAsia"/>
              </w:rPr>
              <w:t>。原土夯填压实度不小于</w:t>
            </w:r>
            <w:r>
              <w:rPr>
                <w:rFonts w:hint="eastAsia"/>
              </w:rPr>
              <w:t>0.91</w:t>
            </w:r>
            <w:r>
              <w:rPr>
                <w:rFonts w:hint="eastAsia"/>
              </w:rPr>
              <w:t>，碎石换填填筑相对密度不小于</w:t>
            </w:r>
            <w:r>
              <w:rPr>
                <w:rFonts w:hint="eastAsia"/>
              </w:rPr>
              <w:t>0.75</w:t>
            </w:r>
            <w:r>
              <w:rPr>
                <w:rFonts w:hint="eastAsia"/>
              </w:rPr>
              <w:t>，承载力不小于</w:t>
            </w:r>
            <w:r>
              <w:rPr>
                <w:rFonts w:hint="eastAsia"/>
              </w:rPr>
              <w:t>200kpa</w:t>
            </w:r>
            <w:r>
              <w:rPr>
                <w:rFonts w:hint="eastAsia"/>
              </w:rPr>
              <w:t>。液压坝范围内基础应进行碎石换填，处理深度为基础底面高程至基岩顶面。</w:t>
            </w:r>
          </w:p>
          <w:p w:rsidR="00BC07F0" w:rsidRDefault="00073EFB" w:rsidP="00C55F5E">
            <w:pPr>
              <w:ind w:firstLine="480"/>
            </w:pPr>
            <w:r>
              <w:rPr>
                <w:rFonts w:hint="eastAsia"/>
              </w:rPr>
              <w:t>液压坝铺盖段、坝底板段、消力池段、海漫段及边墙均设置变形缝，缝宽均为</w:t>
            </w:r>
            <w:r>
              <w:rPr>
                <w:rFonts w:hint="eastAsia"/>
              </w:rPr>
              <w:t>2cm</w:t>
            </w:r>
            <w:r>
              <w:rPr>
                <w:rFonts w:hint="eastAsia"/>
              </w:rPr>
              <w:t>。其中：坝底板段、铺盖段、消力池段、</w:t>
            </w:r>
            <w:r>
              <w:rPr>
                <w:rFonts w:hint="eastAsia"/>
              </w:rPr>
              <w:t>钢筋砼海漫段和所有钢筋砼边墙的变形缝为甲缝，缝内填充聚乙烯闭孔泡沫板，并在缝内夹</w:t>
            </w:r>
            <w:r>
              <w:rPr>
                <w:rFonts w:hint="eastAsia"/>
              </w:rPr>
              <w:t>651</w:t>
            </w:r>
            <w:r>
              <w:rPr>
                <w:rFonts w:hint="eastAsia"/>
              </w:rPr>
              <w:t>型橡胶止水带；块石砼海漫、浆砌石扭面之间变形缝均为乙缝，缝内填充聚乙烯闭孔泡沫板并夹膨胀橡胶止水条。</w:t>
            </w:r>
          </w:p>
          <w:p w:rsidR="00BC07F0" w:rsidRDefault="00073EFB" w:rsidP="00C55F5E">
            <w:pPr>
              <w:ind w:firstLine="482"/>
              <w:rPr>
                <w:b/>
                <w:bCs/>
              </w:rPr>
            </w:pPr>
            <w:r>
              <w:rPr>
                <w:rFonts w:hint="eastAsia"/>
                <w:b/>
                <w:bCs/>
              </w:rPr>
              <w:lastRenderedPageBreak/>
              <w:t>2.4.2.2</w:t>
            </w:r>
            <w:r>
              <w:rPr>
                <w:rFonts w:hint="eastAsia"/>
                <w:b/>
                <w:bCs/>
              </w:rPr>
              <w:t>格宾笼石参数</w:t>
            </w:r>
          </w:p>
          <w:p w:rsidR="00BC07F0" w:rsidRDefault="00073EFB" w:rsidP="00C55F5E">
            <w:pPr>
              <w:ind w:firstLine="480"/>
            </w:pPr>
            <w:r>
              <w:rPr>
                <w:rFonts w:hint="eastAsia"/>
              </w:rPr>
              <w:t>网格规格为</w:t>
            </w:r>
            <w:r>
              <w:rPr>
                <w:rFonts w:hint="eastAsia"/>
              </w:rPr>
              <w:t>10</w:t>
            </w:r>
            <w:r>
              <w:rPr>
                <w:rFonts w:hint="eastAsia"/>
              </w:rPr>
              <w:t>×</w:t>
            </w:r>
            <w:r>
              <w:rPr>
                <w:rFonts w:hint="eastAsia"/>
              </w:rPr>
              <w:t>12cm</w:t>
            </w:r>
            <w:r>
              <w:rPr>
                <w:rFonts w:hint="eastAsia"/>
              </w:rPr>
              <w:t>，容许公差为</w:t>
            </w:r>
            <w:r>
              <w:rPr>
                <w:rFonts w:hint="eastAsia"/>
              </w:rPr>
              <w:t>-4/+16%;</w:t>
            </w:r>
            <w:r>
              <w:rPr>
                <w:rFonts w:hint="eastAsia"/>
              </w:rPr>
              <w:t>钢丝的抗张强度应在</w:t>
            </w:r>
            <w:r>
              <w:rPr>
                <w:rFonts w:hint="eastAsia"/>
              </w:rPr>
              <w:t>350-550N/mm</w:t>
            </w:r>
            <w:r>
              <w:rPr>
                <w:rFonts w:hint="eastAsia"/>
              </w:rPr>
              <w:t>²之间，延伸率不能低于</w:t>
            </w:r>
            <w:r>
              <w:rPr>
                <w:rFonts w:hint="eastAsia"/>
              </w:rPr>
              <w:t>10%</w:t>
            </w:r>
            <w:r>
              <w:rPr>
                <w:rFonts w:hint="eastAsia"/>
              </w:rPr>
              <w:t>，应符合</w:t>
            </w:r>
            <w:r>
              <w:rPr>
                <w:rFonts w:hint="eastAsia"/>
              </w:rPr>
              <w:t>EN10223-3</w:t>
            </w:r>
            <w:r>
              <w:rPr>
                <w:rFonts w:hint="eastAsia"/>
              </w:rPr>
              <w:t>标准。格宾护垫为一次成型生产，除盖板外，边板、端板、隔板及底板间不可分割，为一连续生产的整体。钢丝为厚镀高尔凡</w:t>
            </w:r>
            <w:r>
              <w:rPr>
                <w:rFonts w:hint="eastAsia"/>
              </w:rPr>
              <w:t>(5%</w:t>
            </w:r>
            <w:r>
              <w:rPr>
                <w:rFonts w:hint="eastAsia"/>
              </w:rPr>
              <w:t>铝锌合金</w:t>
            </w:r>
            <w:r>
              <w:rPr>
                <w:rFonts w:hint="eastAsia"/>
              </w:rPr>
              <w:t>+</w:t>
            </w:r>
            <w:r>
              <w:rPr>
                <w:rFonts w:hint="eastAsia"/>
              </w:rPr>
              <w:t>稀土元素</w:t>
            </w:r>
            <w:r>
              <w:rPr>
                <w:rFonts w:hint="eastAsia"/>
              </w:rPr>
              <w:t>)</w:t>
            </w:r>
            <w:r>
              <w:rPr>
                <w:rFonts w:hint="eastAsia"/>
              </w:rPr>
              <w:t>，镀高尔凡层的</w:t>
            </w:r>
            <w:r>
              <w:rPr>
                <w:rFonts w:hint="eastAsia"/>
              </w:rPr>
              <w:t>粘附力应达到下述要求：当钢丝绕具有</w:t>
            </w:r>
            <w:r>
              <w:rPr>
                <w:rFonts w:hint="eastAsia"/>
              </w:rPr>
              <w:t>2</w:t>
            </w:r>
            <w:r>
              <w:rPr>
                <w:rFonts w:hint="eastAsia"/>
              </w:rPr>
              <w:t>倍钢丝直径的心轴</w:t>
            </w:r>
            <w:r>
              <w:rPr>
                <w:rFonts w:hint="eastAsia"/>
              </w:rPr>
              <w:t>6</w:t>
            </w:r>
            <w:r>
              <w:rPr>
                <w:rFonts w:hint="eastAsia"/>
              </w:rPr>
              <w:t>周时，用手指摩擦钢丝，其不会剥落或开裂，符合</w:t>
            </w:r>
            <w:r>
              <w:rPr>
                <w:rFonts w:hint="eastAsia"/>
              </w:rPr>
              <w:t>EN10223-3</w:t>
            </w:r>
            <w:r>
              <w:rPr>
                <w:rFonts w:hint="eastAsia"/>
              </w:rPr>
              <w:t>标准。绞边钢丝采用与网面钢丝一样材质的钢丝，并且按照间隔</w:t>
            </w:r>
            <w:r>
              <w:rPr>
                <w:rFonts w:hint="eastAsia"/>
              </w:rPr>
              <w:t>10</w:t>
            </w:r>
            <w:r>
              <w:rPr>
                <w:rFonts w:hint="eastAsia"/>
              </w:rPr>
              <w:t>～</w:t>
            </w:r>
            <w:r>
              <w:rPr>
                <w:rFonts w:hint="eastAsia"/>
              </w:rPr>
              <w:t>15cm</w:t>
            </w:r>
            <w:r>
              <w:rPr>
                <w:rFonts w:hint="eastAsia"/>
              </w:rPr>
              <w:t>单圈一双圈交替绞合。</w:t>
            </w:r>
          </w:p>
          <w:p w:rsidR="00BC07F0" w:rsidRDefault="00073EFB" w:rsidP="00C55F5E">
            <w:pPr>
              <w:ind w:firstLine="480"/>
            </w:pPr>
            <w:r>
              <w:rPr>
                <w:rFonts w:hint="eastAsia"/>
              </w:rPr>
              <w:t>石料采用坚硬的、单位重量较重的未风化的块石或河卵石，其尺寸不能小于石笼的网孔并大于</w:t>
            </w:r>
            <w:r>
              <w:rPr>
                <w:rFonts w:hint="eastAsia"/>
              </w:rPr>
              <w:t>10cm</w:t>
            </w:r>
            <w:r>
              <w:rPr>
                <w:rFonts w:hint="eastAsia"/>
              </w:rPr>
              <w:t>，</w:t>
            </w:r>
            <w:r>
              <w:rPr>
                <w:rFonts w:hint="eastAsia"/>
              </w:rPr>
              <w:t>15</w:t>
            </w:r>
            <w:r>
              <w:rPr>
                <w:rFonts w:hint="eastAsia"/>
              </w:rPr>
              <w:t>～</w:t>
            </w:r>
            <w:r>
              <w:rPr>
                <w:rFonts w:hint="eastAsia"/>
              </w:rPr>
              <w:t>25cm</w:t>
            </w:r>
            <w:r>
              <w:rPr>
                <w:rFonts w:hint="eastAsia"/>
              </w:rPr>
              <w:t>粒径应达到</w:t>
            </w:r>
            <w:r>
              <w:rPr>
                <w:rFonts w:hint="eastAsia"/>
              </w:rPr>
              <w:t>80%</w:t>
            </w:r>
            <w:r>
              <w:rPr>
                <w:rFonts w:hint="eastAsia"/>
              </w:rPr>
              <w:t>以上，填充物及网箱容重不小于</w:t>
            </w:r>
            <w:r>
              <w:rPr>
                <w:rFonts w:hint="eastAsia"/>
              </w:rPr>
              <w:t>2.0</w:t>
            </w:r>
            <w:r>
              <w:rPr>
                <w:rFonts w:hint="eastAsia"/>
              </w:rPr>
              <w:t>吨</w:t>
            </w:r>
            <w:r>
              <w:rPr>
                <w:rFonts w:hint="eastAsia"/>
              </w:rPr>
              <w:t>/</w:t>
            </w:r>
            <w:r>
              <w:rPr>
                <w:rFonts w:hint="eastAsia"/>
              </w:rPr>
              <w:t>立方米。</w:t>
            </w:r>
          </w:p>
          <w:p w:rsidR="00BC07F0" w:rsidRDefault="00073EFB" w:rsidP="00C55F5E">
            <w:pPr>
              <w:ind w:firstLine="482"/>
              <w:rPr>
                <w:b/>
                <w:bCs/>
              </w:rPr>
            </w:pPr>
            <w:r>
              <w:rPr>
                <w:rFonts w:hint="eastAsia"/>
                <w:b/>
                <w:bCs/>
              </w:rPr>
              <w:t>2.4.2.</w:t>
            </w:r>
            <w:r>
              <w:rPr>
                <w:rFonts w:hint="eastAsia"/>
                <w:b/>
                <w:bCs/>
              </w:rPr>
              <w:t>3</w:t>
            </w:r>
            <w:r>
              <w:rPr>
                <w:rFonts w:hint="eastAsia"/>
                <w:b/>
                <w:bCs/>
              </w:rPr>
              <w:t>闸门</w:t>
            </w:r>
            <w:r>
              <w:rPr>
                <w:rFonts w:hint="eastAsia"/>
                <w:b/>
                <w:bCs/>
              </w:rPr>
              <w:t>设计</w:t>
            </w:r>
          </w:p>
          <w:p w:rsidR="00BC07F0" w:rsidRDefault="00073EFB" w:rsidP="00C55F5E">
            <w:pPr>
              <w:ind w:firstLine="480"/>
            </w:pPr>
            <w:r>
              <w:rPr>
                <w:rFonts w:hint="eastAsia"/>
              </w:rPr>
              <w:t>液压坝坝总长</w:t>
            </w:r>
            <w:r>
              <w:rPr>
                <w:rFonts w:hint="eastAsia"/>
              </w:rPr>
              <w:t>16.5m</w:t>
            </w:r>
            <w:r>
              <w:rPr>
                <w:rFonts w:hint="eastAsia"/>
              </w:rPr>
              <w:t>，设</w:t>
            </w:r>
            <w:r>
              <w:rPr>
                <w:rFonts w:hint="eastAsia"/>
              </w:rPr>
              <w:t>3</w:t>
            </w:r>
            <w:r>
              <w:rPr>
                <w:rFonts w:hint="eastAsia"/>
              </w:rPr>
              <w:t>扇闸门，每扇宽</w:t>
            </w:r>
            <w:r>
              <w:rPr>
                <w:rFonts w:hint="eastAsia"/>
              </w:rPr>
              <w:t>5.5m;</w:t>
            </w:r>
            <w:r>
              <w:rPr>
                <w:rFonts w:hint="eastAsia"/>
              </w:rPr>
              <w:t>挡水高度</w:t>
            </w:r>
            <w:r>
              <w:rPr>
                <w:rFonts w:hint="eastAsia"/>
              </w:rPr>
              <w:t>2.5m</w:t>
            </w:r>
            <w:r>
              <w:rPr>
                <w:rFonts w:hint="eastAsia"/>
              </w:rPr>
              <w:t>。闸门两侧边墙活动范围内挡墙混凝土压光，表</w:t>
            </w:r>
            <w:r>
              <w:rPr>
                <w:rFonts w:hint="eastAsia"/>
              </w:rPr>
              <w:t>面涂环氧树脂。底轴支座及液压缸支座、支撑背板支座采用二次浇注，二次浇注埋件在厂家指导下施工，所有预留槽内一期预留插筋，二期预埋件和其搭焊。</w:t>
            </w:r>
          </w:p>
          <w:p w:rsidR="00BC07F0" w:rsidRDefault="00073EFB" w:rsidP="00C55F5E">
            <w:pPr>
              <w:ind w:firstLine="480"/>
            </w:pPr>
            <w:r>
              <w:rPr>
                <w:rFonts w:hint="eastAsia"/>
              </w:rPr>
              <w:t>液压坝工程量</w:t>
            </w:r>
            <w:r>
              <w:rPr>
                <w:rFonts w:hint="eastAsia"/>
              </w:rPr>
              <w:t>见下表</w:t>
            </w:r>
            <w:r>
              <w:rPr>
                <w:rFonts w:hint="eastAsia"/>
              </w:rPr>
              <w:t>2.4-1</w:t>
            </w:r>
            <w:r>
              <w:rPr>
                <w:rFonts w:hint="eastAsia"/>
              </w:rPr>
              <w:t>，液压坝平面图</w:t>
            </w:r>
            <w:r>
              <w:rPr>
                <w:rFonts w:hint="eastAsia"/>
              </w:rPr>
              <w:t>2.4-1</w:t>
            </w:r>
            <w:r>
              <w:rPr>
                <w:rFonts w:hint="eastAsia"/>
              </w:rPr>
              <w:t>，坝轴线横剖面图鉴</w:t>
            </w:r>
            <w:r>
              <w:rPr>
                <w:rFonts w:hint="eastAsia"/>
              </w:rPr>
              <w:t>2.4-2</w:t>
            </w:r>
            <w:r>
              <w:rPr>
                <w:rFonts w:hint="eastAsia"/>
              </w:rPr>
              <w:t>。</w:t>
            </w:r>
          </w:p>
          <w:p w:rsidR="00BC07F0" w:rsidRDefault="00073EFB">
            <w:pPr>
              <w:pStyle w:val="a7"/>
              <w:rPr>
                <w:rFonts w:hint="default"/>
                <w:b/>
                <w:bCs/>
              </w:rPr>
            </w:pPr>
            <w:r>
              <w:rPr>
                <w:b/>
                <w:bCs/>
              </w:rPr>
              <w:t>2.4-1</w:t>
            </w:r>
            <w:r>
              <w:rPr>
                <w:b/>
                <w:bCs/>
              </w:rPr>
              <w:t>液压坝工程工程量表</w:t>
            </w:r>
          </w:p>
          <w:tbl>
            <w:tblPr>
              <w:tblStyle w:val="TableNormal"/>
              <w:tblW w:w="495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5"/>
              <w:gridCol w:w="2678"/>
              <w:gridCol w:w="1381"/>
              <w:gridCol w:w="1717"/>
              <w:gridCol w:w="2216"/>
            </w:tblGrid>
            <w:tr w:rsidR="00BC07F0">
              <w:trPr>
                <w:trHeight w:val="397"/>
                <w:jc w:val="center"/>
              </w:trPr>
              <w:tc>
                <w:tcPr>
                  <w:tcW w:w="844" w:type="dxa"/>
                  <w:vAlign w:val="center"/>
                </w:tcPr>
                <w:p w:rsidR="00BC07F0" w:rsidRDefault="00073EFB">
                  <w:pPr>
                    <w:pStyle w:val="a7"/>
                    <w:rPr>
                      <w:rFonts w:hint="default"/>
                    </w:rPr>
                  </w:pPr>
                  <w:r>
                    <w:t>序号</w:t>
                  </w:r>
                </w:p>
              </w:tc>
              <w:tc>
                <w:tcPr>
                  <w:tcW w:w="2227" w:type="dxa"/>
                  <w:vAlign w:val="center"/>
                </w:tcPr>
                <w:p w:rsidR="00BC07F0" w:rsidRDefault="00073EFB">
                  <w:pPr>
                    <w:pStyle w:val="a7"/>
                    <w:rPr>
                      <w:rFonts w:hint="default"/>
                    </w:rPr>
                  </w:pPr>
                  <w:r>
                    <w:t>名称</w:t>
                  </w:r>
                </w:p>
              </w:tc>
              <w:tc>
                <w:tcPr>
                  <w:tcW w:w="1148" w:type="dxa"/>
                  <w:vAlign w:val="center"/>
                </w:tcPr>
                <w:p w:rsidR="00BC07F0" w:rsidRDefault="00073EFB">
                  <w:pPr>
                    <w:pStyle w:val="a7"/>
                    <w:rPr>
                      <w:rFonts w:hint="default"/>
                    </w:rPr>
                  </w:pPr>
                  <w:r>
                    <w:t>单位</w:t>
                  </w:r>
                </w:p>
              </w:tc>
              <w:tc>
                <w:tcPr>
                  <w:tcW w:w="1428" w:type="dxa"/>
                  <w:vAlign w:val="center"/>
                </w:tcPr>
                <w:p w:rsidR="00BC07F0" w:rsidRDefault="00073EFB">
                  <w:pPr>
                    <w:pStyle w:val="a7"/>
                    <w:rPr>
                      <w:rFonts w:hint="default"/>
                    </w:rPr>
                  </w:pPr>
                  <w:r>
                    <w:t>工程量</w:t>
                  </w:r>
                </w:p>
              </w:tc>
              <w:tc>
                <w:tcPr>
                  <w:tcW w:w="1843" w:type="dxa"/>
                  <w:vAlign w:val="center"/>
                </w:tcPr>
                <w:p w:rsidR="00BC07F0" w:rsidRDefault="00073EFB">
                  <w:pPr>
                    <w:pStyle w:val="a7"/>
                    <w:rPr>
                      <w:rFonts w:hint="default"/>
                    </w:rPr>
                  </w:pPr>
                  <w:r>
                    <w:t>备注</w:t>
                  </w:r>
                </w:p>
              </w:tc>
            </w:tr>
            <w:tr w:rsidR="00BC07F0">
              <w:trPr>
                <w:trHeight w:val="397"/>
                <w:jc w:val="center"/>
              </w:trPr>
              <w:tc>
                <w:tcPr>
                  <w:tcW w:w="844" w:type="dxa"/>
                  <w:vAlign w:val="center"/>
                </w:tcPr>
                <w:p w:rsidR="00BC07F0" w:rsidRDefault="00073EFB">
                  <w:pPr>
                    <w:pStyle w:val="a7"/>
                    <w:rPr>
                      <w:rFonts w:hint="default"/>
                    </w:rPr>
                  </w:pPr>
                  <w:r>
                    <w:t>1</w:t>
                  </w:r>
                </w:p>
              </w:tc>
              <w:tc>
                <w:tcPr>
                  <w:tcW w:w="2227" w:type="dxa"/>
                  <w:vAlign w:val="center"/>
                </w:tcPr>
                <w:p w:rsidR="00BC07F0" w:rsidRDefault="00073EFB">
                  <w:pPr>
                    <w:pStyle w:val="a7"/>
                    <w:rPr>
                      <w:rFonts w:hint="default"/>
                    </w:rPr>
                  </w:pPr>
                  <w:r>
                    <w:t>河道清淤</w:t>
                  </w:r>
                </w:p>
              </w:tc>
              <w:tc>
                <w:tcPr>
                  <w:tcW w:w="1148" w:type="dxa"/>
                  <w:vAlign w:val="center"/>
                </w:tcPr>
                <w:p w:rsidR="00BC07F0" w:rsidRDefault="00073EFB">
                  <w:pPr>
                    <w:pStyle w:val="a7"/>
                    <w:rPr>
                      <w:rFonts w:hint="default"/>
                    </w:rPr>
                  </w:pPr>
                  <w:r>
                    <w:t>m</w:t>
                  </w:r>
                  <w:r>
                    <w:rPr>
                      <w:vertAlign w:val="superscript"/>
                    </w:rPr>
                    <w:t>3</w:t>
                  </w:r>
                </w:p>
              </w:tc>
              <w:tc>
                <w:tcPr>
                  <w:tcW w:w="1428" w:type="dxa"/>
                  <w:vAlign w:val="center"/>
                </w:tcPr>
                <w:p w:rsidR="00BC07F0" w:rsidRDefault="00073EFB">
                  <w:pPr>
                    <w:pStyle w:val="a7"/>
                    <w:rPr>
                      <w:rFonts w:hint="default"/>
                    </w:rPr>
                  </w:pPr>
                  <w:r>
                    <w:t>1755</w:t>
                  </w:r>
                </w:p>
              </w:tc>
              <w:tc>
                <w:tcPr>
                  <w:tcW w:w="1843" w:type="dxa"/>
                  <w:vAlign w:val="center"/>
                </w:tcPr>
                <w:p w:rsidR="00BC07F0" w:rsidRDefault="00073EFB">
                  <w:pPr>
                    <w:pStyle w:val="a7"/>
                    <w:rPr>
                      <w:rFonts w:hint="default"/>
                    </w:rPr>
                  </w:pPr>
                  <w:r>
                    <w:t>/</w:t>
                  </w:r>
                </w:p>
              </w:tc>
            </w:tr>
            <w:tr w:rsidR="00BC07F0">
              <w:trPr>
                <w:trHeight w:val="397"/>
                <w:jc w:val="center"/>
              </w:trPr>
              <w:tc>
                <w:tcPr>
                  <w:tcW w:w="844" w:type="dxa"/>
                  <w:vAlign w:val="center"/>
                </w:tcPr>
                <w:p w:rsidR="00BC07F0" w:rsidRDefault="00073EFB">
                  <w:pPr>
                    <w:pStyle w:val="a7"/>
                    <w:rPr>
                      <w:rFonts w:hint="default"/>
                    </w:rPr>
                  </w:pPr>
                  <w:r>
                    <w:t>2</w:t>
                  </w:r>
                </w:p>
              </w:tc>
              <w:tc>
                <w:tcPr>
                  <w:tcW w:w="2227" w:type="dxa"/>
                  <w:vAlign w:val="center"/>
                </w:tcPr>
                <w:p w:rsidR="00BC07F0" w:rsidRDefault="00073EFB">
                  <w:pPr>
                    <w:pStyle w:val="a7"/>
                    <w:rPr>
                      <w:rFonts w:hint="default"/>
                    </w:rPr>
                  </w:pPr>
                  <w:r>
                    <w:t>岩石开挖</w:t>
                  </w:r>
                </w:p>
              </w:tc>
              <w:tc>
                <w:tcPr>
                  <w:tcW w:w="1148" w:type="dxa"/>
                  <w:vAlign w:val="center"/>
                </w:tcPr>
                <w:p w:rsidR="00BC07F0" w:rsidRDefault="00073EFB">
                  <w:pPr>
                    <w:pStyle w:val="a7"/>
                    <w:rPr>
                      <w:rFonts w:hint="default"/>
                    </w:rPr>
                  </w:pPr>
                  <w:r>
                    <w:t>m</w:t>
                  </w:r>
                  <w:r>
                    <w:rPr>
                      <w:vertAlign w:val="superscript"/>
                    </w:rPr>
                    <w:t>3</w:t>
                  </w:r>
                </w:p>
              </w:tc>
              <w:tc>
                <w:tcPr>
                  <w:tcW w:w="1428" w:type="dxa"/>
                  <w:vAlign w:val="center"/>
                </w:tcPr>
                <w:p w:rsidR="00BC07F0" w:rsidRDefault="00073EFB">
                  <w:pPr>
                    <w:pStyle w:val="a7"/>
                    <w:rPr>
                      <w:rFonts w:hint="default"/>
                    </w:rPr>
                  </w:pPr>
                  <w:r>
                    <w:t>55</w:t>
                  </w:r>
                </w:p>
              </w:tc>
              <w:tc>
                <w:tcPr>
                  <w:tcW w:w="1843" w:type="dxa"/>
                  <w:vAlign w:val="center"/>
                </w:tcPr>
                <w:p w:rsidR="00BC07F0" w:rsidRDefault="00073EFB">
                  <w:pPr>
                    <w:pStyle w:val="a7"/>
                    <w:rPr>
                      <w:rFonts w:hint="default"/>
                    </w:rPr>
                  </w:pPr>
                  <w:r>
                    <w:t>/</w:t>
                  </w:r>
                </w:p>
              </w:tc>
            </w:tr>
            <w:tr w:rsidR="00BC07F0">
              <w:trPr>
                <w:trHeight w:val="397"/>
                <w:jc w:val="center"/>
              </w:trPr>
              <w:tc>
                <w:tcPr>
                  <w:tcW w:w="844" w:type="dxa"/>
                  <w:vAlign w:val="center"/>
                </w:tcPr>
                <w:p w:rsidR="00BC07F0" w:rsidRDefault="00073EFB">
                  <w:pPr>
                    <w:pStyle w:val="a7"/>
                    <w:rPr>
                      <w:rFonts w:hint="default"/>
                    </w:rPr>
                  </w:pPr>
                  <w:r>
                    <w:t>3</w:t>
                  </w:r>
                </w:p>
              </w:tc>
              <w:tc>
                <w:tcPr>
                  <w:tcW w:w="2227" w:type="dxa"/>
                  <w:vAlign w:val="center"/>
                </w:tcPr>
                <w:p w:rsidR="00BC07F0" w:rsidRDefault="00073EFB">
                  <w:pPr>
                    <w:pStyle w:val="a7"/>
                    <w:rPr>
                      <w:rFonts w:hint="default"/>
                    </w:rPr>
                  </w:pPr>
                  <w:r>
                    <w:t>土方开挖</w:t>
                  </w:r>
                </w:p>
              </w:tc>
              <w:tc>
                <w:tcPr>
                  <w:tcW w:w="1148" w:type="dxa"/>
                  <w:vAlign w:val="center"/>
                </w:tcPr>
                <w:p w:rsidR="00BC07F0" w:rsidRDefault="00073EFB">
                  <w:pPr>
                    <w:pStyle w:val="a7"/>
                    <w:rPr>
                      <w:rFonts w:hint="default"/>
                    </w:rPr>
                  </w:pPr>
                  <w:r>
                    <w:t>m</w:t>
                  </w:r>
                  <w:r>
                    <w:rPr>
                      <w:vertAlign w:val="superscript"/>
                    </w:rPr>
                    <w:t>3</w:t>
                  </w:r>
                </w:p>
              </w:tc>
              <w:tc>
                <w:tcPr>
                  <w:tcW w:w="1428" w:type="dxa"/>
                  <w:vAlign w:val="center"/>
                </w:tcPr>
                <w:p w:rsidR="00BC07F0" w:rsidRDefault="00073EFB">
                  <w:pPr>
                    <w:pStyle w:val="a7"/>
                    <w:rPr>
                      <w:rFonts w:hint="default"/>
                    </w:rPr>
                  </w:pPr>
                  <w:r>
                    <w:t>7404</w:t>
                  </w:r>
                </w:p>
              </w:tc>
              <w:tc>
                <w:tcPr>
                  <w:tcW w:w="1843" w:type="dxa"/>
                  <w:vAlign w:val="center"/>
                </w:tcPr>
                <w:p w:rsidR="00BC07F0" w:rsidRDefault="00073EFB">
                  <w:pPr>
                    <w:pStyle w:val="a7"/>
                    <w:rPr>
                      <w:rFonts w:hint="default"/>
                    </w:rPr>
                  </w:pPr>
                  <w:r>
                    <w:t>/</w:t>
                  </w:r>
                </w:p>
              </w:tc>
            </w:tr>
            <w:tr w:rsidR="00BC07F0">
              <w:trPr>
                <w:trHeight w:val="397"/>
                <w:jc w:val="center"/>
              </w:trPr>
              <w:tc>
                <w:tcPr>
                  <w:tcW w:w="844" w:type="dxa"/>
                  <w:vAlign w:val="center"/>
                </w:tcPr>
                <w:p w:rsidR="00BC07F0" w:rsidRDefault="00073EFB">
                  <w:pPr>
                    <w:pStyle w:val="a7"/>
                    <w:rPr>
                      <w:rFonts w:hint="default"/>
                    </w:rPr>
                  </w:pPr>
                  <w:r>
                    <w:t>4</w:t>
                  </w:r>
                </w:p>
              </w:tc>
              <w:tc>
                <w:tcPr>
                  <w:tcW w:w="2227" w:type="dxa"/>
                  <w:vAlign w:val="center"/>
                </w:tcPr>
                <w:p w:rsidR="00BC07F0" w:rsidRDefault="00073EFB">
                  <w:pPr>
                    <w:pStyle w:val="a7"/>
                    <w:rPr>
                      <w:rFonts w:hint="default"/>
                    </w:rPr>
                  </w:pPr>
                  <w:r>
                    <w:t>土方夯填</w:t>
                  </w:r>
                </w:p>
              </w:tc>
              <w:tc>
                <w:tcPr>
                  <w:tcW w:w="1148" w:type="dxa"/>
                  <w:vAlign w:val="center"/>
                </w:tcPr>
                <w:p w:rsidR="00BC07F0" w:rsidRDefault="00073EFB">
                  <w:pPr>
                    <w:pStyle w:val="a7"/>
                    <w:rPr>
                      <w:rFonts w:hint="default"/>
                    </w:rPr>
                  </w:pPr>
                  <w:r>
                    <w:t>m</w:t>
                  </w:r>
                  <w:r>
                    <w:rPr>
                      <w:vertAlign w:val="superscript"/>
                    </w:rPr>
                    <w:t>3</w:t>
                  </w:r>
                </w:p>
              </w:tc>
              <w:tc>
                <w:tcPr>
                  <w:tcW w:w="1428" w:type="dxa"/>
                  <w:vAlign w:val="center"/>
                </w:tcPr>
                <w:p w:rsidR="00BC07F0" w:rsidRDefault="00073EFB">
                  <w:pPr>
                    <w:pStyle w:val="a7"/>
                    <w:rPr>
                      <w:rFonts w:hint="default"/>
                    </w:rPr>
                  </w:pPr>
                  <w:r>
                    <w:t>4285</w:t>
                  </w:r>
                </w:p>
              </w:tc>
              <w:tc>
                <w:tcPr>
                  <w:tcW w:w="1843" w:type="dxa"/>
                  <w:vAlign w:val="center"/>
                </w:tcPr>
                <w:p w:rsidR="00BC07F0" w:rsidRDefault="00073EFB">
                  <w:pPr>
                    <w:pStyle w:val="a7"/>
                    <w:rPr>
                      <w:rFonts w:hint="default"/>
                    </w:rPr>
                  </w:pPr>
                  <w:r>
                    <w:t>/</w:t>
                  </w:r>
                </w:p>
              </w:tc>
            </w:tr>
            <w:tr w:rsidR="00BC07F0">
              <w:trPr>
                <w:trHeight w:val="397"/>
                <w:jc w:val="center"/>
              </w:trPr>
              <w:tc>
                <w:tcPr>
                  <w:tcW w:w="844" w:type="dxa"/>
                  <w:vAlign w:val="center"/>
                </w:tcPr>
                <w:p w:rsidR="00BC07F0" w:rsidRDefault="00073EFB">
                  <w:pPr>
                    <w:pStyle w:val="a7"/>
                    <w:rPr>
                      <w:rFonts w:hint="default"/>
                    </w:rPr>
                  </w:pPr>
                  <w:r>
                    <w:t>5</w:t>
                  </w:r>
                </w:p>
              </w:tc>
              <w:tc>
                <w:tcPr>
                  <w:tcW w:w="2227" w:type="dxa"/>
                  <w:vAlign w:val="center"/>
                </w:tcPr>
                <w:p w:rsidR="00BC07F0" w:rsidRDefault="00073EFB">
                  <w:pPr>
                    <w:pStyle w:val="a7"/>
                    <w:rPr>
                      <w:rFonts w:hint="default"/>
                    </w:rPr>
                  </w:pPr>
                  <w:r>
                    <w:t>土方回填</w:t>
                  </w:r>
                </w:p>
              </w:tc>
              <w:tc>
                <w:tcPr>
                  <w:tcW w:w="1148" w:type="dxa"/>
                  <w:vAlign w:val="center"/>
                </w:tcPr>
                <w:p w:rsidR="00BC07F0" w:rsidRDefault="00073EFB">
                  <w:pPr>
                    <w:pStyle w:val="a7"/>
                    <w:rPr>
                      <w:rFonts w:hint="default"/>
                    </w:rPr>
                  </w:pPr>
                  <w:r>
                    <w:t>m</w:t>
                  </w:r>
                  <w:r>
                    <w:rPr>
                      <w:vertAlign w:val="superscript"/>
                    </w:rPr>
                    <w:t>3</w:t>
                  </w:r>
                </w:p>
              </w:tc>
              <w:tc>
                <w:tcPr>
                  <w:tcW w:w="1428" w:type="dxa"/>
                  <w:vAlign w:val="center"/>
                </w:tcPr>
                <w:p w:rsidR="00BC07F0" w:rsidRDefault="00073EFB">
                  <w:pPr>
                    <w:pStyle w:val="a7"/>
                    <w:rPr>
                      <w:rFonts w:hint="default"/>
                    </w:rPr>
                  </w:pPr>
                  <w:r>
                    <w:t>84</w:t>
                  </w:r>
                </w:p>
              </w:tc>
              <w:tc>
                <w:tcPr>
                  <w:tcW w:w="1843" w:type="dxa"/>
                  <w:vAlign w:val="center"/>
                </w:tcPr>
                <w:p w:rsidR="00BC07F0" w:rsidRDefault="00073EFB">
                  <w:pPr>
                    <w:pStyle w:val="a7"/>
                    <w:rPr>
                      <w:rFonts w:hint="default"/>
                    </w:rPr>
                  </w:pPr>
                  <w:r>
                    <w:t>/</w:t>
                  </w:r>
                </w:p>
              </w:tc>
            </w:tr>
            <w:tr w:rsidR="00BC07F0">
              <w:trPr>
                <w:trHeight w:val="397"/>
                <w:jc w:val="center"/>
              </w:trPr>
              <w:tc>
                <w:tcPr>
                  <w:tcW w:w="844" w:type="dxa"/>
                  <w:vAlign w:val="center"/>
                </w:tcPr>
                <w:p w:rsidR="00BC07F0" w:rsidRDefault="00073EFB">
                  <w:pPr>
                    <w:pStyle w:val="a7"/>
                    <w:rPr>
                      <w:rFonts w:hint="default"/>
                    </w:rPr>
                  </w:pPr>
                  <w:r>
                    <w:t>6</w:t>
                  </w:r>
                </w:p>
              </w:tc>
              <w:tc>
                <w:tcPr>
                  <w:tcW w:w="2227" w:type="dxa"/>
                  <w:vAlign w:val="center"/>
                </w:tcPr>
                <w:p w:rsidR="00BC07F0" w:rsidRDefault="00073EFB">
                  <w:pPr>
                    <w:pStyle w:val="a7"/>
                    <w:rPr>
                      <w:rFonts w:hint="default"/>
                    </w:rPr>
                  </w:pPr>
                  <w:r>
                    <w:t>碎石换填</w:t>
                  </w:r>
                </w:p>
              </w:tc>
              <w:tc>
                <w:tcPr>
                  <w:tcW w:w="1148" w:type="dxa"/>
                  <w:vAlign w:val="center"/>
                </w:tcPr>
                <w:p w:rsidR="00BC07F0" w:rsidRDefault="00073EFB">
                  <w:pPr>
                    <w:pStyle w:val="a7"/>
                    <w:rPr>
                      <w:rFonts w:hint="default"/>
                    </w:rPr>
                  </w:pPr>
                  <w:r>
                    <w:t>m</w:t>
                  </w:r>
                  <w:r>
                    <w:rPr>
                      <w:vertAlign w:val="superscript"/>
                    </w:rPr>
                    <w:t>3</w:t>
                  </w:r>
                </w:p>
              </w:tc>
              <w:tc>
                <w:tcPr>
                  <w:tcW w:w="1428" w:type="dxa"/>
                  <w:vAlign w:val="center"/>
                </w:tcPr>
                <w:p w:rsidR="00BC07F0" w:rsidRDefault="00073EFB">
                  <w:pPr>
                    <w:pStyle w:val="a7"/>
                    <w:rPr>
                      <w:rFonts w:hint="default"/>
                    </w:rPr>
                  </w:pPr>
                  <w:r>
                    <w:t>1366</w:t>
                  </w:r>
                </w:p>
              </w:tc>
              <w:tc>
                <w:tcPr>
                  <w:tcW w:w="1843" w:type="dxa"/>
                  <w:vAlign w:val="center"/>
                </w:tcPr>
                <w:p w:rsidR="00BC07F0" w:rsidRDefault="00073EFB">
                  <w:pPr>
                    <w:pStyle w:val="a7"/>
                    <w:rPr>
                      <w:rFonts w:hint="default"/>
                    </w:rPr>
                  </w:pPr>
                  <w:r>
                    <w:t>/</w:t>
                  </w:r>
                </w:p>
              </w:tc>
            </w:tr>
            <w:tr w:rsidR="00BC07F0">
              <w:trPr>
                <w:trHeight w:val="397"/>
                <w:jc w:val="center"/>
              </w:trPr>
              <w:tc>
                <w:tcPr>
                  <w:tcW w:w="844" w:type="dxa"/>
                  <w:vAlign w:val="center"/>
                </w:tcPr>
                <w:p w:rsidR="00BC07F0" w:rsidRDefault="00073EFB">
                  <w:pPr>
                    <w:pStyle w:val="a7"/>
                    <w:rPr>
                      <w:rFonts w:hint="default"/>
                    </w:rPr>
                  </w:pPr>
                  <w:r>
                    <w:t>7</w:t>
                  </w:r>
                </w:p>
              </w:tc>
              <w:tc>
                <w:tcPr>
                  <w:tcW w:w="2227" w:type="dxa"/>
                  <w:vAlign w:val="center"/>
                </w:tcPr>
                <w:p w:rsidR="00BC07F0" w:rsidRDefault="00073EFB">
                  <w:pPr>
                    <w:pStyle w:val="a7"/>
                    <w:rPr>
                      <w:rFonts w:hint="default"/>
                    </w:rPr>
                  </w:pPr>
                  <w:r>
                    <w:t>格宾笼石</w:t>
                  </w:r>
                </w:p>
              </w:tc>
              <w:tc>
                <w:tcPr>
                  <w:tcW w:w="1148" w:type="dxa"/>
                  <w:vAlign w:val="center"/>
                </w:tcPr>
                <w:p w:rsidR="00BC07F0" w:rsidRDefault="00073EFB">
                  <w:pPr>
                    <w:pStyle w:val="a7"/>
                    <w:rPr>
                      <w:rFonts w:hint="default"/>
                    </w:rPr>
                  </w:pPr>
                  <w:r>
                    <w:t>m</w:t>
                  </w:r>
                  <w:r>
                    <w:rPr>
                      <w:vertAlign w:val="superscript"/>
                    </w:rPr>
                    <w:t>3</w:t>
                  </w:r>
                </w:p>
              </w:tc>
              <w:tc>
                <w:tcPr>
                  <w:tcW w:w="1428" w:type="dxa"/>
                  <w:vAlign w:val="center"/>
                </w:tcPr>
                <w:p w:rsidR="00BC07F0" w:rsidRDefault="00073EFB">
                  <w:pPr>
                    <w:pStyle w:val="a7"/>
                    <w:rPr>
                      <w:rFonts w:hint="default"/>
                    </w:rPr>
                  </w:pPr>
                  <w:r>
                    <w:t>240</w:t>
                  </w:r>
                </w:p>
              </w:tc>
              <w:tc>
                <w:tcPr>
                  <w:tcW w:w="1843" w:type="dxa"/>
                  <w:vAlign w:val="center"/>
                </w:tcPr>
                <w:p w:rsidR="00BC07F0" w:rsidRDefault="00073EFB">
                  <w:pPr>
                    <w:pStyle w:val="a7"/>
                    <w:rPr>
                      <w:rFonts w:hint="default"/>
                    </w:rPr>
                  </w:pPr>
                  <w:r>
                    <w:t>厚</w:t>
                  </w:r>
                  <w:r>
                    <w:t>1000mm</w:t>
                  </w:r>
                </w:p>
              </w:tc>
            </w:tr>
            <w:tr w:rsidR="00BC07F0">
              <w:trPr>
                <w:trHeight w:val="397"/>
                <w:jc w:val="center"/>
              </w:trPr>
              <w:tc>
                <w:tcPr>
                  <w:tcW w:w="844" w:type="dxa"/>
                  <w:vAlign w:val="center"/>
                </w:tcPr>
                <w:p w:rsidR="00BC07F0" w:rsidRDefault="00073EFB">
                  <w:pPr>
                    <w:pStyle w:val="a7"/>
                    <w:rPr>
                      <w:rFonts w:hint="default"/>
                    </w:rPr>
                  </w:pPr>
                  <w:r>
                    <w:t>8</w:t>
                  </w:r>
                </w:p>
              </w:tc>
              <w:tc>
                <w:tcPr>
                  <w:tcW w:w="2227" w:type="dxa"/>
                  <w:vAlign w:val="center"/>
                </w:tcPr>
                <w:p w:rsidR="00BC07F0" w:rsidRDefault="00073EFB">
                  <w:pPr>
                    <w:pStyle w:val="a7"/>
                    <w:rPr>
                      <w:rFonts w:hint="default"/>
                    </w:rPr>
                  </w:pPr>
                  <w:r>
                    <w:t>抛石回填</w:t>
                  </w:r>
                </w:p>
              </w:tc>
              <w:tc>
                <w:tcPr>
                  <w:tcW w:w="1148" w:type="dxa"/>
                  <w:vAlign w:val="center"/>
                </w:tcPr>
                <w:p w:rsidR="00BC07F0" w:rsidRDefault="00073EFB">
                  <w:pPr>
                    <w:pStyle w:val="a7"/>
                    <w:rPr>
                      <w:rFonts w:hint="default"/>
                    </w:rPr>
                  </w:pPr>
                  <w:r>
                    <w:t>m</w:t>
                  </w:r>
                  <w:r>
                    <w:rPr>
                      <w:vertAlign w:val="superscript"/>
                    </w:rPr>
                    <w:t>3</w:t>
                  </w:r>
                </w:p>
              </w:tc>
              <w:tc>
                <w:tcPr>
                  <w:tcW w:w="1428" w:type="dxa"/>
                  <w:vAlign w:val="center"/>
                </w:tcPr>
                <w:p w:rsidR="00BC07F0" w:rsidRDefault="00073EFB">
                  <w:pPr>
                    <w:pStyle w:val="a7"/>
                    <w:rPr>
                      <w:rFonts w:hint="default"/>
                    </w:rPr>
                  </w:pPr>
                  <w:r>
                    <w:t>85</w:t>
                  </w:r>
                </w:p>
              </w:tc>
              <w:tc>
                <w:tcPr>
                  <w:tcW w:w="1843" w:type="dxa"/>
                  <w:vAlign w:val="center"/>
                </w:tcPr>
                <w:p w:rsidR="00BC07F0" w:rsidRDefault="00073EFB">
                  <w:pPr>
                    <w:pStyle w:val="a7"/>
                    <w:rPr>
                      <w:rFonts w:hint="default"/>
                    </w:rPr>
                  </w:pPr>
                  <w:r>
                    <w:t>厚</w:t>
                  </w:r>
                  <w:r>
                    <w:t>500mm</w:t>
                  </w:r>
                </w:p>
              </w:tc>
            </w:tr>
            <w:tr w:rsidR="00BC07F0">
              <w:trPr>
                <w:trHeight w:val="397"/>
                <w:jc w:val="center"/>
              </w:trPr>
              <w:tc>
                <w:tcPr>
                  <w:tcW w:w="844" w:type="dxa"/>
                  <w:vAlign w:val="center"/>
                </w:tcPr>
                <w:p w:rsidR="00BC07F0" w:rsidRDefault="00073EFB">
                  <w:pPr>
                    <w:pStyle w:val="a7"/>
                    <w:rPr>
                      <w:rFonts w:hint="default"/>
                    </w:rPr>
                  </w:pPr>
                  <w:r>
                    <w:t>9</w:t>
                  </w:r>
                </w:p>
              </w:tc>
              <w:tc>
                <w:tcPr>
                  <w:tcW w:w="2227" w:type="dxa"/>
                  <w:vAlign w:val="center"/>
                </w:tcPr>
                <w:p w:rsidR="00BC07F0" w:rsidRDefault="00073EFB">
                  <w:pPr>
                    <w:pStyle w:val="a7"/>
                    <w:rPr>
                      <w:rFonts w:hint="default"/>
                    </w:rPr>
                  </w:pPr>
                  <w:r>
                    <w:t>M10</w:t>
                  </w:r>
                  <w:r>
                    <w:t>浆砌石扭面</w:t>
                  </w:r>
                </w:p>
              </w:tc>
              <w:tc>
                <w:tcPr>
                  <w:tcW w:w="1148" w:type="dxa"/>
                  <w:vAlign w:val="center"/>
                </w:tcPr>
                <w:p w:rsidR="00BC07F0" w:rsidRDefault="00073EFB">
                  <w:pPr>
                    <w:pStyle w:val="a7"/>
                    <w:rPr>
                      <w:rFonts w:hint="default"/>
                    </w:rPr>
                  </w:pPr>
                  <w:r>
                    <w:t>m</w:t>
                  </w:r>
                  <w:r>
                    <w:rPr>
                      <w:vertAlign w:val="superscript"/>
                    </w:rPr>
                    <w:t>3</w:t>
                  </w:r>
                </w:p>
              </w:tc>
              <w:tc>
                <w:tcPr>
                  <w:tcW w:w="1428" w:type="dxa"/>
                  <w:vAlign w:val="center"/>
                </w:tcPr>
                <w:p w:rsidR="00BC07F0" w:rsidRDefault="00073EFB">
                  <w:pPr>
                    <w:pStyle w:val="a7"/>
                    <w:rPr>
                      <w:rFonts w:hint="default"/>
                    </w:rPr>
                  </w:pPr>
                  <w:r>
                    <w:t>472</w:t>
                  </w:r>
                </w:p>
              </w:tc>
              <w:tc>
                <w:tcPr>
                  <w:tcW w:w="1843" w:type="dxa"/>
                  <w:vAlign w:val="center"/>
                </w:tcPr>
                <w:p w:rsidR="00BC07F0" w:rsidRDefault="00073EFB">
                  <w:pPr>
                    <w:pStyle w:val="a7"/>
                    <w:rPr>
                      <w:rFonts w:hint="default"/>
                    </w:rPr>
                  </w:pPr>
                  <w:r>
                    <w:t>/</w:t>
                  </w:r>
                </w:p>
              </w:tc>
            </w:tr>
            <w:tr w:rsidR="00BC07F0">
              <w:trPr>
                <w:trHeight w:val="397"/>
                <w:jc w:val="center"/>
              </w:trPr>
              <w:tc>
                <w:tcPr>
                  <w:tcW w:w="844" w:type="dxa"/>
                  <w:vAlign w:val="center"/>
                </w:tcPr>
                <w:p w:rsidR="00BC07F0" w:rsidRDefault="00073EFB">
                  <w:pPr>
                    <w:pStyle w:val="a7"/>
                    <w:rPr>
                      <w:rFonts w:hint="default"/>
                    </w:rPr>
                  </w:pPr>
                  <w:r>
                    <w:t>10</w:t>
                  </w:r>
                </w:p>
              </w:tc>
              <w:tc>
                <w:tcPr>
                  <w:tcW w:w="2227" w:type="dxa"/>
                  <w:vAlign w:val="center"/>
                </w:tcPr>
                <w:p w:rsidR="00BC07F0" w:rsidRDefault="00073EFB">
                  <w:pPr>
                    <w:pStyle w:val="a7"/>
                    <w:rPr>
                      <w:rFonts w:hint="default"/>
                    </w:rPr>
                  </w:pPr>
                  <w:r>
                    <w:t>砂砾料垫层</w:t>
                  </w:r>
                </w:p>
              </w:tc>
              <w:tc>
                <w:tcPr>
                  <w:tcW w:w="1148" w:type="dxa"/>
                  <w:vAlign w:val="center"/>
                </w:tcPr>
                <w:p w:rsidR="00BC07F0" w:rsidRDefault="00073EFB">
                  <w:pPr>
                    <w:pStyle w:val="a7"/>
                    <w:rPr>
                      <w:rFonts w:hint="default"/>
                    </w:rPr>
                  </w:pPr>
                  <w:r>
                    <w:t>m</w:t>
                  </w:r>
                  <w:r>
                    <w:rPr>
                      <w:vertAlign w:val="superscript"/>
                    </w:rPr>
                    <w:t>3</w:t>
                  </w:r>
                </w:p>
              </w:tc>
              <w:tc>
                <w:tcPr>
                  <w:tcW w:w="1428" w:type="dxa"/>
                  <w:vAlign w:val="center"/>
                </w:tcPr>
                <w:p w:rsidR="00BC07F0" w:rsidRDefault="00073EFB">
                  <w:pPr>
                    <w:pStyle w:val="a7"/>
                    <w:rPr>
                      <w:rFonts w:hint="default"/>
                    </w:rPr>
                  </w:pPr>
                  <w:r>
                    <w:t>228</w:t>
                  </w:r>
                </w:p>
              </w:tc>
              <w:tc>
                <w:tcPr>
                  <w:tcW w:w="1843" w:type="dxa"/>
                  <w:vAlign w:val="center"/>
                </w:tcPr>
                <w:p w:rsidR="00BC07F0" w:rsidRDefault="00073EFB">
                  <w:pPr>
                    <w:pStyle w:val="a7"/>
                    <w:rPr>
                      <w:rFonts w:hint="default"/>
                    </w:rPr>
                  </w:pPr>
                  <w:r>
                    <w:t>/</w:t>
                  </w:r>
                </w:p>
              </w:tc>
            </w:tr>
            <w:tr w:rsidR="00BC07F0">
              <w:trPr>
                <w:trHeight w:val="397"/>
                <w:jc w:val="center"/>
              </w:trPr>
              <w:tc>
                <w:tcPr>
                  <w:tcW w:w="844" w:type="dxa"/>
                  <w:vAlign w:val="center"/>
                </w:tcPr>
                <w:p w:rsidR="00BC07F0" w:rsidRDefault="00073EFB">
                  <w:pPr>
                    <w:pStyle w:val="a7"/>
                    <w:rPr>
                      <w:rFonts w:hint="default"/>
                    </w:rPr>
                  </w:pPr>
                  <w:r>
                    <w:t>11</w:t>
                  </w:r>
                </w:p>
              </w:tc>
              <w:tc>
                <w:tcPr>
                  <w:tcW w:w="2227" w:type="dxa"/>
                  <w:vAlign w:val="center"/>
                </w:tcPr>
                <w:p w:rsidR="00BC07F0" w:rsidRDefault="00073EFB">
                  <w:pPr>
                    <w:pStyle w:val="a7"/>
                    <w:rPr>
                      <w:rFonts w:hint="default"/>
                    </w:rPr>
                  </w:pPr>
                  <w:r>
                    <w:t>C25</w:t>
                  </w:r>
                  <w:r>
                    <w:t>钢筋砼铺盖</w:t>
                  </w:r>
                </w:p>
              </w:tc>
              <w:tc>
                <w:tcPr>
                  <w:tcW w:w="1148" w:type="dxa"/>
                  <w:vAlign w:val="center"/>
                </w:tcPr>
                <w:p w:rsidR="00BC07F0" w:rsidRDefault="00073EFB">
                  <w:pPr>
                    <w:pStyle w:val="a7"/>
                    <w:rPr>
                      <w:rFonts w:hint="default"/>
                    </w:rPr>
                  </w:pPr>
                  <w:r>
                    <w:t>m</w:t>
                  </w:r>
                  <w:r>
                    <w:rPr>
                      <w:vertAlign w:val="superscript"/>
                    </w:rPr>
                    <w:t>3</w:t>
                  </w:r>
                </w:p>
              </w:tc>
              <w:tc>
                <w:tcPr>
                  <w:tcW w:w="1428" w:type="dxa"/>
                  <w:vAlign w:val="center"/>
                </w:tcPr>
                <w:p w:rsidR="00BC07F0" w:rsidRDefault="00073EFB">
                  <w:pPr>
                    <w:pStyle w:val="a7"/>
                    <w:rPr>
                      <w:rFonts w:hint="default"/>
                    </w:rPr>
                  </w:pPr>
                  <w:r>
                    <w:t>96</w:t>
                  </w:r>
                </w:p>
              </w:tc>
              <w:tc>
                <w:tcPr>
                  <w:tcW w:w="1843" w:type="dxa"/>
                  <w:vAlign w:val="center"/>
                </w:tcPr>
                <w:p w:rsidR="00BC07F0" w:rsidRDefault="00073EFB">
                  <w:pPr>
                    <w:pStyle w:val="a7"/>
                    <w:rPr>
                      <w:rFonts w:hint="default"/>
                    </w:rPr>
                  </w:pPr>
                  <w:r>
                    <w:t>抗渗</w:t>
                  </w:r>
                  <w:r>
                    <w:t>W4</w:t>
                  </w:r>
                </w:p>
              </w:tc>
            </w:tr>
            <w:tr w:rsidR="00BC07F0">
              <w:trPr>
                <w:trHeight w:val="397"/>
                <w:jc w:val="center"/>
              </w:trPr>
              <w:tc>
                <w:tcPr>
                  <w:tcW w:w="844" w:type="dxa"/>
                  <w:vAlign w:val="center"/>
                </w:tcPr>
                <w:p w:rsidR="00BC07F0" w:rsidRDefault="00073EFB">
                  <w:pPr>
                    <w:pStyle w:val="a7"/>
                    <w:rPr>
                      <w:rFonts w:hint="default"/>
                    </w:rPr>
                  </w:pPr>
                  <w:r>
                    <w:t>12</w:t>
                  </w:r>
                </w:p>
              </w:tc>
              <w:tc>
                <w:tcPr>
                  <w:tcW w:w="2227" w:type="dxa"/>
                  <w:vAlign w:val="center"/>
                </w:tcPr>
                <w:p w:rsidR="00BC07F0" w:rsidRDefault="00073EFB">
                  <w:pPr>
                    <w:pStyle w:val="a7"/>
                    <w:rPr>
                      <w:rFonts w:hint="default"/>
                    </w:rPr>
                  </w:pPr>
                  <w:r>
                    <w:t>C30</w:t>
                  </w:r>
                  <w:r>
                    <w:t>钢筋砼底板</w:t>
                  </w:r>
                </w:p>
              </w:tc>
              <w:tc>
                <w:tcPr>
                  <w:tcW w:w="1148" w:type="dxa"/>
                  <w:vAlign w:val="center"/>
                </w:tcPr>
                <w:p w:rsidR="00BC07F0" w:rsidRDefault="00073EFB">
                  <w:pPr>
                    <w:pStyle w:val="a7"/>
                    <w:rPr>
                      <w:rFonts w:hint="default"/>
                    </w:rPr>
                  </w:pPr>
                  <w:r>
                    <w:t>m</w:t>
                  </w:r>
                  <w:r>
                    <w:rPr>
                      <w:vertAlign w:val="superscript"/>
                    </w:rPr>
                    <w:t>3</w:t>
                  </w:r>
                </w:p>
              </w:tc>
              <w:tc>
                <w:tcPr>
                  <w:tcW w:w="1428" w:type="dxa"/>
                  <w:vAlign w:val="center"/>
                </w:tcPr>
                <w:p w:rsidR="00BC07F0" w:rsidRDefault="00073EFB">
                  <w:pPr>
                    <w:pStyle w:val="a7"/>
                    <w:rPr>
                      <w:rFonts w:hint="default"/>
                    </w:rPr>
                  </w:pPr>
                  <w:r>
                    <w:t>170</w:t>
                  </w:r>
                </w:p>
              </w:tc>
              <w:tc>
                <w:tcPr>
                  <w:tcW w:w="1843" w:type="dxa"/>
                  <w:vAlign w:val="center"/>
                </w:tcPr>
                <w:p w:rsidR="00BC07F0" w:rsidRDefault="00073EFB">
                  <w:pPr>
                    <w:pStyle w:val="a7"/>
                    <w:rPr>
                      <w:rFonts w:hint="default"/>
                    </w:rPr>
                  </w:pPr>
                  <w:r>
                    <w:t>含二期砼</w:t>
                  </w:r>
                </w:p>
                <w:p w:rsidR="00BC07F0" w:rsidRDefault="00073EFB">
                  <w:pPr>
                    <w:pStyle w:val="a7"/>
                    <w:rPr>
                      <w:rFonts w:hint="default"/>
                    </w:rPr>
                  </w:pPr>
                  <w:r>
                    <w:t>抗渗</w:t>
                  </w:r>
                  <w:r>
                    <w:t>W4</w:t>
                  </w:r>
                </w:p>
              </w:tc>
            </w:tr>
            <w:tr w:rsidR="00BC07F0">
              <w:trPr>
                <w:trHeight w:val="397"/>
                <w:jc w:val="center"/>
              </w:trPr>
              <w:tc>
                <w:tcPr>
                  <w:tcW w:w="844" w:type="dxa"/>
                  <w:vAlign w:val="center"/>
                </w:tcPr>
                <w:p w:rsidR="00BC07F0" w:rsidRDefault="00073EFB">
                  <w:pPr>
                    <w:pStyle w:val="a7"/>
                    <w:rPr>
                      <w:rFonts w:hint="default"/>
                    </w:rPr>
                  </w:pPr>
                  <w:r>
                    <w:t>13</w:t>
                  </w:r>
                </w:p>
              </w:tc>
              <w:tc>
                <w:tcPr>
                  <w:tcW w:w="2227" w:type="dxa"/>
                  <w:vAlign w:val="center"/>
                </w:tcPr>
                <w:p w:rsidR="00BC07F0" w:rsidRDefault="00073EFB">
                  <w:pPr>
                    <w:pStyle w:val="a7"/>
                    <w:rPr>
                      <w:rFonts w:hint="default"/>
                    </w:rPr>
                  </w:pPr>
                  <w:r>
                    <w:t>C25</w:t>
                  </w:r>
                  <w:r>
                    <w:t>钢筋砼消力池</w:t>
                  </w:r>
                </w:p>
              </w:tc>
              <w:tc>
                <w:tcPr>
                  <w:tcW w:w="1148" w:type="dxa"/>
                  <w:vAlign w:val="center"/>
                </w:tcPr>
                <w:p w:rsidR="00BC07F0" w:rsidRDefault="00073EFB">
                  <w:pPr>
                    <w:pStyle w:val="a7"/>
                    <w:rPr>
                      <w:rFonts w:hint="default"/>
                    </w:rPr>
                  </w:pPr>
                  <w:r>
                    <w:t>m</w:t>
                  </w:r>
                  <w:r>
                    <w:rPr>
                      <w:vertAlign w:val="superscript"/>
                    </w:rPr>
                    <w:t>3</w:t>
                  </w:r>
                </w:p>
              </w:tc>
              <w:tc>
                <w:tcPr>
                  <w:tcW w:w="1428" w:type="dxa"/>
                  <w:vAlign w:val="center"/>
                </w:tcPr>
                <w:p w:rsidR="00BC07F0" w:rsidRDefault="00073EFB">
                  <w:pPr>
                    <w:pStyle w:val="a7"/>
                    <w:rPr>
                      <w:rFonts w:hint="default"/>
                    </w:rPr>
                  </w:pPr>
                  <w:r>
                    <w:t>93</w:t>
                  </w:r>
                </w:p>
              </w:tc>
              <w:tc>
                <w:tcPr>
                  <w:tcW w:w="1843" w:type="dxa"/>
                  <w:vAlign w:val="center"/>
                </w:tcPr>
                <w:p w:rsidR="00BC07F0" w:rsidRDefault="00073EFB">
                  <w:pPr>
                    <w:pStyle w:val="a7"/>
                    <w:rPr>
                      <w:rFonts w:hint="default"/>
                    </w:rPr>
                  </w:pPr>
                  <w:r>
                    <w:t>抗渗</w:t>
                  </w:r>
                  <w:r>
                    <w:t>W4</w:t>
                  </w:r>
                </w:p>
              </w:tc>
            </w:tr>
            <w:tr w:rsidR="00BC07F0">
              <w:trPr>
                <w:trHeight w:val="397"/>
                <w:jc w:val="center"/>
              </w:trPr>
              <w:tc>
                <w:tcPr>
                  <w:tcW w:w="844" w:type="dxa"/>
                  <w:vAlign w:val="center"/>
                </w:tcPr>
                <w:p w:rsidR="00BC07F0" w:rsidRDefault="00073EFB">
                  <w:pPr>
                    <w:pStyle w:val="a7"/>
                    <w:rPr>
                      <w:rFonts w:hint="default"/>
                    </w:rPr>
                  </w:pPr>
                  <w:r>
                    <w:lastRenderedPageBreak/>
                    <w:t>14</w:t>
                  </w:r>
                </w:p>
              </w:tc>
              <w:tc>
                <w:tcPr>
                  <w:tcW w:w="2227" w:type="dxa"/>
                  <w:vAlign w:val="center"/>
                </w:tcPr>
                <w:p w:rsidR="00BC07F0" w:rsidRDefault="00073EFB">
                  <w:pPr>
                    <w:pStyle w:val="a7"/>
                    <w:rPr>
                      <w:rFonts w:hint="default"/>
                    </w:rPr>
                  </w:pPr>
                  <w:r>
                    <w:t>C25</w:t>
                  </w:r>
                  <w:r>
                    <w:t>钢筋砼海漫</w:t>
                  </w:r>
                </w:p>
              </w:tc>
              <w:tc>
                <w:tcPr>
                  <w:tcW w:w="1148" w:type="dxa"/>
                  <w:vAlign w:val="center"/>
                </w:tcPr>
                <w:p w:rsidR="00BC07F0" w:rsidRDefault="00073EFB">
                  <w:pPr>
                    <w:pStyle w:val="a7"/>
                    <w:rPr>
                      <w:rFonts w:hint="default"/>
                    </w:rPr>
                  </w:pPr>
                  <w:r>
                    <w:t>m</w:t>
                  </w:r>
                  <w:r>
                    <w:rPr>
                      <w:vertAlign w:val="superscript"/>
                    </w:rPr>
                    <w:t>3</w:t>
                  </w:r>
                </w:p>
              </w:tc>
              <w:tc>
                <w:tcPr>
                  <w:tcW w:w="1428" w:type="dxa"/>
                  <w:vAlign w:val="center"/>
                </w:tcPr>
                <w:p w:rsidR="00BC07F0" w:rsidRDefault="00073EFB">
                  <w:pPr>
                    <w:pStyle w:val="a7"/>
                    <w:rPr>
                      <w:rFonts w:hint="default"/>
                    </w:rPr>
                  </w:pPr>
                  <w:r>
                    <w:t>78</w:t>
                  </w:r>
                </w:p>
              </w:tc>
              <w:tc>
                <w:tcPr>
                  <w:tcW w:w="1843" w:type="dxa"/>
                  <w:vAlign w:val="center"/>
                </w:tcPr>
                <w:p w:rsidR="00BC07F0" w:rsidRDefault="00073EFB">
                  <w:pPr>
                    <w:pStyle w:val="a7"/>
                    <w:rPr>
                      <w:rFonts w:hint="default"/>
                    </w:rPr>
                  </w:pPr>
                  <w:r>
                    <w:t>抗渗</w:t>
                  </w:r>
                  <w:r>
                    <w:t>W4</w:t>
                  </w:r>
                </w:p>
              </w:tc>
            </w:tr>
            <w:tr w:rsidR="00BC07F0">
              <w:trPr>
                <w:trHeight w:val="397"/>
                <w:jc w:val="center"/>
              </w:trPr>
              <w:tc>
                <w:tcPr>
                  <w:tcW w:w="844" w:type="dxa"/>
                  <w:vAlign w:val="center"/>
                </w:tcPr>
                <w:p w:rsidR="00BC07F0" w:rsidRDefault="00073EFB">
                  <w:pPr>
                    <w:pStyle w:val="a7"/>
                    <w:rPr>
                      <w:rFonts w:hint="default"/>
                    </w:rPr>
                  </w:pPr>
                  <w:r>
                    <w:t>15</w:t>
                  </w:r>
                </w:p>
              </w:tc>
              <w:tc>
                <w:tcPr>
                  <w:tcW w:w="2227" w:type="dxa"/>
                  <w:vAlign w:val="center"/>
                </w:tcPr>
                <w:p w:rsidR="00BC07F0" w:rsidRDefault="00073EFB">
                  <w:pPr>
                    <w:pStyle w:val="a7"/>
                    <w:rPr>
                      <w:rFonts w:hint="default"/>
                    </w:rPr>
                  </w:pPr>
                  <w:r>
                    <w:t>C25</w:t>
                  </w:r>
                  <w:r>
                    <w:t>块石砼海漫</w:t>
                  </w:r>
                </w:p>
              </w:tc>
              <w:tc>
                <w:tcPr>
                  <w:tcW w:w="1148" w:type="dxa"/>
                  <w:vAlign w:val="center"/>
                </w:tcPr>
                <w:p w:rsidR="00BC07F0" w:rsidRDefault="00073EFB">
                  <w:pPr>
                    <w:pStyle w:val="a7"/>
                    <w:rPr>
                      <w:rFonts w:hint="default"/>
                    </w:rPr>
                  </w:pPr>
                  <w:r>
                    <w:t>m</w:t>
                  </w:r>
                  <w:r>
                    <w:rPr>
                      <w:vertAlign w:val="superscript"/>
                    </w:rPr>
                    <w:t>3</w:t>
                  </w:r>
                </w:p>
              </w:tc>
              <w:tc>
                <w:tcPr>
                  <w:tcW w:w="1428" w:type="dxa"/>
                  <w:vAlign w:val="center"/>
                </w:tcPr>
                <w:p w:rsidR="00BC07F0" w:rsidRDefault="00073EFB">
                  <w:pPr>
                    <w:pStyle w:val="a7"/>
                    <w:rPr>
                      <w:rFonts w:hint="default"/>
                    </w:rPr>
                  </w:pPr>
                  <w:r>
                    <w:t>101</w:t>
                  </w:r>
                </w:p>
              </w:tc>
              <w:tc>
                <w:tcPr>
                  <w:tcW w:w="1843" w:type="dxa"/>
                  <w:vAlign w:val="center"/>
                </w:tcPr>
                <w:p w:rsidR="00BC07F0" w:rsidRDefault="00073EFB">
                  <w:pPr>
                    <w:pStyle w:val="a7"/>
                    <w:rPr>
                      <w:rFonts w:hint="default"/>
                    </w:rPr>
                  </w:pPr>
                  <w:r>
                    <w:t>抗渗</w:t>
                  </w:r>
                  <w:r>
                    <w:t>W4</w:t>
                  </w:r>
                </w:p>
              </w:tc>
            </w:tr>
            <w:tr w:rsidR="00BC07F0">
              <w:trPr>
                <w:trHeight w:val="397"/>
                <w:jc w:val="center"/>
              </w:trPr>
              <w:tc>
                <w:tcPr>
                  <w:tcW w:w="844" w:type="dxa"/>
                  <w:vAlign w:val="center"/>
                </w:tcPr>
                <w:p w:rsidR="00BC07F0" w:rsidRDefault="00073EFB">
                  <w:pPr>
                    <w:pStyle w:val="a7"/>
                    <w:rPr>
                      <w:rFonts w:hint="default"/>
                    </w:rPr>
                  </w:pPr>
                  <w:r>
                    <w:t>16</w:t>
                  </w:r>
                </w:p>
              </w:tc>
              <w:tc>
                <w:tcPr>
                  <w:tcW w:w="2227" w:type="dxa"/>
                  <w:vAlign w:val="center"/>
                </w:tcPr>
                <w:p w:rsidR="00BC07F0" w:rsidRDefault="00073EFB">
                  <w:pPr>
                    <w:pStyle w:val="a7"/>
                    <w:rPr>
                      <w:rFonts w:hint="default"/>
                    </w:rPr>
                  </w:pPr>
                  <w:r>
                    <w:t>C25</w:t>
                  </w:r>
                  <w:r>
                    <w:t>钢筋砼挡墙</w:t>
                  </w:r>
                </w:p>
              </w:tc>
              <w:tc>
                <w:tcPr>
                  <w:tcW w:w="1148" w:type="dxa"/>
                  <w:vAlign w:val="center"/>
                </w:tcPr>
                <w:p w:rsidR="00BC07F0" w:rsidRDefault="00073EFB">
                  <w:pPr>
                    <w:pStyle w:val="a7"/>
                    <w:rPr>
                      <w:rFonts w:hint="default"/>
                    </w:rPr>
                  </w:pPr>
                  <w:r>
                    <w:t>m</w:t>
                  </w:r>
                  <w:r>
                    <w:rPr>
                      <w:vertAlign w:val="superscript"/>
                    </w:rPr>
                    <w:t>2</w:t>
                  </w:r>
                </w:p>
              </w:tc>
              <w:tc>
                <w:tcPr>
                  <w:tcW w:w="1428" w:type="dxa"/>
                  <w:vAlign w:val="center"/>
                </w:tcPr>
                <w:p w:rsidR="00BC07F0" w:rsidRDefault="00073EFB">
                  <w:pPr>
                    <w:pStyle w:val="a7"/>
                    <w:rPr>
                      <w:rFonts w:hint="default"/>
                    </w:rPr>
                  </w:pPr>
                  <w:r>
                    <w:t>299</w:t>
                  </w:r>
                </w:p>
              </w:tc>
              <w:tc>
                <w:tcPr>
                  <w:tcW w:w="1843" w:type="dxa"/>
                  <w:vAlign w:val="center"/>
                </w:tcPr>
                <w:p w:rsidR="00BC07F0" w:rsidRDefault="00073EFB">
                  <w:pPr>
                    <w:pStyle w:val="a7"/>
                    <w:rPr>
                      <w:rFonts w:hint="default"/>
                    </w:rPr>
                  </w:pPr>
                  <w:r>
                    <w:t>抗渗</w:t>
                  </w:r>
                  <w:r>
                    <w:t>W4</w:t>
                  </w:r>
                </w:p>
              </w:tc>
            </w:tr>
            <w:tr w:rsidR="00BC07F0">
              <w:trPr>
                <w:trHeight w:val="397"/>
                <w:jc w:val="center"/>
              </w:trPr>
              <w:tc>
                <w:tcPr>
                  <w:tcW w:w="844" w:type="dxa"/>
                  <w:vAlign w:val="center"/>
                </w:tcPr>
                <w:p w:rsidR="00BC07F0" w:rsidRDefault="00073EFB">
                  <w:pPr>
                    <w:pStyle w:val="a7"/>
                    <w:rPr>
                      <w:rFonts w:hint="default"/>
                    </w:rPr>
                  </w:pPr>
                  <w:r>
                    <w:t>17</w:t>
                  </w:r>
                </w:p>
              </w:tc>
              <w:tc>
                <w:tcPr>
                  <w:tcW w:w="2227" w:type="dxa"/>
                  <w:vAlign w:val="center"/>
                </w:tcPr>
                <w:p w:rsidR="00BC07F0" w:rsidRDefault="00073EFB">
                  <w:pPr>
                    <w:pStyle w:val="a7"/>
                    <w:rPr>
                      <w:rFonts w:hint="default"/>
                    </w:rPr>
                  </w:pPr>
                  <w:r>
                    <w:t>C30</w:t>
                  </w:r>
                  <w:r>
                    <w:t>钢筋砼挡墙</w:t>
                  </w:r>
                </w:p>
              </w:tc>
              <w:tc>
                <w:tcPr>
                  <w:tcW w:w="1148" w:type="dxa"/>
                  <w:vAlign w:val="center"/>
                </w:tcPr>
                <w:p w:rsidR="00BC07F0" w:rsidRDefault="00073EFB">
                  <w:pPr>
                    <w:pStyle w:val="a7"/>
                    <w:rPr>
                      <w:rFonts w:hint="default"/>
                    </w:rPr>
                  </w:pPr>
                  <w:r>
                    <w:t>m</w:t>
                  </w:r>
                  <w:r>
                    <w:rPr>
                      <w:vertAlign w:val="superscript"/>
                    </w:rPr>
                    <w:t>2</w:t>
                  </w:r>
                </w:p>
              </w:tc>
              <w:tc>
                <w:tcPr>
                  <w:tcW w:w="1428" w:type="dxa"/>
                  <w:vAlign w:val="center"/>
                </w:tcPr>
                <w:p w:rsidR="00BC07F0" w:rsidRDefault="00073EFB">
                  <w:pPr>
                    <w:pStyle w:val="a7"/>
                    <w:rPr>
                      <w:rFonts w:hint="default"/>
                    </w:rPr>
                  </w:pPr>
                  <w:r>
                    <w:t>213</w:t>
                  </w:r>
                </w:p>
              </w:tc>
              <w:tc>
                <w:tcPr>
                  <w:tcW w:w="1843" w:type="dxa"/>
                  <w:vAlign w:val="center"/>
                </w:tcPr>
                <w:p w:rsidR="00BC07F0" w:rsidRDefault="00073EFB">
                  <w:pPr>
                    <w:pStyle w:val="a7"/>
                    <w:rPr>
                      <w:rFonts w:hint="default"/>
                    </w:rPr>
                  </w:pPr>
                  <w:r>
                    <w:t>坝底板段</w:t>
                  </w:r>
                </w:p>
                <w:p w:rsidR="00BC07F0" w:rsidRDefault="00073EFB">
                  <w:pPr>
                    <w:pStyle w:val="a7"/>
                    <w:rPr>
                      <w:rFonts w:hint="default"/>
                    </w:rPr>
                  </w:pPr>
                  <w:r>
                    <w:t>抗渗</w:t>
                  </w:r>
                  <w:r>
                    <w:t>W4</w:t>
                  </w:r>
                </w:p>
              </w:tc>
            </w:tr>
            <w:tr w:rsidR="00BC07F0">
              <w:trPr>
                <w:trHeight w:val="397"/>
                <w:jc w:val="center"/>
              </w:trPr>
              <w:tc>
                <w:tcPr>
                  <w:tcW w:w="844" w:type="dxa"/>
                  <w:vAlign w:val="center"/>
                </w:tcPr>
                <w:p w:rsidR="00BC07F0" w:rsidRDefault="00073EFB">
                  <w:pPr>
                    <w:pStyle w:val="a7"/>
                    <w:rPr>
                      <w:rFonts w:hint="default"/>
                    </w:rPr>
                  </w:pPr>
                  <w:r>
                    <w:t>18</w:t>
                  </w:r>
                </w:p>
              </w:tc>
              <w:tc>
                <w:tcPr>
                  <w:tcW w:w="2227" w:type="dxa"/>
                  <w:vAlign w:val="center"/>
                </w:tcPr>
                <w:p w:rsidR="00BC07F0" w:rsidRDefault="00073EFB">
                  <w:pPr>
                    <w:pStyle w:val="a7"/>
                    <w:rPr>
                      <w:rFonts w:hint="default"/>
                    </w:rPr>
                  </w:pPr>
                  <w:r>
                    <w:t>弯扎钢筋</w:t>
                  </w:r>
                </w:p>
              </w:tc>
              <w:tc>
                <w:tcPr>
                  <w:tcW w:w="1148" w:type="dxa"/>
                  <w:vAlign w:val="center"/>
                </w:tcPr>
                <w:p w:rsidR="00BC07F0" w:rsidRDefault="00073EFB">
                  <w:pPr>
                    <w:pStyle w:val="a7"/>
                    <w:rPr>
                      <w:rFonts w:hint="default"/>
                    </w:rPr>
                  </w:pPr>
                  <w:r>
                    <w:t>t</w:t>
                  </w:r>
                </w:p>
              </w:tc>
              <w:tc>
                <w:tcPr>
                  <w:tcW w:w="1428" w:type="dxa"/>
                  <w:vAlign w:val="center"/>
                </w:tcPr>
                <w:p w:rsidR="00BC07F0" w:rsidRDefault="00BC07F0">
                  <w:pPr>
                    <w:pStyle w:val="a7"/>
                    <w:rPr>
                      <w:rFonts w:hint="default"/>
                    </w:rPr>
                  </w:pPr>
                </w:p>
              </w:tc>
              <w:tc>
                <w:tcPr>
                  <w:tcW w:w="1843" w:type="dxa"/>
                  <w:vAlign w:val="center"/>
                </w:tcPr>
                <w:p w:rsidR="00BC07F0" w:rsidRDefault="00073EFB">
                  <w:pPr>
                    <w:pStyle w:val="a7"/>
                    <w:rPr>
                      <w:rFonts w:hint="default"/>
                    </w:rPr>
                  </w:pPr>
                  <w:r>
                    <w:t>/</w:t>
                  </w:r>
                </w:p>
              </w:tc>
            </w:tr>
            <w:tr w:rsidR="00BC07F0">
              <w:trPr>
                <w:trHeight w:val="397"/>
                <w:jc w:val="center"/>
              </w:trPr>
              <w:tc>
                <w:tcPr>
                  <w:tcW w:w="844" w:type="dxa"/>
                  <w:vAlign w:val="center"/>
                </w:tcPr>
                <w:p w:rsidR="00BC07F0" w:rsidRDefault="00073EFB">
                  <w:pPr>
                    <w:pStyle w:val="a7"/>
                    <w:rPr>
                      <w:rFonts w:hint="default"/>
                    </w:rPr>
                  </w:pPr>
                  <w:r>
                    <w:t>19</w:t>
                  </w:r>
                </w:p>
              </w:tc>
              <w:tc>
                <w:tcPr>
                  <w:tcW w:w="2227" w:type="dxa"/>
                  <w:vAlign w:val="center"/>
                </w:tcPr>
                <w:p w:rsidR="00BC07F0" w:rsidRDefault="00073EFB">
                  <w:pPr>
                    <w:pStyle w:val="a7"/>
                    <w:rPr>
                      <w:rFonts w:hint="default"/>
                    </w:rPr>
                  </w:pPr>
                  <w:r>
                    <w:t>C20</w:t>
                  </w:r>
                  <w:r>
                    <w:t>砼垫层</w:t>
                  </w:r>
                </w:p>
              </w:tc>
              <w:tc>
                <w:tcPr>
                  <w:tcW w:w="1148" w:type="dxa"/>
                  <w:vAlign w:val="center"/>
                </w:tcPr>
                <w:p w:rsidR="00BC07F0" w:rsidRDefault="00073EFB">
                  <w:pPr>
                    <w:pStyle w:val="a7"/>
                    <w:rPr>
                      <w:rFonts w:hint="default"/>
                    </w:rPr>
                  </w:pPr>
                  <w:r>
                    <w:t>m</w:t>
                  </w:r>
                  <w:r>
                    <w:rPr>
                      <w:vertAlign w:val="superscript"/>
                    </w:rPr>
                    <w:t>3</w:t>
                  </w:r>
                </w:p>
              </w:tc>
              <w:tc>
                <w:tcPr>
                  <w:tcW w:w="1428" w:type="dxa"/>
                  <w:vAlign w:val="center"/>
                </w:tcPr>
                <w:p w:rsidR="00BC07F0" w:rsidRDefault="00073EFB">
                  <w:pPr>
                    <w:pStyle w:val="a7"/>
                    <w:rPr>
                      <w:rFonts w:hint="default"/>
                    </w:rPr>
                  </w:pPr>
                  <w:r>
                    <w:t>135</w:t>
                  </w:r>
                </w:p>
              </w:tc>
              <w:tc>
                <w:tcPr>
                  <w:tcW w:w="1843" w:type="dxa"/>
                  <w:vAlign w:val="center"/>
                </w:tcPr>
                <w:p w:rsidR="00BC07F0" w:rsidRDefault="00073EFB">
                  <w:pPr>
                    <w:pStyle w:val="a7"/>
                    <w:rPr>
                      <w:rFonts w:hint="default"/>
                    </w:rPr>
                  </w:pPr>
                  <w:r>
                    <w:t>/</w:t>
                  </w:r>
                </w:p>
              </w:tc>
            </w:tr>
            <w:tr w:rsidR="00BC07F0">
              <w:trPr>
                <w:trHeight w:val="397"/>
                <w:jc w:val="center"/>
              </w:trPr>
              <w:tc>
                <w:tcPr>
                  <w:tcW w:w="844" w:type="dxa"/>
                  <w:vAlign w:val="center"/>
                </w:tcPr>
                <w:p w:rsidR="00BC07F0" w:rsidRDefault="00073EFB">
                  <w:pPr>
                    <w:pStyle w:val="a7"/>
                    <w:rPr>
                      <w:rFonts w:hint="default"/>
                    </w:rPr>
                  </w:pPr>
                  <w:r>
                    <w:t>20</w:t>
                  </w:r>
                </w:p>
              </w:tc>
              <w:tc>
                <w:tcPr>
                  <w:tcW w:w="2227" w:type="dxa"/>
                  <w:vAlign w:val="center"/>
                </w:tcPr>
                <w:p w:rsidR="00BC07F0" w:rsidRDefault="00073EFB">
                  <w:pPr>
                    <w:pStyle w:val="a7"/>
                    <w:rPr>
                      <w:rFonts w:hint="default"/>
                    </w:rPr>
                  </w:pPr>
                  <w:r>
                    <w:t>651</w:t>
                  </w:r>
                  <w:r>
                    <w:t>型橡胶止水带</w:t>
                  </w:r>
                </w:p>
              </w:tc>
              <w:tc>
                <w:tcPr>
                  <w:tcW w:w="1148" w:type="dxa"/>
                  <w:vAlign w:val="center"/>
                </w:tcPr>
                <w:p w:rsidR="00BC07F0" w:rsidRDefault="00073EFB">
                  <w:pPr>
                    <w:pStyle w:val="a7"/>
                    <w:rPr>
                      <w:rFonts w:hint="default"/>
                    </w:rPr>
                  </w:pPr>
                  <w:r>
                    <w:t>m</w:t>
                  </w:r>
                </w:p>
              </w:tc>
              <w:tc>
                <w:tcPr>
                  <w:tcW w:w="1428" w:type="dxa"/>
                  <w:vAlign w:val="center"/>
                </w:tcPr>
                <w:p w:rsidR="00BC07F0" w:rsidRDefault="00073EFB">
                  <w:pPr>
                    <w:pStyle w:val="a7"/>
                    <w:rPr>
                      <w:rFonts w:hint="default"/>
                    </w:rPr>
                  </w:pPr>
                  <w:r>
                    <w:t>147</w:t>
                  </w:r>
                </w:p>
              </w:tc>
              <w:tc>
                <w:tcPr>
                  <w:tcW w:w="1843" w:type="dxa"/>
                  <w:vAlign w:val="center"/>
                </w:tcPr>
                <w:p w:rsidR="00BC07F0" w:rsidRDefault="00073EFB">
                  <w:pPr>
                    <w:pStyle w:val="a7"/>
                    <w:rPr>
                      <w:rFonts w:hint="default"/>
                    </w:rPr>
                  </w:pPr>
                  <w:r>
                    <w:t>/</w:t>
                  </w:r>
                </w:p>
              </w:tc>
            </w:tr>
            <w:tr w:rsidR="00BC07F0">
              <w:trPr>
                <w:trHeight w:val="397"/>
                <w:jc w:val="center"/>
              </w:trPr>
              <w:tc>
                <w:tcPr>
                  <w:tcW w:w="844" w:type="dxa"/>
                  <w:vAlign w:val="center"/>
                </w:tcPr>
                <w:p w:rsidR="00BC07F0" w:rsidRDefault="00073EFB">
                  <w:pPr>
                    <w:pStyle w:val="a7"/>
                    <w:rPr>
                      <w:rFonts w:hint="default"/>
                    </w:rPr>
                  </w:pPr>
                  <w:r>
                    <w:t>21</w:t>
                  </w:r>
                </w:p>
              </w:tc>
              <w:tc>
                <w:tcPr>
                  <w:tcW w:w="2227" w:type="dxa"/>
                  <w:vAlign w:val="center"/>
                </w:tcPr>
                <w:p w:rsidR="00BC07F0" w:rsidRDefault="00073EFB">
                  <w:pPr>
                    <w:pStyle w:val="a7"/>
                    <w:rPr>
                      <w:rFonts w:hint="default"/>
                    </w:rPr>
                  </w:pPr>
                  <w:r>
                    <w:t>膨胀橡胶止水条</w:t>
                  </w:r>
                </w:p>
              </w:tc>
              <w:tc>
                <w:tcPr>
                  <w:tcW w:w="1148" w:type="dxa"/>
                  <w:vAlign w:val="center"/>
                </w:tcPr>
                <w:p w:rsidR="00BC07F0" w:rsidRDefault="00073EFB">
                  <w:pPr>
                    <w:pStyle w:val="a7"/>
                    <w:rPr>
                      <w:rFonts w:hint="default"/>
                    </w:rPr>
                  </w:pPr>
                  <w:r>
                    <w:t>m</w:t>
                  </w:r>
                </w:p>
              </w:tc>
              <w:tc>
                <w:tcPr>
                  <w:tcW w:w="1428" w:type="dxa"/>
                  <w:vAlign w:val="center"/>
                </w:tcPr>
                <w:p w:rsidR="00BC07F0" w:rsidRDefault="00073EFB">
                  <w:pPr>
                    <w:pStyle w:val="a7"/>
                    <w:rPr>
                      <w:rFonts w:hint="default"/>
                    </w:rPr>
                  </w:pPr>
                  <w:r>
                    <w:t>40</w:t>
                  </w:r>
                </w:p>
              </w:tc>
              <w:tc>
                <w:tcPr>
                  <w:tcW w:w="1843" w:type="dxa"/>
                  <w:vAlign w:val="center"/>
                </w:tcPr>
                <w:p w:rsidR="00BC07F0" w:rsidRDefault="00073EFB">
                  <w:pPr>
                    <w:pStyle w:val="a7"/>
                    <w:rPr>
                      <w:rFonts w:hint="default"/>
                    </w:rPr>
                  </w:pPr>
                  <w:r>
                    <w:t>/</w:t>
                  </w:r>
                </w:p>
              </w:tc>
            </w:tr>
            <w:tr w:rsidR="00BC07F0">
              <w:trPr>
                <w:trHeight w:val="397"/>
                <w:jc w:val="center"/>
              </w:trPr>
              <w:tc>
                <w:tcPr>
                  <w:tcW w:w="844" w:type="dxa"/>
                  <w:vAlign w:val="center"/>
                </w:tcPr>
                <w:p w:rsidR="00BC07F0" w:rsidRDefault="00073EFB">
                  <w:pPr>
                    <w:pStyle w:val="a7"/>
                    <w:rPr>
                      <w:rFonts w:hint="default"/>
                    </w:rPr>
                  </w:pPr>
                  <w:r>
                    <w:t>22</w:t>
                  </w:r>
                </w:p>
              </w:tc>
              <w:tc>
                <w:tcPr>
                  <w:tcW w:w="2227" w:type="dxa"/>
                  <w:vAlign w:val="center"/>
                </w:tcPr>
                <w:p w:rsidR="00BC07F0" w:rsidRDefault="00073EFB">
                  <w:pPr>
                    <w:pStyle w:val="a7"/>
                    <w:rPr>
                      <w:rFonts w:hint="default"/>
                    </w:rPr>
                  </w:pPr>
                  <w:r>
                    <w:t>聚氯乙烯闭孔泡沫板</w:t>
                  </w:r>
                </w:p>
              </w:tc>
              <w:tc>
                <w:tcPr>
                  <w:tcW w:w="1148" w:type="dxa"/>
                  <w:vAlign w:val="center"/>
                </w:tcPr>
                <w:p w:rsidR="00BC07F0" w:rsidRDefault="00073EFB">
                  <w:pPr>
                    <w:pStyle w:val="a7"/>
                    <w:rPr>
                      <w:rFonts w:hint="default"/>
                    </w:rPr>
                  </w:pPr>
                  <w:r>
                    <w:t>m</w:t>
                  </w:r>
                  <w:r>
                    <w:rPr>
                      <w:vertAlign w:val="superscript"/>
                    </w:rPr>
                    <w:t>2</w:t>
                  </w:r>
                </w:p>
              </w:tc>
              <w:tc>
                <w:tcPr>
                  <w:tcW w:w="1428" w:type="dxa"/>
                  <w:vAlign w:val="center"/>
                </w:tcPr>
                <w:p w:rsidR="00BC07F0" w:rsidRDefault="00073EFB">
                  <w:pPr>
                    <w:pStyle w:val="a7"/>
                    <w:rPr>
                      <w:rFonts w:hint="default"/>
                    </w:rPr>
                  </w:pPr>
                  <w:r>
                    <w:t>140</w:t>
                  </w:r>
                </w:p>
              </w:tc>
              <w:tc>
                <w:tcPr>
                  <w:tcW w:w="1843" w:type="dxa"/>
                  <w:vAlign w:val="center"/>
                </w:tcPr>
                <w:p w:rsidR="00BC07F0" w:rsidRDefault="00073EFB">
                  <w:pPr>
                    <w:pStyle w:val="a7"/>
                    <w:rPr>
                      <w:rFonts w:hint="default"/>
                    </w:rPr>
                  </w:pPr>
                  <w:r>
                    <w:t>/</w:t>
                  </w:r>
                </w:p>
              </w:tc>
            </w:tr>
            <w:tr w:rsidR="00BC07F0">
              <w:trPr>
                <w:trHeight w:val="397"/>
                <w:jc w:val="center"/>
              </w:trPr>
              <w:tc>
                <w:tcPr>
                  <w:tcW w:w="844" w:type="dxa"/>
                  <w:vAlign w:val="center"/>
                </w:tcPr>
                <w:p w:rsidR="00BC07F0" w:rsidRDefault="00073EFB">
                  <w:pPr>
                    <w:pStyle w:val="a7"/>
                    <w:rPr>
                      <w:rFonts w:hint="default"/>
                    </w:rPr>
                  </w:pPr>
                  <w:r>
                    <w:t>23</w:t>
                  </w:r>
                </w:p>
              </w:tc>
              <w:tc>
                <w:tcPr>
                  <w:tcW w:w="2227" w:type="dxa"/>
                  <w:vAlign w:val="center"/>
                </w:tcPr>
                <w:p w:rsidR="00BC07F0" w:rsidRDefault="00073EFB">
                  <w:pPr>
                    <w:pStyle w:val="a7"/>
                    <w:rPr>
                      <w:rFonts w:hint="default"/>
                    </w:rPr>
                  </w:pPr>
                  <w:r>
                    <w:t>DN50PVC</w:t>
                  </w:r>
                  <w:r>
                    <w:t>管</w:t>
                  </w:r>
                </w:p>
              </w:tc>
              <w:tc>
                <w:tcPr>
                  <w:tcW w:w="1148" w:type="dxa"/>
                  <w:vAlign w:val="center"/>
                </w:tcPr>
                <w:p w:rsidR="00BC07F0" w:rsidRDefault="00073EFB">
                  <w:pPr>
                    <w:pStyle w:val="a7"/>
                    <w:rPr>
                      <w:rFonts w:hint="default"/>
                    </w:rPr>
                  </w:pPr>
                  <w:r>
                    <w:t>m</w:t>
                  </w:r>
                </w:p>
              </w:tc>
              <w:tc>
                <w:tcPr>
                  <w:tcW w:w="1428" w:type="dxa"/>
                  <w:vAlign w:val="center"/>
                </w:tcPr>
                <w:p w:rsidR="00BC07F0" w:rsidRDefault="00073EFB">
                  <w:pPr>
                    <w:pStyle w:val="a7"/>
                    <w:rPr>
                      <w:rFonts w:hint="default"/>
                    </w:rPr>
                  </w:pPr>
                  <w:r>
                    <w:t>62</w:t>
                  </w:r>
                </w:p>
              </w:tc>
              <w:tc>
                <w:tcPr>
                  <w:tcW w:w="1843" w:type="dxa"/>
                  <w:vAlign w:val="center"/>
                </w:tcPr>
                <w:p w:rsidR="00BC07F0" w:rsidRDefault="00073EFB">
                  <w:pPr>
                    <w:pStyle w:val="a7"/>
                    <w:rPr>
                      <w:rFonts w:hint="default"/>
                    </w:rPr>
                  </w:pPr>
                  <w:r>
                    <w:t>排水管</w:t>
                  </w:r>
                </w:p>
              </w:tc>
            </w:tr>
            <w:tr w:rsidR="00BC07F0">
              <w:trPr>
                <w:trHeight w:val="397"/>
                <w:jc w:val="center"/>
              </w:trPr>
              <w:tc>
                <w:tcPr>
                  <w:tcW w:w="844" w:type="dxa"/>
                  <w:vAlign w:val="center"/>
                </w:tcPr>
                <w:p w:rsidR="00BC07F0" w:rsidRDefault="00073EFB">
                  <w:pPr>
                    <w:pStyle w:val="a7"/>
                    <w:rPr>
                      <w:rFonts w:hint="default"/>
                    </w:rPr>
                  </w:pPr>
                  <w:r>
                    <w:t>24</w:t>
                  </w:r>
                </w:p>
              </w:tc>
              <w:tc>
                <w:tcPr>
                  <w:tcW w:w="2227" w:type="dxa"/>
                  <w:vAlign w:val="center"/>
                </w:tcPr>
                <w:p w:rsidR="00BC07F0" w:rsidRDefault="00073EFB">
                  <w:pPr>
                    <w:pStyle w:val="a7"/>
                    <w:rPr>
                      <w:rFonts w:hint="default"/>
                    </w:rPr>
                  </w:pPr>
                  <w:r>
                    <w:t>土工布</w:t>
                  </w:r>
                </w:p>
              </w:tc>
              <w:tc>
                <w:tcPr>
                  <w:tcW w:w="1148" w:type="dxa"/>
                  <w:vAlign w:val="center"/>
                </w:tcPr>
                <w:p w:rsidR="00BC07F0" w:rsidRDefault="00073EFB">
                  <w:pPr>
                    <w:pStyle w:val="a7"/>
                    <w:rPr>
                      <w:rFonts w:hint="default"/>
                    </w:rPr>
                  </w:pPr>
                  <w:r>
                    <w:t>m</w:t>
                  </w:r>
                  <w:r>
                    <w:rPr>
                      <w:vertAlign w:val="superscript"/>
                    </w:rPr>
                    <w:t>2</w:t>
                  </w:r>
                </w:p>
              </w:tc>
              <w:tc>
                <w:tcPr>
                  <w:tcW w:w="1428" w:type="dxa"/>
                  <w:vAlign w:val="center"/>
                </w:tcPr>
                <w:p w:rsidR="00BC07F0" w:rsidRDefault="00073EFB">
                  <w:pPr>
                    <w:pStyle w:val="a7"/>
                    <w:rPr>
                      <w:rFonts w:hint="default"/>
                    </w:rPr>
                  </w:pPr>
                  <w:r>
                    <w:t>85</w:t>
                  </w:r>
                </w:p>
              </w:tc>
              <w:tc>
                <w:tcPr>
                  <w:tcW w:w="1843" w:type="dxa"/>
                  <w:vAlign w:val="center"/>
                </w:tcPr>
                <w:p w:rsidR="00BC07F0" w:rsidRDefault="00073EFB">
                  <w:pPr>
                    <w:pStyle w:val="a7"/>
                    <w:rPr>
                      <w:rFonts w:hint="default"/>
                    </w:rPr>
                  </w:pPr>
                  <w:r>
                    <w:t>扭面及排水管后</w:t>
                  </w:r>
                </w:p>
              </w:tc>
            </w:tr>
            <w:tr w:rsidR="00BC07F0">
              <w:trPr>
                <w:trHeight w:val="397"/>
                <w:jc w:val="center"/>
              </w:trPr>
              <w:tc>
                <w:tcPr>
                  <w:tcW w:w="844" w:type="dxa"/>
                  <w:vAlign w:val="center"/>
                </w:tcPr>
                <w:p w:rsidR="00BC07F0" w:rsidRDefault="00073EFB">
                  <w:pPr>
                    <w:pStyle w:val="a7"/>
                    <w:rPr>
                      <w:rFonts w:hint="default"/>
                    </w:rPr>
                  </w:pPr>
                  <w:r>
                    <w:t>25</w:t>
                  </w:r>
                </w:p>
              </w:tc>
              <w:tc>
                <w:tcPr>
                  <w:tcW w:w="2227" w:type="dxa"/>
                  <w:vAlign w:val="center"/>
                </w:tcPr>
                <w:p w:rsidR="00BC07F0" w:rsidRDefault="00073EFB">
                  <w:pPr>
                    <w:pStyle w:val="a7"/>
                    <w:rPr>
                      <w:rFonts w:hint="default"/>
                    </w:rPr>
                  </w:pPr>
                  <w:r>
                    <w:t>液压坝</w:t>
                  </w:r>
                </w:p>
              </w:tc>
              <w:tc>
                <w:tcPr>
                  <w:tcW w:w="1148" w:type="dxa"/>
                  <w:vAlign w:val="center"/>
                </w:tcPr>
                <w:p w:rsidR="00BC07F0" w:rsidRDefault="00073EFB">
                  <w:pPr>
                    <w:pStyle w:val="a7"/>
                    <w:rPr>
                      <w:rFonts w:hint="default"/>
                    </w:rPr>
                  </w:pPr>
                  <w:r>
                    <w:t>m</w:t>
                  </w:r>
                </w:p>
              </w:tc>
              <w:tc>
                <w:tcPr>
                  <w:tcW w:w="1428" w:type="dxa"/>
                  <w:vAlign w:val="center"/>
                </w:tcPr>
                <w:p w:rsidR="00BC07F0" w:rsidRDefault="00073EFB">
                  <w:pPr>
                    <w:pStyle w:val="a7"/>
                    <w:rPr>
                      <w:rFonts w:hint="default"/>
                    </w:rPr>
                  </w:pPr>
                  <w:r>
                    <w:t>16.5</w:t>
                  </w:r>
                </w:p>
              </w:tc>
              <w:tc>
                <w:tcPr>
                  <w:tcW w:w="1843" w:type="dxa"/>
                  <w:vAlign w:val="center"/>
                </w:tcPr>
                <w:p w:rsidR="00BC07F0" w:rsidRDefault="00073EFB">
                  <w:pPr>
                    <w:pStyle w:val="a7"/>
                    <w:rPr>
                      <w:rFonts w:hint="default"/>
                    </w:rPr>
                  </w:pPr>
                  <w:r>
                    <w:t>高</w:t>
                  </w:r>
                  <w:r>
                    <w:t>2.5m</w:t>
                  </w:r>
                  <w:r>
                    <w:t>，</w:t>
                  </w:r>
                  <w:r>
                    <w:t>含配套件</w:t>
                  </w:r>
                </w:p>
              </w:tc>
            </w:tr>
          </w:tbl>
          <w:p w:rsidR="00BC07F0" w:rsidRDefault="00BC07F0">
            <w:pPr>
              <w:pStyle w:val="a7"/>
              <w:rPr>
                <w:rFonts w:hint="default"/>
              </w:rPr>
            </w:pPr>
          </w:p>
          <w:p w:rsidR="00BC07F0" w:rsidRDefault="00073EFB">
            <w:pPr>
              <w:pStyle w:val="a7"/>
              <w:rPr>
                <w:rFonts w:hint="default"/>
              </w:rPr>
            </w:pPr>
            <w:r>
              <w:rPr>
                <w:noProof/>
              </w:rPr>
              <w:drawing>
                <wp:inline distT="0" distB="0" distL="114300" distR="114300">
                  <wp:extent cx="3497580" cy="4513580"/>
                  <wp:effectExtent l="0" t="0" r="7620" b="1270"/>
                  <wp:docPr id="1" name="图片 1" descr="6f652e965c1ce8ffe38b1135ec0a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f652e965c1ce8ffe38b1135ec0aa42"/>
                          <pic:cNvPicPr>
                            <a:picLocks noChangeAspect="1"/>
                          </pic:cNvPicPr>
                        </pic:nvPicPr>
                        <pic:blipFill>
                          <a:blip r:embed="rId24" cstate="print"/>
                          <a:stretch>
                            <a:fillRect/>
                          </a:stretch>
                        </pic:blipFill>
                        <pic:spPr>
                          <a:xfrm>
                            <a:off x="0" y="0"/>
                            <a:ext cx="3497580" cy="4513580"/>
                          </a:xfrm>
                          <a:prstGeom prst="rect">
                            <a:avLst/>
                          </a:prstGeom>
                        </pic:spPr>
                      </pic:pic>
                    </a:graphicData>
                  </a:graphic>
                </wp:inline>
              </w:drawing>
            </w:r>
          </w:p>
          <w:p w:rsidR="00BC07F0" w:rsidRDefault="00073EFB">
            <w:pPr>
              <w:pStyle w:val="a7"/>
              <w:rPr>
                <w:rFonts w:hint="default"/>
                <w:b/>
                <w:bCs/>
              </w:rPr>
            </w:pPr>
            <w:r>
              <w:rPr>
                <w:b/>
                <w:bCs/>
              </w:rPr>
              <w:t>图</w:t>
            </w:r>
            <w:r>
              <w:rPr>
                <w:b/>
                <w:bCs/>
              </w:rPr>
              <w:t>2.4-1</w:t>
            </w:r>
            <w:r>
              <w:rPr>
                <w:b/>
                <w:bCs/>
              </w:rPr>
              <w:t>液压坝平面图</w:t>
            </w:r>
          </w:p>
          <w:p w:rsidR="00BC07F0" w:rsidRDefault="00073EFB">
            <w:pPr>
              <w:pStyle w:val="a7"/>
              <w:rPr>
                <w:rFonts w:hint="default"/>
              </w:rPr>
            </w:pPr>
            <w:r>
              <w:rPr>
                <w:noProof/>
              </w:rPr>
              <w:lastRenderedPageBreak/>
              <w:drawing>
                <wp:inline distT="0" distB="0" distL="114300" distR="114300">
                  <wp:extent cx="5558155" cy="2545715"/>
                  <wp:effectExtent l="0" t="0" r="4445" b="6985"/>
                  <wp:docPr id="7" name="图片 7" descr="cea947fc69e036f6a2db7631725d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ea947fc69e036f6a2db7631725db76"/>
                          <pic:cNvPicPr>
                            <a:picLocks noChangeAspect="1"/>
                          </pic:cNvPicPr>
                        </pic:nvPicPr>
                        <pic:blipFill>
                          <a:blip r:embed="rId25" cstate="print"/>
                          <a:srcRect l="3903" r="17271"/>
                          <a:stretch>
                            <a:fillRect/>
                          </a:stretch>
                        </pic:blipFill>
                        <pic:spPr>
                          <a:xfrm>
                            <a:off x="0" y="0"/>
                            <a:ext cx="5558155" cy="2545715"/>
                          </a:xfrm>
                          <a:prstGeom prst="rect">
                            <a:avLst/>
                          </a:prstGeom>
                        </pic:spPr>
                      </pic:pic>
                    </a:graphicData>
                  </a:graphic>
                </wp:inline>
              </w:drawing>
            </w:r>
          </w:p>
          <w:p w:rsidR="00BC07F0" w:rsidRDefault="00073EFB">
            <w:pPr>
              <w:pStyle w:val="a7"/>
              <w:rPr>
                <w:rFonts w:hint="default"/>
                <w:b/>
                <w:bCs/>
              </w:rPr>
            </w:pPr>
            <w:r>
              <w:rPr>
                <w:b/>
                <w:bCs/>
              </w:rPr>
              <w:t>图</w:t>
            </w:r>
            <w:r>
              <w:rPr>
                <w:b/>
                <w:bCs/>
              </w:rPr>
              <w:t>2.4-2</w:t>
            </w:r>
            <w:r>
              <w:rPr>
                <w:b/>
                <w:bCs/>
              </w:rPr>
              <w:t>坝轴线横剖面</w:t>
            </w:r>
          </w:p>
          <w:p w:rsidR="00BC07F0" w:rsidRDefault="00073EFB" w:rsidP="00C55F5E">
            <w:pPr>
              <w:ind w:firstLine="480"/>
            </w:pPr>
            <w:r>
              <w:rPr>
                <w:rFonts w:hint="eastAsia"/>
              </w:rPr>
              <w:t>液压坝坝底板及其边墙采用</w:t>
            </w:r>
            <w:r>
              <w:rPr>
                <w:rFonts w:hint="eastAsia"/>
              </w:rPr>
              <w:t>C30</w:t>
            </w:r>
            <w:r>
              <w:rPr>
                <w:rFonts w:hint="eastAsia"/>
              </w:rPr>
              <w:t>等级，其余部位采用</w:t>
            </w:r>
            <w:r>
              <w:rPr>
                <w:rFonts w:hint="eastAsia"/>
              </w:rPr>
              <w:t>C25</w:t>
            </w:r>
            <w:r>
              <w:rPr>
                <w:rFonts w:hint="eastAsia"/>
              </w:rPr>
              <w:t>砼，砼抗渗等级均为</w:t>
            </w:r>
            <w:r>
              <w:rPr>
                <w:rFonts w:hint="eastAsia"/>
              </w:rPr>
              <w:t>W4</w:t>
            </w:r>
            <w:r>
              <w:rPr>
                <w:rFonts w:hint="eastAsia"/>
              </w:rPr>
              <w:t>，砼垫层采用</w:t>
            </w:r>
            <w:r>
              <w:rPr>
                <w:rFonts w:hint="eastAsia"/>
              </w:rPr>
              <w:t>C20</w:t>
            </w:r>
            <w:r>
              <w:rPr>
                <w:rFonts w:hint="eastAsia"/>
              </w:rPr>
              <w:t>等级</w:t>
            </w:r>
            <w:r>
              <w:rPr>
                <w:rFonts w:hint="eastAsia"/>
              </w:rPr>
              <w:t>;</w:t>
            </w:r>
            <w:r>
              <w:rPr>
                <w:rFonts w:hint="eastAsia"/>
              </w:rPr>
              <w:t>上下游防冲采用格宾笼石。钢筋砼铺盖及块石砼海漫基础底深入基岩以下不小于</w:t>
            </w:r>
            <w:r>
              <w:rPr>
                <w:rFonts w:hint="eastAsia"/>
              </w:rPr>
              <w:t>1.0m</w:t>
            </w:r>
            <w:r>
              <w:rPr>
                <w:rFonts w:hint="eastAsia"/>
              </w:rPr>
              <w:t>。</w:t>
            </w:r>
          </w:p>
          <w:p w:rsidR="00BC07F0" w:rsidRDefault="00073EFB" w:rsidP="00C55F5E">
            <w:pPr>
              <w:ind w:firstLine="482"/>
              <w:rPr>
                <w:b/>
                <w:bCs/>
              </w:rPr>
            </w:pPr>
            <w:r>
              <w:rPr>
                <w:rFonts w:hint="eastAsia"/>
                <w:b/>
                <w:bCs/>
              </w:rPr>
              <w:t>2.5</w:t>
            </w:r>
            <w:r>
              <w:rPr>
                <w:rFonts w:hint="eastAsia"/>
                <w:b/>
                <w:bCs/>
              </w:rPr>
              <w:t>铜桥港湿地公园工程</w:t>
            </w:r>
          </w:p>
          <w:p w:rsidR="00BC07F0" w:rsidRDefault="00073EFB" w:rsidP="00C55F5E">
            <w:pPr>
              <w:ind w:firstLine="480"/>
            </w:pPr>
            <w:r>
              <w:rPr>
                <w:rFonts w:hint="eastAsia"/>
              </w:rPr>
              <w:t>铜桥港湿地公园工程总用地面积</w:t>
            </w:r>
            <w:r>
              <w:rPr>
                <w:rFonts w:hint="eastAsia"/>
              </w:rPr>
              <w:t>135385.44</w:t>
            </w:r>
            <w:r>
              <w:rPr>
                <w:rFonts w:hint="eastAsia"/>
              </w:rPr>
              <w:t>m</w:t>
            </w:r>
            <w:r>
              <w:rPr>
                <w:rFonts w:hint="eastAsia"/>
                <w:vertAlign w:val="superscript"/>
              </w:rPr>
              <w:t>2</w:t>
            </w:r>
            <w:r>
              <w:rPr>
                <w:rFonts w:hint="eastAsia"/>
              </w:rPr>
              <w:t>，水域面积</w:t>
            </w:r>
            <w:r>
              <w:rPr>
                <w:rFonts w:hint="eastAsia"/>
              </w:rPr>
              <w:t>56661.26</w:t>
            </w:r>
            <w:r>
              <w:rPr>
                <w:rFonts w:hint="eastAsia"/>
              </w:rPr>
              <w:t>m</w:t>
            </w:r>
            <w:r>
              <w:rPr>
                <w:rFonts w:hint="eastAsia"/>
                <w:vertAlign w:val="superscript"/>
              </w:rPr>
              <w:t>2</w:t>
            </w:r>
            <w:r>
              <w:rPr>
                <w:rFonts w:hint="eastAsia"/>
              </w:rPr>
              <w:t>，陆地面积</w:t>
            </w:r>
            <w:r>
              <w:rPr>
                <w:rFonts w:hint="eastAsia"/>
              </w:rPr>
              <w:t>78724.18</w:t>
            </w:r>
            <w:r>
              <w:rPr>
                <w:rFonts w:hint="eastAsia"/>
              </w:rPr>
              <w:t>m</w:t>
            </w:r>
            <w:r>
              <w:rPr>
                <w:rFonts w:hint="eastAsia"/>
                <w:vertAlign w:val="superscript"/>
              </w:rPr>
              <w:t>2</w:t>
            </w:r>
            <w:r>
              <w:rPr>
                <w:rFonts w:hint="eastAsia"/>
              </w:rPr>
              <w:t>。铜桥港湿地公园主要功能是深度净化衡阳市铜桥港污水处理厂尾水和中水再利用，工程不新建排污口，</w:t>
            </w:r>
            <w:r>
              <w:rPr>
                <w:rFonts w:hint="eastAsia"/>
              </w:rPr>
              <w:t>当</w:t>
            </w:r>
            <w:r>
              <w:rPr>
                <w:rFonts w:hint="eastAsia"/>
              </w:rPr>
              <w:t>洪水期</w:t>
            </w:r>
            <w:r>
              <w:rPr>
                <w:rFonts w:hint="eastAsia"/>
              </w:rPr>
              <w:t>时</w:t>
            </w:r>
            <w:r>
              <w:rPr>
                <w:rFonts w:hint="eastAsia"/>
              </w:rPr>
              <w:t>铜桥港污水处理厂尾水不排入湿地。</w:t>
            </w:r>
          </w:p>
          <w:p w:rsidR="00BC07F0" w:rsidRDefault="00073EFB" w:rsidP="00C55F5E">
            <w:pPr>
              <w:ind w:firstLine="482"/>
              <w:rPr>
                <w:b/>
                <w:bCs/>
              </w:rPr>
            </w:pPr>
            <w:r>
              <w:rPr>
                <w:rFonts w:hint="eastAsia"/>
                <w:b/>
                <w:bCs/>
              </w:rPr>
              <w:t>2.5.1</w:t>
            </w:r>
            <w:r>
              <w:rPr>
                <w:rFonts w:hint="eastAsia"/>
                <w:b/>
                <w:bCs/>
              </w:rPr>
              <w:t>规划结构</w:t>
            </w:r>
          </w:p>
          <w:p w:rsidR="00BC07F0" w:rsidRDefault="00073EFB" w:rsidP="00C55F5E">
            <w:pPr>
              <w:ind w:firstLine="480"/>
            </w:pPr>
            <w:r>
              <w:rPr>
                <w:rFonts w:hint="eastAsia"/>
              </w:rPr>
              <w:t>为一环、一带、一核心、多分区，一环是湿地景观环，一带是科普娱乐带，一核心是科普教育核心，多分区是静谧游览区、科普娱乐区、入口展示区、湿地观赏区。</w:t>
            </w:r>
          </w:p>
          <w:p w:rsidR="00BC07F0" w:rsidRDefault="00073EFB" w:rsidP="00C55F5E">
            <w:pPr>
              <w:ind w:firstLine="482"/>
              <w:rPr>
                <w:b/>
                <w:bCs/>
              </w:rPr>
            </w:pPr>
            <w:r>
              <w:rPr>
                <w:rFonts w:hint="eastAsia"/>
                <w:b/>
                <w:bCs/>
              </w:rPr>
              <w:t>2.5.2</w:t>
            </w:r>
            <w:r>
              <w:rPr>
                <w:rFonts w:hint="eastAsia"/>
                <w:b/>
                <w:bCs/>
              </w:rPr>
              <w:t>交通</w:t>
            </w:r>
          </w:p>
          <w:p w:rsidR="00BC07F0" w:rsidRDefault="00073EFB" w:rsidP="00C55F5E">
            <w:pPr>
              <w:ind w:firstLine="480"/>
            </w:pPr>
            <w:r>
              <w:rPr>
                <w:rFonts w:hint="eastAsia"/>
              </w:rPr>
              <w:t>公园共有机动车停车位</w:t>
            </w:r>
            <w:r>
              <w:rPr>
                <w:rFonts w:hint="eastAsia"/>
              </w:rPr>
              <w:t>100</w:t>
            </w:r>
            <w:r>
              <w:rPr>
                <w:rFonts w:hint="eastAsia"/>
              </w:rPr>
              <w:t>个，其中充电桩按</w:t>
            </w:r>
            <w:r>
              <w:rPr>
                <w:rFonts w:hint="eastAsia"/>
              </w:rPr>
              <w:t>30%</w:t>
            </w:r>
            <w:r>
              <w:rPr>
                <w:rFonts w:hint="eastAsia"/>
              </w:rPr>
              <w:t>的比例设置，及</w:t>
            </w:r>
            <w:r>
              <w:rPr>
                <w:rFonts w:hint="eastAsia"/>
              </w:rPr>
              <w:t>30</w:t>
            </w:r>
            <w:r>
              <w:rPr>
                <w:rFonts w:hint="eastAsia"/>
              </w:rPr>
              <w:t>个。非机动车停车位</w:t>
            </w:r>
            <w:r>
              <w:rPr>
                <w:rFonts w:hint="eastAsia"/>
              </w:rPr>
              <w:t>14</w:t>
            </w:r>
            <w:r>
              <w:rPr>
                <w:rFonts w:hint="eastAsia"/>
              </w:rPr>
              <w:t>个。</w:t>
            </w:r>
          </w:p>
          <w:p w:rsidR="00BC07F0" w:rsidRDefault="00073EFB" w:rsidP="00C55F5E">
            <w:pPr>
              <w:ind w:firstLine="482"/>
              <w:rPr>
                <w:b/>
                <w:bCs/>
              </w:rPr>
            </w:pPr>
            <w:r>
              <w:rPr>
                <w:rFonts w:hint="eastAsia"/>
                <w:b/>
                <w:bCs/>
              </w:rPr>
              <w:t>2.5.3</w:t>
            </w:r>
            <w:r>
              <w:rPr>
                <w:rFonts w:hint="eastAsia"/>
                <w:b/>
                <w:bCs/>
              </w:rPr>
              <w:t>配套建筑</w:t>
            </w:r>
          </w:p>
          <w:p w:rsidR="00BC07F0" w:rsidRDefault="00073EFB" w:rsidP="00C55F5E">
            <w:pPr>
              <w:ind w:firstLine="480"/>
            </w:pPr>
            <w:r>
              <w:rPr>
                <w:rFonts w:hint="eastAsia"/>
              </w:rPr>
              <w:t>管理用房、休闲厅、公厕、休闲书吧、湿地科普馆、观景厅。</w:t>
            </w:r>
          </w:p>
          <w:p w:rsidR="00BC07F0" w:rsidRDefault="00073EFB" w:rsidP="00C55F5E">
            <w:pPr>
              <w:ind w:firstLine="482"/>
              <w:rPr>
                <w:b/>
                <w:bCs/>
              </w:rPr>
            </w:pPr>
            <w:r>
              <w:rPr>
                <w:rFonts w:hint="eastAsia"/>
                <w:b/>
                <w:bCs/>
              </w:rPr>
              <w:t>2.5.4</w:t>
            </w:r>
            <w:r>
              <w:rPr>
                <w:rFonts w:hint="eastAsia"/>
                <w:b/>
                <w:bCs/>
              </w:rPr>
              <w:t>入口广场</w:t>
            </w:r>
          </w:p>
          <w:p w:rsidR="00BC07F0" w:rsidRDefault="00073EFB" w:rsidP="00C55F5E">
            <w:pPr>
              <w:ind w:firstLine="480"/>
            </w:pPr>
            <w:r>
              <w:rPr>
                <w:rFonts w:hint="eastAsia"/>
              </w:rPr>
              <w:t>入口广场为公园主入口形象展示集合地，场地在入口设置广场，周边设计乔木来丰富景观层次，形成简洁开敞的入口广场。</w:t>
            </w:r>
          </w:p>
          <w:p w:rsidR="00BC07F0" w:rsidRDefault="00073EFB" w:rsidP="00C55F5E">
            <w:pPr>
              <w:ind w:firstLine="482"/>
              <w:rPr>
                <w:b/>
                <w:bCs/>
              </w:rPr>
            </w:pPr>
            <w:r>
              <w:rPr>
                <w:rFonts w:hint="eastAsia"/>
                <w:b/>
                <w:bCs/>
              </w:rPr>
              <w:t>2.5.5</w:t>
            </w:r>
            <w:r>
              <w:rPr>
                <w:rFonts w:hint="eastAsia"/>
                <w:b/>
                <w:bCs/>
              </w:rPr>
              <w:t>童趣森林</w:t>
            </w:r>
          </w:p>
          <w:p w:rsidR="00BC07F0" w:rsidRDefault="00073EFB" w:rsidP="00C55F5E">
            <w:pPr>
              <w:ind w:firstLine="480"/>
            </w:pPr>
            <w:r>
              <w:rPr>
                <w:rFonts w:hint="eastAsia"/>
              </w:rPr>
              <w:t>儿童游乐空间，也是成人找寻童年回忆的场所，主要工程是观景木平台、观光木栈</w:t>
            </w:r>
            <w:r>
              <w:rPr>
                <w:rFonts w:hint="eastAsia"/>
              </w:rPr>
              <w:lastRenderedPageBreak/>
              <w:t>道、景观坐凳、</w:t>
            </w:r>
            <w:r>
              <w:rPr>
                <w:rFonts w:hint="eastAsia"/>
              </w:rPr>
              <w:t>2</w:t>
            </w:r>
            <w:r>
              <w:rPr>
                <w:rFonts w:hint="eastAsia"/>
              </w:rPr>
              <w:t>级水池、儿童游乐设施、主游路、幸福河风光带。</w:t>
            </w:r>
          </w:p>
          <w:p w:rsidR="00BC07F0" w:rsidRDefault="00073EFB" w:rsidP="00C55F5E">
            <w:pPr>
              <w:ind w:firstLine="482"/>
              <w:rPr>
                <w:b/>
                <w:bCs/>
              </w:rPr>
            </w:pPr>
            <w:r>
              <w:rPr>
                <w:rFonts w:hint="eastAsia"/>
                <w:b/>
                <w:bCs/>
              </w:rPr>
              <w:t>2.5.6</w:t>
            </w:r>
            <w:r>
              <w:rPr>
                <w:rFonts w:hint="eastAsia"/>
                <w:b/>
                <w:bCs/>
              </w:rPr>
              <w:t>活力广场</w:t>
            </w:r>
          </w:p>
          <w:p w:rsidR="00BC07F0" w:rsidRDefault="00073EFB" w:rsidP="00C55F5E">
            <w:pPr>
              <w:ind w:firstLine="480"/>
            </w:pPr>
            <w:r>
              <w:rPr>
                <w:rFonts w:hint="eastAsia"/>
              </w:rPr>
              <w:t>活力广场是游客活动休闲娱乐场所，主要工程是活力广场、特色台阶、休闲广场、</w:t>
            </w:r>
            <w:r>
              <w:rPr>
                <w:rFonts w:hint="eastAsia"/>
              </w:rPr>
              <w:t>2</w:t>
            </w:r>
            <w:r>
              <w:rPr>
                <w:rFonts w:hint="eastAsia"/>
              </w:rPr>
              <w:t>级水池、园路、特色坐凳、</w:t>
            </w:r>
            <w:r>
              <w:rPr>
                <w:rFonts w:hint="eastAsia"/>
              </w:rPr>
              <w:t>3</w:t>
            </w:r>
            <w:r>
              <w:rPr>
                <w:rFonts w:hint="eastAsia"/>
              </w:rPr>
              <w:t>级水池。</w:t>
            </w:r>
          </w:p>
          <w:p w:rsidR="00BC07F0" w:rsidRDefault="00073EFB" w:rsidP="00C55F5E">
            <w:pPr>
              <w:ind w:firstLine="482"/>
              <w:rPr>
                <w:b/>
                <w:bCs/>
              </w:rPr>
            </w:pPr>
            <w:r>
              <w:rPr>
                <w:rFonts w:hint="eastAsia"/>
                <w:b/>
                <w:bCs/>
              </w:rPr>
              <w:t>2.5.7</w:t>
            </w:r>
            <w:r>
              <w:rPr>
                <w:rFonts w:hint="eastAsia"/>
                <w:b/>
                <w:bCs/>
              </w:rPr>
              <w:t>核心景观区</w:t>
            </w:r>
          </w:p>
          <w:p w:rsidR="00BC07F0" w:rsidRDefault="00073EFB" w:rsidP="00C55F5E">
            <w:pPr>
              <w:ind w:firstLine="480"/>
            </w:pPr>
            <w:r>
              <w:rPr>
                <w:rFonts w:hint="eastAsia"/>
              </w:rPr>
              <w:t>核心景观区为游客休闲、洽谈、游玩、娱乐的区域，主要工程是特色台阶、特色构架、休闲广场、</w:t>
            </w:r>
            <w:r>
              <w:rPr>
                <w:rFonts w:hint="eastAsia"/>
              </w:rPr>
              <w:t>3</w:t>
            </w:r>
            <w:r>
              <w:rPr>
                <w:rFonts w:hint="eastAsia"/>
              </w:rPr>
              <w:t>级水池、</w:t>
            </w:r>
            <w:r>
              <w:rPr>
                <w:rFonts w:hint="eastAsia"/>
              </w:rPr>
              <w:t>4</w:t>
            </w:r>
            <w:r>
              <w:rPr>
                <w:rFonts w:hint="eastAsia"/>
              </w:rPr>
              <w:t>级水池、特色整石、小溪、特色坐凳、主园路、娱乐广场、亲水广场。</w:t>
            </w:r>
          </w:p>
          <w:p w:rsidR="00BC07F0" w:rsidRDefault="00073EFB" w:rsidP="00C55F5E">
            <w:pPr>
              <w:ind w:firstLine="482"/>
              <w:rPr>
                <w:b/>
                <w:bCs/>
              </w:rPr>
            </w:pPr>
            <w:r>
              <w:rPr>
                <w:rFonts w:hint="eastAsia"/>
                <w:b/>
                <w:bCs/>
              </w:rPr>
              <w:t>2.5.8</w:t>
            </w:r>
            <w:r>
              <w:rPr>
                <w:rFonts w:hint="eastAsia"/>
                <w:b/>
                <w:bCs/>
              </w:rPr>
              <w:t>候鸟栖息</w:t>
            </w:r>
          </w:p>
          <w:p w:rsidR="00BC07F0" w:rsidRDefault="00073EFB" w:rsidP="00C55F5E">
            <w:pPr>
              <w:ind w:firstLine="480"/>
            </w:pPr>
            <w:r>
              <w:rPr>
                <w:rFonts w:hint="eastAsia"/>
              </w:rPr>
              <w:t>候鸟栖息地为观察与观赏候鸟栖息之所，主要工程</w:t>
            </w:r>
            <w:r>
              <w:rPr>
                <w:rFonts w:hint="eastAsia"/>
              </w:rPr>
              <w:t>是候鸟广场、候鸟栖息柱、梯级广场、园路。</w:t>
            </w:r>
          </w:p>
          <w:p w:rsidR="00BC07F0" w:rsidRDefault="00073EFB" w:rsidP="00C55F5E">
            <w:pPr>
              <w:ind w:firstLine="482"/>
              <w:rPr>
                <w:b/>
                <w:bCs/>
              </w:rPr>
            </w:pPr>
            <w:r>
              <w:rPr>
                <w:rFonts w:hint="eastAsia"/>
                <w:b/>
                <w:bCs/>
              </w:rPr>
              <w:t>2.5.9</w:t>
            </w:r>
            <w:r>
              <w:rPr>
                <w:rFonts w:hint="eastAsia"/>
                <w:b/>
                <w:bCs/>
              </w:rPr>
              <w:t>绿化工程</w:t>
            </w:r>
          </w:p>
          <w:p w:rsidR="00BC07F0" w:rsidRDefault="00073EFB" w:rsidP="00C55F5E">
            <w:pPr>
              <w:ind w:firstLine="480"/>
            </w:pPr>
            <w:r>
              <w:rPr>
                <w:rFonts w:hint="eastAsia"/>
              </w:rPr>
              <w:t>对现状植物抽稀移除，清理长势不良、有病虫害的植物。迁移现状散落栽植、不成组团植物，进行合理组合，形成疏密变化的植物空间。栽种陆生植物主要是乔木、灌木，水生植物主要是黄菖蒲、再力花、香蒲、芦苇。</w:t>
            </w:r>
          </w:p>
          <w:p w:rsidR="00BC07F0" w:rsidRDefault="00073EFB" w:rsidP="00C55F5E">
            <w:pPr>
              <w:ind w:firstLine="482"/>
              <w:rPr>
                <w:b/>
                <w:bCs/>
              </w:rPr>
            </w:pPr>
            <w:r>
              <w:rPr>
                <w:rFonts w:hint="eastAsia"/>
                <w:b/>
                <w:bCs/>
              </w:rPr>
              <w:t>2.5.10</w:t>
            </w:r>
            <w:r>
              <w:rPr>
                <w:rFonts w:hint="eastAsia"/>
                <w:b/>
                <w:bCs/>
              </w:rPr>
              <w:t>导视系统</w:t>
            </w:r>
          </w:p>
          <w:p w:rsidR="00BC07F0" w:rsidRDefault="00073EFB" w:rsidP="00C55F5E">
            <w:pPr>
              <w:ind w:firstLine="480"/>
            </w:pPr>
            <w:r>
              <w:rPr>
                <w:rFonts w:hint="eastAsia"/>
              </w:rPr>
              <w:t>指示牌、导览牌两者同为指向性服务设施，在功能上为人们提供明确的指向和提供问询服务，在设施风格设计上，采用石材、木质等生态元素和钢材质和玻璃等现代材质。</w:t>
            </w:r>
          </w:p>
          <w:p w:rsidR="00BC07F0" w:rsidRDefault="00073EFB" w:rsidP="00C55F5E">
            <w:pPr>
              <w:ind w:firstLine="482"/>
              <w:rPr>
                <w:b/>
                <w:bCs/>
              </w:rPr>
            </w:pPr>
            <w:r>
              <w:rPr>
                <w:rFonts w:hint="eastAsia"/>
                <w:b/>
                <w:bCs/>
              </w:rPr>
              <w:t>2.5.11</w:t>
            </w:r>
            <w:r>
              <w:rPr>
                <w:rFonts w:hint="eastAsia"/>
                <w:b/>
                <w:bCs/>
              </w:rPr>
              <w:t>景观及功能照明</w:t>
            </w:r>
          </w:p>
          <w:p w:rsidR="00BC07F0" w:rsidRDefault="00073EFB" w:rsidP="00C55F5E">
            <w:pPr>
              <w:ind w:firstLine="480"/>
            </w:pPr>
            <w:r>
              <w:rPr>
                <w:rFonts w:hint="eastAsia"/>
              </w:rPr>
              <w:t>主要分为高杆灯、草坪灯、射灯、灯带，铜桥港湿地公园道路</w:t>
            </w:r>
            <w:r>
              <w:rPr>
                <w:rFonts w:hint="eastAsia"/>
              </w:rPr>
              <w:t>上将布置较多的“多杆合一”市政设施杆件。</w:t>
            </w:r>
          </w:p>
          <w:p w:rsidR="00BC07F0" w:rsidRDefault="00073EFB" w:rsidP="00C55F5E">
            <w:pPr>
              <w:ind w:firstLine="482"/>
              <w:rPr>
                <w:b/>
                <w:bCs/>
              </w:rPr>
            </w:pPr>
            <w:r>
              <w:rPr>
                <w:rFonts w:hint="eastAsia"/>
                <w:b/>
                <w:bCs/>
              </w:rPr>
              <w:t>2.5.12</w:t>
            </w:r>
            <w:r>
              <w:rPr>
                <w:rFonts w:hint="eastAsia"/>
                <w:b/>
                <w:bCs/>
              </w:rPr>
              <w:t>坐凳</w:t>
            </w:r>
          </w:p>
          <w:p w:rsidR="00BC07F0" w:rsidRDefault="00073EFB" w:rsidP="00C55F5E">
            <w:pPr>
              <w:ind w:firstLine="480"/>
            </w:pPr>
            <w:r>
              <w:rPr>
                <w:rFonts w:hint="eastAsia"/>
              </w:rPr>
              <w:t>坐凳设置以人较易接受的步行距离作为参考，以</w:t>
            </w:r>
            <w:r>
              <w:rPr>
                <w:rFonts w:hint="eastAsia"/>
              </w:rPr>
              <w:t>50m</w:t>
            </w:r>
            <w:r>
              <w:rPr>
                <w:rFonts w:hint="eastAsia"/>
              </w:rPr>
              <w:t>为布置间距，在园路两侧布置，每个点位为一组两个，同时在主要景观节点适当增加坐凳的布置。</w:t>
            </w:r>
          </w:p>
          <w:p w:rsidR="00BC07F0" w:rsidRDefault="00073EFB" w:rsidP="00C55F5E">
            <w:pPr>
              <w:ind w:firstLine="482"/>
              <w:rPr>
                <w:b/>
                <w:bCs/>
              </w:rPr>
            </w:pPr>
            <w:r>
              <w:rPr>
                <w:rFonts w:hint="eastAsia"/>
                <w:b/>
                <w:bCs/>
              </w:rPr>
              <w:t>2.5.13</w:t>
            </w:r>
            <w:r>
              <w:rPr>
                <w:rFonts w:hint="eastAsia"/>
                <w:b/>
                <w:bCs/>
              </w:rPr>
              <w:t>垃圾桶</w:t>
            </w:r>
          </w:p>
          <w:p w:rsidR="00BC07F0" w:rsidRDefault="00073EFB" w:rsidP="00C55F5E">
            <w:pPr>
              <w:ind w:firstLine="480"/>
            </w:pPr>
            <w:r>
              <w:rPr>
                <w:rFonts w:hint="eastAsia"/>
              </w:rPr>
              <w:t>以</w:t>
            </w:r>
            <w:r>
              <w:rPr>
                <w:rFonts w:hint="eastAsia"/>
              </w:rPr>
              <w:t>100m</w:t>
            </w:r>
            <w:r>
              <w:rPr>
                <w:rFonts w:hint="eastAsia"/>
              </w:rPr>
              <w:t>间距布置，同时在主要景观节点适当增加。垃圾箱采用“可回收”和“不可回收”双筒垃圾回收桶。</w:t>
            </w:r>
          </w:p>
          <w:p w:rsidR="00BC07F0" w:rsidRDefault="00073EFB">
            <w:pPr>
              <w:pStyle w:val="a7"/>
              <w:rPr>
                <w:rFonts w:hint="default"/>
                <w:b/>
                <w:bCs/>
              </w:rPr>
            </w:pPr>
            <w:r>
              <w:rPr>
                <w:b/>
                <w:bCs/>
              </w:rPr>
              <w:t>2.5.1</w:t>
            </w:r>
            <w:r>
              <w:rPr>
                <w:b/>
                <w:bCs/>
              </w:rPr>
              <w:t>铜桥港湿地公园主要经济技术指标表</w:t>
            </w:r>
          </w:p>
          <w:tbl>
            <w:tblPr>
              <w:tblStyle w:val="TableNormal"/>
              <w:tblW w:w="4950" w:type="pct"/>
              <w:jc w:val="center"/>
              <w:tblInd w:w="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Look w:val="04A0"/>
            </w:tblPr>
            <w:tblGrid>
              <w:gridCol w:w="989"/>
              <w:gridCol w:w="1073"/>
              <w:gridCol w:w="2281"/>
              <w:gridCol w:w="1377"/>
              <w:gridCol w:w="971"/>
              <w:gridCol w:w="2320"/>
            </w:tblGrid>
            <w:tr w:rsidR="00BC07F0">
              <w:trPr>
                <w:trHeight w:val="397"/>
                <w:jc w:val="center"/>
              </w:trPr>
              <w:tc>
                <w:tcPr>
                  <w:tcW w:w="874" w:type="dxa"/>
                  <w:tcBorders>
                    <w:tl2br w:val="nil"/>
                    <w:tr2bl w:val="nil"/>
                  </w:tcBorders>
                  <w:vAlign w:val="center"/>
                </w:tcPr>
                <w:p w:rsidR="00BC07F0" w:rsidRDefault="00073EFB">
                  <w:pPr>
                    <w:pStyle w:val="a7"/>
                    <w:rPr>
                      <w:rFonts w:hint="default"/>
                    </w:rPr>
                  </w:pPr>
                  <w:r>
                    <w:t>序号</w:t>
                  </w:r>
                </w:p>
              </w:tc>
              <w:tc>
                <w:tcPr>
                  <w:tcW w:w="2966" w:type="dxa"/>
                  <w:gridSpan w:val="2"/>
                  <w:tcBorders>
                    <w:tl2br w:val="nil"/>
                    <w:tr2bl w:val="nil"/>
                  </w:tcBorders>
                  <w:vAlign w:val="center"/>
                </w:tcPr>
                <w:p w:rsidR="00BC07F0" w:rsidRDefault="00073EFB">
                  <w:pPr>
                    <w:pStyle w:val="a7"/>
                    <w:rPr>
                      <w:rFonts w:hint="default"/>
                    </w:rPr>
                  </w:pPr>
                  <w:r>
                    <w:t>项目</w:t>
                  </w:r>
                </w:p>
              </w:tc>
              <w:tc>
                <w:tcPr>
                  <w:tcW w:w="1218" w:type="dxa"/>
                  <w:tcBorders>
                    <w:tl2br w:val="nil"/>
                    <w:tr2bl w:val="nil"/>
                  </w:tcBorders>
                  <w:vAlign w:val="center"/>
                </w:tcPr>
                <w:p w:rsidR="00BC07F0" w:rsidRDefault="00073EFB">
                  <w:pPr>
                    <w:pStyle w:val="a7"/>
                    <w:rPr>
                      <w:rFonts w:hint="default"/>
                    </w:rPr>
                  </w:pPr>
                  <w:r>
                    <w:t>数值</w:t>
                  </w:r>
                </w:p>
              </w:tc>
              <w:tc>
                <w:tcPr>
                  <w:tcW w:w="859" w:type="dxa"/>
                  <w:tcBorders>
                    <w:tl2br w:val="nil"/>
                    <w:tr2bl w:val="nil"/>
                  </w:tcBorders>
                  <w:vAlign w:val="center"/>
                </w:tcPr>
                <w:p w:rsidR="00BC07F0" w:rsidRDefault="00073EFB">
                  <w:pPr>
                    <w:pStyle w:val="a7"/>
                    <w:rPr>
                      <w:rFonts w:hint="default"/>
                    </w:rPr>
                  </w:pPr>
                  <w:r>
                    <w:t>单位</w:t>
                  </w:r>
                </w:p>
              </w:tc>
              <w:tc>
                <w:tcPr>
                  <w:tcW w:w="2052" w:type="dxa"/>
                  <w:tcBorders>
                    <w:tl2br w:val="nil"/>
                    <w:tr2bl w:val="nil"/>
                  </w:tcBorders>
                  <w:vAlign w:val="center"/>
                </w:tcPr>
                <w:p w:rsidR="00BC07F0" w:rsidRDefault="00073EFB">
                  <w:pPr>
                    <w:pStyle w:val="a7"/>
                    <w:rPr>
                      <w:rFonts w:hint="default"/>
                    </w:rPr>
                  </w:pPr>
                  <w:r>
                    <w:t>备注</w:t>
                  </w:r>
                </w:p>
              </w:tc>
            </w:tr>
            <w:tr w:rsidR="00BC07F0">
              <w:trPr>
                <w:trHeight w:val="397"/>
                <w:jc w:val="center"/>
              </w:trPr>
              <w:tc>
                <w:tcPr>
                  <w:tcW w:w="874" w:type="dxa"/>
                  <w:tcBorders>
                    <w:tl2br w:val="nil"/>
                    <w:tr2bl w:val="nil"/>
                  </w:tcBorders>
                  <w:vAlign w:val="center"/>
                </w:tcPr>
                <w:p w:rsidR="00BC07F0" w:rsidRDefault="00073EFB">
                  <w:pPr>
                    <w:pStyle w:val="a7"/>
                    <w:rPr>
                      <w:rFonts w:hint="default"/>
                    </w:rPr>
                  </w:pPr>
                  <w:r>
                    <w:t>1</w:t>
                  </w:r>
                </w:p>
              </w:tc>
              <w:tc>
                <w:tcPr>
                  <w:tcW w:w="2966" w:type="dxa"/>
                  <w:gridSpan w:val="2"/>
                  <w:tcBorders>
                    <w:tl2br w:val="nil"/>
                    <w:tr2bl w:val="nil"/>
                  </w:tcBorders>
                  <w:vAlign w:val="center"/>
                </w:tcPr>
                <w:p w:rsidR="00BC07F0" w:rsidRDefault="00073EFB">
                  <w:pPr>
                    <w:pStyle w:val="a7"/>
                    <w:rPr>
                      <w:rFonts w:hint="default"/>
                    </w:rPr>
                  </w:pPr>
                  <w:r>
                    <w:t>总用地面积</w:t>
                  </w:r>
                </w:p>
              </w:tc>
              <w:tc>
                <w:tcPr>
                  <w:tcW w:w="1218" w:type="dxa"/>
                  <w:tcBorders>
                    <w:tl2br w:val="nil"/>
                    <w:tr2bl w:val="nil"/>
                  </w:tcBorders>
                  <w:vAlign w:val="center"/>
                </w:tcPr>
                <w:p w:rsidR="00BC07F0" w:rsidRDefault="00073EFB">
                  <w:pPr>
                    <w:pStyle w:val="a7"/>
                    <w:rPr>
                      <w:rFonts w:hint="default"/>
                    </w:rPr>
                  </w:pPr>
                  <w:r>
                    <w:t>135385.44</w:t>
                  </w:r>
                </w:p>
              </w:tc>
              <w:tc>
                <w:tcPr>
                  <w:tcW w:w="859" w:type="dxa"/>
                  <w:tcBorders>
                    <w:tl2br w:val="nil"/>
                    <w:tr2bl w:val="nil"/>
                  </w:tcBorders>
                  <w:vAlign w:val="center"/>
                </w:tcPr>
                <w:p w:rsidR="00BC07F0" w:rsidRDefault="00073EFB">
                  <w:pPr>
                    <w:pStyle w:val="a7"/>
                    <w:rPr>
                      <w:rFonts w:hint="default"/>
                    </w:rPr>
                  </w:pPr>
                  <w:r>
                    <w:t>m</w:t>
                  </w:r>
                  <w:r>
                    <w:rPr>
                      <w:vertAlign w:val="superscript"/>
                    </w:rPr>
                    <w:t>2</w:t>
                  </w:r>
                </w:p>
              </w:tc>
              <w:tc>
                <w:tcPr>
                  <w:tcW w:w="2052" w:type="dxa"/>
                  <w:tcBorders>
                    <w:tl2br w:val="nil"/>
                    <w:tr2bl w:val="nil"/>
                  </w:tcBorders>
                  <w:vAlign w:val="center"/>
                </w:tcPr>
                <w:p w:rsidR="00BC07F0" w:rsidRDefault="00BC07F0">
                  <w:pPr>
                    <w:pStyle w:val="a7"/>
                    <w:rPr>
                      <w:rFonts w:hint="default"/>
                    </w:rPr>
                  </w:pPr>
                </w:p>
              </w:tc>
            </w:tr>
            <w:tr w:rsidR="00BC07F0">
              <w:trPr>
                <w:trHeight w:val="397"/>
                <w:jc w:val="center"/>
              </w:trPr>
              <w:tc>
                <w:tcPr>
                  <w:tcW w:w="874" w:type="dxa"/>
                  <w:tcBorders>
                    <w:tl2br w:val="nil"/>
                    <w:tr2bl w:val="nil"/>
                  </w:tcBorders>
                  <w:vAlign w:val="center"/>
                </w:tcPr>
                <w:p w:rsidR="00BC07F0" w:rsidRDefault="00073EFB">
                  <w:pPr>
                    <w:pStyle w:val="a7"/>
                    <w:rPr>
                      <w:rFonts w:hint="default"/>
                    </w:rPr>
                  </w:pPr>
                  <w:r>
                    <w:lastRenderedPageBreak/>
                    <w:t>2</w:t>
                  </w:r>
                </w:p>
              </w:tc>
              <w:tc>
                <w:tcPr>
                  <w:tcW w:w="2966" w:type="dxa"/>
                  <w:gridSpan w:val="2"/>
                  <w:tcBorders>
                    <w:tl2br w:val="nil"/>
                    <w:tr2bl w:val="nil"/>
                  </w:tcBorders>
                  <w:vAlign w:val="center"/>
                </w:tcPr>
                <w:p w:rsidR="00BC07F0" w:rsidRDefault="00073EFB">
                  <w:pPr>
                    <w:pStyle w:val="a7"/>
                    <w:rPr>
                      <w:rFonts w:hint="default"/>
                    </w:rPr>
                  </w:pPr>
                  <w:r>
                    <w:t>水体用地面积</w:t>
                  </w:r>
                </w:p>
              </w:tc>
              <w:tc>
                <w:tcPr>
                  <w:tcW w:w="1218" w:type="dxa"/>
                  <w:tcBorders>
                    <w:tl2br w:val="nil"/>
                    <w:tr2bl w:val="nil"/>
                  </w:tcBorders>
                  <w:vAlign w:val="center"/>
                </w:tcPr>
                <w:p w:rsidR="00BC07F0" w:rsidRDefault="00073EFB">
                  <w:pPr>
                    <w:pStyle w:val="a7"/>
                    <w:rPr>
                      <w:rFonts w:hint="default"/>
                    </w:rPr>
                  </w:pPr>
                  <w:r>
                    <w:t>56661.26</w:t>
                  </w:r>
                </w:p>
              </w:tc>
              <w:tc>
                <w:tcPr>
                  <w:tcW w:w="859" w:type="dxa"/>
                  <w:tcBorders>
                    <w:tl2br w:val="nil"/>
                    <w:tr2bl w:val="nil"/>
                  </w:tcBorders>
                  <w:vAlign w:val="center"/>
                </w:tcPr>
                <w:p w:rsidR="00BC07F0" w:rsidRDefault="00073EFB">
                  <w:pPr>
                    <w:pStyle w:val="a7"/>
                    <w:rPr>
                      <w:rFonts w:hint="default"/>
                    </w:rPr>
                  </w:pPr>
                  <w:r>
                    <w:t>m</w:t>
                  </w:r>
                  <w:r>
                    <w:rPr>
                      <w:vertAlign w:val="superscript"/>
                    </w:rPr>
                    <w:t>2</w:t>
                  </w:r>
                </w:p>
              </w:tc>
              <w:tc>
                <w:tcPr>
                  <w:tcW w:w="2052" w:type="dxa"/>
                  <w:tcBorders>
                    <w:tl2br w:val="nil"/>
                    <w:tr2bl w:val="nil"/>
                  </w:tcBorders>
                  <w:vAlign w:val="center"/>
                </w:tcPr>
                <w:p w:rsidR="00BC07F0" w:rsidRDefault="00BC07F0">
                  <w:pPr>
                    <w:pStyle w:val="a7"/>
                    <w:rPr>
                      <w:rFonts w:hint="default"/>
                    </w:rPr>
                  </w:pPr>
                </w:p>
              </w:tc>
            </w:tr>
            <w:tr w:rsidR="00BC07F0">
              <w:trPr>
                <w:trHeight w:val="397"/>
                <w:jc w:val="center"/>
              </w:trPr>
              <w:tc>
                <w:tcPr>
                  <w:tcW w:w="874" w:type="dxa"/>
                  <w:tcBorders>
                    <w:tl2br w:val="nil"/>
                    <w:tr2bl w:val="nil"/>
                  </w:tcBorders>
                  <w:vAlign w:val="center"/>
                </w:tcPr>
                <w:p w:rsidR="00BC07F0" w:rsidRDefault="00073EFB">
                  <w:pPr>
                    <w:pStyle w:val="a7"/>
                    <w:rPr>
                      <w:rFonts w:hint="default"/>
                    </w:rPr>
                  </w:pPr>
                  <w:r>
                    <w:t>3</w:t>
                  </w:r>
                </w:p>
              </w:tc>
              <w:tc>
                <w:tcPr>
                  <w:tcW w:w="2966" w:type="dxa"/>
                  <w:gridSpan w:val="2"/>
                  <w:tcBorders>
                    <w:tl2br w:val="nil"/>
                    <w:tr2bl w:val="nil"/>
                  </w:tcBorders>
                  <w:vAlign w:val="center"/>
                </w:tcPr>
                <w:p w:rsidR="00BC07F0" w:rsidRDefault="00073EFB">
                  <w:pPr>
                    <w:pStyle w:val="a7"/>
                    <w:rPr>
                      <w:rFonts w:hint="default"/>
                    </w:rPr>
                  </w:pPr>
                  <w:r>
                    <w:t>陆地用地面积</w:t>
                  </w:r>
                </w:p>
              </w:tc>
              <w:tc>
                <w:tcPr>
                  <w:tcW w:w="1218" w:type="dxa"/>
                  <w:tcBorders>
                    <w:tl2br w:val="nil"/>
                    <w:tr2bl w:val="nil"/>
                  </w:tcBorders>
                  <w:vAlign w:val="center"/>
                </w:tcPr>
                <w:p w:rsidR="00BC07F0" w:rsidRDefault="00073EFB">
                  <w:pPr>
                    <w:pStyle w:val="a7"/>
                    <w:rPr>
                      <w:rFonts w:hint="default"/>
                    </w:rPr>
                  </w:pPr>
                  <w:r>
                    <w:t>78724.18</w:t>
                  </w:r>
                </w:p>
              </w:tc>
              <w:tc>
                <w:tcPr>
                  <w:tcW w:w="859" w:type="dxa"/>
                  <w:tcBorders>
                    <w:tl2br w:val="nil"/>
                    <w:tr2bl w:val="nil"/>
                  </w:tcBorders>
                  <w:vAlign w:val="center"/>
                </w:tcPr>
                <w:p w:rsidR="00BC07F0" w:rsidRDefault="00073EFB">
                  <w:pPr>
                    <w:pStyle w:val="a7"/>
                    <w:rPr>
                      <w:rFonts w:hint="default"/>
                    </w:rPr>
                  </w:pPr>
                  <w:r>
                    <w:t>m</w:t>
                  </w:r>
                  <w:r>
                    <w:rPr>
                      <w:vertAlign w:val="superscript"/>
                    </w:rPr>
                    <w:t>2</w:t>
                  </w:r>
                </w:p>
              </w:tc>
              <w:tc>
                <w:tcPr>
                  <w:tcW w:w="2052" w:type="dxa"/>
                  <w:tcBorders>
                    <w:tl2br w:val="nil"/>
                    <w:tr2bl w:val="nil"/>
                  </w:tcBorders>
                  <w:vAlign w:val="center"/>
                </w:tcPr>
                <w:p w:rsidR="00BC07F0" w:rsidRDefault="00BC07F0">
                  <w:pPr>
                    <w:pStyle w:val="a7"/>
                    <w:rPr>
                      <w:rFonts w:hint="default"/>
                    </w:rPr>
                  </w:pPr>
                </w:p>
              </w:tc>
            </w:tr>
            <w:tr w:rsidR="00BC07F0">
              <w:trPr>
                <w:trHeight w:val="397"/>
                <w:jc w:val="center"/>
              </w:trPr>
              <w:tc>
                <w:tcPr>
                  <w:tcW w:w="874" w:type="dxa"/>
                  <w:tcBorders>
                    <w:tl2br w:val="nil"/>
                    <w:tr2bl w:val="nil"/>
                  </w:tcBorders>
                  <w:vAlign w:val="center"/>
                </w:tcPr>
                <w:p w:rsidR="00BC07F0" w:rsidRDefault="00073EFB">
                  <w:pPr>
                    <w:pStyle w:val="a7"/>
                    <w:rPr>
                      <w:rFonts w:hint="default"/>
                    </w:rPr>
                  </w:pPr>
                  <w:r>
                    <w:t>4</w:t>
                  </w:r>
                </w:p>
              </w:tc>
              <w:tc>
                <w:tcPr>
                  <w:tcW w:w="949" w:type="dxa"/>
                  <w:vMerge w:val="restart"/>
                  <w:tcBorders>
                    <w:tl2br w:val="nil"/>
                    <w:tr2bl w:val="nil"/>
                  </w:tcBorders>
                  <w:vAlign w:val="center"/>
                </w:tcPr>
                <w:p w:rsidR="00BC07F0" w:rsidRDefault="00073EFB">
                  <w:pPr>
                    <w:pStyle w:val="a7"/>
                    <w:rPr>
                      <w:rFonts w:hint="default"/>
                    </w:rPr>
                  </w:pPr>
                  <w:r>
                    <w:t>其中</w:t>
                  </w:r>
                </w:p>
              </w:tc>
              <w:tc>
                <w:tcPr>
                  <w:tcW w:w="2017" w:type="dxa"/>
                  <w:tcBorders>
                    <w:tl2br w:val="nil"/>
                    <w:tr2bl w:val="nil"/>
                  </w:tcBorders>
                  <w:vAlign w:val="center"/>
                </w:tcPr>
                <w:p w:rsidR="00BC07F0" w:rsidRDefault="00073EFB">
                  <w:pPr>
                    <w:pStyle w:val="a7"/>
                    <w:rPr>
                      <w:rFonts w:hint="default"/>
                    </w:rPr>
                  </w:pPr>
                  <w:r>
                    <w:t>绿地面积</w:t>
                  </w:r>
                </w:p>
              </w:tc>
              <w:tc>
                <w:tcPr>
                  <w:tcW w:w="1218" w:type="dxa"/>
                  <w:tcBorders>
                    <w:tl2br w:val="nil"/>
                    <w:tr2bl w:val="nil"/>
                  </w:tcBorders>
                  <w:vAlign w:val="center"/>
                </w:tcPr>
                <w:p w:rsidR="00BC07F0" w:rsidRDefault="00073EFB">
                  <w:pPr>
                    <w:pStyle w:val="a7"/>
                    <w:rPr>
                      <w:rFonts w:hint="default"/>
                    </w:rPr>
                  </w:pPr>
                  <w:r>
                    <w:t>59973.12</w:t>
                  </w:r>
                </w:p>
              </w:tc>
              <w:tc>
                <w:tcPr>
                  <w:tcW w:w="859" w:type="dxa"/>
                  <w:tcBorders>
                    <w:tl2br w:val="nil"/>
                    <w:tr2bl w:val="nil"/>
                  </w:tcBorders>
                  <w:vAlign w:val="center"/>
                </w:tcPr>
                <w:p w:rsidR="00BC07F0" w:rsidRDefault="00073EFB">
                  <w:pPr>
                    <w:pStyle w:val="a7"/>
                    <w:rPr>
                      <w:rFonts w:hint="default"/>
                    </w:rPr>
                  </w:pPr>
                  <w:r>
                    <w:t>m</w:t>
                  </w:r>
                  <w:r>
                    <w:rPr>
                      <w:vertAlign w:val="superscript"/>
                    </w:rPr>
                    <w:t>2</w:t>
                  </w:r>
                </w:p>
              </w:tc>
              <w:tc>
                <w:tcPr>
                  <w:tcW w:w="2052" w:type="dxa"/>
                  <w:tcBorders>
                    <w:tl2br w:val="nil"/>
                    <w:tr2bl w:val="nil"/>
                  </w:tcBorders>
                  <w:vAlign w:val="center"/>
                </w:tcPr>
                <w:p w:rsidR="00BC07F0" w:rsidRDefault="00BC07F0">
                  <w:pPr>
                    <w:pStyle w:val="a7"/>
                    <w:rPr>
                      <w:rFonts w:hint="default"/>
                    </w:rPr>
                  </w:pPr>
                </w:p>
              </w:tc>
            </w:tr>
            <w:tr w:rsidR="00BC07F0">
              <w:trPr>
                <w:trHeight w:val="397"/>
                <w:jc w:val="center"/>
              </w:trPr>
              <w:tc>
                <w:tcPr>
                  <w:tcW w:w="874" w:type="dxa"/>
                  <w:tcBorders>
                    <w:tl2br w:val="nil"/>
                    <w:tr2bl w:val="nil"/>
                  </w:tcBorders>
                  <w:vAlign w:val="center"/>
                </w:tcPr>
                <w:p w:rsidR="00BC07F0" w:rsidRDefault="00073EFB">
                  <w:pPr>
                    <w:pStyle w:val="a7"/>
                    <w:rPr>
                      <w:rFonts w:hint="default"/>
                    </w:rPr>
                  </w:pPr>
                  <w:r>
                    <w:t>5</w:t>
                  </w:r>
                </w:p>
              </w:tc>
              <w:tc>
                <w:tcPr>
                  <w:tcW w:w="949" w:type="dxa"/>
                  <w:vMerge/>
                  <w:tcBorders>
                    <w:tl2br w:val="nil"/>
                    <w:tr2bl w:val="nil"/>
                  </w:tcBorders>
                  <w:vAlign w:val="center"/>
                </w:tcPr>
                <w:p w:rsidR="00BC07F0" w:rsidRDefault="00BC07F0">
                  <w:pPr>
                    <w:pStyle w:val="a7"/>
                    <w:rPr>
                      <w:rFonts w:hint="default"/>
                    </w:rPr>
                  </w:pPr>
                </w:p>
              </w:tc>
              <w:tc>
                <w:tcPr>
                  <w:tcW w:w="2017" w:type="dxa"/>
                  <w:tcBorders>
                    <w:tl2br w:val="nil"/>
                    <w:tr2bl w:val="nil"/>
                  </w:tcBorders>
                  <w:vAlign w:val="center"/>
                </w:tcPr>
                <w:p w:rsidR="00BC07F0" w:rsidRDefault="00073EFB">
                  <w:pPr>
                    <w:pStyle w:val="a7"/>
                    <w:rPr>
                      <w:rFonts w:hint="default"/>
                    </w:rPr>
                  </w:pPr>
                  <w:r>
                    <w:t>园路及铺装场地用地</w:t>
                  </w:r>
                </w:p>
              </w:tc>
              <w:tc>
                <w:tcPr>
                  <w:tcW w:w="1218" w:type="dxa"/>
                  <w:tcBorders>
                    <w:tl2br w:val="nil"/>
                    <w:tr2bl w:val="nil"/>
                  </w:tcBorders>
                  <w:vAlign w:val="center"/>
                </w:tcPr>
                <w:p w:rsidR="00BC07F0" w:rsidRDefault="00073EFB">
                  <w:pPr>
                    <w:pStyle w:val="a7"/>
                    <w:rPr>
                      <w:rFonts w:hint="default"/>
                    </w:rPr>
                  </w:pPr>
                  <w:r>
                    <w:t>6.21%</w:t>
                  </w:r>
                </w:p>
              </w:tc>
              <w:tc>
                <w:tcPr>
                  <w:tcW w:w="859" w:type="dxa"/>
                  <w:tcBorders>
                    <w:tl2br w:val="nil"/>
                    <w:tr2bl w:val="nil"/>
                  </w:tcBorders>
                  <w:vAlign w:val="center"/>
                </w:tcPr>
                <w:p w:rsidR="00BC07F0" w:rsidRDefault="00BC07F0">
                  <w:pPr>
                    <w:pStyle w:val="a7"/>
                    <w:rPr>
                      <w:rFonts w:hint="default"/>
                    </w:rPr>
                  </w:pPr>
                </w:p>
              </w:tc>
              <w:tc>
                <w:tcPr>
                  <w:tcW w:w="2052" w:type="dxa"/>
                  <w:tcBorders>
                    <w:tl2br w:val="nil"/>
                    <w:tr2bl w:val="nil"/>
                  </w:tcBorders>
                  <w:vAlign w:val="center"/>
                </w:tcPr>
                <w:p w:rsidR="00BC07F0" w:rsidRDefault="00073EFB">
                  <w:pPr>
                    <w:pStyle w:val="a7"/>
                    <w:rPr>
                      <w:rFonts w:hint="default"/>
                    </w:rPr>
                  </w:pPr>
                  <w:r>
                    <w:t>8410.57</w:t>
                  </w:r>
                </w:p>
              </w:tc>
            </w:tr>
            <w:tr w:rsidR="00BC07F0">
              <w:trPr>
                <w:trHeight w:val="397"/>
                <w:jc w:val="center"/>
              </w:trPr>
              <w:tc>
                <w:tcPr>
                  <w:tcW w:w="874" w:type="dxa"/>
                  <w:tcBorders>
                    <w:tl2br w:val="nil"/>
                    <w:tr2bl w:val="nil"/>
                  </w:tcBorders>
                  <w:vAlign w:val="center"/>
                </w:tcPr>
                <w:p w:rsidR="00BC07F0" w:rsidRDefault="00073EFB">
                  <w:pPr>
                    <w:pStyle w:val="a7"/>
                    <w:rPr>
                      <w:rFonts w:hint="default"/>
                    </w:rPr>
                  </w:pPr>
                  <w:r>
                    <w:t>6</w:t>
                  </w:r>
                </w:p>
              </w:tc>
              <w:tc>
                <w:tcPr>
                  <w:tcW w:w="949" w:type="dxa"/>
                  <w:vMerge/>
                  <w:tcBorders>
                    <w:tl2br w:val="nil"/>
                    <w:tr2bl w:val="nil"/>
                  </w:tcBorders>
                  <w:vAlign w:val="center"/>
                </w:tcPr>
                <w:p w:rsidR="00BC07F0" w:rsidRDefault="00BC07F0">
                  <w:pPr>
                    <w:pStyle w:val="a7"/>
                    <w:rPr>
                      <w:rFonts w:hint="default"/>
                    </w:rPr>
                  </w:pPr>
                </w:p>
              </w:tc>
              <w:tc>
                <w:tcPr>
                  <w:tcW w:w="2017" w:type="dxa"/>
                  <w:tcBorders>
                    <w:tl2br w:val="nil"/>
                    <w:tr2bl w:val="nil"/>
                  </w:tcBorders>
                  <w:vAlign w:val="center"/>
                </w:tcPr>
                <w:p w:rsidR="00BC07F0" w:rsidRDefault="00073EFB">
                  <w:pPr>
                    <w:pStyle w:val="a7"/>
                    <w:rPr>
                      <w:rFonts w:hint="default"/>
                    </w:rPr>
                  </w:pPr>
                  <w:r>
                    <w:t>建筑占地面积</w:t>
                  </w:r>
                </w:p>
              </w:tc>
              <w:tc>
                <w:tcPr>
                  <w:tcW w:w="1218" w:type="dxa"/>
                  <w:tcBorders>
                    <w:tl2br w:val="nil"/>
                    <w:tr2bl w:val="nil"/>
                  </w:tcBorders>
                  <w:vAlign w:val="center"/>
                </w:tcPr>
                <w:p w:rsidR="00BC07F0" w:rsidRDefault="00073EFB">
                  <w:pPr>
                    <w:pStyle w:val="a7"/>
                    <w:rPr>
                      <w:rFonts w:hint="default"/>
                    </w:rPr>
                  </w:pPr>
                  <w:r>
                    <w:t>2221.42</w:t>
                  </w:r>
                </w:p>
              </w:tc>
              <w:tc>
                <w:tcPr>
                  <w:tcW w:w="859" w:type="dxa"/>
                  <w:tcBorders>
                    <w:tl2br w:val="nil"/>
                    <w:tr2bl w:val="nil"/>
                  </w:tcBorders>
                  <w:vAlign w:val="center"/>
                </w:tcPr>
                <w:p w:rsidR="00BC07F0" w:rsidRDefault="00073EFB">
                  <w:pPr>
                    <w:pStyle w:val="a7"/>
                    <w:rPr>
                      <w:rFonts w:hint="default"/>
                    </w:rPr>
                  </w:pPr>
                  <w:r>
                    <w:t>m</w:t>
                  </w:r>
                  <w:r>
                    <w:rPr>
                      <w:vertAlign w:val="superscript"/>
                    </w:rPr>
                    <w:t>2</w:t>
                  </w:r>
                </w:p>
              </w:tc>
              <w:tc>
                <w:tcPr>
                  <w:tcW w:w="2052" w:type="dxa"/>
                  <w:tcBorders>
                    <w:tl2br w:val="nil"/>
                    <w:tr2bl w:val="nil"/>
                  </w:tcBorders>
                  <w:vAlign w:val="center"/>
                </w:tcPr>
                <w:p w:rsidR="00BC07F0" w:rsidRDefault="00BC07F0">
                  <w:pPr>
                    <w:pStyle w:val="a7"/>
                    <w:rPr>
                      <w:rFonts w:hint="default"/>
                    </w:rPr>
                  </w:pPr>
                </w:p>
              </w:tc>
            </w:tr>
            <w:tr w:rsidR="00BC07F0">
              <w:trPr>
                <w:trHeight w:val="397"/>
                <w:jc w:val="center"/>
              </w:trPr>
              <w:tc>
                <w:tcPr>
                  <w:tcW w:w="874" w:type="dxa"/>
                  <w:tcBorders>
                    <w:tl2br w:val="nil"/>
                    <w:tr2bl w:val="nil"/>
                  </w:tcBorders>
                  <w:vAlign w:val="center"/>
                </w:tcPr>
                <w:p w:rsidR="00BC07F0" w:rsidRDefault="00073EFB">
                  <w:pPr>
                    <w:pStyle w:val="a7"/>
                    <w:rPr>
                      <w:rFonts w:hint="default"/>
                    </w:rPr>
                  </w:pPr>
                  <w:r>
                    <w:t>7</w:t>
                  </w:r>
                </w:p>
              </w:tc>
              <w:tc>
                <w:tcPr>
                  <w:tcW w:w="2966" w:type="dxa"/>
                  <w:gridSpan w:val="2"/>
                  <w:tcBorders>
                    <w:tl2br w:val="nil"/>
                    <w:tr2bl w:val="nil"/>
                  </w:tcBorders>
                  <w:vAlign w:val="center"/>
                </w:tcPr>
                <w:p w:rsidR="00BC07F0" w:rsidRDefault="00073EFB">
                  <w:pPr>
                    <w:pStyle w:val="a7"/>
                    <w:rPr>
                      <w:rFonts w:hint="default"/>
                    </w:rPr>
                  </w:pPr>
                  <w:r>
                    <w:t>总建筑面积</w:t>
                  </w:r>
                  <w:r>
                    <w:t>（</w:t>
                  </w:r>
                  <w:r>
                    <w:t>地上</w:t>
                  </w:r>
                  <w:r>
                    <w:t>）</w:t>
                  </w:r>
                </w:p>
              </w:tc>
              <w:tc>
                <w:tcPr>
                  <w:tcW w:w="1218" w:type="dxa"/>
                  <w:tcBorders>
                    <w:tl2br w:val="nil"/>
                    <w:tr2bl w:val="nil"/>
                  </w:tcBorders>
                  <w:vAlign w:val="center"/>
                </w:tcPr>
                <w:p w:rsidR="00BC07F0" w:rsidRDefault="00073EFB">
                  <w:pPr>
                    <w:pStyle w:val="a7"/>
                    <w:rPr>
                      <w:rFonts w:hint="default"/>
                    </w:rPr>
                  </w:pPr>
                  <w:r>
                    <w:t>3319.18</w:t>
                  </w:r>
                </w:p>
              </w:tc>
              <w:tc>
                <w:tcPr>
                  <w:tcW w:w="859" w:type="dxa"/>
                  <w:tcBorders>
                    <w:tl2br w:val="nil"/>
                    <w:tr2bl w:val="nil"/>
                  </w:tcBorders>
                  <w:vAlign w:val="center"/>
                </w:tcPr>
                <w:p w:rsidR="00BC07F0" w:rsidRDefault="00073EFB">
                  <w:pPr>
                    <w:pStyle w:val="a7"/>
                    <w:rPr>
                      <w:rFonts w:hint="default"/>
                    </w:rPr>
                  </w:pPr>
                  <w:r>
                    <w:t>m</w:t>
                  </w:r>
                  <w:r>
                    <w:rPr>
                      <w:vertAlign w:val="superscript"/>
                    </w:rPr>
                    <w:t>2</w:t>
                  </w:r>
                </w:p>
              </w:tc>
              <w:tc>
                <w:tcPr>
                  <w:tcW w:w="2052" w:type="dxa"/>
                  <w:tcBorders>
                    <w:tl2br w:val="nil"/>
                    <w:tr2bl w:val="nil"/>
                  </w:tcBorders>
                  <w:vAlign w:val="center"/>
                </w:tcPr>
                <w:p w:rsidR="00BC07F0" w:rsidRDefault="00BC07F0">
                  <w:pPr>
                    <w:pStyle w:val="a7"/>
                    <w:rPr>
                      <w:rFonts w:hint="default"/>
                    </w:rPr>
                  </w:pPr>
                </w:p>
              </w:tc>
            </w:tr>
            <w:tr w:rsidR="00BC07F0">
              <w:trPr>
                <w:trHeight w:val="397"/>
                <w:jc w:val="center"/>
              </w:trPr>
              <w:tc>
                <w:tcPr>
                  <w:tcW w:w="874" w:type="dxa"/>
                  <w:tcBorders>
                    <w:tl2br w:val="nil"/>
                    <w:tr2bl w:val="nil"/>
                  </w:tcBorders>
                  <w:vAlign w:val="center"/>
                </w:tcPr>
                <w:p w:rsidR="00BC07F0" w:rsidRDefault="00073EFB">
                  <w:pPr>
                    <w:pStyle w:val="a7"/>
                    <w:rPr>
                      <w:rFonts w:hint="default"/>
                    </w:rPr>
                  </w:pPr>
                  <w:r>
                    <w:t>8</w:t>
                  </w:r>
                </w:p>
              </w:tc>
              <w:tc>
                <w:tcPr>
                  <w:tcW w:w="2966" w:type="dxa"/>
                  <w:gridSpan w:val="2"/>
                  <w:tcBorders>
                    <w:tl2br w:val="nil"/>
                    <w:tr2bl w:val="nil"/>
                  </w:tcBorders>
                  <w:vAlign w:val="center"/>
                </w:tcPr>
                <w:p w:rsidR="00BC07F0" w:rsidRDefault="00073EFB">
                  <w:pPr>
                    <w:pStyle w:val="a7"/>
                    <w:rPr>
                      <w:rFonts w:hint="default"/>
                    </w:rPr>
                  </w:pPr>
                  <w:r>
                    <w:t>计容建筑面积</w:t>
                  </w:r>
                </w:p>
              </w:tc>
              <w:tc>
                <w:tcPr>
                  <w:tcW w:w="1218" w:type="dxa"/>
                  <w:tcBorders>
                    <w:tl2br w:val="nil"/>
                    <w:tr2bl w:val="nil"/>
                  </w:tcBorders>
                  <w:vAlign w:val="center"/>
                </w:tcPr>
                <w:p w:rsidR="00BC07F0" w:rsidRDefault="00073EFB">
                  <w:pPr>
                    <w:pStyle w:val="a7"/>
                    <w:rPr>
                      <w:rFonts w:hint="default"/>
                    </w:rPr>
                  </w:pPr>
                  <w:r>
                    <w:t>3319.18</w:t>
                  </w:r>
                </w:p>
              </w:tc>
              <w:tc>
                <w:tcPr>
                  <w:tcW w:w="859" w:type="dxa"/>
                  <w:tcBorders>
                    <w:tl2br w:val="nil"/>
                    <w:tr2bl w:val="nil"/>
                  </w:tcBorders>
                  <w:vAlign w:val="center"/>
                </w:tcPr>
                <w:p w:rsidR="00BC07F0" w:rsidRDefault="00073EFB">
                  <w:pPr>
                    <w:pStyle w:val="a7"/>
                    <w:rPr>
                      <w:rFonts w:hint="default"/>
                    </w:rPr>
                  </w:pPr>
                  <w:r>
                    <w:t>m</w:t>
                  </w:r>
                  <w:r>
                    <w:rPr>
                      <w:vertAlign w:val="superscript"/>
                    </w:rPr>
                    <w:t>2</w:t>
                  </w:r>
                </w:p>
              </w:tc>
              <w:tc>
                <w:tcPr>
                  <w:tcW w:w="2052" w:type="dxa"/>
                  <w:tcBorders>
                    <w:tl2br w:val="nil"/>
                    <w:tr2bl w:val="nil"/>
                  </w:tcBorders>
                  <w:vAlign w:val="center"/>
                </w:tcPr>
                <w:p w:rsidR="00BC07F0" w:rsidRDefault="00BC07F0">
                  <w:pPr>
                    <w:pStyle w:val="a7"/>
                    <w:rPr>
                      <w:rFonts w:hint="default"/>
                    </w:rPr>
                  </w:pPr>
                </w:p>
              </w:tc>
            </w:tr>
            <w:tr w:rsidR="00BC07F0">
              <w:trPr>
                <w:trHeight w:val="397"/>
                <w:jc w:val="center"/>
              </w:trPr>
              <w:tc>
                <w:tcPr>
                  <w:tcW w:w="874" w:type="dxa"/>
                  <w:tcBorders>
                    <w:tl2br w:val="nil"/>
                    <w:tr2bl w:val="nil"/>
                  </w:tcBorders>
                  <w:vAlign w:val="center"/>
                </w:tcPr>
                <w:p w:rsidR="00BC07F0" w:rsidRDefault="00073EFB">
                  <w:pPr>
                    <w:pStyle w:val="a7"/>
                    <w:rPr>
                      <w:rFonts w:hint="default"/>
                    </w:rPr>
                  </w:pPr>
                  <w:r>
                    <w:t>9</w:t>
                  </w:r>
                </w:p>
              </w:tc>
              <w:tc>
                <w:tcPr>
                  <w:tcW w:w="949" w:type="dxa"/>
                  <w:vMerge w:val="restart"/>
                  <w:tcBorders>
                    <w:tl2br w:val="nil"/>
                    <w:tr2bl w:val="nil"/>
                  </w:tcBorders>
                  <w:vAlign w:val="center"/>
                </w:tcPr>
                <w:p w:rsidR="00BC07F0" w:rsidRDefault="00073EFB">
                  <w:pPr>
                    <w:pStyle w:val="a7"/>
                    <w:rPr>
                      <w:rFonts w:hint="default"/>
                    </w:rPr>
                  </w:pPr>
                  <w:r>
                    <w:t>其中</w:t>
                  </w:r>
                </w:p>
              </w:tc>
              <w:tc>
                <w:tcPr>
                  <w:tcW w:w="2017" w:type="dxa"/>
                  <w:tcBorders>
                    <w:tl2br w:val="nil"/>
                    <w:tr2bl w:val="nil"/>
                  </w:tcBorders>
                  <w:vAlign w:val="center"/>
                </w:tcPr>
                <w:p w:rsidR="00BC07F0" w:rsidRDefault="00073EFB">
                  <w:pPr>
                    <w:pStyle w:val="a7"/>
                    <w:rPr>
                      <w:rFonts w:hint="default"/>
                    </w:rPr>
                  </w:pPr>
                  <w:r>
                    <w:t>管理用房</w:t>
                  </w:r>
                </w:p>
              </w:tc>
              <w:tc>
                <w:tcPr>
                  <w:tcW w:w="1218" w:type="dxa"/>
                  <w:tcBorders>
                    <w:tl2br w:val="nil"/>
                    <w:tr2bl w:val="nil"/>
                  </w:tcBorders>
                  <w:vAlign w:val="center"/>
                </w:tcPr>
                <w:p w:rsidR="00BC07F0" w:rsidRDefault="00073EFB">
                  <w:pPr>
                    <w:pStyle w:val="a7"/>
                    <w:rPr>
                      <w:rFonts w:hint="default"/>
                    </w:rPr>
                  </w:pPr>
                  <w:r>
                    <w:t>391.76</w:t>
                  </w:r>
                </w:p>
              </w:tc>
              <w:tc>
                <w:tcPr>
                  <w:tcW w:w="859" w:type="dxa"/>
                  <w:tcBorders>
                    <w:tl2br w:val="nil"/>
                    <w:tr2bl w:val="nil"/>
                  </w:tcBorders>
                  <w:vAlign w:val="center"/>
                </w:tcPr>
                <w:p w:rsidR="00BC07F0" w:rsidRDefault="00073EFB">
                  <w:pPr>
                    <w:pStyle w:val="a7"/>
                    <w:rPr>
                      <w:rFonts w:hint="default"/>
                    </w:rPr>
                  </w:pPr>
                  <w:r>
                    <w:t>m</w:t>
                  </w:r>
                  <w:r>
                    <w:rPr>
                      <w:vertAlign w:val="superscript"/>
                    </w:rPr>
                    <w:t>2</w:t>
                  </w:r>
                </w:p>
              </w:tc>
              <w:tc>
                <w:tcPr>
                  <w:tcW w:w="2052" w:type="dxa"/>
                  <w:tcBorders>
                    <w:tl2br w:val="nil"/>
                    <w:tr2bl w:val="nil"/>
                  </w:tcBorders>
                  <w:vAlign w:val="center"/>
                </w:tcPr>
                <w:p w:rsidR="00BC07F0" w:rsidRDefault="00BC07F0">
                  <w:pPr>
                    <w:pStyle w:val="a7"/>
                    <w:rPr>
                      <w:rFonts w:hint="default"/>
                    </w:rPr>
                  </w:pPr>
                </w:p>
              </w:tc>
            </w:tr>
            <w:tr w:rsidR="00BC07F0">
              <w:trPr>
                <w:trHeight w:val="397"/>
                <w:jc w:val="center"/>
              </w:trPr>
              <w:tc>
                <w:tcPr>
                  <w:tcW w:w="874" w:type="dxa"/>
                  <w:tcBorders>
                    <w:tl2br w:val="nil"/>
                    <w:tr2bl w:val="nil"/>
                  </w:tcBorders>
                  <w:vAlign w:val="center"/>
                </w:tcPr>
                <w:p w:rsidR="00BC07F0" w:rsidRDefault="00073EFB">
                  <w:pPr>
                    <w:pStyle w:val="a7"/>
                    <w:rPr>
                      <w:rFonts w:hint="default"/>
                    </w:rPr>
                  </w:pPr>
                  <w:r>
                    <w:t>10</w:t>
                  </w:r>
                </w:p>
              </w:tc>
              <w:tc>
                <w:tcPr>
                  <w:tcW w:w="949" w:type="dxa"/>
                  <w:vMerge/>
                  <w:tcBorders>
                    <w:tl2br w:val="nil"/>
                    <w:tr2bl w:val="nil"/>
                  </w:tcBorders>
                  <w:vAlign w:val="center"/>
                </w:tcPr>
                <w:p w:rsidR="00BC07F0" w:rsidRDefault="00BC07F0">
                  <w:pPr>
                    <w:pStyle w:val="a7"/>
                    <w:rPr>
                      <w:rFonts w:hint="default"/>
                    </w:rPr>
                  </w:pPr>
                </w:p>
              </w:tc>
              <w:tc>
                <w:tcPr>
                  <w:tcW w:w="2017" w:type="dxa"/>
                  <w:tcBorders>
                    <w:tl2br w:val="nil"/>
                    <w:tr2bl w:val="nil"/>
                  </w:tcBorders>
                  <w:vAlign w:val="center"/>
                </w:tcPr>
                <w:p w:rsidR="00BC07F0" w:rsidRDefault="00073EFB">
                  <w:pPr>
                    <w:pStyle w:val="a7"/>
                    <w:rPr>
                      <w:rFonts w:hint="default"/>
                    </w:rPr>
                  </w:pPr>
                  <w:r>
                    <w:t>配套用房</w:t>
                  </w:r>
                </w:p>
              </w:tc>
              <w:tc>
                <w:tcPr>
                  <w:tcW w:w="1218" w:type="dxa"/>
                  <w:tcBorders>
                    <w:tl2br w:val="nil"/>
                    <w:tr2bl w:val="nil"/>
                  </w:tcBorders>
                  <w:vAlign w:val="center"/>
                </w:tcPr>
                <w:p w:rsidR="00BC07F0" w:rsidRDefault="00073EFB">
                  <w:pPr>
                    <w:pStyle w:val="a7"/>
                    <w:rPr>
                      <w:rFonts w:hint="default"/>
                    </w:rPr>
                  </w:pPr>
                  <w:r>
                    <w:t>2927.42</w:t>
                  </w:r>
                </w:p>
              </w:tc>
              <w:tc>
                <w:tcPr>
                  <w:tcW w:w="859" w:type="dxa"/>
                  <w:tcBorders>
                    <w:tl2br w:val="nil"/>
                    <w:tr2bl w:val="nil"/>
                  </w:tcBorders>
                  <w:vAlign w:val="center"/>
                </w:tcPr>
                <w:p w:rsidR="00BC07F0" w:rsidRDefault="00073EFB">
                  <w:pPr>
                    <w:pStyle w:val="a7"/>
                    <w:rPr>
                      <w:rFonts w:hint="default"/>
                    </w:rPr>
                  </w:pPr>
                  <w:r>
                    <w:t>m</w:t>
                  </w:r>
                  <w:r>
                    <w:rPr>
                      <w:vertAlign w:val="superscript"/>
                    </w:rPr>
                    <w:t>2</w:t>
                  </w:r>
                </w:p>
              </w:tc>
              <w:tc>
                <w:tcPr>
                  <w:tcW w:w="2052" w:type="dxa"/>
                  <w:tcBorders>
                    <w:tl2br w:val="nil"/>
                    <w:tr2bl w:val="nil"/>
                  </w:tcBorders>
                  <w:vAlign w:val="center"/>
                </w:tcPr>
                <w:p w:rsidR="00BC07F0" w:rsidRDefault="00BC07F0">
                  <w:pPr>
                    <w:pStyle w:val="a7"/>
                    <w:rPr>
                      <w:rFonts w:hint="default"/>
                    </w:rPr>
                  </w:pPr>
                </w:p>
              </w:tc>
            </w:tr>
            <w:tr w:rsidR="00BC07F0">
              <w:trPr>
                <w:trHeight w:val="397"/>
                <w:jc w:val="center"/>
              </w:trPr>
              <w:tc>
                <w:tcPr>
                  <w:tcW w:w="874" w:type="dxa"/>
                  <w:tcBorders>
                    <w:tl2br w:val="nil"/>
                    <w:tr2bl w:val="nil"/>
                  </w:tcBorders>
                  <w:vAlign w:val="center"/>
                </w:tcPr>
                <w:p w:rsidR="00BC07F0" w:rsidRDefault="00073EFB">
                  <w:pPr>
                    <w:pStyle w:val="a7"/>
                    <w:rPr>
                      <w:rFonts w:hint="default"/>
                    </w:rPr>
                  </w:pPr>
                  <w:r>
                    <w:t>11</w:t>
                  </w:r>
                </w:p>
              </w:tc>
              <w:tc>
                <w:tcPr>
                  <w:tcW w:w="2966" w:type="dxa"/>
                  <w:gridSpan w:val="2"/>
                  <w:tcBorders>
                    <w:tl2br w:val="nil"/>
                    <w:tr2bl w:val="nil"/>
                  </w:tcBorders>
                  <w:vAlign w:val="center"/>
                </w:tcPr>
                <w:p w:rsidR="00BC07F0" w:rsidRDefault="00073EFB">
                  <w:pPr>
                    <w:pStyle w:val="a7"/>
                    <w:rPr>
                      <w:rFonts w:hint="default"/>
                    </w:rPr>
                  </w:pPr>
                  <w:r>
                    <w:t>建筑密度</w:t>
                  </w:r>
                </w:p>
              </w:tc>
              <w:tc>
                <w:tcPr>
                  <w:tcW w:w="1218" w:type="dxa"/>
                  <w:tcBorders>
                    <w:tl2br w:val="nil"/>
                    <w:tr2bl w:val="nil"/>
                  </w:tcBorders>
                  <w:vAlign w:val="center"/>
                </w:tcPr>
                <w:p w:rsidR="00BC07F0" w:rsidRDefault="00073EFB">
                  <w:pPr>
                    <w:pStyle w:val="a7"/>
                    <w:rPr>
                      <w:rFonts w:hint="default"/>
                    </w:rPr>
                  </w:pPr>
                  <w:r>
                    <w:t>1.64%</w:t>
                  </w:r>
                </w:p>
              </w:tc>
              <w:tc>
                <w:tcPr>
                  <w:tcW w:w="859" w:type="dxa"/>
                  <w:tcBorders>
                    <w:tl2br w:val="nil"/>
                    <w:tr2bl w:val="nil"/>
                  </w:tcBorders>
                  <w:vAlign w:val="center"/>
                </w:tcPr>
                <w:p w:rsidR="00BC07F0" w:rsidRDefault="00BC07F0">
                  <w:pPr>
                    <w:pStyle w:val="a7"/>
                    <w:rPr>
                      <w:rFonts w:hint="default"/>
                    </w:rPr>
                  </w:pPr>
                </w:p>
              </w:tc>
              <w:tc>
                <w:tcPr>
                  <w:tcW w:w="2052" w:type="dxa"/>
                  <w:tcBorders>
                    <w:tl2br w:val="nil"/>
                    <w:tr2bl w:val="nil"/>
                  </w:tcBorders>
                  <w:vAlign w:val="center"/>
                </w:tcPr>
                <w:p w:rsidR="00BC07F0" w:rsidRDefault="00BC07F0">
                  <w:pPr>
                    <w:pStyle w:val="a7"/>
                    <w:rPr>
                      <w:rFonts w:hint="default"/>
                    </w:rPr>
                  </w:pPr>
                </w:p>
              </w:tc>
            </w:tr>
            <w:tr w:rsidR="00BC07F0">
              <w:trPr>
                <w:trHeight w:val="397"/>
                <w:jc w:val="center"/>
              </w:trPr>
              <w:tc>
                <w:tcPr>
                  <w:tcW w:w="874" w:type="dxa"/>
                  <w:tcBorders>
                    <w:tl2br w:val="nil"/>
                    <w:tr2bl w:val="nil"/>
                  </w:tcBorders>
                  <w:vAlign w:val="center"/>
                </w:tcPr>
                <w:p w:rsidR="00BC07F0" w:rsidRDefault="00073EFB">
                  <w:pPr>
                    <w:pStyle w:val="a7"/>
                    <w:rPr>
                      <w:rFonts w:hint="default"/>
                    </w:rPr>
                  </w:pPr>
                  <w:r>
                    <w:t>12</w:t>
                  </w:r>
                </w:p>
              </w:tc>
              <w:tc>
                <w:tcPr>
                  <w:tcW w:w="2966" w:type="dxa"/>
                  <w:gridSpan w:val="2"/>
                  <w:tcBorders>
                    <w:tl2br w:val="nil"/>
                    <w:tr2bl w:val="nil"/>
                  </w:tcBorders>
                  <w:vAlign w:val="center"/>
                </w:tcPr>
                <w:p w:rsidR="00BC07F0" w:rsidRDefault="00073EFB">
                  <w:pPr>
                    <w:pStyle w:val="a7"/>
                    <w:rPr>
                      <w:rFonts w:hint="default"/>
                    </w:rPr>
                  </w:pPr>
                  <w:r>
                    <w:t>建筑面积</w:t>
                  </w:r>
                  <w:r>
                    <w:t>/</w:t>
                  </w:r>
                  <w:r>
                    <w:t>建筑占地</w:t>
                  </w:r>
                </w:p>
              </w:tc>
              <w:tc>
                <w:tcPr>
                  <w:tcW w:w="1218" w:type="dxa"/>
                  <w:tcBorders>
                    <w:tl2br w:val="nil"/>
                    <w:tr2bl w:val="nil"/>
                  </w:tcBorders>
                  <w:vAlign w:val="center"/>
                </w:tcPr>
                <w:p w:rsidR="00BC07F0" w:rsidRDefault="00073EFB">
                  <w:pPr>
                    <w:pStyle w:val="a7"/>
                    <w:rPr>
                      <w:rFonts w:hint="default"/>
                    </w:rPr>
                  </w:pPr>
                  <w:r>
                    <w:t>1.49</w:t>
                  </w:r>
                </w:p>
              </w:tc>
              <w:tc>
                <w:tcPr>
                  <w:tcW w:w="859" w:type="dxa"/>
                  <w:tcBorders>
                    <w:tl2br w:val="nil"/>
                    <w:tr2bl w:val="nil"/>
                  </w:tcBorders>
                  <w:vAlign w:val="center"/>
                </w:tcPr>
                <w:p w:rsidR="00BC07F0" w:rsidRDefault="00BC07F0">
                  <w:pPr>
                    <w:pStyle w:val="a7"/>
                    <w:rPr>
                      <w:rFonts w:hint="default"/>
                    </w:rPr>
                  </w:pPr>
                </w:p>
              </w:tc>
              <w:tc>
                <w:tcPr>
                  <w:tcW w:w="2052" w:type="dxa"/>
                  <w:tcBorders>
                    <w:tl2br w:val="nil"/>
                    <w:tr2bl w:val="nil"/>
                  </w:tcBorders>
                  <w:vAlign w:val="center"/>
                </w:tcPr>
                <w:p w:rsidR="00BC07F0" w:rsidRDefault="00073EFB">
                  <w:pPr>
                    <w:pStyle w:val="a7"/>
                    <w:rPr>
                      <w:rFonts w:hint="default"/>
                    </w:rPr>
                  </w:pPr>
                  <w:r>
                    <w:t>≤</w:t>
                  </w:r>
                  <w:r>
                    <w:t>1.5</w:t>
                  </w:r>
                </w:p>
              </w:tc>
            </w:tr>
            <w:tr w:rsidR="00BC07F0">
              <w:trPr>
                <w:trHeight w:val="397"/>
                <w:jc w:val="center"/>
              </w:trPr>
              <w:tc>
                <w:tcPr>
                  <w:tcW w:w="874" w:type="dxa"/>
                  <w:tcBorders>
                    <w:tl2br w:val="nil"/>
                    <w:tr2bl w:val="nil"/>
                  </w:tcBorders>
                  <w:vAlign w:val="center"/>
                </w:tcPr>
                <w:p w:rsidR="00BC07F0" w:rsidRDefault="00073EFB">
                  <w:pPr>
                    <w:pStyle w:val="a7"/>
                    <w:rPr>
                      <w:rFonts w:hint="default"/>
                    </w:rPr>
                  </w:pPr>
                  <w:r>
                    <w:t>13</w:t>
                  </w:r>
                </w:p>
              </w:tc>
              <w:tc>
                <w:tcPr>
                  <w:tcW w:w="2966" w:type="dxa"/>
                  <w:gridSpan w:val="2"/>
                  <w:tcBorders>
                    <w:tl2br w:val="nil"/>
                    <w:tr2bl w:val="nil"/>
                  </w:tcBorders>
                  <w:vAlign w:val="center"/>
                </w:tcPr>
                <w:p w:rsidR="00BC07F0" w:rsidRDefault="00073EFB">
                  <w:pPr>
                    <w:pStyle w:val="a7"/>
                    <w:rPr>
                      <w:rFonts w:hint="default"/>
                    </w:rPr>
                  </w:pPr>
                  <w:r>
                    <w:t>绿地率</w:t>
                  </w:r>
                </w:p>
              </w:tc>
              <w:tc>
                <w:tcPr>
                  <w:tcW w:w="1218" w:type="dxa"/>
                  <w:tcBorders>
                    <w:tl2br w:val="nil"/>
                    <w:tr2bl w:val="nil"/>
                  </w:tcBorders>
                  <w:vAlign w:val="center"/>
                </w:tcPr>
                <w:p w:rsidR="00BC07F0" w:rsidRDefault="00073EFB">
                  <w:pPr>
                    <w:pStyle w:val="a7"/>
                    <w:rPr>
                      <w:rFonts w:hint="default"/>
                    </w:rPr>
                  </w:pPr>
                  <w:r>
                    <w:t>86.15%</w:t>
                  </w:r>
                </w:p>
              </w:tc>
              <w:tc>
                <w:tcPr>
                  <w:tcW w:w="859" w:type="dxa"/>
                  <w:tcBorders>
                    <w:tl2br w:val="nil"/>
                    <w:tr2bl w:val="nil"/>
                  </w:tcBorders>
                  <w:vAlign w:val="center"/>
                </w:tcPr>
                <w:p w:rsidR="00BC07F0" w:rsidRDefault="00BC07F0">
                  <w:pPr>
                    <w:pStyle w:val="a7"/>
                    <w:rPr>
                      <w:rFonts w:hint="default"/>
                    </w:rPr>
                  </w:pPr>
                </w:p>
              </w:tc>
              <w:tc>
                <w:tcPr>
                  <w:tcW w:w="2052" w:type="dxa"/>
                  <w:tcBorders>
                    <w:tl2br w:val="nil"/>
                    <w:tr2bl w:val="nil"/>
                  </w:tcBorders>
                  <w:vAlign w:val="center"/>
                </w:tcPr>
                <w:p w:rsidR="00BC07F0" w:rsidRDefault="00073EFB">
                  <w:pPr>
                    <w:pStyle w:val="a7"/>
                    <w:rPr>
                      <w:rFonts w:hint="default"/>
                    </w:rPr>
                  </w:pPr>
                  <w:r>
                    <w:t>&gt;75%</w:t>
                  </w:r>
                </w:p>
              </w:tc>
            </w:tr>
            <w:tr w:rsidR="00BC07F0">
              <w:trPr>
                <w:trHeight w:val="397"/>
                <w:jc w:val="center"/>
              </w:trPr>
              <w:tc>
                <w:tcPr>
                  <w:tcW w:w="874" w:type="dxa"/>
                  <w:tcBorders>
                    <w:tl2br w:val="nil"/>
                    <w:tr2bl w:val="nil"/>
                  </w:tcBorders>
                  <w:vAlign w:val="center"/>
                </w:tcPr>
                <w:p w:rsidR="00BC07F0" w:rsidRDefault="00073EFB">
                  <w:pPr>
                    <w:pStyle w:val="a7"/>
                    <w:rPr>
                      <w:rFonts w:hint="default"/>
                    </w:rPr>
                  </w:pPr>
                  <w:r>
                    <w:t>14</w:t>
                  </w:r>
                </w:p>
              </w:tc>
              <w:tc>
                <w:tcPr>
                  <w:tcW w:w="2966" w:type="dxa"/>
                  <w:gridSpan w:val="2"/>
                  <w:tcBorders>
                    <w:tl2br w:val="nil"/>
                    <w:tr2bl w:val="nil"/>
                  </w:tcBorders>
                  <w:vAlign w:val="center"/>
                </w:tcPr>
                <w:p w:rsidR="00BC07F0" w:rsidRDefault="00073EFB">
                  <w:pPr>
                    <w:pStyle w:val="a7"/>
                    <w:rPr>
                      <w:rFonts w:hint="default"/>
                    </w:rPr>
                  </w:pPr>
                  <w:r>
                    <w:t>容积率</w:t>
                  </w:r>
                </w:p>
              </w:tc>
              <w:tc>
                <w:tcPr>
                  <w:tcW w:w="1218" w:type="dxa"/>
                  <w:tcBorders>
                    <w:tl2br w:val="nil"/>
                    <w:tr2bl w:val="nil"/>
                  </w:tcBorders>
                  <w:vAlign w:val="center"/>
                </w:tcPr>
                <w:p w:rsidR="00BC07F0" w:rsidRDefault="00073EFB">
                  <w:pPr>
                    <w:pStyle w:val="a7"/>
                    <w:rPr>
                      <w:rFonts w:hint="default"/>
                    </w:rPr>
                  </w:pPr>
                  <w:r>
                    <w:t>0.02</w:t>
                  </w:r>
                </w:p>
              </w:tc>
              <w:tc>
                <w:tcPr>
                  <w:tcW w:w="859" w:type="dxa"/>
                  <w:tcBorders>
                    <w:tl2br w:val="nil"/>
                    <w:tr2bl w:val="nil"/>
                  </w:tcBorders>
                  <w:vAlign w:val="center"/>
                </w:tcPr>
                <w:p w:rsidR="00BC07F0" w:rsidRDefault="00BC07F0">
                  <w:pPr>
                    <w:pStyle w:val="a7"/>
                    <w:rPr>
                      <w:rFonts w:hint="default"/>
                    </w:rPr>
                  </w:pPr>
                </w:p>
              </w:tc>
              <w:tc>
                <w:tcPr>
                  <w:tcW w:w="2052" w:type="dxa"/>
                  <w:tcBorders>
                    <w:tl2br w:val="nil"/>
                    <w:tr2bl w:val="nil"/>
                  </w:tcBorders>
                  <w:vAlign w:val="center"/>
                </w:tcPr>
                <w:p w:rsidR="00BC07F0" w:rsidRDefault="00BC07F0">
                  <w:pPr>
                    <w:pStyle w:val="a7"/>
                    <w:rPr>
                      <w:rFonts w:hint="default"/>
                    </w:rPr>
                  </w:pPr>
                </w:p>
              </w:tc>
            </w:tr>
            <w:tr w:rsidR="00BC07F0">
              <w:trPr>
                <w:trHeight w:val="397"/>
                <w:jc w:val="center"/>
              </w:trPr>
              <w:tc>
                <w:tcPr>
                  <w:tcW w:w="874" w:type="dxa"/>
                  <w:tcBorders>
                    <w:tl2br w:val="nil"/>
                    <w:tr2bl w:val="nil"/>
                  </w:tcBorders>
                  <w:vAlign w:val="center"/>
                </w:tcPr>
                <w:p w:rsidR="00BC07F0" w:rsidRDefault="00073EFB">
                  <w:pPr>
                    <w:pStyle w:val="a7"/>
                    <w:rPr>
                      <w:rFonts w:hint="default"/>
                    </w:rPr>
                  </w:pPr>
                  <w:r>
                    <w:t>15</w:t>
                  </w:r>
                </w:p>
              </w:tc>
              <w:tc>
                <w:tcPr>
                  <w:tcW w:w="2966" w:type="dxa"/>
                  <w:gridSpan w:val="2"/>
                  <w:tcBorders>
                    <w:tl2br w:val="nil"/>
                    <w:tr2bl w:val="nil"/>
                  </w:tcBorders>
                  <w:vAlign w:val="center"/>
                </w:tcPr>
                <w:p w:rsidR="00BC07F0" w:rsidRDefault="00073EFB">
                  <w:pPr>
                    <w:pStyle w:val="a7"/>
                    <w:rPr>
                      <w:rFonts w:hint="default"/>
                    </w:rPr>
                  </w:pPr>
                  <w:r>
                    <w:t>机动车停车</w:t>
                  </w:r>
                  <w:r>
                    <w:t>（</w:t>
                  </w:r>
                  <w:r>
                    <w:t>地上</w:t>
                  </w:r>
                  <w:r>
                    <w:t>）</w:t>
                  </w:r>
                </w:p>
              </w:tc>
              <w:tc>
                <w:tcPr>
                  <w:tcW w:w="1218" w:type="dxa"/>
                  <w:tcBorders>
                    <w:tl2br w:val="nil"/>
                    <w:tr2bl w:val="nil"/>
                  </w:tcBorders>
                  <w:vAlign w:val="center"/>
                </w:tcPr>
                <w:p w:rsidR="00BC07F0" w:rsidRDefault="00073EFB">
                  <w:pPr>
                    <w:pStyle w:val="a7"/>
                    <w:rPr>
                      <w:rFonts w:hint="default"/>
                    </w:rPr>
                  </w:pPr>
                  <w:r>
                    <w:t>100</w:t>
                  </w:r>
                </w:p>
              </w:tc>
              <w:tc>
                <w:tcPr>
                  <w:tcW w:w="859" w:type="dxa"/>
                  <w:tcBorders>
                    <w:tl2br w:val="nil"/>
                    <w:tr2bl w:val="nil"/>
                  </w:tcBorders>
                  <w:vAlign w:val="center"/>
                </w:tcPr>
                <w:p w:rsidR="00BC07F0" w:rsidRDefault="00073EFB">
                  <w:pPr>
                    <w:pStyle w:val="a7"/>
                    <w:rPr>
                      <w:rFonts w:hint="default"/>
                    </w:rPr>
                  </w:pPr>
                  <w:r>
                    <w:t>个</w:t>
                  </w:r>
                </w:p>
              </w:tc>
              <w:tc>
                <w:tcPr>
                  <w:tcW w:w="2052" w:type="dxa"/>
                  <w:tcBorders>
                    <w:tl2br w:val="nil"/>
                    <w:tr2bl w:val="nil"/>
                  </w:tcBorders>
                  <w:vAlign w:val="center"/>
                </w:tcPr>
                <w:p w:rsidR="00BC07F0" w:rsidRDefault="00073EFB">
                  <w:pPr>
                    <w:pStyle w:val="a7"/>
                    <w:rPr>
                      <w:rFonts w:hint="default"/>
                    </w:rPr>
                  </w:pPr>
                  <w:r>
                    <w:t>1</w:t>
                  </w:r>
                  <w:r>
                    <w:t>公顷≥</w:t>
                  </w:r>
                  <w:r>
                    <w:t>7</w:t>
                  </w:r>
                  <w:r>
                    <w:t>个</w:t>
                  </w:r>
                </w:p>
              </w:tc>
            </w:tr>
            <w:tr w:rsidR="00BC07F0">
              <w:trPr>
                <w:trHeight w:val="397"/>
                <w:jc w:val="center"/>
              </w:trPr>
              <w:tc>
                <w:tcPr>
                  <w:tcW w:w="874" w:type="dxa"/>
                  <w:tcBorders>
                    <w:tl2br w:val="nil"/>
                    <w:tr2bl w:val="nil"/>
                  </w:tcBorders>
                  <w:vAlign w:val="center"/>
                </w:tcPr>
                <w:p w:rsidR="00BC07F0" w:rsidRDefault="00073EFB">
                  <w:pPr>
                    <w:pStyle w:val="a7"/>
                    <w:rPr>
                      <w:rFonts w:hint="default"/>
                    </w:rPr>
                  </w:pPr>
                  <w:r>
                    <w:t>16</w:t>
                  </w:r>
                </w:p>
              </w:tc>
              <w:tc>
                <w:tcPr>
                  <w:tcW w:w="2966" w:type="dxa"/>
                  <w:gridSpan w:val="2"/>
                  <w:tcBorders>
                    <w:tl2br w:val="nil"/>
                    <w:tr2bl w:val="nil"/>
                  </w:tcBorders>
                  <w:vAlign w:val="center"/>
                </w:tcPr>
                <w:p w:rsidR="00BC07F0" w:rsidRDefault="00073EFB">
                  <w:pPr>
                    <w:pStyle w:val="a7"/>
                    <w:rPr>
                      <w:rFonts w:hint="default"/>
                    </w:rPr>
                  </w:pPr>
                  <w:r>
                    <w:t>非机动车停车位</w:t>
                  </w:r>
                </w:p>
              </w:tc>
              <w:tc>
                <w:tcPr>
                  <w:tcW w:w="1218" w:type="dxa"/>
                  <w:tcBorders>
                    <w:tl2br w:val="nil"/>
                    <w:tr2bl w:val="nil"/>
                  </w:tcBorders>
                  <w:vAlign w:val="center"/>
                </w:tcPr>
                <w:p w:rsidR="00BC07F0" w:rsidRDefault="00073EFB">
                  <w:pPr>
                    <w:pStyle w:val="a7"/>
                    <w:rPr>
                      <w:rFonts w:hint="default"/>
                    </w:rPr>
                  </w:pPr>
                  <w:r>
                    <w:t>14</w:t>
                  </w:r>
                </w:p>
              </w:tc>
              <w:tc>
                <w:tcPr>
                  <w:tcW w:w="859" w:type="dxa"/>
                  <w:tcBorders>
                    <w:tl2br w:val="nil"/>
                    <w:tr2bl w:val="nil"/>
                  </w:tcBorders>
                  <w:vAlign w:val="center"/>
                </w:tcPr>
                <w:p w:rsidR="00BC07F0" w:rsidRDefault="00BC07F0">
                  <w:pPr>
                    <w:pStyle w:val="a7"/>
                    <w:rPr>
                      <w:rFonts w:hint="default"/>
                    </w:rPr>
                  </w:pPr>
                </w:p>
              </w:tc>
              <w:tc>
                <w:tcPr>
                  <w:tcW w:w="2052" w:type="dxa"/>
                  <w:tcBorders>
                    <w:tl2br w:val="nil"/>
                    <w:tr2bl w:val="nil"/>
                  </w:tcBorders>
                  <w:vAlign w:val="center"/>
                </w:tcPr>
                <w:p w:rsidR="00BC07F0" w:rsidRDefault="00073EFB">
                  <w:pPr>
                    <w:pStyle w:val="a7"/>
                    <w:rPr>
                      <w:rFonts w:hint="default"/>
                    </w:rPr>
                  </w:pPr>
                  <w:r>
                    <w:t>1</w:t>
                  </w:r>
                  <w:r>
                    <w:t>公顷≥</w:t>
                  </w:r>
                  <w:r>
                    <w:t>1</w:t>
                  </w:r>
                  <w:r>
                    <w:t>个</w:t>
                  </w:r>
                </w:p>
              </w:tc>
            </w:tr>
          </w:tbl>
          <w:p w:rsidR="00BC07F0" w:rsidRDefault="00073EFB">
            <w:pPr>
              <w:pStyle w:val="a7"/>
              <w:rPr>
                <w:rFonts w:hint="default"/>
                <w:b/>
                <w:bCs/>
              </w:rPr>
            </w:pPr>
            <w:r>
              <w:rPr>
                <w:b/>
                <w:bCs/>
              </w:rPr>
              <w:t>2.5-2</w:t>
            </w:r>
            <w:r>
              <w:rPr>
                <w:b/>
                <w:bCs/>
              </w:rPr>
              <w:t>铜桥港湿地公园工程量表</w:t>
            </w:r>
          </w:p>
          <w:tbl>
            <w:tblPr>
              <w:tblW w:w="9095" w:type="dxa"/>
              <w:jc w:val="center"/>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Look w:val="04A0"/>
            </w:tblPr>
            <w:tblGrid>
              <w:gridCol w:w="1508"/>
              <w:gridCol w:w="2839"/>
              <w:gridCol w:w="2134"/>
              <w:gridCol w:w="2614"/>
            </w:tblGrid>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序号</w:t>
                  </w:r>
                </w:p>
              </w:tc>
              <w:tc>
                <w:tcPr>
                  <w:tcW w:w="2839" w:type="dxa"/>
                  <w:tcBorders>
                    <w:tl2br w:val="nil"/>
                    <w:tr2bl w:val="nil"/>
                  </w:tcBorders>
                  <w:shd w:val="clear" w:color="auto" w:fill="auto"/>
                  <w:vAlign w:val="center"/>
                </w:tcPr>
                <w:p w:rsidR="00BC07F0" w:rsidRDefault="00073EFB">
                  <w:pPr>
                    <w:pStyle w:val="a7"/>
                    <w:rPr>
                      <w:rFonts w:hint="default"/>
                    </w:rPr>
                  </w:pPr>
                  <w:r>
                    <w:t>分部分项工程</w:t>
                  </w:r>
                </w:p>
              </w:tc>
              <w:tc>
                <w:tcPr>
                  <w:tcW w:w="2134" w:type="dxa"/>
                  <w:tcBorders>
                    <w:tl2br w:val="nil"/>
                    <w:tr2bl w:val="nil"/>
                  </w:tcBorders>
                  <w:shd w:val="clear" w:color="auto" w:fill="auto"/>
                  <w:vAlign w:val="center"/>
                </w:tcPr>
                <w:p w:rsidR="00BC07F0" w:rsidRDefault="00073EFB">
                  <w:pPr>
                    <w:pStyle w:val="a7"/>
                    <w:rPr>
                      <w:rFonts w:hint="default"/>
                    </w:rPr>
                  </w:pPr>
                  <w:r>
                    <w:t>单位</w:t>
                  </w:r>
                </w:p>
              </w:tc>
              <w:tc>
                <w:tcPr>
                  <w:tcW w:w="2614" w:type="dxa"/>
                  <w:tcBorders>
                    <w:tl2br w:val="nil"/>
                    <w:tr2bl w:val="nil"/>
                  </w:tcBorders>
                  <w:shd w:val="clear" w:color="auto" w:fill="auto"/>
                  <w:vAlign w:val="center"/>
                </w:tcPr>
                <w:p w:rsidR="00BC07F0" w:rsidRDefault="00073EFB">
                  <w:pPr>
                    <w:pStyle w:val="a7"/>
                    <w:rPr>
                      <w:rFonts w:hint="default"/>
                    </w:rPr>
                  </w:pPr>
                  <w:r>
                    <w:t>工程量</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1</w:t>
                  </w:r>
                </w:p>
              </w:tc>
              <w:tc>
                <w:tcPr>
                  <w:tcW w:w="2839" w:type="dxa"/>
                  <w:tcBorders>
                    <w:tl2br w:val="nil"/>
                    <w:tr2bl w:val="nil"/>
                  </w:tcBorders>
                  <w:shd w:val="clear" w:color="auto" w:fill="auto"/>
                  <w:vAlign w:val="center"/>
                </w:tcPr>
                <w:p w:rsidR="00BC07F0" w:rsidRDefault="00073EFB">
                  <w:pPr>
                    <w:pStyle w:val="a7"/>
                    <w:rPr>
                      <w:rFonts w:hint="default"/>
                    </w:rPr>
                  </w:pPr>
                  <w:r>
                    <w:t>前期工作</w:t>
                  </w:r>
                </w:p>
              </w:tc>
              <w:tc>
                <w:tcPr>
                  <w:tcW w:w="2134" w:type="dxa"/>
                  <w:tcBorders>
                    <w:tl2br w:val="nil"/>
                    <w:tr2bl w:val="nil"/>
                  </w:tcBorders>
                  <w:shd w:val="clear" w:color="auto" w:fill="auto"/>
                  <w:vAlign w:val="center"/>
                </w:tcPr>
                <w:p w:rsidR="00BC07F0" w:rsidRDefault="00BC07F0">
                  <w:pPr>
                    <w:pStyle w:val="a7"/>
                    <w:rPr>
                      <w:rFonts w:hint="default"/>
                    </w:rPr>
                  </w:pPr>
                </w:p>
              </w:tc>
              <w:tc>
                <w:tcPr>
                  <w:tcW w:w="2614" w:type="dxa"/>
                  <w:tcBorders>
                    <w:tl2br w:val="nil"/>
                    <w:tr2bl w:val="nil"/>
                  </w:tcBorders>
                  <w:shd w:val="clear" w:color="auto" w:fill="auto"/>
                  <w:vAlign w:val="center"/>
                </w:tcPr>
                <w:p w:rsidR="00BC07F0" w:rsidRDefault="00BC07F0">
                  <w:pPr>
                    <w:pStyle w:val="a7"/>
                    <w:rPr>
                      <w:rFonts w:hint="default"/>
                    </w:rPr>
                  </w:pP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1.1</w:t>
                  </w:r>
                </w:p>
              </w:tc>
              <w:tc>
                <w:tcPr>
                  <w:tcW w:w="2839" w:type="dxa"/>
                  <w:tcBorders>
                    <w:tl2br w:val="nil"/>
                    <w:tr2bl w:val="nil"/>
                  </w:tcBorders>
                  <w:shd w:val="clear" w:color="auto" w:fill="auto"/>
                  <w:vAlign w:val="center"/>
                </w:tcPr>
                <w:p w:rsidR="00BC07F0" w:rsidRDefault="00073EFB">
                  <w:pPr>
                    <w:pStyle w:val="a7"/>
                    <w:rPr>
                      <w:rFonts w:hint="default"/>
                    </w:rPr>
                  </w:pPr>
                  <w:r>
                    <w:t>场地垃圾清理外运</w:t>
                  </w:r>
                </w:p>
              </w:tc>
              <w:tc>
                <w:tcPr>
                  <w:tcW w:w="2134" w:type="dxa"/>
                  <w:tcBorders>
                    <w:tl2br w:val="nil"/>
                    <w:tr2bl w:val="nil"/>
                  </w:tcBorders>
                  <w:shd w:val="clear" w:color="auto" w:fill="auto"/>
                  <w:vAlign w:val="center"/>
                </w:tcPr>
                <w:p w:rsidR="00BC07F0" w:rsidRDefault="00073EFB">
                  <w:pPr>
                    <w:pStyle w:val="a7"/>
                    <w:rPr>
                      <w:rFonts w:hint="default"/>
                    </w:rPr>
                  </w:pPr>
                  <w:r>
                    <w:t>m</w:t>
                  </w:r>
                  <w:r>
                    <w:rPr>
                      <w:vertAlign w:val="superscript"/>
                    </w:rPr>
                    <w:t>3</w:t>
                  </w:r>
                </w:p>
              </w:tc>
              <w:tc>
                <w:tcPr>
                  <w:tcW w:w="2614" w:type="dxa"/>
                  <w:tcBorders>
                    <w:tl2br w:val="nil"/>
                    <w:tr2bl w:val="nil"/>
                  </w:tcBorders>
                  <w:shd w:val="clear" w:color="auto" w:fill="auto"/>
                  <w:vAlign w:val="center"/>
                </w:tcPr>
                <w:p w:rsidR="00BC07F0" w:rsidRDefault="00073EFB">
                  <w:pPr>
                    <w:pStyle w:val="a7"/>
                    <w:rPr>
                      <w:rFonts w:hint="default"/>
                    </w:rPr>
                  </w:pPr>
                  <w:r>
                    <w:t>26000</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1.2</w:t>
                  </w:r>
                </w:p>
              </w:tc>
              <w:tc>
                <w:tcPr>
                  <w:tcW w:w="2839" w:type="dxa"/>
                  <w:tcBorders>
                    <w:tl2br w:val="nil"/>
                    <w:tr2bl w:val="nil"/>
                  </w:tcBorders>
                  <w:shd w:val="clear" w:color="auto" w:fill="auto"/>
                  <w:vAlign w:val="center"/>
                </w:tcPr>
                <w:p w:rsidR="00BC07F0" w:rsidRDefault="00073EFB">
                  <w:pPr>
                    <w:pStyle w:val="a7"/>
                    <w:rPr>
                      <w:rFonts w:hint="default"/>
                    </w:rPr>
                  </w:pPr>
                  <w:r>
                    <w:t>绿化清表</w:t>
                  </w:r>
                </w:p>
              </w:tc>
              <w:tc>
                <w:tcPr>
                  <w:tcW w:w="2134" w:type="dxa"/>
                  <w:tcBorders>
                    <w:tl2br w:val="nil"/>
                    <w:tr2bl w:val="nil"/>
                  </w:tcBorders>
                  <w:shd w:val="clear" w:color="auto" w:fill="auto"/>
                  <w:vAlign w:val="center"/>
                </w:tcPr>
                <w:p w:rsidR="00BC07F0" w:rsidRDefault="00073EFB">
                  <w:pPr>
                    <w:pStyle w:val="a7"/>
                    <w:rPr>
                      <w:rFonts w:hint="default"/>
                    </w:rPr>
                  </w:pPr>
                  <w:r>
                    <w:t>m</w:t>
                  </w:r>
                  <w:r>
                    <w:rPr>
                      <w:vertAlign w:val="superscript"/>
                    </w:rPr>
                    <w:t>3</w:t>
                  </w:r>
                </w:p>
              </w:tc>
              <w:tc>
                <w:tcPr>
                  <w:tcW w:w="2614" w:type="dxa"/>
                  <w:tcBorders>
                    <w:tl2br w:val="nil"/>
                    <w:tr2bl w:val="nil"/>
                  </w:tcBorders>
                  <w:shd w:val="clear" w:color="auto" w:fill="auto"/>
                  <w:vAlign w:val="center"/>
                </w:tcPr>
                <w:p w:rsidR="00BC07F0" w:rsidRDefault="00073EFB">
                  <w:pPr>
                    <w:pStyle w:val="a7"/>
                    <w:rPr>
                      <w:rFonts w:hint="default"/>
                    </w:rPr>
                  </w:pPr>
                  <w:r>
                    <w:t>28495</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1.3</w:t>
                  </w:r>
                </w:p>
              </w:tc>
              <w:tc>
                <w:tcPr>
                  <w:tcW w:w="2839" w:type="dxa"/>
                  <w:tcBorders>
                    <w:tl2br w:val="nil"/>
                    <w:tr2bl w:val="nil"/>
                  </w:tcBorders>
                  <w:shd w:val="clear" w:color="auto" w:fill="auto"/>
                  <w:vAlign w:val="center"/>
                </w:tcPr>
                <w:p w:rsidR="00BC07F0" w:rsidRDefault="00073EFB">
                  <w:pPr>
                    <w:pStyle w:val="a7"/>
                    <w:rPr>
                      <w:rFonts w:hint="default"/>
                    </w:rPr>
                  </w:pPr>
                  <w:r>
                    <w:t>池塘清淤</w:t>
                  </w:r>
                </w:p>
              </w:tc>
              <w:tc>
                <w:tcPr>
                  <w:tcW w:w="2134" w:type="dxa"/>
                  <w:tcBorders>
                    <w:tl2br w:val="nil"/>
                    <w:tr2bl w:val="nil"/>
                  </w:tcBorders>
                  <w:shd w:val="clear" w:color="auto" w:fill="auto"/>
                  <w:vAlign w:val="center"/>
                </w:tcPr>
                <w:p w:rsidR="00BC07F0" w:rsidRDefault="00073EFB">
                  <w:pPr>
                    <w:pStyle w:val="a7"/>
                    <w:rPr>
                      <w:rFonts w:hint="default"/>
                    </w:rPr>
                  </w:pPr>
                  <w:r>
                    <w:t>m</w:t>
                  </w:r>
                  <w:r>
                    <w:rPr>
                      <w:vertAlign w:val="superscript"/>
                    </w:rPr>
                    <w:t>3</w:t>
                  </w:r>
                </w:p>
              </w:tc>
              <w:tc>
                <w:tcPr>
                  <w:tcW w:w="2614" w:type="dxa"/>
                  <w:tcBorders>
                    <w:tl2br w:val="nil"/>
                    <w:tr2bl w:val="nil"/>
                  </w:tcBorders>
                  <w:shd w:val="clear" w:color="auto" w:fill="auto"/>
                  <w:vAlign w:val="center"/>
                </w:tcPr>
                <w:p w:rsidR="00BC07F0" w:rsidRDefault="00073EFB">
                  <w:pPr>
                    <w:pStyle w:val="a7"/>
                    <w:rPr>
                      <w:rFonts w:hint="default"/>
                    </w:rPr>
                  </w:pPr>
                  <w:r>
                    <w:t>56661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1.4</w:t>
                  </w:r>
                </w:p>
              </w:tc>
              <w:tc>
                <w:tcPr>
                  <w:tcW w:w="2839" w:type="dxa"/>
                  <w:tcBorders>
                    <w:tl2br w:val="nil"/>
                    <w:tr2bl w:val="nil"/>
                  </w:tcBorders>
                  <w:shd w:val="clear" w:color="auto" w:fill="auto"/>
                  <w:vAlign w:val="center"/>
                </w:tcPr>
                <w:p w:rsidR="00BC07F0" w:rsidRDefault="00073EFB">
                  <w:pPr>
                    <w:pStyle w:val="a7"/>
                    <w:rPr>
                      <w:rFonts w:hint="default"/>
                    </w:rPr>
                  </w:pPr>
                  <w:r>
                    <w:t>机械挖填方</w:t>
                  </w:r>
                </w:p>
              </w:tc>
              <w:tc>
                <w:tcPr>
                  <w:tcW w:w="2134" w:type="dxa"/>
                  <w:tcBorders>
                    <w:tl2br w:val="nil"/>
                    <w:tr2bl w:val="nil"/>
                  </w:tcBorders>
                  <w:shd w:val="clear" w:color="auto" w:fill="auto"/>
                  <w:vAlign w:val="center"/>
                </w:tcPr>
                <w:p w:rsidR="00BC07F0" w:rsidRDefault="00073EFB">
                  <w:pPr>
                    <w:pStyle w:val="a7"/>
                    <w:rPr>
                      <w:rFonts w:hint="default"/>
                    </w:rPr>
                  </w:pPr>
                  <w:r>
                    <w:t>m</w:t>
                  </w:r>
                  <w:r>
                    <w:rPr>
                      <w:vertAlign w:val="superscript"/>
                    </w:rPr>
                    <w:t>3</w:t>
                  </w:r>
                </w:p>
              </w:tc>
              <w:tc>
                <w:tcPr>
                  <w:tcW w:w="2614" w:type="dxa"/>
                  <w:tcBorders>
                    <w:tl2br w:val="nil"/>
                    <w:tr2bl w:val="nil"/>
                  </w:tcBorders>
                  <w:shd w:val="clear" w:color="auto" w:fill="auto"/>
                  <w:vAlign w:val="center"/>
                </w:tcPr>
                <w:p w:rsidR="00BC07F0" w:rsidRDefault="00073EFB">
                  <w:pPr>
                    <w:pStyle w:val="a7"/>
                    <w:rPr>
                      <w:rFonts w:hint="default"/>
                    </w:rPr>
                  </w:pPr>
                  <w:r>
                    <w:t>52156</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2</w:t>
                  </w:r>
                </w:p>
              </w:tc>
              <w:tc>
                <w:tcPr>
                  <w:tcW w:w="2839" w:type="dxa"/>
                  <w:tcBorders>
                    <w:tl2br w:val="nil"/>
                    <w:tr2bl w:val="nil"/>
                  </w:tcBorders>
                  <w:shd w:val="clear" w:color="auto" w:fill="auto"/>
                  <w:vAlign w:val="center"/>
                </w:tcPr>
                <w:p w:rsidR="00BC07F0" w:rsidRDefault="00073EFB">
                  <w:pPr>
                    <w:pStyle w:val="a7"/>
                    <w:rPr>
                      <w:rFonts w:hint="default"/>
                    </w:rPr>
                  </w:pPr>
                  <w:r>
                    <w:t>园林园建工程</w:t>
                  </w:r>
                </w:p>
              </w:tc>
              <w:tc>
                <w:tcPr>
                  <w:tcW w:w="2134" w:type="dxa"/>
                  <w:tcBorders>
                    <w:tl2br w:val="nil"/>
                    <w:tr2bl w:val="nil"/>
                  </w:tcBorders>
                  <w:shd w:val="clear" w:color="auto" w:fill="auto"/>
                  <w:vAlign w:val="center"/>
                </w:tcPr>
                <w:p w:rsidR="00BC07F0" w:rsidRDefault="00BC07F0">
                  <w:pPr>
                    <w:pStyle w:val="a7"/>
                    <w:rPr>
                      <w:rFonts w:hint="default"/>
                    </w:rPr>
                  </w:pPr>
                </w:p>
              </w:tc>
              <w:tc>
                <w:tcPr>
                  <w:tcW w:w="2614" w:type="dxa"/>
                  <w:tcBorders>
                    <w:tl2br w:val="nil"/>
                    <w:tr2bl w:val="nil"/>
                  </w:tcBorders>
                  <w:shd w:val="clear" w:color="auto" w:fill="auto"/>
                  <w:vAlign w:val="center"/>
                </w:tcPr>
                <w:p w:rsidR="00BC07F0" w:rsidRDefault="00BC07F0">
                  <w:pPr>
                    <w:pStyle w:val="a7"/>
                    <w:rPr>
                      <w:rFonts w:hint="default"/>
                    </w:rPr>
                  </w:pP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2.1</w:t>
                  </w:r>
                </w:p>
              </w:tc>
              <w:tc>
                <w:tcPr>
                  <w:tcW w:w="2839" w:type="dxa"/>
                  <w:tcBorders>
                    <w:tl2br w:val="nil"/>
                    <w:tr2bl w:val="nil"/>
                  </w:tcBorders>
                  <w:shd w:val="clear" w:color="auto" w:fill="auto"/>
                  <w:vAlign w:val="center"/>
                </w:tcPr>
                <w:p w:rsidR="00BC07F0" w:rsidRDefault="00073EFB">
                  <w:pPr>
                    <w:pStyle w:val="a7"/>
                    <w:rPr>
                      <w:rFonts w:hint="default"/>
                    </w:rPr>
                  </w:pPr>
                  <w:r>
                    <w:t>人行铺装</w:t>
                  </w:r>
                </w:p>
              </w:tc>
              <w:tc>
                <w:tcPr>
                  <w:tcW w:w="2134" w:type="dxa"/>
                  <w:tcBorders>
                    <w:tl2br w:val="nil"/>
                    <w:tr2bl w:val="nil"/>
                  </w:tcBorders>
                  <w:shd w:val="clear" w:color="auto" w:fill="auto"/>
                  <w:vAlign w:val="center"/>
                </w:tcPr>
                <w:p w:rsidR="00BC07F0" w:rsidRDefault="00073EFB">
                  <w:pPr>
                    <w:pStyle w:val="a7"/>
                    <w:rPr>
                      <w:rFonts w:hint="default"/>
                    </w:rPr>
                  </w:pPr>
                  <w:r>
                    <w:t>m</w:t>
                  </w:r>
                  <w:r>
                    <w:rPr>
                      <w:vertAlign w:val="superscript"/>
                    </w:rPr>
                    <w:t>2</w:t>
                  </w:r>
                </w:p>
              </w:tc>
              <w:tc>
                <w:tcPr>
                  <w:tcW w:w="2614" w:type="dxa"/>
                  <w:tcBorders>
                    <w:tl2br w:val="nil"/>
                    <w:tr2bl w:val="nil"/>
                  </w:tcBorders>
                  <w:shd w:val="clear" w:color="auto" w:fill="auto"/>
                  <w:vAlign w:val="center"/>
                </w:tcPr>
                <w:p w:rsidR="00BC07F0" w:rsidRDefault="00073EFB">
                  <w:pPr>
                    <w:pStyle w:val="a7"/>
                    <w:rPr>
                      <w:rFonts w:hint="default"/>
                    </w:rPr>
                  </w:pPr>
                  <w:r>
                    <w:t>1280</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2.2</w:t>
                  </w:r>
                </w:p>
              </w:tc>
              <w:tc>
                <w:tcPr>
                  <w:tcW w:w="2839" w:type="dxa"/>
                  <w:tcBorders>
                    <w:tl2br w:val="nil"/>
                    <w:tr2bl w:val="nil"/>
                  </w:tcBorders>
                  <w:shd w:val="clear" w:color="auto" w:fill="auto"/>
                  <w:vAlign w:val="center"/>
                </w:tcPr>
                <w:p w:rsidR="00BC07F0" w:rsidRDefault="00073EFB">
                  <w:pPr>
                    <w:pStyle w:val="a7"/>
                    <w:rPr>
                      <w:rFonts w:hint="default"/>
                    </w:rPr>
                  </w:pPr>
                  <w:r>
                    <w:t>广场铺装</w:t>
                  </w:r>
                </w:p>
              </w:tc>
              <w:tc>
                <w:tcPr>
                  <w:tcW w:w="2134" w:type="dxa"/>
                  <w:tcBorders>
                    <w:tl2br w:val="nil"/>
                    <w:tr2bl w:val="nil"/>
                  </w:tcBorders>
                  <w:shd w:val="clear" w:color="auto" w:fill="auto"/>
                  <w:vAlign w:val="center"/>
                </w:tcPr>
                <w:p w:rsidR="00BC07F0" w:rsidRDefault="00073EFB">
                  <w:pPr>
                    <w:pStyle w:val="a7"/>
                    <w:rPr>
                      <w:rFonts w:hint="default"/>
                    </w:rPr>
                  </w:pPr>
                  <w:r>
                    <w:t>m</w:t>
                  </w:r>
                  <w:r>
                    <w:rPr>
                      <w:vertAlign w:val="superscript"/>
                    </w:rPr>
                    <w:t>2</w:t>
                  </w:r>
                </w:p>
              </w:tc>
              <w:tc>
                <w:tcPr>
                  <w:tcW w:w="2614" w:type="dxa"/>
                  <w:tcBorders>
                    <w:tl2br w:val="nil"/>
                    <w:tr2bl w:val="nil"/>
                  </w:tcBorders>
                  <w:shd w:val="clear" w:color="auto" w:fill="auto"/>
                  <w:vAlign w:val="center"/>
                </w:tcPr>
                <w:p w:rsidR="00BC07F0" w:rsidRDefault="00073EFB">
                  <w:pPr>
                    <w:pStyle w:val="a7"/>
                    <w:rPr>
                      <w:rFonts w:hint="default"/>
                    </w:rPr>
                  </w:pPr>
                  <w:r>
                    <w:t>7130</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2.3</w:t>
                  </w:r>
                </w:p>
              </w:tc>
              <w:tc>
                <w:tcPr>
                  <w:tcW w:w="2839" w:type="dxa"/>
                  <w:tcBorders>
                    <w:tl2br w:val="nil"/>
                    <w:tr2bl w:val="nil"/>
                  </w:tcBorders>
                  <w:shd w:val="clear" w:color="auto" w:fill="auto"/>
                  <w:vAlign w:val="center"/>
                </w:tcPr>
                <w:p w:rsidR="00BC07F0" w:rsidRDefault="00073EFB">
                  <w:pPr>
                    <w:pStyle w:val="a7"/>
                    <w:rPr>
                      <w:rFonts w:hint="default"/>
                    </w:rPr>
                  </w:pPr>
                  <w:r>
                    <w:t>广场主构筑物</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2.4</w:t>
                  </w:r>
                </w:p>
              </w:tc>
              <w:tc>
                <w:tcPr>
                  <w:tcW w:w="2839" w:type="dxa"/>
                  <w:tcBorders>
                    <w:tl2br w:val="nil"/>
                    <w:tr2bl w:val="nil"/>
                  </w:tcBorders>
                  <w:shd w:val="clear" w:color="auto" w:fill="auto"/>
                  <w:vAlign w:val="center"/>
                </w:tcPr>
                <w:p w:rsidR="00BC07F0" w:rsidRDefault="00073EFB">
                  <w:pPr>
                    <w:pStyle w:val="a7"/>
                    <w:rPr>
                      <w:rFonts w:hint="default"/>
                    </w:rPr>
                  </w:pPr>
                  <w:r>
                    <w:t>游乐场地</w:t>
                  </w:r>
                </w:p>
              </w:tc>
              <w:tc>
                <w:tcPr>
                  <w:tcW w:w="2134" w:type="dxa"/>
                  <w:tcBorders>
                    <w:tl2br w:val="nil"/>
                    <w:tr2bl w:val="nil"/>
                  </w:tcBorders>
                  <w:shd w:val="clear" w:color="auto" w:fill="auto"/>
                  <w:vAlign w:val="center"/>
                </w:tcPr>
                <w:p w:rsidR="00BC07F0" w:rsidRDefault="00073EFB">
                  <w:pPr>
                    <w:pStyle w:val="a7"/>
                    <w:rPr>
                      <w:rFonts w:hint="default"/>
                    </w:rPr>
                  </w:pPr>
                  <w:r>
                    <w:t>m</w:t>
                  </w:r>
                  <w:r>
                    <w:rPr>
                      <w:vertAlign w:val="superscript"/>
                    </w:rPr>
                    <w:t>2</w:t>
                  </w:r>
                </w:p>
              </w:tc>
              <w:tc>
                <w:tcPr>
                  <w:tcW w:w="2614" w:type="dxa"/>
                  <w:tcBorders>
                    <w:tl2br w:val="nil"/>
                    <w:tr2bl w:val="nil"/>
                  </w:tcBorders>
                  <w:shd w:val="clear" w:color="auto" w:fill="auto"/>
                  <w:vAlign w:val="center"/>
                </w:tcPr>
                <w:p w:rsidR="00BC07F0" w:rsidRDefault="00073EFB">
                  <w:pPr>
                    <w:pStyle w:val="a7"/>
                    <w:rPr>
                      <w:rFonts w:hint="default"/>
                    </w:rPr>
                  </w:pPr>
                  <w:r>
                    <w:t>655</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2.5</w:t>
                  </w:r>
                </w:p>
              </w:tc>
              <w:tc>
                <w:tcPr>
                  <w:tcW w:w="2839" w:type="dxa"/>
                  <w:tcBorders>
                    <w:tl2br w:val="nil"/>
                    <w:tr2bl w:val="nil"/>
                  </w:tcBorders>
                  <w:shd w:val="clear" w:color="auto" w:fill="auto"/>
                  <w:vAlign w:val="center"/>
                </w:tcPr>
                <w:p w:rsidR="00BC07F0" w:rsidRDefault="00073EFB">
                  <w:pPr>
                    <w:pStyle w:val="a7"/>
                    <w:rPr>
                      <w:rFonts w:hint="default"/>
                    </w:rPr>
                  </w:pPr>
                  <w:r>
                    <w:t>道路沥青</w:t>
                  </w:r>
                </w:p>
              </w:tc>
              <w:tc>
                <w:tcPr>
                  <w:tcW w:w="2134" w:type="dxa"/>
                  <w:tcBorders>
                    <w:tl2br w:val="nil"/>
                    <w:tr2bl w:val="nil"/>
                  </w:tcBorders>
                  <w:shd w:val="clear" w:color="auto" w:fill="auto"/>
                  <w:vAlign w:val="center"/>
                </w:tcPr>
                <w:p w:rsidR="00BC07F0" w:rsidRDefault="00073EFB">
                  <w:pPr>
                    <w:pStyle w:val="a7"/>
                    <w:rPr>
                      <w:rFonts w:hint="default"/>
                    </w:rPr>
                  </w:pPr>
                  <w:r>
                    <w:t>m</w:t>
                  </w:r>
                  <w:r>
                    <w:rPr>
                      <w:vertAlign w:val="superscript"/>
                    </w:rPr>
                    <w:t>2</w:t>
                  </w:r>
                </w:p>
              </w:tc>
              <w:tc>
                <w:tcPr>
                  <w:tcW w:w="2614" w:type="dxa"/>
                  <w:tcBorders>
                    <w:tl2br w:val="nil"/>
                    <w:tr2bl w:val="nil"/>
                  </w:tcBorders>
                  <w:shd w:val="clear" w:color="auto" w:fill="auto"/>
                  <w:vAlign w:val="center"/>
                </w:tcPr>
                <w:p w:rsidR="00BC07F0" w:rsidRDefault="00073EFB">
                  <w:pPr>
                    <w:pStyle w:val="a7"/>
                    <w:rPr>
                      <w:rFonts w:hint="default"/>
                    </w:rPr>
                  </w:pPr>
                  <w:r>
                    <w:t>6653</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2.6</w:t>
                  </w:r>
                </w:p>
              </w:tc>
              <w:tc>
                <w:tcPr>
                  <w:tcW w:w="2839" w:type="dxa"/>
                  <w:tcBorders>
                    <w:tl2br w:val="nil"/>
                    <w:tr2bl w:val="nil"/>
                  </w:tcBorders>
                  <w:shd w:val="clear" w:color="auto" w:fill="auto"/>
                  <w:vAlign w:val="center"/>
                </w:tcPr>
                <w:p w:rsidR="00BC07F0" w:rsidRDefault="00073EFB">
                  <w:pPr>
                    <w:pStyle w:val="a7"/>
                    <w:rPr>
                      <w:rFonts w:hint="default"/>
                    </w:rPr>
                  </w:pPr>
                  <w:r>
                    <w:t>道牙</w:t>
                  </w:r>
                </w:p>
              </w:tc>
              <w:tc>
                <w:tcPr>
                  <w:tcW w:w="2134" w:type="dxa"/>
                  <w:tcBorders>
                    <w:tl2br w:val="nil"/>
                    <w:tr2bl w:val="nil"/>
                  </w:tcBorders>
                  <w:shd w:val="clear" w:color="auto" w:fill="auto"/>
                  <w:vAlign w:val="center"/>
                </w:tcPr>
                <w:p w:rsidR="00BC07F0" w:rsidRDefault="00073EFB">
                  <w:pPr>
                    <w:pStyle w:val="a7"/>
                    <w:rPr>
                      <w:rFonts w:hint="default"/>
                    </w:rPr>
                  </w:pPr>
                  <w:r>
                    <w:t>米</w:t>
                  </w:r>
                </w:p>
              </w:tc>
              <w:tc>
                <w:tcPr>
                  <w:tcW w:w="2614" w:type="dxa"/>
                  <w:tcBorders>
                    <w:tl2br w:val="nil"/>
                    <w:tr2bl w:val="nil"/>
                  </w:tcBorders>
                  <w:shd w:val="clear" w:color="auto" w:fill="auto"/>
                  <w:vAlign w:val="center"/>
                </w:tcPr>
                <w:p w:rsidR="00BC07F0" w:rsidRDefault="00073EFB">
                  <w:pPr>
                    <w:pStyle w:val="a7"/>
                    <w:rPr>
                      <w:rFonts w:hint="default"/>
                    </w:rPr>
                  </w:pPr>
                  <w:r>
                    <w:t>3676</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2.7</w:t>
                  </w:r>
                </w:p>
              </w:tc>
              <w:tc>
                <w:tcPr>
                  <w:tcW w:w="2839" w:type="dxa"/>
                  <w:tcBorders>
                    <w:tl2br w:val="nil"/>
                    <w:tr2bl w:val="nil"/>
                  </w:tcBorders>
                  <w:shd w:val="clear" w:color="auto" w:fill="auto"/>
                  <w:vAlign w:val="center"/>
                </w:tcPr>
                <w:p w:rsidR="00BC07F0" w:rsidRDefault="00073EFB">
                  <w:pPr>
                    <w:pStyle w:val="a7"/>
                    <w:rPr>
                      <w:rFonts w:hint="default"/>
                    </w:rPr>
                  </w:pPr>
                  <w:r>
                    <w:t>停车场</w:t>
                  </w:r>
                </w:p>
              </w:tc>
              <w:tc>
                <w:tcPr>
                  <w:tcW w:w="2134" w:type="dxa"/>
                  <w:tcBorders>
                    <w:tl2br w:val="nil"/>
                    <w:tr2bl w:val="nil"/>
                  </w:tcBorders>
                  <w:shd w:val="clear" w:color="auto" w:fill="auto"/>
                  <w:vAlign w:val="center"/>
                </w:tcPr>
                <w:p w:rsidR="00BC07F0" w:rsidRDefault="00073EFB">
                  <w:pPr>
                    <w:pStyle w:val="a7"/>
                    <w:rPr>
                      <w:rFonts w:hint="default"/>
                    </w:rPr>
                  </w:pPr>
                  <w:r>
                    <w:t>m</w:t>
                  </w:r>
                  <w:r>
                    <w:rPr>
                      <w:vertAlign w:val="superscript"/>
                    </w:rPr>
                    <w:t>2</w:t>
                  </w:r>
                </w:p>
              </w:tc>
              <w:tc>
                <w:tcPr>
                  <w:tcW w:w="2614" w:type="dxa"/>
                  <w:tcBorders>
                    <w:tl2br w:val="nil"/>
                    <w:tr2bl w:val="nil"/>
                  </w:tcBorders>
                  <w:shd w:val="clear" w:color="auto" w:fill="auto"/>
                  <w:vAlign w:val="center"/>
                </w:tcPr>
                <w:p w:rsidR="00BC07F0" w:rsidRDefault="00073EFB">
                  <w:pPr>
                    <w:pStyle w:val="a7"/>
                    <w:rPr>
                      <w:rFonts w:hint="default"/>
                    </w:rPr>
                  </w:pPr>
                  <w:r>
                    <w:t>3131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2.8</w:t>
                  </w:r>
                </w:p>
              </w:tc>
              <w:tc>
                <w:tcPr>
                  <w:tcW w:w="2839" w:type="dxa"/>
                  <w:tcBorders>
                    <w:tl2br w:val="nil"/>
                    <w:tr2bl w:val="nil"/>
                  </w:tcBorders>
                  <w:shd w:val="clear" w:color="auto" w:fill="auto"/>
                  <w:vAlign w:val="center"/>
                </w:tcPr>
                <w:p w:rsidR="00BC07F0" w:rsidRDefault="00073EFB">
                  <w:pPr>
                    <w:pStyle w:val="a7"/>
                    <w:rPr>
                      <w:rFonts w:hint="default"/>
                    </w:rPr>
                  </w:pPr>
                  <w:r>
                    <w:t>木平台</w:t>
                  </w:r>
                </w:p>
              </w:tc>
              <w:tc>
                <w:tcPr>
                  <w:tcW w:w="2134" w:type="dxa"/>
                  <w:tcBorders>
                    <w:tl2br w:val="nil"/>
                    <w:tr2bl w:val="nil"/>
                  </w:tcBorders>
                  <w:shd w:val="clear" w:color="auto" w:fill="auto"/>
                  <w:vAlign w:val="center"/>
                </w:tcPr>
                <w:p w:rsidR="00BC07F0" w:rsidRDefault="00073EFB">
                  <w:pPr>
                    <w:pStyle w:val="a7"/>
                    <w:rPr>
                      <w:rFonts w:hint="default"/>
                    </w:rPr>
                  </w:pPr>
                  <w:r>
                    <w:t>m</w:t>
                  </w:r>
                  <w:r>
                    <w:rPr>
                      <w:vertAlign w:val="superscript"/>
                    </w:rPr>
                    <w:t>2</w:t>
                  </w:r>
                </w:p>
              </w:tc>
              <w:tc>
                <w:tcPr>
                  <w:tcW w:w="2614" w:type="dxa"/>
                  <w:tcBorders>
                    <w:tl2br w:val="nil"/>
                    <w:tr2bl w:val="nil"/>
                  </w:tcBorders>
                  <w:shd w:val="clear" w:color="auto" w:fill="auto"/>
                  <w:vAlign w:val="center"/>
                </w:tcPr>
                <w:p w:rsidR="00BC07F0" w:rsidRDefault="00073EFB">
                  <w:pPr>
                    <w:pStyle w:val="a7"/>
                    <w:rPr>
                      <w:rFonts w:hint="default"/>
                    </w:rPr>
                  </w:pPr>
                  <w:r>
                    <w:t>554</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2.9</w:t>
                  </w:r>
                </w:p>
              </w:tc>
              <w:tc>
                <w:tcPr>
                  <w:tcW w:w="2839" w:type="dxa"/>
                  <w:tcBorders>
                    <w:tl2br w:val="nil"/>
                    <w:tr2bl w:val="nil"/>
                  </w:tcBorders>
                  <w:shd w:val="clear" w:color="auto" w:fill="auto"/>
                  <w:vAlign w:val="center"/>
                </w:tcPr>
                <w:p w:rsidR="00BC07F0" w:rsidRDefault="00073EFB">
                  <w:pPr>
                    <w:pStyle w:val="a7"/>
                    <w:rPr>
                      <w:rFonts w:hint="default"/>
                    </w:rPr>
                  </w:pPr>
                  <w:r>
                    <w:t>木栈道</w:t>
                  </w:r>
                </w:p>
              </w:tc>
              <w:tc>
                <w:tcPr>
                  <w:tcW w:w="2134" w:type="dxa"/>
                  <w:tcBorders>
                    <w:tl2br w:val="nil"/>
                    <w:tr2bl w:val="nil"/>
                  </w:tcBorders>
                  <w:shd w:val="clear" w:color="auto" w:fill="auto"/>
                  <w:vAlign w:val="center"/>
                </w:tcPr>
                <w:p w:rsidR="00BC07F0" w:rsidRDefault="00073EFB">
                  <w:pPr>
                    <w:pStyle w:val="a7"/>
                    <w:rPr>
                      <w:rFonts w:hint="default"/>
                    </w:rPr>
                  </w:pPr>
                  <w:r>
                    <w:t>m</w:t>
                  </w:r>
                  <w:r>
                    <w:rPr>
                      <w:vertAlign w:val="superscript"/>
                    </w:rPr>
                    <w:t>2</w:t>
                  </w:r>
                </w:p>
              </w:tc>
              <w:tc>
                <w:tcPr>
                  <w:tcW w:w="2614" w:type="dxa"/>
                  <w:tcBorders>
                    <w:tl2br w:val="nil"/>
                    <w:tr2bl w:val="nil"/>
                  </w:tcBorders>
                  <w:shd w:val="clear" w:color="auto" w:fill="auto"/>
                  <w:vAlign w:val="center"/>
                </w:tcPr>
                <w:p w:rsidR="00BC07F0" w:rsidRDefault="00073EFB">
                  <w:pPr>
                    <w:pStyle w:val="a7"/>
                    <w:rPr>
                      <w:rFonts w:hint="default"/>
                    </w:rPr>
                  </w:pPr>
                  <w:r>
                    <w:t>1260</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2.11</w:t>
                  </w:r>
                </w:p>
              </w:tc>
              <w:tc>
                <w:tcPr>
                  <w:tcW w:w="2839" w:type="dxa"/>
                  <w:tcBorders>
                    <w:tl2br w:val="nil"/>
                    <w:tr2bl w:val="nil"/>
                  </w:tcBorders>
                  <w:shd w:val="clear" w:color="auto" w:fill="auto"/>
                  <w:vAlign w:val="center"/>
                </w:tcPr>
                <w:p w:rsidR="00BC07F0" w:rsidRDefault="00073EFB">
                  <w:pPr>
                    <w:pStyle w:val="a7"/>
                    <w:rPr>
                      <w:rFonts w:hint="default"/>
                    </w:rPr>
                  </w:pPr>
                  <w:r>
                    <w:t>景观栏架</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3</w:t>
                  </w:r>
                </w:p>
              </w:tc>
              <w:tc>
                <w:tcPr>
                  <w:tcW w:w="2839" w:type="dxa"/>
                  <w:tcBorders>
                    <w:tl2br w:val="nil"/>
                    <w:tr2bl w:val="nil"/>
                  </w:tcBorders>
                  <w:shd w:val="clear" w:color="auto" w:fill="auto"/>
                  <w:vAlign w:val="center"/>
                </w:tcPr>
                <w:p w:rsidR="00BC07F0" w:rsidRDefault="00073EFB">
                  <w:pPr>
                    <w:pStyle w:val="a7"/>
                    <w:rPr>
                      <w:rFonts w:hint="default"/>
                    </w:rPr>
                  </w:pPr>
                  <w:r>
                    <w:t>园林绿化工程</w:t>
                  </w:r>
                </w:p>
              </w:tc>
              <w:tc>
                <w:tcPr>
                  <w:tcW w:w="2134" w:type="dxa"/>
                  <w:tcBorders>
                    <w:tl2br w:val="nil"/>
                    <w:tr2bl w:val="nil"/>
                  </w:tcBorders>
                  <w:shd w:val="clear" w:color="auto" w:fill="auto"/>
                  <w:vAlign w:val="center"/>
                </w:tcPr>
                <w:p w:rsidR="00BC07F0" w:rsidRDefault="00BC07F0">
                  <w:pPr>
                    <w:pStyle w:val="a7"/>
                    <w:rPr>
                      <w:rFonts w:hint="default"/>
                    </w:rPr>
                  </w:pPr>
                </w:p>
              </w:tc>
              <w:tc>
                <w:tcPr>
                  <w:tcW w:w="2614" w:type="dxa"/>
                  <w:tcBorders>
                    <w:tl2br w:val="nil"/>
                    <w:tr2bl w:val="nil"/>
                  </w:tcBorders>
                  <w:shd w:val="clear" w:color="auto" w:fill="auto"/>
                  <w:vAlign w:val="center"/>
                </w:tcPr>
                <w:p w:rsidR="00BC07F0" w:rsidRDefault="00BC07F0">
                  <w:pPr>
                    <w:pStyle w:val="a7"/>
                    <w:rPr>
                      <w:rFonts w:hint="default"/>
                    </w:rPr>
                  </w:pP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lastRenderedPageBreak/>
                    <w:t>3.1</w:t>
                  </w:r>
                </w:p>
              </w:tc>
              <w:tc>
                <w:tcPr>
                  <w:tcW w:w="2839" w:type="dxa"/>
                  <w:tcBorders>
                    <w:tl2br w:val="nil"/>
                    <w:tr2bl w:val="nil"/>
                  </w:tcBorders>
                  <w:shd w:val="clear" w:color="auto" w:fill="auto"/>
                  <w:vAlign w:val="center"/>
                </w:tcPr>
                <w:p w:rsidR="00BC07F0" w:rsidRDefault="00073EFB">
                  <w:pPr>
                    <w:pStyle w:val="a7"/>
                    <w:rPr>
                      <w:rFonts w:hint="default"/>
                    </w:rPr>
                  </w:pPr>
                  <w:r>
                    <w:t>大乔木</w:t>
                  </w:r>
                </w:p>
              </w:tc>
              <w:tc>
                <w:tcPr>
                  <w:tcW w:w="2134" w:type="dxa"/>
                  <w:tcBorders>
                    <w:tl2br w:val="nil"/>
                    <w:tr2bl w:val="nil"/>
                  </w:tcBorders>
                  <w:shd w:val="clear" w:color="auto" w:fill="auto"/>
                  <w:vAlign w:val="center"/>
                </w:tcPr>
                <w:p w:rsidR="00BC07F0" w:rsidRDefault="00073EFB">
                  <w:pPr>
                    <w:pStyle w:val="a7"/>
                    <w:rPr>
                      <w:rFonts w:hint="default"/>
                    </w:rPr>
                  </w:pPr>
                  <w:r>
                    <w:t>棵</w:t>
                  </w:r>
                </w:p>
              </w:tc>
              <w:tc>
                <w:tcPr>
                  <w:tcW w:w="2614" w:type="dxa"/>
                  <w:tcBorders>
                    <w:tl2br w:val="nil"/>
                    <w:tr2bl w:val="nil"/>
                  </w:tcBorders>
                  <w:shd w:val="clear" w:color="auto" w:fill="auto"/>
                  <w:vAlign w:val="center"/>
                </w:tcPr>
                <w:p w:rsidR="00BC07F0" w:rsidRDefault="00073EFB">
                  <w:pPr>
                    <w:pStyle w:val="a7"/>
                    <w:rPr>
                      <w:rFonts w:hint="default"/>
                    </w:rPr>
                  </w:pPr>
                  <w:r>
                    <w:t>320</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3.2</w:t>
                  </w:r>
                </w:p>
              </w:tc>
              <w:tc>
                <w:tcPr>
                  <w:tcW w:w="2839" w:type="dxa"/>
                  <w:tcBorders>
                    <w:tl2br w:val="nil"/>
                    <w:tr2bl w:val="nil"/>
                  </w:tcBorders>
                  <w:shd w:val="clear" w:color="auto" w:fill="auto"/>
                  <w:vAlign w:val="center"/>
                </w:tcPr>
                <w:p w:rsidR="00BC07F0" w:rsidRDefault="00073EFB">
                  <w:pPr>
                    <w:pStyle w:val="a7"/>
                    <w:rPr>
                      <w:rFonts w:hint="default"/>
                    </w:rPr>
                  </w:pPr>
                  <w:r>
                    <w:t>小乔木</w:t>
                  </w:r>
                </w:p>
              </w:tc>
              <w:tc>
                <w:tcPr>
                  <w:tcW w:w="2134" w:type="dxa"/>
                  <w:tcBorders>
                    <w:tl2br w:val="nil"/>
                    <w:tr2bl w:val="nil"/>
                  </w:tcBorders>
                  <w:shd w:val="clear" w:color="auto" w:fill="auto"/>
                  <w:vAlign w:val="center"/>
                </w:tcPr>
                <w:p w:rsidR="00BC07F0" w:rsidRDefault="00073EFB">
                  <w:pPr>
                    <w:pStyle w:val="a7"/>
                    <w:rPr>
                      <w:rFonts w:hint="default"/>
                    </w:rPr>
                  </w:pPr>
                  <w:r>
                    <w:t>棵</w:t>
                  </w:r>
                </w:p>
              </w:tc>
              <w:tc>
                <w:tcPr>
                  <w:tcW w:w="2614" w:type="dxa"/>
                  <w:tcBorders>
                    <w:tl2br w:val="nil"/>
                    <w:tr2bl w:val="nil"/>
                  </w:tcBorders>
                  <w:shd w:val="clear" w:color="auto" w:fill="auto"/>
                  <w:vAlign w:val="center"/>
                </w:tcPr>
                <w:p w:rsidR="00BC07F0" w:rsidRDefault="00073EFB">
                  <w:pPr>
                    <w:pStyle w:val="a7"/>
                    <w:rPr>
                      <w:rFonts w:hint="default"/>
                    </w:rPr>
                  </w:pPr>
                  <w:r>
                    <w:t>578</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3.3</w:t>
                  </w:r>
                </w:p>
              </w:tc>
              <w:tc>
                <w:tcPr>
                  <w:tcW w:w="2839" w:type="dxa"/>
                  <w:tcBorders>
                    <w:tl2br w:val="nil"/>
                    <w:tr2bl w:val="nil"/>
                  </w:tcBorders>
                  <w:shd w:val="clear" w:color="auto" w:fill="auto"/>
                  <w:vAlign w:val="center"/>
                </w:tcPr>
                <w:p w:rsidR="00BC07F0" w:rsidRDefault="00073EFB">
                  <w:pPr>
                    <w:pStyle w:val="a7"/>
                    <w:rPr>
                      <w:rFonts w:hint="default"/>
                    </w:rPr>
                  </w:pPr>
                  <w:r>
                    <w:t>灌木</w:t>
                  </w:r>
                </w:p>
              </w:tc>
              <w:tc>
                <w:tcPr>
                  <w:tcW w:w="2134" w:type="dxa"/>
                  <w:tcBorders>
                    <w:tl2br w:val="nil"/>
                    <w:tr2bl w:val="nil"/>
                  </w:tcBorders>
                  <w:shd w:val="clear" w:color="auto" w:fill="auto"/>
                  <w:vAlign w:val="center"/>
                </w:tcPr>
                <w:p w:rsidR="00BC07F0" w:rsidRDefault="00073EFB">
                  <w:pPr>
                    <w:pStyle w:val="a7"/>
                    <w:rPr>
                      <w:rFonts w:hint="default"/>
                    </w:rPr>
                  </w:pPr>
                  <w:r>
                    <w:t>棵</w:t>
                  </w:r>
                </w:p>
              </w:tc>
              <w:tc>
                <w:tcPr>
                  <w:tcW w:w="2614" w:type="dxa"/>
                  <w:tcBorders>
                    <w:tl2br w:val="nil"/>
                    <w:tr2bl w:val="nil"/>
                  </w:tcBorders>
                  <w:shd w:val="clear" w:color="auto" w:fill="auto"/>
                  <w:vAlign w:val="center"/>
                </w:tcPr>
                <w:p w:rsidR="00BC07F0" w:rsidRDefault="00073EFB">
                  <w:pPr>
                    <w:pStyle w:val="a7"/>
                    <w:rPr>
                      <w:rFonts w:hint="default"/>
                    </w:rPr>
                  </w:pPr>
                  <w:r>
                    <w:t>3766</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3.4</w:t>
                  </w:r>
                </w:p>
              </w:tc>
              <w:tc>
                <w:tcPr>
                  <w:tcW w:w="2839" w:type="dxa"/>
                  <w:tcBorders>
                    <w:tl2br w:val="nil"/>
                    <w:tr2bl w:val="nil"/>
                  </w:tcBorders>
                  <w:shd w:val="clear" w:color="auto" w:fill="auto"/>
                  <w:vAlign w:val="center"/>
                </w:tcPr>
                <w:p w:rsidR="00BC07F0" w:rsidRDefault="00073EFB">
                  <w:pPr>
                    <w:pStyle w:val="a7"/>
                    <w:rPr>
                      <w:rFonts w:hint="default"/>
                    </w:rPr>
                  </w:pPr>
                  <w:r>
                    <w:t>地被</w:t>
                  </w:r>
                </w:p>
              </w:tc>
              <w:tc>
                <w:tcPr>
                  <w:tcW w:w="2134" w:type="dxa"/>
                  <w:tcBorders>
                    <w:tl2br w:val="nil"/>
                    <w:tr2bl w:val="nil"/>
                  </w:tcBorders>
                  <w:shd w:val="clear" w:color="auto" w:fill="auto"/>
                  <w:vAlign w:val="center"/>
                </w:tcPr>
                <w:p w:rsidR="00BC07F0" w:rsidRDefault="00073EFB">
                  <w:pPr>
                    <w:pStyle w:val="a7"/>
                    <w:rPr>
                      <w:rFonts w:hint="default"/>
                    </w:rPr>
                  </w:pPr>
                  <w:r>
                    <w:t>m</w:t>
                  </w:r>
                  <w:r>
                    <w:rPr>
                      <w:vertAlign w:val="superscript"/>
                    </w:rPr>
                    <w:t>2</w:t>
                  </w:r>
                </w:p>
              </w:tc>
              <w:tc>
                <w:tcPr>
                  <w:tcW w:w="2614" w:type="dxa"/>
                  <w:tcBorders>
                    <w:tl2br w:val="nil"/>
                    <w:tr2bl w:val="nil"/>
                  </w:tcBorders>
                  <w:shd w:val="clear" w:color="auto" w:fill="auto"/>
                  <w:vAlign w:val="center"/>
                </w:tcPr>
                <w:p w:rsidR="00BC07F0" w:rsidRDefault="00073EFB">
                  <w:pPr>
                    <w:pStyle w:val="a7"/>
                    <w:rPr>
                      <w:rFonts w:hint="default"/>
                    </w:rPr>
                  </w:pPr>
                  <w:r>
                    <w:t>58709</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3.5</w:t>
                  </w:r>
                </w:p>
              </w:tc>
              <w:tc>
                <w:tcPr>
                  <w:tcW w:w="2839" w:type="dxa"/>
                  <w:tcBorders>
                    <w:tl2br w:val="nil"/>
                    <w:tr2bl w:val="nil"/>
                  </w:tcBorders>
                  <w:shd w:val="clear" w:color="auto" w:fill="auto"/>
                  <w:vAlign w:val="center"/>
                </w:tcPr>
                <w:p w:rsidR="00BC07F0" w:rsidRDefault="00073EFB">
                  <w:pPr>
                    <w:pStyle w:val="a7"/>
                    <w:rPr>
                      <w:rFonts w:hint="default"/>
                    </w:rPr>
                  </w:pPr>
                  <w:r>
                    <w:t>水生植物</w:t>
                  </w:r>
                </w:p>
              </w:tc>
              <w:tc>
                <w:tcPr>
                  <w:tcW w:w="2134" w:type="dxa"/>
                  <w:tcBorders>
                    <w:tl2br w:val="nil"/>
                    <w:tr2bl w:val="nil"/>
                  </w:tcBorders>
                  <w:shd w:val="clear" w:color="auto" w:fill="auto"/>
                  <w:vAlign w:val="center"/>
                </w:tcPr>
                <w:p w:rsidR="00BC07F0" w:rsidRDefault="00073EFB">
                  <w:pPr>
                    <w:pStyle w:val="a7"/>
                    <w:rPr>
                      <w:rFonts w:hint="default"/>
                    </w:rPr>
                  </w:pPr>
                  <w:r>
                    <w:t>m</w:t>
                  </w:r>
                  <w:r>
                    <w:rPr>
                      <w:vertAlign w:val="superscript"/>
                    </w:rPr>
                    <w:t>2</w:t>
                  </w:r>
                </w:p>
              </w:tc>
              <w:tc>
                <w:tcPr>
                  <w:tcW w:w="2614" w:type="dxa"/>
                  <w:tcBorders>
                    <w:tl2br w:val="nil"/>
                    <w:tr2bl w:val="nil"/>
                  </w:tcBorders>
                  <w:shd w:val="clear" w:color="auto" w:fill="auto"/>
                  <w:vAlign w:val="center"/>
                </w:tcPr>
                <w:p w:rsidR="00BC07F0" w:rsidRDefault="00073EFB">
                  <w:pPr>
                    <w:pStyle w:val="a7"/>
                    <w:rPr>
                      <w:rFonts w:hint="default"/>
                    </w:rPr>
                  </w:pPr>
                  <w:r>
                    <w:t>56661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4</w:t>
                  </w:r>
                </w:p>
              </w:tc>
              <w:tc>
                <w:tcPr>
                  <w:tcW w:w="2839" w:type="dxa"/>
                  <w:tcBorders>
                    <w:tl2br w:val="nil"/>
                    <w:tr2bl w:val="nil"/>
                  </w:tcBorders>
                  <w:shd w:val="clear" w:color="auto" w:fill="auto"/>
                  <w:vAlign w:val="center"/>
                </w:tcPr>
                <w:p w:rsidR="00BC07F0" w:rsidRDefault="00073EFB">
                  <w:pPr>
                    <w:pStyle w:val="a7"/>
                    <w:rPr>
                      <w:rFonts w:hint="default"/>
                    </w:rPr>
                  </w:pPr>
                  <w:r>
                    <w:t>配套设施</w:t>
                  </w:r>
                </w:p>
              </w:tc>
              <w:tc>
                <w:tcPr>
                  <w:tcW w:w="2134" w:type="dxa"/>
                  <w:tcBorders>
                    <w:tl2br w:val="nil"/>
                    <w:tr2bl w:val="nil"/>
                  </w:tcBorders>
                  <w:shd w:val="clear" w:color="auto" w:fill="auto"/>
                  <w:vAlign w:val="center"/>
                </w:tcPr>
                <w:p w:rsidR="00BC07F0" w:rsidRDefault="00BC07F0">
                  <w:pPr>
                    <w:pStyle w:val="a7"/>
                    <w:rPr>
                      <w:rFonts w:hint="default"/>
                    </w:rPr>
                  </w:pPr>
                </w:p>
              </w:tc>
              <w:tc>
                <w:tcPr>
                  <w:tcW w:w="2614" w:type="dxa"/>
                  <w:tcBorders>
                    <w:tl2br w:val="nil"/>
                    <w:tr2bl w:val="nil"/>
                  </w:tcBorders>
                  <w:shd w:val="clear" w:color="auto" w:fill="auto"/>
                  <w:vAlign w:val="center"/>
                </w:tcPr>
                <w:p w:rsidR="00BC07F0" w:rsidRDefault="00BC07F0">
                  <w:pPr>
                    <w:pStyle w:val="a7"/>
                    <w:rPr>
                      <w:rFonts w:hint="default"/>
                    </w:rPr>
                  </w:pP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4.1</w:t>
                  </w:r>
                </w:p>
              </w:tc>
              <w:tc>
                <w:tcPr>
                  <w:tcW w:w="2839" w:type="dxa"/>
                  <w:tcBorders>
                    <w:tl2br w:val="nil"/>
                    <w:tr2bl w:val="nil"/>
                  </w:tcBorders>
                  <w:shd w:val="clear" w:color="auto" w:fill="auto"/>
                  <w:vAlign w:val="center"/>
                </w:tcPr>
                <w:p w:rsidR="00BC07F0" w:rsidRDefault="00073EFB">
                  <w:pPr>
                    <w:pStyle w:val="a7"/>
                    <w:rPr>
                      <w:rFonts w:hint="default"/>
                    </w:rPr>
                  </w:pPr>
                  <w:r>
                    <w:t>条石坐凳</w:t>
                  </w:r>
                </w:p>
              </w:tc>
              <w:tc>
                <w:tcPr>
                  <w:tcW w:w="2134" w:type="dxa"/>
                  <w:tcBorders>
                    <w:tl2br w:val="nil"/>
                    <w:tr2bl w:val="nil"/>
                  </w:tcBorders>
                  <w:shd w:val="clear" w:color="auto" w:fill="auto"/>
                  <w:vAlign w:val="center"/>
                </w:tcPr>
                <w:p w:rsidR="00BC07F0" w:rsidRDefault="00073EFB">
                  <w:pPr>
                    <w:pStyle w:val="a7"/>
                    <w:rPr>
                      <w:rFonts w:hint="default"/>
                    </w:rPr>
                  </w:pPr>
                  <w:r>
                    <w:t>米</w:t>
                  </w:r>
                </w:p>
              </w:tc>
              <w:tc>
                <w:tcPr>
                  <w:tcW w:w="2614" w:type="dxa"/>
                  <w:tcBorders>
                    <w:tl2br w:val="nil"/>
                    <w:tr2bl w:val="nil"/>
                  </w:tcBorders>
                  <w:shd w:val="clear" w:color="auto" w:fill="auto"/>
                  <w:vAlign w:val="center"/>
                </w:tcPr>
                <w:p w:rsidR="00BC07F0" w:rsidRDefault="00073EFB">
                  <w:pPr>
                    <w:pStyle w:val="a7"/>
                    <w:rPr>
                      <w:rFonts w:hint="default"/>
                    </w:rPr>
                  </w:pPr>
                  <w:r>
                    <w:t>310</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4.2</w:t>
                  </w:r>
                </w:p>
              </w:tc>
              <w:tc>
                <w:tcPr>
                  <w:tcW w:w="2839" w:type="dxa"/>
                  <w:tcBorders>
                    <w:tl2br w:val="nil"/>
                    <w:tr2bl w:val="nil"/>
                  </w:tcBorders>
                  <w:shd w:val="clear" w:color="auto" w:fill="auto"/>
                  <w:vAlign w:val="center"/>
                </w:tcPr>
                <w:p w:rsidR="00BC07F0" w:rsidRDefault="00073EFB">
                  <w:pPr>
                    <w:pStyle w:val="a7"/>
                    <w:rPr>
                      <w:rFonts w:hint="default"/>
                    </w:rPr>
                  </w:pPr>
                  <w:r>
                    <w:t>景观坐冀</w:t>
                  </w:r>
                </w:p>
              </w:tc>
              <w:tc>
                <w:tcPr>
                  <w:tcW w:w="2134" w:type="dxa"/>
                  <w:tcBorders>
                    <w:tl2br w:val="nil"/>
                    <w:tr2bl w:val="nil"/>
                  </w:tcBorders>
                  <w:shd w:val="clear" w:color="auto" w:fill="auto"/>
                  <w:vAlign w:val="center"/>
                </w:tcPr>
                <w:p w:rsidR="00BC07F0" w:rsidRDefault="00073EFB">
                  <w:pPr>
                    <w:pStyle w:val="a7"/>
                    <w:rPr>
                      <w:rFonts w:hint="default"/>
                    </w:rPr>
                  </w:pPr>
                  <w:r>
                    <w:t>套</w:t>
                  </w:r>
                </w:p>
              </w:tc>
              <w:tc>
                <w:tcPr>
                  <w:tcW w:w="2614" w:type="dxa"/>
                  <w:tcBorders>
                    <w:tl2br w:val="nil"/>
                    <w:tr2bl w:val="nil"/>
                  </w:tcBorders>
                  <w:shd w:val="clear" w:color="auto" w:fill="auto"/>
                  <w:vAlign w:val="center"/>
                </w:tcPr>
                <w:p w:rsidR="00BC07F0" w:rsidRDefault="00073EFB">
                  <w:pPr>
                    <w:pStyle w:val="a7"/>
                    <w:rPr>
                      <w:rFonts w:hint="default"/>
                    </w:rPr>
                  </w:pPr>
                  <w:r>
                    <w:t>52</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4.3</w:t>
                  </w:r>
                </w:p>
              </w:tc>
              <w:tc>
                <w:tcPr>
                  <w:tcW w:w="2839" w:type="dxa"/>
                  <w:tcBorders>
                    <w:tl2br w:val="nil"/>
                    <w:tr2bl w:val="nil"/>
                  </w:tcBorders>
                  <w:shd w:val="clear" w:color="auto" w:fill="auto"/>
                  <w:vAlign w:val="center"/>
                </w:tcPr>
                <w:p w:rsidR="00BC07F0" w:rsidRDefault="00073EFB">
                  <w:pPr>
                    <w:pStyle w:val="a7"/>
                    <w:rPr>
                      <w:rFonts w:hint="default"/>
                    </w:rPr>
                  </w:pPr>
                  <w:r>
                    <w:t>栏杆</w:t>
                  </w:r>
                </w:p>
              </w:tc>
              <w:tc>
                <w:tcPr>
                  <w:tcW w:w="2134" w:type="dxa"/>
                  <w:tcBorders>
                    <w:tl2br w:val="nil"/>
                    <w:tr2bl w:val="nil"/>
                  </w:tcBorders>
                  <w:shd w:val="clear" w:color="auto" w:fill="auto"/>
                  <w:vAlign w:val="center"/>
                </w:tcPr>
                <w:p w:rsidR="00BC07F0" w:rsidRDefault="00073EFB">
                  <w:pPr>
                    <w:pStyle w:val="a7"/>
                    <w:rPr>
                      <w:rFonts w:hint="default"/>
                    </w:rPr>
                  </w:pPr>
                  <w:r>
                    <w:t>米</w:t>
                  </w:r>
                </w:p>
              </w:tc>
              <w:tc>
                <w:tcPr>
                  <w:tcW w:w="2614" w:type="dxa"/>
                  <w:tcBorders>
                    <w:tl2br w:val="nil"/>
                    <w:tr2bl w:val="nil"/>
                  </w:tcBorders>
                  <w:shd w:val="clear" w:color="auto" w:fill="auto"/>
                  <w:vAlign w:val="center"/>
                </w:tcPr>
                <w:p w:rsidR="00BC07F0" w:rsidRDefault="00073EFB">
                  <w:pPr>
                    <w:pStyle w:val="a7"/>
                    <w:rPr>
                      <w:rFonts w:hint="default"/>
                    </w:rPr>
                  </w:pPr>
                  <w:r>
                    <w:t>1255</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4.4</w:t>
                  </w:r>
                </w:p>
              </w:tc>
              <w:tc>
                <w:tcPr>
                  <w:tcW w:w="2839" w:type="dxa"/>
                  <w:tcBorders>
                    <w:tl2br w:val="nil"/>
                    <w:tr2bl w:val="nil"/>
                  </w:tcBorders>
                  <w:shd w:val="clear" w:color="auto" w:fill="auto"/>
                  <w:vAlign w:val="center"/>
                </w:tcPr>
                <w:p w:rsidR="00BC07F0" w:rsidRDefault="00073EFB">
                  <w:pPr>
                    <w:pStyle w:val="a7"/>
                    <w:rPr>
                      <w:rFonts w:hint="default"/>
                    </w:rPr>
                  </w:pPr>
                  <w:r>
                    <w:t>标识系统</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4.5</w:t>
                  </w:r>
                </w:p>
              </w:tc>
              <w:tc>
                <w:tcPr>
                  <w:tcW w:w="2839" w:type="dxa"/>
                  <w:tcBorders>
                    <w:tl2br w:val="nil"/>
                    <w:tr2bl w:val="nil"/>
                  </w:tcBorders>
                  <w:shd w:val="clear" w:color="auto" w:fill="auto"/>
                  <w:vAlign w:val="center"/>
                </w:tcPr>
                <w:p w:rsidR="00BC07F0" w:rsidRDefault="00073EFB">
                  <w:pPr>
                    <w:pStyle w:val="a7"/>
                    <w:rPr>
                      <w:rFonts w:hint="default"/>
                    </w:rPr>
                  </w:pPr>
                  <w:r>
                    <w:t>垃圾桶</w:t>
                  </w:r>
                </w:p>
              </w:tc>
              <w:tc>
                <w:tcPr>
                  <w:tcW w:w="2134" w:type="dxa"/>
                  <w:tcBorders>
                    <w:tl2br w:val="nil"/>
                    <w:tr2bl w:val="nil"/>
                  </w:tcBorders>
                  <w:shd w:val="clear" w:color="auto" w:fill="auto"/>
                  <w:vAlign w:val="center"/>
                </w:tcPr>
                <w:p w:rsidR="00BC07F0" w:rsidRDefault="00073EFB">
                  <w:pPr>
                    <w:pStyle w:val="a7"/>
                    <w:rPr>
                      <w:rFonts w:hint="default"/>
                    </w:rPr>
                  </w:pPr>
                  <w:r>
                    <w:t>套</w:t>
                  </w:r>
                </w:p>
              </w:tc>
              <w:tc>
                <w:tcPr>
                  <w:tcW w:w="2614" w:type="dxa"/>
                  <w:tcBorders>
                    <w:tl2br w:val="nil"/>
                    <w:tr2bl w:val="nil"/>
                  </w:tcBorders>
                  <w:shd w:val="clear" w:color="auto" w:fill="auto"/>
                  <w:vAlign w:val="center"/>
                </w:tcPr>
                <w:p w:rsidR="00BC07F0" w:rsidRDefault="00073EFB">
                  <w:pPr>
                    <w:pStyle w:val="a7"/>
                    <w:rPr>
                      <w:rFonts w:hint="default"/>
                    </w:rPr>
                  </w:pPr>
                  <w:r>
                    <w:t>46</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4.6</w:t>
                  </w:r>
                </w:p>
              </w:tc>
              <w:tc>
                <w:tcPr>
                  <w:tcW w:w="2839" w:type="dxa"/>
                  <w:tcBorders>
                    <w:tl2br w:val="nil"/>
                    <w:tr2bl w:val="nil"/>
                  </w:tcBorders>
                  <w:shd w:val="clear" w:color="auto" w:fill="auto"/>
                  <w:vAlign w:val="center"/>
                </w:tcPr>
                <w:p w:rsidR="00BC07F0" w:rsidRDefault="00073EFB">
                  <w:pPr>
                    <w:pStyle w:val="a7"/>
                    <w:rPr>
                      <w:rFonts w:hint="default"/>
                    </w:rPr>
                  </w:pPr>
                  <w:r>
                    <w:t>灯具</w:t>
                  </w:r>
                </w:p>
              </w:tc>
              <w:tc>
                <w:tcPr>
                  <w:tcW w:w="2134" w:type="dxa"/>
                  <w:tcBorders>
                    <w:tl2br w:val="nil"/>
                    <w:tr2bl w:val="nil"/>
                  </w:tcBorders>
                  <w:shd w:val="clear" w:color="auto" w:fill="auto"/>
                  <w:vAlign w:val="center"/>
                </w:tcPr>
                <w:p w:rsidR="00BC07F0" w:rsidRDefault="00073EFB">
                  <w:pPr>
                    <w:pStyle w:val="a7"/>
                    <w:rPr>
                      <w:rFonts w:hint="default"/>
                    </w:rPr>
                  </w:pPr>
                  <w:r>
                    <w:t>盏</w:t>
                  </w:r>
                </w:p>
              </w:tc>
              <w:tc>
                <w:tcPr>
                  <w:tcW w:w="2614" w:type="dxa"/>
                  <w:tcBorders>
                    <w:tl2br w:val="nil"/>
                    <w:tr2bl w:val="nil"/>
                  </w:tcBorders>
                  <w:shd w:val="clear" w:color="auto" w:fill="auto"/>
                  <w:vAlign w:val="center"/>
                </w:tcPr>
                <w:p w:rsidR="00BC07F0" w:rsidRDefault="00073EFB">
                  <w:pPr>
                    <w:pStyle w:val="a7"/>
                    <w:rPr>
                      <w:rFonts w:hint="default"/>
                    </w:rPr>
                  </w:pPr>
                  <w:r>
                    <w:t>188</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4.7</w:t>
                  </w:r>
                </w:p>
              </w:tc>
              <w:tc>
                <w:tcPr>
                  <w:tcW w:w="2839" w:type="dxa"/>
                  <w:tcBorders>
                    <w:tl2br w:val="nil"/>
                    <w:tr2bl w:val="nil"/>
                  </w:tcBorders>
                  <w:shd w:val="clear" w:color="auto" w:fill="auto"/>
                  <w:vAlign w:val="center"/>
                </w:tcPr>
                <w:p w:rsidR="00BC07F0" w:rsidRDefault="00073EFB">
                  <w:pPr>
                    <w:pStyle w:val="a7"/>
                    <w:rPr>
                      <w:rFonts w:hint="default"/>
                    </w:rPr>
                  </w:pPr>
                  <w:r>
                    <w:t>儿童游乐器材</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4.8</w:t>
                  </w:r>
                </w:p>
              </w:tc>
              <w:tc>
                <w:tcPr>
                  <w:tcW w:w="2839" w:type="dxa"/>
                  <w:tcBorders>
                    <w:tl2br w:val="nil"/>
                    <w:tr2bl w:val="nil"/>
                  </w:tcBorders>
                  <w:shd w:val="clear" w:color="auto" w:fill="auto"/>
                  <w:vAlign w:val="center"/>
                </w:tcPr>
                <w:p w:rsidR="00BC07F0" w:rsidRDefault="00073EFB">
                  <w:pPr>
                    <w:pStyle w:val="a7"/>
                    <w:rPr>
                      <w:rFonts w:hint="default"/>
                    </w:rPr>
                  </w:pPr>
                  <w:r>
                    <w:t>老人健身器材</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4.9</w:t>
                  </w:r>
                </w:p>
              </w:tc>
              <w:tc>
                <w:tcPr>
                  <w:tcW w:w="2839" w:type="dxa"/>
                  <w:tcBorders>
                    <w:tl2br w:val="nil"/>
                    <w:tr2bl w:val="nil"/>
                  </w:tcBorders>
                  <w:shd w:val="clear" w:color="auto" w:fill="auto"/>
                  <w:vAlign w:val="center"/>
                </w:tcPr>
                <w:p w:rsidR="00BC07F0" w:rsidRDefault="00073EFB">
                  <w:pPr>
                    <w:pStyle w:val="a7"/>
                    <w:rPr>
                      <w:rFonts w:hint="default"/>
                    </w:rPr>
                  </w:pPr>
                  <w:r>
                    <w:t>饮水器</w:t>
                  </w:r>
                </w:p>
              </w:tc>
              <w:tc>
                <w:tcPr>
                  <w:tcW w:w="2134" w:type="dxa"/>
                  <w:tcBorders>
                    <w:tl2br w:val="nil"/>
                    <w:tr2bl w:val="nil"/>
                  </w:tcBorders>
                  <w:shd w:val="clear" w:color="auto" w:fill="auto"/>
                  <w:vAlign w:val="center"/>
                </w:tcPr>
                <w:p w:rsidR="00BC07F0" w:rsidRDefault="00073EFB">
                  <w:pPr>
                    <w:pStyle w:val="a7"/>
                    <w:rPr>
                      <w:rFonts w:hint="default"/>
                    </w:rPr>
                  </w:pPr>
                  <w:r>
                    <w:t>套</w:t>
                  </w:r>
                </w:p>
              </w:tc>
              <w:tc>
                <w:tcPr>
                  <w:tcW w:w="2614" w:type="dxa"/>
                  <w:tcBorders>
                    <w:tl2br w:val="nil"/>
                    <w:tr2bl w:val="nil"/>
                  </w:tcBorders>
                  <w:shd w:val="clear" w:color="auto" w:fill="auto"/>
                  <w:vAlign w:val="center"/>
                </w:tcPr>
                <w:p w:rsidR="00BC07F0" w:rsidRDefault="00073EFB">
                  <w:pPr>
                    <w:pStyle w:val="a7"/>
                    <w:rPr>
                      <w:rFonts w:hint="default"/>
                    </w:rPr>
                  </w:pPr>
                  <w:r>
                    <w:t>3</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4.1</w:t>
                  </w:r>
                </w:p>
              </w:tc>
              <w:tc>
                <w:tcPr>
                  <w:tcW w:w="2839" w:type="dxa"/>
                  <w:tcBorders>
                    <w:tl2br w:val="nil"/>
                    <w:tr2bl w:val="nil"/>
                  </w:tcBorders>
                  <w:shd w:val="clear" w:color="auto" w:fill="auto"/>
                  <w:vAlign w:val="center"/>
                </w:tcPr>
                <w:p w:rsidR="00BC07F0" w:rsidRDefault="00073EFB">
                  <w:pPr>
                    <w:pStyle w:val="a7"/>
                    <w:rPr>
                      <w:rFonts w:hint="default"/>
                    </w:rPr>
                  </w:pPr>
                  <w:r>
                    <w:t>音乐广播</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4.11</w:t>
                  </w:r>
                </w:p>
              </w:tc>
              <w:tc>
                <w:tcPr>
                  <w:tcW w:w="2839" w:type="dxa"/>
                  <w:tcBorders>
                    <w:tl2br w:val="nil"/>
                    <w:tr2bl w:val="nil"/>
                  </w:tcBorders>
                  <w:shd w:val="clear" w:color="auto" w:fill="auto"/>
                  <w:vAlign w:val="center"/>
                </w:tcPr>
                <w:p w:rsidR="00BC07F0" w:rsidRDefault="00073EFB">
                  <w:pPr>
                    <w:pStyle w:val="a7"/>
                    <w:rPr>
                      <w:rFonts w:hint="default"/>
                    </w:rPr>
                  </w:pPr>
                  <w:r>
                    <w:t>保安亭</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2</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5</w:t>
                  </w:r>
                </w:p>
              </w:tc>
              <w:tc>
                <w:tcPr>
                  <w:tcW w:w="2839" w:type="dxa"/>
                  <w:tcBorders>
                    <w:tl2br w:val="nil"/>
                    <w:tr2bl w:val="nil"/>
                  </w:tcBorders>
                  <w:shd w:val="clear" w:color="auto" w:fill="auto"/>
                  <w:vAlign w:val="center"/>
                </w:tcPr>
                <w:p w:rsidR="00BC07F0" w:rsidRDefault="00073EFB">
                  <w:pPr>
                    <w:pStyle w:val="a7"/>
                    <w:rPr>
                      <w:rFonts w:hint="default"/>
                    </w:rPr>
                  </w:pPr>
                  <w:r>
                    <w:t>建筑工程</w:t>
                  </w:r>
                </w:p>
              </w:tc>
              <w:tc>
                <w:tcPr>
                  <w:tcW w:w="2134" w:type="dxa"/>
                  <w:tcBorders>
                    <w:tl2br w:val="nil"/>
                    <w:tr2bl w:val="nil"/>
                  </w:tcBorders>
                  <w:shd w:val="clear" w:color="auto" w:fill="auto"/>
                  <w:vAlign w:val="center"/>
                </w:tcPr>
                <w:p w:rsidR="00BC07F0" w:rsidRDefault="00BC07F0">
                  <w:pPr>
                    <w:pStyle w:val="a7"/>
                    <w:rPr>
                      <w:rFonts w:hint="default"/>
                    </w:rPr>
                  </w:pPr>
                </w:p>
              </w:tc>
              <w:tc>
                <w:tcPr>
                  <w:tcW w:w="2614" w:type="dxa"/>
                  <w:tcBorders>
                    <w:tl2br w:val="nil"/>
                    <w:tr2bl w:val="nil"/>
                  </w:tcBorders>
                  <w:shd w:val="clear" w:color="auto" w:fill="auto"/>
                  <w:vAlign w:val="center"/>
                </w:tcPr>
                <w:p w:rsidR="00BC07F0" w:rsidRDefault="00BC07F0">
                  <w:pPr>
                    <w:pStyle w:val="a7"/>
                    <w:rPr>
                      <w:rFonts w:hint="default"/>
                    </w:rPr>
                  </w:pP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5.1</w:t>
                  </w:r>
                </w:p>
              </w:tc>
              <w:tc>
                <w:tcPr>
                  <w:tcW w:w="2839" w:type="dxa"/>
                  <w:tcBorders>
                    <w:tl2br w:val="nil"/>
                    <w:tr2bl w:val="nil"/>
                  </w:tcBorders>
                  <w:shd w:val="clear" w:color="auto" w:fill="auto"/>
                  <w:vAlign w:val="center"/>
                </w:tcPr>
                <w:p w:rsidR="00BC07F0" w:rsidRDefault="00073EFB">
                  <w:pPr>
                    <w:pStyle w:val="a7"/>
                    <w:rPr>
                      <w:rFonts w:hint="default"/>
                    </w:rPr>
                  </w:pPr>
                  <w:r>
                    <w:t>管理用房</w:t>
                  </w:r>
                </w:p>
              </w:tc>
              <w:tc>
                <w:tcPr>
                  <w:tcW w:w="2134" w:type="dxa"/>
                  <w:tcBorders>
                    <w:tl2br w:val="nil"/>
                    <w:tr2bl w:val="nil"/>
                  </w:tcBorders>
                  <w:shd w:val="clear" w:color="auto" w:fill="auto"/>
                  <w:vAlign w:val="center"/>
                </w:tcPr>
                <w:p w:rsidR="00BC07F0" w:rsidRDefault="00073EFB">
                  <w:pPr>
                    <w:pStyle w:val="a7"/>
                    <w:rPr>
                      <w:rFonts w:hint="default"/>
                    </w:rPr>
                  </w:pPr>
                  <w:r>
                    <w:t>m</w:t>
                  </w:r>
                </w:p>
              </w:tc>
              <w:tc>
                <w:tcPr>
                  <w:tcW w:w="2614" w:type="dxa"/>
                  <w:tcBorders>
                    <w:tl2br w:val="nil"/>
                    <w:tr2bl w:val="nil"/>
                  </w:tcBorders>
                  <w:shd w:val="clear" w:color="auto" w:fill="auto"/>
                  <w:vAlign w:val="center"/>
                </w:tcPr>
                <w:p w:rsidR="00BC07F0" w:rsidRDefault="00073EFB">
                  <w:pPr>
                    <w:pStyle w:val="a7"/>
                    <w:rPr>
                      <w:rFonts w:hint="default"/>
                    </w:rPr>
                  </w:pPr>
                  <w:r>
                    <w:t>391.76</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5.2</w:t>
                  </w:r>
                </w:p>
              </w:tc>
              <w:tc>
                <w:tcPr>
                  <w:tcW w:w="2839" w:type="dxa"/>
                  <w:tcBorders>
                    <w:tl2br w:val="nil"/>
                    <w:tr2bl w:val="nil"/>
                  </w:tcBorders>
                  <w:shd w:val="clear" w:color="auto" w:fill="auto"/>
                  <w:vAlign w:val="center"/>
                </w:tcPr>
                <w:p w:rsidR="00BC07F0" w:rsidRDefault="00073EFB">
                  <w:pPr>
                    <w:pStyle w:val="a7"/>
                    <w:rPr>
                      <w:rFonts w:hint="default"/>
                    </w:rPr>
                  </w:pPr>
                  <w:r>
                    <w:t>配套用房</w:t>
                  </w:r>
                </w:p>
              </w:tc>
              <w:tc>
                <w:tcPr>
                  <w:tcW w:w="2134" w:type="dxa"/>
                  <w:tcBorders>
                    <w:tl2br w:val="nil"/>
                    <w:tr2bl w:val="nil"/>
                  </w:tcBorders>
                  <w:shd w:val="clear" w:color="auto" w:fill="auto"/>
                  <w:vAlign w:val="center"/>
                </w:tcPr>
                <w:p w:rsidR="00BC07F0" w:rsidRDefault="00073EFB">
                  <w:pPr>
                    <w:pStyle w:val="a7"/>
                    <w:rPr>
                      <w:rFonts w:hint="default"/>
                    </w:rPr>
                  </w:pPr>
                  <w:r>
                    <w:t>m</w:t>
                  </w:r>
                  <w:r>
                    <w:rPr>
                      <w:vertAlign w:val="superscript"/>
                    </w:rPr>
                    <w:t>2</w:t>
                  </w:r>
                </w:p>
              </w:tc>
              <w:tc>
                <w:tcPr>
                  <w:tcW w:w="2614" w:type="dxa"/>
                  <w:tcBorders>
                    <w:tl2br w:val="nil"/>
                    <w:tr2bl w:val="nil"/>
                  </w:tcBorders>
                  <w:shd w:val="clear" w:color="auto" w:fill="auto"/>
                  <w:vAlign w:val="center"/>
                </w:tcPr>
                <w:p w:rsidR="00BC07F0" w:rsidRDefault="00073EFB">
                  <w:pPr>
                    <w:pStyle w:val="a7"/>
                    <w:rPr>
                      <w:rFonts w:hint="default"/>
                    </w:rPr>
                  </w:pPr>
                  <w:r>
                    <w:t>2927.42</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6</w:t>
                  </w:r>
                </w:p>
              </w:tc>
              <w:tc>
                <w:tcPr>
                  <w:tcW w:w="2839" w:type="dxa"/>
                  <w:tcBorders>
                    <w:tl2br w:val="nil"/>
                    <w:tr2bl w:val="nil"/>
                  </w:tcBorders>
                  <w:shd w:val="clear" w:color="auto" w:fill="auto"/>
                  <w:vAlign w:val="center"/>
                </w:tcPr>
                <w:p w:rsidR="00BC07F0" w:rsidRDefault="00073EFB">
                  <w:pPr>
                    <w:pStyle w:val="a7"/>
                    <w:rPr>
                      <w:rFonts w:hint="default"/>
                    </w:rPr>
                  </w:pPr>
                  <w:r>
                    <w:t>基础配套</w:t>
                  </w:r>
                </w:p>
              </w:tc>
              <w:tc>
                <w:tcPr>
                  <w:tcW w:w="2134" w:type="dxa"/>
                  <w:tcBorders>
                    <w:tl2br w:val="nil"/>
                    <w:tr2bl w:val="nil"/>
                  </w:tcBorders>
                  <w:shd w:val="clear" w:color="auto" w:fill="auto"/>
                  <w:vAlign w:val="center"/>
                </w:tcPr>
                <w:p w:rsidR="00BC07F0" w:rsidRDefault="00BC07F0">
                  <w:pPr>
                    <w:pStyle w:val="a7"/>
                    <w:rPr>
                      <w:rFonts w:hint="default"/>
                    </w:rPr>
                  </w:pPr>
                </w:p>
              </w:tc>
              <w:tc>
                <w:tcPr>
                  <w:tcW w:w="2614" w:type="dxa"/>
                  <w:tcBorders>
                    <w:tl2br w:val="nil"/>
                    <w:tr2bl w:val="nil"/>
                  </w:tcBorders>
                  <w:shd w:val="clear" w:color="auto" w:fill="auto"/>
                  <w:vAlign w:val="center"/>
                </w:tcPr>
                <w:p w:rsidR="00BC07F0" w:rsidRDefault="00BC07F0">
                  <w:pPr>
                    <w:pStyle w:val="a7"/>
                    <w:rPr>
                      <w:rFonts w:hint="default"/>
                    </w:rPr>
                  </w:pP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6.1</w:t>
                  </w:r>
                </w:p>
              </w:tc>
              <w:tc>
                <w:tcPr>
                  <w:tcW w:w="2839" w:type="dxa"/>
                  <w:tcBorders>
                    <w:tl2br w:val="nil"/>
                    <w:tr2bl w:val="nil"/>
                  </w:tcBorders>
                  <w:shd w:val="clear" w:color="auto" w:fill="auto"/>
                  <w:vAlign w:val="center"/>
                </w:tcPr>
                <w:p w:rsidR="00BC07F0" w:rsidRDefault="00073EFB">
                  <w:pPr>
                    <w:pStyle w:val="a7"/>
                    <w:rPr>
                      <w:rFonts w:hint="default"/>
                    </w:rPr>
                  </w:pPr>
                  <w:r>
                    <w:t>给水工程</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6.2</w:t>
                  </w:r>
                </w:p>
              </w:tc>
              <w:tc>
                <w:tcPr>
                  <w:tcW w:w="2839" w:type="dxa"/>
                  <w:tcBorders>
                    <w:tl2br w:val="nil"/>
                    <w:tr2bl w:val="nil"/>
                  </w:tcBorders>
                  <w:shd w:val="clear" w:color="auto" w:fill="auto"/>
                  <w:vAlign w:val="center"/>
                </w:tcPr>
                <w:p w:rsidR="00BC07F0" w:rsidRDefault="00073EFB">
                  <w:pPr>
                    <w:pStyle w:val="a7"/>
                    <w:rPr>
                      <w:rFonts w:hint="default"/>
                    </w:rPr>
                  </w:pPr>
                  <w:r>
                    <w:t>排水工程</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6.3</w:t>
                  </w:r>
                </w:p>
              </w:tc>
              <w:tc>
                <w:tcPr>
                  <w:tcW w:w="2839" w:type="dxa"/>
                  <w:tcBorders>
                    <w:tl2br w:val="nil"/>
                    <w:tr2bl w:val="nil"/>
                  </w:tcBorders>
                  <w:shd w:val="clear" w:color="auto" w:fill="auto"/>
                  <w:vAlign w:val="center"/>
                </w:tcPr>
                <w:p w:rsidR="00BC07F0" w:rsidRDefault="00073EFB">
                  <w:pPr>
                    <w:pStyle w:val="a7"/>
                    <w:rPr>
                      <w:rFonts w:hint="default"/>
                    </w:rPr>
                  </w:pPr>
                  <w:r>
                    <w:t>电气工程</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6.4</w:t>
                  </w:r>
                </w:p>
              </w:tc>
              <w:tc>
                <w:tcPr>
                  <w:tcW w:w="2839" w:type="dxa"/>
                  <w:tcBorders>
                    <w:tl2br w:val="nil"/>
                    <w:tr2bl w:val="nil"/>
                  </w:tcBorders>
                  <w:shd w:val="clear" w:color="auto" w:fill="auto"/>
                  <w:vAlign w:val="center"/>
                </w:tcPr>
                <w:p w:rsidR="00BC07F0" w:rsidRDefault="00073EFB">
                  <w:pPr>
                    <w:pStyle w:val="a7"/>
                    <w:rPr>
                      <w:rFonts w:hint="default"/>
                    </w:rPr>
                  </w:pPr>
                  <w:r>
                    <w:t>安防监控</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7</w:t>
                  </w:r>
                </w:p>
              </w:tc>
              <w:tc>
                <w:tcPr>
                  <w:tcW w:w="2839" w:type="dxa"/>
                  <w:tcBorders>
                    <w:tl2br w:val="nil"/>
                    <w:tr2bl w:val="nil"/>
                  </w:tcBorders>
                  <w:shd w:val="clear" w:color="auto" w:fill="auto"/>
                  <w:vAlign w:val="center"/>
                </w:tcPr>
                <w:p w:rsidR="00BC07F0" w:rsidRDefault="00073EFB">
                  <w:pPr>
                    <w:pStyle w:val="a7"/>
                    <w:rPr>
                      <w:rFonts w:hint="default"/>
                    </w:rPr>
                  </w:pPr>
                  <w:r>
                    <w:t>地址灾害防治</w:t>
                  </w:r>
                </w:p>
              </w:tc>
              <w:tc>
                <w:tcPr>
                  <w:tcW w:w="2134" w:type="dxa"/>
                  <w:tcBorders>
                    <w:tl2br w:val="nil"/>
                    <w:tr2bl w:val="nil"/>
                  </w:tcBorders>
                  <w:shd w:val="clear" w:color="auto" w:fill="auto"/>
                  <w:vAlign w:val="center"/>
                </w:tcPr>
                <w:p w:rsidR="00BC07F0" w:rsidRDefault="00BC07F0">
                  <w:pPr>
                    <w:pStyle w:val="a7"/>
                    <w:rPr>
                      <w:rFonts w:hint="default"/>
                    </w:rPr>
                  </w:pPr>
                </w:p>
              </w:tc>
              <w:tc>
                <w:tcPr>
                  <w:tcW w:w="2614" w:type="dxa"/>
                  <w:tcBorders>
                    <w:tl2br w:val="nil"/>
                    <w:tr2bl w:val="nil"/>
                  </w:tcBorders>
                  <w:shd w:val="clear" w:color="auto" w:fill="auto"/>
                  <w:vAlign w:val="center"/>
                </w:tcPr>
                <w:p w:rsidR="00BC07F0" w:rsidRDefault="00BC07F0">
                  <w:pPr>
                    <w:pStyle w:val="a7"/>
                    <w:rPr>
                      <w:rFonts w:hint="default"/>
                    </w:rPr>
                  </w:pP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7.1</w:t>
                  </w:r>
                </w:p>
              </w:tc>
              <w:tc>
                <w:tcPr>
                  <w:tcW w:w="2839" w:type="dxa"/>
                  <w:tcBorders>
                    <w:tl2br w:val="nil"/>
                    <w:tr2bl w:val="nil"/>
                  </w:tcBorders>
                  <w:shd w:val="clear" w:color="auto" w:fill="auto"/>
                  <w:vAlign w:val="center"/>
                </w:tcPr>
                <w:p w:rsidR="00BC07F0" w:rsidRDefault="00073EFB">
                  <w:pPr>
                    <w:pStyle w:val="a7"/>
                    <w:rPr>
                      <w:rFonts w:hint="default"/>
                    </w:rPr>
                  </w:pPr>
                  <w:r>
                    <w:t>边坡整治工程</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7.2</w:t>
                  </w:r>
                </w:p>
              </w:tc>
              <w:tc>
                <w:tcPr>
                  <w:tcW w:w="2839" w:type="dxa"/>
                  <w:tcBorders>
                    <w:tl2br w:val="nil"/>
                    <w:tr2bl w:val="nil"/>
                  </w:tcBorders>
                  <w:shd w:val="clear" w:color="auto" w:fill="auto"/>
                  <w:vAlign w:val="center"/>
                </w:tcPr>
                <w:p w:rsidR="00BC07F0" w:rsidRDefault="00073EFB">
                  <w:pPr>
                    <w:pStyle w:val="a7"/>
                    <w:rPr>
                      <w:rFonts w:hint="default"/>
                    </w:rPr>
                  </w:pPr>
                  <w:r>
                    <w:t>岸线整治工程</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8</w:t>
                  </w:r>
                </w:p>
              </w:tc>
              <w:tc>
                <w:tcPr>
                  <w:tcW w:w="2839" w:type="dxa"/>
                  <w:tcBorders>
                    <w:tl2br w:val="nil"/>
                    <w:tr2bl w:val="nil"/>
                  </w:tcBorders>
                  <w:shd w:val="clear" w:color="auto" w:fill="auto"/>
                  <w:vAlign w:val="center"/>
                </w:tcPr>
                <w:p w:rsidR="00BC07F0" w:rsidRDefault="00073EFB">
                  <w:pPr>
                    <w:pStyle w:val="a7"/>
                    <w:rPr>
                      <w:rFonts w:hint="default"/>
                    </w:rPr>
                  </w:pPr>
                  <w:r>
                    <w:t>湿地工程</w:t>
                  </w:r>
                </w:p>
              </w:tc>
              <w:tc>
                <w:tcPr>
                  <w:tcW w:w="2134" w:type="dxa"/>
                  <w:tcBorders>
                    <w:tl2br w:val="nil"/>
                    <w:tr2bl w:val="nil"/>
                  </w:tcBorders>
                  <w:shd w:val="clear" w:color="auto" w:fill="auto"/>
                  <w:vAlign w:val="center"/>
                </w:tcPr>
                <w:p w:rsidR="00BC07F0" w:rsidRDefault="00BC07F0">
                  <w:pPr>
                    <w:pStyle w:val="a7"/>
                    <w:rPr>
                      <w:rFonts w:hint="default"/>
                    </w:rPr>
                  </w:pPr>
                </w:p>
              </w:tc>
              <w:tc>
                <w:tcPr>
                  <w:tcW w:w="2614" w:type="dxa"/>
                  <w:tcBorders>
                    <w:tl2br w:val="nil"/>
                    <w:tr2bl w:val="nil"/>
                  </w:tcBorders>
                  <w:shd w:val="clear" w:color="auto" w:fill="auto"/>
                  <w:vAlign w:val="center"/>
                </w:tcPr>
                <w:p w:rsidR="00BC07F0" w:rsidRDefault="00BC07F0">
                  <w:pPr>
                    <w:pStyle w:val="a7"/>
                    <w:rPr>
                      <w:rFonts w:hint="default"/>
                    </w:rPr>
                  </w:pP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8.1</w:t>
                  </w:r>
                </w:p>
              </w:tc>
              <w:tc>
                <w:tcPr>
                  <w:tcW w:w="2839" w:type="dxa"/>
                  <w:tcBorders>
                    <w:tl2br w:val="nil"/>
                    <w:tr2bl w:val="nil"/>
                  </w:tcBorders>
                  <w:shd w:val="clear" w:color="auto" w:fill="auto"/>
                  <w:vAlign w:val="center"/>
                </w:tcPr>
                <w:p w:rsidR="00BC07F0" w:rsidRDefault="00073EFB">
                  <w:pPr>
                    <w:pStyle w:val="a7"/>
                    <w:rPr>
                      <w:rFonts w:hint="default"/>
                    </w:rPr>
                  </w:pPr>
                  <w:r>
                    <w:t>海绵城市</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8.2</w:t>
                  </w:r>
                </w:p>
              </w:tc>
              <w:tc>
                <w:tcPr>
                  <w:tcW w:w="2839" w:type="dxa"/>
                  <w:tcBorders>
                    <w:tl2br w:val="nil"/>
                    <w:tr2bl w:val="nil"/>
                  </w:tcBorders>
                  <w:shd w:val="clear" w:color="auto" w:fill="auto"/>
                  <w:vAlign w:val="center"/>
                </w:tcPr>
                <w:p w:rsidR="00BC07F0" w:rsidRDefault="00073EFB">
                  <w:pPr>
                    <w:pStyle w:val="a7"/>
                    <w:rPr>
                      <w:rFonts w:hint="default"/>
                    </w:rPr>
                  </w:pPr>
                  <w:r>
                    <w:t>生态围堤</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8.3</w:t>
                  </w:r>
                </w:p>
              </w:tc>
              <w:tc>
                <w:tcPr>
                  <w:tcW w:w="2839" w:type="dxa"/>
                  <w:tcBorders>
                    <w:tl2br w:val="nil"/>
                    <w:tr2bl w:val="nil"/>
                  </w:tcBorders>
                  <w:shd w:val="clear" w:color="auto" w:fill="auto"/>
                  <w:vAlign w:val="center"/>
                </w:tcPr>
                <w:p w:rsidR="00BC07F0" w:rsidRDefault="00073EFB">
                  <w:pPr>
                    <w:pStyle w:val="a7"/>
                    <w:rPr>
                      <w:rFonts w:hint="default"/>
                    </w:rPr>
                  </w:pPr>
                  <w:r>
                    <w:t>强化生物膜浮岛系统</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8.4</w:t>
                  </w:r>
                </w:p>
              </w:tc>
              <w:tc>
                <w:tcPr>
                  <w:tcW w:w="2839" w:type="dxa"/>
                  <w:tcBorders>
                    <w:tl2br w:val="nil"/>
                    <w:tr2bl w:val="nil"/>
                  </w:tcBorders>
                  <w:shd w:val="clear" w:color="auto" w:fill="auto"/>
                  <w:vAlign w:val="center"/>
                </w:tcPr>
                <w:p w:rsidR="00BC07F0" w:rsidRDefault="00073EFB">
                  <w:pPr>
                    <w:pStyle w:val="a7"/>
                    <w:rPr>
                      <w:rFonts w:hint="default"/>
                    </w:rPr>
                  </w:pPr>
                  <w:r>
                    <w:t>水下微地形改造</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8.5</w:t>
                  </w:r>
                </w:p>
              </w:tc>
              <w:tc>
                <w:tcPr>
                  <w:tcW w:w="2839" w:type="dxa"/>
                  <w:tcBorders>
                    <w:tl2br w:val="nil"/>
                    <w:tr2bl w:val="nil"/>
                  </w:tcBorders>
                  <w:shd w:val="clear" w:color="auto" w:fill="auto"/>
                  <w:vAlign w:val="center"/>
                </w:tcPr>
                <w:p w:rsidR="00BC07F0" w:rsidRDefault="00073EFB">
                  <w:pPr>
                    <w:pStyle w:val="a7"/>
                    <w:rPr>
                      <w:rFonts w:hint="default"/>
                    </w:rPr>
                  </w:pPr>
                  <w:r>
                    <w:t>表流人工湿地</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lastRenderedPageBreak/>
                    <w:t>8.6</w:t>
                  </w:r>
                </w:p>
              </w:tc>
              <w:tc>
                <w:tcPr>
                  <w:tcW w:w="2839" w:type="dxa"/>
                  <w:tcBorders>
                    <w:tl2br w:val="nil"/>
                    <w:tr2bl w:val="nil"/>
                  </w:tcBorders>
                  <w:shd w:val="clear" w:color="auto" w:fill="auto"/>
                  <w:vAlign w:val="center"/>
                </w:tcPr>
                <w:p w:rsidR="00BC07F0" w:rsidRDefault="00073EFB">
                  <w:pPr>
                    <w:pStyle w:val="a7"/>
                    <w:rPr>
                      <w:rFonts w:hint="default"/>
                    </w:rPr>
                  </w:pPr>
                  <w:r>
                    <w:t>生态沟渠</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8.7</w:t>
                  </w:r>
                </w:p>
              </w:tc>
              <w:tc>
                <w:tcPr>
                  <w:tcW w:w="2839" w:type="dxa"/>
                  <w:tcBorders>
                    <w:tl2br w:val="nil"/>
                    <w:tr2bl w:val="nil"/>
                  </w:tcBorders>
                  <w:shd w:val="clear" w:color="auto" w:fill="auto"/>
                  <w:vAlign w:val="center"/>
                </w:tcPr>
                <w:p w:rsidR="00BC07F0" w:rsidRDefault="00073EFB">
                  <w:pPr>
                    <w:pStyle w:val="a7"/>
                    <w:rPr>
                      <w:rFonts w:hint="default"/>
                    </w:rPr>
                  </w:pPr>
                  <w:r>
                    <w:t>金属结构</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r w:rsidR="00BC07F0">
              <w:trPr>
                <w:trHeight w:val="397"/>
                <w:jc w:val="center"/>
              </w:trPr>
              <w:tc>
                <w:tcPr>
                  <w:tcW w:w="1508" w:type="dxa"/>
                  <w:tcBorders>
                    <w:tl2br w:val="nil"/>
                    <w:tr2bl w:val="nil"/>
                  </w:tcBorders>
                  <w:shd w:val="clear" w:color="auto" w:fill="auto"/>
                  <w:vAlign w:val="center"/>
                </w:tcPr>
                <w:p w:rsidR="00BC07F0" w:rsidRDefault="00073EFB">
                  <w:pPr>
                    <w:pStyle w:val="a7"/>
                    <w:rPr>
                      <w:rFonts w:hint="default"/>
                    </w:rPr>
                  </w:pPr>
                  <w:r>
                    <w:t>8.8</w:t>
                  </w:r>
                </w:p>
              </w:tc>
              <w:tc>
                <w:tcPr>
                  <w:tcW w:w="2839" w:type="dxa"/>
                  <w:tcBorders>
                    <w:tl2br w:val="nil"/>
                    <w:tr2bl w:val="nil"/>
                  </w:tcBorders>
                  <w:shd w:val="clear" w:color="auto" w:fill="auto"/>
                  <w:vAlign w:val="center"/>
                </w:tcPr>
                <w:p w:rsidR="00BC07F0" w:rsidRDefault="00073EFB">
                  <w:pPr>
                    <w:pStyle w:val="a7"/>
                    <w:rPr>
                      <w:rFonts w:hint="default"/>
                    </w:rPr>
                  </w:pPr>
                  <w:r>
                    <w:t>导流工程（围堰及排水）</w:t>
                  </w:r>
                </w:p>
              </w:tc>
              <w:tc>
                <w:tcPr>
                  <w:tcW w:w="2134" w:type="dxa"/>
                  <w:tcBorders>
                    <w:tl2br w:val="nil"/>
                    <w:tr2bl w:val="nil"/>
                  </w:tcBorders>
                  <w:shd w:val="clear" w:color="auto" w:fill="auto"/>
                  <w:vAlign w:val="center"/>
                </w:tcPr>
                <w:p w:rsidR="00BC07F0" w:rsidRDefault="00073EFB">
                  <w:pPr>
                    <w:pStyle w:val="a7"/>
                    <w:rPr>
                      <w:rFonts w:hint="default"/>
                    </w:rPr>
                  </w:pPr>
                  <w:r>
                    <w:t>项</w:t>
                  </w:r>
                </w:p>
              </w:tc>
              <w:tc>
                <w:tcPr>
                  <w:tcW w:w="2614" w:type="dxa"/>
                  <w:tcBorders>
                    <w:tl2br w:val="nil"/>
                    <w:tr2bl w:val="nil"/>
                  </w:tcBorders>
                  <w:shd w:val="clear" w:color="auto" w:fill="auto"/>
                  <w:vAlign w:val="center"/>
                </w:tcPr>
                <w:p w:rsidR="00BC07F0" w:rsidRDefault="00073EFB">
                  <w:pPr>
                    <w:pStyle w:val="a7"/>
                    <w:rPr>
                      <w:rFonts w:hint="default"/>
                    </w:rPr>
                  </w:pPr>
                  <w:r>
                    <w:t>1</w:t>
                  </w:r>
                </w:p>
              </w:tc>
            </w:tr>
          </w:tbl>
          <w:p w:rsidR="00BC07F0" w:rsidRDefault="00073EFB" w:rsidP="00C55F5E">
            <w:pPr>
              <w:ind w:firstLine="482"/>
              <w:rPr>
                <w:b/>
                <w:bCs/>
              </w:rPr>
            </w:pPr>
            <w:r>
              <w:rPr>
                <w:rFonts w:hint="eastAsia"/>
                <w:b/>
                <w:bCs/>
              </w:rPr>
              <w:t>2.6</w:t>
            </w:r>
            <w:r>
              <w:rPr>
                <w:rFonts w:hint="eastAsia"/>
                <w:b/>
                <w:bCs/>
              </w:rPr>
              <w:t>配套城市道路前进路、酃白路工程</w:t>
            </w:r>
          </w:p>
          <w:p w:rsidR="00BC07F0" w:rsidRDefault="00073EFB" w:rsidP="00C55F5E">
            <w:pPr>
              <w:ind w:firstLine="480"/>
            </w:pPr>
            <w:r>
              <w:rPr>
                <w:rFonts w:hint="eastAsia"/>
              </w:rPr>
              <w:t>配套城市道路前进路、酃白路工程建设内容为</w:t>
            </w:r>
            <w:r>
              <w:rPr>
                <w:rFonts w:hint="eastAsia"/>
              </w:rPr>
              <w:t>酃白路</w:t>
            </w:r>
            <w:r>
              <w:rPr>
                <w:rFonts w:hint="eastAsia"/>
              </w:rPr>
              <w:t>和前进路，工程建设内容详情如下：</w:t>
            </w:r>
          </w:p>
          <w:p w:rsidR="00BC07F0" w:rsidRDefault="00073EFB" w:rsidP="00C55F5E">
            <w:pPr>
              <w:ind w:firstLine="482"/>
              <w:rPr>
                <w:b/>
                <w:bCs/>
              </w:rPr>
            </w:pPr>
            <w:r>
              <w:rPr>
                <w:rFonts w:hint="eastAsia"/>
                <w:b/>
                <w:bCs/>
              </w:rPr>
              <w:t>2.6.1</w:t>
            </w:r>
            <w:r>
              <w:rPr>
                <w:rFonts w:hint="eastAsia"/>
                <w:b/>
                <w:bCs/>
              </w:rPr>
              <w:t>酃白路</w:t>
            </w:r>
          </w:p>
          <w:p w:rsidR="00BC07F0" w:rsidRDefault="00073EFB" w:rsidP="00C55F5E">
            <w:pPr>
              <w:ind w:firstLine="482"/>
              <w:rPr>
                <w:b/>
                <w:bCs/>
              </w:rPr>
            </w:pPr>
            <w:r>
              <w:rPr>
                <w:rFonts w:hint="eastAsia"/>
                <w:b/>
                <w:bCs/>
              </w:rPr>
              <w:t>2.6.1.1</w:t>
            </w:r>
            <w:r>
              <w:rPr>
                <w:rFonts w:hint="eastAsia"/>
                <w:b/>
                <w:bCs/>
              </w:rPr>
              <w:t>工程范围及建设内容</w:t>
            </w:r>
          </w:p>
          <w:p w:rsidR="00BC07F0" w:rsidRDefault="00073EFB" w:rsidP="00C55F5E">
            <w:pPr>
              <w:ind w:firstLine="480"/>
            </w:pPr>
            <w:r>
              <w:rPr>
                <w:rFonts w:hint="eastAsia"/>
              </w:rPr>
              <w:t>酃白路北起湘江南路，向南接规划前进路，与现状输变电科技产业园段酃白路顺接，长度</w:t>
            </w:r>
            <w:r>
              <w:rPr>
                <w:rFonts w:hint="eastAsia"/>
              </w:rPr>
              <w:t>1.564km</w:t>
            </w:r>
            <w:r>
              <w:rPr>
                <w:rFonts w:hint="eastAsia"/>
              </w:rPr>
              <w:t>。规划道路等级为城市主干路，红线宽度</w:t>
            </w:r>
            <w:r>
              <w:rPr>
                <w:rFonts w:hint="eastAsia"/>
              </w:rPr>
              <w:t>40m</w:t>
            </w:r>
            <w:r>
              <w:rPr>
                <w:rFonts w:hint="eastAsia"/>
              </w:rPr>
              <w:t>，设置</w:t>
            </w:r>
            <w:r>
              <w:rPr>
                <w:rFonts w:hint="eastAsia"/>
              </w:rPr>
              <w:t>3</w:t>
            </w:r>
            <w:r>
              <w:rPr>
                <w:rFonts w:hint="eastAsia"/>
              </w:rPr>
              <w:t>×</w:t>
            </w:r>
            <w:r>
              <w:rPr>
                <w:rFonts w:hint="eastAsia"/>
              </w:rPr>
              <w:t>16m</w:t>
            </w:r>
            <w:r>
              <w:rPr>
                <w:rFonts w:hint="eastAsia"/>
              </w:rPr>
              <w:t>简支预应力空心板梁桥</w:t>
            </w:r>
            <w:r>
              <w:rPr>
                <w:rFonts w:hint="eastAsia"/>
              </w:rPr>
              <w:t>1</w:t>
            </w:r>
            <w:r>
              <w:rPr>
                <w:rFonts w:hint="eastAsia"/>
              </w:rPr>
              <w:t>座，沿线设置雨水、污水、照明、电力、电信等市政管线、道路绿化及交通附属设施。</w:t>
            </w:r>
          </w:p>
          <w:p w:rsidR="00BC07F0" w:rsidRDefault="00073EFB" w:rsidP="00C55F5E">
            <w:pPr>
              <w:ind w:firstLine="482"/>
              <w:rPr>
                <w:b/>
                <w:bCs/>
              </w:rPr>
            </w:pPr>
            <w:r>
              <w:rPr>
                <w:rFonts w:hint="eastAsia"/>
                <w:b/>
                <w:bCs/>
              </w:rPr>
              <w:t>2.6.1.2</w:t>
            </w:r>
            <w:r>
              <w:rPr>
                <w:rFonts w:hint="eastAsia"/>
                <w:b/>
                <w:bCs/>
              </w:rPr>
              <w:t>酃白路</w:t>
            </w:r>
            <w:r>
              <w:rPr>
                <w:rFonts w:hint="eastAsia"/>
                <w:b/>
                <w:bCs/>
              </w:rPr>
              <w:t>交通量预测</w:t>
            </w:r>
          </w:p>
          <w:p w:rsidR="00BC07F0" w:rsidRDefault="00073EFB">
            <w:pPr>
              <w:pStyle w:val="a7"/>
              <w:rPr>
                <w:rFonts w:hint="default"/>
                <w:b/>
                <w:bCs/>
              </w:rPr>
            </w:pPr>
            <w:r>
              <w:rPr>
                <w:b/>
                <w:bCs/>
              </w:rPr>
              <w:t>表</w:t>
            </w:r>
            <w:r>
              <w:rPr>
                <w:b/>
                <w:bCs/>
              </w:rPr>
              <w:t>2.6-1</w:t>
            </w:r>
            <w:r>
              <w:rPr>
                <w:b/>
                <w:bCs/>
              </w:rPr>
              <w:t>酃白路</w:t>
            </w:r>
            <w:r>
              <w:rPr>
                <w:b/>
                <w:bCs/>
              </w:rPr>
              <w:t>高峰小时流量表（取最大负荷断面）</w:t>
            </w:r>
          </w:p>
          <w:tbl>
            <w:tblPr>
              <w:tblW w:w="495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2068"/>
              <w:gridCol w:w="2313"/>
              <w:gridCol w:w="2313"/>
              <w:gridCol w:w="2313"/>
            </w:tblGrid>
            <w:tr w:rsidR="00BC07F0">
              <w:trPr>
                <w:trHeight w:val="397"/>
                <w:jc w:val="center"/>
              </w:trPr>
              <w:tc>
                <w:tcPr>
                  <w:tcW w:w="1985" w:type="dxa"/>
                  <w:tcBorders>
                    <w:tl2br w:val="nil"/>
                    <w:tr2bl w:val="nil"/>
                  </w:tcBorders>
                  <w:vAlign w:val="center"/>
                </w:tcPr>
                <w:p w:rsidR="00BC07F0" w:rsidRDefault="00073EFB">
                  <w:pPr>
                    <w:pStyle w:val="a7"/>
                    <w:rPr>
                      <w:rFonts w:hint="default"/>
                    </w:rPr>
                  </w:pPr>
                  <w:r>
                    <w:t>特征年道路</w:t>
                  </w:r>
                </w:p>
              </w:tc>
              <w:tc>
                <w:tcPr>
                  <w:tcW w:w="2221" w:type="dxa"/>
                  <w:tcBorders>
                    <w:tl2br w:val="nil"/>
                    <w:tr2bl w:val="nil"/>
                  </w:tcBorders>
                  <w:vAlign w:val="center"/>
                </w:tcPr>
                <w:p w:rsidR="00BC07F0" w:rsidRDefault="00073EFB">
                  <w:pPr>
                    <w:pStyle w:val="a7"/>
                    <w:rPr>
                      <w:rFonts w:hint="default"/>
                    </w:rPr>
                  </w:pPr>
                  <w:r>
                    <w:t>2025</w:t>
                  </w:r>
                  <w:r>
                    <w:t>年</w:t>
                  </w:r>
                </w:p>
              </w:tc>
              <w:tc>
                <w:tcPr>
                  <w:tcW w:w="2221" w:type="dxa"/>
                  <w:tcBorders>
                    <w:tl2br w:val="nil"/>
                    <w:tr2bl w:val="nil"/>
                  </w:tcBorders>
                  <w:vAlign w:val="center"/>
                </w:tcPr>
                <w:p w:rsidR="00BC07F0" w:rsidRDefault="00073EFB">
                  <w:pPr>
                    <w:pStyle w:val="a7"/>
                    <w:rPr>
                      <w:rFonts w:hint="default"/>
                    </w:rPr>
                  </w:pPr>
                  <w:r>
                    <w:t>2027</w:t>
                  </w:r>
                  <w:r>
                    <w:t>年</w:t>
                  </w:r>
                </w:p>
              </w:tc>
              <w:tc>
                <w:tcPr>
                  <w:tcW w:w="2221" w:type="dxa"/>
                  <w:tcBorders>
                    <w:tl2br w:val="nil"/>
                    <w:tr2bl w:val="nil"/>
                  </w:tcBorders>
                  <w:vAlign w:val="center"/>
                </w:tcPr>
                <w:p w:rsidR="00BC07F0" w:rsidRDefault="00073EFB">
                  <w:pPr>
                    <w:pStyle w:val="a7"/>
                    <w:rPr>
                      <w:rFonts w:hint="default"/>
                    </w:rPr>
                  </w:pPr>
                  <w:r>
                    <w:t>203</w:t>
                  </w:r>
                  <w:r>
                    <w:t>2</w:t>
                  </w:r>
                  <w:r>
                    <w:t>年</w:t>
                  </w:r>
                </w:p>
              </w:tc>
            </w:tr>
            <w:tr w:rsidR="00BC07F0">
              <w:trPr>
                <w:trHeight w:val="397"/>
                <w:jc w:val="center"/>
              </w:trPr>
              <w:tc>
                <w:tcPr>
                  <w:tcW w:w="1985" w:type="dxa"/>
                  <w:tcBorders>
                    <w:tl2br w:val="nil"/>
                    <w:tr2bl w:val="nil"/>
                  </w:tcBorders>
                  <w:vAlign w:val="center"/>
                </w:tcPr>
                <w:p w:rsidR="00BC07F0" w:rsidRDefault="00073EFB">
                  <w:pPr>
                    <w:pStyle w:val="a7"/>
                    <w:rPr>
                      <w:rFonts w:hint="default"/>
                    </w:rPr>
                  </w:pPr>
                  <w:r>
                    <w:t>酃白路</w:t>
                  </w:r>
                </w:p>
              </w:tc>
              <w:tc>
                <w:tcPr>
                  <w:tcW w:w="2221" w:type="dxa"/>
                  <w:tcBorders>
                    <w:tl2br w:val="nil"/>
                    <w:tr2bl w:val="nil"/>
                  </w:tcBorders>
                  <w:vAlign w:val="center"/>
                </w:tcPr>
                <w:p w:rsidR="00BC07F0" w:rsidRDefault="00073EFB">
                  <w:pPr>
                    <w:pStyle w:val="a7"/>
                    <w:rPr>
                      <w:rFonts w:hint="default"/>
                    </w:rPr>
                  </w:pPr>
                  <w:r>
                    <w:t>1675</w:t>
                  </w:r>
                </w:p>
              </w:tc>
              <w:tc>
                <w:tcPr>
                  <w:tcW w:w="2221" w:type="dxa"/>
                  <w:tcBorders>
                    <w:tl2br w:val="nil"/>
                    <w:tr2bl w:val="nil"/>
                  </w:tcBorders>
                  <w:vAlign w:val="center"/>
                </w:tcPr>
                <w:p w:rsidR="00BC07F0" w:rsidRDefault="00073EFB">
                  <w:pPr>
                    <w:pStyle w:val="a7"/>
                    <w:rPr>
                      <w:rFonts w:hint="default"/>
                    </w:rPr>
                  </w:pPr>
                  <w:r>
                    <w:t>2171</w:t>
                  </w:r>
                </w:p>
              </w:tc>
              <w:tc>
                <w:tcPr>
                  <w:tcW w:w="2221" w:type="dxa"/>
                  <w:tcBorders>
                    <w:tl2br w:val="nil"/>
                    <w:tr2bl w:val="nil"/>
                  </w:tcBorders>
                  <w:vAlign w:val="center"/>
                </w:tcPr>
                <w:p w:rsidR="00BC07F0" w:rsidRDefault="00073EFB">
                  <w:pPr>
                    <w:pStyle w:val="a7"/>
                    <w:rPr>
                      <w:rFonts w:hint="default"/>
                    </w:rPr>
                  </w:pPr>
                  <w:r>
                    <w:t>2984</w:t>
                  </w:r>
                </w:p>
              </w:tc>
            </w:tr>
          </w:tbl>
          <w:p w:rsidR="00BC07F0" w:rsidRDefault="00073EFB" w:rsidP="00C55F5E">
            <w:pPr>
              <w:ind w:firstLine="482"/>
              <w:rPr>
                <w:b/>
                <w:bCs/>
              </w:rPr>
            </w:pPr>
            <w:r>
              <w:rPr>
                <w:rFonts w:hint="eastAsia"/>
                <w:b/>
                <w:bCs/>
              </w:rPr>
              <w:t>2.6.1.3</w:t>
            </w:r>
            <w:r>
              <w:rPr>
                <w:rFonts w:hint="eastAsia"/>
                <w:b/>
                <w:bCs/>
              </w:rPr>
              <w:t>主要技术标准</w:t>
            </w:r>
          </w:p>
          <w:p w:rsidR="00BC07F0" w:rsidRDefault="00073EFB" w:rsidP="00C55F5E">
            <w:pPr>
              <w:ind w:firstLine="480"/>
            </w:pPr>
            <w:r>
              <w:rPr>
                <w:rFonts w:hint="eastAsia"/>
              </w:rPr>
              <w:t>道路等级：城市主干路</w:t>
            </w:r>
          </w:p>
          <w:p w:rsidR="00BC07F0" w:rsidRDefault="00073EFB" w:rsidP="00C55F5E">
            <w:pPr>
              <w:ind w:firstLine="480"/>
            </w:pPr>
            <w:r>
              <w:rPr>
                <w:rFonts w:hint="eastAsia"/>
              </w:rPr>
              <w:t>设计速度：</w:t>
            </w:r>
            <w:r>
              <w:rPr>
                <w:rFonts w:hint="eastAsia"/>
              </w:rPr>
              <w:t>V</w:t>
            </w:r>
            <w:r>
              <w:rPr>
                <w:rFonts w:hint="eastAsia"/>
              </w:rPr>
              <w:t>＝</w:t>
            </w:r>
            <w:r>
              <w:rPr>
                <w:rFonts w:hint="eastAsia"/>
              </w:rPr>
              <w:t>60km/h</w:t>
            </w:r>
            <w:r>
              <w:rPr>
                <w:rFonts w:hint="eastAsia"/>
              </w:rPr>
              <w:t>；</w:t>
            </w:r>
          </w:p>
          <w:p w:rsidR="00BC07F0" w:rsidRDefault="00073EFB" w:rsidP="00C55F5E">
            <w:pPr>
              <w:ind w:firstLine="482"/>
              <w:rPr>
                <w:b/>
                <w:bCs/>
              </w:rPr>
            </w:pPr>
            <w:r>
              <w:rPr>
                <w:rFonts w:hint="eastAsia"/>
                <w:b/>
                <w:bCs/>
              </w:rPr>
              <w:t>2.6.1.4</w:t>
            </w:r>
            <w:r>
              <w:rPr>
                <w:rFonts w:hint="eastAsia"/>
                <w:b/>
                <w:bCs/>
              </w:rPr>
              <w:t>荷载标准</w:t>
            </w:r>
          </w:p>
          <w:p w:rsidR="00BC07F0" w:rsidRDefault="00073EFB" w:rsidP="00C55F5E">
            <w:pPr>
              <w:ind w:firstLine="480"/>
            </w:pPr>
            <w:r>
              <w:rPr>
                <w:rFonts w:hint="eastAsia"/>
              </w:rPr>
              <w:t>桥梁荷载：城</w:t>
            </w:r>
            <w:r>
              <w:rPr>
                <w:rFonts w:hint="eastAsia"/>
              </w:rPr>
              <w:t>-A</w:t>
            </w:r>
            <w:r>
              <w:rPr>
                <w:rFonts w:hint="eastAsia"/>
              </w:rPr>
              <w:t>级。</w:t>
            </w:r>
          </w:p>
          <w:p w:rsidR="00BC07F0" w:rsidRDefault="00073EFB" w:rsidP="00C55F5E">
            <w:pPr>
              <w:ind w:firstLine="480"/>
            </w:pPr>
            <w:r>
              <w:rPr>
                <w:rFonts w:hint="eastAsia"/>
              </w:rPr>
              <w:t>人群荷载</w:t>
            </w:r>
            <w:r>
              <w:rPr>
                <w:rFonts w:hint="eastAsia"/>
              </w:rPr>
              <w:t>3.5KN/m</w:t>
            </w:r>
            <w:r>
              <w:rPr>
                <w:rFonts w:hint="eastAsia"/>
                <w:vertAlign w:val="superscript"/>
              </w:rPr>
              <w:t>2</w:t>
            </w:r>
            <w:r>
              <w:rPr>
                <w:rFonts w:hint="eastAsia"/>
              </w:rPr>
              <w:t>。</w:t>
            </w:r>
          </w:p>
          <w:p w:rsidR="00BC07F0" w:rsidRDefault="00073EFB" w:rsidP="00C55F5E">
            <w:pPr>
              <w:ind w:firstLine="480"/>
            </w:pPr>
            <w:r>
              <w:rPr>
                <w:rFonts w:hint="eastAsia"/>
              </w:rPr>
              <w:t>路面设计荷载：</w:t>
            </w:r>
            <w:r>
              <w:rPr>
                <w:rFonts w:hint="eastAsia"/>
              </w:rPr>
              <w:t>Bzz</w:t>
            </w:r>
            <w:r>
              <w:rPr>
                <w:rFonts w:hint="eastAsia"/>
              </w:rPr>
              <w:t>－</w:t>
            </w:r>
            <w:r>
              <w:rPr>
                <w:rFonts w:hint="eastAsia"/>
              </w:rPr>
              <w:t>100</w:t>
            </w:r>
            <w:r>
              <w:rPr>
                <w:rFonts w:hint="eastAsia"/>
              </w:rPr>
              <w:t>型标准车。</w:t>
            </w:r>
          </w:p>
          <w:p w:rsidR="00BC07F0" w:rsidRDefault="00073EFB" w:rsidP="00C55F5E">
            <w:pPr>
              <w:ind w:firstLine="482"/>
              <w:rPr>
                <w:b/>
                <w:bCs/>
              </w:rPr>
            </w:pPr>
            <w:r>
              <w:rPr>
                <w:rFonts w:hint="eastAsia"/>
                <w:b/>
                <w:bCs/>
              </w:rPr>
              <w:t>2.6.1.5</w:t>
            </w:r>
            <w:r>
              <w:rPr>
                <w:rFonts w:hint="eastAsia"/>
                <w:b/>
                <w:bCs/>
              </w:rPr>
              <w:t>道路通行净空标准</w:t>
            </w:r>
          </w:p>
          <w:p w:rsidR="00BC07F0" w:rsidRDefault="00073EFB" w:rsidP="00C55F5E">
            <w:pPr>
              <w:ind w:firstLine="480"/>
            </w:pPr>
            <w:r>
              <w:rPr>
                <w:rFonts w:hint="eastAsia"/>
              </w:rPr>
              <w:t>机动车道：≥</w:t>
            </w:r>
            <w:r>
              <w:rPr>
                <w:rFonts w:hint="eastAsia"/>
              </w:rPr>
              <w:t>4.5m</w:t>
            </w:r>
            <w:r>
              <w:rPr>
                <w:rFonts w:hint="eastAsia"/>
              </w:rPr>
              <w:t>。</w:t>
            </w:r>
          </w:p>
          <w:p w:rsidR="00BC07F0" w:rsidRDefault="00073EFB" w:rsidP="00C55F5E">
            <w:pPr>
              <w:ind w:firstLine="480"/>
            </w:pPr>
            <w:r>
              <w:rPr>
                <w:rFonts w:hint="eastAsia"/>
              </w:rPr>
              <w:t>非机动车道及人行道：≥</w:t>
            </w:r>
            <w:r>
              <w:rPr>
                <w:rFonts w:hint="eastAsia"/>
              </w:rPr>
              <w:t>2.5m</w:t>
            </w:r>
            <w:r>
              <w:rPr>
                <w:rFonts w:hint="eastAsia"/>
              </w:rPr>
              <w:t>。</w:t>
            </w:r>
          </w:p>
          <w:p w:rsidR="00BC07F0" w:rsidRDefault="00073EFB" w:rsidP="00C55F5E">
            <w:pPr>
              <w:ind w:firstLine="482"/>
              <w:rPr>
                <w:b/>
                <w:bCs/>
              </w:rPr>
            </w:pPr>
            <w:r>
              <w:rPr>
                <w:rFonts w:hint="eastAsia"/>
                <w:b/>
                <w:bCs/>
              </w:rPr>
              <w:t>2.6.1.6</w:t>
            </w:r>
            <w:r>
              <w:rPr>
                <w:rFonts w:hint="eastAsia"/>
                <w:b/>
                <w:bCs/>
              </w:rPr>
              <w:t>抗震设防标准</w:t>
            </w:r>
          </w:p>
          <w:p w:rsidR="00BC07F0" w:rsidRDefault="00073EFB" w:rsidP="00C55F5E">
            <w:pPr>
              <w:ind w:firstLine="480"/>
            </w:pPr>
            <w:r>
              <w:rPr>
                <w:rFonts w:hint="eastAsia"/>
              </w:rPr>
              <w:t>场地所在区抗震设防烈度为</w:t>
            </w:r>
            <w:r>
              <w:rPr>
                <w:rFonts w:hint="eastAsia"/>
              </w:rPr>
              <w:t>VI</w:t>
            </w:r>
            <w:r>
              <w:rPr>
                <w:rFonts w:hint="eastAsia"/>
              </w:rPr>
              <w:t>度；地震峰值加速度值为</w:t>
            </w:r>
            <w:r>
              <w:rPr>
                <w:rFonts w:hint="eastAsia"/>
              </w:rPr>
              <w:t>0.05g</w:t>
            </w:r>
            <w:r>
              <w:rPr>
                <w:rFonts w:hint="eastAsia"/>
              </w:rPr>
              <w:t>，设计地震分组为第一组，场地的设计特征周期为</w:t>
            </w:r>
            <w:r>
              <w:rPr>
                <w:rFonts w:hint="eastAsia"/>
              </w:rPr>
              <w:t>0.35s</w:t>
            </w:r>
            <w:r>
              <w:rPr>
                <w:rFonts w:hint="eastAsia"/>
              </w:rPr>
              <w:t>。</w:t>
            </w:r>
          </w:p>
          <w:p w:rsidR="00BC07F0" w:rsidRDefault="00073EFB" w:rsidP="00C55F5E">
            <w:pPr>
              <w:ind w:firstLine="482"/>
              <w:rPr>
                <w:b/>
                <w:bCs/>
              </w:rPr>
            </w:pPr>
            <w:r>
              <w:rPr>
                <w:rFonts w:hint="eastAsia"/>
                <w:b/>
                <w:bCs/>
              </w:rPr>
              <w:t>2.6.1.7</w:t>
            </w:r>
            <w:r>
              <w:rPr>
                <w:rFonts w:hint="eastAsia"/>
                <w:b/>
                <w:bCs/>
              </w:rPr>
              <w:t>车行道宽度</w:t>
            </w:r>
          </w:p>
          <w:p w:rsidR="00BC07F0" w:rsidRDefault="00073EFB" w:rsidP="00C55F5E">
            <w:pPr>
              <w:ind w:firstLine="480"/>
            </w:pPr>
            <w:r>
              <w:rPr>
                <w:rFonts w:hint="eastAsia"/>
              </w:rPr>
              <w:t>机动车道宽度采用</w:t>
            </w:r>
            <w:r>
              <w:rPr>
                <w:rFonts w:hint="eastAsia"/>
              </w:rPr>
              <w:t>3.75m</w:t>
            </w:r>
            <w:r>
              <w:rPr>
                <w:rFonts w:hint="eastAsia"/>
              </w:rPr>
              <w:t>和</w:t>
            </w:r>
            <w:r>
              <w:rPr>
                <w:rFonts w:hint="eastAsia"/>
              </w:rPr>
              <w:t>3.5m</w:t>
            </w:r>
            <w:r>
              <w:rPr>
                <w:rFonts w:hint="eastAsia"/>
              </w:rPr>
              <w:t>，路缘带宽度采用</w:t>
            </w:r>
            <w:r>
              <w:rPr>
                <w:rFonts w:hint="eastAsia"/>
              </w:rPr>
              <w:t>0.5m</w:t>
            </w:r>
            <w:r>
              <w:rPr>
                <w:rFonts w:hint="eastAsia"/>
              </w:rPr>
              <w:t>。</w:t>
            </w:r>
          </w:p>
          <w:p w:rsidR="00BC07F0" w:rsidRDefault="00073EFB" w:rsidP="00C55F5E">
            <w:pPr>
              <w:ind w:firstLine="482"/>
              <w:rPr>
                <w:b/>
                <w:bCs/>
              </w:rPr>
            </w:pPr>
            <w:r>
              <w:rPr>
                <w:rFonts w:hint="eastAsia"/>
                <w:b/>
                <w:bCs/>
              </w:rPr>
              <w:lastRenderedPageBreak/>
              <w:t>2.6.1.8</w:t>
            </w:r>
            <w:r>
              <w:rPr>
                <w:rFonts w:hint="eastAsia"/>
                <w:b/>
                <w:bCs/>
              </w:rPr>
              <w:t>道路标准横断面布置</w:t>
            </w:r>
          </w:p>
          <w:p w:rsidR="00BC07F0" w:rsidRDefault="00073EFB" w:rsidP="00C55F5E">
            <w:pPr>
              <w:ind w:firstLine="480"/>
            </w:pPr>
            <w:r>
              <w:rPr>
                <w:rFonts w:hint="eastAsia"/>
              </w:rPr>
              <w:t>酃白路红线宽度</w:t>
            </w:r>
            <w:r>
              <w:rPr>
                <w:rFonts w:hint="eastAsia"/>
              </w:rPr>
              <w:t>40m</w:t>
            </w:r>
            <w:r>
              <w:rPr>
                <w:rFonts w:hint="eastAsia"/>
              </w:rPr>
              <w:t>，道路标准横断面采用</w:t>
            </w:r>
            <w:r>
              <w:rPr>
                <w:rFonts w:hint="eastAsia"/>
              </w:rPr>
              <w:t>2</w:t>
            </w:r>
            <w:r>
              <w:rPr>
                <w:rFonts w:hint="eastAsia"/>
              </w:rPr>
              <w:t>块板形式，具体布置：</w:t>
            </w:r>
            <w:r>
              <w:rPr>
                <w:rFonts w:hint="eastAsia"/>
              </w:rPr>
              <w:t>5.0m</w:t>
            </w:r>
            <w:r>
              <w:rPr>
                <w:rFonts w:hint="eastAsia"/>
              </w:rPr>
              <w:t>（人行道及非机动车道）</w:t>
            </w:r>
            <w:r>
              <w:rPr>
                <w:rFonts w:hint="eastAsia"/>
              </w:rPr>
              <w:t>+12.0m</w:t>
            </w:r>
            <w:r>
              <w:rPr>
                <w:rFonts w:hint="eastAsia"/>
              </w:rPr>
              <w:t>（机动车道）</w:t>
            </w:r>
            <w:r>
              <w:rPr>
                <w:rFonts w:hint="eastAsia"/>
              </w:rPr>
              <w:t>+6.0m</w:t>
            </w:r>
            <w:r>
              <w:rPr>
                <w:rFonts w:hint="eastAsia"/>
              </w:rPr>
              <w:t>（中央绿化带）</w:t>
            </w:r>
            <w:r>
              <w:rPr>
                <w:rFonts w:hint="eastAsia"/>
              </w:rPr>
              <w:t>+12.0m</w:t>
            </w:r>
            <w:r>
              <w:rPr>
                <w:rFonts w:hint="eastAsia"/>
              </w:rPr>
              <w:t>（机动车道）</w:t>
            </w:r>
            <w:r>
              <w:rPr>
                <w:rFonts w:hint="eastAsia"/>
              </w:rPr>
              <w:t>+5.0m</w:t>
            </w:r>
            <w:r>
              <w:rPr>
                <w:rFonts w:hint="eastAsia"/>
              </w:rPr>
              <w:t>（人行道及非机动车道）</w:t>
            </w:r>
            <w:r>
              <w:rPr>
                <w:rFonts w:hint="eastAsia"/>
              </w:rPr>
              <w:t>=40m</w:t>
            </w:r>
            <w:r>
              <w:rPr>
                <w:rFonts w:hint="eastAsia"/>
              </w:rPr>
              <w:t>。</w:t>
            </w:r>
          </w:p>
          <w:p w:rsidR="00BC07F0" w:rsidRDefault="00073EFB">
            <w:pPr>
              <w:pStyle w:val="a7"/>
              <w:rPr>
                <w:rFonts w:hint="default"/>
              </w:rPr>
            </w:pPr>
            <w:r>
              <w:rPr>
                <w:noProof/>
              </w:rPr>
              <w:drawing>
                <wp:inline distT="0" distB="0" distL="114300" distR="114300">
                  <wp:extent cx="4763135" cy="2055495"/>
                  <wp:effectExtent l="0" t="0" r="18415" b="1905"/>
                  <wp:docPr id="3" name="图片 3" descr="S5K[W_ITTNHEWP${UC]MR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5K[W_ITTNHEWP${UC]MRIU"/>
                          <pic:cNvPicPr>
                            <a:picLocks noChangeAspect="1"/>
                          </pic:cNvPicPr>
                        </pic:nvPicPr>
                        <pic:blipFill>
                          <a:blip r:embed="rId26" cstate="print"/>
                          <a:stretch>
                            <a:fillRect/>
                          </a:stretch>
                        </pic:blipFill>
                        <pic:spPr>
                          <a:xfrm>
                            <a:off x="0" y="0"/>
                            <a:ext cx="4763135" cy="2055495"/>
                          </a:xfrm>
                          <a:prstGeom prst="rect">
                            <a:avLst/>
                          </a:prstGeom>
                        </pic:spPr>
                      </pic:pic>
                    </a:graphicData>
                  </a:graphic>
                </wp:inline>
              </w:drawing>
            </w:r>
          </w:p>
          <w:p w:rsidR="00BC07F0" w:rsidRDefault="00073EFB">
            <w:pPr>
              <w:pStyle w:val="a7"/>
              <w:rPr>
                <w:rFonts w:hint="default"/>
                <w:b/>
                <w:bCs/>
              </w:rPr>
            </w:pPr>
            <w:r>
              <w:rPr>
                <w:b/>
                <w:bCs/>
              </w:rPr>
              <w:t>图</w:t>
            </w:r>
            <w:r>
              <w:rPr>
                <w:b/>
                <w:bCs/>
              </w:rPr>
              <w:t>2.6-1</w:t>
            </w:r>
            <w:r>
              <w:rPr>
                <w:b/>
                <w:bCs/>
              </w:rPr>
              <w:t>道路标准横断面</w:t>
            </w:r>
          </w:p>
          <w:p w:rsidR="00BC07F0" w:rsidRDefault="00073EFB" w:rsidP="00C55F5E">
            <w:pPr>
              <w:ind w:firstLine="482"/>
              <w:rPr>
                <w:b/>
                <w:bCs/>
              </w:rPr>
            </w:pPr>
            <w:r>
              <w:rPr>
                <w:rFonts w:hint="eastAsia"/>
                <w:b/>
                <w:bCs/>
              </w:rPr>
              <w:t>2.6.1.9</w:t>
            </w:r>
            <w:r>
              <w:rPr>
                <w:rFonts w:hint="eastAsia"/>
                <w:b/>
                <w:bCs/>
              </w:rPr>
              <w:t>交叉口设计</w:t>
            </w:r>
          </w:p>
          <w:p w:rsidR="00BC07F0" w:rsidRDefault="00073EFB" w:rsidP="00C55F5E">
            <w:pPr>
              <w:ind w:firstLine="480"/>
            </w:pPr>
            <w:r>
              <w:rPr>
                <w:rFonts w:hint="eastAsia"/>
              </w:rPr>
              <w:t>道路平面交叉口通行能力小于路段，为了满足交通需要提高通行能力，在可能的情况下，应进行渠化设计，以增加交叉口通行能力。平面交叉口的形式与布置根据横向道路的等级确定。</w:t>
            </w:r>
          </w:p>
          <w:p w:rsidR="00BC07F0" w:rsidRDefault="00073EFB" w:rsidP="00C55F5E">
            <w:pPr>
              <w:ind w:firstLine="482"/>
              <w:rPr>
                <w:b/>
                <w:bCs/>
              </w:rPr>
            </w:pPr>
            <w:r>
              <w:rPr>
                <w:rFonts w:hint="eastAsia"/>
                <w:b/>
                <w:bCs/>
              </w:rPr>
              <w:t>2.6.1.10</w:t>
            </w:r>
            <w:r>
              <w:rPr>
                <w:rFonts w:hint="eastAsia"/>
                <w:b/>
                <w:bCs/>
              </w:rPr>
              <w:t>路基设计</w:t>
            </w:r>
          </w:p>
          <w:p w:rsidR="00BC07F0" w:rsidRDefault="00073EFB" w:rsidP="00C55F5E">
            <w:pPr>
              <w:ind w:firstLine="480"/>
            </w:pPr>
            <w:r>
              <w:rPr>
                <w:rFonts w:hint="eastAsia"/>
              </w:rPr>
              <w:t>本项目路基填、挖方高度均小于</w:t>
            </w:r>
            <w:r>
              <w:rPr>
                <w:rFonts w:hint="eastAsia"/>
              </w:rPr>
              <w:t>8m</w:t>
            </w:r>
            <w:r>
              <w:rPr>
                <w:rFonts w:hint="eastAsia"/>
              </w:rPr>
              <w:t>。填方边坡坡率采用</w:t>
            </w:r>
            <w:r>
              <w:rPr>
                <w:rFonts w:hint="eastAsia"/>
              </w:rPr>
              <w:t>1</w:t>
            </w:r>
            <w:r>
              <w:rPr>
                <w:rFonts w:hint="eastAsia"/>
              </w:rPr>
              <w:t>∶</w:t>
            </w:r>
            <w:r>
              <w:rPr>
                <w:rFonts w:hint="eastAsia"/>
              </w:rPr>
              <w:t>1</w:t>
            </w:r>
            <w:r>
              <w:rPr>
                <w:rFonts w:hint="eastAsia"/>
              </w:rPr>
              <w:t>.5</w:t>
            </w:r>
            <w:r>
              <w:rPr>
                <w:rFonts w:hint="eastAsia"/>
              </w:rPr>
              <w:t>；挖方边坡坡率采用</w:t>
            </w:r>
            <w:r>
              <w:rPr>
                <w:rFonts w:hint="eastAsia"/>
              </w:rPr>
              <w:t>1</w:t>
            </w:r>
            <w:r>
              <w:rPr>
                <w:rFonts w:hint="eastAsia"/>
              </w:rPr>
              <w:t>∶</w:t>
            </w:r>
            <w:r>
              <w:rPr>
                <w:rFonts w:hint="eastAsia"/>
              </w:rPr>
              <w:t>1</w:t>
            </w:r>
            <w:r>
              <w:rPr>
                <w:rFonts w:hint="eastAsia"/>
              </w:rPr>
              <w:t>。路基填料不得选用液限大于</w:t>
            </w:r>
            <w:r>
              <w:rPr>
                <w:rFonts w:hint="eastAsia"/>
              </w:rPr>
              <w:t>50</w:t>
            </w:r>
            <w:r>
              <w:rPr>
                <w:rFonts w:hint="eastAsia"/>
              </w:rPr>
              <w:t>％，塑性指数大于</w:t>
            </w:r>
            <w:r>
              <w:rPr>
                <w:rFonts w:hint="eastAsia"/>
              </w:rPr>
              <w:t>26</w:t>
            </w:r>
            <w:r>
              <w:rPr>
                <w:rFonts w:hint="eastAsia"/>
              </w:rPr>
              <w:t>的粘质土，以及淤泥、沼泽土、泥炭土，含草皮土、生活垃圾、腐朽物质的土；填土要求在最佳含水量时压实。路基强度采用重型压实标准，路基顶面土基设计回弹模量应不小于</w:t>
            </w:r>
            <w:r>
              <w:rPr>
                <w:rFonts w:hint="eastAsia"/>
              </w:rPr>
              <w:t>35Mpa</w:t>
            </w:r>
            <w:r>
              <w:rPr>
                <w:rFonts w:hint="eastAsia"/>
              </w:rPr>
              <w:t>。道路路基范围内软弱地基主要为鱼塘、水沟等，处理方式主要为换填处理。</w:t>
            </w:r>
          </w:p>
          <w:p w:rsidR="00BC07F0" w:rsidRDefault="00073EFB" w:rsidP="00C55F5E">
            <w:pPr>
              <w:ind w:firstLine="482"/>
              <w:rPr>
                <w:b/>
                <w:bCs/>
              </w:rPr>
            </w:pPr>
            <w:r>
              <w:rPr>
                <w:rFonts w:hint="eastAsia"/>
                <w:b/>
                <w:bCs/>
              </w:rPr>
              <w:t>2.6.1.11</w:t>
            </w:r>
            <w:r>
              <w:rPr>
                <w:rFonts w:hint="eastAsia"/>
                <w:b/>
                <w:bCs/>
              </w:rPr>
              <w:t>路面设计</w:t>
            </w:r>
          </w:p>
          <w:p w:rsidR="00BC07F0" w:rsidRDefault="00073EFB" w:rsidP="00C55F5E">
            <w:pPr>
              <w:ind w:firstLine="480"/>
            </w:pPr>
            <w:r>
              <w:rPr>
                <w:rFonts w:hint="eastAsia"/>
              </w:rPr>
              <w:t>（</w:t>
            </w:r>
            <w:r>
              <w:rPr>
                <w:rFonts w:hint="eastAsia"/>
              </w:rPr>
              <w:t>1</w:t>
            </w:r>
            <w:r>
              <w:rPr>
                <w:rFonts w:hint="eastAsia"/>
              </w:rPr>
              <w:t>）机动车道路面结构</w:t>
            </w:r>
          </w:p>
          <w:p w:rsidR="00BC07F0" w:rsidRDefault="00073EFB" w:rsidP="00C55F5E">
            <w:pPr>
              <w:ind w:firstLine="480"/>
            </w:pPr>
            <w:r>
              <w:rPr>
                <w:rFonts w:hint="eastAsia"/>
              </w:rPr>
              <w:t>4cmAC-13C</w:t>
            </w:r>
            <w:r>
              <w:rPr>
                <w:rFonts w:hint="eastAsia"/>
              </w:rPr>
              <w:t>细粒式</w:t>
            </w:r>
            <w:r>
              <w:rPr>
                <w:rFonts w:hint="eastAsia"/>
              </w:rPr>
              <w:t>SBS</w:t>
            </w:r>
            <w:r>
              <w:rPr>
                <w:rFonts w:hint="eastAsia"/>
              </w:rPr>
              <w:t>改性沥青混凝土</w:t>
            </w:r>
          </w:p>
          <w:p w:rsidR="00BC07F0" w:rsidRDefault="00073EFB" w:rsidP="00C55F5E">
            <w:pPr>
              <w:ind w:firstLine="480"/>
            </w:pPr>
            <w:r>
              <w:rPr>
                <w:rFonts w:hint="eastAsia"/>
              </w:rPr>
              <w:t>PCR</w:t>
            </w:r>
            <w:r>
              <w:rPr>
                <w:rFonts w:hint="eastAsia"/>
              </w:rPr>
              <w:t>改性乳化沥青粘层油</w:t>
            </w:r>
          </w:p>
          <w:p w:rsidR="00BC07F0" w:rsidRDefault="00073EFB" w:rsidP="00C55F5E">
            <w:pPr>
              <w:ind w:firstLine="480"/>
            </w:pPr>
            <w:r>
              <w:rPr>
                <w:rFonts w:hint="eastAsia"/>
              </w:rPr>
              <w:t>5cmAC-16C</w:t>
            </w:r>
            <w:r>
              <w:rPr>
                <w:rFonts w:hint="eastAsia"/>
              </w:rPr>
              <w:t>中粒式沥青混凝土</w:t>
            </w:r>
          </w:p>
          <w:p w:rsidR="00BC07F0" w:rsidRDefault="00073EFB" w:rsidP="00C55F5E">
            <w:pPr>
              <w:ind w:firstLine="480"/>
            </w:pPr>
            <w:r>
              <w:rPr>
                <w:rFonts w:hint="eastAsia"/>
              </w:rPr>
              <w:t>PCR</w:t>
            </w:r>
            <w:r>
              <w:rPr>
                <w:rFonts w:hint="eastAsia"/>
              </w:rPr>
              <w:t>改性乳化沥青粘层油</w:t>
            </w:r>
          </w:p>
          <w:p w:rsidR="00BC07F0" w:rsidRDefault="00073EFB" w:rsidP="00C55F5E">
            <w:pPr>
              <w:ind w:firstLine="480"/>
            </w:pPr>
            <w:r>
              <w:rPr>
                <w:rFonts w:hint="eastAsia"/>
              </w:rPr>
              <w:t>7cmAC-25C</w:t>
            </w:r>
            <w:r>
              <w:rPr>
                <w:rFonts w:hint="eastAsia"/>
              </w:rPr>
              <w:t>粗粒式沥青混凝土</w:t>
            </w:r>
          </w:p>
          <w:p w:rsidR="00BC07F0" w:rsidRDefault="00073EFB" w:rsidP="00C55F5E">
            <w:pPr>
              <w:ind w:firstLine="480"/>
            </w:pPr>
            <w:r>
              <w:rPr>
                <w:rFonts w:hint="eastAsia"/>
              </w:rPr>
              <w:t>0.8cm</w:t>
            </w:r>
            <w:r>
              <w:rPr>
                <w:rFonts w:hint="eastAsia"/>
              </w:rPr>
              <w:t>乳化沥青稀浆下封层</w:t>
            </w:r>
          </w:p>
          <w:p w:rsidR="00BC07F0" w:rsidRDefault="00073EFB" w:rsidP="00C55F5E">
            <w:pPr>
              <w:ind w:firstLine="480"/>
            </w:pPr>
            <w:r>
              <w:rPr>
                <w:rFonts w:hint="eastAsia"/>
              </w:rPr>
              <w:lastRenderedPageBreak/>
              <w:t>PC-2</w:t>
            </w:r>
            <w:r>
              <w:rPr>
                <w:rFonts w:hint="eastAsia"/>
              </w:rPr>
              <w:t>型乳化沥青透层油</w:t>
            </w:r>
          </w:p>
          <w:p w:rsidR="00BC07F0" w:rsidRDefault="00073EFB" w:rsidP="00C55F5E">
            <w:pPr>
              <w:ind w:firstLine="480"/>
            </w:pPr>
            <w:r>
              <w:rPr>
                <w:rFonts w:hint="eastAsia"/>
              </w:rPr>
              <w:t>20cm5.5%</w:t>
            </w:r>
            <w:r>
              <w:rPr>
                <w:rFonts w:hint="eastAsia"/>
              </w:rPr>
              <w:t>水泥稳定碎石上基层</w:t>
            </w:r>
          </w:p>
          <w:p w:rsidR="00BC07F0" w:rsidRDefault="00073EFB" w:rsidP="00C55F5E">
            <w:pPr>
              <w:ind w:firstLine="480"/>
            </w:pPr>
            <w:r>
              <w:rPr>
                <w:rFonts w:hint="eastAsia"/>
              </w:rPr>
              <w:t>20cm4.0%</w:t>
            </w:r>
            <w:r>
              <w:rPr>
                <w:rFonts w:hint="eastAsia"/>
              </w:rPr>
              <w:t>水泥稳定碎石下基层</w:t>
            </w:r>
          </w:p>
          <w:p w:rsidR="00BC07F0" w:rsidRDefault="00073EFB" w:rsidP="00C55F5E">
            <w:pPr>
              <w:ind w:firstLine="480"/>
            </w:pPr>
            <w:r>
              <w:rPr>
                <w:rFonts w:hint="eastAsia"/>
              </w:rPr>
              <w:t>15cm</w:t>
            </w:r>
            <w:r>
              <w:rPr>
                <w:rFonts w:hint="eastAsia"/>
              </w:rPr>
              <w:t>级配碎石</w:t>
            </w:r>
          </w:p>
          <w:p w:rsidR="00BC07F0" w:rsidRDefault="00073EFB" w:rsidP="00C55F5E">
            <w:pPr>
              <w:ind w:firstLine="480"/>
            </w:pPr>
            <w:r>
              <w:rPr>
                <w:rFonts w:hint="eastAsia"/>
              </w:rPr>
              <w:t>总厚度为</w:t>
            </w:r>
            <w:r>
              <w:rPr>
                <w:rFonts w:hint="eastAsia"/>
              </w:rPr>
              <w:t>71.8cm</w:t>
            </w:r>
          </w:p>
          <w:p w:rsidR="00BC07F0" w:rsidRDefault="00073EFB" w:rsidP="00C55F5E">
            <w:pPr>
              <w:ind w:firstLine="480"/>
            </w:pPr>
            <w:r>
              <w:rPr>
                <w:rFonts w:hint="eastAsia"/>
              </w:rPr>
              <w:t>（</w:t>
            </w:r>
            <w:r>
              <w:rPr>
                <w:rFonts w:hint="eastAsia"/>
              </w:rPr>
              <w:t>2</w:t>
            </w:r>
            <w:r>
              <w:rPr>
                <w:rFonts w:hint="eastAsia"/>
              </w:rPr>
              <w:t>）人行及非机动车道路面结构</w:t>
            </w:r>
          </w:p>
          <w:p w:rsidR="00BC07F0" w:rsidRDefault="00073EFB" w:rsidP="00C55F5E">
            <w:pPr>
              <w:ind w:firstLine="480"/>
            </w:pPr>
            <w:r>
              <w:rPr>
                <w:rFonts w:hint="eastAsia"/>
              </w:rPr>
              <w:t>6cm</w:t>
            </w:r>
            <w:r>
              <w:rPr>
                <w:rFonts w:hint="eastAsia"/>
              </w:rPr>
              <w:t>环保透水砖</w:t>
            </w:r>
          </w:p>
          <w:p w:rsidR="00BC07F0" w:rsidRDefault="00073EFB" w:rsidP="00C55F5E">
            <w:pPr>
              <w:ind w:firstLine="480"/>
            </w:pPr>
            <w:r>
              <w:rPr>
                <w:rFonts w:hint="eastAsia"/>
              </w:rPr>
              <w:t>3cmM7.5</w:t>
            </w:r>
            <w:r>
              <w:rPr>
                <w:rFonts w:hint="eastAsia"/>
              </w:rPr>
              <w:t>水泥砂浆找平层</w:t>
            </w:r>
          </w:p>
          <w:p w:rsidR="00BC07F0" w:rsidRDefault="00073EFB" w:rsidP="00C55F5E">
            <w:pPr>
              <w:ind w:firstLine="480"/>
            </w:pPr>
            <w:r>
              <w:rPr>
                <w:rFonts w:hint="eastAsia"/>
              </w:rPr>
              <w:t>20cmC20</w:t>
            </w:r>
            <w:r>
              <w:rPr>
                <w:rFonts w:hint="eastAsia"/>
              </w:rPr>
              <w:t>水泥混凝土基层</w:t>
            </w:r>
          </w:p>
          <w:p w:rsidR="00BC07F0" w:rsidRDefault="00073EFB" w:rsidP="00C55F5E">
            <w:pPr>
              <w:ind w:firstLine="480"/>
            </w:pPr>
            <w:r>
              <w:rPr>
                <w:rFonts w:hint="eastAsia"/>
              </w:rPr>
              <w:t>总厚度为</w:t>
            </w:r>
            <w:r>
              <w:rPr>
                <w:rFonts w:hint="eastAsia"/>
              </w:rPr>
              <w:t>29.0cm</w:t>
            </w:r>
            <w:r>
              <w:rPr>
                <w:rFonts w:hint="eastAsia"/>
              </w:rPr>
              <w:t>。</w:t>
            </w:r>
          </w:p>
          <w:p w:rsidR="00BC07F0" w:rsidRDefault="00073EFB" w:rsidP="00C55F5E">
            <w:pPr>
              <w:ind w:firstLine="482"/>
              <w:rPr>
                <w:b/>
                <w:bCs/>
              </w:rPr>
            </w:pPr>
            <w:r>
              <w:rPr>
                <w:rFonts w:hint="eastAsia"/>
                <w:b/>
                <w:bCs/>
              </w:rPr>
              <w:t>2.6.1.12</w:t>
            </w:r>
            <w:r>
              <w:rPr>
                <w:rFonts w:hint="eastAsia"/>
                <w:b/>
                <w:bCs/>
              </w:rPr>
              <w:t>桥涵设计</w:t>
            </w:r>
          </w:p>
          <w:p w:rsidR="00BC07F0" w:rsidRDefault="00073EFB" w:rsidP="00C55F5E">
            <w:pPr>
              <w:ind w:firstLine="480"/>
            </w:pPr>
            <w:r>
              <w:rPr>
                <w:rFonts w:hint="eastAsia"/>
              </w:rPr>
              <w:t>道路全线设置</w:t>
            </w:r>
            <w:r>
              <w:rPr>
                <w:rFonts w:hint="eastAsia"/>
              </w:rPr>
              <w:t>3</w:t>
            </w:r>
            <w:r>
              <w:rPr>
                <w:rFonts w:hint="eastAsia"/>
              </w:rPr>
              <w:t>×</w:t>
            </w:r>
            <w:r>
              <w:rPr>
                <w:rFonts w:hint="eastAsia"/>
              </w:rPr>
              <w:t>16m</w:t>
            </w:r>
            <w:r>
              <w:rPr>
                <w:rFonts w:hint="eastAsia"/>
              </w:rPr>
              <w:t>简支预应力空心板梁桥</w:t>
            </w:r>
            <w:r>
              <w:rPr>
                <w:rFonts w:hint="eastAsia"/>
              </w:rPr>
              <w:t>1</w:t>
            </w:r>
            <w:r>
              <w:rPr>
                <w:rFonts w:hint="eastAsia"/>
              </w:rPr>
              <w:t>座。人行地下通道</w:t>
            </w:r>
            <w:r>
              <w:rPr>
                <w:rFonts w:hint="eastAsia"/>
              </w:rPr>
              <w:t>2</w:t>
            </w:r>
            <w:r>
              <w:rPr>
                <w:rFonts w:hint="eastAsia"/>
              </w:rPr>
              <w:t>座。圆管涵</w:t>
            </w:r>
            <w:r>
              <w:rPr>
                <w:rFonts w:hint="eastAsia"/>
              </w:rPr>
              <w:t>1</w:t>
            </w:r>
            <w:r>
              <w:rPr>
                <w:rFonts w:hint="eastAsia"/>
              </w:rPr>
              <w:t>道。</w:t>
            </w:r>
          </w:p>
          <w:p w:rsidR="00BC07F0" w:rsidRDefault="00073EFB">
            <w:pPr>
              <w:pStyle w:val="a7"/>
              <w:rPr>
                <w:rFonts w:hint="default"/>
              </w:rPr>
            </w:pPr>
            <w:r>
              <w:rPr>
                <w:noProof/>
                <w:sz w:val="24"/>
              </w:rPr>
              <w:drawing>
                <wp:inline distT="0" distB="0" distL="114300" distR="114300">
                  <wp:extent cx="5346065" cy="2212975"/>
                  <wp:effectExtent l="0" t="0" r="6985"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7" cstate="print"/>
                          <a:srcRect r="1973" b="5904"/>
                          <a:stretch>
                            <a:fillRect/>
                          </a:stretch>
                        </pic:blipFill>
                        <pic:spPr>
                          <a:xfrm>
                            <a:off x="0" y="0"/>
                            <a:ext cx="5346065" cy="2212975"/>
                          </a:xfrm>
                          <a:prstGeom prst="rect">
                            <a:avLst/>
                          </a:prstGeom>
                          <a:noFill/>
                          <a:ln>
                            <a:noFill/>
                          </a:ln>
                        </pic:spPr>
                      </pic:pic>
                    </a:graphicData>
                  </a:graphic>
                </wp:inline>
              </w:drawing>
            </w:r>
          </w:p>
          <w:p w:rsidR="00BC07F0" w:rsidRDefault="00073EFB">
            <w:pPr>
              <w:pStyle w:val="a7"/>
              <w:rPr>
                <w:rFonts w:hint="default"/>
                <w:b/>
                <w:bCs/>
              </w:rPr>
            </w:pPr>
            <w:r>
              <w:rPr>
                <w:b/>
                <w:bCs/>
              </w:rPr>
              <w:t>图</w:t>
            </w:r>
            <w:r>
              <w:rPr>
                <w:b/>
                <w:bCs/>
              </w:rPr>
              <w:t>2.6-2</w:t>
            </w:r>
            <w:r>
              <w:rPr>
                <w:b/>
                <w:bCs/>
              </w:rPr>
              <w:t>空心板梁总体布置图</w:t>
            </w:r>
          </w:p>
          <w:p w:rsidR="00BC07F0" w:rsidRDefault="00073EFB" w:rsidP="00C55F5E">
            <w:pPr>
              <w:ind w:firstLine="482"/>
              <w:rPr>
                <w:b/>
                <w:bCs/>
              </w:rPr>
            </w:pPr>
            <w:r>
              <w:rPr>
                <w:rFonts w:hint="eastAsia"/>
                <w:b/>
                <w:bCs/>
              </w:rPr>
              <w:t>2.6.1.13</w:t>
            </w:r>
            <w:r>
              <w:rPr>
                <w:rFonts w:hint="eastAsia"/>
                <w:b/>
                <w:bCs/>
              </w:rPr>
              <w:t>排水设计</w:t>
            </w:r>
          </w:p>
          <w:p w:rsidR="00BC07F0" w:rsidRDefault="00073EFB" w:rsidP="00C55F5E">
            <w:pPr>
              <w:ind w:firstLine="480"/>
            </w:pPr>
            <w:r>
              <w:rPr>
                <w:rFonts w:hint="eastAsia"/>
              </w:rPr>
              <w:t>道路排水体制采用分流制，在道路两侧设置临时性排水边沟，工程属铜桥港污水处理厂的纳污范围。</w:t>
            </w:r>
            <w:r>
              <w:rPr>
                <w:rFonts w:hint="eastAsia"/>
              </w:rPr>
              <w:t>项目所在区域</w:t>
            </w:r>
            <w:r>
              <w:rPr>
                <w:rFonts w:hint="eastAsia"/>
              </w:rPr>
              <w:t>有一人工水渠横穿酃白路、湘江南路排入湘江，片区均属于低排，片区雨水均通过自然沟渠、幸福河、或规划人工渠道汛期通过排渍泵站，最终排入湘江。根据本排水工程的特点，雨水管和污水管管材采用</w:t>
            </w:r>
            <w:r>
              <w:rPr>
                <w:rFonts w:hint="eastAsia"/>
              </w:rPr>
              <w:t>HDPE</w:t>
            </w:r>
            <w:r>
              <w:rPr>
                <w:rFonts w:hint="eastAsia"/>
              </w:rPr>
              <w:t>排水管和钢砼承插口排水管。</w:t>
            </w:r>
          </w:p>
          <w:p w:rsidR="00BC07F0" w:rsidRDefault="00073EFB">
            <w:pPr>
              <w:pStyle w:val="a7"/>
              <w:rPr>
                <w:rFonts w:hint="default"/>
              </w:rPr>
            </w:pPr>
            <w:r>
              <w:rPr>
                <w:noProof/>
                <w:color w:val="000000"/>
              </w:rPr>
              <w:lastRenderedPageBreak/>
              <w:drawing>
                <wp:inline distT="0" distB="0" distL="114300" distR="114300">
                  <wp:extent cx="4886325" cy="2868930"/>
                  <wp:effectExtent l="0" t="0" r="9525"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cstate="print"/>
                          <a:stretch>
                            <a:fillRect/>
                          </a:stretch>
                        </pic:blipFill>
                        <pic:spPr>
                          <a:xfrm>
                            <a:off x="0" y="0"/>
                            <a:ext cx="4886325" cy="2868930"/>
                          </a:xfrm>
                          <a:prstGeom prst="rect">
                            <a:avLst/>
                          </a:prstGeom>
                          <a:noFill/>
                          <a:ln>
                            <a:noFill/>
                          </a:ln>
                        </pic:spPr>
                      </pic:pic>
                    </a:graphicData>
                  </a:graphic>
                </wp:inline>
              </w:drawing>
            </w:r>
          </w:p>
          <w:p w:rsidR="00BC07F0" w:rsidRDefault="00073EFB">
            <w:pPr>
              <w:pStyle w:val="a7"/>
              <w:rPr>
                <w:rFonts w:hint="default"/>
                <w:b/>
                <w:bCs/>
              </w:rPr>
            </w:pPr>
            <w:r>
              <w:rPr>
                <w:b/>
                <w:bCs/>
              </w:rPr>
              <w:t>图</w:t>
            </w:r>
            <w:r>
              <w:rPr>
                <w:b/>
                <w:bCs/>
              </w:rPr>
              <w:t>2.6-3</w:t>
            </w:r>
            <w:r>
              <w:rPr>
                <w:b/>
                <w:bCs/>
              </w:rPr>
              <w:t>管线综合标准横断面图</w:t>
            </w:r>
          </w:p>
          <w:p w:rsidR="00BC07F0" w:rsidRDefault="00073EFB" w:rsidP="00C55F5E">
            <w:pPr>
              <w:ind w:firstLine="482"/>
              <w:rPr>
                <w:b/>
                <w:bCs/>
              </w:rPr>
            </w:pPr>
            <w:r>
              <w:rPr>
                <w:rFonts w:hint="eastAsia"/>
                <w:b/>
                <w:bCs/>
              </w:rPr>
              <w:t>2.6.1.14</w:t>
            </w:r>
            <w:r>
              <w:rPr>
                <w:rFonts w:hint="eastAsia"/>
                <w:b/>
                <w:bCs/>
              </w:rPr>
              <w:t>道路附属工程</w:t>
            </w:r>
          </w:p>
          <w:p w:rsidR="00BC07F0" w:rsidRDefault="00073EFB" w:rsidP="00C55F5E">
            <w:pPr>
              <w:ind w:firstLine="480"/>
            </w:pPr>
            <w:r>
              <w:rPr>
                <w:rFonts w:hint="eastAsia"/>
              </w:rPr>
              <w:t>道路沿线设置照明、电力、电信、绿化、交通及附属设施。</w:t>
            </w:r>
          </w:p>
          <w:p w:rsidR="00BC07F0" w:rsidRDefault="00073EFB" w:rsidP="00C55F5E">
            <w:pPr>
              <w:ind w:firstLine="480"/>
            </w:pPr>
            <w:r>
              <w:rPr>
                <w:rFonts w:hint="eastAsia"/>
              </w:rPr>
              <w:t>照明：采用普通单臂路灯双侧对称布灯方式，路灯杆在道路两侧人行道缘石处装设。</w:t>
            </w:r>
            <w:r>
              <w:rPr>
                <w:rFonts w:hint="eastAsia"/>
              </w:rPr>
              <w:t>照明光源功率为</w:t>
            </w:r>
            <w:r>
              <w:rPr>
                <w:rFonts w:hint="eastAsia"/>
              </w:rPr>
              <w:t>2</w:t>
            </w:r>
            <w:r>
              <w:rPr>
                <w:rFonts w:hint="eastAsia"/>
              </w:rPr>
              <w:t>×</w:t>
            </w:r>
            <w:r>
              <w:rPr>
                <w:rFonts w:hint="eastAsia"/>
              </w:rPr>
              <w:t>120W</w:t>
            </w:r>
            <w:r>
              <w:rPr>
                <w:rFonts w:hint="eastAsia"/>
              </w:rPr>
              <w:t>。灯具为</w:t>
            </w:r>
            <w:r>
              <w:rPr>
                <w:rFonts w:hint="eastAsia"/>
              </w:rPr>
              <w:t>LED</w:t>
            </w:r>
            <w:r>
              <w:rPr>
                <w:rFonts w:hint="eastAsia"/>
              </w:rPr>
              <w:t>灯。灯杆安装高度</w:t>
            </w:r>
            <w:r>
              <w:rPr>
                <w:rFonts w:hint="eastAsia"/>
              </w:rPr>
              <w:t>12m</w:t>
            </w:r>
            <w:r>
              <w:rPr>
                <w:rFonts w:hint="eastAsia"/>
              </w:rPr>
              <w:t>，臂长</w:t>
            </w:r>
            <w:r>
              <w:rPr>
                <w:rFonts w:hint="eastAsia"/>
              </w:rPr>
              <w:t>2.0m</w:t>
            </w:r>
            <w:r>
              <w:rPr>
                <w:rFonts w:hint="eastAsia"/>
              </w:rPr>
              <w:t>。照明灯杆间距为</w:t>
            </w:r>
            <w:r>
              <w:rPr>
                <w:rFonts w:hint="eastAsia"/>
              </w:rPr>
              <w:t>30m</w:t>
            </w:r>
            <w:r>
              <w:rPr>
                <w:rFonts w:hint="eastAsia"/>
              </w:rPr>
              <w:t>左右。道路交叉口设置中杆灯加强照明，所采用光源功率为</w:t>
            </w:r>
            <w:r>
              <w:rPr>
                <w:rFonts w:hint="eastAsia"/>
              </w:rPr>
              <w:t>3</w:t>
            </w:r>
            <w:r>
              <w:rPr>
                <w:rFonts w:hint="eastAsia"/>
              </w:rPr>
              <w:t>×</w:t>
            </w:r>
            <w:r>
              <w:rPr>
                <w:rFonts w:hint="eastAsia"/>
              </w:rPr>
              <w:t>400W</w:t>
            </w:r>
            <w:r>
              <w:rPr>
                <w:rFonts w:hint="eastAsia"/>
              </w:rPr>
              <w:t>（</w:t>
            </w:r>
            <w:r>
              <w:rPr>
                <w:rFonts w:hint="eastAsia"/>
              </w:rPr>
              <w:t>H=15m</w:t>
            </w:r>
            <w:r>
              <w:rPr>
                <w:rFonts w:hint="eastAsia"/>
              </w:rPr>
              <w:t>）中杆灯，灯具为投光灯具。照明灯杆采用钢质锥形杆，并且采用热浸锌对灯杆和灯臂表面进行防腐处理，每杆路灯在安装时均配单灯保护开关。</w:t>
            </w:r>
          </w:p>
          <w:p w:rsidR="00BC07F0" w:rsidRDefault="00073EFB" w:rsidP="00C55F5E">
            <w:pPr>
              <w:ind w:firstLine="482"/>
              <w:rPr>
                <w:b/>
                <w:bCs/>
              </w:rPr>
            </w:pPr>
            <w:r>
              <w:rPr>
                <w:rFonts w:hint="eastAsia"/>
                <w:b/>
                <w:bCs/>
              </w:rPr>
              <w:t>2.6.1.15</w:t>
            </w:r>
            <w:r>
              <w:rPr>
                <w:rFonts w:hint="eastAsia"/>
                <w:b/>
                <w:bCs/>
              </w:rPr>
              <w:t>交通流量</w:t>
            </w:r>
            <w:r>
              <w:rPr>
                <w:rFonts w:hint="eastAsia"/>
                <w:b/>
                <w:bCs/>
              </w:rPr>
              <w:t>预测结果</w:t>
            </w:r>
          </w:p>
          <w:p w:rsidR="00BC07F0" w:rsidRDefault="00073EFB">
            <w:pPr>
              <w:pStyle w:val="a7"/>
              <w:rPr>
                <w:rFonts w:hint="default"/>
                <w:b/>
                <w:bCs/>
              </w:rPr>
            </w:pPr>
            <w:r>
              <w:rPr>
                <w:b/>
                <w:bCs/>
              </w:rPr>
              <w:t>表</w:t>
            </w:r>
            <w:r>
              <w:rPr>
                <w:b/>
                <w:bCs/>
              </w:rPr>
              <w:t>2.6-2</w:t>
            </w:r>
            <w:r>
              <w:rPr>
                <w:b/>
                <w:bCs/>
              </w:rPr>
              <w:t>酃白路</w:t>
            </w:r>
            <w:r>
              <w:rPr>
                <w:b/>
                <w:bCs/>
              </w:rPr>
              <w:t>单向高峰小时流量表（取最大负荷断面）</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8"/>
              <w:gridCol w:w="2313"/>
              <w:gridCol w:w="2313"/>
              <w:gridCol w:w="2313"/>
            </w:tblGrid>
            <w:tr w:rsidR="00BC07F0">
              <w:trPr>
                <w:trHeight w:val="397"/>
                <w:jc w:val="center"/>
              </w:trPr>
              <w:tc>
                <w:tcPr>
                  <w:tcW w:w="1985" w:type="dxa"/>
                  <w:tcBorders>
                    <w:tl2br w:val="nil"/>
                    <w:tr2bl w:val="nil"/>
                  </w:tcBorders>
                  <w:vAlign w:val="center"/>
                </w:tcPr>
                <w:p w:rsidR="00BC07F0" w:rsidRDefault="00073EFB">
                  <w:pPr>
                    <w:pStyle w:val="a7"/>
                    <w:rPr>
                      <w:rFonts w:hint="default"/>
                    </w:rPr>
                  </w:pPr>
                  <w:r>
                    <w:t>特征年道路</w:t>
                  </w:r>
                </w:p>
              </w:tc>
              <w:tc>
                <w:tcPr>
                  <w:tcW w:w="2221" w:type="dxa"/>
                  <w:tcBorders>
                    <w:tl2br w:val="nil"/>
                    <w:tr2bl w:val="nil"/>
                  </w:tcBorders>
                  <w:vAlign w:val="center"/>
                </w:tcPr>
                <w:p w:rsidR="00BC07F0" w:rsidRDefault="00073EFB">
                  <w:pPr>
                    <w:pStyle w:val="a7"/>
                    <w:rPr>
                      <w:rFonts w:hint="default"/>
                    </w:rPr>
                  </w:pPr>
                  <w:r>
                    <w:t>2025</w:t>
                  </w:r>
                  <w:r>
                    <w:t>年</w:t>
                  </w:r>
                </w:p>
              </w:tc>
              <w:tc>
                <w:tcPr>
                  <w:tcW w:w="2221" w:type="dxa"/>
                  <w:tcBorders>
                    <w:tl2br w:val="nil"/>
                    <w:tr2bl w:val="nil"/>
                  </w:tcBorders>
                  <w:vAlign w:val="center"/>
                </w:tcPr>
                <w:p w:rsidR="00BC07F0" w:rsidRDefault="00073EFB">
                  <w:pPr>
                    <w:pStyle w:val="a7"/>
                    <w:rPr>
                      <w:rFonts w:hint="default"/>
                    </w:rPr>
                  </w:pPr>
                  <w:r>
                    <w:t>2027</w:t>
                  </w:r>
                  <w:r>
                    <w:t>年</w:t>
                  </w:r>
                </w:p>
              </w:tc>
              <w:tc>
                <w:tcPr>
                  <w:tcW w:w="2221" w:type="dxa"/>
                  <w:tcBorders>
                    <w:tl2br w:val="nil"/>
                    <w:tr2bl w:val="nil"/>
                  </w:tcBorders>
                  <w:vAlign w:val="center"/>
                </w:tcPr>
                <w:p w:rsidR="00BC07F0" w:rsidRDefault="00073EFB">
                  <w:pPr>
                    <w:pStyle w:val="a7"/>
                    <w:rPr>
                      <w:rFonts w:hint="default"/>
                    </w:rPr>
                  </w:pPr>
                  <w:r>
                    <w:t>203</w:t>
                  </w:r>
                  <w:r>
                    <w:t>2</w:t>
                  </w:r>
                  <w:r>
                    <w:t>年</w:t>
                  </w:r>
                </w:p>
              </w:tc>
            </w:tr>
            <w:tr w:rsidR="00BC07F0">
              <w:trPr>
                <w:trHeight w:val="397"/>
                <w:jc w:val="center"/>
              </w:trPr>
              <w:tc>
                <w:tcPr>
                  <w:tcW w:w="1985" w:type="dxa"/>
                  <w:tcBorders>
                    <w:tl2br w:val="nil"/>
                    <w:tr2bl w:val="nil"/>
                  </w:tcBorders>
                  <w:vAlign w:val="center"/>
                </w:tcPr>
                <w:p w:rsidR="00BC07F0" w:rsidRDefault="00073EFB">
                  <w:pPr>
                    <w:pStyle w:val="a7"/>
                    <w:rPr>
                      <w:rFonts w:hint="default"/>
                    </w:rPr>
                  </w:pPr>
                  <w:r>
                    <w:t>酃白路</w:t>
                  </w:r>
                </w:p>
              </w:tc>
              <w:tc>
                <w:tcPr>
                  <w:tcW w:w="2221" w:type="dxa"/>
                  <w:tcBorders>
                    <w:tl2br w:val="nil"/>
                    <w:tr2bl w:val="nil"/>
                  </w:tcBorders>
                  <w:vAlign w:val="center"/>
                </w:tcPr>
                <w:p w:rsidR="00BC07F0" w:rsidRDefault="00073EFB">
                  <w:pPr>
                    <w:pStyle w:val="a7"/>
                    <w:rPr>
                      <w:rFonts w:hint="default"/>
                    </w:rPr>
                  </w:pPr>
                  <w:r>
                    <w:t>1675</w:t>
                  </w:r>
                </w:p>
              </w:tc>
              <w:tc>
                <w:tcPr>
                  <w:tcW w:w="2221" w:type="dxa"/>
                  <w:tcBorders>
                    <w:tl2br w:val="nil"/>
                    <w:tr2bl w:val="nil"/>
                  </w:tcBorders>
                  <w:vAlign w:val="center"/>
                </w:tcPr>
                <w:p w:rsidR="00BC07F0" w:rsidRDefault="00073EFB">
                  <w:pPr>
                    <w:pStyle w:val="a7"/>
                    <w:rPr>
                      <w:rFonts w:hint="default"/>
                    </w:rPr>
                  </w:pPr>
                  <w:r>
                    <w:t>2171</w:t>
                  </w:r>
                </w:p>
              </w:tc>
              <w:tc>
                <w:tcPr>
                  <w:tcW w:w="2221" w:type="dxa"/>
                  <w:tcBorders>
                    <w:tl2br w:val="nil"/>
                    <w:tr2bl w:val="nil"/>
                  </w:tcBorders>
                  <w:vAlign w:val="center"/>
                </w:tcPr>
                <w:p w:rsidR="00BC07F0" w:rsidRDefault="00073EFB">
                  <w:pPr>
                    <w:pStyle w:val="a7"/>
                    <w:rPr>
                      <w:rFonts w:hint="default"/>
                    </w:rPr>
                  </w:pPr>
                  <w:r>
                    <w:t>2984</w:t>
                  </w:r>
                </w:p>
              </w:tc>
            </w:tr>
          </w:tbl>
          <w:p w:rsidR="00BC07F0" w:rsidRDefault="00073EFB" w:rsidP="00C55F5E">
            <w:pPr>
              <w:ind w:firstLine="482"/>
              <w:rPr>
                <w:b/>
                <w:bCs/>
              </w:rPr>
            </w:pPr>
            <w:r>
              <w:rPr>
                <w:rFonts w:hint="eastAsia"/>
                <w:b/>
                <w:bCs/>
              </w:rPr>
              <w:t>2.6.1.16</w:t>
            </w:r>
            <w:r>
              <w:rPr>
                <w:rFonts w:hint="eastAsia"/>
                <w:b/>
                <w:bCs/>
              </w:rPr>
              <w:t>道路线形主要技术指标</w:t>
            </w:r>
          </w:p>
          <w:p w:rsidR="00BC07F0" w:rsidRDefault="00073EFB">
            <w:pPr>
              <w:pStyle w:val="a7"/>
              <w:rPr>
                <w:rFonts w:hint="default"/>
                <w:b/>
                <w:bCs/>
              </w:rPr>
            </w:pPr>
            <w:r>
              <w:rPr>
                <w:b/>
                <w:bCs/>
              </w:rPr>
              <w:t>表</w:t>
            </w:r>
            <w:r>
              <w:rPr>
                <w:b/>
                <w:bCs/>
              </w:rPr>
              <w:t>2.6-3</w:t>
            </w:r>
            <w:r>
              <w:rPr>
                <w:b/>
                <w:bCs/>
              </w:rPr>
              <w:t>道路线形主要技术指标表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
              <w:gridCol w:w="1221"/>
              <w:gridCol w:w="750"/>
              <w:gridCol w:w="662"/>
              <w:gridCol w:w="959"/>
              <w:gridCol w:w="662"/>
              <w:gridCol w:w="758"/>
              <w:gridCol w:w="662"/>
              <w:gridCol w:w="852"/>
              <w:gridCol w:w="923"/>
              <w:gridCol w:w="783"/>
            </w:tblGrid>
            <w:tr w:rsidR="00BC07F0">
              <w:trPr>
                <w:trHeight w:val="397"/>
                <w:jc w:val="center"/>
              </w:trPr>
              <w:tc>
                <w:tcPr>
                  <w:tcW w:w="778" w:type="dxa"/>
                  <w:vMerge w:val="restart"/>
                  <w:tcBorders>
                    <w:tl2br w:val="nil"/>
                    <w:tr2bl w:val="nil"/>
                  </w:tcBorders>
                  <w:vAlign w:val="center"/>
                </w:tcPr>
                <w:p w:rsidR="00BC07F0" w:rsidRDefault="00073EFB">
                  <w:pPr>
                    <w:pStyle w:val="a7"/>
                    <w:rPr>
                      <w:rFonts w:hint="default"/>
                    </w:rPr>
                  </w:pPr>
                  <w:r>
                    <w:t>道路宽度</w:t>
                  </w:r>
                </w:p>
              </w:tc>
              <w:tc>
                <w:tcPr>
                  <w:tcW w:w="1224" w:type="dxa"/>
                  <w:vMerge w:val="restart"/>
                  <w:tcBorders>
                    <w:tl2br w:val="nil"/>
                    <w:tr2bl w:val="nil"/>
                  </w:tcBorders>
                  <w:vAlign w:val="center"/>
                </w:tcPr>
                <w:p w:rsidR="00BC07F0" w:rsidRDefault="00073EFB">
                  <w:pPr>
                    <w:pStyle w:val="a7"/>
                    <w:rPr>
                      <w:rFonts w:hint="default"/>
                    </w:rPr>
                  </w:pPr>
                  <w:r>
                    <w:t>道路长度</w:t>
                  </w:r>
                </w:p>
              </w:tc>
              <w:tc>
                <w:tcPr>
                  <w:tcW w:w="752" w:type="dxa"/>
                  <w:vMerge w:val="restart"/>
                  <w:tcBorders>
                    <w:tl2br w:val="nil"/>
                    <w:tr2bl w:val="nil"/>
                  </w:tcBorders>
                  <w:vAlign w:val="center"/>
                </w:tcPr>
                <w:p w:rsidR="00BC07F0" w:rsidRDefault="00073EFB">
                  <w:pPr>
                    <w:pStyle w:val="a7"/>
                    <w:rPr>
                      <w:rFonts w:hint="default"/>
                    </w:rPr>
                  </w:pPr>
                  <w:r>
                    <w:t>设计速度</w:t>
                  </w:r>
                </w:p>
              </w:tc>
              <w:tc>
                <w:tcPr>
                  <w:tcW w:w="663" w:type="dxa"/>
                  <w:vMerge w:val="restart"/>
                  <w:tcBorders>
                    <w:tl2br w:val="nil"/>
                    <w:tr2bl w:val="nil"/>
                  </w:tcBorders>
                  <w:vAlign w:val="center"/>
                </w:tcPr>
                <w:p w:rsidR="00BC07F0" w:rsidRDefault="00073EFB">
                  <w:pPr>
                    <w:pStyle w:val="a7"/>
                    <w:rPr>
                      <w:rFonts w:hint="default"/>
                    </w:rPr>
                  </w:pPr>
                  <w:r>
                    <w:t>平曲线最小半径</w:t>
                  </w:r>
                </w:p>
              </w:tc>
              <w:tc>
                <w:tcPr>
                  <w:tcW w:w="961" w:type="dxa"/>
                  <w:vMerge w:val="restart"/>
                  <w:tcBorders>
                    <w:tl2br w:val="nil"/>
                    <w:tr2bl w:val="nil"/>
                  </w:tcBorders>
                  <w:vAlign w:val="center"/>
                </w:tcPr>
                <w:p w:rsidR="00BC07F0" w:rsidRDefault="00073EFB">
                  <w:pPr>
                    <w:pStyle w:val="a7"/>
                    <w:rPr>
                      <w:rFonts w:hint="default"/>
                    </w:rPr>
                  </w:pPr>
                  <w:r>
                    <w:t>圆曲线最小长度</w:t>
                  </w:r>
                </w:p>
              </w:tc>
              <w:tc>
                <w:tcPr>
                  <w:tcW w:w="663" w:type="dxa"/>
                  <w:vMerge w:val="restart"/>
                  <w:tcBorders>
                    <w:tl2br w:val="nil"/>
                    <w:tr2bl w:val="nil"/>
                  </w:tcBorders>
                  <w:vAlign w:val="center"/>
                </w:tcPr>
                <w:p w:rsidR="00BC07F0" w:rsidRDefault="00073EFB">
                  <w:pPr>
                    <w:pStyle w:val="a7"/>
                    <w:rPr>
                      <w:rFonts w:hint="default"/>
                    </w:rPr>
                  </w:pPr>
                  <w:r>
                    <w:t>缓和曲线最小长度</w:t>
                  </w:r>
                </w:p>
              </w:tc>
              <w:tc>
                <w:tcPr>
                  <w:tcW w:w="760" w:type="dxa"/>
                  <w:vMerge w:val="restart"/>
                  <w:tcBorders>
                    <w:tl2br w:val="nil"/>
                    <w:tr2bl w:val="nil"/>
                  </w:tcBorders>
                  <w:vAlign w:val="center"/>
                </w:tcPr>
                <w:p w:rsidR="00BC07F0" w:rsidRDefault="00073EFB">
                  <w:pPr>
                    <w:pStyle w:val="a7"/>
                    <w:rPr>
                      <w:rFonts w:hint="default"/>
                    </w:rPr>
                  </w:pPr>
                  <w:r>
                    <w:t>机动车最大纵坡</w:t>
                  </w:r>
                </w:p>
              </w:tc>
              <w:tc>
                <w:tcPr>
                  <w:tcW w:w="663" w:type="dxa"/>
                  <w:vMerge w:val="restart"/>
                  <w:tcBorders>
                    <w:tl2br w:val="nil"/>
                    <w:tr2bl w:val="nil"/>
                  </w:tcBorders>
                  <w:vAlign w:val="center"/>
                </w:tcPr>
                <w:p w:rsidR="00BC07F0" w:rsidRDefault="00073EFB">
                  <w:pPr>
                    <w:pStyle w:val="a7"/>
                    <w:rPr>
                      <w:rFonts w:hint="default"/>
                    </w:rPr>
                  </w:pPr>
                  <w:r>
                    <w:t>机动车最小纵坡</w:t>
                  </w:r>
                </w:p>
              </w:tc>
              <w:tc>
                <w:tcPr>
                  <w:tcW w:w="854" w:type="dxa"/>
                  <w:vMerge w:val="restart"/>
                  <w:tcBorders>
                    <w:tl2br w:val="nil"/>
                    <w:tr2bl w:val="nil"/>
                  </w:tcBorders>
                  <w:vAlign w:val="center"/>
                </w:tcPr>
                <w:p w:rsidR="00BC07F0" w:rsidRDefault="00073EFB">
                  <w:pPr>
                    <w:pStyle w:val="a7"/>
                    <w:rPr>
                      <w:rFonts w:hint="default"/>
                    </w:rPr>
                  </w:pPr>
                  <w:r>
                    <w:t>机动车最小坡长</w:t>
                  </w:r>
                </w:p>
              </w:tc>
              <w:tc>
                <w:tcPr>
                  <w:tcW w:w="1710" w:type="dxa"/>
                  <w:gridSpan w:val="2"/>
                  <w:tcBorders>
                    <w:tl2br w:val="nil"/>
                    <w:tr2bl w:val="nil"/>
                  </w:tcBorders>
                  <w:vAlign w:val="center"/>
                </w:tcPr>
                <w:p w:rsidR="00BC07F0" w:rsidRDefault="00073EFB">
                  <w:pPr>
                    <w:pStyle w:val="a7"/>
                    <w:rPr>
                      <w:rFonts w:hint="default"/>
                    </w:rPr>
                  </w:pPr>
                  <w:r>
                    <w:t>竖曲线最小半径</w:t>
                  </w:r>
                </w:p>
              </w:tc>
            </w:tr>
            <w:tr w:rsidR="00BC07F0">
              <w:trPr>
                <w:trHeight w:val="397"/>
                <w:jc w:val="center"/>
              </w:trPr>
              <w:tc>
                <w:tcPr>
                  <w:tcW w:w="778" w:type="dxa"/>
                  <w:vMerge/>
                  <w:tcBorders>
                    <w:tl2br w:val="nil"/>
                    <w:tr2bl w:val="nil"/>
                  </w:tcBorders>
                  <w:vAlign w:val="center"/>
                </w:tcPr>
                <w:p w:rsidR="00BC07F0" w:rsidRDefault="00BC07F0">
                  <w:pPr>
                    <w:pStyle w:val="a7"/>
                    <w:rPr>
                      <w:rFonts w:hint="default"/>
                    </w:rPr>
                  </w:pPr>
                </w:p>
              </w:tc>
              <w:tc>
                <w:tcPr>
                  <w:tcW w:w="1224" w:type="dxa"/>
                  <w:vMerge/>
                  <w:tcBorders>
                    <w:tl2br w:val="nil"/>
                    <w:tr2bl w:val="nil"/>
                  </w:tcBorders>
                  <w:vAlign w:val="center"/>
                </w:tcPr>
                <w:p w:rsidR="00BC07F0" w:rsidRDefault="00BC07F0">
                  <w:pPr>
                    <w:pStyle w:val="a7"/>
                    <w:rPr>
                      <w:rFonts w:hint="default"/>
                    </w:rPr>
                  </w:pPr>
                </w:p>
              </w:tc>
              <w:tc>
                <w:tcPr>
                  <w:tcW w:w="752" w:type="dxa"/>
                  <w:vMerge/>
                  <w:tcBorders>
                    <w:tl2br w:val="nil"/>
                    <w:tr2bl w:val="nil"/>
                  </w:tcBorders>
                  <w:vAlign w:val="center"/>
                </w:tcPr>
                <w:p w:rsidR="00BC07F0" w:rsidRDefault="00BC07F0">
                  <w:pPr>
                    <w:pStyle w:val="a7"/>
                    <w:rPr>
                      <w:rFonts w:hint="default"/>
                    </w:rPr>
                  </w:pPr>
                </w:p>
              </w:tc>
              <w:tc>
                <w:tcPr>
                  <w:tcW w:w="663" w:type="dxa"/>
                  <w:vMerge/>
                  <w:tcBorders>
                    <w:tl2br w:val="nil"/>
                    <w:tr2bl w:val="nil"/>
                  </w:tcBorders>
                  <w:vAlign w:val="center"/>
                </w:tcPr>
                <w:p w:rsidR="00BC07F0" w:rsidRDefault="00BC07F0">
                  <w:pPr>
                    <w:pStyle w:val="a7"/>
                    <w:rPr>
                      <w:rFonts w:hint="default"/>
                    </w:rPr>
                  </w:pPr>
                </w:p>
              </w:tc>
              <w:tc>
                <w:tcPr>
                  <w:tcW w:w="961" w:type="dxa"/>
                  <w:vMerge/>
                  <w:tcBorders>
                    <w:tl2br w:val="nil"/>
                    <w:tr2bl w:val="nil"/>
                  </w:tcBorders>
                  <w:vAlign w:val="center"/>
                </w:tcPr>
                <w:p w:rsidR="00BC07F0" w:rsidRDefault="00BC07F0">
                  <w:pPr>
                    <w:pStyle w:val="a7"/>
                    <w:rPr>
                      <w:rFonts w:hint="default"/>
                    </w:rPr>
                  </w:pPr>
                </w:p>
              </w:tc>
              <w:tc>
                <w:tcPr>
                  <w:tcW w:w="663" w:type="dxa"/>
                  <w:vMerge/>
                  <w:tcBorders>
                    <w:tl2br w:val="nil"/>
                    <w:tr2bl w:val="nil"/>
                  </w:tcBorders>
                  <w:vAlign w:val="center"/>
                </w:tcPr>
                <w:p w:rsidR="00BC07F0" w:rsidRDefault="00BC07F0">
                  <w:pPr>
                    <w:pStyle w:val="a7"/>
                    <w:rPr>
                      <w:rFonts w:hint="default"/>
                    </w:rPr>
                  </w:pPr>
                </w:p>
              </w:tc>
              <w:tc>
                <w:tcPr>
                  <w:tcW w:w="760" w:type="dxa"/>
                  <w:vMerge/>
                  <w:tcBorders>
                    <w:tl2br w:val="nil"/>
                    <w:tr2bl w:val="nil"/>
                  </w:tcBorders>
                  <w:vAlign w:val="center"/>
                </w:tcPr>
                <w:p w:rsidR="00BC07F0" w:rsidRDefault="00BC07F0">
                  <w:pPr>
                    <w:pStyle w:val="a7"/>
                    <w:rPr>
                      <w:rFonts w:hint="default"/>
                    </w:rPr>
                  </w:pPr>
                </w:p>
              </w:tc>
              <w:tc>
                <w:tcPr>
                  <w:tcW w:w="663" w:type="dxa"/>
                  <w:vMerge/>
                  <w:tcBorders>
                    <w:tl2br w:val="nil"/>
                    <w:tr2bl w:val="nil"/>
                  </w:tcBorders>
                  <w:vAlign w:val="center"/>
                </w:tcPr>
                <w:p w:rsidR="00BC07F0" w:rsidRDefault="00BC07F0">
                  <w:pPr>
                    <w:pStyle w:val="a7"/>
                    <w:rPr>
                      <w:rFonts w:hint="default"/>
                    </w:rPr>
                  </w:pPr>
                </w:p>
              </w:tc>
              <w:tc>
                <w:tcPr>
                  <w:tcW w:w="854" w:type="dxa"/>
                  <w:vMerge/>
                  <w:tcBorders>
                    <w:tl2br w:val="nil"/>
                    <w:tr2bl w:val="nil"/>
                  </w:tcBorders>
                  <w:vAlign w:val="center"/>
                </w:tcPr>
                <w:p w:rsidR="00BC07F0" w:rsidRDefault="00BC07F0">
                  <w:pPr>
                    <w:pStyle w:val="a7"/>
                    <w:rPr>
                      <w:rFonts w:hint="default"/>
                    </w:rPr>
                  </w:pPr>
                </w:p>
              </w:tc>
              <w:tc>
                <w:tcPr>
                  <w:tcW w:w="925" w:type="dxa"/>
                  <w:tcBorders>
                    <w:tl2br w:val="nil"/>
                    <w:tr2bl w:val="nil"/>
                  </w:tcBorders>
                  <w:vAlign w:val="center"/>
                </w:tcPr>
                <w:p w:rsidR="00BC07F0" w:rsidRDefault="00073EFB">
                  <w:pPr>
                    <w:pStyle w:val="a7"/>
                    <w:rPr>
                      <w:rFonts w:hint="default"/>
                    </w:rPr>
                  </w:pPr>
                  <w:r>
                    <w:t>凸形</w:t>
                  </w:r>
                </w:p>
              </w:tc>
              <w:tc>
                <w:tcPr>
                  <w:tcW w:w="785" w:type="dxa"/>
                  <w:tcBorders>
                    <w:tl2br w:val="nil"/>
                    <w:tr2bl w:val="nil"/>
                  </w:tcBorders>
                  <w:vAlign w:val="center"/>
                </w:tcPr>
                <w:p w:rsidR="00BC07F0" w:rsidRDefault="00073EFB">
                  <w:pPr>
                    <w:pStyle w:val="a7"/>
                    <w:rPr>
                      <w:rFonts w:hint="default"/>
                    </w:rPr>
                  </w:pPr>
                  <w:r>
                    <w:t>凹形</w:t>
                  </w:r>
                </w:p>
              </w:tc>
            </w:tr>
            <w:tr w:rsidR="00BC07F0">
              <w:trPr>
                <w:trHeight w:val="397"/>
                <w:jc w:val="center"/>
              </w:trPr>
              <w:tc>
                <w:tcPr>
                  <w:tcW w:w="778" w:type="dxa"/>
                  <w:vMerge/>
                  <w:tcBorders>
                    <w:tl2br w:val="nil"/>
                    <w:tr2bl w:val="nil"/>
                  </w:tcBorders>
                  <w:vAlign w:val="center"/>
                </w:tcPr>
                <w:p w:rsidR="00BC07F0" w:rsidRDefault="00BC07F0">
                  <w:pPr>
                    <w:pStyle w:val="a7"/>
                    <w:rPr>
                      <w:rFonts w:hint="default"/>
                    </w:rPr>
                  </w:pPr>
                </w:p>
              </w:tc>
              <w:tc>
                <w:tcPr>
                  <w:tcW w:w="1224" w:type="dxa"/>
                  <w:tcBorders>
                    <w:tl2br w:val="nil"/>
                    <w:tr2bl w:val="nil"/>
                  </w:tcBorders>
                  <w:vAlign w:val="center"/>
                </w:tcPr>
                <w:p w:rsidR="00BC07F0" w:rsidRDefault="00073EFB">
                  <w:pPr>
                    <w:pStyle w:val="a7"/>
                    <w:rPr>
                      <w:rFonts w:hint="default"/>
                    </w:rPr>
                  </w:pPr>
                  <w:r>
                    <w:t>m</w:t>
                  </w:r>
                </w:p>
              </w:tc>
              <w:tc>
                <w:tcPr>
                  <w:tcW w:w="752" w:type="dxa"/>
                  <w:tcBorders>
                    <w:tl2br w:val="nil"/>
                    <w:tr2bl w:val="nil"/>
                  </w:tcBorders>
                  <w:vAlign w:val="center"/>
                </w:tcPr>
                <w:p w:rsidR="00BC07F0" w:rsidRDefault="00073EFB">
                  <w:pPr>
                    <w:pStyle w:val="a7"/>
                    <w:rPr>
                      <w:rFonts w:hint="default"/>
                    </w:rPr>
                  </w:pPr>
                  <w:r>
                    <w:t>km/h</w:t>
                  </w:r>
                </w:p>
              </w:tc>
              <w:tc>
                <w:tcPr>
                  <w:tcW w:w="663" w:type="dxa"/>
                  <w:tcBorders>
                    <w:tl2br w:val="nil"/>
                    <w:tr2bl w:val="nil"/>
                  </w:tcBorders>
                  <w:vAlign w:val="center"/>
                </w:tcPr>
                <w:p w:rsidR="00BC07F0" w:rsidRDefault="00073EFB">
                  <w:pPr>
                    <w:pStyle w:val="a7"/>
                    <w:rPr>
                      <w:rFonts w:hint="default"/>
                    </w:rPr>
                  </w:pPr>
                  <w:r>
                    <w:t>m</w:t>
                  </w:r>
                </w:p>
              </w:tc>
              <w:tc>
                <w:tcPr>
                  <w:tcW w:w="961" w:type="dxa"/>
                  <w:tcBorders>
                    <w:tl2br w:val="nil"/>
                    <w:tr2bl w:val="nil"/>
                  </w:tcBorders>
                  <w:vAlign w:val="center"/>
                </w:tcPr>
                <w:p w:rsidR="00BC07F0" w:rsidRDefault="00073EFB">
                  <w:pPr>
                    <w:pStyle w:val="a7"/>
                    <w:rPr>
                      <w:rFonts w:hint="default"/>
                    </w:rPr>
                  </w:pPr>
                  <w:r>
                    <w:t>m</w:t>
                  </w:r>
                </w:p>
              </w:tc>
              <w:tc>
                <w:tcPr>
                  <w:tcW w:w="663" w:type="dxa"/>
                  <w:tcBorders>
                    <w:tl2br w:val="nil"/>
                    <w:tr2bl w:val="nil"/>
                  </w:tcBorders>
                  <w:vAlign w:val="center"/>
                </w:tcPr>
                <w:p w:rsidR="00BC07F0" w:rsidRDefault="00073EFB">
                  <w:pPr>
                    <w:pStyle w:val="a7"/>
                    <w:rPr>
                      <w:rFonts w:hint="default"/>
                    </w:rPr>
                  </w:pPr>
                  <w:r>
                    <w:t>m</w:t>
                  </w:r>
                </w:p>
              </w:tc>
              <w:tc>
                <w:tcPr>
                  <w:tcW w:w="760" w:type="dxa"/>
                  <w:tcBorders>
                    <w:tl2br w:val="nil"/>
                    <w:tr2bl w:val="nil"/>
                  </w:tcBorders>
                  <w:vAlign w:val="center"/>
                </w:tcPr>
                <w:p w:rsidR="00BC07F0" w:rsidRDefault="00073EFB">
                  <w:pPr>
                    <w:pStyle w:val="a7"/>
                    <w:rPr>
                      <w:rFonts w:hint="default"/>
                    </w:rPr>
                  </w:pPr>
                  <w:r>
                    <w:t>%</w:t>
                  </w:r>
                </w:p>
              </w:tc>
              <w:tc>
                <w:tcPr>
                  <w:tcW w:w="663" w:type="dxa"/>
                  <w:tcBorders>
                    <w:tl2br w:val="nil"/>
                    <w:tr2bl w:val="nil"/>
                  </w:tcBorders>
                  <w:vAlign w:val="center"/>
                </w:tcPr>
                <w:p w:rsidR="00BC07F0" w:rsidRDefault="00073EFB">
                  <w:pPr>
                    <w:pStyle w:val="a7"/>
                    <w:rPr>
                      <w:rFonts w:hint="default"/>
                    </w:rPr>
                  </w:pPr>
                  <w:r>
                    <w:t>%</w:t>
                  </w:r>
                </w:p>
              </w:tc>
              <w:tc>
                <w:tcPr>
                  <w:tcW w:w="854" w:type="dxa"/>
                  <w:tcBorders>
                    <w:tl2br w:val="nil"/>
                    <w:tr2bl w:val="nil"/>
                  </w:tcBorders>
                  <w:vAlign w:val="center"/>
                </w:tcPr>
                <w:p w:rsidR="00BC07F0" w:rsidRDefault="00073EFB">
                  <w:pPr>
                    <w:pStyle w:val="a7"/>
                    <w:rPr>
                      <w:rFonts w:hint="default"/>
                    </w:rPr>
                  </w:pPr>
                  <w:r>
                    <w:t>m</w:t>
                  </w:r>
                </w:p>
              </w:tc>
              <w:tc>
                <w:tcPr>
                  <w:tcW w:w="925" w:type="dxa"/>
                  <w:tcBorders>
                    <w:tl2br w:val="nil"/>
                    <w:tr2bl w:val="nil"/>
                  </w:tcBorders>
                  <w:vAlign w:val="center"/>
                </w:tcPr>
                <w:p w:rsidR="00BC07F0" w:rsidRDefault="00073EFB">
                  <w:pPr>
                    <w:pStyle w:val="a7"/>
                    <w:rPr>
                      <w:rFonts w:hint="default"/>
                    </w:rPr>
                  </w:pPr>
                  <w:r>
                    <w:t>m</w:t>
                  </w:r>
                </w:p>
              </w:tc>
              <w:tc>
                <w:tcPr>
                  <w:tcW w:w="785" w:type="dxa"/>
                  <w:tcBorders>
                    <w:tl2br w:val="nil"/>
                    <w:tr2bl w:val="nil"/>
                  </w:tcBorders>
                  <w:vAlign w:val="center"/>
                </w:tcPr>
                <w:p w:rsidR="00BC07F0" w:rsidRDefault="00073EFB">
                  <w:pPr>
                    <w:pStyle w:val="a7"/>
                    <w:rPr>
                      <w:rFonts w:hint="default"/>
                    </w:rPr>
                  </w:pPr>
                  <w:r>
                    <w:t>m</w:t>
                  </w:r>
                </w:p>
              </w:tc>
            </w:tr>
            <w:tr w:rsidR="00BC07F0">
              <w:trPr>
                <w:trHeight w:val="397"/>
                <w:jc w:val="center"/>
              </w:trPr>
              <w:tc>
                <w:tcPr>
                  <w:tcW w:w="778" w:type="dxa"/>
                  <w:tcBorders>
                    <w:tl2br w:val="nil"/>
                    <w:tr2bl w:val="nil"/>
                  </w:tcBorders>
                  <w:noWrap/>
                  <w:vAlign w:val="center"/>
                </w:tcPr>
                <w:p w:rsidR="00BC07F0" w:rsidRDefault="00073EFB">
                  <w:pPr>
                    <w:pStyle w:val="a7"/>
                    <w:rPr>
                      <w:rFonts w:hint="default"/>
                    </w:rPr>
                  </w:pPr>
                  <w:r>
                    <w:t>40</w:t>
                  </w:r>
                </w:p>
              </w:tc>
              <w:tc>
                <w:tcPr>
                  <w:tcW w:w="1224" w:type="dxa"/>
                  <w:tcBorders>
                    <w:tl2br w:val="nil"/>
                    <w:tr2bl w:val="nil"/>
                  </w:tcBorders>
                  <w:noWrap/>
                  <w:vAlign w:val="center"/>
                </w:tcPr>
                <w:p w:rsidR="00BC07F0" w:rsidRDefault="00073EFB">
                  <w:pPr>
                    <w:pStyle w:val="a7"/>
                    <w:rPr>
                      <w:rFonts w:hint="default"/>
                    </w:rPr>
                  </w:pPr>
                  <w:r>
                    <w:t>1564</w:t>
                  </w:r>
                </w:p>
              </w:tc>
              <w:tc>
                <w:tcPr>
                  <w:tcW w:w="752" w:type="dxa"/>
                  <w:tcBorders>
                    <w:tl2br w:val="nil"/>
                    <w:tr2bl w:val="nil"/>
                  </w:tcBorders>
                  <w:noWrap/>
                  <w:vAlign w:val="center"/>
                </w:tcPr>
                <w:p w:rsidR="00BC07F0" w:rsidRDefault="00073EFB">
                  <w:pPr>
                    <w:pStyle w:val="a7"/>
                    <w:rPr>
                      <w:rFonts w:hint="default"/>
                    </w:rPr>
                  </w:pPr>
                  <w:r>
                    <w:t>60</w:t>
                  </w:r>
                </w:p>
              </w:tc>
              <w:tc>
                <w:tcPr>
                  <w:tcW w:w="663" w:type="dxa"/>
                  <w:tcBorders>
                    <w:tl2br w:val="nil"/>
                    <w:tr2bl w:val="nil"/>
                  </w:tcBorders>
                  <w:noWrap/>
                  <w:vAlign w:val="center"/>
                </w:tcPr>
                <w:p w:rsidR="00BC07F0" w:rsidRDefault="00073EFB">
                  <w:pPr>
                    <w:pStyle w:val="a7"/>
                    <w:rPr>
                      <w:rFonts w:hint="default"/>
                    </w:rPr>
                  </w:pPr>
                  <w:r>
                    <w:t>600</w:t>
                  </w:r>
                </w:p>
              </w:tc>
              <w:tc>
                <w:tcPr>
                  <w:tcW w:w="961" w:type="dxa"/>
                  <w:tcBorders>
                    <w:tl2br w:val="nil"/>
                    <w:tr2bl w:val="nil"/>
                  </w:tcBorders>
                  <w:noWrap/>
                  <w:vAlign w:val="center"/>
                </w:tcPr>
                <w:p w:rsidR="00BC07F0" w:rsidRDefault="00073EFB">
                  <w:pPr>
                    <w:pStyle w:val="a7"/>
                    <w:rPr>
                      <w:rFonts w:hint="default"/>
                    </w:rPr>
                  </w:pPr>
                  <w:r>
                    <w:t>173.2</w:t>
                  </w:r>
                </w:p>
              </w:tc>
              <w:tc>
                <w:tcPr>
                  <w:tcW w:w="663" w:type="dxa"/>
                  <w:tcBorders>
                    <w:tl2br w:val="nil"/>
                    <w:tr2bl w:val="nil"/>
                  </w:tcBorders>
                  <w:noWrap/>
                  <w:vAlign w:val="center"/>
                </w:tcPr>
                <w:p w:rsidR="00BC07F0" w:rsidRDefault="00073EFB">
                  <w:pPr>
                    <w:pStyle w:val="a7"/>
                    <w:rPr>
                      <w:rFonts w:hint="default"/>
                    </w:rPr>
                  </w:pPr>
                  <w:r>
                    <w:t>100</w:t>
                  </w:r>
                </w:p>
              </w:tc>
              <w:tc>
                <w:tcPr>
                  <w:tcW w:w="760" w:type="dxa"/>
                  <w:tcBorders>
                    <w:tl2br w:val="nil"/>
                    <w:tr2bl w:val="nil"/>
                  </w:tcBorders>
                  <w:noWrap/>
                  <w:vAlign w:val="center"/>
                </w:tcPr>
                <w:p w:rsidR="00BC07F0" w:rsidRDefault="00073EFB">
                  <w:pPr>
                    <w:pStyle w:val="a7"/>
                    <w:rPr>
                      <w:rFonts w:hint="default"/>
                    </w:rPr>
                  </w:pPr>
                  <w:r>
                    <w:t>0.87</w:t>
                  </w:r>
                </w:p>
              </w:tc>
              <w:tc>
                <w:tcPr>
                  <w:tcW w:w="663" w:type="dxa"/>
                  <w:tcBorders>
                    <w:tl2br w:val="nil"/>
                    <w:tr2bl w:val="nil"/>
                  </w:tcBorders>
                  <w:noWrap/>
                  <w:vAlign w:val="center"/>
                </w:tcPr>
                <w:p w:rsidR="00BC07F0" w:rsidRDefault="00073EFB">
                  <w:pPr>
                    <w:pStyle w:val="a7"/>
                    <w:rPr>
                      <w:rFonts w:hint="default"/>
                    </w:rPr>
                  </w:pPr>
                  <w:r>
                    <w:t>0.3</w:t>
                  </w:r>
                </w:p>
              </w:tc>
              <w:tc>
                <w:tcPr>
                  <w:tcW w:w="854" w:type="dxa"/>
                  <w:tcBorders>
                    <w:tl2br w:val="nil"/>
                    <w:tr2bl w:val="nil"/>
                  </w:tcBorders>
                  <w:noWrap/>
                  <w:vAlign w:val="center"/>
                </w:tcPr>
                <w:p w:rsidR="00BC07F0" w:rsidRDefault="00073EFB">
                  <w:pPr>
                    <w:pStyle w:val="a7"/>
                    <w:rPr>
                      <w:rFonts w:hint="default"/>
                    </w:rPr>
                  </w:pPr>
                  <w:r>
                    <w:t>152</w:t>
                  </w:r>
                </w:p>
              </w:tc>
              <w:tc>
                <w:tcPr>
                  <w:tcW w:w="925" w:type="dxa"/>
                  <w:tcBorders>
                    <w:tl2br w:val="nil"/>
                    <w:tr2bl w:val="nil"/>
                  </w:tcBorders>
                  <w:noWrap/>
                  <w:vAlign w:val="center"/>
                </w:tcPr>
                <w:p w:rsidR="00BC07F0" w:rsidRDefault="00073EFB">
                  <w:pPr>
                    <w:pStyle w:val="a7"/>
                    <w:rPr>
                      <w:rFonts w:hint="default"/>
                    </w:rPr>
                  </w:pPr>
                  <w:r>
                    <w:t>18000</w:t>
                  </w:r>
                </w:p>
              </w:tc>
              <w:tc>
                <w:tcPr>
                  <w:tcW w:w="785" w:type="dxa"/>
                  <w:tcBorders>
                    <w:tl2br w:val="nil"/>
                    <w:tr2bl w:val="nil"/>
                  </w:tcBorders>
                  <w:noWrap/>
                  <w:vAlign w:val="center"/>
                </w:tcPr>
                <w:p w:rsidR="00BC07F0" w:rsidRDefault="00073EFB">
                  <w:pPr>
                    <w:pStyle w:val="a7"/>
                    <w:rPr>
                      <w:rFonts w:hint="default"/>
                    </w:rPr>
                  </w:pPr>
                  <w:r>
                    <w:t>9000</w:t>
                  </w:r>
                </w:p>
              </w:tc>
            </w:tr>
          </w:tbl>
          <w:p w:rsidR="00BC07F0" w:rsidRDefault="00073EFB" w:rsidP="00C55F5E">
            <w:pPr>
              <w:ind w:firstLine="482"/>
              <w:rPr>
                <w:b/>
                <w:bCs/>
              </w:rPr>
            </w:pPr>
            <w:r>
              <w:rPr>
                <w:rFonts w:hint="eastAsia"/>
                <w:b/>
                <w:bCs/>
              </w:rPr>
              <w:t>2.6.2</w:t>
            </w:r>
            <w:r>
              <w:rPr>
                <w:rFonts w:hint="eastAsia"/>
                <w:b/>
                <w:bCs/>
              </w:rPr>
              <w:t>前进路</w:t>
            </w:r>
          </w:p>
          <w:p w:rsidR="00BC07F0" w:rsidRDefault="00073EFB" w:rsidP="00C55F5E">
            <w:pPr>
              <w:ind w:firstLine="482"/>
              <w:rPr>
                <w:b/>
                <w:bCs/>
              </w:rPr>
            </w:pPr>
            <w:r>
              <w:rPr>
                <w:rFonts w:hint="eastAsia"/>
                <w:b/>
                <w:bCs/>
              </w:rPr>
              <w:t>2.6.2.1</w:t>
            </w:r>
            <w:r>
              <w:rPr>
                <w:rFonts w:hint="eastAsia"/>
                <w:b/>
                <w:bCs/>
              </w:rPr>
              <w:t>线路等级和技术标准</w:t>
            </w:r>
          </w:p>
          <w:p w:rsidR="00BC07F0" w:rsidRDefault="00073EFB" w:rsidP="00C55F5E">
            <w:pPr>
              <w:ind w:firstLine="480"/>
            </w:pPr>
            <w:r>
              <w:rPr>
                <w:rFonts w:hint="eastAsia"/>
              </w:rPr>
              <w:t>前进路是衡阳市雁峰区的城市道路，属交通性次干道，按城市次干道标准进行设计，</w:t>
            </w:r>
            <w:r>
              <w:rPr>
                <w:rFonts w:hint="eastAsia"/>
              </w:rPr>
              <w:lastRenderedPageBreak/>
              <w:t>设计计算行车速度为</w:t>
            </w:r>
            <w:r>
              <w:rPr>
                <w:rFonts w:hint="eastAsia"/>
              </w:rPr>
              <w:t>40km/</w:t>
            </w:r>
            <w:r>
              <w:rPr>
                <w:rFonts w:hint="eastAsia"/>
              </w:rPr>
              <w:t>小时，前进路起于白沙大道，从西至东经冲塘路、新衡路、酃白路、白田东路，最后到达湘江南路。道路平面线形设计按衡阳市雁峰区控制性详细规划布置，线路总长约</w:t>
            </w:r>
            <w:r>
              <w:rPr>
                <w:rFonts w:hint="eastAsia"/>
              </w:rPr>
              <w:t>1.47km</w:t>
            </w:r>
            <w:r>
              <w:rPr>
                <w:rFonts w:hint="eastAsia"/>
              </w:rPr>
              <w:t>，路幅总宽度</w:t>
            </w:r>
            <w:r>
              <w:rPr>
                <w:rFonts w:hint="eastAsia"/>
              </w:rPr>
              <w:t>40m</w:t>
            </w:r>
            <w:r>
              <w:rPr>
                <w:rFonts w:hint="eastAsia"/>
              </w:rPr>
              <w:t>，前进路主要技术指标</w:t>
            </w:r>
            <w:r>
              <w:rPr>
                <w:rFonts w:hint="eastAsia"/>
              </w:rPr>
              <w:t>见下表</w:t>
            </w:r>
            <w:r>
              <w:rPr>
                <w:rFonts w:hint="eastAsia"/>
              </w:rPr>
              <w:t>2.6-4</w:t>
            </w:r>
            <w:r>
              <w:rPr>
                <w:rFonts w:hint="eastAsia"/>
              </w:rPr>
              <w:t>。</w:t>
            </w:r>
          </w:p>
          <w:p w:rsidR="00BC07F0" w:rsidRDefault="00073EFB">
            <w:pPr>
              <w:pStyle w:val="a7"/>
              <w:rPr>
                <w:rFonts w:hint="default"/>
                <w:b/>
                <w:bCs/>
              </w:rPr>
            </w:pPr>
            <w:r>
              <w:rPr>
                <w:b/>
                <w:bCs/>
              </w:rPr>
              <w:t>表</w:t>
            </w:r>
            <w:r>
              <w:rPr>
                <w:b/>
                <w:bCs/>
              </w:rPr>
              <w:t>2.6-4</w:t>
            </w:r>
            <w:r>
              <w:rPr>
                <w:b/>
                <w:bCs/>
              </w:rPr>
              <w:t>前进路主要技术指标</w:t>
            </w:r>
            <w:r>
              <w:rPr>
                <w:b/>
                <w:bCs/>
              </w:rPr>
              <w:t>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5"/>
              <w:gridCol w:w="945"/>
              <w:gridCol w:w="2003"/>
              <w:gridCol w:w="1038"/>
              <w:gridCol w:w="2666"/>
            </w:tblGrid>
            <w:tr w:rsidR="00BC07F0">
              <w:trPr>
                <w:trHeight w:val="397"/>
                <w:jc w:val="center"/>
              </w:trPr>
              <w:tc>
                <w:tcPr>
                  <w:tcW w:w="4788" w:type="dxa"/>
                  <w:gridSpan w:val="3"/>
                  <w:vAlign w:val="center"/>
                </w:tcPr>
                <w:p w:rsidR="00BC07F0" w:rsidRDefault="00073EFB">
                  <w:pPr>
                    <w:pStyle w:val="a7"/>
                    <w:rPr>
                      <w:rFonts w:hint="default"/>
                    </w:rPr>
                  </w:pPr>
                  <w:r>
                    <w:t>指标名称</w:t>
                  </w:r>
                </w:p>
              </w:tc>
              <w:tc>
                <w:tcPr>
                  <w:tcW w:w="937" w:type="dxa"/>
                  <w:vAlign w:val="center"/>
                </w:tcPr>
                <w:p w:rsidR="00BC07F0" w:rsidRDefault="00073EFB">
                  <w:pPr>
                    <w:pStyle w:val="a7"/>
                    <w:rPr>
                      <w:rFonts w:hint="default"/>
                    </w:rPr>
                  </w:pPr>
                  <w:r>
                    <w:t>单位</w:t>
                  </w:r>
                </w:p>
              </w:tc>
              <w:tc>
                <w:tcPr>
                  <w:tcW w:w="2407" w:type="dxa"/>
                  <w:vAlign w:val="center"/>
                </w:tcPr>
                <w:p w:rsidR="00BC07F0" w:rsidRDefault="00073EFB">
                  <w:pPr>
                    <w:pStyle w:val="a7"/>
                    <w:rPr>
                      <w:rFonts w:hint="default"/>
                    </w:rPr>
                  </w:pPr>
                  <w:r>
                    <w:t>技术指标</w:t>
                  </w:r>
                </w:p>
              </w:tc>
            </w:tr>
            <w:tr w:rsidR="00BC07F0">
              <w:trPr>
                <w:trHeight w:val="397"/>
                <w:jc w:val="center"/>
              </w:trPr>
              <w:tc>
                <w:tcPr>
                  <w:tcW w:w="4788" w:type="dxa"/>
                  <w:gridSpan w:val="3"/>
                  <w:vAlign w:val="center"/>
                </w:tcPr>
                <w:p w:rsidR="00BC07F0" w:rsidRDefault="00073EFB">
                  <w:pPr>
                    <w:pStyle w:val="a7"/>
                    <w:rPr>
                      <w:rFonts w:hint="default"/>
                    </w:rPr>
                  </w:pPr>
                  <w:r>
                    <w:t>道路等级</w:t>
                  </w:r>
                </w:p>
              </w:tc>
              <w:tc>
                <w:tcPr>
                  <w:tcW w:w="937" w:type="dxa"/>
                  <w:vAlign w:val="center"/>
                </w:tcPr>
                <w:p w:rsidR="00BC07F0" w:rsidRDefault="00BC07F0">
                  <w:pPr>
                    <w:pStyle w:val="a7"/>
                    <w:rPr>
                      <w:rFonts w:hint="default"/>
                    </w:rPr>
                  </w:pPr>
                </w:p>
              </w:tc>
              <w:tc>
                <w:tcPr>
                  <w:tcW w:w="2407" w:type="dxa"/>
                  <w:vAlign w:val="center"/>
                </w:tcPr>
                <w:p w:rsidR="00BC07F0" w:rsidRDefault="00073EFB">
                  <w:pPr>
                    <w:pStyle w:val="a7"/>
                    <w:rPr>
                      <w:rFonts w:hint="default"/>
                    </w:rPr>
                  </w:pPr>
                  <w:r>
                    <w:t>城市次干道</w:t>
                  </w:r>
                </w:p>
              </w:tc>
            </w:tr>
            <w:tr w:rsidR="00BC07F0">
              <w:trPr>
                <w:trHeight w:val="397"/>
                <w:jc w:val="center"/>
              </w:trPr>
              <w:tc>
                <w:tcPr>
                  <w:tcW w:w="4788" w:type="dxa"/>
                  <w:gridSpan w:val="3"/>
                  <w:vAlign w:val="center"/>
                </w:tcPr>
                <w:p w:rsidR="00BC07F0" w:rsidRDefault="00073EFB">
                  <w:pPr>
                    <w:pStyle w:val="a7"/>
                    <w:rPr>
                      <w:rFonts w:hint="default"/>
                    </w:rPr>
                  </w:pPr>
                  <w:r>
                    <w:t>计算行车速度</w:t>
                  </w:r>
                </w:p>
              </w:tc>
              <w:tc>
                <w:tcPr>
                  <w:tcW w:w="937" w:type="dxa"/>
                  <w:vAlign w:val="center"/>
                </w:tcPr>
                <w:p w:rsidR="00BC07F0" w:rsidRDefault="00073EFB">
                  <w:pPr>
                    <w:pStyle w:val="a7"/>
                    <w:rPr>
                      <w:rFonts w:hint="default"/>
                    </w:rPr>
                  </w:pPr>
                  <w:r>
                    <w:t>Km/h</w:t>
                  </w:r>
                </w:p>
              </w:tc>
              <w:tc>
                <w:tcPr>
                  <w:tcW w:w="2407" w:type="dxa"/>
                  <w:vAlign w:val="center"/>
                </w:tcPr>
                <w:p w:rsidR="00BC07F0" w:rsidRDefault="00073EFB">
                  <w:pPr>
                    <w:pStyle w:val="a7"/>
                    <w:rPr>
                      <w:rFonts w:hint="default"/>
                    </w:rPr>
                  </w:pPr>
                  <w:r>
                    <w:t>40</w:t>
                  </w:r>
                </w:p>
              </w:tc>
            </w:tr>
            <w:tr w:rsidR="00BC07F0">
              <w:trPr>
                <w:trHeight w:val="397"/>
                <w:jc w:val="center"/>
              </w:trPr>
              <w:tc>
                <w:tcPr>
                  <w:tcW w:w="4788" w:type="dxa"/>
                  <w:gridSpan w:val="3"/>
                  <w:vAlign w:val="center"/>
                </w:tcPr>
                <w:p w:rsidR="00BC07F0" w:rsidRDefault="00073EFB">
                  <w:pPr>
                    <w:pStyle w:val="a7"/>
                    <w:rPr>
                      <w:rFonts w:hint="default"/>
                    </w:rPr>
                  </w:pPr>
                  <w:r>
                    <w:t>机动车道宽</w:t>
                  </w:r>
                </w:p>
              </w:tc>
              <w:tc>
                <w:tcPr>
                  <w:tcW w:w="937" w:type="dxa"/>
                  <w:vAlign w:val="center"/>
                </w:tcPr>
                <w:p w:rsidR="00BC07F0" w:rsidRDefault="00073EFB">
                  <w:pPr>
                    <w:pStyle w:val="a7"/>
                    <w:rPr>
                      <w:rFonts w:hint="default"/>
                    </w:rPr>
                  </w:pPr>
                  <w:r>
                    <w:t>m</w:t>
                  </w:r>
                </w:p>
              </w:tc>
              <w:tc>
                <w:tcPr>
                  <w:tcW w:w="2407" w:type="dxa"/>
                  <w:vAlign w:val="center"/>
                </w:tcPr>
                <w:p w:rsidR="00BC07F0" w:rsidRDefault="00073EFB">
                  <w:pPr>
                    <w:pStyle w:val="a7"/>
                    <w:rPr>
                      <w:rFonts w:hint="default"/>
                    </w:rPr>
                  </w:pPr>
                  <w:r>
                    <w:t>2</w:t>
                  </w:r>
                  <w:r>
                    <w:t>×</w:t>
                  </w:r>
                  <w:r>
                    <w:t>11</w:t>
                  </w:r>
                </w:p>
              </w:tc>
            </w:tr>
            <w:tr w:rsidR="00BC07F0">
              <w:trPr>
                <w:trHeight w:val="397"/>
                <w:jc w:val="center"/>
              </w:trPr>
              <w:tc>
                <w:tcPr>
                  <w:tcW w:w="4788" w:type="dxa"/>
                  <w:gridSpan w:val="3"/>
                  <w:vAlign w:val="center"/>
                </w:tcPr>
                <w:p w:rsidR="00BC07F0" w:rsidRDefault="00073EFB">
                  <w:pPr>
                    <w:pStyle w:val="a7"/>
                    <w:rPr>
                      <w:rFonts w:hint="default"/>
                    </w:rPr>
                  </w:pPr>
                  <w:r>
                    <w:t>非机动车道宽</w:t>
                  </w:r>
                </w:p>
              </w:tc>
              <w:tc>
                <w:tcPr>
                  <w:tcW w:w="937" w:type="dxa"/>
                  <w:vAlign w:val="center"/>
                </w:tcPr>
                <w:p w:rsidR="00BC07F0" w:rsidRDefault="00073EFB">
                  <w:pPr>
                    <w:pStyle w:val="a7"/>
                    <w:rPr>
                      <w:rFonts w:hint="default"/>
                    </w:rPr>
                  </w:pPr>
                  <w:r>
                    <w:t>m</w:t>
                  </w:r>
                </w:p>
              </w:tc>
              <w:tc>
                <w:tcPr>
                  <w:tcW w:w="2407" w:type="dxa"/>
                  <w:vAlign w:val="center"/>
                </w:tcPr>
                <w:p w:rsidR="00BC07F0" w:rsidRDefault="00073EFB">
                  <w:pPr>
                    <w:pStyle w:val="a7"/>
                    <w:rPr>
                      <w:rFonts w:hint="default"/>
                    </w:rPr>
                  </w:pPr>
                  <w:r>
                    <w:t>2</w:t>
                  </w:r>
                  <w:r>
                    <w:t>×</w:t>
                  </w:r>
                  <w:r>
                    <w:t>3.5</w:t>
                  </w:r>
                </w:p>
              </w:tc>
            </w:tr>
            <w:tr w:rsidR="00BC07F0">
              <w:trPr>
                <w:trHeight w:val="397"/>
                <w:jc w:val="center"/>
              </w:trPr>
              <w:tc>
                <w:tcPr>
                  <w:tcW w:w="4788" w:type="dxa"/>
                  <w:gridSpan w:val="3"/>
                  <w:vAlign w:val="center"/>
                </w:tcPr>
                <w:p w:rsidR="00BC07F0" w:rsidRDefault="00073EFB">
                  <w:pPr>
                    <w:pStyle w:val="a7"/>
                    <w:rPr>
                      <w:rFonts w:hint="default"/>
                    </w:rPr>
                  </w:pPr>
                  <w:r>
                    <w:t>车行道数（包括非机动车道）</w:t>
                  </w:r>
                </w:p>
              </w:tc>
              <w:tc>
                <w:tcPr>
                  <w:tcW w:w="937" w:type="dxa"/>
                  <w:vAlign w:val="center"/>
                </w:tcPr>
                <w:p w:rsidR="00BC07F0" w:rsidRDefault="00BC07F0">
                  <w:pPr>
                    <w:pStyle w:val="a7"/>
                    <w:rPr>
                      <w:rFonts w:hint="default"/>
                    </w:rPr>
                  </w:pPr>
                </w:p>
              </w:tc>
              <w:tc>
                <w:tcPr>
                  <w:tcW w:w="2407" w:type="dxa"/>
                  <w:vAlign w:val="center"/>
                </w:tcPr>
                <w:p w:rsidR="00BC07F0" w:rsidRDefault="00073EFB">
                  <w:pPr>
                    <w:pStyle w:val="a7"/>
                    <w:rPr>
                      <w:rFonts w:hint="default"/>
                    </w:rPr>
                  </w:pPr>
                  <w:r>
                    <w:t>双向六车道</w:t>
                  </w:r>
                </w:p>
              </w:tc>
            </w:tr>
            <w:tr w:rsidR="00BC07F0">
              <w:trPr>
                <w:trHeight w:val="397"/>
                <w:jc w:val="center"/>
              </w:trPr>
              <w:tc>
                <w:tcPr>
                  <w:tcW w:w="4788" w:type="dxa"/>
                  <w:gridSpan w:val="3"/>
                  <w:vAlign w:val="center"/>
                </w:tcPr>
                <w:p w:rsidR="00BC07F0" w:rsidRDefault="00073EFB">
                  <w:pPr>
                    <w:pStyle w:val="a7"/>
                    <w:rPr>
                      <w:rFonts w:hint="default"/>
                    </w:rPr>
                  </w:pPr>
                  <w:r>
                    <w:t>两侧绿化带宽度</w:t>
                  </w:r>
                </w:p>
              </w:tc>
              <w:tc>
                <w:tcPr>
                  <w:tcW w:w="937" w:type="dxa"/>
                  <w:vAlign w:val="center"/>
                </w:tcPr>
                <w:p w:rsidR="00BC07F0" w:rsidRDefault="00073EFB">
                  <w:pPr>
                    <w:pStyle w:val="a7"/>
                    <w:rPr>
                      <w:rFonts w:hint="default"/>
                    </w:rPr>
                  </w:pPr>
                  <w:r>
                    <w:t>m</w:t>
                  </w:r>
                </w:p>
              </w:tc>
              <w:tc>
                <w:tcPr>
                  <w:tcW w:w="2407" w:type="dxa"/>
                  <w:vAlign w:val="center"/>
                </w:tcPr>
                <w:p w:rsidR="00BC07F0" w:rsidRDefault="00073EFB">
                  <w:pPr>
                    <w:pStyle w:val="a7"/>
                    <w:rPr>
                      <w:rFonts w:hint="default"/>
                    </w:rPr>
                  </w:pPr>
                  <w:r>
                    <w:t>2</w:t>
                  </w:r>
                  <w:r>
                    <w:t>×</w:t>
                  </w:r>
                  <w:r>
                    <w:t>2.5</w:t>
                  </w:r>
                </w:p>
              </w:tc>
            </w:tr>
            <w:tr w:rsidR="00BC07F0">
              <w:trPr>
                <w:trHeight w:val="397"/>
                <w:jc w:val="center"/>
              </w:trPr>
              <w:tc>
                <w:tcPr>
                  <w:tcW w:w="4788" w:type="dxa"/>
                  <w:gridSpan w:val="3"/>
                  <w:vAlign w:val="center"/>
                </w:tcPr>
                <w:p w:rsidR="00BC07F0" w:rsidRDefault="00073EFB">
                  <w:pPr>
                    <w:pStyle w:val="a7"/>
                    <w:rPr>
                      <w:rFonts w:hint="default"/>
                    </w:rPr>
                  </w:pPr>
                  <w:r>
                    <w:t>人行道宽度</w:t>
                  </w:r>
                </w:p>
              </w:tc>
              <w:tc>
                <w:tcPr>
                  <w:tcW w:w="937" w:type="dxa"/>
                  <w:vAlign w:val="center"/>
                </w:tcPr>
                <w:p w:rsidR="00BC07F0" w:rsidRDefault="00073EFB">
                  <w:pPr>
                    <w:pStyle w:val="a7"/>
                    <w:rPr>
                      <w:rFonts w:hint="default"/>
                    </w:rPr>
                  </w:pPr>
                  <w:r>
                    <w:t>m</w:t>
                  </w:r>
                </w:p>
              </w:tc>
              <w:tc>
                <w:tcPr>
                  <w:tcW w:w="2407" w:type="dxa"/>
                  <w:vAlign w:val="center"/>
                </w:tcPr>
                <w:p w:rsidR="00BC07F0" w:rsidRDefault="00073EFB">
                  <w:pPr>
                    <w:pStyle w:val="a7"/>
                    <w:rPr>
                      <w:rFonts w:hint="default"/>
                    </w:rPr>
                  </w:pPr>
                  <w:r>
                    <w:t>2</w:t>
                  </w:r>
                  <w:r>
                    <w:t>×</w:t>
                  </w:r>
                  <w:r>
                    <w:t>3</w:t>
                  </w:r>
                </w:p>
              </w:tc>
            </w:tr>
            <w:tr w:rsidR="00BC07F0">
              <w:trPr>
                <w:trHeight w:val="397"/>
                <w:jc w:val="center"/>
              </w:trPr>
              <w:tc>
                <w:tcPr>
                  <w:tcW w:w="4788" w:type="dxa"/>
                  <w:gridSpan w:val="3"/>
                  <w:vAlign w:val="center"/>
                </w:tcPr>
                <w:p w:rsidR="00BC07F0" w:rsidRDefault="00073EFB">
                  <w:pPr>
                    <w:pStyle w:val="a7"/>
                    <w:rPr>
                      <w:rFonts w:hint="default"/>
                    </w:rPr>
                  </w:pPr>
                  <w:r>
                    <w:t>道路红线宽度</w:t>
                  </w:r>
                </w:p>
              </w:tc>
              <w:tc>
                <w:tcPr>
                  <w:tcW w:w="937" w:type="dxa"/>
                  <w:vAlign w:val="center"/>
                </w:tcPr>
                <w:p w:rsidR="00BC07F0" w:rsidRDefault="00073EFB">
                  <w:pPr>
                    <w:pStyle w:val="a7"/>
                    <w:rPr>
                      <w:rFonts w:hint="default"/>
                    </w:rPr>
                  </w:pPr>
                  <w:r>
                    <w:t>m</w:t>
                  </w:r>
                </w:p>
              </w:tc>
              <w:tc>
                <w:tcPr>
                  <w:tcW w:w="2407" w:type="dxa"/>
                  <w:vAlign w:val="center"/>
                </w:tcPr>
                <w:p w:rsidR="00BC07F0" w:rsidRDefault="00073EFB">
                  <w:pPr>
                    <w:pStyle w:val="a7"/>
                    <w:rPr>
                      <w:rFonts w:hint="default"/>
                    </w:rPr>
                  </w:pPr>
                  <w:r>
                    <w:t>40</w:t>
                  </w:r>
                </w:p>
              </w:tc>
            </w:tr>
            <w:tr w:rsidR="00BC07F0">
              <w:trPr>
                <w:trHeight w:val="397"/>
                <w:jc w:val="center"/>
              </w:trPr>
              <w:tc>
                <w:tcPr>
                  <w:tcW w:w="4788" w:type="dxa"/>
                  <w:gridSpan w:val="3"/>
                  <w:vAlign w:val="center"/>
                </w:tcPr>
                <w:p w:rsidR="00BC07F0" w:rsidRDefault="00073EFB">
                  <w:pPr>
                    <w:pStyle w:val="a7"/>
                    <w:rPr>
                      <w:rFonts w:hint="default"/>
                    </w:rPr>
                  </w:pPr>
                  <w:r>
                    <w:t>最大纵坡</w:t>
                  </w:r>
                </w:p>
              </w:tc>
              <w:tc>
                <w:tcPr>
                  <w:tcW w:w="937" w:type="dxa"/>
                  <w:vAlign w:val="center"/>
                </w:tcPr>
                <w:p w:rsidR="00BC07F0" w:rsidRDefault="00073EFB">
                  <w:pPr>
                    <w:pStyle w:val="a7"/>
                    <w:rPr>
                      <w:rFonts w:hint="default"/>
                    </w:rPr>
                  </w:pPr>
                  <w:r>
                    <w:t>%</w:t>
                  </w:r>
                </w:p>
              </w:tc>
              <w:tc>
                <w:tcPr>
                  <w:tcW w:w="2407" w:type="dxa"/>
                  <w:vAlign w:val="center"/>
                </w:tcPr>
                <w:p w:rsidR="00BC07F0" w:rsidRDefault="00073EFB">
                  <w:pPr>
                    <w:pStyle w:val="a7"/>
                    <w:rPr>
                      <w:rFonts w:hint="default"/>
                    </w:rPr>
                  </w:pPr>
                  <w:r>
                    <w:t>0.512</w:t>
                  </w:r>
                </w:p>
              </w:tc>
            </w:tr>
            <w:tr w:rsidR="00BC07F0">
              <w:trPr>
                <w:trHeight w:val="397"/>
                <w:jc w:val="center"/>
              </w:trPr>
              <w:tc>
                <w:tcPr>
                  <w:tcW w:w="4788" w:type="dxa"/>
                  <w:gridSpan w:val="3"/>
                  <w:vAlign w:val="center"/>
                </w:tcPr>
                <w:p w:rsidR="00BC07F0" w:rsidRDefault="00073EFB">
                  <w:pPr>
                    <w:pStyle w:val="a7"/>
                    <w:rPr>
                      <w:rFonts w:hint="default"/>
                    </w:rPr>
                  </w:pPr>
                  <w:r>
                    <w:t>最小纵坡</w:t>
                  </w:r>
                </w:p>
              </w:tc>
              <w:tc>
                <w:tcPr>
                  <w:tcW w:w="937" w:type="dxa"/>
                  <w:vAlign w:val="center"/>
                </w:tcPr>
                <w:p w:rsidR="00BC07F0" w:rsidRDefault="00073EFB">
                  <w:pPr>
                    <w:pStyle w:val="a7"/>
                    <w:rPr>
                      <w:rFonts w:hint="default"/>
                    </w:rPr>
                  </w:pPr>
                  <w:r>
                    <w:t>%</w:t>
                  </w:r>
                </w:p>
              </w:tc>
              <w:tc>
                <w:tcPr>
                  <w:tcW w:w="2407" w:type="dxa"/>
                  <w:vAlign w:val="center"/>
                </w:tcPr>
                <w:p w:rsidR="00BC07F0" w:rsidRDefault="00073EFB">
                  <w:pPr>
                    <w:pStyle w:val="a7"/>
                    <w:rPr>
                      <w:rFonts w:hint="default"/>
                    </w:rPr>
                  </w:pPr>
                  <w:r>
                    <w:t>0.437</w:t>
                  </w:r>
                </w:p>
              </w:tc>
            </w:tr>
            <w:tr w:rsidR="00BC07F0">
              <w:trPr>
                <w:trHeight w:val="397"/>
                <w:jc w:val="center"/>
              </w:trPr>
              <w:tc>
                <w:tcPr>
                  <w:tcW w:w="4788" w:type="dxa"/>
                  <w:gridSpan w:val="3"/>
                  <w:vAlign w:val="center"/>
                </w:tcPr>
                <w:p w:rsidR="00BC07F0" w:rsidRDefault="00073EFB">
                  <w:pPr>
                    <w:pStyle w:val="a7"/>
                    <w:rPr>
                      <w:rFonts w:hint="default"/>
                    </w:rPr>
                  </w:pPr>
                  <w:r>
                    <w:t>最大纵坡限制坡长</w:t>
                  </w:r>
                </w:p>
              </w:tc>
              <w:tc>
                <w:tcPr>
                  <w:tcW w:w="937" w:type="dxa"/>
                  <w:vAlign w:val="center"/>
                </w:tcPr>
                <w:p w:rsidR="00BC07F0" w:rsidRDefault="00073EFB">
                  <w:pPr>
                    <w:pStyle w:val="a7"/>
                    <w:rPr>
                      <w:rFonts w:hint="default"/>
                    </w:rPr>
                  </w:pPr>
                  <w:r>
                    <w:t>m</w:t>
                  </w:r>
                </w:p>
              </w:tc>
              <w:tc>
                <w:tcPr>
                  <w:tcW w:w="2407" w:type="dxa"/>
                  <w:vAlign w:val="center"/>
                </w:tcPr>
                <w:p w:rsidR="00BC07F0" w:rsidRDefault="00073EFB">
                  <w:pPr>
                    <w:pStyle w:val="a7"/>
                    <w:rPr>
                      <w:rFonts w:hint="default"/>
                    </w:rPr>
                  </w:pPr>
                  <w:r>
                    <w:t>882.087</w:t>
                  </w:r>
                </w:p>
              </w:tc>
            </w:tr>
            <w:tr w:rsidR="00BC07F0">
              <w:trPr>
                <w:trHeight w:val="397"/>
                <w:jc w:val="center"/>
              </w:trPr>
              <w:tc>
                <w:tcPr>
                  <w:tcW w:w="4788" w:type="dxa"/>
                  <w:gridSpan w:val="3"/>
                  <w:vAlign w:val="center"/>
                </w:tcPr>
                <w:p w:rsidR="00BC07F0" w:rsidRDefault="00073EFB">
                  <w:pPr>
                    <w:pStyle w:val="a7"/>
                    <w:rPr>
                      <w:rFonts w:hint="default"/>
                    </w:rPr>
                  </w:pPr>
                  <w:r>
                    <w:t>纵坡坡段最小坡长</w:t>
                  </w:r>
                </w:p>
              </w:tc>
              <w:tc>
                <w:tcPr>
                  <w:tcW w:w="937" w:type="dxa"/>
                  <w:vAlign w:val="center"/>
                </w:tcPr>
                <w:p w:rsidR="00BC07F0" w:rsidRDefault="00073EFB">
                  <w:pPr>
                    <w:pStyle w:val="a7"/>
                    <w:rPr>
                      <w:rFonts w:hint="default"/>
                    </w:rPr>
                  </w:pPr>
                  <w:r>
                    <w:t>m</w:t>
                  </w:r>
                </w:p>
              </w:tc>
              <w:tc>
                <w:tcPr>
                  <w:tcW w:w="2407" w:type="dxa"/>
                  <w:vAlign w:val="center"/>
                </w:tcPr>
                <w:p w:rsidR="00BC07F0" w:rsidRDefault="00073EFB">
                  <w:pPr>
                    <w:pStyle w:val="a7"/>
                    <w:rPr>
                      <w:rFonts w:hint="default"/>
                    </w:rPr>
                  </w:pPr>
                  <w:r>
                    <w:t>570.531</w:t>
                  </w:r>
                </w:p>
              </w:tc>
            </w:tr>
            <w:tr w:rsidR="00BC07F0">
              <w:trPr>
                <w:cantSplit/>
                <w:trHeight w:val="397"/>
                <w:jc w:val="center"/>
              </w:trPr>
              <w:tc>
                <w:tcPr>
                  <w:tcW w:w="2127" w:type="dxa"/>
                  <w:vMerge w:val="restart"/>
                  <w:vAlign w:val="center"/>
                </w:tcPr>
                <w:p w:rsidR="00BC07F0" w:rsidRDefault="00073EFB">
                  <w:pPr>
                    <w:pStyle w:val="a7"/>
                    <w:rPr>
                      <w:rFonts w:hint="default"/>
                    </w:rPr>
                  </w:pPr>
                  <w:r>
                    <w:t>竖曲线半径</w:t>
                  </w:r>
                </w:p>
              </w:tc>
              <w:tc>
                <w:tcPr>
                  <w:tcW w:w="853" w:type="dxa"/>
                  <w:vAlign w:val="center"/>
                </w:tcPr>
                <w:p w:rsidR="00BC07F0" w:rsidRDefault="00073EFB">
                  <w:pPr>
                    <w:pStyle w:val="a7"/>
                    <w:rPr>
                      <w:rFonts w:hint="default"/>
                    </w:rPr>
                  </w:pPr>
                  <w:r>
                    <w:t>凸形</w:t>
                  </w:r>
                </w:p>
              </w:tc>
              <w:tc>
                <w:tcPr>
                  <w:tcW w:w="1808" w:type="dxa"/>
                  <w:vAlign w:val="center"/>
                </w:tcPr>
                <w:p w:rsidR="00BC07F0" w:rsidRDefault="00073EFB">
                  <w:pPr>
                    <w:pStyle w:val="a7"/>
                    <w:rPr>
                      <w:rFonts w:hint="default"/>
                    </w:rPr>
                  </w:pPr>
                  <w:r>
                    <w:t>最小半径</w:t>
                  </w:r>
                </w:p>
              </w:tc>
              <w:tc>
                <w:tcPr>
                  <w:tcW w:w="937" w:type="dxa"/>
                  <w:vAlign w:val="center"/>
                </w:tcPr>
                <w:p w:rsidR="00BC07F0" w:rsidRDefault="00073EFB">
                  <w:pPr>
                    <w:pStyle w:val="a7"/>
                    <w:rPr>
                      <w:rFonts w:hint="default"/>
                    </w:rPr>
                  </w:pPr>
                  <w:r>
                    <w:t>m</w:t>
                  </w:r>
                </w:p>
              </w:tc>
              <w:tc>
                <w:tcPr>
                  <w:tcW w:w="2407" w:type="dxa"/>
                  <w:vAlign w:val="center"/>
                </w:tcPr>
                <w:p w:rsidR="00BC07F0" w:rsidRDefault="00BC07F0">
                  <w:pPr>
                    <w:pStyle w:val="a7"/>
                    <w:rPr>
                      <w:rFonts w:hint="default"/>
                    </w:rPr>
                  </w:pPr>
                </w:p>
              </w:tc>
            </w:tr>
            <w:tr w:rsidR="00BC07F0">
              <w:trPr>
                <w:cantSplit/>
                <w:trHeight w:val="397"/>
                <w:jc w:val="center"/>
              </w:trPr>
              <w:tc>
                <w:tcPr>
                  <w:tcW w:w="2127" w:type="dxa"/>
                  <w:vMerge/>
                  <w:vAlign w:val="center"/>
                </w:tcPr>
                <w:p w:rsidR="00BC07F0" w:rsidRDefault="00BC07F0">
                  <w:pPr>
                    <w:pStyle w:val="a7"/>
                    <w:rPr>
                      <w:rFonts w:hint="default"/>
                    </w:rPr>
                  </w:pPr>
                </w:p>
              </w:tc>
              <w:tc>
                <w:tcPr>
                  <w:tcW w:w="853" w:type="dxa"/>
                  <w:vAlign w:val="center"/>
                </w:tcPr>
                <w:p w:rsidR="00BC07F0" w:rsidRDefault="00073EFB">
                  <w:pPr>
                    <w:pStyle w:val="a7"/>
                    <w:rPr>
                      <w:rFonts w:hint="default"/>
                    </w:rPr>
                  </w:pPr>
                  <w:r>
                    <w:t>凹形</w:t>
                  </w:r>
                </w:p>
              </w:tc>
              <w:tc>
                <w:tcPr>
                  <w:tcW w:w="1808" w:type="dxa"/>
                  <w:vAlign w:val="center"/>
                </w:tcPr>
                <w:p w:rsidR="00BC07F0" w:rsidRDefault="00073EFB">
                  <w:pPr>
                    <w:pStyle w:val="a7"/>
                    <w:rPr>
                      <w:rFonts w:hint="default"/>
                    </w:rPr>
                  </w:pPr>
                  <w:r>
                    <w:t>最小半径</w:t>
                  </w:r>
                </w:p>
              </w:tc>
              <w:tc>
                <w:tcPr>
                  <w:tcW w:w="937" w:type="dxa"/>
                  <w:vAlign w:val="center"/>
                </w:tcPr>
                <w:p w:rsidR="00BC07F0" w:rsidRDefault="00073EFB">
                  <w:pPr>
                    <w:pStyle w:val="a7"/>
                    <w:rPr>
                      <w:rFonts w:hint="default"/>
                    </w:rPr>
                  </w:pPr>
                  <w:r>
                    <w:t>m</w:t>
                  </w:r>
                </w:p>
              </w:tc>
              <w:tc>
                <w:tcPr>
                  <w:tcW w:w="2407" w:type="dxa"/>
                  <w:vAlign w:val="center"/>
                </w:tcPr>
                <w:p w:rsidR="00BC07F0" w:rsidRDefault="00BC07F0">
                  <w:pPr>
                    <w:pStyle w:val="a7"/>
                    <w:rPr>
                      <w:rFonts w:hint="default"/>
                    </w:rPr>
                  </w:pPr>
                </w:p>
              </w:tc>
            </w:tr>
            <w:tr w:rsidR="00BC07F0">
              <w:trPr>
                <w:cantSplit/>
                <w:trHeight w:val="397"/>
                <w:jc w:val="center"/>
              </w:trPr>
              <w:tc>
                <w:tcPr>
                  <w:tcW w:w="2980" w:type="dxa"/>
                  <w:gridSpan w:val="2"/>
                  <w:vMerge w:val="restart"/>
                  <w:vAlign w:val="center"/>
                </w:tcPr>
                <w:p w:rsidR="00BC07F0" w:rsidRDefault="00073EFB">
                  <w:pPr>
                    <w:pStyle w:val="a7"/>
                    <w:rPr>
                      <w:rFonts w:hint="default"/>
                    </w:rPr>
                  </w:pPr>
                  <w:r>
                    <w:t>车辆荷载等级</w:t>
                  </w:r>
                </w:p>
              </w:tc>
              <w:tc>
                <w:tcPr>
                  <w:tcW w:w="1808" w:type="dxa"/>
                  <w:vAlign w:val="center"/>
                </w:tcPr>
                <w:p w:rsidR="00BC07F0" w:rsidRDefault="00073EFB">
                  <w:pPr>
                    <w:pStyle w:val="a7"/>
                    <w:rPr>
                      <w:rFonts w:hint="default"/>
                    </w:rPr>
                  </w:pPr>
                  <w:r>
                    <w:t>路基、涵洞</w:t>
                  </w:r>
                </w:p>
              </w:tc>
              <w:tc>
                <w:tcPr>
                  <w:tcW w:w="937" w:type="dxa"/>
                  <w:vAlign w:val="center"/>
                </w:tcPr>
                <w:p w:rsidR="00BC07F0" w:rsidRDefault="00BC07F0">
                  <w:pPr>
                    <w:pStyle w:val="a7"/>
                    <w:rPr>
                      <w:rFonts w:hint="default"/>
                    </w:rPr>
                  </w:pPr>
                </w:p>
              </w:tc>
              <w:tc>
                <w:tcPr>
                  <w:tcW w:w="2407" w:type="dxa"/>
                  <w:vAlign w:val="center"/>
                </w:tcPr>
                <w:p w:rsidR="00BC07F0" w:rsidRDefault="00073EFB">
                  <w:pPr>
                    <w:pStyle w:val="a7"/>
                    <w:rPr>
                      <w:rFonts w:hint="default"/>
                    </w:rPr>
                  </w:pPr>
                  <w:r>
                    <w:t>汽车</w:t>
                  </w:r>
                  <w:r>
                    <w:t>-</w:t>
                  </w:r>
                  <w:r>
                    <w:t>城市</w:t>
                  </w:r>
                  <w:r>
                    <w:t>A</w:t>
                  </w:r>
                  <w:r>
                    <w:t>级</w:t>
                  </w:r>
                </w:p>
              </w:tc>
            </w:tr>
            <w:tr w:rsidR="00BC07F0">
              <w:trPr>
                <w:cantSplit/>
                <w:trHeight w:val="397"/>
                <w:jc w:val="center"/>
              </w:trPr>
              <w:tc>
                <w:tcPr>
                  <w:tcW w:w="2980" w:type="dxa"/>
                  <w:gridSpan w:val="2"/>
                  <w:vMerge/>
                  <w:vAlign w:val="center"/>
                </w:tcPr>
                <w:p w:rsidR="00BC07F0" w:rsidRDefault="00BC07F0">
                  <w:pPr>
                    <w:pStyle w:val="a7"/>
                    <w:rPr>
                      <w:rFonts w:hint="default"/>
                    </w:rPr>
                  </w:pPr>
                </w:p>
              </w:tc>
              <w:tc>
                <w:tcPr>
                  <w:tcW w:w="1808" w:type="dxa"/>
                  <w:vAlign w:val="center"/>
                </w:tcPr>
                <w:p w:rsidR="00BC07F0" w:rsidRDefault="00073EFB">
                  <w:pPr>
                    <w:pStyle w:val="a7"/>
                    <w:rPr>
                      <w:rFonts w:hint="default"/>
                    </w:rPr>
                  </w:pPr>
                  <w:r>
                    <w:t>路面</w:t>
                  </w:r>
                </w:p>
              </w:tc>
              <w:tc>
                <w:tcPr>
                  <w:tcW w:w="937" w:type="dxa"/>
                  <w:vAlign w:val="center"/>
                </w:tcPr>
                <w:p w:rsidR="00BC07F0" w:rsidRDefault="00BC07F0">
                  <w:pPr>
                    <w:pStyle w:val="a7"/>
                    <w:rPr>
                      <w:rFonts w:hint="default"/>
                    </w:rPr>
                  </w:pPr>
                </w:p>
              </w:tc>
              <w:tc>
                <w:tcPr>
                  <w:tcW w:w="2407" w:type="dxa"/>
                  <w:vAlign w:val="center"/>
                </w:tcPr>
                <w:p w:rsidR="00BC07F0" w:rsidRDefault="00073EFB">
                  <w:pPr>
                    <w:pStyle w:val="a7"/>
                    <w:rPr>
                      <w:rFonts w:hint="default"/>
                    </w:rPr>
                  </w:pPr>
                  <w:r>
                    <w:t>BZZ-100</w:t>
                  </w:r>
                </w:p>
              </w:tc>
            </w:tr>
            <w:tr w:rsidR="00BC07F0">
              <w:trPr>
                <w:cantSplit/>
                <w:trHeight w:val="397"/>
                <w:jc w:val="center"/>
              </w:trPr>
              <w:tc>
                <w:tcPr>
                  <w:tcW w:w="4788" w:type="dxa"/>
                  <w:gridSpan w:val="3"/>
                  <w:vAlign w:val="center"/>
                </w:tcPr>
                <w:p w:rsidR="00BC07F0" w:rsidRDefault="00073EFB">
                  <w:pPr>
                    <w:pStyle w:val="a7"/>
                    <w:rPr>
                      <w:rFonts w:hint="default"/>
                    </w:rPr>
                  </w:pPr>
                  <w:r>
                    <w:t>雨水暴雨重现期</w:t>
                  </w:r>
                </w:p>
              </w:tc>
              <w:tc>
                <w:tcPr>
                  <w:tcW w:w="937" w:type="dxa"/>
                  <w:vAlign w:val="center"/>
                </w:tcPr>
                <w:p w:rsidR="00BC07F0" w:rsidRDefault="00BC07F0">
                  <w:pPr>
                    <w:pStyle w:val="a7"/>
                    <w:rPr>
                      <w:rFonts w:hint="default"/>
                    </w:rPr>
                  </w:pPr>
                </w:p>
              </w:tc>
              <w:tc>
                <w:tcPr>
                  <w:tcW w:w="2407" w:type="dxa"/>
                  <w:vAlign w:val="center"/>
                </w:tcPr>
                <w:p w:rsidR="00BC07F0" w:rsidRDefault="00073EFB">
                  <w:pPr>
                    <w:pStyle w:val="a7"/>
                    <w:rPr>
                      <w:rFonts w:hint="default"/>
                    </w:rPr>
                  </w:pPr>
                  <w:r>
                    <w:t>P=1</w:t>
                  </w:r>
                </w:p>
              </w:tc>
            </w:tr>
            <w:tr w:rsidR="00BC07F0">
              <w:trPr>
                <w:cantSplit/>
                <w:trHeight w:val="397"/>
                <w:jc w:val="center"/>
              </w:trPr>
              <w:tc>
                <w:tcPr>
                  <w:tcW w:w="4788" w:type="dxa"/>
                  <w:gridSpan w:val="3"/>
                  <w:vAlign w:val="center"/>
                </w:tcPr>
                <w:p w:rsidR="00BC07F0" w:rsidRDefault="00073EFB">
                  <w:pPr>
                    <w:pStyle w:val="a7"/>
                    <w:rPr>
                      <w:rFonts w:hint="default"/>
                    </w:rPr>
                  </w:pPr>
                  <w:r>
                    <w:t>设计总长度</w:t>
                  </w:r>
                </w:p>
              </w:tc>
              <w:tc>
                <w:tcPr>
                  <w:tcW w:w="937" w:type="dxa"/>
                  <w:vAlign w:val="center"/>
                </w:tcPr>
                <w:p w:rsidR="00BC07F0" w:rsidRDefault="00073EFB">
                  <w:pPr>
                    <w:pStyle w:val="a7"/>
                    <w:rPr>
                      <w:rFonts w:hint="default"/>
                    </w:rPr>
                  </w:pPr>
                  <w:r>
                    <w:t>m</w:t>
                  </w:r>
                </w:p>
              </w:tc>
              <w:tc>
                <w:tcPr>
                  <w:tcW w:w="2407" w:type="dxa"/>
                  <w:vAlign w:val="center"/>
                </w:tcPr>
                <w:p w:rsidR="00BC07F0" w:rsidRDefault="00073EFB">
                  <w:pPr>
                    <w:pStyle w:val="a7"/>
                    <w:rPr>
                      <w:rFonts w:hint="default"/>
                    </w:rPr>
                  </w:pPr>
                  <w:r>
                    <w:t>1465.652</w:t>
                  </w:r>
                </w:p>
              </w:tc>
            </w:tr>
          </w:tbl>
          <w:p w:rsidR="00BC07F0" w:rsidRDefault="00073EFB" w:rsidP="00C55F5E">
            <w:pPr>
              <w:ind w:firstLine="482"/>
              <w:rPr>
                <w:b/>
                <w:bCs/>
              </w:rPr>
            </w:pPr>
            <w:r>
              <w:rPr>
                <w:rFonts w:hint="eastAsia"/>
                <w:b/>
                <w:bCs/>
              </w:rPr>
              <w:t>2.6.2.2</w:t>
            </w:r>
            <w:r>
              <w:rPr>
                <w:rFonts w:hint="eastAsia"/>
                <w:b/>
                <w:bCs/>
              </w:rPr>
              <w:t>道路横断面</w:t>
            </w:r>
          </w:p>
          <w:p w:rsidR="00BC07F0" w:rsidRDefault="00073EFB" w:rsidP="00C55F5E">
            <w:pPr>
              <w:ind w:firstLine="480"/>
            </w:pPr>
            <w:r>
              <w:rPr>
                <w:rFonts w:hint="eastAsia"/>
              </w:rPr>
              <w:t>道路断面：分配为（道路红线宽度为</w:t>
            </w:r>
            <w:r>
              <w:rPr>
                <w:rFonts w:hint="eastAsia"/>
              </w:rPr>
              <w:t>40m</w:t>
            </w:r>
            <w:r>
              <w:rPr>
                <w:rFonts w:hint="eastAsia"/>
              </w:rPr>
              <w:t>）：</w:t>
            </w:r>
            <w:r>
              <w:rPr>
                <w:rFonts w:hint="eastAsia"/>
              </w:rPr>
              <w:t>3m</w:t>
            </w:r>
            <w:r>
              <w:rPr>
                <w:rFonts w:hint="eastAsia"/>
              </w:rPr>
              <w:t>（人行道）</w:t>
            </w:r>
            <w:r>
              <w:rPr>
                <w:rFonts w:hint="eastAsia"/>
              </w:rPr>
              <w:t>+3.5m</w:t>
            </w:r>
            <w:r>
              <w:rPr>
                <w:rFonts w:hint="eastAsia"/>
              </w:rPr>
              <w:t>（非机动车道）</w:t>
            </w:r>
            <w:r>
              <w:rPr>
                <w:rFonts w:hint="eastAsia"/>
              </w:rPr>
              <w:t>+2.5m</w:t>
            </w:r>
            <w:r>
              <w:rPr>
                <w:rFonts w:hint="eastAsia"/>
              </w:rPr>
              <w:t>（侧分带）</w:t>
            </w:r>
            <w:r>
              <w:rPr>
                <w:rFonts w:hint="eastAsia"/>
              </w:rPr>
              <w:t>+2*11m</w:t>
            </w:r>
            <w:r>
              <w:rPr>
                <w:rFonts w:hint="eastAsia"/>
              </w:rPr>
              <w:t>（机动车道）</w:t>
            </w:r>
            <w:r>
              <w:rPr>
                <w:rFonts w:hint="eastAsia"/>
              </w:rPr>
              <w:t>+2.5m</w:t>
            </w:r>
            <w:r>
              <w:rPr>
                <w:rFonts w:hint="eastAsia"/>
              </w:rPr>
              <w:t>（绿化带）</w:t>
            </w:r>
            <w:r>
              <w:rPr>
                <w:rFonts w:hint="eastAsia"/>
              </w:rPr>
              <w:t>+3.5m</w:t>
            </w:r>
            <w:r>
              <w:rPr>
                <w:rFonts w:hint="eastAsia"/>
              </w:rPr>
              <w:t>（非机动车道）</w:t>
            </w:r>
            <w:r>
              <w:rPr>
                <w:rFonts w:hint="eastAsia"/>
              </w:rPr>
              <w:t>+3m</w:t>
            </w:r>
            <w:r>
              <w:rPr>
                <w:rFonts w:hint="eastAsia"/>
              </w:rPr>
              <w:t>（人行道）</w:t>
            </w:r>
            <w:r>
              <w:rPr>
                <w:rFonts w:hint="eastAsia"/>
              </w:rPr>
              <w:t>=40m</w:t>
            </w:r>
            <w:r>
              <w:rPr>
                <w:rFonts w:hint="eastAsia"/>
              </w:rPr>
              <w:t>。</w:t>
            </w:r>
          </w:p>
          <w:p w:rsidR="00BC07F0" w:rsidRDefault="00073EFB" w:rsidP="00C55F5E">
            <w:pPr>
              <w:ind w:firstLine="480"/>
            </w:pPr>
            <w:r>
              <w:rPr>
                <w:rFonts w:hint="eastAsia"/>
              </w:rPr>
              <w:t>道路横坡：机非混合车道横坡坡度大小为</w:t>
            </w:r>
            <w:r>
              <w:rPr>
                <w:rFonts w:hint="eastAsia"/>
              </w:rPr>
              <w:t>2.0%</w:t>
            </w:r>
            <w:r>
              <w:rPr>
                <w:rFonts w:hint="eastAsia"/>
              </w:rPr>
              <w:t>，路拱采用二次抛物线形；人行道横坡为</w:t>
            </w:r>
            <w:r>
              <w:rPr>
                <w:rFonts w:hint="eastAsia"/>
              </w:rPr>
              <w:t>-2.0%</w:t>
            </w:r>
            <w:r>
              <w:rPr>
                <w:rFonts w:hint="eastAsia"/>
              </w:rPr>
              <w:t>。</w:t>
            </w:r>
          </w:p>
          <w:p w:rsidR="00BC07F0" w:rsidRDefault="00073EFB" w:rsidP="00C55F5E">
            <w:pPr>
              <w:ind w:firstLine="482"/>
              <w:rPr>
                <w:b/>
                <w:bCs/>
              </w:rPr>
            </w:pPr>
            <w:r>
              <w:rPr>
                <w:rFonts w:hint="eastAsia"/>
                <w:b/>
                <w:bCs/>
              </w:rPr>
              <w:t>2.6.2.3</w:t>
            </w:r>
            <w:r>
              <w:rPr>
                <w:rFonts w:hint="eastAsia"/>
                <w:b/>
                <w:bCs/>
              </w:rPr>
              <w:t>道路纵断面</w:t>
            </w:r>
          </w:p>
          <w:p w:rsidR="00BC07F0" w:rsidRDefault="00073EFB" w:rsidP="00C55F5E">
            <w:pPr>
              <w:ind w:firstLine="480"/>
            </w:pPr>
            <w:r>
              <w:rPr>
                <w:rFonts w:hint="eastAsia"/>
              </w:rPr>
              <w:t>纵向设计有以下几个控制点：与白沙大道按平交处理，起点设计标高与白沙大道现状路面标高一致；与相交规划</w:t>
            </w:r>
            <w:r>
              <w:rPr>
                <w:rFonts w:hint="eastAsia"/>
              </w:rPr>
              <w:t>4</w:t>
            </w:r>
            <w:r>
              <w:rPr>
                <w:rFonts w:hint="eastAsia"/>
              </w:rPr>
              <w:t>条路的控制性详细规划的控制高程；考虑与酃白路设计</w:t>
            </w:r>
            <w:r>
              <w:rPr>
                <w:rFonts w:hint="eastAsia"/>
              </w:rPr>
              <w:lastRenderedPageBreak/>
              <w:t>标高相衔接；终点与湘江南路平交，标高与湘江南路初</w:t>
            </w:r>
            <w:r>
              <w:rPr>
                <w:rFonts w:hint="eastAsia"/>
              </w:rPr>
              <w:t>步设计标高一致；根据排水的需求，整个道路纵坡设计是西高东低；考虑尽可能减少土方，尽可能平坦和有利于道路两侧厂区布置需要来进行拉坡。</w:t>
            </w:r>
          </w:p>
          <w:p w:rsidR="00BC07F0" w:rsidRDefault="00073EFB" w:rsidP="00C55F5E">
            <w:pPr>
              <w:ind w:firstLine="482"/>
              <w:rPr>
                <w:b/>
                <w:bCs/>
              </w:rPr>
            </w:pPr>
            <w:r>
              <w:rPr>
                <w:rFonts w:hint="eastAsia"/>
                <w:b/>
                <w:bCs/>
              </w:rPr>
              <w:t>2.6.2.</w:t>
            </w:r>
            <w:r>
              <w:rPr>
                <w:rFonts w:hint="eastAsia"/>
                <w:b/>
                <w:bCs/>
              </w:rPr>
              <w:t>4</w:t>
            </w:r>
            <w:r>
              <w:rPr>
                <w:rFonts w:hint="eastAsia"/>
                <w:b/>
                <w:bCs/>
              </w:rPr>
              <w:t>路基工程</w:t>
            </w:r>
          </w:p>
          <w:p w:rsidR="00BC07F0" w:rsidRDefault="00073EFB" w:rsidP="00C55F5E">
            <w:pPr>
              <w:ind w:firstLine="480"/>
            </w:pPr>
            <w:r>
              <w:rPr>
                <w:rFonts w:hint="eastAsia"/>
              </w:rPr>
              <w:t>前进</w:t>
            </w:r>
            <w:r>
              <w:rPr>
                <w:rFonts w:hint="eastAsia"/>
              </w:rPr>
              <w:t>路基标高：本道路路基设计标高为设计标高减路面厚度。土石方数量计算按路基设计标高控制。</w:t>
            </w:r>
          </w:p>
          <w:p w:rsidR="00BC07F0" w:rsidRDefault="00073EFB" w:rsidP="00C55F5E">
            <w:pPr>
              <w:ind w:firstLine="480"/>
            </w:pPr>
            <w:r>
              <w:rPr>
                <w:rFonts w:hint="eastAsia"/>
              </w:rPr>
              <w:t>前进</w:t>
            </w:r>
            <w:r>
              <w:rPr>
                <w:rFonts w:hint="eastAsia"/>
              </w:rPr>
              <w:t>路基设计弯沉值：设计要求≤</w:t>
            </w:r>
            <w:r>
              <w:rPr>
                <w:rFonts w:hint="eastAsia"/>
              </w:rPr>
              <w:t>220</w:t>
            </w:r>
            <w:r>
              <w:rPr>
                <w:rFonts w:hint="eastAsia"/>
              </w:rPr>
              <w:t>（</w:t>
            </w:r>
            <w:r>
              <w:rPr>
                <w:rFonts w:hint="eastAsia"/>
              </w:rPr>
              <w:t>0.01mm</w:t>
            </w:r>
            <w:r>
              <w:rPr>
                <w:rFonts w:hint="eastAsia"/>
              </w:rPr>
              <w:t>）。</w:t>
            </w:r>
          </w:p>
          <w:p w:rsidR="00BC07F0" w:rsidRDefault="00073EFB" w:rsidP="00C55F5E">
            <w:pPr>
              <w:ind w:firstLine="480"/>
            </w:pPr>
            <w:r>
              <w:rPr>
                <w:rFonts w:hint="eastAsia"/>
              </w:rPr>
              <w:t>前进</w:t>
            </w:r>
            <w:r>
              <w:rPr>
                <w:rFonts w:hint="eastAsia"/>
              </w:rPr>
              <w:t>路基压实度：填方路堤路槽底面以下</w:t>
            </w:r>
            <w:r>
              <w:rPr>
                <w:rFonts w:hint="eastAsia"/>
              </w:rPr>
              <w:t>0-80cm</w:t>
            </w:r>
            <w:r>
              <w:rPr>
                <w:rFonts w:hint="eastAsia"/>
              </w:rPr>
              <w:t>和挖方路槽底面以下</w:t>
            </w:r>
            <w:r>
              <w:rPr>
                <w:rFonts w:hint="eastAsia"/>
              </w:rPr>
              <w:t>0-30cm</w:t>
            </w:r>
            <w:r>
              <w:rPr>
                <w:rFonts w:hint="eastAsia"/>
              </w:rPr>
              <w:t>，压实度</w:t>
            </w:r>
            <w:r>
              <w:rPr>
                <w:rFonts w:hint="eastAsia"/>
              </w:rPr>
              <w:t>k</w:t>
            </w:r>
            <w:r>
              <w:rPr>
                <w:rFonts w:hint="eastAsia"/>
              </w:rPr>
              <w:t>＞</w:t>
            </w:r>
            <w:r>
              <w:rPr>
                <w:rFonts w:hint="eastAsia"/>
              </w:rPr>
              <w:t>96%</w:t>
            </w:r>
            <w:r>
              <w:rPr>
                <w:rFonts w:hint="eastAsia"/>
              </w:rPr>
              <w:t>，填方路堤路槽下面</w:t>
            </w:r>
            <w:r>
              <w:rPr>
                <w:rFonts w:hint="eastAsia"/>
              </w:rPr>
              <w:t>80cm</w:t>
            </w:r>
            <w:r>
              <w:rPr>
                <w:rFonts w:hint="eastAsia"/>
              </w:rPr>
              <w:t>以下，</w:t>
            </w:r>
            <w:r>
              <w:rPr>
                <w:rFonts w:hint="eastAsia"/>
              </w:rPr>
              <w:t>k</w:t>
            </w:r>
            <w:r>
              <w:rPr>
                <w:rFonts w:hint="eastAsia"/>
              </w:rPr>
              <w:t>＞</w:t>
            </w:r>
            <w:r>
              <w:rPr>
                <w:rFonts w:hint="eastAsia"/>
              </w:rPr>
              <w:t>94%</w:t>
            </w:r>
            <w:r>
              <w:rPr>
                <w:rFonts w:hint="eastAsia"/>
              </w:rPr>
              <w:t>。为保证路基边缘压实度，路基填方施工宽度每侧超填不少于</w:t>
            </w:r>
            <w:r>
              <w:rPr>
                <w:rFonts w:hint="eastAsia"/>
              </w:rPr>
              <w:t>50cm</w:t>
            </w:r>
            <w:r>
              <w:rPr>
                <w:rFonts w:hint="eastAsia"/>
              </w:rPr>
              <w:t>，</w:t>
            </w:r>
          </w:p>
          <w:p w:rsidR="00BC07F0" w:rsidRDefault="00073EFB" w:rsidP="00C55F5E">
            <w:pPr>
              <w:ind w:firstLine="480"/>
            </w:pPr>
            <w:r>
              <w:rPr>
                <w:rFonts w:hint="eastAsia"/>
              </w:rPr>
              <w:t>前进</w:t>
            </w:r>
            <w:r>
              <w:rPr>
                <w:rFonts w:hint="eastAsia"/>
              </w:rPr>
              <w:t>路</w:t>
            </w:r>
            <w:r>
              <w:rPr>
                <w:rFonts w:hint="eastAsia"/>
              </w:rPr>
              <w:t>基边坡设计：填方边坡坡率：</w:t>
            </w:r>
            <w:r>
              <w:rPr>
                <w:rFonts w:hint="eastAsia"/>
              </w:rPr>
              <w:t>8m</w:t>
            </w:r>
            <w:r>
              <w:rPr>
                <w:rFonts w:hint="eastAsia"/>
              </w:rPr>
              <w:t>以内为</w:t>
            </w:r>
            <w:r>
              <w:rPr>
                <w:rFonts w:hint="eastAsia"/>
              </w:rPr>
              <w:t>1</w:t>
            </w:r>
            <w:r>
              <w:rPr>
                <w:rFonts w:hint="eastAsia"/>
              </w:rPr>
              <w:t>：</w:t>
            </w:r>
            <w:r>
              <w:rPr>
                <w:rFonts w:hint="eastAsia"/>
              </w:rPr>
              <w:t>1.5</w:t>
            </w:r>
            <w:r>
              <w:rPr>
                <w:rFonts w:hint="eastAsia"/>
              </w:rPr>
              <w:t>，大于</w:t>
            </w:r>
            <w:r>
              <w:rPr>
                <w:rFonts w:hint="eastAsia"/>
              </w:rPr>
              <w:t>8m</w:t>
            </w:r>
            <w:r>
              <w:rPr>
                <w:rFonts w:hint="eastAsia"/>
              </w:rPr>
              <w:t>为</w:t>
            </w:r>
            <w:r>
              <w:rPr>
                <w:rFonts w:hint="eastAsia"/>
              </w:rPr>
              <w:t>1</w:t>
            </w:r>
            <w:r>
              <w:rPr>
                <w:rFonts w:hint="eastAsia"/>
              </w:rPr>
              <w:t>：</w:t>
            </w:r>
            <w:r>
              <w:rPr>
                <w:rFonts w:hint="eastAsia"/>
              </w:rPr>
              <w:t>1.75</w:t>
            </w:r>
            <w:r>
              <w:rPr>
                <w:rFonts w:hint="eastAsia"/>
              </w:rPr>
              <w:t>，且在坡率变化处设宽</w:t>
            </w:r>
            <w:r>
              <w:rPr>
                <w:rFonts w:hint="eastAsia"/>
              </w:rPr>
              <w:t>2.0m</w:t>
            </w:r>
            <w:r>
              <w:rPr>
                <w:rFonts w:hint="eastAsia"/>
              </w:rPr>
              <w:t>的碎落台。</w:t>
            </w:r>
          </w:p>
          <w:p w:rsidR="00BC07F0" w:rsidRDefault="00073EFB" w:rsidP="00C55F5E">
            <w:pPr>
              <w:ind w:firstLine="480"/>
            </w:pPr>
            <w:r>
              <w:rPr>
                <w:rFonts w:hint="eastAsia"/>
              </w:rPr>
              <w:t>前进路</w:t>
            </w:r>
            <w:r>
              <w:rPr>
                <w:rFonts w:hint="eastAsia"/>
              </w:rPr>
              <w:t>挖方边坡坡率：路堑土质或强风化岩质边坡为：</w:t>
            </w:r>
            <w:r>
              <w:rPr>
                <w:rFonts w:hint="eastAsia"/>
              </w:rPr>
              <w:t>8m</w:t>
            </w:r>
            <w:r>
              <w:rPr>
                <w:rFonts w:hint="eastAsia"/>
              </w:rPr>
              <w:t>以内边坡为</w:t>
            </w:r>
            <w:r>
              <w:rPr>
                <w:rFonts w:hint="eastAsia"/>
              </w:rPr>
              <w:t>1</w:t>
            </w:r>
            <w:r>
              <w:rPr>
                <w:rFonts w:hint="eastAsia"/>
              </w:rPr>
              <w:t>：</w:t>
            </w:r>
            <w:r>
              <w:rPr>
                <w:rFonts w:hint="eastAsia"/>
              </w:rPr>
              <w:t>1</w:t>
            </w:r>
            <w:r>
              <w:rPr>
                <w:rFonts w:hint="eastAsia"/>
              </w:rPr>
              <w:t>，边坡高度在</w:t>
            </w:r>
            <w:r>
              <w:rPr>
                <w:rFonts w:hint="eastAsia"/>
              </w:rPr>
              <w:t>8~25m</w:t>
            </w:r>
            <w:r>
              <w:rPr>
                <w:rFonts w:hint="eastAsia"/>
              </w:rPr>
              <w:t>时，边坡为</w:t>
            </w:r>
            <w:r>
              <w:rPr>
                <w:rFonts w:hint="eastAsia"/>
              </w:rPr>
              <w:t>1</w:t>
            </w:r>
            <w:r>
              <w:rPr>
                <w:rFonts w:hint="eastAsia"/>
              </w:rPr>
              <w:t>：</w:t>
            </w:r>
            <w:r>
              <w:rPr>
                <w:rFonts w:hint="eastAsia"/>
              </w:rPr>
              <w:t>1.25</w:t>
            </w:r>
            <w:r>
              <w:rPr>
                <w:rFonts w:hint="eastAsia"/>
              </w:rPr>
              <w:t>，在坡率变化处均设宽</w:t>
            </w:r>
            <w:r>
              <w:rPr>
                <w:rFonts w:hint="eastAsia"/>
              </w:rPr>
              <w:t>2m</w:t>
            </w:r>
            <w:r>
              <w:rPr>
                <w:rFonts w:hint="eastAsia"/>
              </w:rPr>
              <w:t>的碎落台。</w:t>
            </w:r>
          </w:p>
          <w:p w:rsidR="00BC07F0" w:rsidRDefault="00073EFB" w:rsidP="00C55F5E">
            <w:pPr>
              <w:ind w:firstLine="482"/>
              <w:rPr>
                <w:b/>
                <w:bCs/>
              </w:rPr>
            </w:pPr>
            <w:r>
              <w:rPr>
                <w:rFonts w:hint="eastAsia"/>
                <w:b/>
                <w:bCs/>
              </w:rPr>
              <w:t>2.6.2.</w:t>
            </w:r>
            <w:r>
              <w:rPr>
                <w:rFonts w:hint="eastAsia"/>
                <w:b/>
                <w:bCs/>
              </w:rPr>
              <w:t>5</w:t>
            </w:r>
            <w:r>
              <w:rPr>
                <w:rFonts w:hint="eastAsia"/>
                <w:b/>
                <w:bCs/>
              </w:rPr>
              <w:t>路面工程</w:t>
            </w:r>
          </w:p>
          <w:p w:rsidR="00BC07F0" w:rsidRDefault="00073EFB" w:rsidP="00C55F5E">
            <w:pPr>
              <w:ind w:firstLine="480"/>
            </w:pPr>
            <w:r>
              <w:rPr>
                <w:rFonts w:hint="eastAsia"/>
              </w:rPr>
              <w:t>本项目设计路面结构采用沥青混凝土路面，具体结构如下：</w:t>
            </w:r>
          </w:p>
          <w:p w:rsidR="00BC07F0" w:rsidRDefault="00073EFB" w:rsidP="00C55F5E">
            <w:pPr>
              <w:ind w:firstLine="480"/>
            </w:pPr>
            <w:r>
              <w:rPr>
                <w:rFonts w:hint="eastAsia"/>
              </w:rPr>
              <w:t>（</w:t>
            </w:r>
            <w:r>
              <w:rPr>
                <w:rFonts w:hint="eastAsia"/>
              </w:rPr>
              <w:t>1</w:t>
            </w:r>
            <w:r>
              <w:rPr>
                <w:rFonts w:hint="eastAsia"/>
              </w:rPr>
              <w:t>）机动车道（总厚</w:t>
            </w:r>
            <w:r>
              <w:rPr>
                <w:rFonts w:hint="eastAsia"/>
              </w:rPr>
              <w:t>86.8cm</w:t>
            </w:r>
            <w:r>
              <w:rPr>
                <w:rFonts w:hint="eastAsia"/>
              </w:rPr>
              <w:t>）：</w:t>
            </w:r>
          </w:p>
          <w:p w:rsidR="00BC07F0" w:rsidRDefault="00073EFB" w:rsidP="00C55F5E">
            <w:pPr>
              <w:ind w:firstLine="480"/>
            </w:pPr>
            <w:r>
              <w:rPr>
                <w:rFonts w:hint="eastAsia"/>
              </w:rPr>
              <w:t>4cm</w:t>
            </w:r>
            <w:r>
              <w:rPr>
                <w:rFonts w:hint="eastAsia"/>
              </w:rPr>
              <w:t>细粒式改性沥青混凝土（</w:t>
            </w:r>
            <w:r>
              <w:rPr>
                <w:rFonts w:hint="eastAsia"/>
              </w:rPr>
              <w:t>RAC-13C</w:t>
            </w:r>
            <w:r>
              <w:rPr>
                <w:rFonts w:hint="eastAsia"/>
              </w:rPr>
              <w:t>）</w:t>
            </w:r>
          </w:p>
          <w:p w:rsidR="00BC07F0" w:rsidRDefault="00073EFB" w:rsidP="00C55F5E">
            <w:pPr>
              <w:ind w:firstLine="480"/>
            </w:pPr>
            <w:r>
              <w:rPr>
                <w:rFonts w:hint="eastAsia"/>
              </w:rPr>
              <w:t>改性乳化沥青粘层油</w:t>
            </w:r>
          </w:p>
          <w:p w:rsidR="00BC07F0" w:rsidRDefault="00073EFB" w:rsidP="00C55F5E">
            <w:pPr>
              <w:ind w:firstLine="480"/>
            </w:pPr>
            <w:r>
              <w:rPr>
                <w:rFonts w:hint="eastAsia"/>
              </w:rPr>
              <w:t>5cm</w:t>
            </w:r>
            <w:r>
              <w:rPr>
                <w:rFonts w:hint="eastAsia"/>
              </w:rPr>
              <w:t>中粒式改性沥青砼（</w:t>
            </w:r>
            <w:r>
              <w:rPr>
                <w:rFonts w:hint="eastAsia"/>
              </w:rPr>
              <w:t>AC-20C</w:t>
            </w:r>
            <w:r>
              <w:rPr>
                <w:rFonts w:hint="eastAsia"/>
              </w:rPr>
              <w:t>）</w:t>
            </w:r>
          </w:p>
          <w:p w:rsidR="00BC07F0" w:rsidRDefault="00073EFB" w:rsidP="00C55F5E">
            <w:pPr>
              <w:ind w:firstLine="480"/>
            </w:pPr>
            <w:r>
              <w:rPr>
                <w:rFonts w:hint="eastAsia"/>
              </w:rPr>
              <w:t>改性乳化沥青粘层油</w:t>
            </w:r>
          </w:p>
          <w:p w:rsidR="00BC07F0" w:rsidRDefault="00073EFB" w:rsidP="00C55F5E">
            <w:pPr>
              <w:ind w:firstLine="480"/>
            </w:pPr>
            <w:r>
              <w:rPr>
                <w:rFonts w:hint="eastAsia"/>
              </w:rPr>
              <w:t>7cm</w:t>
            </w:r>
            <w:r>
              <w:rPr>
                <w:rFonts w:hint="eastAsia"/>
              </w:rPr>
              <w:t>粗粒式改性沥青混凝土（</w:t>
            </w:r>
            <w:r>
              <w:rPr>
                <w:rFonts w:hint="eastAsia"/>
              </w:rPr>
              <w:t>AC-25C</w:t>
            </w:r>
            <w:r>
              <w:rPr>
                <w:rFonts w:hint="eastAsia"/>
              </w:rPr>
              <w:t>）</w:t>
            </w:r>
          </w:p>
          <w:p w:rsidR="00BC07F0" w:rsidRDefault="00073EFB" w:rsidP="00C55F5E">
            <w:pPr>
              <w:ind w:firstLine="480"/>
            </w:pPr>
            <w:r>
              <w:rPr>
                <w:rFonts w:hint="eastAsia"/>
              </w:rPr>
              <w:t>0.8cm</w:t>
            </w:r>
            <w:r>
              <w:rPr>
                <w:rFonts w:hint="eastAsia"/>
              </w:rPr>
              <w:t>沥青下封层</w:t>
            </w:r>
            <w:r>
              <w:rPr>
                <w:rFonts w:hint="eastAsia"/>
              </w:rPr>
              <w:t>+</w:t>
            </w:r>
            <w:r>
              <w:rPr>
                <w:rFonts w:hint="eastAsia"/>
              </w:rPr>
              <w:t>沥青透层</w:t>
            </w:r>
          </w:p>
          <w:p w:rsidR="00BC07F0" w:rsidRDefault="00073EFB" w:rsidP="00C55F5E">
            <w:pPr>
              <w:ind w:firstLine="480"/>
            </w:pPr>
            <w:r>
              <w:rPr>
                <w:rFonts w:hint="eastAsia"/>
              </w:rPr>
              <w:t>20cm5.5%</w:t>
            </w:r>
            <w:r>
              <w:rPr>
                <w:rFonts w:hint="eastAsia"/>
              </w:rPr>
              <w:t>水泥稳定碎石</w:t>
            </w:r>
          </w:p>
          <w:p w:rsidR="00BC07F0" w:rsidRDefault="00073EFB" w:rsidP="00C55F5E">
            <w:pPr>
              <w:ind w:firstLine="480"/>
            </w:pPr>
            <w:r>
              <w:rPr>
                <w:rFonts w:hint="eastAsia"/>
              </w:rPr>
              <w:t>18cm5.5%</w:t>
            </w:r>
            <w:r>
              <w:rPr>
                <w:rFonts w:hint="eastAsia"/>
              </w:rPr>
              <w:t>水泥稳定碎石</w:t>
            </w:r>
          </w:p>
          <w:p w:rsidR="00BC07F0" w:rsidRDefault="00073EFB" w:rsidP="00C55F5E">
            <w:pPr>
              <w:ind w:firstLine="480"/>
            </w:pPr>
            <w:r>
              <w:rPr>
                <w:rFonts w:hint="eastAsia"/>
              </w:rPr>
              <w:t>17cm4%</w:t>
            </w:r>
            <w:r>
              <w:rPr>
                <w:rFonts w:hint="eastAsia"/>
              </w:rPr>
              <w:t>水泥稳定碎石</w:t>
            </w:r>
          </w:p>
          <w:p w:rsidR="00BC07F0" w:rsidRDefault="00073EFB" w:rsidP="00C55F5E">
            <w:pPr>
              <w:ind w:firstLine="480"/>
            </w:pPr>
            <w:r>
              <w:rPr>
                <w:rFonts w:hint="eastAsia"/>
              </w:rPr>
              <w:t>15cm</w:t>
            </w:r>
            <w:r>
              <w:rPr>
                <w:rFonts w:hint="eastAsia"/>
              </w:rPr>
              <w:t>级配碎石</w:t>
            </w:r>
          </w:p>
          <w:p w:rsidR="00BC07F0" w:rsidRDefault="00073EFB" w:rsidP="00C55F5E">
            <w:pPr>
              <w:ind w:firstLine="480"/>
            </w:pPr>
            <w:r>
              <w:rPr>
                <w:rFonts w:hint="eastAsia"/>
              </w:rPr>
              <w:t>（</w:t>
            </w:r>
            <w:r>
              <w:rPr>
                <w:rFonts w:hint="eastAsia"/>
              </w:rPr>
              <w:t>2</w:t>
            </w:r>
            <w:r>
              <w:rPr>
                <w:rFonts w:hint="eastAsia"/>
              </w:rPr>
              <w:t>）非机动车道（总厚度</w:t>
            </w:r>
            <w:r>
              <w:rPr>
                <w:rFonts w:hint="eastAsia"/>
              </w:rPr>
              <w:t>49.8cm</w:t>
            </w:r>
            <w:r>
              <w:rPr>
                <w:rFonts w:hint="eastAsia"/>
              </w:rPr>
              <w:t>）∶</w:t>
            </w:r>
          </w:p>
          <w:p w:rsidR="00BC07F0" w:rsidRDefault="00073EFB" w:rsidP="00C55F5E">
            <w:pPr>
              <w:ind w:firstLine="480"/>
            </w:pPr>
            <w:r>
              <w:rPr>
                <w:rFonts w:hint="eastAsia"/>
              </w:rPr>
              <w:t>4cm</w:t>
            </w:r>
            <w:r>
              <w:rPr>
                <w:rFonts w:hint="eastAsia"/>
              </w:rPr>
              <w:t>细粒式改性沥青混凝土（</w:t>
            </w:r>
            <w:r>
              <w:rPr>
                <w:rFonts w:hint="eastAsia"/>
              </w:rPr>
              <w:t>AC-13C</w:t>
            </w:r>
            <w:r>
              <w:rPr>
                <w:rFonts w:hint="eastAsia"/>
              </w:rPr>
              <w:t>）（玄武岩）</w:t>
            </w:r>
          </w:p>
          <w:p w:rsidR="00BC07F0" w:rsidRDefault="00073EFB" w:rsidP="00C55F5E">
            <w:pPr>
              <w:ind w:firstLine="480"/>
            </w:pPr>
            <w:r>
              <w:rPr>
                <w:rFonts w:hint="eastAsia"/>
              </w:rPr>
              <w:t>PCR</w:t>
            </w:r>
            <w:r>
              <w:rPr>
                <w:rFonts w:hint="eastAsia"/>
              </w:rPr>
              <w:t>改性乳化沥青粘层</w:t>
            </w:r>
          </w:p>
          <w:p w:rsidR="00BC07F0" w:rsidRDefault="00073EFB" w:rsidP="00C55F5E">
            <w:pPr>
              <w:ind w:firstLine="480"/>
            </w:pPr>
            <w:r>
              <w:rPr>
                <w:rFonts w:hint="eastAsia"/>
              </w:rPr>
              <w:lastRenderedPageBreak/>
              <w:t>5cm</w:t>
            </w:r>
            <w:r>
              <w:rPr>
                <w:rFonts w:hint="eastAsia"/>
              </w:rPr>
              <w:t>中粒式沥青砼</w:t>
            </w:r>
            <w:r>
              <w:rPr>
                <w:rFonts w:hint="eastAsia"/>
              </w:rPr>
              <w:t>AC-20</w:t>
            </w:r>
          </w:p>
          <w:p w:rsidR="00BC07F0" w:rsidRDefault="00073EFB" w:rsidP="00C55F5E">
            <w:pPr>
              <w:ind w:firstLine="480"/>
            </w:pPr>
            <w:r>
              <w:rPr>
                <w:rFonts w:hint="eastAsia"/>
              </w:rPr>
              <w:t>0.8cm</w:t>
            </w:r>
            <w:r>
              <w:rPr>
                <w:rFonts w:hint="eastAsia"/>
              </w:rPr>
              <w:t>乳化沥青稀浆下封层</w:t>
            </w:r>
          </w:p>
          <w:p w:rsidR="00BC07F0" w:rsidRDefault="00073EFB" w:rsidP="00C55F5E">
            <w:pPr>
              <w:ind w:firstLine="480"/>
            </w:pPr>
            <w:r>
              <w:rPr>
                <w:rFonts w:hint="eastAsia"/>
              </w:rPr>
              <w:t>PC-2</w:t>
            </w:r>
            <w:r>
              <w:rPr>
                <w:rFonts w:hint="eastAsia"/>
              </w:rPr>
              <w:t>型乳化沥青透层</w:t>
            </w:r>
          </w:p>
          <w:p w:rsidR="00BC07F0" w:rsidRDefault="00073EFB" w:rsidP="00C55F5E">
            <w:pPr>
              <w:ind w:firstLine="480"/>
            </w:pPr>
            <w:r>
              <w:rPr>
                <w:rFonts w:hint="eastAsia"/>
              </w:rPr>
              <w:t>20cm5.5%</w:t>
            </w:r>
            <w:r>
              <w:rPr>
                <w:rFonts w:hint="eastAsia"/>
              </w:rPr>
              <w:t>水泥稳定碎石</w:t>
            </w:r>
          </w:p>
          <w:p w:rsidR="00BC07F0" w:rsidRDefault="00073EFB" w:rsidP="00C55F5E">
            <w:pPr>
              <w:ind w:firstLine="480"/>
            </w:pPr>
            <w:r>
              <w:rPr>
                <w:rFonts w:hint="eastAsia"/>
              </w:rPr>
              <w:t>20cm4%</w:t>
            </w:r>
            <w:r>
              <w:rPr>
                <w:rFonts w:hint="eastAsia"/>
              </w:rPr>
              <w:t>水泥稳定碎石</w:t>
            </w:r>
          </w:p>
          <w:p w:rsidR="00BC07F0" w:rsidRDefault="00073EFB" w:rsidP="00C55F5E">
            <w:pPr>
              <w:ind w:firstLine="480"/>
            </w:pPr>
            <w:r>
              <w:rPr>
                <w:rFonts w:hint="eastAsia"/>
              </w:rPr>
              <w:t>（</w:t>
            </w:r>
            <w:r>
              <w:rPr>
                <w:rFonts w:hint="eastAsia"/>
              </w:rPr>
              <w:t>3</w:t>
            </w:r>
            <w:r>
              <w:rPr>
                <w:rFonts w:hint="eastAsia"/>
              </w:rPr>
              <w:t>）路缘石及流水板：</w:t>
            </w:r>
          </w:p>
          <w:p w:rsidR="00BC07F0" w:rsidRDefault="00073EFB" w:rsidP="00C55F5E">
            <w:pPr>
              <w:ind w:firstLine="480"/>
            </w:pPr>
            <w:r>
              <w:rPr>
                <w:rFonts w:hint="eastAsia"/>
              </w:rPr>
              <w:t>花岗岩流水板（规格为</w:t>
            </w:r>
            <w:r>
              <w:rPr>
                <w:rFonts w:hint="eastAsia"/>
              </w:rPr>
              <w:t>40cmX60cmX7cm</w:t>
            </w:r>
            <w:r>
              <w:rPr>
                <w:rFonts w:hint="eastAsia"/>
              </w:rPr>
              <w:t>）</w:t>
            </w:r>
          </w:p>
          <w:p w:rsidR="00BC07F0" w:rsidRDefault="00073EFB" w:rsidP="00C55F5E">
            <w:pPr>
              <w:ind w:firstLine="480"/>
            </w:pPr>
            <w:r>
              <w:rPr>
                <w:rFonts w:hint="eastAsia"/>
              </w:rPr>
              <w:t>2cm</w:t>
            </w:r>
            <w:r>
              <w:rPr>
                <w:rFonts w:hint="eastAsia"/>
              </w:rPr>
              <w:t>厚铺贴砂浆</w:t>
            </w:r>
          </w:p>
          <w:p w:rsidR="00BC07F0" w:rsidRDefault="00073EFB" w:rsidP="00C55F5E">
            <w:pPr>
              <w:ind w:firstLine="480"/>
            </w:pPr>
            <w:r>
              <w:rPr>
                <w:rFonts w:hint="eastAsia"/>
              </w:rPr>
              <w:t>7cm</w:t>
            </w:r>
            <w:r>
              <w:rPr>
                <w:rFonts w:hint="eastAsia"/>
              </w:rPr>
              <w:t>厚</w:t>
            </w:r>
            <w:r>
              <w:rPr>
                <w:rFonts w:hint="eastAsia"/>
              </w:rPr>
              <w:t>M7.5</w:t>
            </w:r>
            <w:r>
              <w:rPr>
                <w:rFonts w:hint="eastAsia"/>
              </w:rPr>
              <w:t>水泥砂浆</w:t>
            </w:r>
          </w:p>
          <w:p w:rsidR="00BC07F0" w:rsidRDefault="00073EFB" w:rsidP="00C55F5E">
            <w:pPr>
              <w:ind w:firstLine="480"/>
            </w:pPr>
            <w:r>
              <w:rPr>
                <w:rFonts w:hint="eastAsia"/>
              </w:rPr>
              <w:t>花岗岩流水板（规格为</w:t>
            </w:r>
            <w:r>
              <w:rPr>
                <w:rFonts w:hint="eastAsia"/>
              </w:rPr>
              <w:t>40cmX60cmX5cm</w:t>
            </w:r>
            <w:r>
              <w:rPr>
                <w:rFonts w:hint="eastAsia"/>
              </w:rPr>
              <w:t>）</w:t>
            </w:r>
          </w:p>
          <w:p w:rsidR="00BC07F0" w:rsidRDefault="00073EFB" w:rsidP="00C55F5E">
            <w:pPr>
              <w:ind w:firstLine="480"/>
            </w:pPr>
            <w:r>
              <w:rPr>
                <w:rFonts w:hint="eastAsia"/>
              </w:rPr>
              <w:t>2cm</w:t>
            </w:r>
            <w:r>
              <w:rPr>
                <w:rFonts w:hint="eastAsia"/>
              </w:rPr>
              <w:t>厚铺贴砂浆</w:t>
            </w:r>
          </w:p>
          <w:p w:rsidR="00BC07F0" w:rsidRDefault="00073EFB" w:rsidP="00C55F5E">
            <w:pPr>
              <w:ind w:firstLine="480"/>
            </w:pPr>
            <w:r>
              <w:rPr>
                <w:rFonts w:hint="eastAsia"/>
              </w:rPr>
              <w:t>2cm</w:t>
            </w:r>
            <w:r>
              <w:rPr>
                <w:rFonts w:hint="eastAsia"/>
              </w:rPr>
              <w:t>厚</w:t>
            </w:r>
            <w:r>
              <w:rPr>
                <w:rFonts w:hint="eastAsia"/>
              </w:rPr>
              <w:t>M7.5</w:t>
            </w:r>
            <w:r>
              <w:rPr>
                <w:rFonts w:hint="eastAsia"/>
              </w:rPr>
              <w:t>水泥砂浆</w:t>
            </w:r>
          </w:p>
          <w:p w:rsidR="00BC07F0" w:rsidRDefault="00073EFB" w:rsidP="00C55F5E">
            <w:pPr>
              <w:ind w:firstLine="480"/>
            </w:pPr>
            <w:r>
              <w:rPr>
                <w:rFonts w:hint="eastAsia"/>
              </w:rPr>
              <w:t>成品麻石道牙（规格为</w:t>
            </w:r>
            <w:r>
              <w:rPr>
                <w:rFonts w:hint="eastAsia"/>
              </w:rPr>
              <w:t>40cmX60cmX15cm</w:t>
            </w:r>
            <w:r>
              <w:rPr>
                <w:rFonts w:hint="eastAsia"/>
              </w:rPr>
              <w:t>）</w:t>
            </w:r>
          </w:p>
          <w:p w:rsidR="00BC07F0" w:rsidRDefault="00073EFB" w:rsidP="00C55F5E">
            <w:pPr>
              <w:ind w:firstLine="480"/>
            </w:pPr>
            <w:r>
              <w:rPr>
                <w:rFonts w:hint="eastAsia"/>
              </w:rPr>
              <w:t>成品麻石道牙（规格为</w:t>
            </w:r>
            <w:r>
              <w:rPr>
                <w:rFonts w:hint="eastAsia"/>
              </w:rPr>
              <w:t>35cmX60cmX15cm</w:t>
            </w:r>
            <w:r>
              <w:rPr>
                <w:rFonts w:hint="eastAsia"/>
              </w:rPr>
              <w:t>）</w:t>
            </w:r>
          </w:p>
          <w:p w:rsidR="00BC07F0" w:rsidRDefault="00073EFB" w:rsidP="00C55F5E">
            <w:pPr>
              <w:ind w:firstLine="480"/>
            </w:pPr>
            <w:r>
              <w:rPr>
                <w:rFonts w:hint="eastAsia"/>
              </w:rPr>
              <w:t>成品麻石道牙（规格为</w:t>
            </w:r>
            <w:r>
              <w:rPr>
                <w:rFonts w:hint="eastAsia"/>
              </w:rPr>
              <w:t>35cmX60cmX22cm</w:t>
            </w:r>
            <w:r>
              <w:rPr>
                <w:rFonts w:hint="eastAsia"/>
              </w:rPr>
              <w:t>）</w:t>
            </w:r>
          </w:p>
          <w:p w:rsidR="00BC07F0" w:rsidRDefault="00073EFB" w:rsidP="00C55F5E">
            <w:pPr>
              <w:ind w:firstLine="480"/>
            </w:pPr>
            <w:r>
              <w:rPr>
                <w:rFonts w:hint="eastAsia"/>
              </w:rPr>
              <w:t>（</w:t>
            </w:r>
            <w:r>
              <w:rPr>
                <w:rFonts w:hint="eastAsia"/>
              </w:rPr>
              <w:t>4</w:t>
            </w:r>
            <w:r>
              <w:rPr>
                <w:rFonts w:hint="eastAsia"/>
              </w:rPr>
              <w:t>）人行道结构设计（总厚</w:t>
            </w:r>
            <w:r>
              <w:rPr>
                <w:rFonts w:hint="eastAsia"/>
              </w:rPr>
              <w:t>24.3cm</w:t>
            </w:r>
            <w:r>
              <w:rPr>
                <w:rFonts w:hint="eastAsia"/>
              </w:rPr>
              <w:t>）：</w:t>
            </w:r>
          </w:p>
          <w:p w:rsidR="00BC07F0" w:rsidRDefault="00073EFB" w:rsidP="00C55F5E">
            <w:pPr>
              <w:ind w:firstLine="480"/>
            </w:pPr>
            <w:r>
              <w:rPr>
                <w:rFonts w:hint="eastAsia"/>
              </w:rPr>
              <w:t>5cm</w:t>
            </w:r>
            <w:r>
              <w:rPr>
                <w:rFonts w:hint="eastAsia"/>
              </w:rPr>
              <w:t>厚花岗岩火烧板（规格为</w:t>
            </w:r>
            <w:r>
              <w:rPr>
                <w:rFonts w:hint="eastAsia"/>
              </w:rPr>
              <w:t>30cm</w:t>
            </w:r>
            <w:r>
              <w:rPr>
                <w:rFonts w:hint="eastAsia"/>
              </w:rPr>
              <w:t>×</w:t>
            </w:r>
            <w:r>
              <w:rPr>
                <w:rFonts w:hint="eastAsia"/>
              </w:rPr>
              <w:t>15cm</w:t>
            </w:r>
            <w:r>
              <w:rPr>
                <w:rFonts w:hint="eastAsia"/>
              </w:rPr>
              <w:t>×</w:t>
            </w:r>
            <w:r>
              <w:rPr>
                <w:rFonts w:hint="eastAsia"/>
              </w:rPr>
              <w:t>5cm</w:t>
            </w:r>
            <w:r>
              <w:rPr>
                <w:rFonts w:hint="eastAsia"/>
              </w:rPr>
              <w:t>）</w:t>
            </w:r>
          </w:p>
          <w:p w:rsidR="00BC07F0" w:rsidRDefault="00073EFB" w:rsidP="00C55F5E">
            <w:pPr>
              <w:ind w:firstLine="480"/>
            </w:pPr>
            <w:r>
              <w:rPr>
                <w:rFonts w:hint="eastAsia"/>
              </w:rPr>
              <w:t>0.3cm</w:t>
            </w:r>
            <w:r>
              <w:rPr>
                <w:rFonts w:hint="eastAsia"/>
              </w:rPr>
              <w:t>厚素水泥砂浆粘结层</w:t>
            </w:r>
            <w:r>
              <w:rPr>
                <w:rFonts w:hint="eastAsia"/>
              </w:rPr>
              <w:t>+107</w:t>
            </w:r>
            <w:r>
              <w:rPr>
                <w:rFonts w:hint="eastAsia"/>
              </w:rPr>
              <w:t>胶</w:t>
            </w:r>
          </w:p>
          <w:p w:rsidR="00BC07F0" w:rsidRDefault="00073EFB" w:rsidP="00C55F5E">
            <w:pPr>
              <w:ind w:firstLine="480"/>
            </w:pPr>
            <w:r>
              <w:rPr>
                <w:rFonts w:hint="eastAsia"/>
              </w:rPr>
              <w:t>4cm</w:t>
            </w:r>
            <w:r>
              <w:rPr>
                <w:rFonts w:hint="eastAsia"/>
              </w:rPr>
              <w:t>厚</w:t>
            </w:r>
            <w:r>
              <w:rPr>
                <w:rFonts w:hint="eastAsia"/>
              </w:rPr>
              <w:t>1</w:t>
            </w:r>
            <w:r>
              <w:rPr>
                <w:rFonts w:hint="eastAsia"/>
              </w:rPr>
              <w:t>∶</w:t>
            </w:r>
            <w:r>
              <w:rPr>
                <w:rFonts w:hint="eastAsia"/>
              </w:rPr>
              <w:t>3</w:t>
            </w:r>
            <w:r>
              <w:rPr>
                <w:rFonts w:hint="eastAsia"/>
              </w:rPr>
              <w:t>水泥砂浆找平层</w:t>
            </w:r>
          </w:p>
          <w:p w:rsidR="00BC07F0" w:rsidRDefault="00073EFB" w:rsidP="00C55F5E">
            <w:pPr>
              <w:ind w:firstLine="480"/>
            </w:pPr>
            <w:r>
              <w:rPr>
                <w:rFonts w:hint="eastAsia"/>
              </w:rPr>
              <w:t>15cm</w:t>
            </w:r>
            <w:r>
              <w:rPr>
                <w:rFonts w:hint="eastAsia"/>
              </w:rPr>
              <w:t>厚</w:t>
            </w:r>
            <w:r>
              <w:rPr>
                <w:rFonts w:hint="eastAsia"/>
              </w:rPr>
              <w:t>C15</w:t>
            </w:r>
            <w:r>
              <w:rPr>
                <w:rFonts w:hint="eastAsia"/>
              </w:rPr>
              <w:t>水泥混凝土</w:t>
            </w:r>
          </w:p>
          <w:p w:rsidR="00BC07F0" w:rsidRDefault="00073EFB" w:rsidP="00C55F5E">
            <w:pPr>
              <w:ind w:firstLine="482"/>
              <w:rPr>
                <w:b/>
                <w:bCs/>
              </w:rPr>
            </w:pPr>
            <w:r>
              <w:rPr>
                <w:rFonts w:hint="eastAsia"/>
                <w:b/>
                <w:bCs/>
              </w:rPr>
              <w:t>2.6.2.</w:t>
            </w:r>
            <w:r>
              <w:rPr>
                <w:rFonts w:hint="eastAsia"/>
                <w:b/>
                <w:bCs/>
              </w:rPr>
              <w:t>6</w:t>
            </w:r>
            <w:r>
              <w:rPr>
                <w:rFonts w:hint="eastAsia"/>
                <w:b/>
                <w:bCs/>
              </w:rPr>
              <w:t>路线交叉</w:t>
            </w:r>
          </w:p>
          <w:p w:rsidR="00BC07F0" w:rsidRDefault="00073EFB" w:rsidP="00C55F5E">
            <w:pPr>
              <w:ind w:firstLine="480"/>
            </w:pPr>
            <w:r>
              <w:rPr>
                <w:rFonts w:hint="eastAsia"/>
              </w:rPr>
              <w:t>与白沙大道、酃白路和湘江南路按平交设计；与规划</w:t>
            </w:r>
            <w:r>
              <w:rPr>
                <w:rFonts w:hint="eastAsia"/>
              </w:rPr>
              <w:t>4</w:t>
            </w:r>
            <w:r>
              <w:rPr>
                <w:rFonts w:hint="eastAsia"/>
              </w:rPr>
              <w:t>条路此次不做设计考虑，直线通过；酃白路和湘江南路做拓宽交叉口处理。</w:t>
            </w:r>
          </w:p>
          <w:p w:rsidR="00BC07F0" w:rsidRDefault="00073EFB" w:rsidP="00C55F5E">
            <w:pPr>
              <w:ind w:firstLine="482"/>
              <w:rPr>
                <w:b/>
                <w:bCs/>
              </w:rPr>
            </w:pPr>
            <w:r>
              <w:rPr>
                <w:rFonts w:hint="eastAsia"/>
                <w:b/>
                <w:bCs/>
              </w:rPr>
              <w:t>2.6.2.</w:t>
            </w:r>
            <w:r>
              <w:rPr>
                <w:rFonts w:hint="eastAsia"/>
                <w:b/>
                <w:bCs/>
              </w:rPr>
              <w:t>7</w:t>
            </w:r>
            <w:r>
              <w:rPr>
                <w:rFonts w:hint="eastAsia"/>
                <w:b/>
                <w:bCs/>
              </w:rPr>
              <w:t>交通弱者安全保障系统</w:t>
            </w:r>
          </w:p>
          <w:p w:rsidR="00BC07F0" w:rsidRDefault="00073EFB" w:rsidP="00C55F5E">
            <w:pPr>
              <w:ind w:firstLine="480"/>
            </w:pPr>
            <w:r>
              <w:rPr>
                <w:rFonts w:hint="eastAsia"/>
              </w:rPr>
              <w:t>（</w:t>
            </w:r>
            <w:r>
              <w:rPr>
                <w:rFonts w:hint="eastAsia"/>
              </w:rPr>
              <w:t>1</w:t>
            </w:r>
            <w:r>
              <w:rPr>
                <w:rFonts w:hint="eastAsia"/>
              </w:rPr>
              <w:t>）无障碍</w:t>
            </w:r>
            <w:r>
              <w:rPr>
                <w:rFonts w:hint="eastAsia"/>
              </w:rPr>
              <w:t>系统</w:t>
            </w:r>
          </w:p>
          <w:p w:rsidR="00BC07F0" w:rsidRDefault="00073EFB" w:rsidP="00C55F5E">
            <w:pPr>
              <w:ind w:firstLine="480"/>
            </w:pPr>
            <w:r>
              <w:rPr>
                <w:rFonts w:hint="eastAsia"/>
              </w:rPr>
              <w:t>工程按照《城市道路和建筑物无障碍设计规范》（</w:t>
            </w:r>
            <w:r>
              <w:rPr>
                <w:rFonts w:hint="eastAsia"/>
              </w:rPr>
              <w:t>JGJ50-2001</w:t>
            </w:r>
            <w:r>
              <w:rPr>
                <w:rFonts w:hint="eastAsia"/>
              </w:rPr>
              <w:t>）的规定对道路进行了无障碍设计。为区分人行道地面和车行道便于排水，道路人行道侧石高出车行道</w:t>
            </w:r>
            <w:r>
              <w:rPr>
                <w:rFonts w:hint="eastAsia"/>
              </w:rPr>
              <w:t>15cm</w:t>
            </w:r>
            <w:r>
              <w:rPr>
                <w:rFonts w:hint="eastAsia"/>
              </w:rPr>
              <w:t>。为避免乘坐轮椅的残疾人以及非机动车出行者由此带来的困难，在每个交叉口和路段的人行横道处采用无障碍设计，包括在人行横道两端设置缘石坡道以及对跨人行横道的分隔带侧石下压（铺</w:t>
            </w:r>
            <w:r>
              <w:rPr>
                <w:rFonts w:hint="eastAsia"/>
              </w:rPr>
              <w:t>砌后与机动车道间高差≤</w:t>
            </w:r>
            <w:r>
              <w:rPr>
                <w:rFonts w:hint="eastAsia"/>
              </w:rPr>
              <w:t>3cm</w:t>
            </w:r>
            <w:r>
              <w:rPr>
                <w:rFonts w:hint="eastAsia"/>
              </w:rPr>
              <w:t>），并对其断面用人行道板进行铺砌。</w:t>
            </w:r>
            <w:r>
              <w:rPr>
                <w:rFonts w:hint="eastAsia"/>
              </w:rPr>
              <w:lastRenderedPageBreak/>
              <w:t>缘石坡道宽度可与人行横道相等，也可小于人行横道，但位置须对正。缘石坡道的坡度采用</w:t>
            </w:r>
            <w:r>
              <w:rPr>
                <w:rFonts w:hint="eastAsia"/>
              </w:rPr>
              <w:t>1/10~1/12</w:t>
            </w:r>
            <w:r>
              <w:rPr>
                <w:rFonts w:hint="eastAsia"/>
              </w:rPr>
              <w:t>，有条件的地方可做到</w:t>
            </w:r>
            <w:r>
              <w:rPr>
                <w:rFonts w:hint="eastAsia"/>
              </w:rPr>
              <w:t>1/10~1/20</w:t>
            </w:r>
            <w:r>
              <w:rPr>
                <w:rFonts w:hint="eastAsia"/>
              </w:rPr>
              <w:t>，但不得大于</w:t>
            </w:r>
            <w:r>
              <w:rPr>
                <w:rFonts w:hint="eastAsia"/>
              </w:rPr>
              <w:t>1/20</w:t>
            </w:r>
            <w:r>
              <w:rPr>
                <w:rFonts w:hint="eastAsia"/>
              </w:rPr>
              <w:t>，坡面须平整但不光滑。道路全线的人行道在交叉路口、街坊路口、单位路口、广场入口、人行横道等部位均应设置缘石坡道。</w:t>
            </w:r>
          </w:p>
          <w:p w:rsidR="00BC07F0" w:rsidRDefault="00073EFB" w:rsidP="00C55F5E">
            <w:pPr>
              <w:ind w:firstLine="480"/>
            </w:pPr>
            <w:r>
              <w:rPr>
                <w:rFonts w:hint="eastAsia"/>
              </w:rPr>
              <w:t>（</w:t>
            </w:r>
            <w:r>
              <w:rPr>
                <w:rFonts w:hint="eastAsia"/>
              </w:rPr>
              <w:t>2</w:t>
            </w:r>
            <w:r>
              <w:rPr>
                <w:rFonts w:hint="eastAsia"/>
              </w:rPr>
              <w:t>）盲人行走保护系统</w:t>
            </w:r>
          </w:p>
          <w:p w:rsidR="00BC07F0" w:rsidRDefault="00073EFB" w:rsidP="00C55F5E">
            <w:pPr>
              <w:ind w:firstLine="480"/>
            </w:pPr>
            <w:r>
              <w:rPr>
                <w:rFonts w:hint="eastAsia"/>
              </w:rPr>
              <w:t>作为行人中的特殊群体，需要</w:t>
            </w:r>
            <w:r>
              <w:rPr>
                <w:rFonts w:hint="eastAsia"/>
              </w:rPr>
              <w:tab/>
            </w:r>
            <w:r>
              <w:rPr>
                <w:rFonts w:hint="eastAsia"/>
              </w:rPr>
              <w:t>予以特殊关照，因此，需要在人行道设置为视力残疾人引路的盲人行走系统，包括盲道及其他盲人行走保护措施。盲道亦采用黄色，包括停步板材</w:t>
            </w:r>
            <w:r>
              <w:rPr>
                <w:rFonts w:hint="eastAsia"/>
              </w:rPr>
              <w:t>和导向板材。人行横道处的触感块材距离缘石</w:t>
            </w:r>
            <w:r>
              <w:rPr>
                <w:rFonts w:hint="eastAsia"/>
              </w:rPr>
              <w:t>0.3m</w:t>
            </w:r>
            <w:r>
              <w:rPr>
                <w:rFonts w:hint="eastAsia"/>
              </w:rPr>
              <w:t>或隔一块人行道砖铺装停步块材。导向块材与停步块材成垂直向铺装。铺装宽度不得小于</w:t>
            </w:r>
            <w:r>
              <w:rPr>
                <w:rFonts w:hint="eastAsia"/>
              </w:rPr>
              <w:t>0.50m</w:t>
            </w:r>
            <w:r>
              <w:rPr>
                <w:rFonts w:hint="eastAsia"/>
              </w:rPr>
              <w:t>。在公共汽车停车站，距缘石</w:t>
            </w:r>
            <w:r>
              <w:rPr>
                <w:rFonts w:hint="eastAsia"/>
              </w:rPr>
              <w:t>0.30m</w:t>
            </w:r>
            <w:r>
              <w:rPr>
                <w:rFonts w:hint="eastAsia"/>
              </w:rPr>
              <w:t>或隔一块人行道方砖铺装导向块材。临时站牌设停步块材。停步块材与导向块材成垂直向铺装。铺装宽度不得小于</w:t>
            </w:r>
            <w:r>
              <w:rPr>
                <w:rFonts w:hint="eastAsia"/>
              </w:rPr>
              <w:t>0.60m</w:t>
            </w:r>
            <w:r>
              <w:rPr>
                <w:rFonts w:hint="eastAsia"/>
              </w:rPr>
              <w:t>。其它盲人行走保护设施包括：人行道就里侧的缘石，在绿化带处高出人行道至少</w:t>
            </w:r>
            <w:r>
              <w:rPr>
                <w:rFonts w:hint="eastAsia"/>
              </w:rPr>
              <w:t>0.1m</w:t>
            </w:r>
            <w:r>
              <w:rPr>
                <w:rFonts w:hint="eastAsia"/>
              </w:rPr>
              <w:t>，绿化带的断口处用导向块材连接，人行道中的地下管线井盖必须与地面接平，不得用篦式井盖；侵入人行道空间的悬挂物距地面高度不得小于</w:t>
            </w:r>
            <w:r>
              <w:rPr>
                <w:rFonts w:hint="eastAsia"/>
              </w:rPr>
              <w:t>2.2m</w:t>
            </w:r>
            <w:r>
              <w:rPr>
                <w:rFonts w:hint="eastAsia"/>
              </w:rPr>
              <w:t>；在人行横道与缘</w:t>
            </w:r>
            <w:r>
              <w:rPr>
                <w:rFonts w:hint="eastAsia"/>
              </w:rPr>
              <w:t>石坡道处不得设雨水口，人行道内需要保留的古木、遗迹或临时凹陷、凸起障碍物，应采取防护措施。</w:t>
            </w:r>
          </w:p>
          <w:p w:rsidR="00BC07F0" w:rsidRDefault="00073EFB" w:rsidP="00C55F5E">
            <w:pPr>
              <w:ind w:firstLine="482"/>
              <w:rPr>
                <w:b/>
                <w:bCs/>
              </w:rPr>
            </w:pPr>
            <w:r>
              <w:rPr>
                <w:rFonts w:hint="eastAsia"/>
                <w:b/>
                <w:bCs/>
              </w:rPr>
              <w:t>2.6.2.8</w:t>
            </w:r>
            <w:r>
              <w:rPr>
                <w:rFonts w:hint="eastAsia"/>
                <w:b/>
                <w:bCs/>
              </w:rPr>
              <w:t>道路交通标线与标记</w:t>
            </w:r>
          </w:p>
          <w:p w:rsidR="00BC07F0" w:rsidRDefault="00073EFB" w:rsidP="00C55F5E">
            <w:pPr>
              <w:ind w:firstLine="480"/>
            </w:pPr>
            <w:r>
              <w:rPr>
                <w:rFonts w:hint="eastAsia"/>
              </w:rPr>
              <w:t>（</w:t>
            </w:r>
            <w:r>
              <w:rPr>
                <w:rFonts w:hint="eastAsia"/>
              </w:rPr>
              <w:t>1</w:t>
            </w:r>
            <w:r>
              <w:rPr>
                <w:rFonts w:hint="eastAsia"/>
              </w:rPr>
              <w:t>）道路交通</w:t>
            </w:r>
          </w:p>
          <w:p w:rsidR="00BC07F0" w:rsidRDefault="00073EFB" w:rsidP="00C55F5E">
            <w:pPr>
              <w:ind w:firstLine="480"/>
            </w:pPr>
            <w:r>
              <w:rPr>
                <w:rFonts w:hint="eastAsia"/>
              </w:rPr>
              <w:t>版面：标志根据其版面内容的不同，分为警告、禁令、指示、指路等几种。交通标志版面设计主要以《道路交通标志与标线》（</w:t>
            </w:r>
            <w:r>
              <w:rPr>
                <w:rFonts w:hint="eastAsia"/>
              </w:rPr>
              <w:t>GB5768-2009</w:t>
            </w:r>
            <w:r>
              <w:rPr>
                <w:rFonts w:hint="eastAsia"/>
              </w:rPr>
              <w:t>）为依据，标志上的文字采用中英文对照，指路标志的汉字高采用</w:t>
            </w:r>
            <w:r>
              <w:rPr>
                <w:rFonts w:hint="eastAsia"/>
              </w:rPr>
              <w:t>40cm</w:t>
            </w:r>
            <w:r>
              <w:rPr>
                <w:rFonts w:hint="eastAsia"/>
              </w:rPr>
              <w:t>，英文字高一般为汉字字高的一半，英文、拼音字母均采用大写字母。具体结合计算行车速度</w:t>
            </w:r>
            <w:r>
              <w:rPr>
                <w:rFonts w:hint="eastAsia"/>
              </w:rPr>
              <w:t>40km/h</w:t>
            </w:r>
            <w:r>
              <w:rPr>
                <w:rFonts w:hint="eastAsia"/>
              </w:rPr>
              <w:t>的要求，各种标志版面规定如下：警告标志规格为正三角形</w:t>
            </w:r>
            <w:r>
              <w:rPr>
                <w:rFonts w:hint="eastAsia"/>
              </w:rPr>
              <w:t>90cm</w:t>
            </w:r>
            <w:r>
              <w:rPr>
                <w:rFonts w:hint="eastAsia"/>
              </w:rPr>
              <w:t>；禁令标志规格为</w:t>
            </w:r>
            <w:r>
              <w:rPr>
                <w:rFonts w:hint="eastAsia"/>
              </w:rPr>
              <w:t>圆形</w:t>
            </w:r>
            <w:r>
              <w:rPr>
                <w:rFonts w:hint="eastAsia"/>
              </w:rPr>
              <w:t>100cm</w:t>
            </w:r>
            <w:r>
              <w:rPr>
                <w:rFonts w:hint="eastAsia"/>
              </w:rPr>
              <w:t>，指示标志规格为圆形</w:t>
            </w:r>
            <w:r>
              <w:rPr>
                <w:rFonts w:hint="eastAsia"/>
              </w:rPr>
              <w:t>100cm</w:t>
            </w:r>
            <w:r>
              <w:rPr>
                <w:rFonts w:hint="eastAsia"/>
              </w:rPr>
              <w:t>、长方形</w:t>
            </w:r>
            <w:r>
              <w:rPr>
                <w:rFonts w:hint="eastAsia"/>
              </w:rPr>
              <w:t>88cm</w:t>
            </w:r>
            <w:r>
              <w:rPr>
                <w:rFonts w:hint="eastAsia"/>
              </w:rPr>
              <w:t>×</w:t>
            </w:r>
            <w:r>
              <w:rPr>
                <w:rFonts w:hint="eastAsia"/>
              </w:rPr>
              <w:t>40cm</w:t>
            </w:r>
            <w:r>
              <w:rPr>
                <w:rFonts w:hint="eastAsia"/>
              </w:rPr>
              <w:t>；指路标志统一采用</w:t>
            </w:r>
            <w:r>
              <w:rPr>
                <w:rFonts w:hint="eastAsia"/>
              </w:rPr>
              <w:t>500cm</w:t>
            </w:r>
            <w:r>
              <w:rPr>
                <w:rFonts w:hint="eastAsia"/>
              </w:rPr>
              <w:t>×</w:t>
            </w:r>
            <w:r>
              <w:rPr>
                <w:rFonts w:hint="eastAsia"/>
              </w:rPr>
              <w:t>240cm</w:t>
            </w:r>
            <w:r>
              <w:rPr>
                <w:rFonts w:hint="eastAsia"/>
              </w:rPr>
              <w:t>，标志汉字统一采用标准黑体（简体），高度</w:t>
            </w:r>
            <w:r>
              <w:rPr>
                <w:rFonts w:hint="eastAsia"/>
              </w:rPr>
              <w:t>40cm</w:t>
            </w:r>
            <w:r>
              <w:rPr>
                <w:rFonts w:hint="eastAsia"/>
              </w:rPr>
              <w:t>，英文采用拉丁字母大写，字高</w:t>
            </w:r>
            <w:r>
              <w:rPr>
                <w:rFonts w:hint="eastAsia"/>
              </w:rPr>
              <w:t>20cm</w:t>
            </w:r>
            <w:r>
              <w:rPr>
                <w:rFonts w:hint="eastAsia"/>
              </w:rPr>
              <w:t>，且要求字高与字宽相等，字间隔为</w:t>
            </w:r>
            <w:r>
              <w:rPr>
                <w:rFonts w:hint="eastAsia"/>
              </w:rPr>
              <w:t>4cm</w:t>
            </w:r>
            <w:r>
              <w:rPr>
                <w:rFonts w:hint="eastAsia"/>
              </w:rPr>
              <w:t>，字行距为</w:t>
            </w:r>
            <w:r>
              <w:rPr>
                <w:rFonts w:hint="eastAsia"/>
              </w:rPr>
              <w:t>0.14</w:t>
            </w:r>
            <w:r>
              <w:rPr>
                <w:rFonts w:hint="eastAsia"/>
              </w:rPr>
              <w:t>，距标志边缘距离为大于</w:t>
            </w:r>
            <w:r>
              <w:rPr>
                <w:rFonts w:hint="eastAsia"/>
              </w:rPr>
              <w:t>16cm</w:t>
            </w:r>
            <w:r>
              <w:rPr>
                <w:rFonts w:hint="eastAsia"/>
              </w:rPr>
              <w:t>。辅助标志形状为长方形，其尺寸由字高、字数确定，字高确定为</w:t>
            </w:r>
            <w:r>
              <w:rPr>
                <w:rFonts w:hint="eastAsia"/>
              </w:rPr>
              <w:t>20cm</w:t>
            </w:r>
            <w:r>
              <w:rPr>
                <w:rFonts w:hint="eastAsia"/>
              </w:rPr>
              <w:t>。辅助标志安装在主标志下方，紧靠主标志下缘。</w:t>
            </w:r>
          </w:p>
          <w:p w:rsidR="00BC07F0" w:rsidRDefault="00073EFB" w:rsidP="00C55F5E">
            <w:pPr>
              <w:ind w:firstLine="480"/>
            </w:pPr>
            <w:r>
              <w:rPr>
                <w:rFonts w:hint="eastAsia"/>
              </w:rPr>
              <w:t>标志尺寸：标志的形状、尺寸、图案、文字、颜色均应符合</w:t>
            </w:r>
            <w:r>
              <w:rPr>
                <w:rFonts w:hint="eastAsia"/>
              </w:rPr>
              <w:t>GB5768</w:t>
            </w:r>
            <w:r>
              <w:rPr>
                <w:rFonts w:hint="eastAsia"/>
              </w:rPr>
              <w:t>的规定或有关设计的要求。外形尺寸允许偏差为</w:t>
            </w:r>
            <w:r>
              <w:rPr>
                <w:rFonts w:hint="eastAsia"/>
              </w:rPr>
              <w:t>5mm</w:t>
            </w:r>
            <w:r>
              <w:rPr>
                <w:rFonts w:hint="eastAsia"/>
              </w:rPr>
              <w:t>。</w:t>
            </w:r>
          </w:p>
          <w:p w:rsidR="00BC07F0" w:rsidRDefault="00073EFB" w:rsidP="00C55F5E">
            <w:pPr>
              <w:ind w:firstLine="480"/>
            </w:pPr>
            <w:r>
              <w:rPr>
                <w:rFonts w:hint="eastAsia"/>
              </w:rPr>
              <w:t>（</w:t>
            </w:r>
            <w:r>
              <w:rPr>
                <w:rFonts w:hint="eastAsia"/>
              </w:rPr>
              <w:t>2</w:t>
            </w:r>
            <w:r>
              <w:rPr>
                <w:rFonts w:hint="eastAsia"/>
              </w:rPr>
              <w:t>）交通标线</w:t>
            </w:r>
          </w:p>
          <w:p w:rsidR="00BC07F0" w:rsidRDefault="00073EFB" w:rsidP="00C55F5E">
            <w:pPr>
              <w:ind w:firstLine="480"/>
            </w:pPr>
            <w:r>
              <w:rPr>
                <w:rFonts w:hint="eastAsia"/>
              </w:rPr>
              <w:lastRenderedPageBreak/>
              <w:t>根据国标《道路交通标志标线》（</w:t>
            </w:r>
            <w:r>
              <w:rPr>
                <w:rFonts w:hint="eastAsia"/>
              </w:rPr>
              <w:t>GB5768-2009</w:t>
            </w:r>
            <w:r>
              <w:rPr>
                <w:rFonts w:hint="eastAsia"/>
              </w:rPr>
              <w:t>）的相关规定，本工程交通标线主要由车道分界线、车行道边缘线、专用道线、人行横道预告标记、人行横道线、导向箭头标记等到路面标记。标线按规定设置成反光交通标线。标线按城市道路双向六车道划线。标线采用热熔型反光涂料，其厚度为</w:t>
            </w:r>
            <w:r>
              <w:rPr>
                <w:rFonts w:hint="eastAsia"/>
              </w:rPr>
              <w:t>2.8mm</w:t>
            </w:r>
            <w:r>
              <w:rPr>
                <w:rFonts w:hint="eastAsia"/>
              </w:rPr>
              <w:t>或</w:t>
            </w:r>
            <w:r>
              <w:rPr>
                <w:rFonts w:hint="eastAsia"/>
              </w:rPr>
              <w:t>4.5mm</w:t>
            </w:r>
            <w:r>
              <w:rPr>
                <w:rFonts w:hint="eastAsia"/>
              </w:rPr>
              <w:t>，涂料中应混合占总重量</w:t>
            </w:r>
            <w:r>
              <w:rPr>
                <w:rFonts w:hint="eastAsia"/>
              </w:rPr>
              <w:t>15~23%</w:t>
            </w:r>
            <w:r>
              <w:rPr>
                <w:rFonts w:hint="eastAsia"/>
              </w:rPr>
              <w:t>的玻璃微珠。施工时标线表面须均匀撒布</w:t>
            </w:r>
            <w:r>
              <w:rPr>
                <w:rFonts w:hint="eastAsia"/>
              </w:rPr>
              <w:t>0.3~0.34kg/m</w:t>
            </w:r>
            <w:r>
              <w:rPr>
                <w:rFonts w:hint="eastAsia"/>
                <w:vertAlign w:val="superscript"/>
              </w:rPr>
              <w:t>2</w:t>
            </w:r>
            <w:r>
              <w:rPr>
                <w:rFonts w:hint="eastAsia"/>
              </w:rPr>
              <w:t>的玻璃微珠。其中车道分界线采用（白色）采用“</w:t>
            </w:r>
            <w:r>
              <w:rPr>
                <w:rFonts w:hint="eastAsia"/>
              </w:rPr>
              <w:t>2m/4m</w:t>
            </w:r>
            <w:r>
              <w:rPr>
                <w:rFonts w:hint="eastAsia"/>
              </w:rPr>
              <w:t>”间隔的虚线，宽度为</w:t>
            </w:r>
            <w:r>
              <w:rPr>
                <w:rFonts w:hint="eastAsia"/>
              </w:rPr>
              <w:t>15cm</w:t>
            </w:r>
            <w:r>
              <w:rPr>
                <w:rFonts w:hint="eastAsia"/>
              </w:rPr>
              <w:t>，车行道边缘线（白色）</w:t>
            </w:r>
            <w:r>
              <w:rPr>
                <w:rFonts w:hint="eastAsia"/>
              </w:rPr>
              <w:t>15cm</w:t>
            </w:r>
            <w:r>
              <w:rPr>
                <w:rFonts w:hint="eastAsia"/>
              </w:rPr>
              <w:t>，临近交叉口，导向箭头按照重重三次、间隔</w:t>
            </w:r>
            <w:r>
              <w:rPr>
                <w:rFonts w:hint="eastAsia"/>
              </w:rPr>
              <w:t>50m</w:t>
            </w:r>
            <w:r>
              <w:rPr>
                <w:rFonts w:hint="eastAsia"/>
              </w:rPr>
              <w:t>的要求进行布设，人行横道线宽度一般采用</w:t>
            </w:r>
            <w:r>
              <w:rPr>
                <w:rFonts w:hint="eastAsia"/>
              </w:rPr>
              <w:t>6m</w:t>
            </w:r>
            <w:r>
              <w:rPr>
                <w:rFonts w:hint="eastAsia"/>
              </w:rPr>
              <w:t>，人行横道线的位置及其预告标识采用间隔</w:t>
            </w:r>
            <w:r>
              <w:rPr>
                <w:rFonts w:hint="eastAsia"/>
              </w:rPr>
              <w:t>60m/45cm</w:t>
            </w:r>
            <w:r>
              <w:rPr>
                <w:rFonts w:hint="eastAsia"/>
              </w:rPr>
              <w:t>的要求布设。</w:t>
            </w:r>
          </w:p>
          <w:p w:rsidR="00BC07F0" w:rsidRDefault="00073EFB" w:rsidP="00C55F5E">
            <w:pPr>
              <w:ind w:firstLine="482"/>
              <w:rPr>
                <w:b/>
                <w:bCs/>
              </w:rPr>
            </w:pPr>
            <w:r>
              <w:rPr>
                <w:rFonts w:hint="eastAsia"/>
                <w:b/>
                <w:bCs/>
              </w:rPr>
              <w:t>2.6.2.</w:t>
            </w:r>
            <w:r>
              <w:rPr>
                <w:rFonts w:hint="eastAsia"/>
                <w:b/>
                <w:bCs/>
              </w:rPr>
              <w:t>9</w:t>
            </w:r>
            <w:r>
              <w:rPr>
                <w:rFonts w:hint="eastAsia"/>
                <w:b/>
                <w:bCs/>
              </w:rPr>
              <w:t>管给水线工程</w:t>
            </w:r>
          </w:p>
          <w:p w:rsidR="00BC07F0" w:rsidRDefault="00073EFB" w:rsidP="00C55F5E">
            <w:pPr>
              <w:ind w:firstLine="480"/>
            </w:pPr>
            <w:r>
              <w:rPr>
                <w:rFonts w:hint="eastAsia"/>
              </w:rPr>
              <w:t>（</w:t>
            </w:r>
            <w:r>
              <w:rPr>
                <w:rFonts w:hint="eastAsia"/>
              </w:rPr>
              <w:t>1</w:t>
            </w:r>
            <w:r>
              <w:rPr>
                <w:rFonts w:hint="eastAsia"/>
              </w:rPr>
              <w:t>）给水</w:t>
            </w:r>
          </w:p>
          <w:p w:rsidR="00BC07F0" w:rsidRDefault="00073EFB" w:rsidP="00C55F5E">
            <w:pPr>
              <w:ind w:firstLine="480"/>
            </w:pPr>
            <w:r>
              <w:rPr>
                <w:rFonts w:hint="eastAsia"/>
              </w:rPr>
              <w:t>道路南侧侧布置给水干管，管径为</w:t>
            </w:r>
            <w:r>
              <w:rPr>
                <w:rFonts w:hint="eastAsia"/>
              </w:rPr>
              <w:t>d500</w:t>
            </w:r>
            <w:r>
              <w:rPr>
                <w:rFonts w:hint="eastAsia"/>
              </w:rPr>
              <w:t>，给水管采用球墨铸铁管。设计沿道路每隔</w:t>
            </w:r>
            <w:r>
              <w:rPr>
                <w:rFonts w:hint="eastAsia"/>
              </w:rPr>
              <w:t>120</w:t>
            </w:r>
            <w:r>
              <w:rPr>
                <w:rFonts w:hint="eastAsia"/>
              </w:rPr>
              <w:t>米左右，在道路人行道上布置室外消火栓，满足市政和消防用水需要。给水管管顶覆土取</w:t>
            </w:r>
            <w:r>
              <w:rPr>
                <w:rFonts w:hint="eastAsia"/>
              </w:rPr>
              <w:t>1m</w:t>
            </w:r>
            <w:r>
              <w:rPr>
                <w:rFonts w:hint="eastAsia"/>
              </w:rPr>
              <w:t>。另道路绿化均设计喷灌系统。</w:t>
            </w:r>
          </w:p>
          <w:p w:rsidR="00BC07F0" w:rsidRDefault="00073EFB" w:rsidP="00C55F5E">
            <w:pPr>
              <w:ind w:firstLine="480"/>
            </w:pPr>
            <w:r>
              <w:rPr>
                <w:rFonts w:hint="eastAsia"/>
              </w:rPr>
              <w:t>（</w:t>
            </w:r>
            <w:r>
              <w:rPr>
                <w:rFonts w:hint="eastAsia"/>
              </w:rPr>
              <w:t>2</w:t>
            </w:r>
            <w:r>
              <w:rPr>
                <w:rFonts w:hint="eastAsia"/>
              </w:rPr>
              <w:t>）排水</w:t>
            </w:r>
          </w:p>
          <w:p w:rsidR="00BC07F0" w:rsidRDefault="00073EFB" w:rsidP="00C55F5E">
            <w:pPr>
              <w:ind w:firstLine="480"/>
            </w:pPr>
            <w:r>
              <w:rPr>
                <w:rFonts w:hint="eastAsia"/>
              </w:rPr>
              <w:t>采用衡阳市暴雨强度公式</w:t>
            </w:r>
            <w:r>
              <w:rPr>
                <w:rFonts w:hint="eastAsia"/>
              </w:rPr>
              <w:t>q</w:t>
            </w:r>
            <w:r>
              <w:rPr>
                <w:rFonts w:hint="eastAsia"/>
              </w:rPr>
              <w:t>＝</w:t>
            </w:r>
            <w:r>
              <w:rPr>
                <w:rFonts w:hint="eastAsia"/>
              </w:rPr>
              <w:t>892</w:t>
            </w:r>
            <w:r>
              <w:rPr>
                <w:rFonts w:hint="eastAsia"/>
              </w:rPr>
              <w:t>×（</w:t>
            </w:r>
            <w:r>
              <w:rPr>
                <w:rFonts w:hint="eastAsia"/>
              </w:rPr>
              <w:t>1+0.67lgP</w:t>
            </w:r>
            <w:r>
              <w:rPr>
                <w:rFonts w:hint="eastAsia"/>
              </w:rPr>
              <w:t>）</w:t>
            </w:r>
            <w:r>
              <w:rPr>
                <w:rFonts w:hint="eastAsia"/>
              </w:rPr>
              <w:t>/</w:t>
            </w:r>
            <w:r>
              <w:rPr>
                <w:rFonts w:hint="eastAsia"/>
              </w:rPr>
              <w:t>（</w:t>
            </w:r>
            <w:r>
              <w:rPr>
                <w:rFonts w:hint="eastAsia"/>
              </w:rPr>
              <w:t>t</w:t>
            </w:r>
            <w:r>
              <w:rPr>
                <w:rFonts w:hint="eastAsia"/>
              </w:rPr>
              <w:t>）</w:t>
            </w:r>
            <w:r>
              <w:rPr>
                <w:rFonts w:hint="eastAsia"/>
              </w:rPr>
              <w:t>0.57</w:t>
            </w:r>
            <w:r>
              <w:rPr>
                <w:rFonts w:hint="eastAsia"/>
              </w:rPr>
              <w:t>。工程设计降雨重现期</w:t>
            </w:r>
            <w:r>
              <w:rPr>
                <w:rFonts w:hint="eastAsia"/>
              </w:rPr>
              <w:t>P</w:t>
            </w:r>
            <w:r>
              <w:rPr>
                <w:rFonts w:hint="eastAsia"/>
              </w:rPr>
              <w:t>取</w:t>
            </w:r>
            <w:r>
              <w:rPr>
                <w:rFonts w:hint="eastAsia"/>
              </w:rPr>
              <w:t>P=2</w:t>
            </w:r>
            <w:r>
              <w:rPr>
                <w:rFonts w:hint="eastAsia"/>
              </w:rPr>
              <w:t>。降雨历</w:t>
            </w:r>
            <w:r>
              <w:rPr>
                <w:rFonts w:hint="eastAsia"/>
              </w:rPr>
              <w:t>时</w:t>
            </w:r>
            <w:r>
              <w:rPr>
                <w:rFonts w:hint="eastAsia"/>
              </w:rPr>
              <w:t>t=t1+mt2</w:t>
            </w:r>
            <w:r>
              <w:rPr>
                <w:rFonts w:hint="eastAsia"/>
              </w:rPr>
              <w:t>（</w:t>
            </w:r>
            <w:r>
              <w:rPr>
                <w:rFonts w:hint="eastAsia"/>
              </w:rPr>
              <w:t>min</w:t>
            </w:r>
            <w:r>
              <w:rPr>
                <w:rFonts w:hint="eastAsia"/>
              </w:rPr>
              <w:t>），地面集水时间</w:t>
            </w:r>
            <w:r>
              <w:rPr>
                <w:rFonts w:hint="eastAsia"/>
              </w:rPr>
              <w:t>t1</w:t>
            </w:r>
            <w:r>
              <w:rPr>
                <w:rFonts w:hint="eastAsia"/>
              </w:rPr>
              <w:t>（</w:t>
            </w:r>
            <w:r>
              <w:rPr>
                <w:rFonts w:hint="eastAsia"/>
              </w:rPr>
              <w:t>min</w:t>
            </w:r>
            <w:r>
              <w:rPr>
                <w:rFonts w:hint="eastAsia"/>
              </w:rPr>
              <w:t>）采用</w:t>
            </w:r>
            <w:r>
              <w:rPr>
                <w:rFonts w:hint="eastAsia"/>
              </w:rPr>
              <w:t>t1=10min</w:t>
            </w:r>
            <w:r>
              <w:rPr>
                <w:rFonts w:hint="eastAsia"/>
              </w:rPr>
              <w:t>。雨水流量计算公式：</w:t>
            </w:r>
            <w:r>
              <w:rPr>
                <w:rFonts w:hint="eastAsia"/>
              </w:rPr>
              <w:t>Q=</w:t>
            </w:r>
            <w:r>
              <w:rPr>
                <w:rFonts w:hint="eastAsia"/>
              </w:rPr>
              <w:t>Ψ</w:t>
            </w:r>
            <w:r>
              <w:rPr>
                <w:rFonts w:hint="eastAsia"/>
              </w:rPr>
              <w:t>qF</w:t>
            </w:r>
            <w:r>
              <w:rPr>
                <w:rFonts w:hint="eastAsia"/>
              </w:rPr>
              <w:t>，综合径流系数ψ</w:t>
            </w:r>
            <w:r>
              <w:rPr>
                <w:rFonts w:hint="eastAsia"/>
              </w:rPr>
              <w:t>=0.70</w:t>
            </w:r>
            <w:r>
              <w:rPr>
                <w:rFonts w:hint="eastAsia"/>
              </w:rPr>
              <w:t>。</w:t>
            </w:r>
          </w:p>
          <w:p w:rsidR="00BC07F0" w:rsidRDefault="00073EFB" w:rsidP="00C55F5E">
            <w:pPr>
              <w:ind w:firstLine="480"/>
            </w:pPr>
            <w:r>
              <w:rPr>
                <w:rFonts w:hint="eastAsia"/>
              </w:rPr>
              <w:t>排水采用雨、污分流制，本设计雨水汇水由西向东分两段分别排入酃白路与湘江南路雨水系统；设计污水由西向东均接入湘江南路污水系统。</w:t>
            </w:r>
            <w:r>
              <w:rPr>
                <w:rFonts w:hint="eastAsia"/>
              </w:rPr>
              <w:t>雨污水管均单侧布置，设计雨水管采用Ⅱ级钢筋混凝土排水管，污水管均采用排</w:t>
            </w:r>
            <w:r>
              <w:rPr>
                <w:rFonts w:hint="eastAsia"/>
              </w:rPr>
              <w:t>HDPE</w:t>
            </w:r>
            <w:r>
              <w:rPr>
                <w:rFonts w:hint="eastAsia"/>
              </w:rPr>
              <w:t>钢带增强螺旋波纹排水管。钢筋混凝土管采用钢丝网水泥沙浆抹带接口，</w:t>
            </w:r>
            <w:r>
              <w:rPr>
                <w:rFonts w:hint="eastAsia"/>
              </w:rPr>
              <w:t>180</w:t>
            </w:r>
            <w:r>
              <w:rPr>
                <w:rFonts w:hint="eastAsia"/>
              </w:rPr>
              <w:t>度混凝土基础；</w:t>
            </w:r>
            <w:r>
              <w:rPr>
                <w:rFonts w:hint="eastAsia"/>
              </w:rPr>
              <w:t>HDPE</w:t>
            </w:r>
            <w:r>
              <w:rPr>
                <w:rFonts w:hint="eastAsia"/>
              </w:rPr>
              <w:t>排水管为管件式连接，环钢度须不小于</w:t>
            </w:r>
            <w:r>
              <w:rPr>
                <w:rFonts w:hint="eastAsia"/>
              </w:rPr>
              <w:t>10KN</w:t>
            </w:r>
            <w:r>
              <w:rPr>
                <w:rFonts w:hint="eastAsia"/>
              </w:rPr>
              <w:t>。</w:t>
            </w:r>
            <w:r>
              <w:rPr>
                <w:rFonts w:hint="eastAsia"/>
              </w:rPr>
              <w:t>HDPE</w:t>
            </w:r>
            <w:r>
              <w:rPr>
                <w:rFonts w:hint="eastAsia"/>
              </w:rPr>
              <w:t>排水管敷设时管基采用砂垫层基础</w:t>
            </w:r>
            <w:r>
              <w:rPr>
                <w:rFonts w:hint="eastAsia"/>
              </w:rPr>
              <w:t>，一般土质较好地段，砂垫层厚度为</w:t>
            </w:r>
            <w:r>
              <w:rPr>
                <w:rFonts w:hint="eastAsia"/>
              </w:rPr>
              <w:t>0.15m</w:t>
            </w:r>
            <w:r>
              <w:rPr>
                <w:rFonts w:hint="eastAsia"/>
              </w:rPr>
              <w:t>，对软土地基及槽底位于地下水位以下时，则须先采用</w:t>
            </w:r>
            <w:r>
              <w:rPr>
                <w:rFonts w:hint="eastAsia"/>
              </w:rPr>
              <w:t>0.15m</w:t>
            </w:r>
            <w:r>
              <w:rPr>
                <w:rFonts w:hint="eastAsia"/>
              </w:rPr>
              <w:t>厚粒径为</w:t>
            </w:r>
            <w:r>
              <w:rPr>
                <w:rFonts w:hint="eastAsia"/>
              </w:rPr>
              <w:t>5-40mm</w:t>
            </w:r>
            <w:r>
              <w:rPr>
                <w:rFonts w:hint="eastAsia"/>
              </w:rPr>
              <w:t>碎石或砾石砂铺垫，其上再用</w:t>
            </w:r>
            <w:r>
              <w:rPr>
                <w:rFonts w:hint="eastAsia"/>
              </w:rPr>
              <w:t>0.10m</w:t>
            </w:r>
            <w:r>
              <w:rPr>
                <w:rFonts w:hint="eastAsia"/>
              </w:rPr>
              <w:t>厚中粗砂垫层整平，基础宽度与槽底同宽。沿道路设置向两边伸出的排水接纳支管，均须伸出至人行道边线以外。为安全起见，同时考虑到强度要求，车行道下雨水进水井蓖子、排水检查井井盖采用重型铸铁制品，人行道及绿化带内采用钢骨架再生树脂复合材料制品。</w:t>
            </w:r>
          </w:p>
          <w:p w:rsidR="00BC07F0" w:rsidRDefault="00073EFB" w:rsidP="00C55F5E">
            <w:pPr>
              <w:ind w:firstLine="480"/>
            </w:pPr>
            <w:r>
              <w:rPr>
                <w:rFonts w:hint="eastAsia"/>
              </w:rPr>
              <w:t>路面范围内的检查井、雨水口井室周围应采用砂砾回填，其回填宽度为</w:t>
            </w:r>
            <w:r>
              <w:rPr>
                <w:rFonts w:hint="eastAsia"/>
              </w:rPr>
              <w:t>40cm</w:t>
            </w:r>
            <w:r>
              <w:rPr>
                <w:rFonts w:hint="eastAsia"/>
              </w:rPr>
              <w:t>。沟槽回填压实应逐层进行，管顶以上</w:t>
            </w:r>
            <w:r>
              <w:rPr>
                <w:rFonts w:hint="eastAsia"/>
              </w:rPr>
              <w:t>50cm</w:t>
            </w:r>
            <w:r>
              <w:rPr>
                <w:rFonts w:hint="eastAsia"/>
              </w:rPr>
              <w:t>范围内</w:t>
            </w:r>
            <w:r>
              <w:rPr>
                <w:rFonts w:hint="eastAsia"/>
              </w:rPr>
              <w:t>，应采用轻夯压实，管道两侧压实面的高差不应超过</w:t>
            </w:r>
            <w:r>
              <w:rPr>
                <w:rFonts w:hint="eastAsia"/>
              </w:rPr>
              <w:t>30cm</w:t>
            </w:r>
            <w:r>
              <w:rPr>
                <w:rFonts w:hint="eastAsia"/>
              </w:rPr>
              <w:t>。排水管沟回填各层密实度要求与路基一致，基础承载力应大于</w:t>
            </w:r>
            <w:r>
              <w:rPr>
                <w:rFonts w:hint="eastAsia"/>
              </w:rPr>
              <w:lastRenderedPageBreak/>
              <w:t>150kpa</w:t>
            </w:r>
            <w:r>
              <w:rPr>
                <w:rFonts w:hint="eastAsia"/>
              </w:rPr>
              <w:t>。雨水进水井选用边沟式双蓖雨水井，连接支管为</w:t>
            </w:r>
            <w:r>
              <w:rPr>
                <w:rFonts w:hint="eastAsia"/>
              </w:rPr>
              <w:t>D300</w:t>
            </w:r>
            <w:r>
              <w:rPr>
                <w:rFonts w:hint="eastAsia"/>
              </w:rPr>
              <w:t>，取</w:t>
            </w:r>
            <w:r>
              <w:rPr>
                <w:rFonts w:hint="eastAsia"/>
              </w:rPr>
              <w:t>I=0.010</w:t>
            </w:r>
            <w:r>
              <w:rPr>
                <w:rFonts w:hint="eastAsia"/>
              </w:rPr>
              <w:t>，雨水进水井均落底</w:t>
            </w:r>
            <w:r>
              <w:rPr>
                <w:rFonts w:hint="eastAsia"/>
              </w:rPr>
              <w:t>0.3m</w:t>
            </w:r>
            <w:r>
              <w:rPr>
                <w:rFonts w:hint="eastAsia"/>
              </w:rPr>
              <w:t>。</w:t>
            </w:r>
          </w:p>
          <w:p w:rsidR="00BC07F0" w:rsidRDefault="00073EFB" w:rsidP="00C55F5E">
            <w:pPr>
              <w:ind w:firstLine="482"/>
              <w:rPr>
                <w:b/>
                <w:bCs/>
              </w:rPr>
            </w:pPr>
            <w:r>
              <w:rPr>
                <w:rFonts w:hint="eastAsia"/>
                <w:b/>
                <w:bCs/>
              </w:rPr>
              <w:t>2.6.2.</w:t>
            </w:r>
            <w:r>
              <w:rPr>
                <w:rFonts w:hint="eastAsia"/>
                <w:b/>
                <w:bCs/>
              </w:rPr>
              <w:t>10</w:t>
            </w:r>
            <w:r>
              <w:rPr>
                <w:rFonts w:hint="eastAsia"/>
                <w:b/>
                <w:bCs/>
              </w:rPr>
              <w:t>道路照明工程</w:t>
            </w:r>
          </w:p>
          <w:p w:rsidR="00BC07F0" w:rsidRDefault="00073EFB" w:rsidP="00C55F5E">
            <w:pPr>
              <w:ind w:firstLine="480"/>
            </w:pPr>
            <w:r>
              <w:rPr>
                <w:rFonts w:hint="eastAsia"/>
              </w:rPr>
              <w:t>机动车道路面平均照度</w:t>
            </w:r>
            <w:r>
              <w:rPr>
                <w:rFonts w:hint="eastAsia"/>
              </w:rPr>
              <w:t>Eav=20LX</w:t>
            </w:r>
            <w:r>
              <w:rPr>
                <w:rFonts w:hint="eastAsia"/>
              </w:rPr>
              <w:t>，人行道路面平均照度为机动车道路照度的</w:t>
            </w:r>
            <w:r>
              <w:rPr>
                <w:rFonts w:hint="eastAsia"/>
              </w:rPr>
              <w:t>1/2</w:t>
            </w:r>
            <w:r>
              <w:rPr>
                <w:rFonts w:hint="eastAsia"/>
              </w:rPr>
              <w:t>，均匀度取</w:t>
            </w:r>
            <w:r>
              <w:rPr>
                <w:rFonts w:hint="eastAsia"/>
              </w:rPr>
              <w:t>0.4</w:t>
            </w:r>
            <w:r>
              <w:rPr>
                <w:rFonts w:hint="eastAsia"/>
              </w:rPr>
              <w:t>，眩光指数取</w:t>
            </w:r>
            <w:r>
              <w:rPr>
                <w:rFonts w:hint="eastAsia"/>
              </w:rPr>
              <w:t>5</w:t>
            </w:r>
            <w:r>
              <w:rPr>
                <w:rFonts w:hint="eastAsia"/>
              </w:rPr>
              <w:t>左右。选用</w:t>
            </w:r>
            <w:r>
              <w:rPr>
                <w:rFonts w:hint="eastAsia"/>
              </w:rPr>
              <w:t>LED</w:t>
            </w:r>
            <w:r>
              <w:rPr>
                <w:rFonts w:hint="eastAsia"/>
              </w:rPr>
              <w:t>高效节能灯作本工程照明光源，两侧绿化带内布置路灯，单灯功率为</w:t>
            </w:r>
            <w:r>
              <w:rPr>
                <w:rFonts w:hint="eastAsia"/>
              </w:rPr>
              <w:t>180+100W</w:t>
            </w:r>
            <w:r>
              <w:rPr>
                <w:rFonts w:hint="eastAsia"/>
              </w:rPr>
              <w:t>，其功率因数由配套的电容器补偿到</w:t>
            </w:r>
            <w:r>
              <w:rPr>
                <w:rFonts w:hint="eastAsia"/>
              </w:rPr>
              <w:t>0.9</w:t>
            </w:r>
            <w:r>
              <w:rPr>
                <w:rFonts w:hint="eastAsia"/>
              </w:rPr>
              <w:t>以上，平均间距</w:t>
            </w:r>
            <w:r>
              <w:rPr>
                <w:rFonts w:hint="eastAsia"/>
              </w:rPr>
              <w:t>30M</w:t>
            </w:r>
            <w:r>
              <w:rPr>
                <w:rFonts w:hint="eastAsia"/>
              </w:rPr>
              <w:t>左右，灯杆采用镀锌钢灯杆，路灯杆高取</w:t>
            </w:r>
            <w:r>
              <w:rPr>
                <w:rFonts w:hint="eastAsia"/>
              </w:rPr>
              <w:t>12M</w:t>
            </w:r>
            <w:r>
              <w:rPr>
                <w:rFonts w:hint="eastAsia"/>
              </w:rPr>
              <w:t>。在交叉路适当位置布置中杆灯，选用高压钠灯作为中杆灯光源，单灯功率为</w:t>
            </w:r>
            <w:r>
              <w:rPr>
                <w:rFonts w:hint="eastAsia"/>
              </w:rPr>
              <w:t>3x180W</w:t>
            </w:r>
            <w:r>
              <w:rPr>
                <w:rFonts w:hint="eastAsia"/>
              </w:rPr>
              <w:t>，灯杆采用热镀锌钢灯杆，杆高取</w:t>
            </w:r>
            <w:r>
              <w:rPr>
                <w:rFonts w:hint="eastAsia"/>
              </w:rPr>
              <w:t>14M</w:t>
            </w:r>
            <w:r>
              <w:rPr>
                <w:rFonts w:hint="eastAsia"/>
              </w:rPr>
              <w:t>。各灯杆内装灯具附件和转接接线端子，灯具防护等级及密封性能应在</w:t>
            </w:r>
            <w:r>
              <w:rPr>
                <w:rFonts w:hint="eastAsia"/>
              </w:rPr>
              <w:t>IP65</w:t>
            </w:r>
            <w:r>
              <w:rPr>
                <w:rFonts w:hint="eastAsia"/>
              </w:rPr>
              <w:t>以上，灯基础为混凝土基础</w:t>
            </w:r>
            <w:r>
              <w:rPr>
                <w:rFonts w:hint="eastAsia"/>
              </w:rPr>
              <w:t>。</w:t>
            </w:r>
          </w:p>
          <w:p w:rsidR="00BC07F0" w:rsidRDefault="00073EFB" w:rsidP="00C55F5E">
            <w:pPr>
              <w:ind w:firstLine="480"/>
            </w:pPr>
            <w:r>
              <w:rPr>
                <w:rFonts w:hint="eastAsia"/>
              </w:rPr>
              <w:t>本路段供电电压等级</w:t>
            </w:r>
            <w:r>
              <w:rPr>
                <w:rFonts w:hint="eastAsia"/>
              </w:rPr>
              <w:t>10KV</w:t>
            </w:r>
            <w:r>
              <w:rPr>
                <w:rFonts w:hint="eastAsia"/>
              </w:rPr>
              <w:t>，用电电压等级</w:t>
            </w:r>
            <w:r>
              <w:rPr>
                <w:rFonts w:hint="eastAsia"/>
              </w:rPr>
              <w:t>0.4KV</w:t>
            </w:r>
            <w:r>
              <w:rPr>
                <w:rFonts w:hint="eastAsia"/>
              </w:rPr>
              <w:t>，设计采用安装于绿化带的</w:t>
            </w:r>
            <w:r>
              <w:rPr>
                <w:rFonts w:hint="eastAsia"/>
              </w:rPr>
              <w:t>YXBW</w:t>
            </w:r>
            <w:r>
              <w:rPr>
                <w:rFonts w:hint="eastAsia"/>
              </w:rPr>
              <w:t>型预装式变电站解决变电配电和路灯自动控制，与箱变配套设置路灯节能控制箱。变电站为钢制一体式结构，防水防尘，其内设高压开关设备、计测量表计、电力变压器和用于路灯控制的相应元件设备，防护等级为</w:t>
            </w:r>
            <w:r>
              <w:rPr>
                <w:rFonts w:hint="eastAsia"/>
              </w:rPr>
              <w:t>IP33</w:t>
            </w:r>
            <w:r>
              <w:rPr>
                <w:rFonts w:hint="eastAsia"/>
              </w:rPr>
              <w:t>。</w:t>
            </w:r>
            <w:r>
              <w:rPr>
                <w:rFonts w:hint="eastAsia"/>
              </w:rPr>
              <w:t>10KV</w:t>
            </w:r>
            <w:r>
              <w:rPr>
                <w:rFonts w:hint="eastAsia"/>
              </w:rPr>
              <w:t>供电电源就近由变电所引入。</w:t>
            </w:r>
          </w:p>
          <w:p w:rsidR="00BC07F0" w:rsidRDefault="00073EFB" w:rsidP="00C55F5E">
            <w:pPr>
              <w:ind w:firstLine="480"/>
            </w:pPr>
            <w:r>
              <w:rPr>
                <w:rFonts w:hint="eastAsia"/>
              </w:rPr>
              <w:t>照明干线采用</w:t>
            </w:r>
            <w:r>
              <w:rPr>
                <w:rFonts w:hint="eastAsia"/>
              </w:rPr>
              <w:t>VV-1KV</w:t>
            </w:r>
            <w:r>
              <w:rPr>
                <w:rFonts w:hint="eastAsia"/>
              </w:rPr>
              <w:t>型电力电缆，埋深</w:t>
            </w:r>
            <w:r>
              <w:rPr>
                <w:rFonts w:hint="eastAsia"/>
              </w:rPr>
              <w:t>0.7</w:t>
            </w:r>
            <w:r>
              <w:rPr>
                <w:rFonts w:hint="eastAsia"/>
              </w:rPr>
              <w:t>米，干线至灯头采用</w:t>
            </w:r>
            <w:r>
              <w:rPr>
                <w:rFonts w:hint="eastAsia"/>
              </w:rPr>
              <w:t>BVV-0.5KV-3</w:t>
            </w:r>
            <w:r>
              <w:rPr>
                <w:rFonts w:hint="eastAsia"/>
              </w:rPr>
              <w:t>×</w:t>
            </w:r>
            <w:r>
              <w:rPr>
                <w:rFonts w:hint="eastAsia"/>
              </w:rPr>
              <w:t>2.5</w:t>
            </w:r>
            <w:r>
              <w:rPr>
                <w:rFonts w:hint="eastAsia"/>
              </w:rPr>
              <w:t>。照明电源为</w:t>
            </w:r>
            <w:r>
              <w:rPr>
                <w:rFonts w:hint="eastAsia"/>
              </w:rPr>
              <w:t>380/220V</w:t>
            </w:r>
            <w:r>
              <w:rPr>
                <w:rFonts w:hint="eastAsia"/>
              </w:rPr>
              <w:t>，三相四线制每一回路采用三相间隔配电，电压等级为</w:t>
            </w:r>
            <w:r>
              <w:rPr>
                <w:rFonts w:hint="eastAsia"/>
              </w:rPr>
              <w:t>10KV/0.4KV/</w:t>
            </w:r>
            <w:r>
              <w:rPr>
                <w:rFonts w:hint="eastAsia"/>
              </w:rPr>
              <w:t>0.23KV</w:t>
            </w:r>
            <w:r>
              <w:rPr>
                <w:rFonts w:hint="eastAsia"/>
              </w:rPr>
              <w:t>。</w:t>
            </w:r>
          </w:p>
          <w:p w:rsidR="00BC07F0" w:rsidRDefault="00073EFB" w:rsidP="00C55F5E">
            <w:pPr>
              <w:ind w:firstLine="482"/>
              <w:rPr>
                <w:b/>
                <w:bCs/>
              </w:rPr>
            </w:pPr>
            <w:r>
              <w:rPr>
                <w:rFonts w:hint="eastAsia"/>
                <w:b/>
                <w:bCs/>
              </w:rPr>
              <w:t>2.6.2.11</w:t>
            </w:r>
            <w:r>
              <w:rPr>
                <w:rFonts w:hint="eastAsia"/>
                <w:b/>
                <w:bCs/>
              </w:rPr>
              <w:t>电力电信工程</w:t>
            </w:r>
          </w:p>
          <w:p w:rsidR="00BC07F0" w:rsidRDefault="00073EFB" w:rsidP="00C55F5E">
            <w:pPr>
              <w:ind w:firstLine="480"/>
            </w:pPr>
            <w:r>
              <w:rPr>
                <w:rFonts w:hint="eastAsia"/>
              </w:rPr>
              <w:t>电力电信工程系道路强电弱电配套工程，主要为路段内电力电信及其它弱电电缆敷设预置通道，设计沿道路北侧人行道下布置电信线路，南侧人行道布置电力线路，本次只预埋电缆护管。在人行道部分直埋段电信采用</w:t>
            </w:r>
            <w:r>
              <w:rPr>
                <w:rFonts w:hint="eastAsia"/>
              </w:rPr>
              <w:t>PVC-U</w:t>
            </w:r>
            <w:r>
              <w:rPr>
                <w:rFonts w:hint="eastAsia"/>
              </w:rPr>
              <w:t>通信电缆保护管，电力采用</w:t>
            </w:r>
            <w:r>
              <w:rPr>
                <w:rFonts w:hint="eastAsia"/>
              </w:rPr>
              <w:t>MPP</w:t>
            </w:r>
            <w:r>
              <w:rPr>
                <w:rFonts w:hint="eastAsia"/>
              </w:rPr>
              <w:t>改性聚丙烯电力电缆保护管，穿越车行道部分电力及电信直埋护管均采用</w:t>
            </w:r>
            <w:r>
              <w:rPr>
                <w:rFonts w:hint="eastAsia"/>
              </w:rPr>
              <w:t>N-HAP-</w:t>
            </w:r>
            <w:r>
              <w:rPr>
                <w:rFonts w:hint="eastAsia"/>
              </w:rPr>
              <w:t>热浸塑涂塑钢质线缆保护管。电信电缆线路纵向每隔</w:t>
            </w:r>
            <w:r>
              <w:rPr>
                <w:rFonts w:hint="eastAsia"/>
              </w:rPr>
              <w:t>80M</w:t>
            </w:r>
            <w:r>
              <w:rPr>
                <w:rFonts w:hint="eastAsia"/>
              </w:rPr>
              <w:t>左右设置电缆检查井，沿电力电缆线路纵向每隔</w:t>
            </w:r>
            <w:r>
              <w:rPr>
                <w:rFonts w:hint="eastAsia"/>
              </w:rPr>
              <w:t>50M</w:t>
            </w:r>
            <w:r>
              <w:rPr>
                <w:rFonts w:hint="eastAsia"/>
              </w:rPr>
              <w:t>左右设置检查电缆井，另在电缆分支、转换及变接处设置电缆预留井</w:t>
            </w:r>
            <w:r>
              <w:rPr>
                <w:rFonts w:hint="eastAsia"/>
              </w:rPr>
              <w:t>。</w:t>
            </w:r>
            <w:r>
              <w:rPr>
                <w:rFonts w:hint="eastAsia"/>
              </w:rPr>
              <w:t>.</w:t>
            </w:r>
          </w:p>
          <w:p w:rsidR="00BC07F0" w:rsidRDefault="00073EFB" w:rsidP="00C55F5E">
            <w:pPr>
              <w:ind w:firstLine="480"/>
            </w:pPr>
            <w:r>
              <w:rPr>
                <w:rFonts w:hint="eastAsia"/>
              </w:rPr>
              <w:t>在箱变及分支箱等电器设备布置点敷设接地线，接地线采用</w:t>
            </w:r>
            <w:r>
              <w:rPr>
                <w:rFonts w:hint="eastAsia"/>
              </w:rPr>
              <w:t>-40</w:t>
            </w:r>
            <w:r>
              <w:rPr>
                <w:rFonts w:hint="eastAsia"/>
              </w:rPr>
              <w:t>×</w:t>
            </w:r>
            <w:r>
              <w:rPr>
                <w:rFonts w:hint="eastAsia"/>
              </w:rPr>
              <w:t>4</w:t>
            </w:r>
            <w:r>
              <w:rPr>
                <w:rFonts w:hint="eastAsia"/>
              </w:rPr>
              <w:t>镀锌角钢。接地线与设备金属外壳可靠焊接，并将接地线引出沟外安装接地极。接地极用</w:t>
            </w:r>
            <w:r>
              <w:rPr>
                <w:rFonts w:hint="eastAsia"/>
              </w:rPr>
              <w:t>L50</w:t>
            </w:r>
            <w:r>
              <w:rPr>
                <w:rFonts w:hint="eastAsia"/>
              </w:rPr>
              <w:t>×</w:t>
            </w:r>
            <w:r>
              <w:rPr>
                <w:rFonts w:hint="eastAsia"/>
              </w:rPr>
              <w:t>5</w:t>
            </w:r>
            <w:r>
              <w:rPr>
                <w:rFonts w:hint="eastAsia"/>
              </w:rPr>
              <w:t>×</w:t>
            </w:r>
            <w:r>
              <w:rPr>
                <w:rFonts w:hint="eastAsia"/>
              </w:rPr>
              <w:t>2500</w:t>
            </w:r>
            <w:r>
              <w:rPr>
                <w:rFonts w:hint="eastAsia"/>
              </w:rPr>
              <w:t>镀锌角钢打入地下，间距</w:t>
            </w:r>
            <w:r>
              <w:rPr>
                <w:rFonts w:hint="eastAsia"/>
              </w:rPr>
              <w:t>5M</w:t>
            </w:r>
            <w:r>
              <w:rPr>
                <w:rFonts w:hint="eastAsia"/>
              </w:rPr>
              <w:t>，其上端与接地线可靠焊接，每处接地极为</w:t>
            </w:r>
            <w:r>
              <w:rPr>
                <w:rFonts w:hint="eastAsia"/>
              </w:rPr>
              <w:t>3</w:t>
            </w:r>
            <w:r>
              <w:rPr>
                <w:rFonts w:hint="eastAsia"/>
              </w:rPr>
              <w:t>根。</w:t>
            </w:r>
          </w:p>
          <w:p w:rsidR="00BC07F0" w:rsidRDefault="00073EFB" w:rsidP="00C55F5E">
            <w:pPr>
              <w:ind w:firstLine="482"/>
              <w:rPr>
                <w:b/>
                <w:bCs/>
              </w:rPr>
            </w:pPr>
            <w:r>
              <w:rPr>
                <w:rFonts w:hint="eastAsia"/>
                <w:b/>
                <w:bCs/>
              </w:rPr>
              <w:t>2.6.2.12</w:t>
            </w:r>
            <w:r>
              <w:rPr>
                <w:rFonts w:hint="eastAsia"/>
                <w:b/>
                <w:bCs/>
              </w:rPr>
              <w:t>燃气</w:t>
            </w:r>
          </w:p>
          <w:p w:rsidR="00BC07F0" w:rsidRDefault="00073EFB" w:rsidP="00C55F5E">
            <w:pPr>
              <w:ind w:firstLine="480"/>
            </w:pPr>
            <w:r>
              <w:rPr>
                <w:rFonts w:hint="eastAsia"/>
              </w:rPr>
              <w:t>规划在道路北侧人行道布置燃气管，管径为</w:t>
            </w:r>
            <w:r>
              <w:rPr>
                <w:rFonts w:hint="eastAsia"/>
              </w:rPr>
              <w:t>d200</w:t>
            </w:r>
            <w:r>
              <w:rPr>
                <w:rFonts w:hint="eastAsia"/>
              </w:rPr>
              <w:t>。</w:t>
            </w:r>
          </w:p>
        </w:tc>
      </w:tr>
      <w:tr w:rsidR="00BC07F0">
        <w:trPr>
          <w:trHeight w:val="397"/>
          <w:jc w:val="center"/>
        </w:trPr>
        <w:tc>
          <w:tcPr>
            <w:tcW w:w="532" w:type="dxa"/>
            <w:vAlign w:val="center"/>
          </w:tcPr>
          <w:p w:rsidR="00BC07F0" w:rsidRDefault="00073EFB">
            <w:pPr>
              <w:pStyle w:val="a7"/>
              <w:rPr>
                <w:rFonts w:hint="default"/>
                <w:b/>
                <w:bCs/>
                <w:sz w:val="24"/>
                <w:szCs w:val="24"/>
              </w:rPr>
            </w:pPr>
            <w:r>
              <w:rPr>
                <w:b/>
                <w:bCs/>
                <w:sz w:val="24"/>
                <w:szCs w:val="24"/>
              </w:rPr>
              <w:lastRenderedPageBreak/>
              <w:t>总平面及现场布置</w:t>
            </w:r>
          </w:p>
        </w:tc>
        <w:tc>
          <w:tcPr>
            <w:tcW w:w="9326" w:type="dxa"/>
            <w:vAlign w:val="center"/>
          </w:tcPr>
          <w:p w:rsidR="00BC07F0" w:rsidRDefault="00073EFB" w:rsidP="00C55F5E">
            <w:pPr>
              <w:ind w:firstLine="482"/>
              <w:rPr>
                <w:b/>
                <w:bCs/>
              </w:rPr>
            </w:pPr>
            <w:r>
              <w:rPr>
                <w:rFonts w:hint="eastAsia"/>
                <w:b/>
                <w:bCs/>
              </w:rPr>
              <w:t>2.7</w:t>
            </w:r>
            <w:r>
              <w:rPr>
                <w:rFonts w:hint="eastAsia"/>
                <w:b/>
                <w:bCs/>
              </w:rPr>
              <w:t>湘江南岸（衡阳港</w:t>
            </w:r>
            <w:r>
              <w:rPr>
                <w:rFonts w:hint="eastAsia"/>
                <w:b/>
                <w:bCs/>
              </w:rPr>
              <w:t>-</w:t>
            </w:r>
            <w:r>
              <w:rPr>
                <w:rFonts w:hint="eastAsia"/>
                <w:b/>
                <w:bCs/>
              </w:rPr>
              <w:t>铜桥港）水环境水安全综合治理工程</w:t>
            </w:r>
            <w:r>
              <w:rPr>
                <w:rFonts w:hint="eastAsia"/>
                <w:b/>
                <w:bCs/>
              </w:rPr>
              <w:t>现场布置情况</w:t>
            </w:r>
          </w:p>
          <w:p w:rsidR="00BC07F0" w:rsidRDefault="00073EFB">
            <w:pPr>
              <w:pStyle w:val="a7"/>
              <w:rPr>
                <w:rFonts w:hint="default"/>
              </w:rPr>
            </w:pPr>
            <w:r>
              <w:rPr>
                <w:noProof/>
              </w:rPr>
              <w:drawing>
                <wp:inline distT="0" distB="0" distL="114300" distR="114300">
                  <wp:extent cx="3507105" cy="2583180"/>
                  <wp:effectExtent l="0" t="0" r="17145"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9" cstate="print"/>
                          <a:stretch>
                            <a:fillRect/>
                          </a:stretch>
                        </pic:blipFill>
                        <pic:spPr>
                          <a:xfrm>
                            <a:off x="0" y="0"/>
                            <a:ext cx="3507105" cy="2583180"/>
                          </a:xfrm>
                          <a:prstGeom prst="rect">
                            <a:avLst/>
                          </a:prstGeom>
                          <a:noFill/>
                          <a:ln>
                            <a:noFill/>
                          </a:ln>
                        </pic:spPr>
                      </pic:pic>
                    </a:graphicData>
                  </a:graphic>
                </wp:inline>
              </w:drawing>
            </w:r>
          </w:p>
          <w:p w:rsidR="00BC07F0" w:rsidRDefault="00073EFB">
            <w:pPr>
              <w:pStyle w:val="a7"/>
              <w:rPr>
                <w:rFonts w:hint="default"/>
                <w:b/>
                <w:bCs/>
              </w:rPr>
            </w:pPr>
            <w:r>
              <w:rPr>
                <w:b/>
                <w:bCs/>
              </w:rPr>
              <w:t>图</w:t>
            </w:r>
            <w:r>
              <w:rPr>
                <w:b/>
                <w:bCs/>
              </w:rPr>
              <w:t>2.7-1</w:t>
            </w:r>
            <w:r>
              <w:rPr>
                <w:b/>
                <w:bCs/>
              </w:rPr>
              <w:t>湘江南岸风光带工程施工平面布置图</w:t>
            </w:r>
          </w:p>
          <w:p w:rsidR="00BC07F0" w:rsidRDefault="00073EFB">
            <w:pPr>
              <w:pStyle w:val="a7"/>
              <w:rPr>
                <w:rFonts w:hint="default"/>
                <w:b/>
                <w:bCs/>
              </w:rPr>
            </w:pPr>
            <w:r>
              <w:rPr>
                <w:noProof/>
              </w:rPr>
              <w:drawing>
                <wp:inline distT="0" distB="0" distL="114300" distR="114300">
                  <wp:extent cx="3490595" cy="3083560"/>
                  <wp:effectExtent l="0" t="0" r="14605" b="2540"/>
                  <wp:docPr id="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6"/>
                          <pic:cNvPicPr>
                            <a:picLocks noChangeAspect="1"/>
                          </pic:cNvPicPr>
                        </pic:nvPicPr>
                        <pic:blipFill>
                          <a:blip r:embed="rId30" cstate="print"/>
                          <a:stretch>
                            <a:fillRect/>
                          </a:stretch>
                        </pic:blipFill>
                        <pic:spPr>
                          <a:xfrm>
                            <a:off x="0" y="0"/>
                            <a:ext cx="3490595" cy="3083560"/>
                          </a:xfrm>
                          <a:prstGeom prst="rect">
                            <a:avLst/>
                          </a:prstGeom>
                          <a:noFill/>
                          <a:ln>
                            <a:noFill/>
                          </a:ln>
                        </pic:spPr>
                      </pic:pic>
                    </a:graphicData>
                  </a:graphic>
                </wp:inline>
              </w:drawing>
            </w:r>
          </w:p>
          <w:p w:rsidR="00BC07F0" w:rsidRDefault="00073EFB">
            <w:pPr>
              <w:pStyle w:val="a7"/>
              <w:rPr>
                <w:rFonts w:hint="default"/>
                <w:b/>
                <w:bCs/>
              </w:rPr>
            </w:pPr>
            <w:r>
              <w:rPr>
                <w:b/>
                <w:bCs/>
              </w:rPr>
              <w:t>图</w:t>
            </w:r>
            <w:r>
              <w:rPr>
                <w:b/>
                <w:bCs/>
              </w:rPr>
              <w:t>2.7-2</w:t>
            </w:r>
            <w:r>
              <w:rPr>
                <w:b/>
                <w:bCs/>
              </w:rPr>
              <w:t>湘江南路（白沙大道——前进路）施工平面布置图</w:t>
            </w:r>
          </w:p>
          <w:p w:rsidR="00BC07F0" w:rsidRDefault="00073EFB" w:rsidP="00C55F5E">
            <w:pPr>
              <w:ind w:firstLine="480"/>
            </w:pPr>
            <w:r>
              <w:rPr>
                <w:rFonts w:hint="eastAsia"/>
              </w:rPr>
              <w:t>（</w:t>
            </w:r>
            <w:r>
              <w:rPr>
                <w:rFonts w:hint="eastAsia"/>
              </w:rPr>
              <w:t>1</w:t>
            </w:r>
            <w:r>
              <w:rPr>
                <w:rFonts w:hint="eastAsia"/>
              </w:rPr>
              <w:t>）施工营地</w:t>
            </w:r>
          </w:p>
          <w:p w:rsidR="00BC07F0" w:rsidRDefault="00073EFB" w:rsidP="00C55F5E">
            <w:pPr>
              <w:ind w:firstLine="480"/>
            </w:pPr>
            <w:r>
              <w:rPr>
                <w:rFonts w:hint="eastAsia"/>
              </w:rPr>
              <w:t>根据</w:t>
            </w:r>
            <w:r>
              <w:rPr>
                <w:rFonts w:hint="eastAsia"/>
              </w:rPr>
              <w:t>工程</w:t>
            </w:r>
            <w:r>
              <w:rPr>
                <w:rFonts w:hint="eastAsia"/>
              </w:rPr>
              <w:t>建设特点和选址，</w:t>
            </w:r>
            <w:r>
              <w:rPr>
                <w:rFonts w:hint="eastAsia"/>
              </w:rPr>
              <w:t>湘江南岸（衡阳港</w:t>
            </w:r>
            <w:r>
              <w:rPr>
                <w:rFonts w:hint="eastAsia"/>
              </w:rPr>
              <w:t>-</w:t>
            </w:r>
            <w:r>
              <w:rPr>
                <w:rFonts w:hint="eastAsia"/>
              </w:rPr>
              <w:t>铜桥港）水环境水安全综合治理工程</w:t>
            </w:r>
            <w:r>
              <w:rPr>
                <w:rFonts w:hint="eastAsia"/>
              </w:rPr>
              <w:t>不</w:t>
            </w:r>
            <w:r>
              <w:rPr>
                <w:rFonts w:hint="eastAsia"/>
              </w:rPr>
              <w:t>设单独的临时生活区</w:t>
            </w:r>
            <w:r>
              <w:rPr>
                <w:rFonts w:hint="eastAsia"/>
              </w:rPr>
              <w:t>，</w:t>
            </w:r>
            <w:r>
              <w:rPr>
                <w:rFonts w:hint="eastAsia"/>
              </w:rPr>
              <w:t>工人</w:t>
            </w:r>
            <w:r>
              <w:rPr>
                <w:rFonts w:hint="eastAsia"/>
              </w:rPr>
              <w:t>租用周边民房。施工营地位于湘江南岸不占用林地和农田</w:t>
            </w:r>
            <w:r>
              <w:rPr>
                <w:rFonts w:hint="eastAsia"/>
              </w:rPr>
              <w:t>的空地</w:t>
            </w:r>
            <w:r>
              <w:rPr>
                <w:rFonts w:hint="eastAsia"/>
              </w:rPr>
              <w:t>，地面为硬化的混凝土地面，且靠近</w:t>
            </w:r>
            <w:r>
              <w:rPr>
                <w:rFonts w:hint="eastAsia"/>
              </w:rPr>
              <w:t>城市道路</w:t>
            </w:r>
            <w:r>
              <w:rPr>
                <w:rFonts w:hint="eastAsia"/>
              </w:rPr>
              <w:t>，交通较为便利。本工程采用商品混凝土，不在现场设置搅拌站。</w:t>
            </w:r>
          </w:p>
          <w:p w:rsidR="00BC07F0" w:rsidRDefault="00073EFB" w:rsidP="00C55F5E">
            <w:pPr>
              <w:ind w:firstLine="480"/>
            </w:pPr>
            <w:r>
              <w:rPr>
                <w:rFonts w:hint="eastAsia"/>
              </w:rPr>
              <w:t>（</w:t>
            </w:r>
            <w:r>
              <w:rPr>
                <w:rFonts w:hint="eastAsia"/>
              </w:rPr>
              <w:t>2</w:t>
            </w:r>
            <w:r>
              <w:rPr>
                <w:rFonts w:hint="eastAsia"/>
              </w:rPr>
              <w:t>）取土场</w:t>
            </w:r>
          </w:p>
          <w:p w:rsidR="00BC07F0" w:rsidRDefault="00073EFB" w:rsidP="00C55F5E">
            <w:pPr>
              <w:ind w:firstLine="480"/>
            </w:pPr>
            <w:r>
              <w:rPr>
                <w:rFonts w:hint="eastAsia"/>
              </w:rPr>
              <w:t>工程路基工程土石方开挖量较大，根据施工、运输条件，本项目填方全部采用挖方回填，缺少土方时由建设单位在</w:t>
            </w:r>
            <w:r>
              <w:rPr>
                <w:rFonts w:hint="eastAsia"/>
              </w:rPr>
              <w:t>衡阳市</w:t>
            </w:r>
            <w:r>
              <w:rPr>
                <w:rFonts w:hint="eastAsia"/>
              </w:rPr>
              <w:t>正在建设</w:t>
            </w:r>
            <w:r>
              <w:rPr>
                <w:rFonts w:hint="eastAsia"/>
              </w:rPr>
              <w:t>且距离本项目位置较近的</w:t>
            </w:r>
            <w:r>
              <w:rPr>
                <w:rFonts w:hint="eastAsia"/>
              </w:rPr>
              <w:t>建设工地进行</w:t>
            </w:r>
            <w:r>
              <w:rPr>
                <w:rFonts w:hint="eastAsia"/>
              </w:rPr>
              <w:lastRenderedPageBreak/>
              <w:t>取土。</w:t>
            </w:r>
          </w:p>
          <w:p w:rsidR="00BC07F0" w:rsidRDefault="00073EFB" w:rsidP="00C55F5E">
            <w:pPr>
              <w:ind w:firstLine="480"/>
            </w:pPr>
            <w:r>
              <w:rPr>
                <w:rFonts w:hint="eastAsia"/>
              </w:rPr>
              <w:t>（</w:t>
            </w:r>
            <w:r>
              <w:rPr>
                <w:rFonts w:hint="eastAsia"/>
              </w:rPr>
              <w:t>3</w:t>
            </w:r>
            <w:r>
              <w:rPr>
                <w:rFonts w:hint="eastAsia"/>
              </w:rPr>
              <w:t>）弃土场</w:t>
            </w:r>
          </w:p>
          <w:p w:rsidR="00BC07F0" w:rsidRDefault="00073EFB" w:rsidP="00C55F5E">
            <w:pPr>
              <w:ind w:firstLine="480"/>
            </w:pPr>
            <w:r>
              <w:rPr>
                <w:rFonts w:hint="eastAsia"/>
              </w:rPr>
              <w:t>本项目不设置弃土场，填方全部采用挖方回填。</w:t>
            </w:r>
          </w:p>
          <w:p w:rsidR="00BC07F0" w:rsidRDefault="00073EFB" w:rsidP="00C55F5E">
            <w:pPr>
              <w:ind w:firstLine="480"/>
            </w:pPr>
            <w:r>
              <w:rPr>
                <w:rFonts w:hint="eastAsia"/>
              </w:rPr>
              <w:t>（</w:t>
            </w:r>
            <w:r>
              <w:rPr>
                <w:rFonts w:hint="eastAsia"/>
              </w:rPr>
              <w:t>5</w:t>
            </w:r>
            <w:r>
              <w:rPr>
                <w:rFonts w:hint="eastAsia"/>
              </w:rPr>
              <w:t>）施工便道</w:t>
            </w:r>
          </w:p>
          <w:p w:rsidR="00BC07F0" w:rsidRDefault="00073EFB" w:rsidP="00C55F5E">
            <w:pPr>
              <w:ind w:firstLine="480"/>
            </w:pPr>
            <w:r>
              <w:rPr>
                <w:rFonts w:hint="eastAsia"/>
              </w:rPr>
              <w:t>主要用于运输筑路材料等，项目利用项目周围现有道路及拟建道路路基为施工便道，不另设施工便道。</w:t>
            </w:r>
          </w:p>
          <w:p w:rsidR="00BC07F0" w:rsidRDefault="00073EFB" w:rsidP="00C55F5E">
            <w:pPr>
              <w:ind w:firstLine="482"/>
              <w:rPr>
                <w:b/>
                <w:bCs/>
              </w:rPr>
            </w:pPr>
            <w:r>
              <w:rPr>
                <w:rFonts w:hint="eastAsia"/>
                <w:b/>
                <w:bCs/>
              </w:rPr>
              <w:t>2.8</w:t>
            </w:r>
            <w:r>
              <w:rPr>
                <w:rFonts w:hint="eastAsia"/>
                <w:b/>
                <w:bCs/>
              </w:rPr>
              <w:t>幸福河支流水生态环境综合治理工程现场布置情况</w:t>
            </w:r>
          </w:p>
          <w:p w:rsidR="00BC07F0" w:rsidRDefault="00073EFB">
            <w:pPr>
              <w:pStyle w:val="a7"/>
              <w:rPr>
                <w:rFonts w:hint="default"/>
              </w:rPr>
            </w:pPr>
            <w:r>
              <w:rPr>
                <w:noProof/>
              </w:rPr>
              <w:drawing>
                <wp:inline distT="0" distB="0" distL="114300" distR="114300">
                  <wp:extent cx="5036185" cy="1156970"/>
                  <wp:effectExtent l="0" t="0" r="12065" b="508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1" cstate="print"/>
                          <a:srcRect b="423"/>
                          <a:stretch>
                            <a:fillRect/>
                          </a:stretch>
                        </pic:blipFill>
                        <pic:spPr>
                          <a:xfrm>
                            <a:off x="0" y="0"/>
                            <a:ext cx="5036185" cy="1156970"/>
                          </a:xfrm>
                          <a:prstGeom prst="rect">
                            <a:avLst/>
                          </a:prstGeom>
                          <a:noFill/>
                          <a:ln>
                            <a:noFill/>
                          </a:ln>
                        </pic:spPr>
                      </pic:pic>
                    </a:graphicData>
                  </a:graphic>
                </wp:inline>
              </w:drawing>
            </w:r>
          </w:p>
          <w:p w:rsidR="00BC07F0" w:rsidRDefault="00073EFB">
            <w:pPr>
              <w:pStyle w:val="a7"/>
              <w:rPr>
                <w:rFonts w:hint="default"/>
              </w:rPr>
            </w:pPr>
            <w:r>
              <w:rPr>
                <w:b/>
                <w:bCs/>
              </w:rPr>
              <w:t>图</w:t>
            </w:r>
            <w:r>
              <w:rPr>
                <w:b/>
                <w:bCs/>
              </w:rPr>
              <w:t>2.8-1</w:t>
            </w:r>
            <w:r>
              <w:rPr>
                <w:b/>
                <w:bCs/>
              </w:rPr>
              <w:t>幸福河支流水生态环境综合治理工程施工平面布置图</w:t>
            </w:r>
          </w:p>
          <w:p w:rsidR="00BC07F0" w:rsidRDefault="00073EFB" w:rsidP="00C55F5E">
            <w:pPr>
              <w:ind w:firstLine="480"/>
            </w:pPr>
            <w:r>
              <w:rPr>
                <w:rFonts w:hint="eastAsia"/>
              </w:rPr>
              <w:t>（</w:t>
            </w:r>
            <w:r>
              <w:rPr>
                <w:rFonts w:hint="eastAsia"/>
              </w:rPr>
              <w:t>1</w:t>
            </w:r>
            <w:r>
              <w:rPr>
                <w:rFonts w:hint="eastAsia"/>
              </w:rPr>
              <w:t>）施工营地</w:t>
            </w:r>
          </w:p>
          <w:p w:rsidR="00BC07F0" w:rsidRDefault="00073EFB" w:rsidP="00C55F5E">
            <w:pPr>
              <w:ind w:firstLine="480"/>
            </w:pPr>
            <w:r>
              <w:rPr>
                <w:rFonts w:hint="eastAsia"/>
              </w:rPr>
              <w:t>根据</w:t>
            </w:r>
            <w:r>
              <w:rPr>
                <w:rFonts w:hint="eastAsia"/>
              </w:rPr>
              <w:t>工程</w:t>
            </w:r>
            <w:r>
              <w:rPr>
                <w:rFonts w:hint="eastAsia"/>
              </w:rPr>
              <w:t>建设特点和选址，</w:t>
            </w:r>
            <w:r>
              <w:rPr>
                <w:rFonts w:hint="eastAsia"/>
              </w:rPr>
              <w:t>湘江南岸（衡阳港</w:t>
            </w:r>
            <w:r>
              <w:rPr>
                <w:rFonts w:hint="eastAsia"/>
              </w:rPr>
              <w:t>-</w:t>
            </w:r>
            <w:r>
              <w:rPr>
                <w:rFonts w:hint="eastAsia"/>
              </w:rPr>
              <w:t>铜桥港）水环境水安全综合治理工程</w:t>
            </w:r>
            <w:r>
              <w:rPr>
                <w:rFonts w:hint="eastAsia"/>
              </w:rPr>
              <w:t>不</w:t>
            </w:r>
            <w:r>
              <w:rPr>
                <w:rFonts w:hint="eastAsia"/>
              </w:rPr>
              <w:t>设单独的临时生活区</w:t>
            </w:r>
            <w:r>
              <w:rPr>
                <w:rFonts w:hint="eastAsia"/>
              </w:rPr>
              <w:t>，</w:t>
            </w:r>
            <w:r>
              <w:rPr>
                <w:rFonts w:hint="eastAsia"/>
              </w:rPr>
              <w:t>工人</w:t>
            </w:r>
            <w:r>
              <w:rPr>
                <w:rFonts w:hint="eastAsia"/>
              </w:rPr>
              <w:t>租用周边民房。施工营地位于</w:t>
            </w:r>
            <w:r>
              <w:rPr>
                <w:rFonts w:hint="eastAsia"/>
              </w:rPr>
              <w:t>幸福河支流南岸，</w:t>
            </w:r>
            <w:r>
              <w:rPr>
                <w:rFonts w:hint="eastAsia"/>
              </w:rPr>
              <w:t>不占用林地和农田，地面为硬化的混凝土地面，且靠近</w:t>
            </w:r>
            <w:r>
              <w:rPr>
                <w:rFonts w:hint="eastAsia"/>
              </w:rPr>
              <w:t>城市道路</w:t>
            </w:r>
            <w:r>
              <w:rPr>
                <w:rFonts w:hint="eastAsia"/>
              </w:rPr>
              <w:t>，交通较为便利。本工程采用商品混凝土，不在现场设置搅拌站。</w:t>
            </w:r>
          </w:p>
          <w:p w:rsidR="00BC07F0" w:rsidRDefault="00073EFB" w:rsidP="00C55F5E">
            <w:pPr>
              <w:ind w:firstLine="480"/>
            </w:pPr>
            <w:r>
              <w:rPr>
                <w:rFonts w:hint="eastAsia"/>
              </w:rPr>
              <w:t>（</w:t>
            </w:r>
            <w:r>
              <w:rPr>
                <w:rFonts w:hint="eastAsia"/>
              </w:rPr>
              <w:t>2</w:t>
            </w:r>
            <w:r>
              <w:rPr>
                <w:rFonts w:hint="eastAsia"/>
              </w:rPr>
              <w:t>）取土场</w:t>
            </w:r>
          </w:p>
          <w:p w:rsidR="00BC07F0" w:rsidRDefault="00073EFB" w:rsidP="00C55F5E">
            <w:pPr>
              <w:ind w:firstLine="480"/>
            </w:pPr>
            <w:r>
              <w:rPr>
                <w:rFonts w:hint="eastAsia"/>
              </w:rPr>
              <w:t>工程路基工程土石方开挖量较大，根据施工、运输条件，本项目填方全部采用挖方回填，缺少土方时由建设单位在</w:t>
            </w:r>
            <w:r>
              <w:rPr>
                <w:rFonts w:hint="eastAsia"/>
              </w:rPr>
              <w:t>衡阳市</w:t>
            </w:r>
            <w:r>
              <w:rPr>
                <w:rFonts w:hint="eastAsia"/>
              </w:rPr>
              <w:t>正在建设</w:t>
            </w:r>
            <w:r>
              <w:rPr>
                <w:rFonts w:hint="eastAsia"/>
              </w:rPr>
              <w:t>且距离本项目位置较近的</w:t>
            </w:r>
            <w:r>
              <w:rPr>
                <w:rFonts w:hint="eastAsia"/>
              </w:rPr>
              <w:t>建设工地进行取土。</w:t>
            </w:r>
          </w:p>
          <w:p w:rsidR="00BC07F0" w:rsidRDefault="00073EFB" w:rsidP="00C55F5E">
            <w:pPr>
              <w:ind w:firstLine="480"/>
            </w:pPr>
            <w:r>
              <w:rPr>
                <w:rFonts w:hint="eastAsia"/>
              </w:rPr>
              <w:t>（</w:t>
            </w:r>
            <w:r>
              <w:rPr>
                <w:rFonts w:hint="eastAsia"/>
              </w:rPr>
              <w:t>3</w:t>
            </w:r>
            <w:r>
              <w:rPr>
                <w:rFonts w:hint="eastAsia"/>
              </w:rPr>
              <w:t>）弃土场</w:t>
            </w:r>
          </w:p>
          <w:p w:rsidR="00BC07F0" w:rsidRDefault="00073EFB" w:rsidP="00C55F5E">
            <w:pPr>
              <w:ind w:firstLine="480"/>
            </w:pPr>
            <w:r>
              <w:rPr>
                <w:rFonts w:hint="eastAsia"/>
              </w:rPr>
              <w:t>本项目不设置弃土场，填方全部采用挖方回填。</w:t>
            </w:r>
          </w:p>
          <w:p w:rsidR="00BC07F0" w:rsidRDefault="00073EFB" w:rsidP="00C55F5E">
            <w:pPr>
              <w:ind w:firstLine="480"/>
            </w:pPr>
            <w:r>
              <w:rPr>
                <w:rFonts w:hint="eastAsia"/>
              </w:rPr>
              <w:t>（</w:t>
            </w:r>
            <w:r>
              <w:rPr>
                <w:rFonts w:hint="eastAsia"/>
              </w:rPr>
              <w:t>5</w:t>
            </w:r>
            <w:r>
              <w:rPr>
                <w:rFonts w:hint="eastAsia"/>
              </w:rPr>
              <w:t>）施工便道</w:t>
            </w:r>
          </w:p>
          <w:p w:rsidR="00BC07F0" w:rsidRDefault="00073EFB" w:rsidP="00C55F5E">
            <w:pPr>
              <w:ind w:firstLine="480"/>
            </w:pPr>
            <w:r>
              <w:rPr>
                <w:rFonts w:hint="eastAsia"/>
              </w:rPr>
              <w:t>主要用于运输筑路材料等，项目利用项目周围现有道路及拟建道路路基为施工便道，不另设施工便道。</w:t>
            </w:r>
          </w:p>
          <w:p w:rsidR="00BC07F0" w:rsidRDefault="00073EFB" w:rsidP="00C55F5E">
            <w:pPr>
              <w:ind w:firstLine="482"/>
              <w:rPr>
                <w:b/>
                <w:bCs/>
              </w:rPr>
            </w:pPr>
            <w:r>
              <w:rPr>
                <w:rFonts w:hint="eastAsia"/>
                <w:b/>
                <w:bCs/>
              </w:rPr>
              <w:t>2.9</w:t>
            </w:r>
            <w:r>
              <w:rPr>
                <w:rFonts w:hint="eastAsia"/>
                <w:b/>
                <w:bCs/>
              </w:rPr>
              <w:t>铜桥港湿地公园工程现场布置情况</w:t>
            </w:r>
          </w:p>
          <w:p w:rsidR="00BC07F0" w:rsidRDefault="00073EFB">
            <w:pPr>
              <w:pStyle w:val="a7"/>
              <w:rPr>
                <w:rFonts w:hint="default"/>
              </w:rPr>
            </w:pPr>
            <w:r>
              <w:rPr>
                <w:noProof/>
              </w:rPr>
              <w:lastRenderedPageBreak/>
              <w:drawing>
                <wp:inline distT="0" distB="0" distL="114300" distR="114300">
                  <wp:extent cx="4373880" cy="2785110"/>
                  <wp:effectExtent l="0" t="0" r="7620" b="1524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32" cstate="print"/>
                          <a:srcRect t="9934"/>
                          <a:stretch>
                            <a:fillRect/>
                          </a:stretch>
                        </pic:blipFill>
                        <pic:spPr>
                          <a:xfrm>
                            <a:off x="0" y="0"/>
                            <a:ext cx="4373880" cy="2785110"/>
                          </a:xfrm>
                          <a:prstGeom prst="rect">
                            <a:avLst/>
                          </a:prstGeom>
                          <a:noFill/>
                          <a:ln>
                            <a:noFill/>
                          </a:ln>
                        </pic:spPr>
                      </pic:pic>
                    </a:graphicData>
                  </a:graphic>
                </wp:inline>
              </w:drawing>
            </w:r>
          </w:p>
          <w:p w:rsidR="00BC07F0" w:rsidRDefault="00073EFB">
            <w:pPr>
              <w:pStyle w:val="a7"/>
              <w:rPr>
                <w:rFonts w:hint="default"/>
                <w:b/>
                <w:bCs/>
              </w:rPr>
            </w:pPr>
            <w:r>
              <w:rPr>
                <w:b/>
                <w:bCs/>
              </w:rPr>
              <w:t>图</w:t>
            </w:r>
            <w:r>
              <w:rPr>
                <w:b/>
                <w:bCs/>
              </w:rPr>
              <w:t>2.</w:t>
            </w:r>
            <w:r>
              <w:rPr>
                <w:b/>
                <w:bCs/>
              </w:rPr>
              <w:t>9-1</w:t>
            </w:r>
            <w:r>
              <w:rPr>
                <w:b/>
                <w:bCs/>
              </w:rPr>
              <w:t>铜桥港湿地公园工程施工平面布置图</w:t>
            </w:r>
          </w:p>
          <w:p w:rsidR="00BC07F0" w:rsidRDefault="00073EFB" w:rsidP="00C55F5E">
            <w:pPr>
              <w:ind w:firstLine="480"/>
            </w:pPr>
            <w:r>
              <w:rPr>
                <w:rFonts w:hint="eastAsia"/>
              </w:rPr>
              <w:t>（</w:t>
            </w:r>
            <w:r>
              <w:rPr>
                <w:rFonts w:hint="eastAsia"/>
              </w:rPr>
              <w:t>1</w:t>
            </w:r>
            <w:r>
              <w:rPr>
                <w:rFonts w:hint="eastAsia"/>
              </w:rPr>
              <w:t>）施工营地</w:t>
            </w:r>
          </w:p>
          <w:p w:rsidR="00BC07F0" w:rsidRDefault="00073EFB" w:rsidP="00C55F5E">
            <w:pPr>
              <w:ind w:firstLine="480"/>
            </w:pPr>
            <w:r>
              <w:rPr>
                <w:rFonts w:hint="eastAsia"/>
              </w:rPr>
              <w:t>根据</w:t>
            </w:r>
            <w:r>
              <w:rPr>
                <w:rFonts w:hint="eastAsia"/>
              </w:rPr>
              <w:t>工程</w:t>
            </w:r>
            <w:r>
              <w:rPr>
                <w:rFonts w:hint="eastAsia"/>
              </w:rPr>
              <w:t>建设特点和选址，</w:t>
            </w:r>
            <w:r>
              <w:rPr>
                <w:rFonts w:hint="eastAsia"/>
              </w:rPr>
              <w:t>铜桥港湿地公园工程</w:t>
            </w:r>
            <w:r>
              <w:rPr>
                <w:rFonts w:hint="eastAsia"/>
              </w:rPr>
              <w:t>不</w:t>
            </w:r>
            <w:r>
              <w:rPr>
                <w:rFonts w:hint="eastAsia"/>
              </w:rPr>
              <w:t>设单独的临时生活区</w:t>
            </w:r>
            <w:r>
              <w:rPr>
                <w:rFonts w:hint="eastAsia"/>
              </w:rPr>
              <w:t>，</w:t>
            </w:r>
            <w:r>
              <w:rPr>
                <w:rFonts w:hint="eastAsia"/>
              </w:rPr>
              <w:t>工人</w:t>
            </w:r>
            <w:r>
              <w:rPr>
                <w:rFonts w:hint="eastAsia"/>
              </w:rPr>
              <w:t>租用周边民房。施工营地位于</w:t>
            </w:r>
            <w:r>
              <w:rPr>
                <w:rFonts w:hint="eastAsia"/>
              </w:rPr>
              <w:t>工程施工区西侧，</w:t>
            </w:r>
            <w:r>
              <w:rPr>
                <w:rFonts w:hint="eastAsia"/>
              </w:rPr>
              <w:t>不占用林地和农田，地面为硬化的混凝土地面，且靠近</w:t>
            </w:r>
            <w:r>
              <w:rPr>
                <w:rFonts w:hint="eastAsia"/>
              </w:rPr>
              <w:t>城市道路</w:t>
            </w:r>
            <w:r>
              <w:rPr>
                <w:rFonts w:hint="eastAsia"/>
              </w:rPr>
              <w:t>，交通较为便利。本工程采用商品混凝土，不在现场设置搅拌站。</w:t>
            </w:r>
          </w:p>
          <w:p w:rsidR="00BC07F0" w:rsidRDefault="00073EFB" w:rsidP="00C55F5E">
            <w:pPr>
              <w:ind w:firstLine="480"/>
            </w:pPr>
            <w:r>
              <w:rPr>
                <w:rFonts w:hint="eastAsia"/>
              </w:rPr>
              <w:t>（</w:t>
            </w:r>
            <w:r>
              <w:rPr>
                <w:rFonts w:hint="eastAsia"/>
              </w:rPr>
              <w:t>2</w:t>
            </w:r>
            <w:r>
              <w:rPr>
                <w:rFonts w:hint="eastAsia"/>
              </w:rPr>
              <w:t>）取土场</w:t>
            </w:r>
          </w:p>
          <w:p w:rsidR="00BC07F0" w:rsidRDefault="00073EFB" w:rsidP="00C55F5E">
            <w:pPr>
              <w:ind w:firstLine="480"/>
            </w:pPr>
            <w:r>
              <w:rPr>
                <w:rFonts w:hint="eastAsia"/>
              </w:rPr>
              <w:t>工程路基工程土石方开挖量较大，根据施工、运输条件，本项目填方全部采用挖方回填，缺少土方时由建设单位在</w:t>
            </w:r>
            <w:r>
              <w:rPr>
                <w:rFonts w:hint="eastAsia"/>
              </w:rPr>
              <w:t>衡阳市</w:t>
            </w:r>
            <w:r>
              <w:rPr>
                <w:rFonts w:hint="eastAsia"/>
              </w:rPr>
              <w:t>正在建设</w:t>
            </w:r>
            <w:r>
              <w:rPr>
                <w:rFonts w:hint="eastAsia"/>
              </w:rPr>
              <w:t>且距离本项目位置较近的</w:t>
            </w:r>
            <w:r>
              <w:rPr>
                <w:rFonts w:hint="eastAsia"/>
              </w:rPr>
              <w:t>建设工地进行取土。</w:t>
            </w:r>
          </w:p>
          <w:p w:rsidR="00BC07F0" w:rsidRDefault="00073EFB" w:rsidP="00C55F5E">
            <w:pPr>
              <w:ind w:firstLine="480"/>
            </w:pPr>
            <w:r>
              <w:rPr>
                <w:rFonts w:hint="eastAsia"/>
              </w:rPr>
              <w:t>（</w:t>
            </w:r>
            <w:r>
              <w:rPr>
                <w:rFonts w:hint="eastAsia"/>
              </w:rPr>
              <w:t>3</w:t>
            </w:r>
            <w:r>
              <w:rPr>
                <w:rFonts w:hint="eastAsia"/>
              </w:rPr>
              <w:t>）弃土场</w:t>
            </w:r>
          </w:p>
          <w:p w:rsidR="00BC07F0" w:rsidRDefault="00073EFB" w:rsidP="00C55F5E">
            <w:pPr>
              <w:ind w:firstLine="480"/>
            </w:pPr>
            <w:r>
              <w:rPr>
                <w:rFonts w:hint="eastAsia"/>
              </w:rPr>
              <w:t>本项目不设置弃土场，填方全部采用挖方回填。</w:t>
            </w:r>
          </w:p>
          <w:p w:rsidR="00BC07F0" w:rsidRDefault="00073EFB" w:rsidP="00C55F5E">
            <w:pPr>
              <w:ind w:firstLine="480"/>
            </w:pPr>
            <w:r>
              <w:rPr>
                <w:rFonts w:hint="eastAsia"/>
              </w:rPr>
              <w:t>（</w:t>
            </w:r>
            <w:r>
              <w:rPr>
                <w:rFonts w:hint="eastAsia"/>
              </w:rPr>
              <w:t>5</w:t>
            </w:r>
            <w:r>
              <w:rPr>
                <w:rFonts w:hint="eastAsia"/>
              </w:rPr>
              <w:t>）施工便道</w:t>
            </w:r>
          </w:p>
          <w:p w:rsidR="00BC07F0" w:rsidRDefault="00073EFB" w:rsidP="00C55F5E">
            <w:pPr>
              <w:ind w:firstLine="480"/>
            </w:pPr>
            <w:r>
              <w:rPr>
                <w:rFonts w:hint="eastAsia"/>
              </w:rPr>
              <w:t>主要用于运输筑路材料等，项目利用项目周围现有道路及拟建道路路基为施工便道，不另设施工便道。</w:t>
            </w:r>
          </w:p>
          <w:p w:rsidR="00BC07F0" w:rsidRDefault="00073EFB" w:rsidP="00C55F5E">
            <w:pPr>
              <w:ind w:firstLine="482"/>
              <w:rPr>
                <w:b/>
                <w:bCs/>
              </w:rPr>
            </w:pPr>
            <w:r>
              <w:rPr>
                <w:rFonts w:hint="eastAsia"/>
                <w:b/>
                <w:bCs/>
              </w:rPr>
              <w:t>2.10</w:t>
            </w:r>
            <w:r>
              <w:rPr>
                <w:rFonts w:hint="eastAsia"/>
                <w:b/>
                <w:bCs/>
              </w:rPr>
              <w:t>配套城市道路前进路、酃白路工程</w:t>
            </w:r>
            <w:r>
              <w:rPr>
                <w:rFonts w:hint="eastAsia"/>
                <w:b/>
                <w:bCs/>
              </w:rPr>
              <w:t>现场布置情况</w:t>
            </w:r>
          </w:p>
          <w:p w:rsidR="00BC07F0" w:rsidRDefault="00073EFB">
            <w:pPr>
              <w:pStyle w:val="a7"/>
              <w:rPr>
                <w:rFonts w:hint="default"/>
              </w:rPr>
            </w:pPr>
            <w:r>
              <w:rPr>
                <w:noProof/>
              </w:rPr>
              <w:drawing>
                <wp:inline distT="0" distB="0" distL="114300" distR="114300">
                  <wp:extent cx="5194300" cy="1527175"/>
                  <wp:effectExtent l="0" t="0" r="6350" b="1587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3" cstate="print"/>
                          <a:stretch>
                            <a:fillRect/>
                          </a:stretch>
                        </pic:blipFill>
                        <pic:spPr>
                          <a:xfrm>
                            <a:off x="0" y="0"/>
                            <a:ext cx="5194300" cy="1527175"/>
                          </a:xfrm>
                          <a:prstGeom prst="rect">
                            <a:avLst/>
                          </a:prstGeom>
                          <a:noFill/>
                          <a:ln>
                            <a:noFill/>
                          </a:ln>
                        </pic:spPr>
                      </pic:pic>
                    </a:graphicData>
                  </a:graphic>
                </wp:inline>
              </w:drawing>
            </w:r>
          </w:p>
          <w:p w:rsidR="00BC07F0" w:rsidRDefault="00073EFB">
            <w:pPr>
              <w:pStyle w:val="a7"/>
              <w:rPr>
                <w:rFonts w:hint="default"/>
                <w:b/>
                <w:bCs/>
              </w:rPr>
            </w:pPr>
            <w:r>
              <w:rPr>
                <w:b/>
                <w:bCs/>
              </w:rPr>
              <w:lastRenderedPageBreak/>
              <w:t>图</w:t>
            </w:r>
            <w:r>
              <w:rPr>
                <w:b/>
                <w:bCs/>
              </w:rPr>
              <w:t>2.10-1</w:t>
            </w:r>
            <w:r>
              <w:rPr>
                <w:b/>
                <w:bCs/>
              </w:rPr>
              <w:t>前进路施工平面布置图</w:t>
            </w:r>
          </w:p>
          <w:p w:rsidR="00BC07F0" w:rsidRDefault="00073EFB">
            <w:pPr>
              <w:pStyle w:val="a7"/>
              <w:rPr>
                <w:rFonts w:hint="default"/>
              </w:rPr>
            </w:pPr>
            <w:r>
              <w:rPr>
                <w:noProof/>
              </w:rPr>
              <w:drawing>
                <wp:inline distT="0" distB="0" distL="114300" distR="114300">
                  <wp:extent cx="4231005" cy="2765425"/>
                  <wp:effectExtent l="0" t="0" r="17145" b="15875"/>
                  <wp:docPr id="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
                          <pic:cNvPicPr>
                            <a:picLocks noChangeAspect="1"/>
                          </pic:cNvPicPr>
                        </pic:nvPicPr>
                        <pic:blipFill>
                          <a:blip r:embed="rId34" cstate="print"/>
                          <a:stretch>
                            <a:fillRect/>
                          </a:stretch>
                        </pic:blipFill>
                        <pic:spPr>
                          <a:xfrm>
                            <a:off x="0" y="0"/>
                            <a:ext cx="4231005" cy="2765425"/>
                          </a:xfrm>
                          <a:prstGeom prst="rect">
                            <a:avLst/>
                          </a:prstGeom>
                          <a:noFill/>
                          <a:ln>
                            <a:noFill/>
                          </a:ln>
                        </pic:spPr>
                      </pic:pic>
                    </a:graphicData>
                  </a:graphic>
                </wp:inline>
              </w:drawing>
            </w:r>
          </w:p>
          <w:p w:rsidR="00BC07F0" w:rsidRDefault="00073EFB">
            <w:pPr>
              <w:pStyle w:val="a7"/>
              <w:rPr>
                <w:rFonts w:hint="default"/>
                <w:b/>
                <w:bCs/>
              </w:rPr>
            </w:pPr>
            <w:r>
              <w:rPr>
                <w:b/>
                <w:bCs/>
              </w:rPr>
              <w:t>图</w:t>
            </w:r>
            <w:r>
              <w:rPr>
                <w:b/>
                <w:bCs/>
              </w:rPr>
              <w:t>2.10-2</w:t>
            </w:r>
            <w:r>
              <w:rPr>
                <w:b/>
                <w:bCs/>
              </w:rPr>
              <w:t>酃白路</w:t>
            </w:r>
            <w:r>
              <w:rPr>
                <w:b/>
                <w:bCs/>
              </w:rPr>
              <w:t>施工平面布置图</w:t>
            </w:r>
          </w:p>
          <w:p w:rsidR="00BC07F0" w:rsidRDefault="00073EFB" w:rsidP="00C55F5E">
            <w:pPr>
              <w:ind w:firstLine="480"/>
            </w:pPr>
            <w:r>
              <w:rPr>
                <w:rFonts w:hint="eastAsia"/>
              </w:rPr>
              <w:t>（</w:t>
            </w:r>
            <w:r>
              <w:rPr>
                <w:rFonts w:hint="eastAsia"/>
              </w:rPr>
              <w:t>1</w:t>
            </w:r>
            <w:r>
              <w:rPr>
                <w:rFonts w:hint="eastAsia"/>
              </w:rPr>
              <w:t>）施工营地</w:t>
            </w:r>
          </w:p>
          <w:p w:rsidR="00BC07F0" w:rsidRDefault="00073EFB" w:rsidP="00C55F5E">
            <w:pPr>
              <w:ind w:firstLine="480"/>
            </w:pPr>
            <w:r>
              <w:rPr>
                <w:rFonts w:hint="eastAsia"/>
              </w:rPr>
              <w:t>根据</w:t>
            </w:r>
            <w:r>
              <w:rPr>
                <w:rFonts w:hint="eastAsia"/>
              </w:rPr>
              <w:t>工程</w:t>
            </w:r>
            <w:r>
              <w:rPr>
                <w:rFonts w:hint="eastAsia"/>
              </w:rPr>
              <w:t>建设特点和选址，</w:t>
            </w:r>
            <w:r>
              <w:rPr>
                <w:rFonts w:hint="eastAsia"/>
              </w:rPr>
              <w:t>铜桥港湿地公园工程</w:t>
            </w:r>
            <w:r>
              <w:rPr>
                <w:rFonts w:hint="eastAsia"/>
              </w:rPr>
              <w:t>不</w:t>
            </w:r>
            <w:r>
              <w:rPr>
                <w:rFonts w:hint="eastAsia"/>
              </w:rPr>
              <w:t>设单独的临时生活区</w:t>
            </w:r>
            <w:r>
              <w:rPr>
                <w:rFonts w:hint="eastAsia"/>
              </w:rPr>
              <w:t>，</w:t>
            </w:r>
            <w:r>
              <w:rPr>
                <w:rFonts w:hint="eastAsia"/>
              </w:rPr>
              <w:t>工人</w:t>
            </w:r>
            <w:r>
              <w:rPr>
                <w:rFonts w:hint="eastAsia"/>
              </w:rPr>
              <w:t>租用周边民房。施工营地位于</w:t>
            </w:r>
            <w:r>
              <w:rPr>
                <w:rFonts w:hint="eastAsia"/>
              </w:rPr>
              <w:t>工程施工区西侧，</w:t>
            </w:r>
            <w:r>
              <w:rPr>
                <w:rFonts w:hint="eastAsia"/>
              </w:rPr>
              <w:t>不占用林地和农田，地面为硬化的混凝土地面，且靠近</w:t>
            </w:r>
            <w:r>
              <w:rPr>
                <w:rFonts w:hint="eastAsia"/>
              </w:rPr>
              <w:t>城市道路</w:t>
            </w:r>
            <w:r>
              <w:rPr>
                <w:rFonts w:hint="eastAsia"/>
              </w:rPr>
              <w:t>，交通较为便利。本工程采用商品混凝土，不在现场设置搅拌站。</w:t>
            </w:r>
          </w:p>
          <w:p w:rsidR="00BC07F0" w:rsidRDefault="00073EFB" w:rsidP="00C55F5E">
            <w:pPr>
              <w:ind w:firstLine="480"/>
            </w:pPr>
            <w:r>
              <w:rPr>
                <w:rFonts w:hint="eastAsia"/>
              </w:rPr>
              <w:t>（</w:t>
            </w:r>
            <w:r>
              <w:rPr>
                <w:rFonts w:hint="eastAsia"/>
              </w:rPr>
              <w:t>2</w:t>
            </w:r>
            <w:r>
              <w:rPr>
                <w:rFonts w:hint="eastAsia"/>
              </w:rPr>
              <w:t>）取土场</w:t>
            </w:r>
          </w:p>
          <w:p w:rsidR="00BC07F0" w:rsidRDefault="00073EFB" w:rsidP="00C55F5E">
            <w:pPr>
              <w:ind w:firstLine="480"/>
            </w:pPr>
            <w:r>
              <w:rPr>
                <w:rFonts w:hint="eastAsia"/>
              </w:rPr>
              <w:t>工程路基工程土石方开挖量较大，根据施工、运输条件，本项目填方全部采用挖方回填，缺少土方时由建设单位在</w:t>
            </w:r>
            <w:r>
              <w:rPr>
                <w:rFonts w:hint="eastAsia"/>
              </w:rPr>
              <w:t>衡阳市</w:t>
            </w:r>
            <w:r>
              <w:rPr>
                <w:rFonts w:hint="eastAsia"/>
              </w:rPr>
              <w:t>正在建设</w:t>
            </w:r>
            <w:r>
              <w:rPr>
                <w:rFonts w:hint="eastAsia"/>
              </w:rPr>
              <w:t>且距离本项目位置较近的</w:t>
            </w:r>
            <w:r>
              <w:rPr>
                <w:rFonts w:hint="eastAsia"/>
              </w:rPr>
              <w:t>建设工地进行取土。</w:t>
            </w:r>
          </w:p>
          <w:p w:rsidR="00BC07F0" w:rsidRDefault="00073EFB" w:rsidP="00C55F5E">
            <w:pPr>
              <w:ind w:firstLine="480"/>
            </w:pPr>
            <w:r>
              <w:rPr>
                <w:rFonts w:hint="eastAsia"/>
              </w:rPr>
              <w:t>（</w:t>
            </w:r>
            <w:r>
              <w:rPr>
                <w:rFonts w:hint="eastAsia"/>
              </w:rPr>
              <w:t>3</w:t>
            </w:r>
            <w:r>
              <w:rPr>
                <w:rFonts w:hint="eastAsia"/>
              </w:rPr>
              <w:t>）弃土场</w:t>
            </w:r>
          </w:p>
          <w:p w:rsidR="00BC07F0" w:rsidRDefault="00073EFB" w:rsidP="00C55F5E">
            <w:pPr>
              <w:ind w:firstLine="480"/>
            </w:pPr>
            <w:r>
              <w:rPr>
                <w:rFonts w:hint="eastAsia"/>
              </w:rPr>
              <w:t>本项目不设置弃土场，填方全部采用挖方回填。</w:t>
            </w:r>
          </w:p>
          <w:p w:rsidR="00BC07F0" w:rsidRDefault="00073EFB" w:rsidP="00C55F5E">
            <w:pPr>
              <w:ind w:firstLine="480"/>
            </w:pPr>
            <w:r>
              <w:rPr>
                <w:rFonts w:hint="eastAsia"/>
              </w:rPr>
              <w:t>（</w:t>
            </w:r>
            <w:r>
              <w:rPr>
                <w:rFonts w:hint="eastAsia"/>
              </w:rPr>
              <w:t>5</w:t>
            </w:r>
            <w:r>
              <w:rPr>
                <w:rFonts w:hint="eastAsia"/>
              </w:rPr>
              <w:t>）施工便道</w:t>
            </w:r>
          </w:p>
          <w:p w:rsidR="00BC07F0" w:rsidRDefault="00073EFB" w:rsidP="00C55F5E">
            <w:pPr>
              <w:ind w:firstLine="480"/>
            </w:pPr>
            <w:r>
              <w:rPr>
                <w:rFonts w:hint="eastAsia"/>
              </w:rPr>
              <w:t>主要用于运输筑路材料等，项目利用项目周围现有道路及拟建道路路基为施工便道，不另设施工便道。</w:t>
            </w:r>
          </w:p>
        </w:tc>
      </w:tr>
      <w:tr w:rsidR="00BC07F0">
        <w:trPr>
          <w:trHeight w:val="397"/>
          <w:jc w:val="center"/>
        </w:trPr>
        <w:tc>
          <w:tcPr>
            <w:tcW w:w="532" w:type="dxa"/>
            <w:vAlign w:val="center"/>
          </w:tcPr>
          <w:p w:rsidR="00BC07F0" w:rsidRDefault="00073EFB">
            <w:pPr>
              <w:pStyle w:val="a7"/>
              <w:rPr>
                <w:rFonts w:hint="default"/>
                <w:b/>
                <w:bCs/>
                <w:sz w:val="24"/>
                <w:szCs w:val="24"/>
              </w:rPr>
            </w:pPr>
            <w:r>
              <w:rPr>
                <w:b/>
                <w:bCs/>
                <w:sz w:val="24"/>
                <w:szCs w:val="24"/>
              </w:rPr>
              <w:lastRenderedPageBreak/>
              <w:t>施工方案</w:t>
            </w:r>
          </w:p>
        </w:tc>
        <w:tc>
          <w:tcPr>
            <w:tcW w:w="9326" w:type="dxa"/>
            <w:vAlign w:val="center"/>
          </w:tcPr>
          <w:p w:rsidR="00BC07F0" w:rsidRDefault="00073EFB" w:rsidP="00C55F5E">
            <w:pPr>
              <w:ind w:firstLine="482"/>
              <w:rPr>
                <w:b/>
                <w:bCs/>
              </w:rPr>
            </w:pPr>
            <w:r>
              <w:rPr>
                <w:rFonts w:hint="eastAsia"/>
                <w:b/>
                <w:bCs/>
              </w:rPr>
              <w:t>2.11</w:t>
            </w:r>
            <w:r>
              <w:rPr>
                <w:rFonts w:hint="eastAsia"/>
                <w:b/>
                <w:bCs/>
              </w:rPr>
              <w:t>湘江南岸（衡阳港</w:t>
            </w:r>
            <w:r>
              <w:rPr>
                <w:rFonts w:hint="eastAsia"/>
                <w:b/>
                <w:bCs/>
              </w:rPr>
              <w:t>-</w:t>
            </w:r>
            <w:r>
              <w:rPr>
                <w:rFonts w:hint="eastAsia"/>
                <w:b/>
                <w:bCs/>
              </w:rPr>
              <w:t>铜桥港）水环境水安全综合治理工程</w:t>
            </w:r>
            <w:r>
              <w:rPr>
                <w:rFonts w:hint="eastAsia"/>
                <w:b/>
                <w:bCs/>
              </w:rPr>
              <w:t>施工方案</w:t>
            </w:r>
          </w:p>
          <w:p w:rsidR="00BC07F0" w:rsidRDefault="00073EFB" w:rsidP="00C55F5E">
            <w:pPr>
              <w:ind w:firstLine="482"/>
              <w:rPr>
                <w:b/>
                <w:bCs/>
              </w:rPr>
            </w:pPr>
            <w:r>
              <w:rPr>
                <w:rFonts w:hint="eastAsia"/>
                <w:b/>
                <w:bCs/>
              </w:rPr>
              <w:t>2.11.1</w:t>
            </w:r>
            <w:r>
              <w:rPr>
                <w:rFonts w:hint="eastAsia"/>
                <w:b/>
                <w:bCs/>
              </w:rPr>
              <w:t>湘江南岸风光带</w:t>
            </w:r>
          </w:p>
          <w:p w:rsidR="00BC07F0" w:rsidRDefault="00073EFB" w:rsidP="00C55F5E">
            <w:pPr>
              <w:ind w:firstLine="480"/>
            </w:pPr>
            <w:r>
              <w:rPr>
                <w:rFonts w:hint="eastAsia"/>
              </w:rPr>
              <w:t>起点位于湘江西岸白沙洲千吨级码头，终点位于前进路口，总长度约</w:t>
            </w:r>
            <w:r>
              <w:rPr>
                <w:rFonts w:hint="eastAsia"/>
              </w:rPr>
              <w:t>3.8km</w:t>
            </w:r>
            <w:r>
              <w:rPr>
                <w:rFonts w:hint="eastAsia"/>
              </w:rPr>
              <w:t>，规划用地面积</w:t>
            </w:r>
            <w:r>
              <w:rPr>
                <w:rFonts w:hint="eastAsia"/>
              </w:rPr>
              <w:t>363100m</w:t>
            </w:r>
            <w:r>
              <w:rPr>
                <w:rFonts w:hint="eastAsia"/>
                <w:vertAlign w:val="superscript"/>
              </w:rPr>
              <w:t>2</w:t>
            </w:r>
            <w:r>
              <w:rPr>
                <w:rFonts w:hint="eastAsia"/>
              </w:rPr>
              <w:t>，建设内容包括人行通道、道路照明、景观照明、园林景观、给排水。</w:t>
            </w:r>
          </w:p>
          <w:p w:rsidR="00BC07F0" w:rsidRDefault="00073EFB" w:rsidP="00C55F5E">
            <w:pPr>
              <w:ind w:firstLine="480"/>
            </w:pPr>
            <w:r>
              <w:rPr>
                <w:rFonts w:hint="eastAsia"/>
              </w:rPr>
              <w:t>（</w:t>
            </w:r>
            <w:r>
              <w:rPr>
                <w:rFonts w:hint="eastAsia"/>
              </w:rPr>
              <w:t>1</w:t>
            </w:r>
            <w:r>
              <w:rPr>
                <w:rFonts w:hint="eastAsia"/>
              </w:rPr>
              <w:t>）</w:t>
            </w:r>
            <w:r>
              <w:rPr>
                <w:rFonts w:hint="eastAsia"/>
              </w:rPr>
              <w:t>人行通道施工方案</w:t>
            </w:r>
          </w:p>
          <w:p w:rsidR="00BC07F0" w:rsidRDefault="00073EFB">
            <w:pPr>
              <w:numPr>
                <w:ilvl w:val="0"/>
                <w:numId w:val="2"/>
              </w:numPr>
              <w:ind w:firstLineChars="0"/>
            </w:pPr>
            <w:r>
              <w:rPr>
                <w:rFonts w:hint="eastAsia"/>
              </w:rPr>
              <w:t>工程场地清理</w:t>
            </w:r>
            <w:r>
              <w:rPr>
                <w:rFonts w:hint="eastAsia"/>
              </w:rPr>
              <w:t>：</w:t>
            </w:r>
            <w:r>
              <w:rPr>
                <w:rFonts w:hint="eastAsia"/>
              </w:rPr>
              <w:t>施工队伍进场后，首先对施工作业地带内的表土进行清理，清</w:t>
            </w:r>
            <w:r>
              <w:rPr>
                <w:rFonts w:hint="eastAsia"/>
              </w:rPr>
              <w:lastRenderedPageBreak/>
              <w:t>除表面建筑垃圾、夯实土基、平整场地等施工准备工作，产生的建筑垃圾运往建筑垃圾消纳场进行处置。</w:t>
            </w:r>
          </w:p>
          <w:p w:rsidR="00BC07F0" w:rsidRDefault="00073EFB">
            <w:pPr>
              <w:numPr>
                <w:ilvl w:val="0"/>
                <w:numId w:val="2"/>
              </w:numPr>
              <w:ind w:firstLineChars="0"/>
            </w:pPr>
            <w:r>
              <w:rPr>
                <w:rFonts w:hint="eastAsia"/>
              </w:rPr>
              <w:t>路基施工</w:t>
            </w:r>
            <w:r>
              <w:rPr>
                <w:rFonts w:hint="eastAsia"/>
              </w:rPr>
              <w:t>：</w:t>
            </w:r>
            <w:r>
              <w:rPr>
                <w:rFonts w:hint="eastAsia"/>
              </w:rPr>
              <w:t>在清理完地表面后，应平整压实至规定要求，才可以进行填方作业。路堤应水平分填筑压实。</w:t>
            </w:r>
          </w:p>
          <w:p w:rsidR="00BC07F0" w:rsidRDefault="00073EFB">
            <w:pPr>
              <w:numPr>
                <w:ilvl w:val="0"/>
                <w:numId w:val="2"/>
              </w:numPr>
              <w:ind w:firstLineChars="0"/>
            </w:pPr>
            <w:r>
              <w:rPr>
                <w:rFonts w:hint="eastAsia"/>
              </w:rPr>
              <w:t>路面施工</w:t>
            </w:r>
            <w:r>
              <w:rPr>
                <w:rFonts w:hint="eastAsia"/>
              </w:rPr>
              <w:t>：</w:t>
            </w:r>
            <w:r>
              <w:rPr>
                <w:rFonts w:hint="eastAsia"/>
              </w:rPr>
              <w:t>拟建项目行车道底基层采用水泥稳定碎石，水泥稳定碎石采用成品混合料，用自卸汽车运输至现场，摊铺机铺筑和压路机碾压，之后再进行沥青混凝土施工。</w:t>
            </w:r>
          </w:p>
          <w:p w:rsidR="00BC07F0" w:rsidRDefault="00073EFB" w:rsidP="00C55F5E">
            <w:pPr>
              <w:ind w:firstLine="480"/>
            </w:pPr>
            <w:r>
              <w:rPr>
                <w:rFonts w:hint="eastAsia"/>
              </w:rPr>
              <w:t>（</w:t>
            </w:r>
            <w:r>
              <w:rPr>
                <w:rFonts w:hint="eastAsia"/>
              </w:rPr>
              <w:t>2</w:t>
            </w:r>
            <w:r>
              <w:rPr>
                <w:rFonts w:hint="eastAsia"/>
              </w:rPr>
              <w:t>）</w:t>
            </w:r>
            <w:r>
              <w:rPr>
                <w:rFonts w:hint="eastAsia"/>
              </w:rPr>
              <w:t>照明</w:t>
            </w:r>
            <w:r>
              <w:rPr>
                <w:rFonts w:hint="eastAsia"/>
              </w:rPr>
              <w:t>工程施工方案</w:t>
            </w:r>
          </w:p>
          <w:p w:rsidR="00BC07F0" w:rsidRDefault="00073EFB" w:rsidP="00C55F5E">
            <w:pPr>
              <w:ind w:firstLine="480"/>
            </w:pPr>
            <w:r>
              <w:rPr>
                <w:rFonts w:hint="eastAsia"/>
              </w:rPr>
              <w:t>先定灯位，</w:t>
            </w:r>
            <w:r>
              <w:rPr>
                <w:rFonts w:hint="eastAsia"/>
              </w:rPr>
              <w:t>按设计</w:t>
            </w:r>
            <w:r>
              <w:rPr>
                <w:rFonts w:hint="eastAsia"/>
              </w:rPr>
              <w:t>间距确定路灯安装；挖沟及埋管，开挖电缆管预埋沟，预埋电缆管；浇筑路</w:t>
            </w:r>
            <w:r>
              <w:rPr>
                <w:rFonts w:hint="eastAsia"/>
              </w:rPr>
              <w:t>灯基础，开挖相应尺寸基坑；敷设电缆，进行绝缘测试；进行路灯、电气设备安装；试验、调试、自检、验收。</w:t>
            </w:r>
          </w:p>
          <w:p w:rsidR="00BC07F0" w:rsidRDefault="00073EFB" w:rsidP="00C55F5E">
            <w:pPr>
              <w:ind w:firstLine="480"/>
            </w:pPr>
            <w:r>
              <w:rPr>
                <w:rFonts w:hint="eastAsia"/>
              </w:rPr>
              <w:t>（</w:t>
            </w:r>
            <w:r>
              <w:rPr>
                <w:rFonts w:hint="eastAsia"/>
              </w:rPr>
              <w:t>3</w:t>
            </w:r>
            <w:r>
              <w:rPr>
                <w:rFonts w:hint="eastAsia"/>
              </w:rPr>
              <w:t>）</w:t>
            </w:r>
            <w:r>
              <w:rPr>
                <w:rFonts w:hint="eastAsia"/>
              </w:rPr>
              <w:t>园林景观</w:t>
            </w:r>
            <w:r>
              <w:rPr>
                <w:rFonts w:hint="eastAsia"/>
              </w:rPr>
              <w:t>施工方案</w:t>
            </w:r>
          </w:p>
          <w:p w:rsidR="00BC07F0" w:rsidRDefault="00073EFB">
            <w:pPr>
              <w:numPr>
                <w:ilvl w:val="0"/>
                <w:numId w:val="3"/>
              </w:numPr>
              <w:ind w:firstLineChars="0"/>
            </w:pPr>
            <w:r>
              <w:rPr>
                <w:rFonts w:hint="eastAsia"/>
              </w:rPr>
              <w:t>场地平整</w:t>
            </w:r>
            <w:r>
              <w:rPr>
                <w:rFonts w:hint="eastAsia"/>
              </w:rPr>
              <w:t>：</w:t>
            </w:r>
            <w:r>
              <w:rPr>
                <w:rFonts w:hint="eastAsia"/>
              </w:rPr>
              <w:t>场地平整按预算定额规定在</w:t>
            </w:r>
            <w:r>
              <w:rPr>
                <w:rFonts w:hint="eastAsia"/>
              </w:rPr>
              <w:t>+10CM+30CM</w:t>
            </w:r>
            <w:r>
              <w:rPr>
                <w:rFonts w:hint="eastAsia"/>
              </w:rPr>
              <w:t>高差以内，平整绿化地面至设计坡度</w:t>
            </w:r>
            <w:r>
              <w:rPr>
                <w:rFonts w:hint="eastAsia"/>
              </w:rPr>
              <w:t>;</w:t>
            </w:r>
            <w:r>
              <w:rPr>
                <w:rFonts w:hint="eastAsia"/>
              </w:rPr>
              <w:t>不允许场地有低洼积水处。</w:t>
            </w:r>
          </w:p>
          <w:p w:rsidR="00BC07F0" w:rsidRDefault="00073EFB">
            <w:pPr>
              <w:numPr>
                <w:ilvl w:val="0"/>
                <w:numId w:val="3"/>
              </w:numPr>
              <w:ind w:firstLineChars="0"/>
            </w:pPr>
            <w:r>
              <w:rPr>
                <w:rFonts w:hint="eastAsia"/>
              </w:rPr>
              <w:t>清理杂草、杂物、碎石及瓦砾，种植土层下不允许有大量的建筑垃圾及块石。</w:t>
            </w:r>
            <w:r>
              <w:rPr>
                <w:rFonts w:hint="eastAsia"/>
              </w:rPr>
              <w:t>3.</w:t>
            </w:r>
            <w:r>
              <w:rPr>
                <w:rFonts w:hint="eastAsia"/>
              </w:rPr>
              <w:t>若施工时使用机械平整土地则应事先了解是否有地下管线以免造成管线的损坏。</w:t>
            </w:r>
          </w:p>
          <w:p w:rsidR="00BC07F0" w:rsidRDefault="00073EFB">
            <w:pPr>
              <w:numPr>
                <w:ilvl w:val="0"/>
                <w:numId w:val="3"/>
              </w:numPr>
              <w:ind w:firstLineChars="0"/>
            </w:pPr>
            <w:r>
              <w:rPr>
                <w:rFonts w:hint="eastAsia"/>
              </w:rPr>
              <w:t>基肥施放</w:t>
            </w:r>
            <w:r>
              <w:rPr>
                <w:rFonts w:hint="eastAsia"/>
              </w:rPr>
              <w:t>：</w:t>
            </w:r>
            <w:r>
              <w:rPr>
                <w:rFonts w:hint="eastAsia"/>
              </w:rPr>
              <w:t>施工圈中的各种花草树木均需按额定要求的积肥量施放积肥，要求施工种植前必须下足基肥，弥补绿地土壤瘦瘠对植物生长的不良影响，以使绿化尽快见效。按目前园林施工的要求，设计施工可以选用以下基肥</w:t>
            </w:r>
            <w:r>
              <w:rPr>
                <w:rFonts w:hint="eastAsia"/>
              </w:rPr>
              <w:t>：</w:t>
            </w:r>
          </w:p>
          <w:p w:rsidR="00BC07F0" w:rsidRDefault="00073EFB">
            <w:pPr>
              <w:numPr>
                <w:ilvl w:val="0"/>
                <w:numId w:val="3"/>
              </w:numPr>
              <w:ind w:firstLineChars="0"/>
            </w:pPr>
            <w:r>
              <w:rPr>
                <w:rFonts w:hint="eastAsia"/>
              </w:rPr>
              <w:t>塘泥</w:t>
            </w:r>
            <w:r>
              <w:rPr>
                <w:rFonts w:hint="eastAsia"/>
              </w:rPr>
              <w:t>：</w:t>
            </w:r>
            <w:r>
              <w:rPr>
                <w:rFonts w:hint="eastAsia"/>
              </w:rPr>
              <w:t>为鱼塘沉积涂泥，经晒干后结构良好的优质泥块，含丰富的有机质和氮、磷、钾等肥料元素，捣成碎块后施用。</w:t>
            </w:r>
          </w:p>
          <w:p w:rsidR="00BC07F0" w:rsidRDefault="00073EFB">
            <w:pPr>
              <w:numPr>
                <w:ilvl w:val="0"/>
                <w:numId w:val="3"/>
              </w:numPr>
              <w:ind w:firstLineChars="0"/>
            </w:pPr>
            <w:r>
              <w:rPr>
                <w:rFonts w:hint="eastAsia"/>
              </w:rPr>
              <w:t>定点放线：按施工图所标具体尺寸定点放线，若为不规则种植，应用方格网法及图中比例尺定点放线。</w:t>
            </w:r>
          </w:p>
          <w:p w:rsidR="00BC07F0" w:rsidRDefault="00073EFB">
            <w:pPr>
              <w:numPr>
                <w:ilvl w:val="0"/>
                <w:numId w:val="3"/>
              </w:numPr>
              <w:ind w:firstLineChars="0"/>
            </w:pPr>
            <w:r>
              <w:rPr>
                <w:rFonts w:hint="eastAsia"/>
              </w:rPr>
              <w:t>种植：先检查各种植点的土质是否符合设计要求，如有无足够的基肥、基肥与泥土拌匀程度等。按园林绿化常规的方法施工，要求基肥应与碎土</w:t>
            </w:r>
            <w:r>
              <w:rPr>
                <w:rFonts w:hint="eastAsia"/>
              </w:rPr>
              <w:t>充分混匀，种植土应敲碎分层捣实，最后起土圈并琳足定根水，大树设固定支撑。规则式种植的乔灌木，同一树种规格大小统一</w:t>
            </w:r>
            <w:r>
              <w:rPr>
                <w:rFonts w:hint="eastAsia"/>
              </w:rPr>
              <w:t>;</w:t>
            </w:r>
            <w:r>
              <w:rPr>
                <w:rFonts w:hint="eastAsia"/>
              </w:rPr>
              <w:t>成行列的乔木种植应成一直线按种植乔木的自然高度依次排列。</w:t>
            </w:r>
          </w:p>
          <w:p w:rsidR="00BC07F0" w:rsidRDefault="00073EFB">
            <w:pPr>
              <w:numPr>
                <w:ilvl w:val="0"/>
                <w:numId w:val="3"/>
              </w:numPr>
              <w:ind w:firstLineChars="0"/>
            </w:pPr>
            <w:r>
              <w:rPr>
                <w:rFonts w:hint="eastAsia"/>
              </w:rPr>
              <w:t>施工场地清理：种植施工完成后立即清理施工现场四周的施工杂物，保证道路及施工现场的整洁。</w:t>
            </w:r>
          </w:p>
          <w:p w:rsidR="00BC07F0" w:rsidRDefault="00073EFB" w:rsidP="00C55F5E">
            <w:pPr>
              <w:ind w:firstLine="482"/>
              <w:rPr>
                <w:b/>
                <w:bCs/>
              </w:rPr>
            </w:pPr>
            <w:r>
              <w:rPr>
                <w:rFonts w:hint="eastAsia"/>
                <w:b/>
                <w:bCs/>
              </w:rPr>
              <w:lastRenderedPageBreak/>
              <w:t>2.11.2</w:t>
            </w:r>
            <w:r>
              <w:rPr>
                <w:rFonts w:hint="eastAsia"/>
                <w:b/>
                <w:bCs/>
              </w:rPr>
              <w:t>湘江南路（白沙大道——前进路）</w:t>
            </w:r>
          </w:p>
          <w:p w:rsidR="00BC07F0" w:rsidRDefault="00073EFB" w:rsidP="00C55F5E">
            <w:pPr>
              <w:ind w:firstLine="480"/>
            </w:pPr>
            <w:r>
              <w:rPr>
                <w:rFonts w:hint="eastAsia"/>
              </w:rPr>
              <w:t>西起白沙大道，与现状湘江路相接，向南与前进路相接。道路总长</w:t>
            </w:r>
            <w:r>
              <w:rPr>
                <w:rFonts w:hint="eastAsia"/>
              </w:rPr>
              <w:t>2.887km</w:t>
            </w:r>
            <w:r>
              <w:rPr>
                <w:rFonts w:hint="eastAsia"/>
              </w:rPr>
              <w:t>，等级为城市次干道，设计车速</w:t>
            </w:r>
            <w:r>
              <w:rPr>
                <w:rFonts w:hint="eastAsia"/>
              </w:rPr>
              <w:t>50km/h</w:t>
            </w:r>
            <w:r>
              <w:rPr>
                <w:rFonts w:hint="eastAsia"/>
              </w:rPr>
              <w:t>，路幅宽度</w:t>
            </w:r>
            <w:r>
              <w:rPr>
                <w:rFonts w:hint="eastAsia"/>
              </w:rPr>
              <w:t>40m</w:t>
            </w:r>
            <w:r>
              <w:rPr>
                <w:rFonts w:hint="eastAsia"/>
              </w:rPr>
              <w:t>。</w:t>
            </w:r>
          </w:p>
          <w:p w:rsidR="00BC07F0" w:rsidRDefault="00073EFB" w:rsidP="00C55F5E">
            <w:pPr>
              <w:ind w:firstLine="480"/>
            </w:pPr>
            <w:r>
              <w:rPr>
                <w:rFonts w:hint="eastAsia"/>
              </w:rPr>
              <w:t>（</w:t>
            </w:r>
            <w:r>
              <w:rPr>
                <w:rFonts w:hint="eastAsia"/>
              </w:rPr>
              <w:t>1</w:t>
            </w:r>
            <w:r>
              <w:rPr>
                <w:rFonts w:hint="eastAsia"/>
              </w:rPr>
              <w:t>）</w:t>
            </w:r>
            <w:r>
              <w:rPr>
                <w:rFonts w:hint="eastAsia"/>
              </w:rPr>
              <w:t>道路工程施工方案</w:t>
            </w:r>
          </w:p>
          <w:p w:rsidR="00BC07F0" w:rsidRDefault="00073EFB">
            <w:pPr>
              <w:numPr>
                <w:ilvl w:val="0"/>
                <w:numId w:val="4"/>
              </w:numPr>
              <w:ind w:firstLineChars="0"/>
            </w:pPr>
            <w:r>
              <w:rPr>
                <w:rFonts w:hint="eastAsia"/>
              </w:rPr>
              <w:t>工程场地清理</w:t>
            </w:r>
            <w:r>
              <w:rPr>
                <w:rFonts w:hint="eastAsia"/>
              </w:rPr>
              <w:t>：</w:t>
            </w:r>
            <w:r>
              <w:rPr>
                <w:rFonts w:hint="eastAsia"/>
              </w:rPr>
              <w:t>施工队伍进场后，首先对施工作业地带内的</w:t>
            </w:r>
            <w:r>
              <w:rPr>
                <w:rFonts w:hint="eastAsia"/>
              </w:rPr>
              <w:t>表土进行清理，清除表面建筑垃圾、夯实土基、平整场地等施工准备工作，产生的建筑垃圾运往建筑垃圾消纳场进行处置。</w:t>
            </w:r>
          </w:p>
          <w:p w:rsidR="00BC07F0" w:rsidRDefault="00073EFB">
            <w:pPr>
              <w:numPr>
                <w:ilvl w:val="0"/>
                <w:numId w:val="4"/>
              </w:numPr>
              <w:ind w:firstLineChars="0"/>
            </w:pPr>
            <w:r>
              <w:rPr>
                <w:rFonts w:hint="eastAsia"/>
              </w:rPr>
              <w:t>路基施工</w:t>
            </w:r>
            <w:r>
              <w:rPr>
                <w:rFonts w:hint="eastAsia"/>
              </w:rPr>
              <w:t>：</w:t>
            </w:r>
            <w:r>
              <w:rPr>
                <w:rFonts w:hint="eastAsia"/>
              </w:rPr>
              <w:t>在清理完地表面后，应平整压实至规定要求，才可以进行填方作业。路堤应水平分填筑压实。</w:t>
            </w:r>
          </w:p>
          <w:p w:rsidR="00BC07F0" w:rsidRDefault="00073EFB">
            <w:pPr>
              <w:numPr>
                <w:ilvl w:val="0"/>
                <w:numId w:val="4"/>
              </w:numPr>
              <w:ind w:firstLineChars="0"/>
            </w:pPr>
            <w:r>
              <w:rPr>
                <w:rFonts w:hint="eastAsia"/>
              </w:rPr>
              <w:t>路面施工</w:t>
            </w:r>
            <w:r>
              <w:rPr>
                <w:rFonts w:hint="eastAsia"/>
              </w:rPr>
              <w:t>：</w:t>
            </w:r>
            <w:r>
              <w:rPr>
                <w:rFonts w:hint="eastAsia"/>
              </w:rPr>
              <w:t>拟建项目行车道底基层采用水泥稳定碎石，水泥稳定碎石采用成品混合料，用自卸汽车运输至现场，摊铺机铺筑和压路机碾压，之后再进行沥青混凝土施工。</w:t>
            </w:r>
          </w:p>
          <w:p w:rsidR="00BC07F0" w:rsidRDefault="00073EFB">
            <w:pPr>
              <w:numPr>
                <w:ilvl w:val="0"/>
                <w:numId w:val="4"/>
              </w:numPr>
              <w:ind w:firstLineChars="0"/>
            </w:pPr>
            <w:r>
              <w:rPr>
                <w:rFonts w:hint="eastAsia"/>
              </w:rPr>
              <w:t>道路附属工程</w:t>
            </w:r>
            <w:r>
              <w:rPr>
                <w:rFonts w:hint="eastAsia"/>
              </w:rPr>
              <w:t>：</w:t>
            </w:r>
            <w:r>
              <w:rPr>
                <w:rFonts w:hint="eastAsia"/>
              </w:rPr>
              <w:t>人行道施工施工工序为施工放线，地基处理，路基平整、压实，密实度大于</w:t>
            </w:r>
            <w:r>
              <w:rPr>
                <w:rFonts w:hint="eastAsia"/>
              </w:rPr>
              <w:t>0.9</w:t>
            </w:r>
            <w:r>
              <w:rPr>
                <w:rFonts w:hint="eastAsia"/>
              </w:rPr>
              <w:t>；碎石垫层，根据路段基层或底基层宽度、厚度等严格控制卸料料堆距离，卸料后</w:t>
            </w:r>
            <w:r>
              <w:rPr>
                <w:rFonts w:hint="eastAsia"/>
              </w:rPr>
              <w:t>及时用推土机摊铺，用压路机在初平路面上快速碾压，并采用平地机进行平整，再用振动压路机碾压</w:t>
            </w:r>
            <w:r>
              <w:rPr>
                <w:rFonts w:hint="eastAsia"/>
              </w:rPr>
              <w:t>4~6</w:t>
            </w:r>
            <w:r>
              <w:rPr>
                <w:rFonts w:hint="eastAsia"/>
              </w:rPr>
              <w:t>遍，碾压后用灌砂法进行压实度检测；透水砼基础，采用干硬性水泥砂浆，浇筑前用水湿润路面，浇筑后用压路机压平，之后用塑料薄膜覆盖表面，并开始洒水养护；人行道铺装混凝土透水砖。非机动车道施工施工工序为施工放线，地基处理，路基平整、压实，密实度大于</w:t>
            </w:r>
            <w:r>
              <w:rPr>
                <w:rFonts w:hint="eastAsia"/>
              </w:rPr>
              <w:t>0.9</w:t>
            </w:r>
            <w:r>
              <w:rPr>
                <w:rFonts w:hint="eastAsia"/>
              </w:rPr>
              <w:t>；碎石垫层，根据路段基层或底基层宽度、厚度等严格控制卸料料堆距离，卸料后及时用推土机摊铺，用压路机在初平路面上快速碾压，并采用平地机进行平整，再用振动压路机碾压</w:t>
            </w:r>
            <w:r>
              <w:rPr>
                <w:rFonts w:hint="eastAsia"/>
              </w:rPr>
              <w:t>4~6</w:t>
            </w:r>
            <w:r>
              <w:rPr>
                <w:rFonts w:hint="eastAsia"/>
              </w:rPr>
              <w:t>遍，碾</w:t>
            </w:r>
            <w:r>
              <w:rPr>
                <w:rFonts w:hint="eastAsia"/>
              </w:rPr>
              <w:t>压后用灌砂法进行压实度检测；透水砼基础，采用干硬性水泥砂浆，浇筑前用水湿润路面，浇筑后用压路机压平，之后用塑料薄膜覆盖表面，并开始洒水养护；非机动车道铺设透水水泥混凝土。</w:t>
            </w:r>
          </w:p>
          <w:p w:rsidR="00BC07F0" w:rsidRDefault="00073EFB" w:rsidP="00C55F5E">
            <w:pPr>
              <w:ind w:firstLine="480"/>
            </w:pPr>
            <w:r>
              <w:rPr>
                <w:rFonts w:hint="eastAsia"/>
              </w:rPr>
              <w:t>（</w:t>
            </w:r>
            <w:r>
              <w:rPr>
                <w:rFonts w:hint="eastAsia"/>
              </w:rPr>
              <w:t>2</w:t>
            </w:r>
            <w:r>
              <w:rPr>
                <w:rFonts w:hint="eastAsia"/>
              </w:rPr>
              <w:t>）</w:t>
            </w:r>
            <w:r>
              <w:rPr>
                <w:rFonts w:hint="eastAsia"/>
              </w:rPr>
              <w:t>管网工程施工方案</w:t>
            </w:r>
          </w:p>
          <w:p w:rsidR="00BC07F0" w:rsidRDefault="00073EFB" w:rsidP="00C55F5E">
            <w:pPr>
              <w:ind w:firstLine="480"/>
            </w:pPr>
            <w:r>
              <w:rPr>
                <w:rFonts w:hint="eastAsia"/>
              </w:rPr>
              <w:t>清理施工现场、管沟开挖，平整沟底；管沟组装焊接；下管；管道采用压缩空气进行试压；覆土回填；恢复地貌以及设置明显标志等</w:t>
            </w:r>
            <w:r>
              <w:rPr>
                <w:rFonts w:hint="eastAsia"/>
              </w:rPr>
              <w:t>。</w:t>
            </w:r>
          </w:p>
          <w:p w:rsidR="00BC07F0" w:rsidRDefault="00073EFB" w:rsidP="00C55F5E">
            <w:pPr>
              <w:ind w:firstLine="480"/>
            </w:pPr>
            <w:r>
              <w:rPr>
                <w:rFonts w:hint="eastAsia"/>
              </w:rPr>
              <w:t>（</w:t>
            </w:r>
            <w:r>
              <w:rPr>
                <w:rFonts w:hint="eastAsia"/>
              </w:rPr>
              <w:t>3</w:t>
            </w:r>
            <w:r>
              <w:rPr>
                <w:rFonts w:hint="eastAsia"/>
              </w:rPr>
              <w:t>）</w:t>
            </w:r>
            <w:r>
              <w:rPr>
                <w:rFonts w:hint="eastAsia"/>
              </w:rPr>
              <w:t>交通工程施工方案</w:t>
            </w:r>
          </w:p>
          <w:p w:rsidR="00BC07F0" w:rsidRDefault="00073EFB" w:rsidP="00C55F5E">
            <w:pPr>
              <w:ind w:firstLine="480"/>
            </w:pPr>
            <w:r>
              <w:rPr>
                <w:rFonts w:hint="eastAsia"/>
              </w:rPr>
              <w:t>分为交通标志、交通标线工程，施工工序为：定位放线；挖沟及埋管，管沟开挖完成后，平整沟底，敷设</w:t>
            </w:r>
            <w:r>
              <w:rPr>
                <w:rFonts w:hint="eastAsia"/>
              </w:rPr>
              <w:t>10cm</w:t>
            </w:r>
            <w:r>
              <w:rPr>
                <w:rFonts w:hint="eastAsia"/>
              </w:rPr>
              <w:t>厚石粉并压实；浇筑信号灯基础，利用钢筋混凝土基础作</w:t>
            </w:r>
            <w:r>
              <w:rPr>
                <w:rFonts w:hint="eastAsia"/>
              </w:rPr>
              <w:lastRenderedPageBreak/>
              <w:t>为接地体；敷设电缆，进行绝缘测试；信号灯、电气设备安装；进行试验、调试、自检、验收</w:t>
            </w:r>
            <w:r>
              <w:rPr>
                <w:rFonts w:hint="eastAsia"/>
              </w:rPr>
              <w:t>。</w:t>
            </w:r>
          </w:p>
          <w:p w:rsidR="00BC07F0" w:rsidRDefault="00073EFB" w:rsidP="00C55F5E">
            <w:pPr>
              <w:ind w:firstLine="480"/>
            </w:pPr>
            <w:r>
              <w:rPr>
                <w:rFonts w:hint="eastAsia"/>
              </w:rPr>
              <w:t>（</w:t>
            </w:r>
            <w:r>
              <w:rPr>
                <w:rFonts w:hint="eastAsia"/>
              </w:rPr>
              <w:t>4</w:t>
            </w:r>
            <w:r>
              <w:rPr>
                <w:rFonts w:hint="eastAsia"/>
              </w:rPr>
              <w:t>）</w:t>
            </w:r>
            <w:r>
              <w:rPr>
                <w:rFonts w:hint="eastAsia"/>
              </w:rPr>
              <w:t>照明工程</w:t>
            </w:r>
          </w:p>
          <w:p w:rsidR="00BC07F0" w:rsidRDefault="00073EFB" w:rsidP="00C55F5E">
            <w:pPr>
              <w:ind w:firstLine="480"/>
            </w:pPr>
            <w:r>
              <w:rPr>
                <w:rFonts w:hint="eastAsia"/>
              </w:rPr>
              <w:t>先定灯位，</w:t>
            </w:r>
            <w:r>
              <w:rPr>
                <w:rFonts w:hint="eastAsia"/>
              </w:rPr>
              <w:t>按设计</w:t>
            </w:r>
            <w:r>
              <w:rPr>
                <w:rFonts w:hint="eastAsia"/>
              </w:rPr>
              <w:t>间距确定路灯安装；挖沟及埋管，开挖电缆管预埋沟，预埋电缆管；浇筑路灯基础，开挖相应尺寸基坑；敷设电缆，进行绝缘测试；进行路灯、电气设备安装；试验、调试、自检、验收。</w:t>
            </w:r>
          </w:p>
          <w:p w:rsidR="00BC07F0" w:rsidRDefault="00073EFB" w:rsidP="00C55F5E">
            <w:pPr>
              <w:ind w:firstLine="482"/>
              <w:rPr>
                <w:b/>
                <w:bCs/>
              </w:rPr>
            </w:pPr>
            <w:r>
              <w:rPr>
                <w:rFonts w:hint="eastAsia"/>
                <w:b/>
                <w:bCs/>
              </w:rPr>
              <w:t>2.12</w:t>
            </w:r>
            <w:r>
              <w:rPr>
                <w:rFonts w:hint="eastAsia"/>
                <w:b/>
                <w:bCs/>
              </w:rPr>
              <w:t>幸福河支流水生态环境综合治理工程</w:t>
            </w:r>
            <w:r>
              <w:rPr>
                <w:rFonts w:hint="eastAsia"/>
                <w:b/>
                <w:bCs/>
              </w:rPr>
              <w:t>施工方案</w:t>
            </w:r>
          </w:p>
          <w:p w:rsidR="00BC07F0" w:rsidRDefault="00073EFB" w:rsidP="00C55F5E">
            <w:pPr>
              <w:ind w:firstLine="482"/>
            </w:pPr>
            <w:r>
              <w:rPr>
                <w:rFonts w:hint="eastAsia"/>
                <w:b/>
                <w:bCs/>
              </w:rPr>
              <w:t>2.12.1</w:t>
            </w:r>
            <w:r>
              <w:rPr>
                <w:rFonts w:hint="eastAsia"/>
                <w:b/>
                <w:bCs/>
              </w:rPr>
              <w:t>生态护坡</w:t>
            </w:r>
          </w:p>
          <w:p w:rsidR="00BC07F0" w:rsidRDefault="00073EFB" w:rsidP="00C55F5E">
            <w:pPr>
              <w:ind w:firstLine="480"/>
            </w:pPr>
            <w:r>
              <w:rPr>
                <w:rFonts w:hint="eastAsia"/>
              </w:rPr>
              <w:t>生态护坡工程治理范围上起衡桂铁路箱涵，下至幸福河入汇口箱涵，流经蒸阳南路两处箱涵，治理长度约为</w:t>
            </w:r>
            <w:r>
              <w:rPr>
                <w:rFonts w:hint="eastAsia"/>
              </w:rPr>
              <w:t>1.83km</w:t>
            </w:r>
            <w:r>
              <w:rPr>
                <w:rFonts w:hint="eastAsia"/>
              </w:rPr>
              <w:t>，工程左右岸新修护岸总长约</w:t>
            </w:r>
            <w:r>
              <w:rPr>
                <w:rFonts w:hint="eastAsia"/>
              </w:rPr>
              <w:t>3.67km</w:t>
            </w:r>
            <w:r>
              <w:rPr>
                <w:rFonts w:hint="eastAsia"/>
              </w:rPr>
              <w:t>，其中左岸护岸长约</w:t>
            </w:r>
            <w:r>
              <w:rPr>
                <w:rFonts w:hint="eastAsia"/>
              </w:rPr>
              <w:t>1.84km</w:t>
            </w:r>
            <w:r>
              <w:rPr>
                <w:rFonts w:hint="eastAsia"/>
              </w:rPr>
              <w:t>，右岸护岸长约</w:t>
            </w:r>
            <w:r>
              <w:rPr>
                <w:rFonts w:hint="eastAsia"/>
              </w:rPr>
              <w:t>1.83km</w:t>
            </w:r>
            <w:r>
              <w:rPr>
                <w:rFonts w:hint="eastAsia"/>
              </w:rPr>
              <w:t>，工程按</w:t>
            </w:r>
            <w:r>
              <w:rPr>
                <w:rFonts w:hint="eastAsia"/>
              </w:rPr>
              <w:t>20</w:t>
            </w:r>
            <w:r>
              <w:rPr>
                <w:rFonts w:hint="eastAsia"/>
              </w:rPr>
              <w:t>年一遇洪水设计，相应洪峰流量为</w:t>
            </w:r>
            <w:r>
              <w:rPr>
                <w:rFonts w:hint="eastAsia"/>
              </w:rPr>
              <w:t>93m</w:t>
            </w:r>
            <w:r>
              <w:rPr>
                <w:rFonts w:hint="eastAsia"/>
                <w:vertAlign w:val="superscript"/>
              </w:rPr>
              <w:t>3</w:t>
            </w:r>
            <w:r>
              <w:rPr>
                <w:rFonts w:hint="eastAsia"/>
              </w:rPr>
              <w:t>/s</w:t>
            </w:r>
            <w:r>
              <w:rPr>
                <w:rFonts w:hint="eastAsia"/>
              </w:rPr>
              <w:t>，堤防工程级别为</w:t>
            </w:r>
            <w:r>
              <w:rPr>
                <w:rFonts w:hint="eastAsia"/>
              </w:rPr>
              <w:t>4</w:t>
            </w:r>
            <w:r>
              <w:rPr>
                <w:rFonts w:hint="eastAsia"/>
              </w:rPr>
              <w:t>级。河段需进行河道疏浚，清淤量</w:t>
            </w:r>
            <w:r>
              <w:rPr>
                <w:rFonts w:hint="eastAsia"/>
              </w:rPr>
              <w:t>19768m</w:t>
            </w:r>
            <w:r>
              <w:rPr>
                <w:rFonts w:hint="eastAsia"/>
                <w:vertAlign w:val="superscript"/>
              </w:rPr>
              <w:t>3</w:t>
            </w:r>
            <w:r>
              <w:rPr>
                <w:rFonts w:hint="eastAsia"/>
              </w:rPr>
              <w:t>。</w:t>
            </w:r>
          </w:p>
          <w:p w:rsidR="00BC07F0" w:rsidRDefault="00073EFB" w:rsidP="00C55F5E">
            <w:pPr>
              <w:ind w:firstLine="480"/>
            </w:pPr>
            <w:r>
              <w:rPr>
                <w:rFonts w:hint="eastAsia"/>
              </w:rPr>
              <w:t>首先应对建基面进行清基，清基厚度不小于</w:t>
            </w:r>
            <w:r>
              <w:rPr>
                <w:rFonts w:hint="eastAsia"/>
              </w:rPr>
              <w:t>0.3m</w:t>
            </w:r>
            <w:r>
              <w:rPr>
                <w:rFonts w:hint="eastAsia"/>
              </w:rPr>
              <w:t>，</w:t>
            </w:r>
            <w:r>
              <w:rPr>
                <w:rFonts w:hint="eastAsia"/>
              </w:rPr>
              <w:t>应确保将人工杂填土、粉土、杂草和淤泥等彻底清除。</w:t>
            </w:r>
            <w:r>
              <w:rPr>
                <w:rFonts w:hint="eastAsia"/>
              </w:rPr>
              <w:t>清基后应对基础底面进行压实、整平，方可进行堤身填筑。夯填土、回填土均应分层压实。</w:t>
            </w:r>
          </w:p>
          <w:p w:rsidR="00BC07F0" w:rsidRDefault="00073EFB" w:rsidP="00C55F5E">
            <w:pPr>
              <w:ind w:firstLine="480"/>
            </w:pPr>
            <w:r>
              <w:rPr>
                <w:rFonts w:hint="eastAsia"/>
              </w:rPr>
              <w:t>蜂巢网格护坡与</w:t>
            </w:r>
            <w:r>
              <w:rPr>
                <w:rFonts w:hint="eastAsia"/>
              </w:rPr>
              <w:t>浆砌石护脚连接处理</w:t>
            </w:r>
            <w:r>
              <w:rPr>
                <w:rFonts w:hint="eastAsia"/>
              </w:rPr>
              <w:t>为</w:t>
            </w:r>
            <w:r>
              <w:rPr>
                <w:rFonts w:hint="eastAsia"/>
              </w:rPr>
              <w:t>护坡与浆砌石基础内侧搭接</w:t>
            </w:r>
            <w:r>
              <w:rPr>
                <w:rFonts w:hint="eastAsia"/>
              </w:rPr>
              <w:t>0.8m</w:t>
            </w:r>
            <w:r>
              <w:rPr>
                <w:rFonts w:hint="eastAsia"/>
              </w:rPr>
              <w:t>，并在浆砌石护脚预埋一根专用锚杆，深入护脚长度不小于</w:t>
            </w:r>
            <w:r>
              <w:rPr>
                <w:rFonts w:hint="eastAsia"/>
              </w:rPr>
              <w:t>0.5m</w:t>
            </w:r>
            <w:r>
              <w:rPr>
                <w:rFonts w:hint="eastAsia"/>
              </w:rPr>
              <w:t>。</w:t>
            </w:r>
          </w:p>
          <w:p w:rsidR="00BC07F0" w:rsidRDefault="00073EFB" w:rsidP="00C55F5E">
            <w:pPr>
              <w:ind w:firstLine="480"/>
            </w:pPr>
            <w:r>
              <w:rPr>
                <w:rFonts w:hint="eastAsia"/>
              </w:rPr>
              <w:t>工程施工</w:t>
            </w:r>
            <w:r>
              <w:rPr>
                <w:rFonts w:hint="eastAsia"/>
              </w:rPr>
              <w:t>时</w:t>
            </w:r>
            <w:r>
              <w:rPr>
                <w:rFonts w:hint="eastAsia"/>
              </w:rPr>
              <w:t>严格按照《堤是防工程施工规范》</w:t>
            </w:r>
            <w:r>
              <w:rPr>
                <w:rFonts w:hint="eastAsia"/>
              </w:rPr>
              <w:t>(SL2E1-2014)</w:t>
            </w:r>
            <w:r>
              <w:rPr>
                <w:rFonts w:hint="eastAsia"/>
              </w:rPr>
              <w:t>、《土工合成材料短纤针刺非织造土工布》</w:t>
            </w:r>
            <w:r>
              <w:rPr>
                <w:rFonts w:hint="eastAsia"/>
              </w:rPr>
              <w:t>GB/T17638-2017</w:t>
            </w:r>
            <w:r>
              <w:rPr>
                <w:rFonts w:hint="eastAsia"/>
              </w:rPr>
              <w:t>、《砌体结构工程施工规范》（</w:t>
            </w:r>
            <w:r>
              <w:rPr>
                <w:rFonts w:hint="eastAsia"/>
              </w:rPr>
              <w:t>GB50924-2014</w:t>
            </w:r>
            <w:r>
              <w:rPr>
                <w:rFonts w:hint="eastAsia"/>
              </w:rPr>
              <w:t>）等相关规范规定执行。</w:t>
            </w:r>
          </w:p>
          <w:p w:rsidR="00BC07F0" w:rsidRDefault="00073EFB" w:rsidP="00C55F5E">
            <w:pPr>
              <w:ind w:firstLine="482"/>
              <w:rPr>
                <w:b/>
                <w:bCs/>
              </w:rPr>
            </w:pPr>
            <w:r>
              <w:rPr>
                <w:rFonts w:hint="eastAsia"/>
                <w:b/>
                <w:bCs/>
              </w:rPr>
              <w:t>2.12.2</w:t>
            </w:r>
            <w:r>
              <w:rPr>
                <w:rFonts w:hint="eastAsia"/>
                <w:b/>
                <w:bCs/>
              </w:rPr>
              <w:t>液压坝</w:t>
            </w:r>
          </w:p>
          <w:p w:rsidR="00BC07F0" w:rsidRDefault="00073EFB" w:rsidP="00C55F5E">
            <w:pPr>
              <w:ind w:firstLine="480"/>
            </w:pPr>
            <w:r>
              <w:rPr>
                <w:rFonts w:hint="eastAsia"/>
              </w:rPr>
              <w:t>新建液压坝一座，坝长</w:t>
            </w:r>
            <w:r>
              <w:rPr>
                <w:rFonts w:hint="eastAsia"/>
              </w:rPr>
              <w:t>16.5m</w:t>
            </w:r>
            <w:r>
              <w:rPr>
                <w:rFonts w:hint="eastAsia"/>
              </w:rPr>
              <w:t>，高</w:t>
            </w:r>
            <w:r>
              <w:rPr>
                <w:rFonts w:hint="eastAsia"/>
              </w:rPr>
              <w:t>2.5m</w:t>
            </w:r>
            <w:r>
              <w:rPr>
                <w:rFonts w:hint="eastAsia"/>
              </w:rPr>
              <w:t>，采用主要材料：液压坝坝底板及其边墙采用</w:t>
            </w:r>
            <w:r>
              <w:rPr>
                <w:rFonts w:hint="eastAsia"/>
              </w:rPr>
              <w:t>C30</w:t>
            </w:r>
            <w:r>
              <w:rPr>
                <w:rFonts w:hint="eastAsia"/>
              </w:rPr>
              <w:t>等级，其余部位采用</w:t>
            </w:r>
            <w:r>
              <w:rPr>
                <w:rFonts w:hint="eastAsia"/>
              </w:rPr>
              <w:t>C25</w:t>
            </w:r>
            <w:r>
              <w:rPr>
                <w:rFonts w:hint="eastAsia"/>
              </w:rPr>
              <w:t>论，砼抗渗等级均为</w:t>
            </w:r>
            <w:r>
              <w:rPr>
                <w:rFonts w:hint="eastAsia"/>
              </w:rPr>
              <w:t>4</w:t>
            </w:r>
            <w:r>
              <w:rPr>
                <w:rFonts w:hint="eastAsia"/>
              </w:rPr>
              <w:t>，砼垫层采用</w:t>
            </w:r>
            <w:r>
              <w:rPr>
                <w:rFonts w:hint="eastAsia"/>
              </w:rPr>
              <w:t>C20</w:t>
            </w:r>
            <w:r>
              <w:rPr>
                <w:rFonts w:hint="eastAsia"/>
              </w:rPr>
              <w:t>等级；上下游防冲采用</w:t>
            </w:r>
            <w:r>
              <w:rPr>
                <w:rFonts w:hint="eastAsia"/>
              </w:rPr>
              <w:t>格宾笼石。钢筋砼铺盖及块石砼海漫基础底深入基岩以下不小于</w:t>
            </w:r>
            <w:r>
              <w:rPr>
                <w:rFonts w:hint="eastAsia"/>
              </w:rPr>
              <w:t>1.0m</w:t>
            </w:r>
            <w:r>
              <w:rPr>
                <w:rFonts w:hint="eastAsia"/>
              </w:rPr>
              <w:t>。</w:t>
            </w:r>
          </w:p>
          <w:p w:rsidR="00BC07F0" w:rsidRDefault="00073EFB">
            <w:pPr>
              <w:numPr>
                <w:ilvl w:val="0"/>
                <w:numId w:val="5"/>
              </w:numPr>
              <w:ind w:left="0" w:firstLineChars="0" w:firstLine="420"/>
            </w:pPr>
            <w:r>
              <w:rPr>
                <w:rFonts w:hint="eastAsia"/>
              </w:rPr>
              <w:t>首先应对建基面进行清基，清基厚度不小于</w:t>
            </w:r>
            <w:r>
              <w:rPr>
                <w:rFonts w:hint="eastAsia"/>
              </w:rPr>
              <w:t>0.3m</w:t>
            </w:r>
            <w:r>
              <w:rPr>
                <w:rFonts w:hint="eastAsia"/>
              </w:rPr>
              <w:t>，</w:t>
            </w:r>
            <w:r>
              <w:rPr>
                <w:rFonts w:hint="eastAsia"/>
              </w:rPr>
              <w:t>应确保将人工杂填土、粉土、杂草和淤泥等彻底清除。</w:t>
            </w:r>
          </w:p>
          <w:p w:rsidR="00BC07F0" w:rsidRDefault="00073EFB">
            <w:pPr>
              <w:numPr>
                <w:ilvl w:val="0"/>
                <w:numId w:val="5"/>
              </w:numPr>
              <w:ind w:left="0" w:firstLineChars="0" w:firstLine="420"/>
            </w:pPr>
            <w:r>
              <w:rPr>
                <w:rFonts w:hint="eastAsia"/>
              </w:rPr>
              <w:t>液压坝范围内基础应进行碎石换填，处理深度为基础底面高程至基岩顶面，夯填相对密度不小于</w:t>
            </w:r>
            <w:r>
              <w:rPr>
                <w:rFonts w:hint="eastAsia"/>
              </w:rPr>
              <w:t>0.75</w:t>
            </w:r>
            <w:r>
              <w:rPr>
                <w:rFonts w:hint="eastAsia"/>
              </w:rPr>
              <w:t>，</w:t>
            </w:r>
            <w:r>
              <w:rPr>
                <w:rFonts w:hint="eastAsia"/>
              </w:rPr>
              <w:t>承载力不小于</w:t>
            </w:r>
            <w:r>
              <w:rPr>
                <w:rFonts w:hint="eastAsia"/>
              </w:rPr>
              <w:t>200kpa</w:t>
            </w:r>
            <w:r>
              <w:rPr>
                <w:rFonts w:hint="eastAsia"/>
              </w:rPr>
              <w:t>。</w:t>
            </w:r>
          </w:p>
          <w:p w:rsidR="00BC07F0" w:rsidRDefault="00073EFB">
            <w:pPr>
              <w:numPr>
                <w:ilvl w:val="0"/>
                <w:numId w:val="5"/>
              </w:numPr>
              <w:ind w:left="0" w:firstLineChars="0" w:firstLine="420"/>
            </w:pPr>
            <w:r>
              <w:rPr>
                <w:rFonts w:hint="eastAsia"/>
              </w:rPr>
              <w:t>浆砌石挡墙扭面每</w:t>
            </w:r>
            <w:r>
              <w:rPr>
                <w:rFonts w:hint="eastAsia"/>
              </w:rPr>
              <w:t>10m</w:t>
            </w:r>
            <w:r>
              <w:rPr>
                <w:rFonts w:hint="eastAsia"/>
              </w:rPr>
              <w:t>设伸缩缝，缝内填聚乙烯闭孔泡沫板。块石砼埋石率不</w:t>
            </w:r>
            <w:r>
              <w:rPr>
                <w:rFonts w:hint="eastAsia"/>
              </w:rPr>
              <w:lastRenderedPageBreak/>
              <w:t>得超过</w:t>
            </w:r>
            <w:r>
              <w:rPr>
                <w:rFonts w:hint="eastAsia"/>
              </w:rPr>
              <w:t>25%</w:t>
            </w:r>
            <w:r>
              <w:rPr>
                <w:rFonts w:hint="eastAsia"/>
              </w:rPr>
              <w:t>，</w:t>
            </w:r>
            <w:r>
              <w:rPr>
                <w:rFonts w:hint="eastAsia"/>
              </w:rPr>
              <w:t>应选取新鲜坚硬无风化岩石，粒径为</w:t>
            </w:r>
            <w:r>
              <w:rPr>
                <w:rFonts w:hint="eastAsia"/>
              </w:rPr>
              <w:t>15~30cm</w:t>
            </w:r>
            <w:r>
              <w:rPr>
                <w:rFonts w:hint="eastAsia"/>
              </w:rPr>
              <w:t>。消力池底板排水管采用</w:t>
            </w:r>
            <w:r>
              <w:rPr>
                <w:rFonts w:hint="eastAsia"/>
              </w:rPr>
              <w:t>DN50PVC</w:t>
            </w:r>
            <w:r>
              <w:rPr>
                <w:rFonts w:hint="eastAsia"/>
              </w:rPr>
              <w:t>管，按梅花型布置，间排距为</w:t>
            </w:r>
            <w:r>
              <w:rPr>
                <w:rFonts w:hint="eastAsia"/>
              </w:rPr>
              <w:t>1.5m</w:t>
            </w:r>
            <w:r>
              <w:rPr>
                <w:rFonts w:hint="eastAsia"/>
              </w:rPr>
              <w:t>×</w:t>
            </w:r>
            <w:r>
              <w:rPr>
                <w:rFonts w:hint="eastAsia"/>
              </w:rPr>
              <w:t>1.5m</w:t>
            </w:r>
            <w:r>
              <w:rPr>
                <w:rFonts w:hint="eastAsia"/>
              </w:rPr>
              <w:t>，</w:t>
            </w:r>
            <w:r>
              <w:rPr>
                <w:rFonts w:hint="eastAsia"/>
              </w:rPr>
              <w:t>共</w:t>
            </w:r>
            <w:r>
              <w:rPr>
                <w:rFonts w:hint="eastAsia"/>
              </w:rPr>
              <w:t>3</w:t>
            </w:r>
            <w:r>
              <w:rPr>
                <w:rFonts w:hint="eastAsia"/>
              </w:rPr>
              <w:t>排。消力</w:t>
            </w:r>
            <w:r>
              <w:rPr>
                <w:rFonts w:hint="eastAsia"/>
              </w:rPr>
              <w:t>池至海漫段挡墙后设置</w:t>
            </w:r>
          </w:p>
          <w:p w:rsidR="00BC07F0" w:rsidRDefault="00073EFB">
            <w:pPr>
              <w:numPr>
                <w:ilvl w:val="0"/>
                <w:numId w:val="5"/>
              </w:numPr>
              <w:ind w:left="0" w:firstLineChars="0" w:firstLine="420"/>
            </w:pPr>
            <w:r>
              <w:rPr>
                <w:rFonts w:hint="eastAsia"/>
              </w:rPr>
              <w:t>DN50PVC</w:t>
            </w:r>
            <w:r>
              <w:rPr>
                <w:rFonts w:hint="eastAsia"/>
              </w:rPr>
              <w:t>排水管，间距</w:t>
            </w:r>
            <w:r>
              <w:rPr>
                <w:rFonts w:hint="eastAsia"/>
              </w:rPr>
              <w:t>1.5m</w:t>
            </w:r>
            <w:r>
              <w:rPr>
                <w:rFonts w:hint="eastAsia"/>
              </w:rPr>
              <w:t>，</w:t>
            </w:r>
            <w:r>
              <w:rPr>
                <w:rFonts w:hint="eastAsia"/>
              </w:rPr>
              <w:t>共两排，排水管末端包裹土工布反滤。排水管管口向临水侧倾斜，斜率不小于</w:t>
            </w:r>
            <w:r>
              <w:rPr>
                <w:rFonts w:hint="eastAsia"/>
              </w:rPr>
              <w:t>3%</w:t>
            </w:r>
            <w:r>
              <w:rPr>
                <w:rFonts w:hint="eastAsia"/>
              </w:rPr>
              <w:t>。钢筋砼挡墙之间分缝内夹</w:t>
            </w:r>
            <w:r>
              <w:rPr>
                <w:rFonts w:hint="eastAsia"/>
              </w:rPr>
              <w:t>651</w:t>
            </w:r>
            <w:r>
              <w:rPr>
                <w:rFonts w:hint="eastAsia"/>
              </w:rPr>
              <w:t>型橡胶止水带，钢筋砼挡墙与浆砌石挡墙之间分缝内夹膨胀橡胶止水条。</w:t>
            </w:r>
          </w:p>
          <w:p w:rsidR="00BC07F0" w:rsidRDefault="00073EFB">
            <w:pPr>
              <w:numPr>
                <w:ilvl w:val="0"/>
                <w:numId w:val="5"/>
              </w:numPr>
              <w:ind w:left="0" w:firstLineChars="0" w:firstLine="420"/>
            </w:pPr>
            <w:r>
              <w:rPr>
                <w:rFonts w:hint="eastAsia"/>
              </w:rPr>
              <w:t>液压坝段上、下游与疏浚后的河道平顺衔接，部分塌坝以保证液压坝坝顶溢流水深小于</w:t>
            </w:r>
            <w:r>
              <w:rPr>
                <w:rFonts w:hint="eastAsia"/>
              </w:rPr>
              <w:t>0.3m</w:t>
            </w:r>
            <w:r>
              <w:rPr>
                <w:rFonts w:hint="eastAsia"/>
              </w:rPr>
              <w:t>。</w:t>
            </w:r>
          </w:p>
          <w:p w:rsidR="00BC07F0" w:rsidRDefault="00073EFB" w:rsidP="00C55F5E">
            <w:pPr>
              <w:ind w:firstLine="480"/>
            </w:pPr>
            <w:r>
              <w:rPr>
                <w:rFonts w:hint="eastAsia"/>
              </w:rPr>
              <w:t>施工时严格按照《堤防工程施工规范》</w:t>
            </w:r>
            <w:r>
              <w:rPr>
                <w:rFonts w:hint="eastAsia"/>
              </w:rPr>
              <w:t>(SL260-2014)</w:t>
            </w:r>
            <w:r>
              <w:rPr>
                <w:rFonts w:hint="eastAsia"/>
              </w:rPr>
              <w:t>、《水工混凝土施工规范》</w:t>
            </w:r>
            <w:r>
              <w:rPr>
                <w:rFonts w:hint="eastAsia"/>
              </w:rPr>
              <w:t>SL677-2014</w:t>
            </w:r>
            <w:r>
              <w:rPr>
                <w:rFonts w:hint="eastAsia"/>
              </w:rPr>
              <w:t>、《水工混凝土钢筋施工规范》</w:t>
            </w:r>
            <w:r>
              <w:rPr>
                <w:rFonts w:hint="eastAsia"/>
              </w:rPr>
              <w:t>DL/T5169-2013</w:t>
            </w:r>
            <w:r>
              <w:rPr>
                <w:rFonts w:hint="eastAsia"/>
              </w:rPr>
              <w:t>、《砌体结构工程施工规范》</w:t>
            </w:r>
            <w:r>
              <w:rPr>
                <w:rFonts w:hint="eastAsia"/>
              </w:rPr>
              <w:t>(GB50924</w:t>
            </w:r>
            <w:r>
              <w:rPr>
                <w:rFonts w:hint="eastAsia"/>
              </w:rPr>
              <w:t>-2014)</w:t>
            </w:r>
            <w:r>
              <w:rPr>
                <w:rFonts w:hint="eastAsia"/>
              </w:rPr>
              <w:t>、《水利水电工程土工合成材料应用技术规范》</w:t>
            </w:r>
            <w:r>
              <w:rPr>
                <w:rFonts w:hint="eastAsia"/>
              </w:rPr>
              <w:t>(SL/T225-98)</w:t>
            </w:r>
            <w:r>
              <w:rPr>
                <w:rFonts w:hint="eastAsia"/>
              </w:rPr>
              <w:t>等相关规范执行。</w:t>
            </w:r>
          </w:p>
          <w:p w:rsidR="00BC07F0" w:rsidRDefault="00073EFB" w:rsidP="00C55F5E">
            <w:pPr>
              <w:ind w:firstLine="482"/>
              <w:rPr>
                <w:b/>
                <w:bCs/>
              </w:rPr>
            </w:pPr>
            <w:r>
              <w:rPr>
                <w:rFonts w:hint="eastAsia"/>
                <w:b/>
                <w:bCs/>
              </w:rPr>
              <w:t>2.1.3</w:t>
            </w:r>
            <w:r>
              <w:rPr>
                <w:rFonts w:hint="eastAsia"/>
                <w:b/>
                <w:bCs/>
              </w:rPr>
              <w:t>清淤工程</w:t>
            </w:r>
          </w:p>
          <w:p w:rsidR="00BC07F0" w:rsidRDefault="00073EFB" w:rsidP="00C55F5E">
            <w:pPr>
              <w:ind w:firstLine="480"/>
            </w:pPr>
            <w:r>
              <w:rPr>
                <w:rFonts w:hint="eastAsia"/>
              </w:rPr>
              <w:t>本项目拟采用抓斗式挖泥机清淤方式，在非雨日进行挖掘施工，一年按</w:t>
            </w:r>
            <w:r>
              <w:rPr>
                <w:rFonts w:hint="eastAsia"/>
              </w:rPr>
              <w:t xml:space="preserve">200d </w:t>
            </w:r>
            <w:r>
              <w:rPr>
                <w:rFonts w:hint="eastAsia"/>
              </w:rPr>
              <w:t>计，一天工作</w:t>
            </w:r>
            <w:r>
              <w:rPr>
                <w:rFonts w:hint="eastAsia"/>
              </w:rPr>
              <w:t>10h</w:t>
            </w:r>
            <w:r>
              <w:rPr>
                <w:rFonts w:hint="eastAsia"/>
              </w:rPr>
              <w:t>。</w:t>
            </w:r>
          </w:p>
          <w:p w:rsidR="00BC07F0" w:rsidRDefault="00073EFB">
            <w:pPr>
              <w:numPr>
                <w:ilvl w:val="0"/>
                <w:numId w:val="6"/>
              </w:numPr>
              <w:ind w:firstLineChars="0"/>
            </w:pPr>
            <w:r>
              <w:rPr>
                <w:rFonts w:hint="eastAsia"/>
              </w:rPr>
              <w:t>测量放样：根据河流剖面图标高及周边地面实际标高，现场放出路基的边线、坡脚线等位置；</w:t>
            </w:r>
          </w:p>
          <w:p w:rsidR="00BC07F0" w:rsidRDefault="00073EFB">
            <w:pPr>
              <w:numPr>
                <w:ilvl w:val="0"/>
                <w:numId w:val="6"/>
              </w:numPr>
              <w:ind w:firstLineChars="0"/>
            </w:pPr>
            <w:r>
              <w:rPr>
                <w:rFonts w:hint="eastAsia"/>
              </w:rPr>
              <w:t>围堰：根据施工放样情况用围堰板围堰，然后用抽水泵将河水抽出围堰外。</w:t>
            </w:r>
          </w:p>
          <w:p w:rsidR="00BC07F0" w:rsidRDefault="00073EFB">
            <w:pPr>
              <w:numPr>
                <w:ilvl w:val="0"/>
                <w:numId w:val="6"/>
              </w:numPr>
              <w:ind w:firstLineChars="0"/>
            </w:pPr>
            <w:r>
              <w:rPr>
                <w:rFonts w:hint="eastAsia"/>
              </w:rPr>
              <w:t>清淤：利用挖掘机进行挖掘清淤，然后采用运输车将淤泥运输至排泥场，运输车采取四周密闭措施，防止二次污染。</w:t>
            </w:r>
          </w:p>
          <w:p w:rsidR="00BC07F0" w:rsidRDefault="00073EFB">
            <w:pPr>
              <w:numPr>
                <w:ilvl w:val="0"/>
                <w:numId w:val="6"/>
              </w:numPr>
              <w:ind w:firstLineChars="0"/>
            </w:pPr>
            <w:r>
              <w:rPr>
                <w:rFonts w:hint="eastAsia"/>
              </w:rPr>
              <w:t>质量控制：根据测绘的高程控制点，在施工河道边上的挡墙上设置控制点，在每天清淤开始前测量出应当开挖的深度，以利于高程控制，防止高程偏差或盲挖。</w:t>
            </w:r>
          </w:p>
          <w:p w:rsidR="00BC07F0" w:rsidRDefault="00073EFB">
            <w:pPr>
              <w:numPr>
                <w:ilvl w:val="0"/>
                <w:numId w:val="6"/>
              </w:numPr>
              <w:ind w:firstLineChars="0"/>
            </w:pPr>
            <w:r>
              <w:rPr>
                <w:rFonts w:hint="eastAsia"/>
              </w:rPr>
              <w:t>排泥场控制及余水处理：淤泥经挖掘后，由汽车运输至排泥场内，为防止泥浆四溢污染周边道路，须在指定的排泥场周围制作顶宽超过</w:t>
            </w:r>
            <w:r>
              <w:rPr>
                <w:rFonts w:hint="eastAsia"/>
              </w:rPr>
              <w:t xml:space="preserve">1m </w:t>
            </w:r>
            <w:r>
              <w:rPr>
                <w:rFonts w:hint="eastAsia"/>
              </w:rPr>
              <w:t>的土围堰，围堰填筑尽量采用附近土料，要求顶标高不得超过边上的人行道。在排泥场的外侧制作沉淀池，保证排出沉淀池的水等同于河流水质。</w:t>
            </w:r>
          </w:p>
          <w:p w:rsidR="00BC07F0" w:rsidRDefault="00073EFB" w:rsidP="00C55F5E">
            <w:pPr>
              <w:ind w:firstLine="482"/>
              <w:rPr>
                <w:b/>
                <w:bCs/>
              </w:rPr>
            </w:pPr>
            <w:r>
              <w:rPr>
                <w:rFonts w:hint="eastAsia"/>
                <w:b/>
                <w:bCs/>
              </w:rPr>
              <w:t>2.13</w:t>
            </w:r>
            <w:r>
              <w:rPr>
                <w:rFonts w:hint="eastAsia"/>
                <w:b/>
                <w:bCs/>
              </w:rPr>
              <w:t>铜桥港湿地公园工程</w:t>
            </w:r>
            <w:r>
              <w:rPr>
                <w:rFonts w:hint="eastAsia"/>
                <w:b/>
                <w:bCs/>
              </w:rPr>
              <w:t>施工方案</w:t>
            </w:r>
          </w:p>
          <w:p w:rsidR="00BC07F0" w:rsidRDefault="00073EFB" w:rsidP="00C55F5E">
            <w:pPr>
              <w:ind w:firstLine="480"/>
            </w:pPr>
            <w:r>
              <w:rPr>
                <w:rFonts w:hint="eastAsia"/>
              </w:rPr>
              <w:t>铜桥港湿地公园工程人工湿地主要是主要是表面流人工湿地，总用地面积</w:t>
            </w:r>
            <w:r>
              <w:rPr>
                <w:rFonts w:hint="eastAsia"/>
              </w:rPr>
              <w:t>135385.4</w:t>
            </w:r>
            <w:r>
              <w:rPr>
                <w:rFonts w:hint="eastAsia"/>
              </w:rPr>
              <w:t>4m</w:t>
            </w:r>
            <w:r>
              <w:rPr>
                <w:rFonts w:hint="eastAsia"/>
                <w:vertAlign w:val="superscript"/>
              </w:rPr>
              <w:t>2</w:t>
            </w:r>
            <w:r>
              <w:rPr>
                <w:rFonts w:hint="eastAsia"/>
              </w:rPr>
              <w:t>，其中水体用地面积</w:t>
            </w:r>
            <w:r>
              <w:rPr>
                <w:rFonts w:hint="eastAsia"/>
              </w:rPr>
              <w:t>56661.26m</w:t>
            </w:r>
            <w:r>
              <w:rPr>
                <w:rFonts w:hint="eastAsia"/>
                <w:vertAlign w:val="superscript"/>
              </w:rPr>
              <w:t>2</w:t>
            </w:r>
            <w:r>
              <w:rPr>
                <w:rFonts w:hint="eastAsia"/>
              </w:rPr>
              <w:t>，陆地用地面积</w:t>
            </w:r>
            <w:r>
              <w:rPr>
                <w:rFonts w:hint="eastAsia"/>
              </w:rPr>
              <w:t>78724.18m</w:t>
            </w:r>
            <w:r>
              <w:rPr>
                <w:rFonts w:hint="eastAsia"/>
                <w:vertAlign w:val="superscript"/>
              </w:rPr>
              <w:t>2</w:t>
            </w:r>
            <w:r>
              <w:rPr>
                <w:rFonts w:hint="eastAsia"/>
              </w:rPr>
              <w:t>，主要功能是</w:t>
            </w:r>
            <w:r>
              <w:rPr>
                <w:rFonts w:hint="eastAsia"/>
              </w:rPr>
              <w:lastRenderedPageBreak/>
              <w:t>深度净化衡阳市铜桥港污水处理厂尾水和中水再利用，洪水期污水厂尾水不排入湿地，工程不新建排污口。配套建筑包括管理用房占地面积</w:t>
            </w:r>
            <w:r>
              <w:rPr>
                <w:rFonts w:hint="eastAsia"/>
              </w:rPr>
              <w:t>260.62m</w:t>
            </w:r>
            <w:r>
              <w:rPr>
                <w:rFonts w:hint="eastAsia"/>
                <w:vertAlign w:val="superscript"/>
              </w:rPr>
              <w:t>2</w:t>
            </w:r>
            <w:r>
              <w:rPr>
                <w:rFonts w:hint="eastAsia"/>
              </w:rPr>
              <w:t>，休闲厅</w:t>
            </w:r>
            <w:r>
              <w:rPr>
                <w:rFonts w:hint="eastAsia"/>
              </w:rPr>
              <w:t>+</w:t>
            </w:r>
            <w:r>
              <w:rPr>
                <w:rFonts w:hint="eastAsia"/>
              </w:rPr>
              <w:t>公厕</w:t>
            </w:r>
            <w:r>
              <w:rPr>
                <w:rFonts w:hint="eastAsia"/>
              </w:rPr>
              <w:t>297.92m</w:t>
            </w:r>
            <w:r>
              <w:rPr>
                <w:rFonts w:hint="eastAsia"/>
                <w:vertAlign w:val="superscript"/>
              </w:rPr>
              <w:t>2</w:t>
            </w:r>
            <w:r>
              <w:rPr>
                <w:rFonts w:hint="eastAsia"/>
              </w:rPr>
              <w:t>，休闲书吧</w:t>
            </w:r>
            <w:r>
              <w:rPr>
                <w:rFonts w:hint="eastAsia"/>
              </w:rPr>
              <w:t>296.44m</w:t>
            </w:r>
            <w:r>
              <w:rPr>
                <w:rFonts w:hint="eastAsia"/>
                <w:vertAlign w:val="superscript"/>
              </w:rPr>
              <w:t>2</w:t>
            </w:r>
            <w:r>
              <w:rPr>
                <w:rFonts w:hint="eastAsia"/>
              </w:rPr>
              <w:t>，湿地科普馆</w:t>
            </w:r>
            <w:r>
              <w:rPr>
                <w:rFonts w:hint="eastAsia"/>
              </w:rPr>
              <w:t>1117.44m</w:t>
            </w:r>
            <w:r>
              <w:rPr>
                <w:rFonts w:hint="eastAsia"/>
                <w:vertAlign w:val="superscript"/>
              </w:rPr>
              <w:t>2</w:t>
            </w:r>
            <w:r>
              <w:rPr>
                <w:rFonts w:hint="eastAsia"/>
              </w:rPr>
              <w:t>，观景厅</w:t>
            </w:r>
            <w:r>
              <w:rPr>
                <w:rFonts w:hint="eastAsia"/>
              </w:rPr>
              <w:t>249m</w:t>
            </w:r>
            <w:r>
              <w:rPr>
                <w:rFonts w:hint="eastAsia"/>
                <w:vertAlign w:val="superscript"/>
              </w:rPr>
              <w:t>2</w:t>
            </w:r>
            <w:r>
              <w:rPr>
                <w:rFonts w:hint="eastAsia"/>
              </w:rPr>
              <w:t>。</w:t>
            </w:r>
          </w:p>
          <w:p w:rsidR="00BC07F0" w:rsidRDefault="00073EFB" w:rsidP="00C55F5E">
            <w:pPr>
              <w:ind w:firstLine="480"/>
            </w:pPr>
            <w:r>
              <w:rPr>
                <w:rFonts w:hint="eastAsia"/>
              </w:rPr>
              <w:t>表面流人工湿地系统类似于天然沼泽湿地，具有底泥，水面暴露于大气，污水在人工湿地床体的表层流动，水位较浅，一般在</w:t>
            </w:r>
            <w:r>
              <w:rPr>
                <w:rFonts w:hint="eastAsia"/>
              </w:rPr>
              <w:t xml:space="preserve"> 0.1~0.6m </w:t>
            </w:r>
            <w:r>
              <w:rPr>
                <w:rFonts w:hint="eastAsia"/>
              </w:rPr>
              <w:t>左右，接近上表面的一层水体属于好氧状态，而较深一层的水体和基质则基本上属于缺氧状态；此外，植物根系呼吸作用也可形成厌氧一缺氧一好氧的微生态情况，提髙湿地脱氮除磷效能。污水进入表面流人工湿地系统时，绝大部分有机物的去除是由生长在水下的植物茎、杆上的生物膜来完成。表面流人工湿地从外观看更像是自然状态下的沼泽地，水流在基质表面流动。除了改善水质外，表面流人工湿地还给人们提供美学价值和为水生野生动植物提供栖息地。表面流人工湿地主要用于处理暴雨径流、农业面源污水的治理；同时表面流人工湿地也常用于湖泊、河流的水质净化与</w:t>
            </w:r>
            <w:r>
              <w:rPr>
                <w:rFonts w:hint="eastAsia"/>
              </w:rPr>
              <w:t>生态修复以及污水处理厂的尾水净化。</w:t>
            </w:r>
          </w:p>
          <w:p w:rsidR="00BC07F0" w:rsidRDefault="00073EFB" w:rsidP="00C55F5E">
            <w:pPr>
              <w:ind w:firstLine="480"/>
            </w:pPr>
            <w:r>
              <w:rPr>
                <w:rFonts w:hint="eastAsia"/>
              </w:rPr>
              <w:t>人工湿地</w:t>
            </w:r>
            <w:r>
              <w:rPr>
                <w:rFonts w:hint="eastAsia"/>
              </w:rPr>
              <w:t>施工工序为：</w:t>
            </w:r>
            <w:r>
              <w:rPr>
                <w:rFonts w:hint="eastAsia"/>
              </w:rPr>
              <w:t>场地清理→地基和池壁施工→场地平整压实及敷设防渗膜→排水系统铺设→填料铺设→给水系统铺设→湿地植物种植。</w:t>
            </w:r>
          </w:p>
          <w:p w:rsidR="00BC07F0" w:rsidRDefault="00073EFB" w:rsidP="00C55F5E">
            <w:pPr>
              <w:ind w:firstLine="480"/>
            </w:pPr>
            <w:r>
              <w:rPr>
                <w:rFonts w:hint="eastAsia"/>
              </w:rPr>
              <w:t>配套建筑</w:t>
            </w:r>
            <w:r>
              <w:rPr>
                <w:rFonts w:hint="eastAsia"/>
              </w:rPr>
              <w:t>施工工序为：</w:t>
            </w:r>
            <w:r>
              <w:rPr>
                <w:rFonts w:hint="eastAsia"/>
              </w:rPr>
              <w:t>场地平整→基础工程→结构工程→</w:t>
            </w:r>
            <w:r>
              <w:rPr>
                <w:rFonts w:hint="eastAsia"/>
              </w:rPr>
              <w:t>装修工程</w:t>
            </w:r>
            <w:r>
              <w:rPr>
                <w:rFonts w:hint="eastAsia"/>
              </w:rPr>
              <w:t>→竣工验收</w:t>
            </w:r>
            <w:r>
              <w:rPr>
                <w:rFonts w:hint="eastAsia"/>
              </w:rPr>
              <w:t>。</w:t>
            </w:r>
          </w:p>
          <w:p w:rsidR="00BC07F0" w:rsidRDefault="00073EFB" w:rsidP="00C55F5E">
            <w:pPr>
              <w:ind w:firstLine="482"/>
              <w:rPr>
                <w:b/>
                <w:bCs/>
              </w:rPr>
            </w:pPr>
            <w:r>
              <w:rPr>
                <w:rFonts w:hint="eastAsia"/>
                <w:b/>
                <w:bCs/>
              </w:rPr>
              <w:t>2.14</w:t>
            </w:r>
            <w:r>
              <w:rPr>
                <w:rFonts w:hint="eastAsia"/>
                <w:b/>
                <w:bCs/>
              </w:rPr>
              <w:t>配套城市道路前进路、酃白路工程</w:t>
            </w:r>
            <w:r>
              <w:rPr>
                <w:rFonts w:hint="eastAsia"/>
                <w:b/>
                <w:bCs/>
              </w:rPr>
              <w:t>施工方案</w:t>
            </w:r>
          </w:p>
          <w:p w:rsidR="00BC07F0" w:rsidRDefault="00073EFB">
            <w:pPr>
              <w:numPr>
                <w:ilvl w:val="0"/>
                <w:numId w:val="7"/>
              </w:numPr>
              <w:ind w:firstLineChars="0"/>
            </w:pPr>
            <w:r>
              <w:rPr>
                <w:rFonts w:hint="eastAsia"/>
              </w:rPr>
              <w:t>工程场地清理</w:t>
            </w:r>
            <w:r>
              <w:rPr>
                <w:rFonts w:hint="eastAsia"/>
              </w:rPr>
              <w:t>：</w:t>
            </w:r>
            <w:r>
              <w:rPr>
                <w:rFonts w:hint="eastAsia"/>
              </w:rPr>
              <w:t>施工队伍进场后，首先对施工作业地带内的表土进行清理，清除表面建筑垃圾、夯实土基、平整场地等施工准备工作，产生的建筑垃圾运往建筑垃圾消纳场进行处置。</w:t>
            </w:r>
          </w:p>
          <w:p w:rsidR="00BC07F0" w:rsidRDefault="00073EFB">
            <w:pPr>
              <w:numPr>
                <w:ilvl w:val="0"/>
                <w:numId w:val="7"/>
              </w:numPr>
              <w:ind w:firstLineChars="0"/>
            </w:pPr>
            <w:r>
              <w:rPr>
                <w:rFonts w:hint="eastAsia"/>
              </w:rPr>
              <w:t>路基施工</w:t>
            </w:r>
            <w:r>
              <w:rPr>
                <w:rFonts w:hint="eastAsia"/>
              </w:rPr>
              <w:t>：</w:t>
            </w:r>
            <w:r>
              <w:rPr>
                <w:rFonts w:hint="eastAsia"/>
              </w:rPr>
              <w:t>在清理完地表面后，应平整压实至规定要求，才可以进行填方作业</w:t>
            </w:r>
            <w:r>
              <w:rPr>
                <w:rFonts w:hint="eastAsia"/>
              </w:rPr>
              <w:t>。路堤应水平分填筑压实。</w:t>
            </w:r>
          </w:p>
          <w:p w:rsidR="00BC07F0" w:rsidRDefault="00073EFB">
            <w:pPr>
              <w:numPr>
                <w:ilvl w:val="0"/>
                <w:numId w:val="7"/>
              </w:numPr>
              <w:ind w:firstLineChars="0"/>
            </w:pPr>
            <w:r>
              <w:rPr>
                <w:rFonts w:hint="eastAsia"/>
              </w:rPr>
              <w:t>路面施工</w:t>
            </w:r>
            <w:r>
              <w:rPr>
                <w:rFonts w:hint="eastAsia"/>
              </w:rPr>
              <w:t>：</w:t>
            </w:r>
            <w:r>
              <w:rPr>
                <w:rFonts w:hint="eastAsia"/>
              </w:rPr>
              <w:t>拟建项目行车道底基层采用水泥稳定碎石，水泥稳定碎石采用成品混合料，用自卸汽车运输至现场，摊铺机铺筑和压路机碾压，之后再进行沥青混凝土施工。</w:t>
            </w:r>
          </w:p>
          <w:p w:rsidR="00BC07F0" w:rsidRDefault="00073EFB">
            <w:pPr>
              <w:numPr>
                <w:ilvl w:val="0"/>
                <w:numId w:val="7"/>
              </w:numPr>
              <w:ind w:firstLineChars="0"/>
            </w:pPr>
            <w:r>
              <w:rPr>
                <w:rFonts w:hint="eastAsia"/>
              </w:rPr>
              <w:t>道路附属工程</w:t>
            </w:r>
            <w:r>
              <w:rPr>
                <w:rFonts w:hint="eastAsia"/>
              </w:rPr>
              <w:t>：</w:t>
            </w:r>
            <w:r>
              <w:rPr>
                <w:rFonts w:hint="eastAsia"/>
              </w:rPr>
              <w:t>人行道施工施工工序为施工放线，地基处理，路基平整、压实，密实度大于</w:t>
            </w:r>
            <w:r>
              <w:rPr>
                <w:rFonts w:hint="eastAsia"/>
              </w:rPr>
              <w:t>0.9</w:t>
            </w:r>
            <w:r>
              <w:rPr>
                <w:rFonts w:hint="eastAsia"/>
              </w:rPr>
              <w:t>；碎石垫层，根据路段基层或底基层宽度、厚度等严格控制卸料料堆距离，卸料后及时用推土机摊铺，用压路机在初平路面上快速碾压，并采用平地机进行平整，再用振动压路机碾压</w:t>
            </w:r>
            <w:r>
              <w:rPr>
                <w:rFonts w:hint="eastAsia"/>
              </w:rPr>
              <w:t>4~6</w:t>
            </w:r>
            <w:r>
              <w:rPr>
                <w:rFonts w:hint="eastAsia"/>
              </w:rPr>
              <w:t>遍，碾压后用灌砂法进行压实度检测；透水砼基础，采用干硬性水泥砂浆，浇筑前用水湿润路面</w:t>
            </w:r>
            <w:r>
              <w:rPr>
                <w:rFonts w:hint="eastAsia"/>
              </w:rPr>
              <w:t>，浇筑后用压路机压平，之后用塑料薄膜覆盖表</w:t>
            </w:r>
            <w:r>
              <w:rPr>
                <w:rFonts w:hint="eastAsia"/>
              </w:rPr>
              <w:lastRenderedPageBreak/>
              <w:t>面，并开始洒水养护；人行道铺装混凝土透水砖。非机动车道施工施工工序为施工放线，地基处理，路基平整、压实，密实度大于</w:t>
            </w:r>
            <w:r>
              <w:rPr>
                <w:rFonts w:hint="eastAsia"/>
              </w:rPr>
              <w:t>0.9</w:t>
            </w:r>
            <w:r>
              <w:rPr>
                <w:rFonts w:hint="eastAsia"/>
              </w:rPr>
              <w:t>；碎石垫层，根据路段基层或底基层宽度、厚度等严格控制卸料料堆距离，卸料后及时用推土机摊铺，用压路机在初平路面上快速碾压，并采用平地机进行平整，再用振动压路机碾压</w:t>
            </w:r>
            <w:r>
              <w:rPr>
                <w:rFonts w:hint="eastAsia"/>
              </w:rPr>
              <w:t>4~6</w:t>
            </w:r>
            <w:r>
              <w:rPr>
                <w:rFonts w:hint="eastAsia"/>
              </w:rPr>
              <w:t>遍，碾压后用灌砂法进行压实度检测；透水砼基础，采用干硬性水泥砂浆，浇筑前用水湿润路面，浇筑后用压路机压平，之后用塑料薄膜覆盖表面，并开始洒水</w:t>
            </w:r>
            <w:r>
              <w:rPr>
                <w:rFonts w:hint="eastAsia"/>
              </w:rPr>
              <w:t>。</w:t>
            </w:r>
          </w:p>
          <w:p w:rsidR="00BC07F0" w:rsidRDefault="00073EFB" w:rsidP="00C55F5E">
            <w:pPr>
              <w:ind w:firstLine="482"/>
              <w:rPr>
                <w:b/>
                <w:bCs/>
              </w:rPr>
            </w:pPr>
            <w:r>
              <w:rPr>
                <w:rFonts w:hint="eastAsia"/>
                <w:b/>
                <w:bCs/>
              </w:rPr>
              <w:t>2.15</w:t>
            </w:r>
            <w:r>
              <w:rPr>
                <w:rFonts w:hint="eastAsia"/>
                <w:b/>
                <w:bCs/>
              </w:rPr>
              <w:t>工期计划安排</w:t>
            </w:r>
          </w:p>
          <w:p w:rsidR="00BC07F0" w:rsidRDefault="00073EFB">
            <w:pPr>
              <w:ind w:firstLineChars="0" w:firstLine="0"/>
            </w:pPr>
            <w:r>
              <w:rPr>
                <w:rFonts w:hint="eastAsia"/>
              </w:rPr>
              <w:t>本项目拟定于</w:t>
            </w:r>
            <w:r>
              <w:rPr>
                <w:rFonts w:hint="eastAsia"/>
              </w:rPr>
              <w:t>202</w:t>
            </w:r>
            <w:r>
              <w:rPr>
                <w:rFonts w:hint="eastAsia"/>
              </w:rPr>
              <w:t>3</w:t>
            </w:r>
            <w:r>
              <w:rPr>
                <w:rFonts w:hint="eastAsia"/>
              </w:rPr>
              <w:t>年</w:t>
            </w:r>
            <w:r>
              <w:rPr>
                <w:rFonts w:hint="eastAsia"/>
              </w:rPr>
              <w:t>1</w:t>
            </w:r>
            <w:r>
              <w:rPr>
                <w:rFonts w:hint="eastAsia"/>
              </w:rPr>
              <w:t>1</w:t>
            </w:r>
            <w:r>
              <w:rPr>
                <w:rFonts w:hint="eastAsia"/>
              </w:rPr>
              <w:t>月开工建设，至</w:t>
            </w:r>
            <w:r>
              <w:rPr>
                <w:rFonts w:hint="eastAsia"/>
              </w:rPr>
              <w:t>202</w:t>
            </w:r>
            <w:r>
              <w:rPr>
                <w:rFonts w:hint="eastAsia"/>
              </w:rPr>
              <w:t>4</w:t>
            </w:r>
            <w:r>
              <w:rPr>
                <w:rFonts w:hint="eastAsia"/>
              </w:rPr>
              <w:t>年</w:t>
            </w:r>
            <w:r>
              <w:rPr>
                <w:rFonts w:hint="eastAsia"/>
              </w:rPr>
              <w:t>1</w:t>
            </w:r>
            <w:r>
              <w:rPr>
                <w:rFonts w:hint="eastAsia"/>
              </w:rPr>
              <w:t>1</w:t>
            </w:r>
            <w:r>
              <w:rPr>
                <w:rFonts w:hint="eastAsia"/>
              </w:rPr>
              <w:t>月工程全部建成，拟定施工人员</w:t>
            </w:r>
            <w:r>
              <w:rPr>
                <w:rFonts w:hint="eastAsia"/>
              </w:rPr>
              <w:t>20</w:t>
            </w:r>
            <w:r>
              <w:rPr>
                <w:rFonts w:hint="eastAsia"/>
              </w:rPr>
              <w:t>0</w:t>
            </w:r>
            <w:r>
              <w:rPr>
                <w:rFonts w:hint="eastAsia"/>
              </w:rPr>
              <w:t>人，总工期</w:t>
            </w:r>
            <w:r>
              <w:rPr>
                <w:rFonts w:hint="eastAsia"/>
              </w:rPr>
              <w:t>12</w:t>
            </w:r>
            <w:r>
              <w:rPr>
                <w:rFonts w:hint="eastAsia"/>
              </w:rPr>
              <w:t>个月。</w:t>
            </w:r>
          </w:p>
        </w:tc>
      </w:tr>
      <w:tr w:rsidR="00BC07F0">
        <w:trPr>
          <w:trHeight w:val="397"/>
          <w:jc w:val="center"/>
        </w:trPr>
        <w:tc>
          <w:tcPr>
            <w:tcW w:w="532" w:type="dxa"/>
            <w:vAlign w:val="center"/>
          </w:tcPr>
          <w:p w:rsidR="00BC07F0" w:rsidRDefault="00073EFB">
            <w:pPr>
              <w:pStyle w:val="a7"/>
              <w:rPr>
                <w:rFonts w:hint="default"/>
                <w:b/>
                <w:bCs/>
                <w:sz w:val="24"/>
                <w:szCs w:val="24"/>
              </w:rPr>
            </w:pPr>
            <w:r>
              <w:rPr>
                <w:b/>
                <w:bCs/>
                <w:sz w:val="24"/>
                <w:szCs w:val="24"/>
              </w:rPr>
              <w:lastRenderedPageBreak/>
              <w:t>其他</w:t>
            </w:r>
          </w:p>
        </w:tc>
        <w:tc>
          <w:tcPr>
            <w:tcW w:w="9326" w:type="dxa"/>
            <w:vAlign w:val="bottom"/>
          </w:tcPr>
          <w:p w:rsidR="00BC07F0" w:rsidRDefault="00073EFB" w:rsidP="00C55F5E">
            <w:pPr>
              <w:ind w:firstLine="480"/>
            </w:pPr>
            <w:r>
              <w:rPr>
                <w:rFonts w:hint="eastAsia"/>
              </w:rPr>
              <w:t>无。</w:t>
            </w:r>
          </w:p>
        </w:tc>
      </w:tr>
    </w:tbl>
    <w:p w:rsidR="00BC07F0" w:rsidRDefault="00BC07F0" w:rsidP="00C55F5E">
      <w:pPr>
        <w:ind w:firstLine="482"/>
        <w:jc w:val="center"/>
        <w:outlineLvl w:val="0"/>
        <w:rPr>
          <w:rFonts w:eastAsia="仿宋_GB2312"/>
          <w:b/>
          <w:bCs/>
        </w:rPr>
        <w:sectPr w:rsidR="00BC07F0">
          <w:pgSz w:w="11906" w:h="16838"/>
          <w:pgMar w:top="1440" w:right="1080" w:bottom="1440" w:left="1080" w:header="567" w:footer="567" w:gutter="0"/>
          <w:cols w:space="720"/>
          <w:docGrid w:linePitch="312"/>
        </w:sectPr>
      </w:pPr>
    </w:p>
    <w:p w:rsidR="00BC07F0" w:rsidRDefault="00073EFB" w:rsidP="00C55F5E">
      <w:pPr>
        <w:ind w:firstLine="602"/>
        <w:jc w:val="center"/>
        <w:outlineLvl w:val="0"/>
        <w:rPr>
          <w:rFonts w:eastAsia="仿宋_GB2312"/>
          <w:b/>
          <w:bCs/>
        </w:rPr>
      </w:pPr>
      <w:bookmarkStart w:id="15" w:name="_Toc14345"/>
      <w:bookmarkStart w:id="16" w:name="_Toc19006"/>
      <w:bookmarkStart w:id="17" w:name="_Toc12958"/>
      <w:bookmarkStart w:id="18" w:name="_Toc12152"/>
      <w:r>
        <w:rPr>
          <w:rStyle w:val="1Char"/>
          <w:rFonts w:hint="eastAsia"/>
        </w:rPr>
        <w:lastRenderedPageBreak/>
        <w:t>三、生态环境现状、保护目标及评价标准</w:t>
      </w:r>
      <w:bookmarkEnd w:id="15"/>
      <w:bookmarkEnd w:id="16"/>
      <w:bookmarkEnd w:id="17"/>
      <w:bookmarkEnd w:id="18"/>
    </w:p>
    <w:tbl>
      <w:tblPr>
        <w:tblW w:w="494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543"/>
        <w:gridCol w:w="9316"/>
      </w:tblGrid>
      <w:tr w:rsidR="00BC07F0">
        <w:trPr>
          <w:trHeight w:val="454"/>
          <w:jc w:val="center"/>
        </w:trPr>
        <w:tc>
          <w:tcPr>
            <w:tcW w:w="543" w:type="dxa"/>
            <w:vAlign w:val="center"/>
          </w:tcPr>
          <w:p w:rsidR="00BC07F0" w:rsidRDefault="00073EFB">
            <w:pPr>
              <w:pStyle w:val="a7"/>
              <w:rPr>
                <w:rFonts w:hint="default"/>
                <w:b/>
                <w:bCs/>
                <w:sz w:val="24"/>
                <w:szCs w:val="24"/>
              </w:rPr>
            </w:pPr>
            <w:r>
              <w:rPr>
                <w:b/>
                <w:bCs/>
                <w:sz w:val="24"/>
                <w:szCs w:val="24"/>
              </w:rPr>
              <w:t>生态环境现状</w:t>
            </w:r>
          </w:p>
        </w:tc>
        <w:tc>
          <w:tcPr>
            <w:tcW w:w="9318" w:type="dxa"/>
            <w:vAlign w:val="center"/>
          </w:tcPr>
          <w:p w:rsidR="00BC07F0" w:rsidRDefault="00073EFB">
            <w:pPr>
              <w:tabs>
                <w:tab w:val="left" w:pos="480"/>
              </w:tabs>
              <w:ind w:firstLine="482"/>
              <w:rPr>
                <w:b/>
                <w:bCs/>
              </w:rPr>
            </w:pPr>
            <w:r>
              <w:rPr>
                <w:rFonts w:hint="eastAsia"/>
                <w:b/>
                <w:bCs/>
              </w:rPr>
              <w:t>3.1</w:t>
            </w:r>
            <w:r>
              <w:rPr>
                <w:b/>
                <w:bCs/>
              </w:rPr>
              <w:t>环境空气质量现状</w:t>
            </w:r>
          </w:p>
          <w:p w:rsidR="00BC07F0" w:rsidRDefault="00073EFB">
            <w:pPr>
              <w:tabs>
                <w:tab w:val="left" w:pos="480"/>
              </w:tabs>
              <w:ind w:firstLine="480"/>
            </w:pPr>
            <w:r>
              <w:rPr>
                <w:rFonts w:hint="eastAsia"/>
              </w:rPr>
              <w:t>根据《环境影响评价技术导则—大气环境》（</w:t>
            </w:r>
            <w:r>
              <w:rPr>
                <w:rFonts w:hint="eastAsia"/>
              </w:rPr>
              <w:t>HJ2.2-2018</w:t>
            </w:r>
            <w:r>
              <w:rPr>
                <w:rFonts w:hint="eastAsia"/>
              </w:rPr>
              <w:t>）中“</w:t>
            </w:r>
            <w:r>
              <w:rPr>
                <w:rFonts w:hint="eastAsia"/>
              </w:rPr>
              <w:t>6.2.1</w:t>
            </w:r>
            <w:r>
              <w:rPr>
                <w:rFonts w:hint="eastAsia"/>
              </w:rPr>
              <w:t>项目所在区域达标判定，优先采用国家或地方生态环境主管部门公开发布的评价基准年环境质量公告或环境质量报告中数据或结论”，本评价引用衡阳市生态环境局</w:t>
            </w:r>
            <w:r>
              <w:rPr>
                <w:rFonts w:hint="eastAsia"/>
              </w:rPr>
              <w:t>发</w:t>
            </w:r>
            <w:r>
              <w:rPr>
                <w:rFonts w:hint="eastAsia"/>
              </w:rPr>
              <w:t>布的《衡阳市生态环境局关于</w:t>
            </w:r>
            <w:r>
              <w:rPr>
                <w:rFonts w:hint="eastAsia"/>
              </w:rPr>
              <w:t>2022</w:t>
            </w:r>
            <w:r>
              <w:rPr>
                <w:rFonts w:hint="eastAsia"/>
              </w:rPr>
              <w:t>年</w:t>
            </w:r>
            <w:r>
              <w:rPr>
                <w:rFonts w:hint="eastAsia"/>
              </w:rPr>
              <w:t>12</w:t>
            </w:r>
            <w:r>
              <w:rPr>
                <w:rFonts w:hint="eastAsia"/>
              </w:rPr>
              <w:t>月及</w:t>
            </w:r>
            <w:r>
              <w:rPr>
                <w:rFonts w:hint="eastAsia"/>
              </w:rPr>
              <w:t>1-12</w:t>
            </w:r>
            <w:r>
              <w:rPr>
                <w:rFonts w:hint="eastAsia"/>
              </w:rPr>
              <w:t>月全市环境质量状况的通报》进行大气环境质量现状评价。根据</w:t>
            </w:r>
            <w:r>
              <w:rPr>
                <w:rFonts w:hint="eastAsia"/>
              </w:rPr>
              <w:t>202</w:t>
            </w:r>
            <w:r>
              <w:rPr>
                <w:rFonts w:hint="eastAsia"/>
              </w:rPr>
              <w:t>2</w:t>
            </w:r>
            <w:r>
              <w:rPr>
                <w:rFonts w:hint="eastAsia"/>
              </w:rPr>
              <w:t>年衡阳市环境空气质量年度报表，</w:t>
            </w:r>
            <w:r>
              <w:rPr>
                <w:rFonts w:hint="eastAsia"/>
              </w:rPr>
              <w:t>雁峰</w:t>
            </w:r>
            <w:r>
              <w:rPr>
                <w:rFonts w:hint="eastAsia"/>
              </w:rPr>
              <w:t>区全年空气质量优良天数</w:t>
            </w:r>
            <w:r>
              <w:rPr>
                <w:rFonts w:hint="eastAsia"/>
              </w:rPr>
              <w:t>3</w:t>
            </w:r>
            <w:r>
              <w:rPr>
                <w:rFonts w:hint="eastAsia"/>
              </w:rPr>
              <w:t>15</w:t>
            </w:r>
            <w:r>
              <w:rPr>
                <w:rFonts w:hint="eastAsia"/>
              </w:rPr>
              <w:t>天，优良率为</w:t>
            </w:r>
            <w:r>
              <w:rPr>
                <w:rFonts w:hint="eastAsia"/>
              </w:rPr>
              <w:t>9</w:t>
            </w:r>
            <w:r>
              <w:rPr>
                <w:rFonts w:hint="eastAsia"/>
              </w:rPr>
              <w:t>1.6</w:t>
            </w:r>
            <w:r>
              <w:rPr>
                <w:rFonts w:hint="eastAsia"/>
              </w:rPr>
              <w:t>%</w:t>
            </w:r>
            <w:r>
              <w:rPr>
                <w:rFonts w:hint="eastAsia"/>
              </w:rPr>
              <w:t>。具体数据见下表。</w:t>
            </w:r>
          </w:p>
          <w:p w:rsidR="00BC07F0" w:rsidRDefault="00073EFB">
            <w:pPr>
              <w:pStyle w:val="a7"/>
              <w:rPr>
                <w:rFonts w:hint="default"/>
                <w:b/>
                <w:bCs/>
              </w:rPr>
            </w:pPr>
            <w:r>
              <w:rPr>
                <w:b/>
                <w:bCs/>
              </w:rPr>
              <w:t>表</w:t>
            </w:r>
            <w:r>
              <w:rPr>
                <w:b/>
                <w:bCs/>
              </w:rPr>
              <w:t>3</w:t>
            </w:r>
            <w:r>
              <w:rPr>
                <w:b/>
                <w:bCs/>
              </w:rPr>
              <w:t>.1</w:t>
            </w:r>
            <w:r>
              <w:rPr>
                <w:b/>
                <w:bCs/>
              </w:rPr>
              <w:t>-1</w:t>
            </w:r>
            <w:r>
              <w:rPr>
                <w:b/>
                <w:bCs/>
              </w:rPr>
              <w:t xml:space="preserve"> </w:t>
            </w:r>
            <w:r>
              <w:rPr>
                <w:b/>
                <w:bCs/>
              </w:rPr>
              <w:t>202</w:t>
            </w:r>
            <w:r>
              <w:rPr>
                <w:b/>
                <w:bCs/>
              </w:rPr>
              <w:t>2</w:t>
            </w:r>
            <w:r>
              <w:rPr>
                <w:b/>
                <w:bCs/>
              </w:rPr>
              <w:t>年</w:t>
            </w:r>
            <w:r>
              <w:rPr>
                <w:b/>
                <w:bCs/>
              </w:rPr>
              <w:t>衡阳</w:t>
            </w:r>
            <w:r>
              <w:rPr>
                <w:b/>
                <w:bCs/>
              </w:rPr>
              <w:t>市</w:t>
            </w:r>
            <w:r>
              <w:rPr>
                <w:b/>
                <w:bCs/>
              </w:rPr>
              <w:t>雁峰区</w:t>
            </w:r>
            <w:r>
              <w:rPr>
                <w:b/>
                <w:bCs/>
              </w:rPr>
              <w:t>环境空气质量一览表</w:t>
            </w:r>
          </w:p>
          <w:tbl>
            <w:tblPr>
              <w:tblStyle w:val="a6"/>
              <w:tblW w:w="4949" w:type="pct"/>
              <w:jc w:val="center"/>
              <w:tblLayout w:type="fixed"/>
              <w:tblLook w:val="04A0"/>
            </w:tblPr>
            <w:tblGrid>
              <w:gridCol w:w="1084"/>
              <w:gridCol w:w="3578"/>
              <w:gridCol w:w="1323"/>
              <w:gridCol w:w="1249"/>
              <w:gridCol w:w="1025"/>
              <w:gridCol w:w="738"/>
            </w:tblGrid>
            <w:tr w:rsidR="00BC07F0">
              <w:trPr>
                <w:trHeight w:val="454"/>
                <w:jc w:val="center"/>
              </w:trPr>
              <w:tc>
                <w:tcPr>
                  <w:tcW w:w="1093" w:type="dxa"/>
                  <w:vAlign w:val="center"/>
                </w:tcPr>
                <w:p w:rsidR="00BC07F0" w:rsidRDefault="00073EFB">
                  <w:pPr>
                    <w:pStyle w:val="a7"/>
                    <w:rPr>
                      <w:rFonts w:hint="default"/>
                    </w:rPr>
                  </w:pPr>
                  <w:r>
                    <w:t>监测项目</w:t>
                  </w:r>
                </w:p>
              </w:tc>
              <w:tc>
                <w:tcPr>
                  <w:tcW w:w="3614" w:type="dxa"/>
                  <w:vAlign w:val="center"/>
                </w:tcPr>
                <w:p w:rsidR="00BC07F0" w:rsidRDefault="00073EFB">
                  <w:pPr>
                    <w:pStyle w:val="a7"/>
                    <w:rPr>
                      <w:rFonts w:hint="default"/>
                    </w:rPr>
                  </w:pPr>
                  <w:r>
                    <w:t>年评价指标</w:t>
                  </w:r>
                </w:p>
              </w:tc>
              <w:tc>
                <w:tcPr>
                  <w:tcW w:w="1335" w:type="dxa"/>
                  <w:vAlign w:val="center"/>
                </w:tcPr>
                <w:p w:rsidR="00BC07F0" w:rsidRDefault="00073EFB">
                  <w:pPr>
                    <w:pStyle w:val="a7"/>
                    <w:rPr>
                      <w:rFonts w:hint="default"/>
                    </w:rPr>
                  </w:pPr>
                  <w:r>
                    <w:t>现状浓度（</w:t>
                  </w:r>
                  <w:r>
                    <w:t>ug/m</w:t>
                  </w:r>
                  <w:r>
                    <w:rPr>
                      <w:vertAlign w:val="superscript"/>
                    </w:rPr>
                    <w:t>3</w:t>
                  </w:r>
                  <w:r>
                    <w:t>）</w:t>
                  </w:r>
                </w:p>
              </w:tc>
              <w:tc>
                <w:tcPr>
                  <w:tcW w:w="1260" w:type="dxa"/>
                  <w:vAlign w:val="center"/>
                </w:tcPr>
                <w:p w:rsidR="00BC07F0" w:rsidRDefault="00073EFB">
                  <w:pPr>
                    <w:pStyle w:val="a7"/>
                    <w:rPr>
                      <w:rFonts w:hint="default"/>
                    </w:rPr>
                  </w:pPr>
                  <w:r>
                    <w:t>标准限值（</w:t>
                  </w:r>
                  <w:r>
                    <w:t>ug/m</w:t>
                  </w:r>
                  <w:r>
                    <w:rPr>
                      <w:vertAlign w:val="superscript"/>
                    </w:rPr>
                    <w:t>3</w:t>
                  </w:r>
                  <w:r>
                    <w:t>）</w:t>
                  </w:r>
                </w:p>
              </w:tc>
              <w:tc>
                <w:tcPr>
                  <w:tcW w:w="1034" w:type="dxa"/>
                  <w:vAlign w:val="center"/>
                </w:tcPr>
                <w:p w:rsidR="00BC07F0" w:rsidRDefault="00073EFB">
                  <w:pPr>
                    <w:pStyle w:val="a7"/>
                    <w:rPr>
                      <w:rFonts w:hint="default"/>
                    </w:rPr>
                  </w:pPr>
                  <w:r>
                    <w:t>占标率</w:t>
                  </w:r>
                  <w:r>
                    <w:t>%</w:t>
                  </w:r>
                </w:p>
              </w:tc>
              <w:tc>
                <w:tcPr>
                  <w:tcW w:w="743" w:type="dxa"/>
                  <w:vAlign w:val="center"/>
                </w:tcPr>
                <w:p w:rsidR="00BC07F0" w:rsidRDefault="00073EFB">
                  <w:pPr>
                    <w:pStyle w:val="a7"/>
                    <w:rPr>
                      <w:rFonts w:hint="default"/>
                    </w:rPr>
                  </w:pPr>
                  <w:r>
                    <w:t>是否达标</w:t>
                  </w:r>
                </w:p>
              </w:tc>
            </w:tr>
            <w:tr w:rsidR="00BC07F0">
              <w:trPr>
                <w:trHeight w:val="454"/>
                <w:jc w:val="center"/>
              </w:trPr>
              <w:tc>
                <w:tcPr>
                  <w:tcW w:w="1093" w:type="dxa"/>
                  <w:vAlign w:val="center"/>
                </w:tcPr>
                <w:p w:rsidR="00BC07F0" w:rsidRDefault="00073EFB">
                  <w:pPr>
                    <w:pStyle w:val="a7"/>
                    <w:rPr>
                      <w:rFonts w:hint="default"/>
                    </w:rPr>
                  </w:pPr>
                  <w:r>
                    <w:t>PM2.5</w:t>
                  </w:r>
                </w:p>
              </w:tc>
              <w:tc>
                <w:tcPr>
                  <w:tcW w:w="3614" w:type="dxa"/>
                  <w:vAlign w:val="center"/>
                </w:tcPr>
                <w:p w:rsidR="00BC07F0" w:rsidRDefault="00073EFB">
                  <w:pPr>
                    <w:pStyle w:val="a7"/>
                    <w:rPr>
                      <w:rFonts w:hint="default"/>
                    </w:rPr>
                  </w:pPr>
                  <w:r>
                    <w:t>年平均质量浓度</w:t>
                  </w:r>
                </w:p>
              </w:tc>
              <w:tc>
                <w:tcPr>
                  <w:tcW w:w="1335" w:type="dxa"/>
                  <w:vAlign w:val="center"/>
                </w:tcPr>
                <w:p w:rsidR="00BC07F0" w:rsidRDefault="00073EFB">
                  <w:pPr>
                    <w:pStyle w:val="a7"/>
                    <w:rPr>
                      <w:rFonts w:hint="default"/>
                    </w:rPr>
                  </w:pPr>
                  <w:r>
                    <w:t>33</w:t>
                  </w:r>
                </w:p>
              </w:tc>
              <w:tc>
                <w:tcPr>
                  <w:tcW w:w="1260" w:type="dxa"/>
                  <w:vAlign w:val="center"/>
                </w:tcPr>
                <w:p w:rsidR="00BC07F0" w:rsidRDefault="00073EFB">
                  <w:pPr>
                    <w:pStyle w:val="a7"/>
                    <w:rPr>
                      <w:rFonts w:hint="default"/>
                    </w:rPr>
                  </w:pPr>
                  <w:r>
                    <w:t>35</w:t>
                  </w:r>
                </w:p>
              </w:tc>
              <w:tc>
                <w:tcPr>
                  <w:tcW w:w="1034" w:type="dxa"/>
                  <w:vAlign w:val="center"/>
                </w:tcPr>
                <w:p w:rsidR="00BC07F0" w:rsidRDefault="00073EFB">
                  <w:pPr>
                    <w:pStyle w:val="a7"/>
                    <w:rPr>
                      <w:rFonts w:hint="default"/>
                    </w:rPr>
                  </w:pPr>
                  <w:r>
                    <w:t>94.3</w:t>
                  </w:r>
                </w:p>
              </w:tc>
              <w:tc>
                <w:tcPr>
                  <w:tcW w:w="743" w:type="dxa"/>
                  <w:vAlign w:val="center"/>
                </w:tcPr>
                <w:p w:rsidR="00BC07F0" w:rsidRDefault="00073EFB">
                  <w:pPr>
                    <w:pStyle w:val="a7"/>
                    <w:rPr>
                      <w:rFonts w:hint="default"/>
                    </w:rPr>
                  </w:pPr>
                  <w:r>
                    <w:t>达标</w:t>
                  </w:r>
                </w:p>
              </w:tc>
            </w:tr>
            <w:tr w:rsidR="00BC07F0">
              <w:trPr>
                <w:trHeight w:val="454"/>
                <w:jc w:val="center"/>
              </w:trPr>
              <w:tc>
                <w:tcPr>
                  <w:tcW w:w="1093" w:type="dxa"/>
                  <w:vAlign w:val="center"/>
                </w:tcPr>
                <w:p w:rsidR="00BC07F0" w:rsidRDefault="00073EFB">
                  <w:pPr>
                    <w:pStyle w:val="a7"/>
                    <w:rPr>
                      <w:rFonts w:hint="default"/>
                    </w:rPr>
                  </w:pPr>
                  <w:r>
                    <w:t>PM10</w:t>
                  </w:r>
                </w:p>
              </w:tc>
              <w:tc>
                <w:tcPr>
                  <w:tcW w:w="3614" w:type="dxa"/>
                  <w:vAlign w:val="center"/>
                </w:tcPr>
                <w:p w:rsidR="00BC07F0" w:rsidRDefault="00073EFB">
                  <w:pPr>
                    <w:pStyle w:val="a7"/>
                    <w:rPr>
                      <w:rFonts w:hint="default"/>
                    </w:rPr>
                  </w:pPr>
                  <w:r>
                    <w:t>年平均质量浓度</w:t>
                  </w:r>
                </w:p>
              </w:tc>
              <w:tc>
                <w:tcPr>
                  <w:tcW w:w="1335" w:type="dxa"/>
                  <w:vAlign w:val="center"/>
                </w:tcPr>
                <w:p w:rsidR="00BC07F0" w:rsidRDefault="00073EFB">
                  <w:pPr>
                    <w:pStyle w:val="a7"/>
                    <w:rPr>
                      <w:rFonts w:hint="default"/>
                    </w:rPr>
                  </w:pPr>
                  <w:r>
                    <w:t>54</w:t>
                  </w:r>
                </w:p>
              </w:tc>
              <w:tc>
                <w:tcPr>
                  <w:tcW w:w="1260" w:type="dxa"/>
                  <w:vAlign w:val="center"/>
                </w:tcPr>
                <w:p w:rsidR="00BC07F0" w:rsidRDefault="00073EFB">
                  <w:pPr>
                    <w:pStyle w:val="a7"/>
                    <w:rPr>
                      <w:rFonts w:hint="default"/>
                    </w:rPr>
                  </w:pPr>
                  <w:r>
                    <w:t>70</w:t>
                  </w:r>
                </w:p>
              </w:tc>
              <w:tc>
                <w:tcPr>
                  <w:tcW w:w="1034" w:type="dxa"/>
                  <w:vAlign w:val="center"/>
                </w:tcPr>
                <w:p w:rsidR="00BC07F0" w:rsidRDefault="00073EFB">
                  <w:pPr>
                    <w:pStyle w:val="a7"/>
                    <w:rPr>
                      <w:rFonts w:hint="default"/>
                    </w:rPr>
                  </w:pPr>
                  <w:r>
                    <w:t>77.1</w:t>
                  </w:r>
                </w:p>
              </w:tc>
              <w:tc>
                <w:tcPr>
                  <w:tcW w:w="743" w:type="dxa"/>
                  <w:vAlign w:val="center"/>
                </w:tcPr>
                <w:p w:rsidR="00BC07F0" w:rsidRDefault="00073EFB">
                  <w:pPr>
                    <w:pStyle w:val="a7"/>
                    <w:rPr>
                      <w:rFonts w:hint="default"/>
                    </w:rPr>
                  </w:pPr>
                  <w:r>
                    <w:t>达标</w:t>
                  </w:r>
                </w:p>
              </w:tc>
            </w:tr>
            <w:tr w:rsidR="00BC07F0">
              <w:trPr>
                <w:trHeight w:val="454"/>
                <w:jc w:val="center"/>
              </w:trPr>
              <w:tc>
                <w:tcPr>
                  <w:tcW w:w="1093" w:type="dxa"/>
                  <w:vAlign w:val="center"/>
                </w:tcPr>
                <w:p w:rsidR="00BC07F0" w:rsidRDefault="00073EFB">
                  <w:pPr>
                    <w:pStyle w:val="a7"/>
                    <w:rPr>
                      <w:rFonts w:hint="default"/>
                    </w:rPr>
                  </w:pPr>
                  <w:r>
                    <w:t>SO</w:t>
                  </w:r>
                  <w:r>
                    <w:rPr>
                      <w:vertAlign w:val="subscript"/>
                    </w:rPr>
                    <w:t>2</w:t>
                  </w:r>
                </w:p>
              </w:tc>
              <w:tc>
                <w:tcPr>
                  <w:tcW w:w="3614" w:type="dxa"/>
                  <w:vAlign w:val="center"/>
                </w:tcPr>
                <w:p w:rsidR="00BC07F0" w:rsidRDefault="00073EFB">
                  <w:pPr>
                    <w:pStyle w:val="a7"/>
                    <w:rPr>
                      <w:rFonts w:hint="default"/>
                    </w:rPr>
                  </w:pPr>
                  <w:r>
                    <w:t>年平均质量浓度</w:t>
                  </w:r>
                </w:p>
              </w:tc>
              <w:tc>
                <w:tcPr>
                  <w:tcW w:w="1335" w:type="dxa"/>
                  <w:vAlign w:val="center"/>
                </w:tcPr>
                <w:p w:rsidR="00BC07F0" w:rsidRDefault="00073EFB">
                  <w:pPr>
                    <w:pStyle w:val="a7"/>
                    <w:rPr>
                      <w:rFonts w:hint="default"/>
                    </w:rPr>
                  </w:pPr>
                  <w:r>
                    <w:t>10</w:t>
                  </w:r>
                </w:p>
              </w:tc>
              <w:tc>
                <w:tcPr>
                  <w:tcW w:w="1260" w:type="dxa"/>
                  <w:vAlign w:val="center"/>
                </w:tcPr>
                <w:p w:rsidR="00BC07F0" w:rsidRDefault="00073EFB">
                  <w:pPr>
                    <w:pStyle w:val="a7"/>
                    <w:rPr>
                      <w:rFonts w:hint="default"/>
                    </w:rPr>
                  </w:pPr>
                  <w:r>
                    <w:t>60</w:t>
                  </w:r>
                </w:p>
              </w:tc>
              <w:tc>
                <w:tcPr>
                  <w:tcW w:w="1034" w:type="dxa"/>
                  <w:vAlign w:val="center"/>
                </w:tcPr>
                <w:p w:rsidR="00BC07F0" w:rsidRDefault="00073EFB">
                  <w:pPr>
                    <w:pStyle w:val="a7"/>
                    <w:rPr>
                      <w:rFonts w:hint="default"/>
                    </w:rPr>
                  </w:pPr>
                  <w:r>
                    <w:t>16.7</w:t>
                  </w:r>
                </w:p>
              </w:tc>
              <w:tc>
                <w:tcPr>
                  <w:tcW w:w="743" w:type="dxa"/>
                  <w:vAlign w:val="center"/>
                </w:tcPr>
                <w:p w:rsidR="00BC07F0" w:rsidRDefault="00073EFB">
                  <w:pPr>
                    <w:pStyle w:val="a7"/>
                    <w:rPr>
                      <w:rFonts w:hint="default"/>
                    </w:rPr>
                  </w:pPr>
                  <w:r>
                    <w:t>达标</w:t>
                  </w:r>
                </w:p>
              </w:tc>
            </w:tr>
            <w:tr w:rsidR="00BC07F0">
              <w:trPr>
                <w:trHeight w:val="454"/>
                <w:jc w:val="center"/>
              </w:trPr>
              <w:tc>
                <w:tcPr>
                  <w:tcW w:w="1093" w:type="dxa"/>
                  <w:vAlign w:val="center"/>
                </w:tcPr>
                <w:p w:rsidR="00BC07F0" w:rsidRDefault="00073EFB">
                  <w:pPr>
                    <w:pStyle w:val="a7"/>
                    <w:rPr>
                      <w:rFonts w:hint="default"/>
                    </w:rPr>
                  </w:pPr>
                  <w:r>
                    <w:t>NO</w:t>
                  </w:r>
                  <w:r>
                    <w:rPr>
                      <w:vertAlign w:val="subscript"/>
                    </w:rPr>
                    <w:t>2</w:t>
                  </w:r>
                </w:p>
              </w:tc>
              <w:tc>
                <w:tcPr>
                  <w:tcW w:w="3614" w:type="dxa"/>
                  <w:vAlign w:val="center"/>
                </w:tcPr>
                <w:p w:rsidR="00BC07F0" w:rsidRDefault="00073EFB">
                  <w:pPr>
                    <w:pStyle w:val="a7"/>
                    <w:rPr>
                      <w:rFonts w:hint="default"/>
                    </w:rPr>
                  </w:pPr>
                  <w:r>
                    <w:t>年平均质量浓度</w:t>
                  </w:r>
                </w:p>
              </w:tc>
              <w:tc>
                <w:tcPr>
                  <w:tcW w:w="1335" w:type="dxa"/>
                  <w:vAlign w:val="center"/>
                </w:tcPr>
                <w:p w:rsidR="00BC07F0" w:rsidRDefault="00073EFB">
                  <w:pPr>
                    <w:pStyle w:val="a7"/>
                    <w:rPr>
                      <w:rFonts w:hint="default"/>
                    </w:rPr>
                  </w:pPr>
                  <w:r>
                    <w:t>18</w:t>
                  </w:r>
                </w:p>
              </w:tc>
              <w:tc>
                <w:tcPr>
                  <w:tcW w:w="1260" w:type="dxa"/>
                  <w:vAlign w:val="center"/>
                </w:tcPr>
                <w:p w:rsidR="00BC07F0" w:rsidRDefault="00073EFB">
                  <w:pPr>
                    <w:pStyle w:val="a7"/>
                    <w:rPr>
                      <w:rFonts w:hint="default"/>
                    </w:rPr>
                  </w:pPr>
                  <w:r>
                    <w:t>40</w:t>
                  </w:r>
                </w:p>
              </w:tc>
              <w:tc>
                <w:tcPr>
                  <w:tcW w:w="1034" w:type="dxa"/>
                  <w:vAlign w:val="center"/>
                </w:tcPr>
                <w:p w:rsidR="00BC07F0" w:rsidRDefault="00073EFB">
                  <w:pPr>
                    <w:pStyle w:val="a7"/>
                    <w:rPr>
                      <w:rFonts w:hint="default"/>
                    </w:rPr>
                  </w:pPr>
                  <w:r>
                    <w:t>45.0</w:t>
                  </w:r>
                </w:p>
              </w:tc>
              <w:tc>
                <w:tcPr>
                  <w:tcW w:w="743" w:type="dxa"/>
                  <w:vAlign w:val="center"/>
                </w:tcPr>
                <w:p w:rsidR="00BC07F0" w:rsidRDefault="00073EFB">
                  <w:pPr>
                    <w:pStyle w:val="a7"/>
                    <w:rPr>
                      <w:rFonts w:hint="default"/>
                    </w:rPr>
                  </w:pPr>
                  <w:r>
                    <w:t>达标</w:t>
                  </w:r>
                </w:p>
              </w:tc>
            </w:tr>
            <w:tr w:rsidR="00BC07F0">
              <w:trPr>
                <w:trHeight w:val="454"/>
                <w:jc w:val="center"/>
              </w:trPr>
              <w:tc>
                <w:tcPr>
                  <w:tcW w:w="1093" w:type="dxa"/>
                  <w:vAlign w:val="center"/>
                </w:tcPr>
                <w:p w:rsidR="00BC07F0" w:rsidRDefault="00073EFB">
                  <w:pPr>
                    <w:pStyle w:val="a7"/>
                    <w:rPr>
                      <w:rFonts w:hint="default"/>
                    </w:rPr>
                  </w:pPr>
                  <w:r>
                    <w:t>CO</w:t>
                  </w:r>
                </w:p>
              </w:tc>
              <w:tc>
                <w:tcPr>
                  <w:tcW w:w="3614" w:type="dxa"/>
                  <w:vAlign w:val="center"/>
                </w:tcPr>
                <w:p w:rsidR="00BC07F0" w:rsidRDefault="00073EFB">
                  <w:pPr>
                    <w:pStyle w:val="a7"/>
                    <w:rPr>
                      <w:rFonts w:hint="default"/>
                    </w:rPr>
                  </w:pPr>
                  <w:r>
                    <w:t>95</w:t>
                  </w:r>
                  <w:r>
                    <w:t>百分位数日平均质量浓度</w:t>
                  </w:r>
                </w:p>
              </w:tc>
              <w:tc>
                <w:tcPr>
                  <w:tcW w:w="1335" w:type="dxa"/>
                  <w:vAlign w:val="center"/>
                </w:tcPr>
                <w:p w:rsidR="00BC07F0" w:rsidRDefault="00073EFB">
                  <w:pPr>
                    <w:pStyle w:val="a7"/>
                    <w:rPr>
                      <w:rFonts w:hint="default"/>
                    </w:rPr>
                  </w:pPr>
                  <w:r>
                    <w:t>1200</w:t>
                  </w:r>
                </w:p>
              </w:tc>
              <w:tc>
                <w:tcPr>
                  <w:tcW w:w="1260" w:type="dxa"/>
                  <w:vAlign w:val="center"/>
                </w:tcPr>
                <w:p w:rsidR="00BC07F0" w:rsidRDefault="00073EFB">
                  <w:pPr>
                    <w:pStyle w:val="a7"/>
                    <w:rPr>
                      <w:rFonts w:hint="default"/>
                    </w:rPr>
                  </w:pPr>
                  <w:r>
                    <w:t>4000</w:t>
                  </w:r>
                </w:p>
              </w:tc>
              <w:tc>
                <w:tcPr>
                  <w:tcW w:w="1034" w:type="dxa"/>
                  <w:vAlign w:val="center"/>
                </w:tcPr>
                <w:p w:rsidR="00BC07F0" w:rsidRDefault="00073EFB">
                  <w:pPr>
                    <w:pStyle w:val="a7"/>
                    <w:rPr>
                      <w:rFonts w:hint="default"/>
                    </w:rPr>
                  </w:pPr>
                  <w:r>
                    <w:t>30.0</w:t>
                  </w:r>
                </w:p>
              </w:tc>
              <w:tc>
                <w:tcPr>
                  <w:tcW w:w="743" w:type="dxa"/>
                  <w:vAlign w:val="center"/>
                </w:tcPr>
                <w:p w:rsidR="00BC07F0" w:rsidRDefault="00073EFB">
                  <w:pPr>
                    <w:pStyle w:val="a7"/>
                    <w:rPr>
                      <w:rFonts w:hint="default"/>
                    </w:rPr>
                  </w:pPr>
                  <w:r>
                    <w:t>达标</w:t>
                  </w:r>
                </w:p>
              </w:tc>
            </w:tr>
            <w:tr w:rsidR="00BC07F0">
              <w:trPr>
                <w:trHeight w:val="454"/>
                <w:jc w:val="center"/>
              </w:trPr>
              <w:tc>
                <w:tcPr>
                  <w:tcW w:w="1093" w:type="dxa"/>
                  <w:vAlign w:val="center"/>
                </w:tcPr>
                <w:p w:rsidR="00BC07F0" w:rsidRDefault="00073EFB">
                  <w:pPr>
                    <w:pStyle w:val="a7"/>
                    <w:rPr>
                      <w:rFonts w:hint="default"/>
                    </w:rPr>
                  </w:pPr>
                  <w:r>
                    <w:t>O3</w:t>
                  </w:r>
                </w:p>
              </w:tc>
              <w:tc>
                <w:tcPr>
                  <w:tcW w:w="3614" w:type="dxa"/>
                  <w:vAlign w:val="center"/>
                </w:tcPr>
                <w:p w:rsidR="00BC07F0" w:rsidRDefault="00073EFB">
                  <w:pPr>
                    <w:pStyle w:val="a7"/>
                    <w:rPr>
                      <w:rFonts w:hint="default"/>
                    </w:rPr>
                  </w:pPr>
                  <w:r>
                    <w:t>90</w:t>
                  </w:r>
                  <w:r>
                    <w:t>百分位数最大</w:t>
                  </w:r>
                  <w:r>
                    <w:t>8</w:t>
                  </w:r>
                  <w:r>
                    <w:t>小时平均质量浓度</w:t>
                  </w:r>
                </w:p>
              </w:tc>
              <w:tc>
                <w:tcPr>
                  <w:tcW w:w="1335" w:type="dxa"/>
                  <w:vAlign w:val="center"/>
                </w:tcPr>
                <w:p w:rsidR="00BC07F0" w:rsidRDefault="00073EFB">
                  <w:pPr>
                    <w:pStyle w:val="a7"/>
                    <w:rPr>
                      <w:rFonts w:hint="default"/>
                    </w:rPr>
                  </w:pPr>
                  <w:r>
                    <w:t>156</w:t>
                  </w:r>
                </w:p>
              </w:tc>
              <w:tc>
                <w:tcPr>
                  <w:tcW w:w="1260" w:type="dxa"/>
                  <w:vAlign w:val="center"/>
                </w:tcPr>
                <w:p w:rsidR="00BC07F0" w:rsidRDefault="00073EFB">
                  <w:pPr>
                    <w:pStyle w:val="a7"/>
                    <w:rPr>
                      <w:rFonts w:hint="default"/>
                    </w:rPr>
                  </w:pPr>
                  <w:r>
                    <w:t>160</w:t>
                  </w:r>
                </w:p>
              </w:tc>
              <w:tc>
                <w:tcPr>
                  <w:tcW w:w="1034" w:type="dxa"/>
                  <w:vAlign w:val="center"/>
                </w:tcPr>
                <w:p w:rsidR="00BC07F0" w:rsidRDefault="00073EFB">
                  <w:pPr>
                    <w:pStyle w:val="a7"/>
                    <w:rPr>
                      <w:rFonts w:hint="default"/>
                    </w:rPr>
                  </w:pPr>
                  <w:r>
                    <w:t>97.5</w:t>
                  </w:r>
                </w:p>
              </w:tc>
              <w:tc>
                <w:tcPr>
                  <w:tcW w:w="743" w:type="dxa"/>
                  <w:vAlign w:val="center"/>
                </w:tcPr>
                <w:p w:rsidR="00BC07F0" w:rsidRDefault="00073EFB">
                  <w:pPr>
                    <w:pStyle w:val="a7"/>
                    <w:rPr>
                      <w:rFonts w:hint="default"/>
                    </w:rPr>
                  </w:pPr>
                  <w:r>
                    <w:t>达标</w:t>
                  </w:r>
                </w:p>
              </w:tc>
            </w:tr>
          </w:tbl>
          <w:p w:rsidR="00BC07F0" w:rsidRDefault="00073EFB" w:rsidP="00C55F5E">
            <w:pPr>
              <w:ind w:firstLine="480"/>
            </w:pPr>
            <w:r>
              <w:rPr>
                <w:rFonts w:hint="eastAsia"/>
              </w:rPr>
              <w:t>根据上表统计结果，项目所在区域环境空气质量数据</w:t>
            </w:r>
            <w:r>
              <w:rPr>
                <w:rFonts w:hint="eastAsia"/>
              </w:rPr>
              <w:t>PM2.5</w:t>
            </w:r>
            <w:r>
              <w:rPr>
                <w:rFonts w:hint="eastAsia"/>
              </w:rPr>
              <w:t>、</w:t>
            </w:r>
            <w:r>
              <w:rPr>
                <w:rFonts w:hint="eastAsia"/>
              </w:rPr>
              <w:t>PM10</w:t>
            </w:r>
            <w:r>
              <w:rPr>
                <w:rFonts w:hint="eastAsia"/>
              </w:rPr>
              <w:t>、</w:t>
            </w:r>
            <w:r>
              <w:rPr>
                <w:rFonts w:hint="eastAsia"/>
              </w:rPr>
              <w:t>SO</w:t>
            </w:r>
            <w:r>
              <w:rPr>
                <w:rFonts w:hint="eastAsia"/>
                <w:vertAlign w:val="subscript"/>
              </w:rPr>
              <w:t>2</w:t>
            </w:r>
            <w:r>
              <w:rPr>
                <w:rFonts w:hint="eastAsia"/>
              </w:rPr>
              <w:t>、</w:t>
            </w:r>
            <w:r>
              <w:rPr>
                <w:rFonts w:hint="eastAsia"/>
              </w:rPr>
              <w:t>NO</w:t>
            </w:r>
            <w:r>
              <w:rPr>
                <w:rFonts w:hint="eastAsia"/>
                <w:vertAlign w:val="subscript"/>
              </w:rPr>
              <w:t>2</w:t>
            </w:r>
            <w:r>
              <w:rPr>
                <w:rFonts w:hint="eastAsia"/>
              </w:rPr>
              <w:t>、</w:t>
            </w:r>
            <w:r>
              <w:rPr>
                <w:rFonts w:hint="eastAsia"/>
              </w:rPr>
              <w:t>CO</w:t>
            </w:r>
            <w:r>
              <w:rPr>
                <w:rFonts w:hint="eastAsia"/>
              </w:rPr>
              <w:t>、</w:t>
            </w:r>
            <w:r>
              <w:rPr>
                <w:rFonts w:hint="eastAsia"/>
              </w:rPr>
              <w:t>O</w:t>
            </w:r>
            <w:r>
              <w:rPr>
                <w:rFonts w:hint="eastAsia"/>
                <w:vertAlign w:val="subscript"/>
              </w:rPr>
              <w:t>3</w:t>
            </w:r>
            <w:r>
              <w:rPr>
                <w:rFonts w:hint="eastAsia"/>
              </w:rPr>
              <w:t>监测因子的年均值浓度满足《环境空气质量标准》（</w:t>
            </w:r>
            <w:r>
              <w:rPr>
                <w:rFonts w:hint="eastAsia"/>
              </w:rPr>
              <w:t>GB3095-2012</w:t>
            </w:r>
            <w:r>
              <w:rPr>
                <w:rFonts w:hint="eastAsia"/>
              </w:rPr>
              <w:t>）二级标准年均值要求，因此</w:t>
            </w:r>
            <w:r>
              <w:rPr>
                <w:rFonts w:hint="eastAsia"/>
              </w:rPr>
              <w:t>雁峰</w:t>
            </w:r>
            <w:r>
              <w:rPr>
                <w:rFonts w:hint="eastAsia"/>
              </w:rPr>
              <w:t>区属于达标区。</w:t>
            </w:r>
          </w:p>
          <w:p w:rsidR="00BC07F0" w:rsidRDefault="00073EFB" w:rsidP="00C55F5E">
            <w:pPr>
              <w:tabs>
                <w:tab w:val="left" w:pos="480"/>
              </w:tabs>
              <w:ind w:firstLine="482"/>
            </w:pPr>
            <w:r>
              <w:rPr>
                <w:rFonts w:hint="eastAsia"/>
                <w:b/>
                <w:bCs/>
              </w:rPr>
              <w:t>3.2</w:t>
            </w:r>
            <w:r>
              <w:rPr>
                <w:rFonts w:hint="eastAsia"/>
                <w:b/>
                <w:bCs/>
              </w:rPr>
              <w:t>地表</w:t>
            </w:r>
            <w:r>
              <w:rPr>
                <w:b/>
                <w:bCs/>
              </w:rPr>
              <w:t>水</w:t>
            </w:r>
            <w:r>
              <w:rPr>
                <w:rFonts w:hint="eastAsia"/>
                <w:b/>
                <w:bCs/>
              </w:rPr>
              <w:t>环境质量现状</w:t>
            </w:r>
          </w:p>
          <w:p w:rsidR="00BC07F0" w:rsidRDefault="00073EFB">
            <w:pPr>
              <w:tabs>
                <w:tab w:val="left" w:pos="480"/>
              </w:tabs>
              <w:ind w:firstLine="480"/>
            </w:pPr>
            <w:r>
              <w:rPr>
                <w:rFonts w:hint="eastAsia"/>
              </w:rPr>
              <w:t>为了解地表水环境质量现状，本次评价对</w:t>
            </w:r>
            <w:r>
              <w:rPr>
                <w:rFonts w:hint="eastAsia"/>
              </w:rPr>
              <w:t>项目</w:t>
            </w:r>
            <w:r>
              <w:rPr>
                <w:rFonts w:hint="eastAsia"/>
              </w:rPr>
              <w:t>地表水</w:t>
            </w:r>
            <w:r>
              <w:rPr>
                <w:rFonts w:hint="eastAsia"/>
              </w:rPr>
              <w:t>进行了</w:t>
            </w:r>
            <w:r>
              <w:rPr>
                <w:rFonts w:hint="eastAsia"/>
              </w:rPr>
              <w:t>环境质量检测，检测结果统计与评价见下表</w:t>
            </w:r>
            <w:r>
              <w:t>。</w:t>
            </w:r>
          </w:p>
          <w:p w:rsidR="00BC07F0" w:rsidRDefault="00073EFB">
            <w:pPr>
              <w:numPr>
                <w:ilvl w:val="0"/>
                <w:numId w:val="8"/>
              </w:numPr>
              <w:tabs>
                <w:tab w:val="left" w:pos="480"/>
              </w:tabs>
              <w:ind w:left="0" w:firstLineChars="0" w:firstLine="420"/>
            </w:pPr>
            <w:r>
              <w:rPr>
                <w:rFonts w:hint="eastAsia"/>
              </w:rPr>
              <w:t>检测点位：</w:t>
            </w:r>
            <w:r>
              <w:rPr>
                <w:rFonts w:hint="eastAsia"/>
              </w:rPr>
              <w:t>S1</w:t>
            </w:r>
            <w:r>
              <w:rPr>
                <w:rFonts w:hint="eastAsia"/>
              </w:rPr>
              <w:t>幸福河断面</w:t>
            </w:r>
            <w:r>
              <w:rPr>
                <w:rFonts w:hint="eastAsia"/>
              </w:rPr>
              <w:t>、</w:t>
            </w:r>
            <w:r>
              <w:rPr>
                <w:rFonts w:hint="eastAsia"/>
              </w:rPr>
              <w:t>S2</w:t>
            </w:r>
            <w:r>
              <w:rPr>
                <w:rFonts w:hint="eastAsia"/>
              </w:rPr>
              <w:t>幸福河入湘江口下游</w:t>
            </w:r>
            <w:r>
              <w:rPr>
                <w:rFonts w:hint="eastAsia"/>
              </w:rPr>
              <w:t>600m</w:t>
            </w:r>
            <w:r>
              <w:rPr>
                <w:rFonts w:hint="eastAsia"/>
              </w:rPr>
              <w:t>、</w:t>
            </w:r>
            <w:r>
              <w:rPr>
                <w:rFonts w:hint="eastAsia"/>
              </w:rPr>
              <w:t>S3</w:t>
            </w:r>
            <w:r>
              <w:rPr>
                <w:rFonts w:hint="eastAsia"/>
              </w:rPr>
              <w:t>江东水厂取水口上游</w:t>
            </w:r>
            <w:r>
              <w:rPr>
                <w:rFonts w:hint="eastAsia"/>
              </w:rPr>
              <w:t>1200m</w:t>
            </w:r>
            <w:r>
              <w:rPr>
                <w:rFonts w:hint="eastAsia"/>
              </w:rPr>
              <w:t>湘江断面、</w:t>
            </w:r>
            <w:r>
              <w:rPr>
                <w:rFonts w:hint="eastAsia"/>
              </w:rPr>
              <w:t>S4</w:t>
            </w:r>
            <w:r>
              <w:rPr>
                <w:rFonts w:hint="eastAsia"/>
              </w:rPr>
              <w:t>江东水厂取水口下游</w:t>
            </w:r>
            <w:r>
              <w:rPr>
                <w:rFonts w:hint="eastAsia"/>
              </w:rPr>
              <w:t>500m</w:t>
            </w:r>
            <w:r>
              <w:rPr>
                <w:rFonts w:hint="eastAsia"/>
              </w:rPr>
              <w:t>湘江断面、</w:t>
            </w:r>
            <w:r>
              <w:rPr>
                <w:rFonts w:hint="eastAsia"/>
              </w:rPr>
              <w:t>S5</w:t>
            </w:r>
            <w:r>
              <w:rPr>
                <w:rFonts w:hint="eastAsia"/>
              </w:rPr>
              <w:t>日月湖。</w:t>
            </w:r>
          </w:p>
          <w:p w:rsidR="00BC07F0" w:rsidRDefault="00073EFB">
            <w:pPr>
              <w:numPr>
                <w:ilvl w:val="0"/>
                <w:numId w:val="8"/>
              </w:numPr>
              <w:tabs>
                <w:tab w:val="left" w:pos="480"/>
              </w:tabs>
              <w:ind w:left="0" w:firstLineChars="0" w:firstLine="420"/>
            </w:pPr>
            <w:r>
              <w:rPr>
                <w:rFonts w:hint="eastAsia"/>
              </w:rPr>
              <w:t>检测因子：水温、</w:t>
            </w:r>
            <w:r>
              <w:rPr>
                <w:rFonts w:hint="eastAsia"/>
              </w:rPr>
              <w:t>pH</w:t>
            </w:r>
            <w:r>
              <w:rPr>
                <w:rFonts w:hint="eastAsia"/>
              </w:rPr>
              <w:t>值、</w:t>
            </w:r>
            <w:r>
              <w:rPr>
                <w:rFonts w:hint="eastAsia"/>
              </w:rPr>
              <w:t>SS</w:t>
            </w:r>
            <w:r>
              <w:rPr>
                <w:rFonts w:hint="eastAsia"/>
              </w:rPr>
              <w:t>、</w:t>
            </w:r>
            <w:r>
              <w:rPr>
                <w:rFonts w:hint="eastAsia"/>
              </w:rPr>
              <w:t>COD</w:t>
            </w:r>
            <w:r>
              <w:rPr>
                <w:rFonts w:hint="eastAsia"/>
              </w:rPr>
              <w:t>、</w:t>
            </w:r>
            <w:r>
              <w:rPr>
                <w:rFonts w:hint="eastAsia"/>
              </w:rPr>
              <w:t>BOD</w:t>
            </w:r>
            <w:r>
              <w:rPr>
                <w:rFonts w:hint="eastAsia"/>
              </w:rPr>
              <w:t>5</w:t>
            </w:r>
            <w:r>
              <w:rPr>
                <w:rFonts w:hint="eastAsia"/>
              </w:rPr>
              <w:t>、</w:t>
            </w:r>
            <w:r>
              <w:rPr>
                <w:rFonts w:hint="eastAsia"/>
              </w:rPr>
              <w:t>NH</w:t>
            </w:r>
            <w:r>
              <w:rPr>
                <w:rFonts w:hint="eastAsia"/>
              </w:rPr>
              <w:t>3</w:t>
            </w:r>
            <w:r>
              <w:rPr>
                <w:rFonts w:hint="eastAsia"/>
              </w:rPr>
              <w:t>-N</w:t>
            </w:r>
            <w:r>
              <w:rPr>
                <w:rFonts w:hint="eastAsia"/>
              </w:rPr>
              <w:t>、</w:t>
            </w:r>
            <w:r>
              <w:rPr>
                <w:rFonts w:hint="eastAsia"/>
              </w:rPr>
              <w:t>TP</w:t>
            </w:r>
            <w:r>
              <w:rPr>
                <w:rFonts w:hint="eastAsia"/>
              </w:rPr>
              <w:t>、石油类、粪大肠菌群、溶解氧</w:t>
            </w:r>
            <w:r>
              <w:rPr>
                <w:rFonts w:hint="eastAsia"/>
              </w:rPr>
              <w:t>。</w:t>
            </w:r>
          </w:p>
          <w:p w:rsidR="00BC07F0" w:rsidRDefault="00073EFB">
            <w:pPr>
              <w:numPr>
                <w:ilvl w:val="0"/>
                <w:numId w:val="8"/>
              </w:numPr>
              <w:tabs>
                <w:tab w:val="left" w:pos="480"/>
              </w:tabs>
              <w:ind w:left="0" w:firstLineChars="0" w:firstLine="420"/>
            </w:pPr>
            <w:r>
              <w:rPr>
                <w:rFonts w:hint="eastAsia"/>
              </w:rPr>
              <w:t>检测时间：</w:t>
            </w:r>
            <w:r>
              <w:rPr>
                <w:rFonts w:hint="eastAsia"/>
              </w:rPr>
              <w:t>2021</w:t>
            </w:r>
            <w:r>
              <w:rPr>
                <w:rFonts w:hint="eastAsia"/>
              </w:rPr>
              <w:t>年</w:t>
            </w:r>
            <w:r>
              <w:rPr>
                <w:rFonts w:hint="eastAsia"/>
              </w:rPr>
              <w:t>5</w:t>
            </w:r>
            <w:r>
              <w:rPr>
                <w:rFonts w:hint="eastAsia"/>
              </w:rPr>
              <w:t>月</w:t>
            </w:r>
            <w:r>
              <w:rPr>
                <w:rFonts w:hint="eastAsia"/>
              </w:rPr>
              <w:t>2</w:t>
            </w:r>
            <w:r>
              <w:rPr>
                <w:rFonts w:hint="eastAsia"/>
              </w:rPr>
              <w:t>0~</w:t>
            </w:r>
            <w:r>
              <w:rPr>
                <w:rFonts w:hint="eastAsia"/>
              </w:rPr>
              <w:t>2</w:t>
            </w:r>
            <w:r>
              <w:rPr>
                <w:rFonts w:hint="eastAsia"/>
              </w:rPr>
              <w:t>2</w:t>
            </w:r>
            <w:r>
              <w:rPr>
                <w:rFonts w:hint="eastAsia"/>
              </w:rPr>
              <w:t>日。</w:t>
            </w:r>
          </w:p>
          <w:p w:rsidR="00BC07F0" w:rsidRDefault="00073EFB">
            <w:pPr>
              <w:numPr>
                <w:ilvl w:val="0"/>
                <w:numId w:val="8"/>
              </w:numPr>
              <w:tabs>
                <w:tab w:val="left" w:pos="480"/>
              </w:tabs>
              <w:ind w:left="0" w:firstLineChars="0" w:firstLine="420"/>
            </w:pPr>
            <w:r>
              <w:rPr>
                <w:rFonts w:hint="eastAsia"/>
              </w:rPr>
              <w:t>评价标准：执行《地表水环境质量标准》（</w:t>
            </w:r>
            <w:r>
              <w:rPr>
                <w:rFonts w:hint="eastAsia"/>
              </w:rPr>
              <w:t>GB3838-2002</w:t>
            </w:r>
            <w:r>
              <w:rPr>
                <w:rFonts w:hint="eastAsia"/>
              </w:rPr>
              <w:t>）</w:t>
            </w:r>
            <w:r>
              <w:rPr>
                <w:rFonts w:hint="eastAsia"/>
              </w:rPr>
              <w:t>Ⅲ</w:t>
            </w:r>
            <w:r>
              <w:rPr>
                <w:rFonts w:hint="eastAsia"/>
              </w:rPr>
              <w:t>类标准。</w:t>
            </w:r>
          </w:p>
          <w:p w:rsidR="00BC07F0" w:rsidRDefault="00073EFB">
            <w:pPr>
              <w:numPr>
                <w:ilvl w:val="0"/>
                <w:numId w:val="8"/>
              </w:numPr>
              <w:tabs>
                <w:tab w:val="left" w:pos="480"/>
              </w:tabs>
              <w:ind w:left="0" w:firstLineChars="0" w:firstLine="420"/>
            </w:pPr>
            <w:r>
              <w:rPr>
                <w:rFonts w:hint="eastAsia"/>
              </w:rPr>
              <w:t>检测结果：检测</w:t>
            </w:r>
            <w:r>
              <w:t>断面水质</w:t>
            </w:r>
            <w:r>
              <w:rPr>
                <w:rFonts w:hint="eastAsia"/>
              </w:rPr>
              <w:t>检测</w:t>
            </w:r>
            <w:r>
              <w:t>及评价结果</w:t>
            </w:r>
            <w:r>
              <w:rPr>
                <w:rFonts w:hint="eastAsia"/>
              </w:rPr>
              <w:t>见下表</w:t>
            </w:r>
            <w:r>
              <w:t>。</w:t>
            </w:r>
          </w:p>
          <w:p w:rsidR="00BC07F0" w:rsidRDefault="00073EFB">
            <w:pPr>
              <w:pStyle w:val="a7"/>
              <w:rPr>
                <w:rFonts w:hint="default"/>
                <w:b/>
                <w:bCs/>
              </w:rPr>
            </w:pPr>
            <w:r>
              <w:rPr>
                <w:b/>
                <w:bCs/>
              </w:rPr>
              <w:t>表</w:t>
            </w:r>
            <w:r>
              <w:rPr>
                <w:b/>
                <w:bCs/>
              </w:rPr>
              <w:t>3.2-1</w:t>
            </w:r>
            <w:r>
              <w:rPr>
                <w:b/>
                <w:bCs/>
              </w:rPr>
              <w:t>地表水现状监测</w:t>
            </w:r>
            <w:r>
              <w:rPr>
                <w:b/>
                <w:bCs/>
              </w:rPr>
              <w:t>结果一览表</w:t>
            </w:r>
            <w:r>
              <w:rPr>
                <w:b/>
                <w:bCs/>
              </w:rPr>
              <w:t>单位：</w:t>
            </w:r>
            <w:r>
              <w:rPr>
                <w:b/>
                <w:bCs/>
              </w:rPr>
              <w:t>mg/L</w:t>
            </w:r>
            <w:r>
              <w:rPr>
                <w:b/>
                <w:bCs/>
              </w:rPr>
              <w:t>，</w:t>
            </w:r>
            <w:r>
              <w:rPr>
                <w:b/>
                <w:bCs/>
              </w:rPr>
              <w:t>pH</w:t>
            </w:r>
            <w:r>
              <w:rPr>
                <w:b/>
                <w:bCs/>
              </w:rPr>
              <w:t>无量纲</w:t>
            </w:r>
          </w:p>
          <w:tbl>
            <w:tblPr>
              <w:tblW w:w="4949"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993"/>
              <w:gridCol w:w="1820"/>
              <w:gridCol w:w="1018"/>
              <w:gridCol w:w="1318"/>
              <w:gridCol w:w="1318"/>
              <w:gridCol w:w="1323"/>
              <w:gridCol w:w="1197"/>
            </w:tblGrid>
            <w:tr w:rsidR="00BC07F0">
              <w:trPr>
                <w:trHeight w:val="397"/>
                <w:jc w:val="center"/>
              </w:trPr>
              <w:tc>
                <w:tcPr>
                  <w:tcW w:w="552" w:type="pct"/>
                  <w:vMerge w:val="restart"/>
                  <w:vAlign w:val="center"/>
                </w:tcPr>
                <w:p w:rsidR="00BC07F0" w:rsidRDefault="00073EFB">
                  <w:pPr>
                    <w:pStyle w:val="a7"/>
                    <w:rPr>
                      <w:rFonts w:hint="default"/>
                    </w:rPr>
                  </w:pPr>
                  <w:r>
                    <w:lastRenderedPageBreak/>
                    <w:t>检测</w:t>
                  </w:r>
                  <w:r>
                    <w:t>点位</w:t>
                  </w:r>
                </w:p>
              </w:tc>
              <w:tc>
                <w:tcPr>
                  <w:tcW w:w="1012" w:type="pct"/>
                  <w:vMerge w:val="restart"/>
                  <w:vAlign w:val="center"/>
                </w:tcPr>
                <w:p w:rsidR="00BC07F0" w:rsidRDefault="00073EFB">
                  <w:pPr>
                    <w:pStyle w:val="a7"/>
                    <w:rPr>
                      <w:rFonts w:hint="default"/>
                    </w:rPr>
                  </w:pPr>
                  <w:r>
                    <w:t>检测项目</w:t>
                  </w:r>
                </w:p>
              </w:tc>
              <w:tc>
                <w:tcPr>
                  <w:tcW w:w="566" w:type="pct"/>
                  <w:vMerge w:val="restart"/>
                  <w:vAlign w:val="center"/>
                </w:tcPr>
                <w:p w:rsidR="00BC07F0" w:rsidRDefault="00073EFB">
                  <w:pPr>
                    <w:pStyle w:val="a7"/>
                    <w:rPr>
                      <w:rFonts w:hint="default"/>
                    </w:rPr>
                  </w:pPr>
                  <w:r>
                    <w:t>单位</w:t>
                  </w:r>
                </w:p>
              </w:tc>
              <w:tc>
                <w:tcPr>
                  <w:tcW w:w="2202" w:type="pct"/>
                  <w:gridSpan w:val="3"/>
                  <w:vAlign w:val="center"/>
                </w:tcPr>
                <w:p w:rsidR="00BC07F0" w:rsidRDefault="00073EFB">
                  <w:pPr>
                    <w:pStyle w:val="a7"/>
                    <w:rPr>
                      <w:rFonts w:hint="default"/>
                    </w:rPr>
                  </w:pPr>
                  <w:r>
                    <w:t>检测</w:t>
                  </w:r>
                  <w:r>
                    <w:t>时间及检测结果</w:t>
                  </w:r>
                </w:p>
              </w:tc>
              <w:tc>
                <w:tcPr>
                  <w:tcW w:w="666" w:type="pct"/>
                  <w:vMerge w:val="restart"/>
                  <w:vAlign w:val="center"/>
                </w:tcPr>
                <w:p w:rsidR="00BC07F0" w:rsidRDefault="00073EFB">
                  <w:pPr>
                    <w:pStyle w:val="a7"/>
                    <w:rPr>
                      <w:rFonts w:hint="default"/>
                    </w:rPr>
                  </w:pPr>
                  <w:r>
                    <w:t>参考限值</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Merge/>
                  <w:vAlign w:val="center"/>
                </w:tcPr>
                <w:p w:rsidR="00BC07F0" w:rsidRDefault="00BC07F0">
                  <w:pPr>
                    <w:pStyle w:val="a7"/>
                    <w:rPr>
                      <w:rFonts w:hint="default"/>
                    </w:rPr>
                  </w:pPr>
                </w:p>
              </w:tc>
              <w:tc>
                <w:tcPr>
                  <w:tcW w:w="566" w:type="pct"/>
                  <w:vMerge/>
                  <w:vAlign w:val="center"/>
                </w:tcPr>
                <w:p w:rsidR="00BC07F0" w:rsidRDefault="00BC07F0">
                  <w:pPr>
                    <w:pStyle w:val="a7"/>
                    <w:rPr>
                      <w:rFonts w:hint="default"/>
                    </w:rPr>
                  </w:pPr>
                </w:p>
              </w:tc>
              <w:tc>
                <w:tcPr>
                  <w:tcW w:w="733" w:type="pct"/>
                  <w:vAlign w:val="center"/>
                </w:tcPr>
                <w:p w:rsidR="00BC07F0" w:rsidRDefault="00073EFB">
                  <w:pPr>
                    <w:pStyle w:val="a7"/>
                    <w:rPr>
                      <w:rFonts w:hint="default"/>
                    </w:rPr>
                  </w:pPr>
                  <w:r>
                    <w:t>5.</w:t>
                  </w:r>
                  <w:r>
                    <w:t>2</w:t>
                  </w:r>
                  <w:r>
                    <w:t>0</w:t>
                  </w:r>
                </w:p>
              </w:tc>
              <w:tc>
                <w:tcPr>
                  <w:tcW w:w="733" w:type="pct"/>
                  <w:vAlign w:val="center"/>
                </w:tcPr>
                <w:p w:rsidR="00BC07F0" w:rsidRDefault="00073EFB">
                  <w:pPr>
                    <w:pStyle w:val="a7"/>
                    <w:rPr>
                      <w:rFonts w:hint="default"/>
                    </w:rPr>
                  </w:pPr>
                  <w:r>
                    <w:t>5.</w:t>
                  </w:r>
                  <w:r>
                    <w:t>2</w:t>
                  </w:r>
                  <w:r>
                    <w:t>1</w:t>
                  </w:r>
                </w:p>
              </w:tc>
              <w:tc>
                <w:tcPr>
                  <w:tcW w:w="736" w:type="pct"/>
                  <w:vAlign w:val="center"/>
                </w:tcPr>
                <w:p w:rsidR="00BC07F0" w:rsidRDefault="00073EFB">
                  <w:pPr>
                    <w:pStyle w:val="a7"/>
                    <w:rPr>
                      <w:rFonts w:hint="default"/>
                    </w:rPr>
                  </w:pPr>
                  <w:r>
                    <w:t>5.</w:t>
                  </w:r>
                  <w:r>
                    <w:t>2</w:t>
                  </w:r>
                  <w:r>
                    <w:t>2</w:t>
                  </w:r>
                </w:p>
              </w:tc>
              <w:tc>
                <w:tcPr>
                  <w:tcW w:w="666" w:type="pct"/>
                  <w:vMerge/>
                  <w:vAlign w:val="center"/>
                </w:tcPr>
                <w:p w:rsidR="00BC07F0" w:rsidRDefault="00BC07F0">
                  <w:pPr>
                    <w:pStyle w:val="a7"/>
                    <w:rPr>
                      <w:rFonts w:hint="default"/>
                    </w:rPr>
                  </w:pPr>
                </w:p>
              </w:tc>
            </w:tr>
            <w:tr w:rsidR="00BC07F0">
              <w:trPr>
                <w:trHeight w:val="397"/>
                <w:jc w:val="center"/>
              </w:trPr>
              <w:tc>
                <w:tcPr>
                  <w:tcW w:w="552" w:type="pct"/>
                  <w:vMerge w:val="restart"/>
                  <w:vAlign w:val="center"/>
                </w:tcPr>
                <w:p w:rsidR="00BC07F0" w:rsidRDefault="00073EFB">
                  <w:pPr>
                    <w:pStyle w:val="a7"/>
                    <w:rPr>
                      <w:rFonts w:hint="default"/>
                    </w:rPr>
                  </w:pPr>
                  <w:r>
                    <w:t>S1</w:t>
                  </w:r>
                  <w:r>
                    <w:t>幸福河断面</w:t>
                  </w:r>
                </w:p>
              </w:tc>
              <w:tc>
                <w:tcPr>
                  <w:tcW w:w="1012" w:type="pct"/>
                  <w:vAlign w:val="center"/>
                </w:tcPr>
                <w:p w:rsidR="00BC07F0" w:rsidRDefault="00073EFB">
                  <w:pPr>
                    <w:pStyle w:val="a7"/>
                    <w:rPr>
                      <w:rFonts w:hint="default"/>
                    </w:rPr>
                  </w:pPr>
                  <w:r>
                    <w:t>水温</w:t>
                  </w:r>
                </w:p>
              </w:tc>
              <w:tc>
                <w:tcPr>
                  <w:tcW w:w="566" w:type="pct"/>
                  <w:vAlign w:val="center"/>
                </w:tcPr>
                <w:p w:rsidR="00BC07F0" w:rsidRDefault="00073EFB">
                  <w:pPr>
                    <w:pStyle w:val="a7"/>
                    <w:rPr>
                      <w:rFonts w:hint="default"/>
                    </w:rPr>
                  </w:pPr>
                  <w:r>
                    <w:t>℃</w:t>
                  </w:r>
                </w:p>
              </w:tc>
              <w:tc>
                <w:tcPr>
                  <w:tcW w:w="733" w:type="pct"/>
                  <w:vAlign w:val="center"/>
                </w:tcPr>
                <w:p w:rsidR="00BC07F0" w:rsidRDefault="00073EFB">
                  <w:pPr>
                    <w:pStyle w:val="a7"/>
                    <w:rPr>
                      <w:rFonts w:hint="default"/>
                    </w:rPr>
                  </w:pPr>
                  <w:r>
                    <w:t>16.9</w:t>
                  </w:r>
                </w:p>
              </w:tc>
              <w:tc>
                <w:tcPr>
                  <w:tcW w:w="733" w:type="pct"/>
                  <w:vAlign w:val="center"/>
                </w:tcPr>
                <w:p w:rsidR="00BC07F0" w:rsidRDefault="00073EFB">
                  <w:pPr>
                    <w:pStyle w:val="a7"/>
                    <w:rPr>
                      <w:rFonts w:hint="default"/>
                    </w:rPr>
                  </w:pPr>
                  <w:r>
                    <w:t>16.4</w:t>
                  </w:r>
                </w:p>
              </w:tc>
              <w:tc>
                <w:tcPr>
                  <w:tcW w:w="736" w:type="pct"/>
                  <w:vAlign w:val="center"/>
                </w:tcPr>
                <w:p w:rsidR="00BC07F0" w:rsidRDefault="00073EFB">
                  <w:pPr>
                    <w:pStyle w:val="a7"/>
                    <w:rPr>
                      <w:rFonts w:hint="default"/>
                    </w:rPr>
                  </w:pPr>
                  <w:r>
                    <w:t>16.9</w:t>
                  </w:r>
                </w:p>
              </w:tc>
              <w:tc>
                <w:tcPr>
                  <w:tcW w:w="666" w:type="pct"/>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pH</w:t>
                  </w:r>
                </w:p>
              </w:tc>
              <w:tc>
                <w:tcPr>
                  <w:tcW w:w="566" w:type="pct"/>
                  <w:vAlign w:val="center"/>
                </w:tcPr>
                <w:p w:rsidR="00BC07F0" w:rsidRDefault="00073EFB">
                  <w:pPr>
                    <w:pStyle w:val="a7"/>
                    <w:rPr>
                      <w:rFonts w:hint="default"/>
                    </w:rPr>
                  </w:pPr>
                  <w:r>
                    <w:t>无量纲</w:t>
                  </w:r>
                </w:p>
              </w:tc>
              <w:tc>
                <w:tcPr>
                  <w:tcW w:w="733" w:type="pct"/>
                  <w:vAlign w:val="center"/>
                </w:tcPr>
                <w:p w:rsidR="00BC07F0" w:rsidRDefault="00073EFB">
                  <w:pPr>
                    <w:pStyle w:val="a7"/>
                    <w:rPr>
                      <w:rFonts w:hint="default"/>
                    </w:rPr>
                  </w:pPr>
                  <w:r>
                    <w:t>6.9</w:t>
                  </w:r>
                </w:p>
              </w:tc>
              <w:tc>
                <w:tcPr>
                  <w:tcW w:w="733" w:type="pct"/>
                  <w:vAlign w:val="center"/>
                </w:tcPr>
                <w:p w:rsidR="00BC07F0" w:rsidRDefault="00073EFB">
                  <w:pPr>
                    <w:pStyle w:val="a7"/>
                    <w:rPr>
                      <w:rFonts w:hint="default"/>
                    </w:rPr>
                  </w:pPr>
                  <w:r>
                    <w:t>7.1</w:t>
                  </w:r>
                </w:p>
              </w:tc>
              <w:tc>
                <w:tcPr>
                  <w:tcW w:w="736" w:type="pct"/>
                  <w:vAlign w:val="center"/>
                </w:tcPr>
                <w:p w:rsidR="00BC07F0" w:rsidRDefault="00073EFB">
                  <w:pPr>
                    <w:pStyle w:val="a7"/>
                    <w:rPr>
                      <w:rFonts w:hint="default"/>
                    </w:rPr>
                  </w:pPr>
                  <w:r>
                    <w:t>7.1</w:t>
                  </w:r>
                </w:p>
              </w:tc>
              <w:tc>
                <w:tcPr>
                  <w:tcW w:w="666" w:type="pct"/>
                  <w:vAlign w:val="center"/>
                </w:tcPr>
                <w:p w:rsidR="00BC07F0" w:rsidRDefault="00073EFB">
                  <w:pPr>
                    <w:pStyle w:val="a7"/>
                    <w:rPr>
                      <w:rFonts w:hint="default"/>
                    </w:rPr>
                  </w:pPr>
                  <w:r>
                    <w:t>6~9</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悬浮物</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11</w:t>
                  </w:r>
                </w:p>
              </w:tc>
              <w:tc>
                <w:tcPr>
                  <w:tcW w:w="733" w:type="pct"/>
                  <w:vAlign w:val="center"/>
                </w:tcPr>
                <w:p w:rsidR="00BC07F0" w:rsidRDefault="00073EFB">
                  <w:pPr>
                    <w:pStyle w:val="a7"/>
                    <w:rPr>
                      <w:rFonts w:hint="default"/>
                    </w:rPr>
                  </w:pPr>
                  <w:r>
                    <w:t>12</w:t>
                  </w:r>
                </w:p>
              </w:tc>
              <w:tc>
                <w:tcPr>
                  <w:tcW w:w="736" w:type="pct"/>
                  <w:vAlign w:val="center"/>
                </w:tcPr>
                <w:p w:rsidR="00BC07F0" w:rsidRDefault="00073EFB">
                  <w:pPr>
                    <w:pStyle w:val="a7"/>
                    <w:rPr>
                      <w:rFonts w:hint="default"/>
                    </w:rPr>
                  </w:pPr>
                  <w:r>
                    <w:t>12</w:t>
                  </w:r>
                </w:p>
              </w:tc>
              <w:tc>
                <w:tcPr>
                  <w:tcW w:w="666" w:type="pct"/>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COD</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10</w:t>
                  </w:r>
                </w:p>
              </w:tc>
              <w:tc>
                <w:tcPr>
                  <w:tcW w:w="733" w:type="pct"/>
                  <w:vAlign w:val="center"/>
                </w:tcPr>
                <w:p w:rsidR="00BC07F0" w:rsidRDefault="00073EFB">
                  <w:pPr>
                    <w:pStyle w:val="a7"/>
                    <w:rPr>
                      <w:rFonts w:hint="default"/>
                    </w:rPr>
                  </w:pPr>
                  <w:r>
                    <w:t>9</w:t>
                  </w:r>
                </w:p>
              </w:tc>
              <w:tc>
                <w:tcPr>
                  <w:tcW w:w="736" w:type="pct"/>
                  <w:vAlign w:val="center"/>
                </w:tcPr>
                <w:p w:rsidR="00BC07F0" w:rsidRDefault="00073EFB">
                  <w:pPr>
                    <w:pStyle w:val="a7"/>
                    <w:rPr>
                      <w:rFonts w:hint="default"/>
                    </w:rPr>
                  </w:pPr>
                  <w:r>
                    <w:t>9</w:t>
                  </w:r>
                </w:p>
              </w:tc>
              <w:tc>
                <w:tcPr>
                  <w:tcW w:w="666" w:type="pct"/>
                  <w:vAlign w:val="center"/>
                </w:tcPr>
                <w:p w:rsidR="00BC07F0" w:rsidRDefault="00073EFB">
                  <w:pPr>
                    <w:pStyle w:val="a7"/>
                    <w:rPr>
                      <w:rFonts w:hint="default"/>
                    </w:rPr>
                  </w:pPr>
                  <w:r>
                    <w:t>≤</w:t>
                  </w:r>
                  <w:r>
                    <w:t>20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BOD</w:t>
                  </w:r>
                  <w:r>
                    <w:rPr>
                      <w:vertAlign w:val="subscript"/>
                    </w:rPr>
                    <w:t>5</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1.9</w:t>
                  </w:r>
                </w:p>
              </w:tc>
              <w:tc>
                <w:tcPr>
                  <w:tcW w:w="733" w:type="pct"/>
                  <w:vAlign w:val="center"/>
                </w:tcPr>
                <w:p w:rsidR="00BC07F0" w:rsidRDefault="00073EFB">
                  <w:pPr>
                    <w:pStyle w:val="a7"/>
                    <w:rPr>
                      <w:rFonts w:hint="default"/>
                    </w:rPr>
                  </w:pPr>
                  <w:r>
                    <w:t>2.0</w:t>
                  </w:r>
                </w:p>
              </w:tc>
              <w:tc>
                <w:tcPr>
                  <w:tcW w:w="736" w:type="pct"/>
                  <w:vAlign w:val="center"/>
                </w:tcPr>
                <w:p w:rsidR="00BC07F0" w:rsidRDefault="00073EFB">
                  <w:pPr>
                    <w:pStyle w:val="a7"/>
                    <w:rPr>
                      <w:rFonts w:hint="default"/>
                    </w:rPr>
                  </w:pPr>
                  <w:r>
                    <w:t>1.8</w:t>
                  </w:r>
                </w:p>
              </w:tc>
              <w:tc>
                <w:tcPr>
                  <w:tcW w:w="666" w:type="pct"/>
                  <w:vAlign w:val="center"/>
                </w:tcPr>
                <w:p w:rsidR="00BC07F0" w:rsidRDefault="00073EFB">
                  <w:pPr>
                    <w:pStyle w:val="a7"/>
                    <w:rPr>
                      <w:rFonts w:hint="default"/>
                    </w:rPr>
                  </w:pPr>
                  <w:r>
                    <w:t>≤</w:t>
                  </w:r>
                  <w:r>
                    <w:t>4</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氨氮</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0.198</w:t>
                  </w:r>
                </w:p>
              </w:tc>
              <w:tc>
                <w:tcPr>
                  <w:tcW w:w="733" w:type="pct"/>
                  <w:vAlign w:val="center"/>
                </w:tcPr>
                <w:p w:rsidR="00BC07F0" w:rsidRDefault="00073EFB">
                  <w:pPr>
                    <w:pStyle w:val="a7"/>
                    <w:rPr>
                      <w:rFonts w:hint="default"/>
                    </w:rPr>
                  </w:pPr>
                  <w:r>
                    <w:t>0.224</w:t>
                  </w:r>
                </w:p>
              </w:tc>
              <w:tc>
                <w:tcPr>
                  <w:tcW w:w="736" w:type="pct"/>
                  <w:vAlign w:val="center"/>
                </w:tcPr>
                <w:p w:rsidR="00BC07F0" w:rsidRDefault="00073EFB">
                  <w:pPr>
                    <w:pStyle w:val="a7"/>
                    <w:rPr>
                      <w:rFonts w:hint="default"/>
                    </w:rPr>
                  </w:pPr>
                  <w:r>
                    <w:t>0.217</w:t>
                  </w:r>
                </w:p>
              </w:tc>
              <w:tc>
                <w:tcPr>
                  <w:tcW w:w="666" w:type="pct"/>
                  <w:vAlign w:val="center"/>
                </w:tcPr>
                <w:p w:rsidR="00BC07F0" w:rsidRDefault="00073EFB">
                  <w:pPr>
                    <w:pStyle w:val="a7"/>
                    <w:rPr>
                      <w:rFonts w:hint="default"/>
                    </w:rPr>
                  </w:pPr>
                  <w:r>
                    <w:t>≤</w:t>
                  </w:r>
                  <w:r>
                    <w:t>1.0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总磷</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0.12</w:t>
                  </w:r>
                </w:p>
              </w:tc>
              <w:tc>
                <w:tcPr>
                  <w:tcW w:w="733" w:type="pct"/>
                  <w:vAlign w:val="center"/>
                </w:tcPr>
                <w:p w:rsidR="00BC07F0" w:rsidRDefault="00073EFB">
                  <w:pPr>
                    <w:pStyle w:val="a7"/>
                    <w:rPr>
                      <w:rFonts w:hint="default"/>
                    </w:rPr>
                  </w:pPr>
                  <w:r>
                    <w:t>0.11</w:t>
                  </w:r>
                </w:p>
              </w:tc>
              <w:tc>
                <w:tcPr>
                  <w:tcW w:w="736" w:type="pct"/>
                  <w:vAlign w:val="center"/>
                </w:tcPr>
                <w:p w:rsidR="00BC07F0" w:rsidRDefault="00073EFB">
                  <w:pPr>
                    <w:pStyle w:val="a7"/>
                    <w:rPr>
                      <w:rFonts w:hint="default"/>
                    </w:rPr>
                  </w:pPr>
                  <w:r>
                    <w:t>0.11</w:t>
                  </w:r>
                </w:p>
              </w:tc>
              <w:tc>
                <w:tcPr>
                  <w:tcW w:w="666" w:type="pct"/>
                  <w:vAlign w:val="center"/>
                </w:tcPr>
                <w:p w:rsidR="00BC07F0" w:rsidRDefault="00073EFB">
                  <w:pPr>
                    <w:pStyle w:val="a7"/>
                    <w:rPr>
                      <w:rFonts w:hint="default"/>
                    </w:rPr>
                  </w:pPr>
                  <w:r>
                    <w:t>≤</w:t>
                  </w:r>
                  <w:r>
                    <w:t>0.</w:t>
                  </w:r>
                  <w:r>
                    <w:t>2</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石油类</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0.02</w:t>
                  </w:r>
                </w:p>
              </w:tc>
              <w:tc>
                <w:tcPr>
                  <w:tcW w:w="733" w:type="pct"/>
                  <w:vAlign w:val="center"/>
                </w:tcPr>
                <w:p w:rsidR="00BC07F0" w:rsidRDefault="00073EFB">
                  <w:pPr>
                    <w:pStyle w:val="a7"/>
                    <w:rPr>
                      <w:rFonts w:hint="default"/>
                    </w:rPr>
                  </w:pPr>
                  <w:r>
                    <w:t>0.01</w:t>
                  </w:r>
                </w:p>
              </w:tc>
              <w:tc>
                <w:tcPr>
                  <w:tcW w:w="736" w:type="pct"/>
                  <w:vAlign w:val="center"/>
                </w:tcPr>
                <w:p w:rsidR="00BC07F0" w:rsidRDefault="00073EFB">
                  <w:pPr>
                    <w:pStyle w:val="a7"/>
                    <w:rPr>
                      <w:rFonts w:hint="default"/>
                    </w:rPr>
                  </w:pPr>
                  <w:r>
                    <w:t>0.01</w:t>
                  </w:r>
                </w:p>
              </w:tc>
              <w:tc>
                <w:tcPr>
                  <w:tcW w:w="666" w:type="pct"/>
                  <w:vAlign w:val="center"/>
                </w:tcPr>
                <w:p w:rsidR="00BC07F0" w:rsidRDefault="00073EFB">
                  <w:pPr>
                    <w:pStyle w:val="a7"/>
                    <w:rPr>
                      <w:rFonts w:hint="default"/>
                    </w:rPr>
                  </w:pPr>
                  <w:r>
                    <w:t>≤</w:t>
                  </w:r>
                  <w:r>
                    <w:t>0.05</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粪大肠杆菌群</w:t>
                  </w:r>
                </w:p>
              </w:tc>
              <w:tc>
                <w:tcPr>
                  <w:tcW w:w="566" w:type="pct"/>
                  <w:vAlign w:val="center"/>
                </w:tcPr>
                <w:p w:rsidR="00BC07F0" w:rsidRDefault="00073EFB">
                  <w:pPr>
                    <w:pStyle w:val="a7"/>
                    <w:rPr>
                      <w:rFonts w:hint="default"/>
                    </w:rPr>
                  </w:pPr>
                  <w:r>
                    <w:t>MPN/L</w:t>
                  </w:r>
                </w:p>
              </w:tc>
              <w:tc>
                <w:tcPr>
                  <w:tcW w:w="733" w:type="pct"/>
                  <w:vAlign w:val="center"/>
                </w:tcPr>
                <w:p w:rsidR="00BC07F0" w:rsidRDefault="00073EFB">
                  <w:pPr>
                    <w:pStyle w:val="a7"/>
                    <w:rPr>
                      <w:rFonts w:hint="default"/>
                    </w:rPr>
                  </w:pPr>
                  <w:r>
                    <w:t>1200</w:t>
                  </w:r>
                </w:p>
              </w:tc>
              <w:tc>
                <w:tcPr>
                  <w:tcW w:w="733" w:type="pct"/>
                  <w:vAlign w:val="center"/>
                </w:tcPr>
                <w:p w:rsidR="00BC07F0" w:rsidRDefault="00073EFB">
                  <w:pPr>
                    <w:pStyle w:val="a7"/>
                    <w:rPr>
                      <w:rFonts w:hint="default"/>
                    </w:rPr>
                  </w:pPr>
                  <w:r>
                    <w:t>1400</w:t>
                  </w:r>
                </w:p>
              </w:tc>
              <w:tc>
                <w:tcPr>
                  <w:tcW w:w="736" w:type="pct"/>
                  <w:vAlign w:val="center"/>
                </w:tcPr>
                <w:p w:rsidR="00BC07F0" w:rsidRDefault="00073EFB">
                  <w:pPr>
                    <w:pStyle w:val="a7"/>
                    <w:rPr>
                      <w:rFonts w:hint="default"/>
                    </w:rPr>
                  </w:pPr>
                  <w:r>
                    <w:t>1500</w:t>
                  </w:r>
                </w:p>
              </w:tc>
              <w:tc>
                <w:tcPr>
                  <w:tcW w:w="666" w:type="pct"/>
                  <w:vAlign w:val="center"/>
                </w:tcPr>
                <w:p w:rsidR="00BC07F0" w:rsidRDefault="00073EFB">
                  <w:pPr>
                    <w:pStyle w:val="a7"/>
                    <w:rPr>
                      <w:rFonts w:hint="default"/>
                    </w:rPr>
                  </w:pPr>
                  <w:r>
                    <w:t>10000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溶解氧</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5.1</w:t>
                  </w:r>
                </w:p>
              </w:tc>
              <w:tc>
                <w:tcPr>
                  <w:tcW w:w="733" w:type="pct"/>
                  <w:vAlign w:val="center"/>
                </w:tcPr>
                <w:p w:rsidR="00BC07F0" w:rsidRDefault="00073EFB">
                  <w:pPr>
                    <w:pStyle w:val="a7"/>
                    <w:rPr>
                      <w:rFonts w:hint="default"/>
                    </w:rPr>
                  </w:pPr>
                  <w:r>
                    <w:t>5.6</w:t>
                  </w:r>
                </w:p>
              </w:tc>
              <w:tc>
                <w:tcPr>
                  <w:tcW w:w="736" w:type="pct"/>
                  <w:vAlign w:val="center"/>
                </w:tcPr>
                <w:p w:rsidR="00BC07F0" w:rsidRDefault="00073EFB">
                  <w:pPr>
                    <w:pStyle w:val="a7"/>
                    <w:rPr>
                      <w:rFonts w:hint="default"/>
                    </w:rPr>
                  </w:pPr>
                  <w:r>
                    <w:t>5.2</w:t>
                  </w:r>
                </w:p>
              </w:tc>
              <w:tc>
                <w:tcPr>
                  <w:tcW w:w="666" w:type="pct"/>
                  <w:vAlign w:val="center"/>
                </w:tcPr>
                <w:p w:rsidR="00BC07F0" w:rsidRDefault="00073EFB">
                  <w:pPr>
                    <w:pStyle w:val="a7"/>
                    <w:rPr>
                      <w:rFonts w:hint="default"/>
                    </w:rPr>
                  </w:pPr>
                  <w:r>
                    <w:t>≥</w:t>
                  </w:r>
                  <w:r>
                    <w:t>5</w:t>
                  </w:r>
                </w:p>
              </w:tc>
            </w:tr>
            <w:tr w:rsidR="00BC07F0">
              <w:trPr>
                <w:trHeight w:val="397"/>
                <w:jc w:val="center"/>
              </w:trPr>
              <w:tc>
                <w:tcPr>
                  <w:tcW w:w="552" w:type="pct"/>
                  <w:vMerge w:val="restart"/>
                  <w:vAlign w:val="center"/>
                </w:tcPr>
                <w:p w:rsidR="00BC07F0" w:rsidRDefault="00073EFB">
                  <w:pPr>
                    <w:pStyle w:val="a7"/>
                    <w:rPr>
                      <w:rFonts w:hint="default"/>
                    </w:rPr>
                  </w:pPr>
                  <w:r>
                    <w:t>S2</w:t>
                  </w:r>
                  <w:r>
                    <w:t>幸福河入湘江口下游</w:t>
                  </w:r>
                  <w:r>
                    <w:t>600m</w:t>
                  </w:r>
                </w:p>
              </w:tc>
              <w:tc>
                <w:tcPr>
                  <w:tcW w:w="1012" w:type="pct"/>
                  <w:vAlign w:val="center"/>
                </w:tcPr>
                <w:p w:rsidR="00BC07F0" w:rsidRDefault="00073EFB">
                  <w:pPr>
                    <w:pStyle w:val="a7"/>
                    <w:rPr>
                      <w:rFonts w:hint="default"/>
                    </w:rPr>
                  </w:pPr>
                  <w:r>
                    <w:t>水温</w:t>
                  </w:r>
                </w:p>
              </w:tc>
              <w:tc>
                <w:tcPr>
                  <w:tcW w:w="566" w:type="pct"/>
                  <w:vAlign w:val="center"/>
                </w:tcPr>
                <w:p w:rsidR="00BC07F0" w:rsidRDefault="00073EFB">
                  <w:pPr>
                    <w:pStyle w:val="a7"/>
                    <w:rPr>
                      <w:rFonts w:hint="default"/>
                    </w:rPr>
                  </w:pPr>
                  <w:r>
                    <w:t>℃</w:t>
                  </w:r>
                </w:p>
              </w:tc>
              <w:tc>
                <w:tcPr>
                  <w:tcW w:w="733" w:type="pct"/>
                  <w:vAlign w:val="center"/>
                </w:tcPr>
                <w:p w:rsidR="00BC07F0" w:rsidRDefault="00073EFB">
                  <w:pPr>
                    <w:pStyle w:val="a7"/>
                    <w:rPr>
                      <w:rFonts w:hint="default"/>
                    </w:rPr>
                  </w:pPr>
                  <w:r>
                    <w:t>17.8</w:t>
                  </w:r>
                </w:p>
              </w:tc>
              <w:tc>
                <w:tcPr>
                  <w:tcW w:w="733" w:type="pct"/>
                  <w:vAlign w:val="center"/>
                </w:tcPr>
                <w:p w:rsidR="00BC07F0" w:rsidRDefault="00073EFB">
                  <w:pPr>
                    <w:pStyle w:val="a7"/>
                    <w:rPr>
                      <w:rFonts w:hint="default"/>
                    </w:rPr>
                  </w:pPr>
                  <w:r>
                    <w:t>18.1</w:t>
                  </w:r>
                </w:p>
              </w:tc>
              <w:tc>
                <w:tcPr>
                  <w:tcW w:w="736" w:type="pct"/>
                  <w:vAlign w:val="center"/>
                </w:tcPr>
                <w:p w:rsidR="00BC07F0" w:rsidRDefault="00073EFB">
                  <w:pPr>
                    <w:pStyle w:val="a7"/>
                    <w:rPr>
                      <w:rFonts w:hint="default"/>
                    </w:rPr>
                  </w:pPr>
                  <w:r>
                    <w:t>18.2</w:t>
                  </w:r>
                </w:p>
              </w:tc>
              <w:tc>
                <w:tcPr>
                  <w:tcW w:w="666" w:type="pct"/>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pH</w:t>
                  </w:r>
                </w:p>
              </w:tc>
              <w:tc>
                <w:tcPr>
                  <w:tcW w:w="566" w:type="pct"/>
                  <w:vAlign w:val="center"/>
                </w:tcPr>
                <w:p w:rsidR="00BC07F0" w:rsidRDefault="00073EFB">
                  <w:pPr>
                    <w:pStyle w:val="a7"/>
                    <w:rPr>
                      <w:rFonts w:hint="default"/>
                    </w:rPr>
                  </w:pPr>
                  <w:r>
                    <w:t>无量纲</w:t>
                  </w:r>
                </w:p>
              </w:tc>
              <w:tc>
                <w:tcPr>
                  <w:tcW w:w="733" w:type="pct"/>
                  <w:vAlign w:val="center"/>
                </w:tcPr>
                <w:p w:rsidR="00BC07F0" w:rsidRDefault="00073EFB">
                  <w:pPr>
                    <w:pStyle w:val="a7"/>
                    <w:rPr>
                      <w:rFonts w:hint="default"/>
                    </w:rPr>
                  </w:pPr>
                  <w:r>
                    <w:t>7.4</w:t>
                  </w:r>
                </w:p>
              </w:tc>
              <w:tc>
                <w:tcPr>
                  <w:tcW w:w="733" w:type="pct"/>
                  <w:vAlign w:val="center"/>
                </w:tcPr>
                <w:p w:rsidR="00BC07F0" w:rsidRDefault="00073EFB">
                  <w:pPr>
                    <w:pStyle w:val="a7"/>
                    <w:rPr>
                      <w:rFonts w:hint="default"/>
                    </w:rPr>
                  </w:pPr>
                  <w:r>
                    <w:t>7.0</w:t>
                  </w:r>
                </w:p>
              </w:tc>
              <w:tc>
                <w:tcPr>
                  <w:tcW w:w="736" w:type="pct"/>
                  <w:vAlign w:val="center"/>
                </w:tcPr>
                <w:p w:rsidR="00BC07F0" w:rsidRDefault="00073EFB">
                  <w:pPr>
                    <w:pStyle w:val="a7"/>
                    <w:rPr>
                      <w:rFonts w:hint="default"/>
                    </w:rPr>
                  </w:pPr>
                  <w:r>
                    <w:t>7.1</w:t>
                  </w:r>
                </w:p>
              </w:tc>
              <w:tc>
                <w:tcPr>
                  <w:tcW w:w="666" w:type="pct"/>
                  <w:vAlign w:val="center"/>
                </w:tcPr>
                <w:p w:rsidR="00BC07F0" w:rsidRDefault="00073EFB">
                  <w:pPr>
                    <w:pStyle w:val="a7"/>
                    <w:rPr>
                      <w:rFonts w:hint="default"/>
                    </w:rPr>
                  </w:pPr>
                  <w:r>
                    <w:t>6~9</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悬浮物</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11</w:t>
                  </w:r>
                </w:p>
              </w:tc>
              <w:tc>
                <w:tcPr>
                  <w:tcW w:w="733" w:type="pct"/>
                  <w:vAlign w:val="center"/>
                </w:tcPr>
                <w:p w:rsidR="00BC07F0" w:rsidRDefault="00073EFB">
                  <w:pPr>
                    <w:pStyle w:val="a7"/>
                    <w:rPr>
                      <w:rFonts w:hint="default"/>
                    </w:rPr>
                  </w:pPr>
                  <w:r>
                    <w:t>10</w:t>
                  </w:r>
                </w:p>
              </w:tc>
              <w:tc>
                <w:tcPr>
                  <w:tcW w:w="736" w:type="pct"/>
                  <w:vAlign w:val="center"/>
                </w:tcPr>
                <w:p w:rsidR="00BC07F0" w:rsidRDefault="00073EFB">
                  <w:pPr>
                    <w:pStyle w:val="a7"/>
                    <w:rPr>
                      <w:rFonts w:hint="default"/>
                    </w:rPr>
                  </w:pPr>
                  <w:r>
                    <w:t>12</w:t>
                  </w:r>
                </w:p>
              </w:tc>
              <w:tc>
                <w:tcPr>
                  <w:tcW w:w="666" w:type="pct"/>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COD</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5</w:t>
                  </w:r>
                </w:p>
              </w:tc>
              <w:tc>
                <w:tcPr>
                  <w:tcW w:w="733" w:type="pct"/>
                  <w:vAlign w:val="center"/>
                </w:tcPr>
                <w:p w:rsidR="00BC07F0" w:rsidRDefault="00073EFB">
                  <w:pPr>
                    <w:pStyle w:val="a7"/>
                    <w:rPr>
                      <w:rFonts w:hint="default"/>
                    </w:rPr>
                  </w:pPr>
                  <w:r>
                    <w:t>6</w:t>
                  </w:r>
                </w:p>
              </w:tc>
              <w:tc>
                <w:tcPr>
                  <w:tcW w:w="736" w:type="pct"/>
                  <w:vAlign w:val="center"/>
                </w:tcPr>
                <w:p w:rsidR="00BC07F0" w:rsidRDefault="00073EFB">
                  <w:pPr>
                    <w:pStyle w:val="a7"/>
                    <w:rPr>
                      <w:rFonts w:hint="default"/>
                    </w:rPr>
                  </w:pPr>
                  <w:r>
                    <w:t>8</w:t>
                  </w:r>
                </w:p>
              </w:tc>
              <w:tc>
                <w:tcPr>
                  <w:tcW w:w="666" w:type="pct"/>
                  <w:vAlign w:val="center"/>
                </w:tcPr>
                <w:p w:rsidR="00BC07F0" w:rsidRDefault="00073EFB">
                  <w:pPr>
                    <w:pStyle w:val="a7"/>
                    <w:rPr>
                      <w:rFonts w:hint="default"/>
                    </w:rPr>
                  </w:pPr>
                  <w:r>
                    <w:t>≤</w:t>
                  </w:r>
                  <w:r>
                    <w:t>20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BOD</w:t>
                  </w:r>
                  <w:r>
                    <w:rPr>
                      <w:vertAlign w:val="subscript"/>
                    </w:rPr>
                    <w:t>5</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0.8</w:t>
                  </w:r>
                </w:p>
              </w:tc>
              <w:tc>
                <w:tcPr>
                  <w:tcW w:w="733" w:type="pct"/>
                  <w:vAlign w:val="center"/>
                </w:tcPr>
                <w:p w:rsidR="00BC07F0" w:rsidRDefault="00073EFB">
                  <w:pPr>
                    <w:pStyle w:val="a7"/>
                    <w:rPr>
                      <w:rFonts w:hint="default"/>
                    </w:rPr>
                  </w:pPr>
                  <w:r>
                    <w:t>0.9</w:t>
                  </w:r>
                </w:p>
              </w:tc>
              <w:tc>
                <w:tcPr>
                  <w:tcW w:w="736" w:type="pct"/>
                  <w:vAlign w:val="center"/>
                </w:tcPr>
                <w:p w:rsidR="00BC07F0" w:rsidRDefault="00073EFB">
                  <w:pPr>
                    <w:pStyle w:val="a7"/>
                    <w:rPr>
                      <w:rFonts w:hint="default"/>
                    </w:rPr>
                  </w:pPr>
                  <w:r>
                    <w:t>1.5</w:t>
                  </w:r>
                </w:p>
              </w:tc>
              <w:tc>
                <w:tcPr>
                  <w:tcW w:w="666" w:type="pct"/>
                  <w:vAlign w:val="center"/>
                </w:tcPr>
                <w:p w:rsidR="00BC07F0" w:rsidRDefault="00073EFB">
                  <w:pPr>
                    <w:pStyle w:val="a7"/>
                    <w:rPr>
                      <w:rFonts w:hint="default"/>
                    </w:rPr>
                  </w:pPr>
                  <w:r>
                    <w:t>≤</w:t>
                  </w:r>
                  <w:r>
                    <w:t>4</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氨氮</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0.111</w:t>
                  </w:r>
                </w:p>
              </w:tc>
              <w:tc>
                <w:tcPr>
                  <w:tcW w:w="733" w:type="pct"/>
                  <w:vAlign w:val="center"/>
                </w:tcPr>
                <w:p w:rsidR="00BC07F0" w:rsidRDefault="00073EFB">
                  <w:pPr>
                    <w:pStyle w:val="a7"/>
                    <w:rPr>
                      <w:rFonts w:hint="default"/>
                    </w:rPr>
                  </w:pPr>
                  <w:r>
                    <w:t>0.1</w:t>
                  </w:r>
                </w:p>
              </w:tc>
              <w:tc>
                <w:tcPr>
                  <w:tcW w:w="736" w:type="pct"/>
                  <w:vAlign w:val="center"/>
                </w:tcPr>
                <w:p w:rsidR="00BC07F0" w:rsidRDefault="00073EFB">
                  <w:pPr>
                    <w:pStyle w:val="a7"/>
                    <w:rPr>
                      <w:rFonts w:hint="default"/>
                    </w:rPr>
                  </w:pPr>
                  <w:r>
                    <w:t>0.136</w:t>
                  </w:r>
                </w:p>
              </w:tc>
              <w:tc>
                <w:tcPr>
                  <w:tcW w:w="666" w:type="pct"/>
                  <w:vAlign w:val="center"/>
                </w:tcPr>
                <w:p w:rsidR="00BC07F0" w:rsidRDefault="00073EFB">
                  <w:pPr>
                    <w:pStyle w:val="a7"/>
                    <w:rPr>
                      <w:rFonts w:hint="default"/>
                    </w:rPr>
                  </w:pPr>
                  <w:r>
                    <w:t>≤</w:t>
                  </w:r>
                  <w:r>
                    <w:t>1.0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总磷</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0.3</w:t>
                  </w:r>
                </w:p>
              </w:tc>
              <w:tc>
                <w:tcPr>
                  <w:tcW w:w="733" w:type="pct"/>
                  <w:vAlign w:val="center"/>
                </w:tcPr>
                <w:p w:rsidR="00BC07F0" w:rsidRDefault="00073EFB">
                  <w:pPr>
                    <w:pStyle w:val="a7"/>
                    <w:rPr>
                      <w:rFonts w:hint="default"/>
                    </w:rPr>
                  </w:pPr>
                  <w:r>
                    <w:t>0.3</w:t>
                  </w:r>
                </w:p>
              </w:tc>
              <w:tc>
                <w:tcPr>
                  <w:tcW w:w="736" w:type="pct"/>
                  <w:vAlign w:val="center"/>
                </w:tcPr>
                <w:p w:rsidR="00BC07F0" w:rsidRDefault="00073EFB">
                  <w:pPr>
                    <w:pStyle w:val="a7"/>
                    <w:rPr>
                      <w:rFonts w:hint="default"/>
                    </w:rPr>
                  </w:pPr>
                  <w:r>
                    <w:t>0.3</w:t>
                  </w:r>
                </w:p>
              </w:tc>
              <w:tc>
                <w:tcPr>
                  <w:tcW w:w="666" w:type="pct"/>
                  <w:vAlign w:val="center"/>
                </w:tcPr>
                <w:p w:rsidR="00BC07F0" w:rsidRDefault="00073EFB">
                  <w:pPr>
                    <w:pStyle w:val="a7"/>
                    <w:rPr>
                      <w:rFonts w:hint="default"/>
                    </w:rPr>
                  </w:pPr>
                  <w:r>
                    <w:t>≤</w:t>
                  </w:r>
                  <w:r>
                    <w:t>0.</w:t>
                  </w:r>
                  <w:r>
                    <w:t>2</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石油类</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0.02</w:t>
                  </w:r>
                </w:p>
              </w:tc>
              <w:tc>
                <w:tcPr>
                  <w:tcW w:w="733" w:type="pct"/>
                  <w:vAlign w:val="center"/>
                </w:tcPr>
                <w:p w:rsidR="00BC07F0" w:rsidRDefault="00073EFB">
                  <w:pPr>
                    <w:pStyle w:val="a7"/>
                    <w:rPr>
                      <w:rFonts w:hint="default"/>
                    </w:rPr>
                  </w:pPr>
                  <w:r>
                    <w:t>0.01</w:t>
                  </w:r>
                </w:p>
              </w:tc>
              <w:tc>
                <w:tcPr>
                  <w:tcW w:w="736" w:type="pct"/>
                  <w:vAlign w:val="center"/>
                </w:tcPr>
                <w:p w:rsidR="00BC07F0" w:rsidRDefault="00073EFB">
                  <w:pPr>
                    <w:pStyle w:val="a7"/>
                    <w:rPr>
                      <w:rFonts w:hint="default"/>
                    </w:rPr>
                  </w:pPr>
                  <w:r>
                    <w:t>0.01</w:t>
                  </w:r>
                </w:p>
              </w:tc>
              <w:tc>
                <w:tcPr>
                  <w:tcW w:w="666" w:type="pct"/>
                  <w:vAlign w:val="center"/>
                </w:tcPr>
                <w:p w:rsidR="00BC07F0" w:rsidRDefault="00073EFB">
                  <w:pPr>
                    <w:pStyle w:val="a7"/>
                    <w:rPr>
                      <w:rFonts w:hint="default"/>
                    </w:rPr>
                  </w:pPr>
                  <w:r>
                    <w:t>≤</w:t>
                  </w:r>
                  <w:r>
                    <w:t>0.05</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粪大肠杆菌群</w:t>
                  </w:r>
                </w:p>
              </w:tc>
              <w:tc>
                <w:tcPr>
                  <w:tcW w:w="1030" w:type="dxa"/>
                  <w:vAlign w:val="center"/>
                </w:tcPr>
                <w:p w:rsidR="00BC07F0" w:rsidRDefault="00073EFB">
                  <w:pPr>
                    <w:pStyle w:val="a7"/>
                    <w:rPr>
                      <w:rFonts w:hint="default"/>
                    </w:rPr>
                  </w:pPr>
                  <w:r>
                    <w:t>MPN/L</w:t>
                  </w:r>
                </w:p>
              </w:tc>
              <w:tc>
                <w:tcPr>
                  <w:tcW w:w="1334" w:type="dxa"/>
                  <w:vAlign w:val="center"/>
                </w:tcPr>
                <w:p w:rsidR="00BC07F0" w:rsidRDefault="00073EFB">
                  <w:pPr>
                    <w:pStyle w:val="a7"/>
                    <w:rPr>
                      <w:rFonts w:hint="default"/>
                    </w:rPr>
                  </w:pPr>
                  <w:r>
                    <w:t>1400</w:t>
                  </w:r>
                </w:p>
              </w:tc>
              <w:tc>
                <w:tcPr>
                  <w:tcW w:w="1334" w:type="dxa"/>
                  <w:vAlign w:val="center"/>
                </w:tcPr>
                <w:p w:rsidR="00BC07F0" w:rsidRDefault="00073EFB">
                  <w:pPr>
                    <w:pStyle w:val="a7"/>
                    <w:rPr>
                      <w:rFonts w:hint="default"/>
                    </w:rPr>
                  </w:pPr>
                  <w:r>
                    <w:t>1700</w:t>
                  </w:r>
                </w:p>
              </w:tc>
              <w:tc>
                <w:tcPr>
                  <w:tcW w:w="1340" w:type="dxa"/>
                  <w:vAlign w:val="center"/>
                </w:tcPr>
                <w:p w:rsidR="00BC07F0" w:rsidRDefault="00073EFB">
                  <w:pPr>
                    <w:pStyle w:val="a7"/>
                    <w:rPr>
                      <w:rFonts w:hint="default"/>
                    </w:rPr>
                  </w:pPr>
                  <w:r>
                    <w:t>1300</w:t>
                  </w:r>
                </w:p>
              </w:tc>
              <w:tc>
                <w:tcPr>
                  <w:tcW w:w="1212" w:type="dxa"/>
                  <w:vAlign w:val="center"/>
                </w:tcPr>
                <w:p w:rsidR="00BC07F0" w:rsidRDefault="00073EFB">
                  <w:pPr>
                    <w:pStyle w:val="a7"/>
                    <w:rPr>
                      <w:rFonts w:hint="default"/>
                    </w:rPr>
                  </w:pPr>
                  <w:r>
                    <w:t>10000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溶解氧</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5.6</w:t>
                  </w:r>
                </w:p>
              </w:tc>
              <w:tc>
                <w:tcPr>
                  <w:tcW w:w="733" w:type="pct"/>
                  <w:vAlign w:val="center"/>
                </w:tcPr>
                <w:p w:rsidR="00BC07F0" w:rsidRDefault="00073EFB">
                  <w:pPr>
                    <w:pStyle w:val="a7"/>
                    <w:rPr>
                      <w:rFonts w:hint="default"/>
                    </w:rPr>
                  </w:pPr>
                  <w:r>
                    <w:t>5.8</w:t>
                  </w:r>
                </w:p>
              </w:tc>
              <w:tc>
                <w:tcPr>
                  <w:tcW w:w="736" w:type="pct"/>
                  <w:vAlign w:val="center"/>
                </w:tcPr>
                <w:p w:rsidR="00BC07F0" w:rsidRDefault="00073EFB">
                  <w:pPr>
                    <w:pStyle w:val="a7"/>
                    <w:rPr>
                      <w:rFonts w:hint="default"/>
                    </w:rPr>
                  </w:pPr>
                  <w:r>
                    <w:t>5.9</w:t>
                  </w:r>
                </w:p>
              </w:tc>
              <w:tc>
                <w:tcPr>
                  <w:tcW w:w="666" w:type="pct"/>
                  <w:vAlign w:val="center"/>
                </w:tcPr>
                <w:p w:rsidR="00BC07F0" w:rsidRDefault="00073EFB">
                  <w:pPr>
                    <w:pStyle w:val="a7"/>
                    <w:rPr>
                      <w:rFonts w:hint="default"/>
                    </w:rPr>
                  </w:pPr>
                  <w:r>
                    <w:t>≥</w:t>
                  </w:r>
                  <w:r>
                    <w:t>5</w:t>
                  </w:r>
                </w:p>
              </w:tc>
            </w:tr>
            <w:tr w:rsidR="00BC07F0">
              <w:trPr>
                <w:trHeight w:val="397"/>
                <w:jc w:val="center"/>
              </w:trPr>
              <w:tc>
                <w:tcPr>
                  <w:tcW w:w="552" w:type="pct"/>
                  <w:vMerge w:val="restart"/>
                  <w:vAlign w:val="center"/>
                </w:tcPr>
                <w:p w:rsidR="00BC07F0" w:rsidRDefault="00073EFB">
                  <w:pPr>
                    <w:pStyle w:val="a7"/>
                    <w:rPr>
                      <w:rFonts w:hint="default"/>
                    </w:rPr>
                  </w:pPr>
                  <w:r>
                    <w:t>S3</w:t>
                  </w:r>
                  <w:r>
                    <w:t>江东水厂取水口上游</w:t>
                  </w:r>
                  <w:r>
                    <w:t>1200m</w:t>
                  </w:r>
                  <w:r>
                    <w:t>湘江断面</w:t>
                  </w:r>
                </w:p>
              </w:tc>
              <w:tc>
                <w:tcPr>
                  <w:tcW w:w="1012" w:type="pct"/>
                  <w:vAlign w:val="center"/>
                </w:tcPr>
                <w:p w:rsidR="00BC07F0" w:rsidRDefault="00073EFB">
                  <w:pPr>
                    <w:pStyle w:val="a7"/>
                    <w:rPr>
                      <w:rFonts w:hint="default"/>
                    </w:rPr>
                  </w:pPr>
                  <w:r>
                    <w:t>水温</w:t>
                  </w:r>
                </w:p>
              </w:tc>
              <w:tc>
                <w:tcPr>
                  <w:tcW w:w="566" w:type="pct"/>
                  <w:vAlign w:val="center"/>
                </w:tcPr>
                <w:p w:rsidR="00BC07F0" w:rsidRDefault="00073EFB">
                  <w:pPr>
                    <w:pStyle w:val="a7"/>
                    <w:rPr>
                      <w:rFonts w:hint="default"/>
                    </w:rPr>
                  </w:pPr>
                  <w:r>
                    <w:t>℃</w:t>
                  </w:r>
                </w:p>
              </w:tc>
              <w:tc>
                <w:tcPr>
                  <w:tcW w:w="733" w:type="pct"/>
                  <w:vAlign w:val="center"/>
                </w:tcPr>
                <w:p w:rsidR="00BC07F0" w:rsidRDefault="00073EFB">
                  <w:pPr>
                    <w:pStyle w:val="a7"/>
                    <w:rPr>
                      <w:rFonts w:hint="default"/>
                    </w:rPr>
                  </w:pPr>
                  <w:r>
                    <w:t>18.1</w:t>
                  </w:r>
                </w:p>
              </w:tc>
              <w:tc>
                <w:tcPr>
                  <w:tcW w:w="733" w:type="pct"/>
                  <w:vAlign w:val="center"/>
                </w:tcPr>
                <w:p w:rsidR="00BC07F0" w:rsidRDefault="00073EFB">
                  <w:pPr>
                    <w:pStyle w:val="a7"/>
                    <w:rPr>
                      <w:rFonts w:hint="default"/>
                    </w:rPr>
                  </w:pPr>
                  <w:r>
                    <w:t>18.2</w:t>
                  </w:r>
                </w:p>
              </w:tc>
              <w:tc>
                <w:tcPr>
                  <w:tcW w:w="736" w:type="pct"/>
                  <w:vAlign w:val="center"/>
                </w:tcPr>
                <w:p w:rsidR="00BC07F0" w:rsidRDefault="00073EFB">
                  <w:pPr>
                    <w:pStyle w:val="a7"/>
                    <w:rPr>
                      <w:rFonts w:hint="default"/>
                    </w:rPr>
                  </w:pPr>
                  <w:r>
                    <w:t>17.8</w:t>
                  </w:r>
                </w:p>
              </w:tc>
              <w:tc>
                <w:tcPr>
                  <w:tcW w:w="666" w:type="pct"/>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pH</w:t>
                  </w:r>
                </w:p>
              </w:tc>
              <w:tc>
                <w:tcPr>
                  <w:tcW w:w="566" w:type="pct"/>
                  <w:vAlign w:val="center"/>
                </w:tcPr>
                <w:p w:rsidR="00BC07F0" w:rsidRDefault="00073EFB">
                  <w:pPr>
                    <w:pStyle w:val="a7"/>
                    <w:rPr>
                      <w:rFonts w:hint="default"/>
                    </w:rPr>
                  </w:pPr>
                  <w:r>
                    <w:t>无量纲</w:t>
                  </w:r>
                </w:p>
              </w:tc>
              <w:tc>
                <w:tcPr>
                  <w:tcW w:w="733" w:type="pct"/>
                  <w:vAlign w:val="center"/>
                </w:tcPr>
                <w:p w:rsidR="00BC07F0" w:rsidRDefault="00073EFB">
                  <w:pPr>
                    <w:pStyle w:val="a7"/>
                    <w:rPr>
                      <w:rFonts w:hint="default"/>
                    </w:rPr>
                  </w:pPr>
                  <w:r>
                    <w:t>7.0</w:t>
                  </w:r>
                </w:p>
              </w:tc>
              <w:tc>
                <w:tcPr>
                  <w:tcW w:w="733" w:type="pct"/>
                  <w:vAlign w:val="center"/>
                </w:tcPr>
                <w:p w:rsidR="00BC07F0" w:rsidRDefault="00073EFB">
                  <w:pPr>
                    <w:pStyle w:val="a7"/>
                    <w:rPr>
                      <w:rFonts w:hint="default"/>
                    </w:rPr>
                  </w:pPr>
                  <w:r>
                    <w:t>7.4</w:t>
                  </w:r>
                </w:p>
              </w:tc>
              <w:tc>
                <w:tcPr>
                  <w:tcW w:w="736" w:type="pct"/>
                  <w:vAlign w:val="center"/>
                </w:tcPr>
                <w:p w:rsidR="00BC07F0" w:rsidRDefault="00073EFB">
                  <w:pPr>
                    <w:pStyle w:val="a7"/>
                    <w:rPr>
                      <w:rFonts w:hint="default"/>
                    </w:rPr>
                  </w:pPr>
                  <w:r>
                    <w:t>7.1</w:t>
                  </w:r>
                </w:p>
              </w:tc>
              <w:tc>
                <w:tcPr>
                  <w:tcW w:w="666" w:type="pct"/>
                  <w:vAlign w:val="center"/>
                </w:tcPr>
                <w:p w:rsidR="00BC07F0" w:rsidRDefault="00073EFB">
                  <w:pPr>
                    <w:pStyle w:val="a7"/>
                    <w:rPr>
                      <w:rFonts w:hint="default"/>
                    </w:rPr>
                  </w:pPr>
                  <w:r>
                    <w:t>6~9</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悬浮物</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10</w:t>
                  </w:r>
                </w:p>
              </w:tc>
              <w:tc>
                <w:tcPr>
                  <w:tcW w:w="733" w:type="pct"/>
                  <w:vAlign w:val="center"/>
                </w:tcPr>
                <w:p w:rsidR="00BC07F0" w:rsidRDefault="00073EFB">
                  <w:pPr>
                    <w:pStyle w:val="a7"/>
                    <w:rPr>
                      <w:rFonts w:hint="default"/>
                    </w:rPr>
                  </w:pPr>
                  <w:r>
                    <w:t>13</w:t>
                  </w:r>
                </w:p>
              </w:tc>
              <w:tc>
                <w:tcPr>
                  <w:tcW w:w="736" w:type="pct"/>
                  <w:vAlign w:val="center"/>
                </w:tcPr>
                <w:p w:rsidR="00BC07F0" w:rsidRDefault="00073EFB">
                  <w:pPr>
                    <w:pStyle w:val="a7"/>
                    <w:rPr>
                      <w:rFonts w:hint="default"/>
                    </w:rPr>
                  </w:pPr>
                  <w:r>
                    <w:t>11</w:t>
                  </w:r>
                </w:p>
              </w:tc>
              <w:tc>
                <w:tcPr>
                  <w:tcW w:w="666" w:type="pct"/>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COD</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5</w:t>
                  </w:r>
                </w:p>
              </w:tc>
              <w:tc>
                <w:tcPr>
                  <w:tcW w:w="733" w:type="pct"/>
                  <w:vAlign w:val="center"/>
                </w:tcPr>
                <w:p w:rsidR="00BC07F0" w:rsidRDefault="00073EFB">
                  <w:pPr>
                    <w:pStyle w:val="a7"/>
                    <w:rPr>
                      <w:rFonts w:hint="default"/>
                    </w:rPr>
                  </w:pPr>
                  <w:r>
                    <w:t>5</w:t>
                  </w:r>
                </w:p>
              </w:tc>
              <w:tc>
                <w:tcPr>
                  <w:tcW w:w="736" w:type="pct"/>
                  <w:vAlign w:val="center"/>
                </w:tcPr>
                <w:p w:rsidR="00BC07F0" w:rsidRDefault="00073EFB">
                  <w:pPr>
                    <w:pStyle w:val="a7"/>
                    <w:rPr>
                      <w:rFonts w:hint="default"/>
                    </w:rPr>
                  </w:pPr>
                  <w:r>
                    <w:t>7</w:t>
                  </w:r>
                </w:p>
              </w:tc>
              <w:tc>
                <w:tcPr>
                  <w:tcW w:w="666" w:type="pct"/>
                  <w:vAlign w:val="center"/>
                </w:tcPr>
                <w:p w:rsidR="00BC07F0" w:rsidRDefault="00073EFB">
                  <w:pPr>
                    <w:pStyle w:val="a7"/>
                    <w:rPr>
                      <w:rFonts w:hint="default"/>
                    </w:rPr>
                  </w:pPr>
                  <w:r>
                    <w:t>≤</w:t>
                  </w:r>
                  <w:r>
                    <w:t>20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BOD</w:t>
                  </w:r>
                  <w:r>
                    <w:rPr>
                      <w:vertAlign w:val="subscript"/>
                    </w:rPr>
                    <w:t>5</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0.8</w:t>
                  </w:r>
                </w:p>
              </w:tc>
              <w:tc>
                <w:tcPr>
                  <w:tcW w:w="733" w:type="pct"/>
                  <w:vAlign w:val="center"/>
                </w:tcPr>
                <w:p w:rsidR="00BC07F0" w:rsidRDefault="00073EFB">
                  <w:pPr>
                    <w:pStyle w:val="a7"/>
                    <w:rPr>
                      <w:rFonts w:hint="default"/>
                    </w:rPr>
                  </w:pPr>
                  <w:r>
                    <w:t>0.7</w:t>
                  </w:r>
                </w:p>
              </w:tc>
              <w:tc>
                <w:tcPr>
                  <w:tcW w:w="736" w:type="pct"/>
                  <w:vAlign w:val="center"/>
                </w:tcPr>
                <w:p w:rsidR="00BC07F0" w:rsidRDefault="00073EFB">
                  <w:pPr>
                    <w:pStyle w:val="a7"/>
                    <w:rPr>
                      <w:rFonts w:hint="default"/>
                    </w:rPr>
                  </w:pPr>
                  <w:r>
                    <w:t>1.6</w:t>
                  </w:r>
                </w:p>
              </w:tc>
              <w:tc>
                <w:tcPr>
                  <w:tcW w:w="666" w:type="pct"/>
                  <w:vAlign w:val="center"/>
                </w:tcPr>
                <w:p w:rsidR="00BC07F0" w:rsidRDefault="00073EFB">
                  <w:pPr>
                    <w:pStyle w:val="a7"/>
                    <w:rPr>
                      <w:rFonts w:hint="default"/>
                    </w:rPr>
                  </w:pPr>
                  <w:r>
                    <w:t>≤</w:t>
                  </w:r>
                  <w:r>
                    <w:t>4</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氨氮</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0.122</w:t>
                  </w:r>
                </w:p>
              </w:tc>
              <w:tc>
                <w:tcPr>
                  <w:tcW w:w="733" w:type="pct"/>
                  <w:vAlign w:val="center"/>
                </w:tcPr>
                <w:p w:rsidR="00BC07F0" w:rsidRDefault="00073EFB">
                  <w:pPr>
                    <w:pStyle w:val="a7"/>
                    <w:rPr>
                      <w:rFonts w:hint="default"/>
                    </w:rPr>
                  </w:pPr>
                  <w:r>
                    <w:t>0.094</w:t>
                  </w:r>
                </w:p>
              </w:tc>
              <w:tc>
                <w:tcPr>
                  <w:tcW w:w="736" w:type="pct"/>
                  <w:vAlign w:val="center"/>
                </w:tcPr>
                <w:p w:rsidR="00BC07F0" w:rsidRDefault="00073EFB">
                  <w:pPr>
                    <w:pStyle w:val="a7"/>
                    <w:rPr>
                      <w:rFonts w:hint="default"/>
                    </w:rPr>
                  </w:pPr>
                  <w:r>
                    <w:t>0.134</w:t>
                  </w:r>
                </w:p>
              </w:tc>
              <w:tc>
                <w:tcPr>
                  <w:tcW w:w="666" w:type="pct"/>
                  <w:vAlign w:val="center"/>
                </w:tcPr>
                <w:p w:rsidR="00BC07F0" w:rsidRDefault="00073EFB">
                  <w:pPr>
                    <w:pStyle w:val="a7"/>
                    <w:rPr>
                      <w:rFonts w:hint="default"/>
                    </w:rPr>
                  </w:pPr>
                  <w:r>
                    <w:t>≤</w:t>
                  </w:r>
                  <w:r>
                    <w:t>1.0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总磷</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0.4</w:t>
                  </w:r>
                </w:p>
              </w:tc>
              <w:tc>
                <w:tcPr>
                  <w:tcW w:w="733" w:type="pct"/>
                  <w:vAlign w:val="center"/>
                </w:tcPr>
                <w:p w:rsidR="00BC07F0" w:rsidRDefault="00073EFB">
                  <w:pPr>
                    <w:pStyle w:val="a7"/>
                    <w:rPr>
                      <w:rFonts w:hint="default"/>
                    </w:rPr>
                  </w:pPr>
                  <w:r>
                    <w:t>0.4</w:t>
                  </w:r>
                </w:p>
              </w:tc>
              <w:tc>
                <w:tcPr>
                  <w:tcW w:w="736" w:type="pct"/>
                  <w:vAlign w:val="center"/>
                </w:tcPr>
                <w:p w:rsidR="00BC07F0" w:rsidRDefault="00073EFB">
                  <w:pPr>
                    <w:pStyle w:val="a7"/>
                    <w:rPr>
                      <w:rFonts w:hint="default"/>
                    </w:rPr>
                  </w:pPr>
                  <w:r>
                    <w:t>0.2</w:t>
                  </w:r>
                </w:p>
              </w:tc>
              <w:tc>
                <w:tcPr>
                  <w:tcW w:w="666" w:type="pct"/>
                  <w:vAlign w:val="center"/>
                </w:tcPr>
                <w:p w:rsidR="00BC07F0" w:rsidRDefault="00073EFB">
                  <w:pPr>
                    <w:pStyle w:val="a7"/>
                    <w:rPr>
                      <w:rFonts w:hint="default"/>
                    </w:rPr>
                  </w:pPr>
                  <w:r>
                    <w:t>≤</w:t>
                  </w:r>
                  <w:r>
                    <w:t>0.</w:t>
                  </w:r>
                  <w:r>
                    <w:t>2</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石油类</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0.02</w:t>
                  </w:r>
                </w:p>
              </w:tc>
              <w:tc>
                <w:tcPr>
                  <w:tcW w:w="733" w:type="pct"/>
                  <w:vAlign w:val="center"/>
                </w:tcPr>
                <w:p w:rsidR="00BC07F0" w:rsidRDefault="00073EFB">
                  <w:pPr>
                    <w:pStyle w:val="a7"/>
                    <w:rPr>
                      <w:rFonts w:hint="default"/>
                    </w:rPr>
                  </w:pPr>
                  <w:r>
                    <w:t>0.01</w:t>
                  </w:r>
                </w:p>
              </w:tc>
              <w:tc>
                <w:tcPr>
                  <w:tcW w:w="736" w:type="pct"/>
                  <w:vAlign w:val="center"/>
                </w:tcPr>
                <w:p w:rsidR="00BC07F0" w:rsidRDefault="00073EFB">
                  <w:pPr>
                    <w:pStyle w:val="a7"/>
                    <w:rPr>
                      <w:rFonts w:hint="default"/>
                    </w:rPr>
                  </w:pPr>
                  <w:r>
                    <w:t>0.02</w:t>
                  </w:r>
                </w:p>
              </w:tc>
              <w:tc>
                <w:tcPr>
                  <w:tcW w:w="666" w:type="pct"/>
                  <w:vAlign w:val="center"/>
                </w:tcPr>
                <w:p w:rsidR="00BC07F0" w:rsidRDefault="00073EFB">
                  <w:pPr>
                    <w:pStyle w:val="a7"/>
                    <w:rPr>
                      <w:rFonts w:hint="default"/>
                    </w:rPr>
                  </w:pPr>
                  <w:r>
                    <w:t>≤</w:t>
                  </w:r>
                  <w:r>
                    <w:t>0.05</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粪大肠杆菌群</w:t>
                  </w:r>
                </w:p>
              </w:tc>
              <w:tc>
                <w:tcPr>
                  <w:tcW w:w="1030" w:type="dxa"/>
                  <w:vAlign w:val="center"/>
                </w:tcPr>
                <w:p w:rsidR="00BC07F0" w:rsidRDefault="00073EFB">
                  <w:pPr>
                    <w:pStyle w:val="a7"/>
                    <w:rPr>
                      <w:rFonts w:hint="default"/>
                    </w:rPr>
                  </w:pPr>
                  <w:r>
                    <w:t>MPN/L</w:t>
                  </w:r>
                </w:p>
              </w:tc>
              <w:tc>
                <w:tcPr>
                  <w:tcW w:w="1334" w:type="dxa"/>
                  <w:vAlign w:val="center"/>
                </w:tcPr>
                <w:p w:rsidR="00BC07F0" w:rsidRDefault="00073EFB">
                  <w:pPr>
                    <w:pStyle w:val="a7"/>
                    <w:rPr>
                      <w:rFonts w:hint="default"/>
                    </w:rPr>
                  </w:pPr>
                  <w:r>
                    <w:t>1500</w:t>
                  </w:r>
                </w:p>
              </w:tc>
              <w:tc>
                <w:tcPr>
                  <w:tcW w:w="1334" w:type="dxa"/>
                  <w:vAlign w:val="center"/>
                </w:tcPr>
                <w:p w:rsidR="00BC07F0" w:rsidRDefault="00073EFB">
                  <w:pPr>
                    <w:pStyle w:val="a7"/>
                    <w:rPr>
                      <w:rFonts w:hint="default"/>
                    </w:rPr>
                  </w:pPr>
                  <w:r>
                    <w:t>1200</w:t>
                  </w:r>
                </w:p>
              </w:tc>
              <w:tc>
                <w:tcPr>
                  <w:tcW w:w="1340" w:type="dxa"/>
                  <w:vAlign w:val="center"/>
                </w:tcPr>
                <w:p w:rsidR="00BC07F0" w:rsidRDefault="00073EFB">
                  <w:pPr>
                    <w:pStyle w:val="a7"/>
                    <w:rPr>
                      <w:rFonts w:hint="default"/>
                    </w:rPr>
                  </w:pPr>
                  <w:r>
                    <w:t>1100</w:t>
                  </w:r>
                </w:p>
              </w:tc>
              <w:tc>
                <w:tcPr>
                  <w:tcW w:w="1212" w:type="dxa"/>
                  <w:vAlign w:val="center"/>
                </w:tcPr>
                <w:p w:rsidR="00BC07F0" w:rsidRDefault="00073EFB">
                  <w:pPr>
                    <w:pStyle w:val="a7"/>
                    <w:rPr>
                      <w:rFonts w:hint="default"/>
                    </w:rPr>
                  </w:pPr>
                  <w:r>
                    <w:t>10000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溶解氧</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5.6</w:t>
                  </w:r>
                </w:p>
              </w:tc>
              <w:tc>
                <w:tcPr>
                  <w:tcW w:w="733" w:type="pct"/>
                  <w:vAlign w:val="center"/>
                </w:tcPr>
                <w:p w:rsidR="00BC07F0" w:rsidRDefault="00073EFB">
                  <w:pPr>
                    <w:pStyle w:val="a7"/>
                    <w:rPr>
                      <w:rFonts w:hint="default"/>
                    </w:rPr>
                  </w:pPr>
                  <w:r>
                    <w:t>5.8</w:t>
                  </w:r>
                </w:p>
              </w:tc>
              <w:tc>
                <w:tcPr>
                  <w:tcW w:w="736" w:type="pct"/>
                  <w:vAlign w:val="center"/>
                </w:tcPr>
                <w:p w:rsidR="00BC07F0" w:rsidRDefault="00073EFB">
                  <w:pPr>
                    <w:pStyle w:val="a7"/>
                    <w:rPr>
                      <w:rFonts w:hint="default"/>
                    </w:rPr>
                  </w:pPr>
                  <w:r>
                    <w:t>5.9</w:t>
                  </w:r>
                </w:p>
              </w:tc>
              <w:tc>
                <w:tcPr>
                  <w:tcW w:w="666" w:type="pct"/>
                  <w:vAlign w:val="center"/>
                </w:tcPr>
                <w:p w:rsidR="00BC07F0" w:rsidRDefault="00073EFB">
                  <w:pPr>
                    <w:pStyle w:val="a7"/>
                    <w:rPr>
                      <w:rFonts w:hint="default"/>
                    </w:rPr>
                  </w:pPr>
                  <w:r>
                    <w:t>≥</w:t>
                  </w:r>
                  <w:r>
                    <w:t>5</w:t>
                  </w:r>
                </w:p>
              </w:tc>
            </w:tr>
            <w:tr w:rsidR="00BC07F0">
              <w:trPr>
                <w:trHeight w:val="397"/>
                <w:jc w:val="center"/>
              </w:trPr>
              <w:tc>
                <w:tcPr>
                  <w:tcW w:w="552" w:type="pct"/>
                  <w:vMerge w:val="restart"/>
                  <w:vAlign w:val="center"/>
                </w:tcPr>
                <w:p w:rsidR="00BC07F0" w:rsidRDefault="00073EFB">
                  <w:pPr>
                    <w:pStyle w:val="a7"/>
                    <w:rPr>
                      <w:rFonts w:hint="default"/>
                    </w:rPr>
                  </w:pPr>
                  <w:r>
                    <w:t>S4</w:t>
                  </w:r>
                  <w:r>
                    <w:t>江东</w:t>
                  </w:r>
                  <w:r>
                    <w:lastRenderedPageBreak/>
                    <w:t>水厂取水口下游</w:t>
                  </w:r>
                  <w:r>
                    <w:t>500m</w:t>
                  </w:r>
                  <w:r>
                    <w:t>湘江断面</w:t>
                  </w:r>
                </w:p>
              </w:tc>
              <w:tc>
                <w:tcPr>
                  <w:tcW w:w="1842" w:type="dxa"/>
                  <w:vAlign w:val="center"/>
                </w:tcPr>
                <w:p w:rsidR="00BC07F0" w:rsidRDefault="00073EFB">
                  <w:pPr>
                    <w:pStyle w:val="a7"/>
                    <w:rPr>
                      <w:rFonts w:hint="default"/>
                    </w:rPr>
                  </w:pPr>
                  <w:r>
                    <w:lastRenderedPageBreak/>
                    <w:t>水温</w:t>
                  </w:r>
                </w:p>
              </w:tc>
              <w:tc>
                <w:tcPr>
                  <w:tcW w:w="1030" w:type="dxa"/>
                  <w:vAlign w:val="center"/>
                </w:tcPr>
                <w:p w:rsidR="00BC07F0" w:rsidRDefault="00073EFB">
                  <w:pPr>
                    <w:pStyle w:val="a7"/>
                    <w:rPr>
                      <w:rFonts w:hint="default"/>
                    </w:rPr>
                  </w:pPr>
                  <w:r>
                    <w:t>℃</w:t>
                  </w:r>
                </w:p>
              </w:tc>
              <w:tc>
                <w:tcPr>
                  <w:tcW w:w="1334" w:type="dxa"/>
                  <w:vAlign w:val="center"/>
                </w:tcPr>
                <w:p w:rsidR="00BC07F0" w:rsidRDefault="00073EFB">
                  <w:pPr>
                    <w:pStyle w:val="a7"/>
                    <w:rPr>
                      <w:rFonts w:hint="default"/>
                    </w:rPr>
                  </w:pPr>
                  <w:r>
                    <w:t>18.5</w:t>
                  </w:r>
                </w:p>
              </w:tc>
              <w:tc>
                <w:tcPr>
                  <w:tcW w:w="1334" w:type="dxa"/>
                  <w:vAlign w:val="center"/>
                </w:tcPr>
                <w:p w:rsidR="00BC07F0" w:rsidRDefault="00073EFB">
                  <w:pPr>
                    <w:pStyle w:val="a7"/>
                    <w:rPr>
                      <w:rFonts w:hint="default"/>
                    </w:rPr>
                  </w:pPr>
                  <w:r>
                    <w:t>18.1</w:t>
                  </w:r>
                </w:p>
              </w:tc>
              <w:tc>
                <w:tcPr>
                  <w:tcW w:w="1340" w:type="dxa"/>
                  <w:vAlign w:val="center"/>
                </w:tcPr>
                <w:p w:rsidR="00BC07F0" w:rsidRDefault="00073EFB">
                  <w:pPr>
                    <w:pStyle w:val="a7"/>
                    <w:rPr>
                      <w:rFonts w:hint="default"/>
                    </w:rPr>
                  </w:pPr>
                  <w:r>
                    <w:t>18.4</w:t>
                  </w:r>
                </w:p>
              </w:tc>
              <w:tc>
                <w:tcPr>
                  <w:tcW w:w="1212" w:type="dxa"/>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pH</w:t>
                  </w:r>
                </w:p>
              </w:tc>
              <w:tc>
                <w:tcPr>
                  <w:tcW w:w="1030" w:type="dxa"/>
                  <w:vAlign w:val="center"/>
                </w:tcPr>
                <w:p w:rsidR="00BC07F0" w:rsidRDefault="00073EFB">
                  <w:pPr>
                    <w:pStyle w:val="a7"/>
                    <w:rPr>
                      <w:rFonts w:hint="default"/>
                    </w:rPr>
                  </w:pPr>
                  <w:r>
                    <w:t>无量纲</w:t>
                  </w:r>
                </w:p>
              </w:tc>
              <w:tc>
                <w:tcPr>
                  <w:tcW w:w="1334" w:type="dxa"/>
                  <w:vAlign w:val="center"/>
                </w:tcPr>
                <w:p w:rsidR="00BC07F0" w:rsidRDefault="00073EFB">
                  <w:pPr>
                    <w:pStyle w:val="a7"/>
                    <w:rPr>
                      <w:rFonts w:hint="default"/>
                    </w:rPr>
                  </w:pPr>
                  <w:r>
                    <w:t>6.9</w:t>
                  </w:r>
                </w:p>
              </w:tc>
              <w:tc>
                <w:tcPr>
                  <w:tcW w:w="1334" w:type="dxa"/>
                  <w:vAlign w:val="center"/>
                </w:tcPr>
                <w:p w:rsidR="00BC07F0" w:rsidRDefault="00073EFB">
                  <w:pPr>
                    <w:pStyle w:val="a7"/>
                    <w:rPr>
                      <w:rFonts w:hint="default"/>
                    </w:rPr>
                  </w:pPr>
                  <w:r>
                    <w:t>7.0</w:t>
                  </w:r>
                </w:p>
              </w:tc>
              <w:tc>
                <w:tcPr>
                  <w:tcW w:w="1340" w:type="dxa"/>
                  <w:vAlign w:val="center"/>
                </w:tcPr>
                <w:p w:rsidR="00BC07F0" w:rsidRDefault="00073EFB">
                  <w:pPr>
                    <w:pStyle w:val="a7"/>
                    <w:rPr>
                      <w:rFonts w:hint="default"/>
                    </w:rPr>
                  </w:pPr>
                  <w:r>
                    <w:t>7.3</w:t>
                  </w:r>
                </w:p>
              </w:tc>
              <w:tc>
                <w:tcPr>
                  <w:tcW w:w="1212" w:type="dxa"/>
                  <w:vAlign w:val="center"/>
                </w:tcPr>
                <w:p w:rsidR="00BC07F0" w:rsidRDefault="00073EFB">
                  <w:pPr>
                    <w:pStyle w:val="a7"/>
                    <w:rPr>
                      <w:rFonts w:hint="default"/>
                    </w:rPr>
                  </w:pPr>
                  <w:r>
                    <w:t>6~9</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悬浮物</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11</w:t>
                  </w:r>
                </w:p>
              </w:tc>
              <w:tc>
                <w:tcPr>
                  <w:tcW w:w="1334" w:type="dxa"/>
                  <w:vAlign w:val="center"/>
                </w:tcPr>
                <w:p w:rsidR="00BC07F0" w:rsidRDefault="00073EFB">
                  <w:pPr>
                    <w:pStyle w:val="a7"/>
                    <w:rPr>
                      <w:rFonts w:hint="default"/>
                    </w:rPr>
                  </w:pPr>
                  <w:r>
                    <w:t>12</w:t>
                  </w:r>
                </w:p>
              </w:tc>
              <w:tc>
                <w:tcPr>
                  <w:tcW w:w="1340" w:type="dxa"/>
                  <w:vAlign w:val="center"/>
                </w:tcPr>
                <w:p w:rsidR="00BC07F0" w:rsidRDefault="00073EFB">
                  <w:pPr>
                    <w:pStyle w:val="a7"/>
                    <w:rPr>
                      <w:rFonts w:hint="default"/>
                    </w:rPr>
                  </w:pPr>
                  <w:r>
                    <w:t>13</w:t>
                  </w:r>
                </w:p>
              </w:tc>
              <w:tc>
                <w:tcPr>
                  <w:tcW w:w="1212" w:type="dxa"/>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COD</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7</w:t>
                  </w:r>
                </w:p>
              </w:tc>
              <w:tc>
                <w:tcPr>
                  <w:tcW w:w="1334" w:type="dxa"/>
                  <w:vAlign w:val="center"/>
                </w:tcPr>
                <w:p w:rsidR="00BC07F0" w:rsidRDefault="00073EFB">
                  <w:pPr>
                    <w:pStyle w:val="a7"/>
                    <w:rPr>
                      <w:rFonts w:hint="default"/>
                    </w:rPr>
                  </w:pPr>
                  <w:r>
                    <w:t>6</w:t>
                  </w:r>
                </w:p>
              </w:tc>
              <w:tc>
                <w:tcPr>
                  <w:tcW w:w="1340" w:type="dxa"/>
                  <w:vAlign w:val="center"/>
                </w:tcPr>
                <w:p w:rsidR="00BC07F0" w:rsidRDefault="00073EFB">
                  <w:pPr>
                    <w:pStyle w:val="a7"/>
                    <w:rPr>
                      <w:rFonts w:hint="default"/>
                    </w:rPr>
                  </w:pPr>
                  <w:r>
                    <w:t>6</w:t>
                  </w:r>
                </w:p>
              </w:tc>
              <w:tc>
                <w:tcPr>
                  <w:tcW w:w="1212" w:type="dxa"/>
                  <w:vAlign w:val="center"/>
                </w:tcPr>
                <w:p w:rsidR="00BC07F0" w:rsidRDefault="00073EFB">
                  <w:pPr>
                    <w:pStyle w:val="a7"/>
                    <w:rPr>
                      <w:rFonts w:hint="default"/>
                    </w:rPr>
                  </w:pPr>
                  <w:r>
                    <w:t>≤</w:t>
                  </w:r>
                  <w:r>
                    <w:t>20</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BOD</w:t>
                  </w:r>
                  <w:r>
                    <w:rPr>
                      <w:vertAlign w:val="subscript"/>
                    </w:rPr>
                    <w:t>5</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0.7</w:t>
                  </w:r>
                </w:p>
              </w:tc>
              <w:tc>
                <w:tcPr>
                  <w:tcW w:w="1334" w:type="dxa"/>
                  <w:vAlign w:val="center"/>
                </w:tcPr>
                <w:p w:rsidR="00BC07F0" w:rsidRDefault="00073EFB">
                  <w:pPr>
                    <w:pStyle w:val="a7"/>
                    <w:rPr>
                      <w:rFonts w:hint="default"/>
                    </w:rPr>
                  </w:pPr>
                  <w:r>
                    <w:t>0.8</w:t>
                  </w:r>
                </w:p>
              </w:tc>
              <w:tc>
                <w:tcPr>
                  <w:tcW w:w="1340" w:type="dxa"/>
                  <w:vAlign w:val="center"/>
                </w:tcPr>
                <w:p w:rsidR="00BC07F0" w:rsidRDefault="00073EFB">
                  <w:pPr>
                    <w:pStyle w:val="a7"/>
                    <w:rPr>
                      <w:rFonts w:hint="default"/>
                    </w:rPr>
                  </w:pPr>
                  <w:r>
                    <w:t>1.4</w:t>
                  </w:r>
                </w:p>
              </w:tc>
              <w:tc>
                <w:tcPr>
                  <w:tcW w:w="1212" w:type="dxa"/>
                  <w:vAlign w:val="center"/>
                </w:tcPr>
                <w:p w:rsidR="00BC07F0" w:rsidRDefault="00073EFB">
                  <w:pPr>
                    <w:pStyle w:val="a7"/>
                    <w:rPr>
                      <w:rFonts w:hint="default"/>
                    </w:rPr>
                  </w:pPr>
                  <w:r>
                    <w:t>≤</w:t>
                  </w:r>
                  <w:r>
                    <w:t>4</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氨氮</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0.1</w:t>
                  </w:r>
                </w:p>
              </w:tc>
              <w:tc>
                <w:tcPr>
                  <w:tcW w:w="1334" w:type="dxa"/>
                  <w:vAlign w:val="center"/>
                </w:tcPr>
                <w:p w:rsidR="00BC07F0" w:rsidRDefault="00073EFB">
                  <w:pPr>
                    <w:pStyle w:val="a7"/>
                    <w:rPr>
                      <w:rFonts w:hint="default"/>
                    </w:rPr>
                  </w:pPr>
                  <w:r>
                    <w:t>0.105</w:t>
                  </w:r>
                </w:p>
              </w:tc>
              <w:tc>
                <w:tcPr>
                  <w:tcW w:w="1340" w:type="dxa"/>
                  <w:vAlign w:val="center"/>
                </w:tcPr>
                <w:p w:rsidR="00BC07F0" w:rsidRDefault="00073EFB">
                  <w:pPr>
                    <w:pStyle w:val="a7"/>
                    <w:rPr>
                      <w:rFonts w:hint="default"/>
                    </w:rPr>
                  </w:pPr>
                  <w:r>
                    <w:t>0.142</w:t>
                  </w:r>
                </w:p>
              </w:tc>
              <w:tc>
                <w:tcPr>
                  <w:tcW w:w="1212" w:type="dxa"/>
                  <w:vAlign w:val="center"/>
                </w:tcPr>
                <w:p w:rsidR="00BC07F0" w:rsidRDefault="00073EFB">
                  <w:pPr>
                    <w:pStyle w:val="a7"/>
                    <w:rPr>
                      <w:rFonts w:hint="default"/>
                    </w:rPr>
                  </w:pPr>
                  <w:r>
                    <w:t>≤</w:t>
                  </w:r>
                  <w:r>
                    <w:t>1.0</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总磷</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0.2</w:t>
                  </w:r>
                </w:p>
              </w:tc>
              <w:tc>
                <w:tcPr>
                  <w:tcW w:w="1334" w:type="dxa"/>
                  <w:vAlign w:val="center"/>
                </w:tcPr>
                <w:p w:rsidR="00BC07F0" w:rsidRDefault="00073EFB">
                  <w:pPr>
                    <w:pStyle w:val="a7"/>
                    <w:rPr>
                      <w:rFonts w:hint="default"/>
                    </w:rPr>
                  </w:pPr>
                  <w:r>
                    <w:t>0.3</w:t>
                  </w:r>
                </w:p>
              </w:tc>
              <w:tc>
                <w:tcPr>
                  <w:tcW w:w="1340" w:type="dxa"/>
                  <w:vAlign w:val="center"/>
                </w:tcPr>
                <w:p w:rsidR="00BC07F0" w:rsidRDefault="00073EFB">
                  <w:pPr>
                    <w:pStyle w:val="a7"/>
                    <w:rPr>
                      <w:rFonts w:hint="default"/>
                    </w:rPr>
                  </w:pPr>
                  <w:r>
                    <w:t>0.3</w:t>
                  </w:r>
                </w:p>
              </w:tc>
              <w:tc>
                <w:tcPr>
                  <w:tcW w:w="1212" w:type="dxa"/>
                  <w:vAlign w:val="center"/>
                </w:tcPr>
                <w:p w:rsidR="00BC07F0" w:rsidRDefault="00073EFB">
                  <w:pPr>
                    <w:pStyle w:val="a7"/>
                    <w:rPr>
                      <w:rFonts w:hint="default"/>
                    </w:rPr>
                  </w:pPr>
                  <w:r>
                    <w:t>≤</w:t>
                  </w:r>
                  <w:r>
                    <w:t>0.</w:t>
                  </w:r>
                  <w:r>
                    <w:t>2</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石油类</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0.02</w:t>
                  </w:r>
                </w:p>
              </w:tc>
              <w:tc>
                <w:tcPr>
                  <w:tcW w:w="1334" w:type="dxa"/>
                  <w:vAlign w:val="center"/>
                </w:tcPr>
                <w:p w:rsidR="00BC07F0" w:rsidRDefault="00073EFB">
                  <w:pPr>
                    <w:pStyle w:val="a7"/>
                    <w:rPr>
                      <w:rFonts w:hint="default"/>
                    </w:rPr>
                  </w:pPr>
                  <w:r>
                    <w:t>0.02</w:t>
                  </w:r>
                </w:p>
              </w:tc>
              <w:tc>
                <w:tcPr>
                  <w:tcW w:w="1340" w:type="dxa"/>
                  <w:vAlign w:val="center"/>
                </w:tcPr>
                <w:p w:rsidR="00BC07F0" w:rsidRDefault="00073EFB">
                  <w:pPr>
                    <w:pStyle w:val="a7"/>
                    <w:rPr>
                      <w:rFonts w:hint="default"/>
                    </w:rPr>
                  </w:pPr>
                  <w:r>
                    <w:t>0.01</w:t>
                  </w:r>
                </w:p>
              </w:tc>
              <w:tc>
                <w:tcPr>
                  <w:tcW w:w="1212" w:type="dxa"/>
                  <w:vAlign w:val="center"/>
                </w:tcPr>
                <w:p w:rsidR="00BC07F0" w:rsidRDefault="00073EFB">
                  <w:pPr>
                    <w:pStyle w:val="a7"/>
                    <w:rPr>
                      <w:rFonts w:hint="default"/>
                    </w:rPr>
                  </w:pPr>
                  <w:r>
                    <w:t>≤</w:t>
                  </w:r>
                  <w:r>
                    <w:t>0.05</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粪大肠杆菌群</w:t>
                  </w:r>
                </w:p>
              </w:tc>
              <w:tc>
                <w:tcPr>
                  <w:tcW w:w="1030" w:type="dxa"/>
                  <w:vAlign w:val="center"/>
                </w:tcPr>
                <w:p w:rsidR="00BC07F0" w:rsidRDefault="00073EFB">
                  <w:pPr>
                    <w:pStyle w:val="a7"/>
                    <w:rPr>
                      <w:rFonts w:hint="default"/>
                    </w:rPr>
                  </w:pPr>
                  <w:r>
                    <w:t>MPN/L</w:t>
                  </w:r>
                </w:p>
              </w:tc>
              <w:tc>
                <w:tcPr>
                  <w:tcW w:w="1334" w:type="dxa"/>
                  <w:vAlign w:val="center"/>
                </w:tcPr>
                <w:p w:rsidR="00BC07F0" w:rsidRDefault="00073EFB">
                  <w:pPr>
                    <w:pStyle w:val="a7"/>
                    <w:rPr>
                      <w:rFonts w:hint="default"/>
                    </w:rPr>
                  </w:pPr>
                  <w:r>
                    <w:t>1200</w:t>
                  </w:r>
                </w:p>
              </w:tc>
              <w:tc>
                <w:tcPr>
                  <w:tcW w:w="1334" w:type="dxa"/>
                  <w:vAlign w:val="center"/>
                </w:tcPr>
                <w:p w:rsidR="00BC07F0" w:rsidRDefault="00073EFB">
                  <w:pPr>
                    <w:pStyle w:val="a7"/>
                    <w:rPr>
                      <w:rFonts w:hint="default"/>
                    </w:rPr>
                  </w:pPr>
                  <w:r>
                    <w:t>1800</w:t>
                  </w:r>
                </w:p>
              </w:tc>
              <w:tc>
                <w:tcPr>
                  <w:tcW w:w="1340" w:type="dxa"/>
                  <w:vAlign w:val="center"/>
                </w:tcPr>
                <w:p w:rsidR="00BC07F0" w:rsidRDefault="00073EFB">
                  <w:pPr>
                    <w:pStyle w:val="a7"/>
                    <w:rPr>
                      <w:rFonts w:hint="default"/>
                    </w:rPr>
                  </w:pPr>
                  <w:r>
                    <w:t>1100</w:t>
                  </w:r>
                </w:p>
              </w:tc>
              <w:tc>
                <w:tcPr>
                  <w:tcW w:w="1212" w:type="dxa"/>
                  <w:vAlign w:val="center"/>
                </w:tcPr>
                <w:p w:rsidR="00BC07F0" w:rsidRDefault="00073EFB">
                  <w:pPr>
                    <w:pStyle w:val="a7"/>
                    <w:rPr>
                      <w:rFonts w:hint="default"/>
                    </w:rPr>
                  </w:pPr>
                  <w:r>
                    <w:t>10000</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溶解氧</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5.6</w:t>
                  </w:r>
                </w:p>
              </w:tc>
              <w:tc>
                <w:tcPr>
                  <w:tcW w:w="1334" w:type="dxa"/>
                  <w:vAlign w:val="center"/>
                </w:tcPr>
                <w:p w:rsidR="00BC07F0" w:rsidRDefault="00073EFB">
                  <w:pPr>
                    <w:pStyle w:val="a7"/>
                    <w:rPr>
                      <w:rFonts w:hint="default"/>
                    </w:rPr>
                  </w:pPr>
                  <w:r>
                    <w:t>5.7</w:t>
                  </w:r>
                </w:p>
              </w:tc>
              <w:tc>
                <w:tcPr>
                  <w:tcW w:w="1340" w:type="dxa"/>
                  <w:vAlign w:val="center"/>
                </w:tcPr>
                <w:p w:rsidR="00BC07F0" w:rsidRDefault="00073EFB">
                  <w:pPr>
                    <w:pStyle w:val="a7"/>
                    <w:rPr>
                      <w:rFonts w:hint="default"/>
                    </w:rPr>
                  </w:pPr>
                  <w:r>
                    <w:t>5.8</w:t>
                  </w:r>
                </w:p>
              </w:tc>
              <w:tc>
                <w:tcPr>
                  <w:tcW w:w="1212" w:type="dxa"/>
                  <w:vAlign w:val="center"/>
                </w:tcPr>
                <w:p w:rsidR="00BC07F0" w:rsidRDefault="00073EFB">
                  <w:pPr>
                    <w:pStyle w:val="a7"/>
                    <w:rPr>
                      <w:rFonts w:hint="default"/>
                    </w:rPr>
                  </w:pPr>
                  <w:r>
                    <w:t>≥</w:t>
                  </w:r>
                  <w:r>
                    <w:t>5</w:t>
                  </w:r>
                </w:p>
              </w:tc>
            </w:tr>
            <w:tr w:rsidR="00BC07F0">
              <w:trPr>
                <w:trHeight w:val="397"/>
                <w:jc w:val="center"/>
              </w:trPr>
              <w:tc>
                <w:tcPr>
                  <w:tcW w:w="552" w:type="pct"/>
                  <w:vMerge w:val="restart"/>
                  <w:vAlign w:val="center"/>
                </w:tcPr>
                <w:p w:rsidR="00BC07F0" w:rsidRDefault="00073EFB">
                  <w:pPr>
                    <w:pStyle w:val="a7"/>
                    <w:rPr>
                      <w:rFonts w:hint="default"/>
                    </w:rPr>
                  </w:pPr>
                  <w:r>
                    <w:t>S5</w:t>
                  </w:r>
                  <w:r>
                    <w:t>日月湖</w:t>
                  </w:r>
                </w:p>
              </w:tc>
              <w:tc>
                <w:tcPr>
                  <w:tcW w:w="1842" w:type="dxa"/>
                  <w:vAlign w:val="center"/>
                </w:tcPr>
                <w:p w:rsidR="00BC07F0" w:rsidRDefault="00073EFB">
                  <w:pPr>
                    <w:pStyle w:val="a7"/>
                    <w:rPr>
                      <w:rFonts w:hint="default"/>
                    </w:rPr>
                  </w:pPr>
                  <w:r>
                    <w:t>水温</w:t>
                  </w:r>
                </w:p>
              </w:tc>
              <w:tc>
                <w:tcPr>
                  <w:tcW w:w="1030" w:type="dxa"/>
                  <w:vAlign w:val="center"/>
                </w:tcPr>
                <w:p w:rsidR="00BC07F0" w:rsidRDefault="00073EFB">
                  <w:pPr>
                    <w:pStyle w:val="a7"/>
                    <w:rPr>
                      <w:rFonts w:hint="default"/>
                    </w:rPr>
                  </w:pPr>
                  <w:r>
                    <w:t>℃</w:t>
                  </w:r>
                </w:p>
              </w:tc>
              <w:tc>
                <w:tcPr>
                  <w:tcW w:w="1334" w:type="dxa"/>
                  <w:vAlign w:val="center"/>
                </w:tcPr>
                <w:p w:rsidR="00BC07F0" w:rsidRDefault="00073EFB">
                  <w:pPr>
                    <w:pStyle w:val="a7"/>
                    <w:rPr>
                      <w:rFonts w:hint="default"/>
                    </w:rPr>
                  </w:pPr>
                  <w:r>
                    <w:t>16.9</w:t>
                  </w:r>
                </w:p>
              </w:tc>
              <w:tc>
                <w:tcPr>
                  <w:tcW w:w="1334" w:type="dxa"/>
                  <w:vAlign w:val="center"/>
                </w:tcPr>
                <w:p w:rsidR="00BC07F0" w:rsidRDefault="00073EFB">
                  <w:pPr>
                    <w:pStyle w:val="a7"/>
                    <w:rPr>
                      <w:rFonts w:hint="default"/>
                    </w:rPr>
                  </w:pPr>
                  <w:r>
                    <w:t>16.4</w:t>
                  </w:r>
                </w:p>
              </w:tc>
              <w:tc>
                <w:tcPr>
                  <w:tcW w:w="1340" w:type="dxa"/>
                  <w:vAlign w:val="center"/>
                </w:tcPr>
                <w:p w:rsidR="00BC07F0" w:rsidRDefault="00073EFB">
                  <w:pPr>
                    <w:pStyle w:val="a7"/>
                    <w:rPr>
                      <w:rFonts w:hint="default"/>
                    </w:rPr>
                  </w:pPr>
                  <w:r>
                    <w:t>16.9</w:t>
                  </w:r>
                </w:p>
              </w:tc>
              <w:tc>
                <w:tcPr>
                  <w:tcW w:w="1212" w:type="dxa"/>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pH</w:t>
                  </w:r>
                </w:p>
              </w:tc>
              <w:tc>
                <w:tcPr>
                  <w:tcW w:w="1030" w:type="dxa"/>
                  <w:vAlign w:val="center"/>
                </w:tcPr>
                <w:p w:rsidR="00BC07F0" w:rsidRDefault="00073EFB">
                  <w:pPr>
                    <w:pStyle w:val="a7"/>
                    <w:rPr>
                      <w:rFonts w:hint="default"/>
                    </w:rPr>
                  </w:pPr>
                  <w:r>
                    <w:t>无量纲</w:t>
                  </w:r>
                </w:p>
              </w:tc>
              <w:tc>
                <w:tcPr>
                  <w:tcW w:w="1334" w:type="dxa"/>
                  <w:vAlign w:val="center"/>
                </w:tcPr>
                <w:p w:rsidR="00BC07F0" w:rsidRDefault="00073EFB">
                  <w:pPr>
                    <w:pStyle w:val="a7"/>
                    <w:rPr>
                      <w:rFonts w:hint="default"/>
                    </w:rPr>
                  </w:pPr>
                  <w:r>
                    <w:t>7.1</w:t>
                  </w:r>
                </w:p>
              </w:tc>
              <w:tc>
                <w:tcPr>
                  <w:tcW w:w="1334" w:type="dxa"/>
                  <w:vAlign w:val="center"/>
                </w:tcPr>
                <w:p w:rsidR="00BC07F0" w:rsidRDefault="00073EFB">
                  <w:pPr>
                    <w:pStyle w:val="a7"/>
                    <w:rPr>
                      <w:rFonts w:hint="default"/>
                    </w:rPr>
                  </w:pPr>
                  <w:r>
                    <w:t>6.8</w:t>
                  </w:r>
                </w:p>
              </w:tc>
              <w:tc>
                <w:tcPr>
                  <w:tcW w:w="1340" w:type="dxa"/>
                  <w:vAlign w:val="center"/>
                </w:tcPr>
                <w:p w:rsidR="00BC07F0" w:rsidRDefault="00073EFB">
                  <w:pPr>
                    <w:pStyle w:val="a7"/>
                    <w:rPr>
                      <w:rFonts w:hint="default"/>
                    </w:rPr>
                  </w:pPr>
                  <w:r>
                    <w:t>6.7</w:t>
                  </w:r>
                </w:p>
              </w:tc>
              <w:tc>
                <w:tcPr>
                  <w:tcW w:w="1212" w:type="dxa"/>
                  <w:vAlign w:val="center"/>
                </w:tcPr>
                <w:p w:rsidR="00BC07F0" w:rsidRDefault="00073EFB">
                  <w:pPr>
                    <w:pStyle w:val="a7"/>
                    <w:rPr>
                      <w:rFonts w:hint="default"/>
                    </w:rPr>
                  </w:pPr>
                  <w:r>
                    <w:t>6~9</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悬浮物</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12</w:t>
                  </w:r>
                </w:p>
              </w:tc>
              <w:tc>
                <w:tcPr>
                  <w:tcW w:w="1334" w:type="dxa"/>
                  <w:vAlign w:val="center"/>
                </w:tcPr>
                <w:p w:rsidR="00BC07F0" w:rsidRDefault="00073EFB">
                  <w:pPr>
                    <w:pStyle w:val="a7"/>
                    <w:rPr>
                      <w:rFonts w:hint="default"/>
                    </w:rPr>
                  </w:pPr>
                  <w:r>
                    <w:t>11</w:t>
                  </w:r>
                </w:p>
              </w:tc>
              <w:tc>
                <w:tcPr>
                  <w:tcW w:w="1340" w:type="dxa"/>
                  <w:vAlign w:val="center"/>
                </w:tcPr>
                <w:p w:rsidR="00BC07F0" w:rsidRDefault="00073EFB">
                  <w:pPr>
                    <w:pStyle w:val="a7"/>
                    <w:rPr>
                      <w:rFonts w:hint="default"/>
                    </w:rPr>
                  </w:pPr>
                  <w:r>
                    <w:t>13</w:t>
                  </w:r>
                </w:p>
              </w:tc>
              <w:tc>
                <w:tcPr>
                  <w:tcW w:w="1212" w:type="dxa"/>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COD</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11</w:t>
                  </w:r>
                </w:p>
              </w:tc>
              <w:tc>
                <w:tcPr>
                  <w:tcW w:w="1334" w:type="dxa"/>
                  <w:vAlign w:val="center"/>
                </w:tcPr>
                <w:p w:rsidR="00BC07F0" w:rsidRDefault="00073EFB">
                  <w:pPr>
                    <w:pStyle w:val="a7"/>
                    <w:rPr>
                      <w:rFonts w:hint="default"/>
                    </w:rPr>
                  </w:pPr>
                  <w:r>
                    <w:t>10</w:t>
                  </w:r>
                </w:p>
              </w:tc>
              <w:tc>
                <w:tcPr>
                  <w:tcW w:w="1340" w:type="dxa"/>
                  <w:vAlign w:val="center"/>
                </w:tcPr>
                <w:p w:rsidR="00BC07F0" w:rsidRDefault="00073EFB">
                  <w:pPr>
                    <w:pStyle w:val="a7"/>
                    <w:rPr>
                      <w:rFonts w:hint="default"/>
                    </w:rPr>
                  </w:pPr>
                  <w:r>
                    <w:t>11</w:t>
                  </w:r>
                </w:p>
              </w:tc>
              <w:tc>
                <w:tcPr>
                  <w:tcW w:w="1212" w:type="dxa"/>
                  <w:vAlign w:val="center"/>
                </w:tcPr>
                <w:p w:rsidR="00BC07F0" w:rsidRDefault="00073EFB">
                  <w:pPr>
                    <w:pStyle w:val="a7"/>
                    <w:rPr>
                      <w:rFonts w:hint="default"/>
                    </w:rPr>
                  </w:pPr>
                  <w:r>
                    <w:t>≤</w:t>
                  </w:r>
                  <w:r>
                    <w:t>20</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BOD</w:t>
                  </w:r>
                  <w:r>
                    <w:rPr>
                      <w:vertAlign w:val="subscript"/>
                    </w:rPr>
                    <w:t>5</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2.0</w:t>
                  </w:r>
                </w:p>
              </w:tc>
              <w:tc>
                <w:tcPr>
                  <w:tcW w:w="1334" w:type="dxa"/>
                  <w:vAlign w:val="center"/>
                </w:tcPr>
                <w:p w:rsidR="00BC07F0" w:rsidRDefault="00073EFB">
                  <w:pPr>
                    <w:pStyle w:val="a7"/>
                    <w:rPr>
                      <w:rFonts w:hint="default"/>
                    </w:rPr>
                  </w:pPr>
                  <w:r>
                    <w:t>1.8</w:t>
                  </w:r>
                </w:p>
              </w:tc>
              <w:tc>
                <w:tcPr>
                  <w:tcW w:w="1340" w:type="dxa"/>
                  <w:vAlign w:val="center"/>
                </w:tcPr>
                <w:p w:rsidR="00BC07F0" w:rsidRDefault="00073EFB">
                  <w:pPr>
                    <w:pStyle w:val="a7"/>
                    <w:rPr>
                      <w:rFonts w:hint="default"/>
                    </w:rPr>
                  </w:pPr>
                  <w:r>
                    <w:t>1.9</w:t>
                  </w:r>
                </w:p>
              </w:tc>
              <w:tc>
                <w:tcPr>
                  <w:tcW w:w="1212" w:type="dxa"/>
                  <w:vAlign w:val="center"/>
                </w:tcPr>
                <w:p w:rsidR="00BC07F0" w:rsidRDefault="00073EFB">
                  <w:pPr>
                    <w:pStyle w:val="a7"/>
                    <w:rPr>
                      <w:rFonts w:hint="default"/>
                    </w:rPr>
                  </w:pPr>
                  <w:r>
                    <w:t>≤</w:t>
                  </w:r>
                  <w:r>
                    <w:t>4</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氨氮</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0.232</w:t>
                  </w:r>
                </w:p>
              </w:tc>
              <w:tc>
                <w:tcPr>
                  <w:tcW w:w="1334" w:type="dxa"/>
                  <w:vAlign w:val="center"/>
                </w:tcPr>
                <w:p w:rsidR="00BC07F0" w:rsidRDefault="00073EFB">
                  <w:pPr>
                    <w:pStyle w:val="a7"/>
                    <w:rPr>
                      <w:rFonts w:hint="default"/>
                    </w:rPr>
                  </w:pPr>
                  <w:r>
                    <w:t>0.225</w:t>
                  </w:r>
                </w:p>
              </w:tc>
              <w:tc>
                <w:tcPr>
                  <w:tcW w:w="1340" w:type="dxa"/>
                  <w:vAlign w:val="center"/>
                </w:tcPr>
                <w:p w:rsidR="00BC07F0" w:rsidRDefault="00073EFB">
                  <w:pPr>
                    <w:pStyle w:val="a7"/>
                    <w:rPr>
                      <w:rFonts w:hint="default"/>
                    </w:rPr>
                  </w:pPr>
                  <w:r>
                    <w:t>0.11</w:t>
                  </w:r>
                </w:p>
              </w:tc>
              <w:tc>
                <w:tcPr>
                  <w:tcW w:w="1212" w:type="dxa"/>
                  <w:vAlign w:val="center"/>
                </w:tcPr>
                <w:p w:rsidR="00BC07F0" w:rsidRDefault="00073EFB">
                  <w:pPr>
                    <w:pStyle w:val="a7"/>
                    <w:rPr>
                      <w:rFonts w:hint="default"/>
                    </w:rPr>
                  </w:pPr>
                  <w:r>
                    <w:t>≤</w:t>
                  </w:r>
                  <w:r>
                    <w:t>1.0</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总磷</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0.06</w:t>
                  </w:r>
                </w:p>
              </w:tc>
              <w:tc>
                <w:tcPr>
                  <w:tcW w:w="1334" w:type="dxa"/>
                  <w:vAlign w:val="center"/>
                </w:tcPr>
                <w:p w:rsidR="00BC07F0" w:rsidRDefault="00073EFB">
                  <w:pPr>
                    <w:pStyle w:val="a7"/>
                    <w:rPr>
                      <w:rFonts w:hint="default"/>
                    </w:rPr>
                  </w:pPr>
                  <w:r>
                    <w:t>0.11</w:t>
                  </w:r>
                </w:p>
              </w:tc>
              <w:tc>
                <w:tcPr>
                  <w:tcW w:w="1340" w:type="dxa"/>
                  <w:vAlign w:val="center"/>
                </w:tcPr>
                <w:p w:rsidR="00BC07F0" w:rsidRDefault="00073EFB">
                  <w:pPr>
                    <w:pStyle w:val="a7"/>
                    <w:rPr>
                      <w:rFonts w:hint="default"/>
                    </w:rPr>
                  </w:pPr>
                  <w:r>
                    <w:t>0.11</w:t>
                  </w:r>
                </w:p>
              </w:tc>
              <w:tc>
                <w:tcPr>
                  <w:tcW w:w="1212" w:type="dxa"/>
                  <w:vAlign w:val="center"/>
                </w:tcPr>
                <w:p w:rsidR="00BC07F0" w:rsidRDefault="00073EFB">
                  <w:pPr>
                    <w:pStyle w:val="a7"/>
                    <w:rPr>
                      <w:rFonts w:hint="default"/>
                    </w:rPr>
                  </w:pPr>
                  <w:r>
                    <w:t>≤</w:t>
                  </w:r>
                  <w:r>
                    <w:t>0.</w:t>
                  </w:r>
                  <w:r>
                    <w:t>2</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石油类</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0.02</w:t>
                  </w:r>
                </w:p>
              </w:tc>
              <w:tc>
                <w:tcPr>
                  <w:tcW w:w="1334" w:type="dxa"/>
                  <w:vAlign w:val="center"/>
                </w:tcPr>
                <w:p w:rsidR="00BC07F0" w:rsidRDefault="00073EFB">
                  <w:pPr>
                    <w:pStyle w:val="a7"/>
                    <w:rPr>
                      <w:rFonts w:hint="default"/>
                    </w:rPr>
                  </w:pPr>
                  <w:r>
                    <w:t>0.03</w:t>
                  </w:r>
                </w:p>
              </w:tc>
              <w:tc>
                <w:tcPr>
                  <w:tcW w:w="1340" w:type="dxa"/>
                  <w:vAlign w:val="center"/>
                </w:tcPr>
                <w:p w:rsidR="00BC07F0" w:rsidRDefault="00073EFB">
                  <w:pPr>
                    <w:pStyle w:val="a7"/>
                    <w:rPr>
                      <w:rFonts w:hint="default"/>
                    </w:rPr>
                  </w:pPr>
                  <w:r>
                    <w:t>0.01</w:t>
                  </w:r>
                </w:p>
              </w:tc>
              <w:tc>
                <w:tcPr>
                  <w:tcW w:w="1212" w:type="dxa"/>
                  <w:vAlign w:val="center"/>
                </w:tcPr>
                <w:p w:rsidR="00BC07F0" w:rsidRDefault="00073EFB">
                  <w:pPr>
                    <w:pStyle w:val="a7"/>
                    <w:rPr>
                      <w:rFonts w:hint="default"/>
                    </w:rPr>
                  </w:pPr>
                  <w:r>
                    <w:t>≤</w:t>
                  </w:r>
                  <w:r>
                    <w:t>0.05</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粪大肠杆菌群</w:t>
                  </w:r>
                </w:p>
              </w:tc>
              <w:tc>
                <w:tcPr>
                  <w:tcW w:w="1030" w:type="dxa"/>
                  <w:vAlign w:val="center"/>
                </w:tcPr>
                <w:p w:rsidR="00BC07F0" w:rsidRDefault="00073EFB">
                  <w:pPr>
                    <w:pStyle w:val="a7"/>
                    <w:rPr>
                      <w:rFonts w:hint="default"/>
                    </w:rPr>
                  </w:pPr>
                  <w:r>
                    <w:t>MPN/L</w:t>
                  </w:r>
                </w:p>
              </w:tc>
              <w:tc>
                <w:tcPr>
                  <w:tcW w:w="1334" w:type="dxa"/>
                  <w:vAlign w:val="center"/>
                </w:tcPr>
                <w:p w:rsidR="00BC07F0" w:rsidRDefault="00073EFB">
                  <w:pPr>
                    <w:pStyle w:val="a7"/>
                    <w:rPr>
                      <w:rFonts w:hint="default"/>
                    </w:rPr>
                  </w:pPr>
                  <w:r>
                    <w:t>1400</w:t>
                  </w:r>
                </w:p>
              </w:tc>
              <w:tc>
                <w:tcPr>
                  <w:tcW w:w="1334" w:type="dxa"/>
                  <w:vAlign w:val="center"/>
                </w:tcPr>
                <w:p w:rsidR="00BC07F0" w:rsidRDefault="00073EFB">
                  <w:pPr>
                    <w:pStyle w:val="a7"/>
                    <w:rPr>
                      <w:rFonts w:hint="default"/>
                    </w:rPr>
                  </w:pPr>
                  <w:r>
                    <w:t>1100</w:t>
                  </w:r>
                </w:p>
              </w:tc>
              <w:tc>
                <w:tcPr>
                  <w:tcW w:w="1340" w:type="dxa"/>
                  <w:vAlign w:val="center"/>
                </w:tcPr>
                <w:p w:rsidR="00BC07F0" w:rsidRDefault="00073EFB">
                  <w:pPr>
                    <w:pStyle w:val="a7"/>
                    <w:rPr>
                      <w:rFonts w:hint="default"/>
                    </w:rPr>
                  </w:pPr>
                  <w:r>
                    <w:t>1300</w:t>
                  </w:r>
                </w:p>
              </w:tc>
              <w:tc>
                <w:tcPr>
                  <w:tcW w:w="1212" w:type="dxa"/>
                  <w:vAlign w:val="center"/>
                </w:tcPr>
                <w:p w:rsidR="00BC07F0" w:rsidRDefault="00073EFB">
                  <w:pPr>
                    <w:pStyle w:val="a7"/>
                    <w:rPr>
                      <w:rFonts w:hint="default"/>
                    </w:rPr>
                  </w:pPr>
                  <w:r>
                    <w:t>10000</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溶解氧</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5.7</w:t>
                  </w:r>
                </w:p>
              </w:tc>
              <w:tc>
                <w:tcPr>
                  <w:tcW w:w="1334" w:type="dxa"/>
                  <w:vAlign w:val="center"/>
                </w:tcPr>
                <w:p w:rsidR="00BC07F0" w:rsidRDefault="00073EFB">
                  <w:pPr>
                    <w:pStyle w:val="a7"/>
                    <w:rPr>
                      <w:rFonts w:hint="default"/>
                    </w:rPr>
                  </w:pPr>
                  <w:r>
                    <w:t>6.2</w:t>
                  </w:r>
                </w:p>
              </w:tc>
              <w:tc>
                <w:tcPr>
                  <w:tcW w:w="1340" w:type="dxa"/>
                  <w:vAlign w:val="center"/>
                </w:tcPr>
                <w:p w:rsidR="00BC07F0" w:rsidRDefault="00073EFB">
                  <w:pPr>
                    <w:pStyle w:val="a7"/>
                    <w:rPr>
                      <w:rFonts w:hint="default"/>
                    </w:rPr>
                  </w:pPr>
                  <w:r>
                    <w:t>5.5</w:t>
                  </w:r>
                </w:p>
              </w:tc>
              <w:tc>
                <w:tcPr>
                  <w:tcW w:w="1212" w:type="dxa"/>
                  <w:vAlign w:val="center"/>
                </w:tcPr>
                <w:p w:rsidR="00BC07F0" w:rsidRDefault="00073EFB">
                  <w:pPr>
                    <w:pStyle w:val="a7"/>
                    <w:rPr>
                      <w:rFonts w:hint="default"/>
                    </w:rPr>
                  </w:pPr>
                  <w:r>
                    <w:t>≥</w:t>
                  </w:r>
                  <w:r>
                    <w:t>5</w:t>
                  </w:r>
                </w:p>
              </w:tc>
            </w:tr>
          </w:tbl>
          <w:p w:rsidR="00BC07F0" w:rsidRDefault="00073EFB">
            <w:pPr>
              <w:tabs>
                <w:tab w:val="left" w:pos="480"/>
              </w:tabs>
              <w:ind w:firstLine="480"/>
            </w:pPr>
            <w:r>
              <w:rPr>
                <w:rFonts w:hint="eastAsia"/>
              </w:rPr>
              <w:t>由上表可知，</w:t>
            </w:r>
            <w:r>
              <w:rPr>
                <w:rFonts w:hint="eastAsia"/>
              </w:rPr>
              <w:t>S1</w:t>
            </w:r>
            <w:r>
              <w:rPr>
                <w:rFonts w:hint="eastAsia"/>
              </w:rPr>
              <w:t>幸福河断面</w:t>
            </w:r>
            <w:r>
              <w:rPr>
                <w:rFonts w:hint="eastAsia"/>
              </w:rPr>
              <w:t>、</w:t>
            </w:r>
            <w:r>
              <w:rPr>
                <w:rFonts w:hint="eastAsia"/>
              </w:rPr>
              <w:t>S2</w:t>
            </w:r>
            <w:r>
              <w:rPr>
                <w:rFonts w:hint="eastAsia"/>
              </w:rPr>
              <w:t>幸福河入湘江口下游</w:t>
            </w:r>
            <w:r>
              <w:rPr>
                <w:rFonts w:hint="eastAsia"/>
              </w:rPr>
              <w:t>600m</w:t>
            </w:r>
            <w:r>
              <w:rPr>
                <w:rFonts w:hint="eastAsia"/>
              </w:rPr>
              <w:t>、</w:t>
            </w:r>
            <w:r>
              <w:rPr>
                <w:rFonts w:hint="eastAsia"/>
              </w:rPr>
              <w:t>S3</w:t>
            </w:r>
            <w:r>
              <w:rPr>
                <w:rFonts w:hint="eastAsia"/>
              </w:rPr>
              <w:t>江东水厂取水口上游</w:t>
            </w:r>
            <w:r>
              <w:rPr>
                <w:rFonts w:hint="eastAsia"/>
              </w:rPr>
              <w:t>1200m</w:t>
            </w:r>
            <w:r>
              <w:rPr>
                <w:rFonts w:hint="eastAsia"/>
              </w:rPr>
              <w:t>湘江断面、</w:t>
            </w:r>
            <w:r>
              <w:rPr>
                <w:rFonts w:hint="eastAsia"/>
              </w:rPr>
              <w:t>S4</w:t>
            </w:r>
            <w:r>
              <w:rPr>
                <w:rFonts w:hint="eastAsia"/>
              </w:rPr>
              <w:t>江东水厂取水口下游</w:t>
            </w:r>
            <w:r>
              <w:rPr>
                <w:rFonts w:hint="eastAsia"/>
              </w:rPr>
              <w:t>500m</w:t>
            </w:r>
            <w:r>
              <w:rPr>
                <w:rFonts w:hint="eastAsia"/>
              </w:rPr>
              <w:t>湘江断面、</w:t>
            </w:r>
            <w:r>
              <w:rPr>
                <w:rFonts w:hint="eastAsia"/>
              </w:rPr>
              <w:t>S5</w:t>
            </w:r>
            <w:r>
              <w:rPr>
                <w:rFonts w:hint="eastAsia"/>
              </w:rPr>
              <w:t>日月湖</w:t>
            </w:r>
            <w:r>
              <w:rPr>
                <w:rFonts w:hint="eastAsia"/>
              </w:rPr>
              <w:t>地表水检测点位各</w:t>
            </w:r>
            <w:r>
              <w:rPr>
                <w:rFonts w:hint="eastAsia"/>
              </w:rPr>
              <w:t>检测</w:t>
            </w:r>
            <w:r>
              <w:rPr>
                <w:rFonts w:hint="eastAsia"/>
              </w:rPr>
              <w:t>因子均</w:t>
            </w:r>
            <w:r>
              <w:rPr>
                <w:rFonts w:hint="eastAsia"/>
              </w:rPr>
              <w:t>未超出</w:t>
            </w:r>
            <w:r>
              <w:rPr>
                <w:rFonts w:hint="eastAsia"/>
              </w:rPr>
              <w:t>《地表水环境质量标准》（</w:t>
            </w:r>
            <w:r>
              <w:rPr>
                <w:rFonts w:hint="eastAsia"/>
              </w:rPr>
              <w:t>GB3838-2002</w:t>
            </w:r>
            <w:r>
              <w:rPr>
                <w:rFonts w:hint="eastAsia"/>
              </w:rPr>
              <w:t>）</w:t>
            </w:r>
            <w:r>
              <w:rPr>
                <w:rFonts w:hint="eastAsia"/>
              </w:rPr>
              <w:t>Ⅲ</w:t>
            </w:r>
            <w:r>
              <w:rPr>
                <w:rFonts w:hint="eastAsia"/>
              </w:rPr>
              <w:t>类标准。</w:t>
            </w:r>
          </w:p>
          <w:p w:rsidR="00BC07F0" w:rsidRDefault="00073EFB">
            <w:pPr>
              <w:tabs>
                <w:tab w:val="left" w:pos="480"/>
              </w:tabs>
              <w:ind w:firstLine="482"/>
              <w:rPr>
                <w:b/>
                <w:bCs/>
              </w:rPr>
            </w:pPr>
            <w:r>
              <w:rPr>
                <w:rFonts w:hint="eastAsia"/>
                <w:b/>
                <w:bCs/>
              </w:rPr>
              <w:t>3.3</w:t>
            </w:r>
            <w:r>
              <w:rPr>
                <w:b/>
                <w:bCs/>
              </w:rPr>
              <w:t>声环境</w:t>
            </w:r>
            <w:r>
              <w:rPr>
                <w:rFonts w:hint="eastAsia"/>
                <w:b/>
                <w:bCs/>
              </w:rPr>
              <w:t>质量现状</w:t>
            </w:r>
          </w:p>
          <w:p w:rsidR="00BC07F0" w:rsidRDefault="00073EFB">
            <w:pPr>
              <w:tabs>
                <w:tab w:val="left" w:pos="480"/>
              </w:tabs>
              <w:ind w:firstLine="480"/>
            </w:pPr>
            <w:r>
              <w:t>为了解项目</w:t>
            </w:r>
            <w:r>
              <w:rPr>
                <w:rFonts w:hint="eastAsia"/>
              </w:rPr>
              <w:t>施工场地周边</w:t>
            </w:r>
            <w:r>
              <w:t>声环境质量现状</w:t>
            </w:r>
            <w:r>
              <w:rPr>
                <w:rFonts w:hint="eastAsia"/>
              </w:rPr>
              <w:t>，本次评价于</w:t>
            </w:r>
            <w:r>
              <w:rPr>
                <w:rFonts w:hint="eastAsia"/>
              </w:rPr>
              <w:t>2021</w:t>
            </w:r>
            <w:r>
              <w:rPr>
                <w:rFonts w:hint="eastAsia"/>
              </w:rPr>
              <w:t>年</w:t>
            </w:r>
            <w:r>
              <w:rPr>
                <w:rFonts w:hint="eastAsia"/>
              </w:rPr>
              <w:t>5</w:t>
            </w:r>
            <w:r>
              <w:rPr>
                <w:rFonts w:hint="eastAsia"/>
              </w:rPr>
              <w:t>月</w:t>
            </w:r>
            <w:r>
              <w:rPr>
                <w:rFonts w:hint="eastAsia"/>
              </w:rPr>
              <w:t>20</w:t>
            </w:r>
            <w:r>
              <w:rPr>
                <w:rFonts w:hint="eastAsia"/>
              </w:rPr>
              <w:t>日对距离</w:t>
            </w:r>
            <w:r>
              <w:rPr>
                <w:rFonts w:hint="eastAsia"/>
              </w:rPr>
              <w:t>施工场地</w:t>
            </w:r>
            <w:r>
              <w:rPr>
                <w:rFonts w:hint="eastAsia"/>
              </w:rPr>
              <w:t>较近的</w:t>
            </w:r>
            <w:r>
              <w:rPr>
                <w:rFonts w:hint="eastAsia"/>
              </w:rPr>
              <w:t>敏感</w:t>
            </w:r>
            <w:r>
              <w:rPr>
                <w:rFonts w:hint="eastAsia"/>
              </w:rPr>
              <w:t>点</w:t>
            </w:r>
            <w:r>
              <w:rPr>
                <w:rFonts w:hint="eastAsia"/>
              </w:rPr>
              <w:t>位</w:t>
            </w:r>
            <w:r>
              <w:rPr>
                <w:rFonts w:hint="eastAsia"/>
              </w:rPr>
              <w:t>进行了噪声检测，详情如下。</w:t>
            </w:r>
          </w:p>
          <w:p w:rsidR="00BC07F0" w:rsidRDefault="00073EFB">
            <w:pPr>
              <w:numPr>
                <w:ilvl w:val="0"/>
                <w:numId w:val="9"/>
              </w:numPr>
              <w:tabs>
                <w:tab w:val="left" w:pos="480"/>
              </w:tabs>
              <w:ind w:left="0" w:firstLineChars="0" w:firstLine="420"/>
            </w:pPr>
            <w:r>
              <w:rPr>
                <w:rFonts w:hint="eastAsia"/>
              </w:rPr>
              <w:t>检测点位：</w:t>
            </w:r>
            <w:r>
              <w:rPr>
                <w:rFonts w:hint="eastAsia"/>
              </w:rPr>
              <w:t>N1</w:t>
            </w:r>
            <w:r>
              <w:rPr>
                <w:rFonts w:hint="eastAsia"/>
              </w:rPr>
              <w:t>王家主居民点临路第一排西临路第</w:t>
            </w:r>
            <w:r>
              <w:rPr>
                <w:rFonts w:hint="eastAsia"/>
              </w:rPr>
              <w:t>1</w:t>
            </w:r>
            <w:r>
              <w:rPr>
                <w:rFonts w:hint="eastAsia"/>
              </w:rPr>
              <w:t>层室外</w:t>
            </w:r>
            <w:r>
              <w:rPr>
                <w:rFonts w:hint="eastAsia"/>
              </w:rPr>
              <w:t>1m</w:t>
            </w:r>
            <w:r>
              <w:rPr>
                <w:rFonts w:hint="eastAsia"/>
              </w:rPr>
              <w:t>、</w:t>
            </w:r>
            <w:r>
              <w:rPr>
                <w:rFonts w:hint="eastAsia"/>
              </w:rPr>
              <w:t>N2</w:t>
            </w:r>
            <w:r>
              <w:rPr>
                <w:rFonts w:hint="eastAsia"/>
              </w:rPr>
              <w:t>奇峰苑小区临路第一排北临路第</w:t>
            </w:r>
            <w:r>
              <w:rPr>
                <w:rFonts w:hint="eastAsia"/>
              </w:rPr>
              <w:t>1</w:t>
            </w:r>
            <w:r>
              <w:rPr>
                <w:rFonts w:hint="eastAsia"/>
              </w:rPr>
              <w:t>层室外</w:t>
            </w:r>
            <w:r>
              <w:rPr>
                <w:rFonts w:hint="eastAsia"/>
              </w:rPr>
              <w:t>1m</w:t>
            </w:r>
            <w:r>
              <w:rPr>
                <w:rFonts w:hint="eastAsia"/>
              </w:rPr>
              <w:t>、</w:t>
            </w:r>
            <w:r>
              <w:rPr>
                <w:rFonts w:hint="eastAsia"/>
              </w:rPr>
              <w:t>N3</w:t>
            </w:r>
            <w:r>
              <w:rPr>
                <w:rFonts w:hint="eastAsia"/>
              </w:rPr>
              <w:t>白沙洲居民点临路第一排</w:t>
            </w:r>
            <w:r>
              <w:rPr>
                <w:rFonts w:hint="eastAsia"/>
              </w:rPr>
              <w:t>、</w:t>
            </w:r>
            <w:r>
              <w:rPr>
                <w:rFonts w:hint="eastAsia"/>
              </w:rPr>
              <w:t>N4</w:t>
            </w:r>
            <w:r>
              <w:rPr>
                <w:rFonts w:hint="eastAsia"/>
              </w:rPr>
              <w:t>湘江村居民点临路第一排、</w:t>
            </w:r>
            <w:r>
              <w:rPr>
                <w:rFonts w:hint="eastAsia"/>
              </w:rPr>
              <w:t>N5</w:t>
            </w:r>
            <w:r>
              <w:rPr>
                <w:rFonts w:hint="eastAsia"/>
              </w:rPr>
              <w:t>下老屋居民点临路第一排、</w:t>
            </w:r>
            <w:r>
              <w:rPr>
                <w:rFonts w:hint="eastAsia"/>
              </w:rPr>
              <w:t>N6</w:t>
            </w:r>
            <w:r>
              <w:rPr>
                <w:rFonts w:hint="eastAsia"/>
              </w:rPr>
              <w:t>白沙村居民点临路第一排、</w:t>
            </w:r>
            <w:r>
              <w:rPr>
                <w:rFonts w:hint="eastAsia"/>
              </w:rPr>
              <w:t>N7</w:t>
            </w:r>
            <w:r>
              <w:rPr>
                <w:rFonts w:hint="eastAsia"/>
              </w:rPr>
              <w:t>魏家咀居民点临路第一排、</w:t>
            </w:r>
            <w:r>
              <w:rPr>
                <w:rFonts w:hint="eastAsia"/>
              </w:rPr>
              <w:t>N8</w:t>
            </w:r>
            <w:r>
              <w:rPr>
                <w:rFonts w:hint="eastAsia"/>
              </w:rPr>
              <w:t>白沙二组安置小区临路第一排、</w:t>
            </w:r>
            <w:r>
              <w:rPr>
                <w:rFonts w:hint="eastAsia"/>
              </w:rPr>
              <w:t>N9</w:t>
            </w:r>
            <w:r>
              <w:rPr>
                <w:rFonts w:hint="eastAsia"/>
              </w:rPr>
              <w:t>白沙洲安置小区临路临路第一排、</w:t>
            </w:r>
            <w:r>
              <w:rPr>
                <w:rFonts w:hint="eastAsia"/>
              </w:rPr>
              <w:t>N10</w:t>
            </w:r>
            <w:r>
              <w:rPr>
                <w:rFonts w:hint="eastAsia"/>
              </w:rPr>
              <w:t>塑田社区居民点临路第一排、</w:t>
            </w:r>
            <w:r>
              <w:rPr>
                <w:rFonts w:hint="eastAsia"/>
              </w:rPr>
              <w:t>N11</w:t>
            </w:r>
            <w:r>
              <w:rPr>
                <w:rFonts w:hint="eastAsia"/>
              </w:rPr>
              <w:t>陡岭社区居民点临路第一排、</w:t>
            </w:r>
            <w:r>
              <w:rPr>
                <w:rFonts w:hint="eastAsia"/>
              </w:rPr>
              <w:t>N12</w:t>
            </w:r>
            <w:r>
              <w:rPr>
                <w:rFonts w:hint="eastAsia"/>
              </w:rPr>
              <w:t>新屋居民点临路第一排、</w:t>
            </w:r>
            <w:r>
              <w:rPr>
                <w:rFonts w:hint="eastAsia"/>
              </w:rPr>
              <w:t>N13</w:t>
            </w:r>
            <w:r>
              <w:rPr>
                <w:rFonts w:hint="eastAsia"/>
              </w:rPr>
              <w:t>铜桥湿地公园工程施工场界东侧</w:t>
            </w:r>
            <w:r>
              <w:rPr>
                <w:rFonts w:hint="eastAsia"/>
              </w:rPr>
              <w:t>1m</w:t>
            </w:r>
            <w:r>
              <w:rPr>
                <w:rFonts w:hint="eastAsia"/>
              </w:rPr>
              <w:t>、</w:t>
            </w:r>
            <w:r>
              <w:rPr>
                <w:rFonts w:hint="eastAsia"/>
              </w:rPr>
              <w:t>N14</w:t>
            </w:r>
            <w:r>
              <w:rPr>
                <w:rFonts w:hint="eastAsia"/>
              </w:rPr>
              <w:t>铜桥湿地公园工程施工场界西侧</w:t>
            </w:r>
            <w:r>
              <w:rPr>
                <w:rFonts w:hint="eastAsia"/>
              </w:rPr>
              <w:t>1m</w:t>
            </w:r>
            <w:r>
              <w:rPr>
                <w:rFonts w:hint="eastAsia"/>
              </w:rPr>
              <w:t>、</w:t>
            </w:r>
            <w:r>
              <w:rPr>
                <w:rFonts w:hint="eastAsia"/>
              </w:rPr>
              <w:t>N15</w:t>
            </w:r>
            <w:r>
              <w:rPr>
                <w:rFonts w:hint="eastAsia"/>
              </w:rPr>
              <w:t>铜桥湿地公园工程施工场界南侧</w:t>
            </w:r>
            <w:r>
              <w:rPr>
                <w:rFonts w:hint="eastAsia"/>
              </w:rPr>
              <w:t>1m</w:t>
            </w:r>
            <w:r>
              <w:rPr>
                <w:rFonts w:hint="eastAsia"/>
              </w:rPr>
              <w:t>、</w:t>
            </w:r>
            <w:r>
              <w:rPr>
                <w:rFonts w:hint="eastAsia"/>
              </w:rPr>
              <w:t>N16</w:t>
            </w:r>
            <w:r>
              <w:rPr>
                <w:rFonts w:hint="eastAsia"/>
              </w:rPr>
              <w:t>铜桥湿地公园工程施工场界北</w:t>
            </w:r>
            <w:r>
              <w:rPr>
                <w:rFonts w:hint="eastAsia"/>
              </w:rPr>
              <w:lastRenderedPageBreak/>
              <w:t>侧</w:t>
            </w:r>
            <w:r>
              <w:rPr>
                <w:rFonts w:hint="eastAsia"/>
              </w:rPr>
              <w:t>1m</w:t>
            </w:r>
            <w:r>
              <w:rPr>
                <w:rFonts w:hint="eastAsia"/>
              </w:rPr>
              <w:t>、</w:t>
            </w:r>
            <w:r>
              <w:rPr>
                <w:rFonts w:hint="eastAsia"/>
              </w:rPr>
              <w:t>N17</w:t>
            </w:r>
            <w:r>
              <w:rPr>
                <w:rFonts w:hint="eastAsia"/>
              </w:rPr>
              <w:t>铜桥湿地公园工程施工场界附近居民点</w:t>
            </w:r>
            <w:r>
              <w:rPr>
                <w:rFonts w:hint="eastAsia"/>
              </w:rPr>
              <w:t>。</w:t>
            </w:r>
          </w:p>
          <w:p w:rsidR="00BC07F0" w:rsidRDefault="00073EFB">
            <w:pPr>
              <w:numPr>
                <w:ilvl w:val="0"/>
                <w:numId w:val="9"/>
              </w:numPr>
              <w:tabs>
                <w:tab w:val="left" w:pos="480"/>
              </w:tabs>
              <w:ind w:left="0" w:firstLineChars="0" w:firstLine="420"/>
            </w:pPr>
            <w:r>
              <w:rPr>
                <w:rFonts w:hint="eastAsia"/>
              </w:rPr>
              <w:t>检测</w:t>
            </w:r>
            <w:r>
              <w:t>因子：等效连续</w:t>
            </w:r>
            <w:r>
              <w:t>A</w:t>
            </w:r>
            <w:r>
              <w:t>声级</w:t>
            </w:r>
            <w:r>
              <w:t>Leq</w:t>
            </w:r>
            <w:r>
              <w:rPr>
                <w:rFonts w:hint="eastAsia"/>
              </w:rPr>
              <w:t>（</w:t>
            </w:r>
            <w:r>
              <w:t>A</w:t>
            </w:r>
            <w:r>
              <w:rPr>
                <w:rFonts w:hint="eastAsia"/>
              </w:rPr>
              <w:t>）</w:t>
            </w:r>
            <w:r>
              <w:t>。</w:t>
            </w:r>
          </w:p>
          <w:p w:rsidR="00BC07F0" w:rsidRDefault="00073EFB">
            <w:pPr>
              <w:numPr>
                <w:ilvl w:val="0"/>
                <w:numId w:val="9"/>
              </w:numPr>
              <w:tabs>
                <w:tab w:val="left" w:pos="480"/>
              </w:tabs>
              <w:ind w:left="0" w:firstLineChars="0" w:firstLine="420"/>
            </w:pPr>
            <w:r>
              <w:rPr>
                <w:rFonts w:hint="eastAsia"/>
              </w:rPr>
              <w:t>检</w:t>
            </w:r>
            <w:r>
              <w:rPr>
                <w:rFonts w:hint="eastAsia"/>
              </w:rPr>
              <w:t>测时间</w:t>
            </w:r>
            <w:r>
              <w:t>：</w:t>
            </w:r>
            <w:r>
              <w:rPr>
                <w:rFonts w:hint="eastAsia"/>
              </w:rPr>
              <w:t>2021</w:t>
            </w:r>
            <w:r>
              <w:rPr>
                <w:rFonts w:hint="eastAsia"/>
              </w:rPr>
              <w:t>年</w:t>
            </w:r>
            <w:r>
              <w:rPr>
                <w:rFonts w:hint="eastAsia"/>
              </w:rPr>
              <w:t>5</w:t>
            </w:r>
            <w:r>
              <w:rPr>
                <w:rFonts w:hint="eastAsia"/>
              </w:rPr>
              <w:t>月</w:t>
            </w:r>
            <w:r>
              <w:rPr>
                <w:rFonts w:hint="eastAsia"/>
              </w:rPr>
              <w:t>2</w:t>
            </w:r>
            <w:r>
              <w:rPr>
                <w:rFonts w:hint="eastAsia"/>
              </w:rPr>
              <w:t>0</w:t>
            </w:r>
            <w:r>
              <w:rPr>
                <w:rFonts w:hint="eastAsia"/>
              </w:rPr>
              <w:t>日，</w:t>
            </w:r>
            <w:r>
              <w:t>每天昼间和夜间各一次。</w:t>
            </w:r>
          </w:p>
          <w:p w:rsidR="00BC07F0" w:rsidRDefault="00073EFB">
            <w:pPr>
              <w:numPr>
                <w:ilvl w:val="0"/>
                <w:numId w:val="9"/>
              </w:numPr>
              <w:tabs>
                <w:tab w:val="left" w:pos="480"/>
              </w:tabs>
              <w:ind w:left="0" w:firstLineChars="0" w:firstLine="420"/>
            </w:pPr>
            <w:r>
              <w:t>评价标准：</w:t>
            </w:r>
            <w:r>
              <w:rPr>
                <w:rFonts w:hint="eastAsia"/>
              </w:rPr>
              <w:t>执行</w:t>
            </w:r>
            <w:r>
              <w:t>《声环境质量标准》（</w:t>
            </w:r>
            <w:r>
              <w:t>GB3096-2008</w:t>
            </w:r>
            <w:r>
              <w:t>）</w:t>
            </w:r>
            <w:r>
              <w:rPr>
                <w:rFonts w:hint="eastAsia"/>
              </w:rPr>
              <w:t>2</w:t>
            </w:r>
            <w:r>
              <w:rPr>
                <w:rFonts w:hint="eastAsia"/>
              </w:rPr>
              <w:t>类标准</w:t>
            </w:r>
            <w:r>
              <w:t>。</w:t>
            </w:r>
          </w:p>
          <w:p w:rsidR="00BC07F0" w:rsidRDefault="00073EFB">
            <w:pPr>
              <w:numPr>
                <w:ilvl w:val="0"/>
                <w:numId w:val="9"/>
              </w:numPr>
              <w:tabs>
                <w:tab w:val="left" w:pos="480"/>
              </w:tabs>
              <w:ind w:left="0" w:firstLineChars="0" w:firstLine="420"/>
            </w:pPr>
            <w:bookmarkStart w:id="19" w:name="_Ref340763147"/>
            <w:r>
              <w:rPr>
                <w:rFonts w:hint="eastAsia"/>
              </w:rPr>
              <w:t>检测</w:t>
            </w:r>
            <w:r>
              <w:t>结果及评价</w:t>
            </w:r>
            <w:bookmarkEnd w:id="19"/>
            <w:r>
              <w:rPr>
                <w:rFonts w:hint="eastAsia"/>
              </w:rPr>
              <w:t>：检测</w:t>
            </w:r>
            <w:r>
              <w:t>结果见</w:t>
            </w:r>
            <w:r>
              <w:rPr>
                <w:rFonts w:hint="eastAsia"/>
              </w:rPr>
              <w:t>下表</w:t>
            </w:r>
            <w:r>
              <w:t>。</w:t>
            </w:r>
          </w:p>
          <w:p w:rsidR="00BC07F0" w:rsidRDefault="00073EFB">
            <w:pPr>
              <w:pStyle w:val="a7"/>
              <w:rPr>
                <w:rFonts w:hint="default"/>
                <w:b/>
                <w:bCs/>
              </w:rPr>
            </w:pPr>
            <w:bookmarkStart w:id="20" w:name="_Ref340763213"/>
            <w:r>
              <w:rPr>
                <w:b/>
                <w:bCs/>
              </w:rPr>
              <w:t>表</w:t>
            </w:r>
            <w:bookmarkEnd w:id="20"/>
            <w:r>
              <w:rPr>
                <w:b/>
                <w:bCs/>
              </w:rPr>
              <w:t>3</w:t>
            </w:r>
            <w:r>
              <w:rPr>
                <w:b/>
                <w:bCs/>
              </w:rPr>
              <w:t>.3-1</w:t>
            </w:r>
            <w:r>
              <w:rPr>
                <w:b/>
                <w:bCs/>
              </w:rPr>
              <w:t>噪声检测</w:t>
            </w:r>
            <w:r>
              <w:rPr>
                <w:b/>
                <w:bCs/>
              </w:rPr>
              <w:t>结果一览表</w:t>
            </w:r>
          </w:p>
          <w:tbl>
            <w:tblPr>
              <w:tblStyle w:val="a6"/>
              <w:tblW w:w="4950" w:type="pct"/>
              <w:jc w:val="center"/>
              <w:tblLayout w:type="fixed"/>
              <w:tblLook w:val="04A0"/>
            </w:tblPr>
            <w:tblGrid>
              <w:gridCol w:w="4235"/>
              <w:gridCol w:w="1320"/>
              <w:gridCol w:w="1349"/>
              <w:gridCol w:w="1054"/>
              <w:gridCol w:w="1041"/>
            </w:tblGrid>
            <w:tr w:rsidR="00BC07F0">
              <w:trPr>
                <w:trHeight w:val="397"/>
                <w:jc w:val="center"/>
              </w:trPr>
              <w:tc>
                <w:tcPr>
                  <w:tcW w:w="4291" w:type="dxa"/>
                  <w:vMerge w:val="restart"/>
                  <w:vAlign w:val="center"/>
                </w:tcPr>
                <w:p w:rsidR="00BC07F0" w:rsidRDefault="00073EFB">
                  <w:pPr>
                    <w:pStyle w:val="a7"/>
                    <w:rPr>
                      <w:rFonts w:hint="default"/>
                    </w:rPr>
                  </w:pPr>
                  <w:r>
                    <w:t>检测点位</w:t>
                  </w:r>
                </w:p>
              </w:tc>
              <w:tc>
                <w:tcPr>
                  <w:tcW w:w="2700" w:type="dxa"/>
                  <w:gridSpan w:val="2"/>
                  <w:vAlign w:val="center"/>
                </w:tcPr>
                <w:p w:rsidR="00BC07F0" w:rsidRDefault="00073EFB">
                  <w:pPr>
                    <w:pStyle w:val="a7"/>
                    <w:rPr>
                      <w:rFonts w:hint="default"/>
                    </w:rPr>
                  </w:pPr>
                  <w:r>
                    <w:t>检测结果</w:t>
                  </w:r>
                </w:p>
              </w:tc>
              <w:tc>
                <w:tcPr>
                  <w:tcW w:w="2117" w:type="dxa"/>
                  <w:gridSpan w:val="2"/>
                  <w:vAlign w:val="center"/>
                </w:tcPr>
                <w:p w:rsidR="00BC07F0" w:rsidRDefault="00073EFB">
                  <w:pPr>
                    <w:pStyle w:val="a7"/>
                    <w:rPr>
                      <w:rFonts w:hint="default"/>
                    </w:rPr>
                  </w:pPr>
                  <w:r>
                    <w:t>标准限值</w:t>
                  </w:r>
                </w:p>
              </w:tc>
            </w:tr>
            <w:tr w:rsidR="00BC07F0">
              <w:trPr>
                <w:trHeight w:val="397"/>
                <w:jc w:val="center"/>
              </w:trPr>
              <w:tc>
                <w:tcPr>
                  <w:tcW w:w="4291" w:type="dxa"/>
                  <w:vMerge/>
                  <w:vAlign w:val="center"/>
                </w:tcPr>
                <w:p w:rsidR="00BC07F0" w:rsidRDefault="00BC07F0">
                  <w:pPr>
                    <w:pStyle w:val="a7"/>
                    <w:rPr>
                      <w:rFonts w:hint="default"/>
                    </w:rPr>
                  </w:pPr>
                </w:p>
              </w:tc>
              <w:tc>
                <w:tcPr>
                  <w:tcW w:w="1335" w:type="dxa"/>
                  <w:vAlign w:val="center"/>
                </w:tcPr>
                <w:p w:rsidR="00BC07F0" w:rsidRDefault="00073EFB">
                  <w:pPr>
                    <w:pStyle w:val="a7"/>
                    <w:rPr>
                      <w:rFonts w:hint="default"/>
                    </w:rPr>
                  </w:pPr>
                  <w:r>
                    <w:t>昼间</w:t>
                  </w:r>
                </w:p>
              </w:tc>
              <w:tc>
                <w:tcPr>
                  <w:tcW w:w="1365" w:type="dxa"/>
                  <w:vAlign w:val="center"/>
                </w:tcPr>
                <w:p w:rsidR="00BC07F0" w:rsidRDefault="00073EFB">
                  <w:pPr>
                    <w:pStyle w:val="a7"/>
                    <w:rPr>
                      <w:rFonts w:hint="default"/>
                    </w:rPr>
                  </w:pPr>
                  <w:r>
                    <w:t>夜间</w:t>
                  </w:r>
                </w:p>
              </w:tc>
              <w:tc>
                <w:tcPr>
                  <w:tcW w:w="1065" w:type="dxa"/>
                  <w:vAlign w:val="center"/>
                </w:tcPr>
                <w:p w:rsidR="00BC07F0" w:rsidRDefault="00073EFB">
                  <w:pPr>
                    <w:pStyle w:val="a7"/>
                    <w:rPr>
                      <w:rFonts w:hint="default"/>
                    </w:rPr>
                  </w:pPr>
                  <w:r>
                    <w:t>昼间</w:t>
                  </w:r>
                </w:p>
              </w:tc>
              <w:tc>
                <w:tcPr>
                  <w:tcW w:w="1052" w:type="dxa"/>
                  <w:vAlign w:val="center"/>
                </w:tcPr>
                <w:p w:rsidR="00BC07F0" w:rsidRDefault="00073EFB">
                  <w:pPr>
                    <w:pStyle w:val="a7"/>
                    <w:rPr>
                      <w:rFonts w:hint="default"/>
                    </w:rPr>
                  </w:pPr>
                  <w:r>
                    <w:t>夜间</w:t>
                  </w:r>
                </w:p>
              </w:tc>
            </w:tr>
            <w:tr w:rsidR="00BC07F0">
              <w:trPr>
                <w:trHeight w:val="397"/>
                <w:jc w:val="center"/>
              </w:trPr>
              <w:tc>
                <w:tcPr>
                  <w:tcW w:w="4291" w:type="dxa"/>
                  <w:vAlign w:val="center"/>
                </w:tcPr>
                <w:p w:rsidR="00BC07F0" w:rsidRDefault="00073EFB">
                  <w:pPr>
                    <w:pStyle w:val="a7"/>
                    <w:rPr>
                      <w:rFonts w:hint="default"/>
                    </w:rPr>
                  </w:pPr>
                  <w:r>
                    <w:t>N1</w:t>
                  </w:r>
                  <w:r>
                    <w:t>王家主居民点临路第一排西临路第</w:t>
                  </w:r>
                  <w:r>
                    <w:t>1</w:t>
                  </w:r>
                  <w:r>
                    <w:t>层室外</w:t>
                  </w:r>
                  <w:r>
                    <w:t>1m</w:t>
                  </w:r>
                </w:p>
              </w:tc>
              <w:tc>
                <w:tcPr>
                  <w:tcW w:w="1335" w:type="dxa"/>
                  <w:vAlign w:val="center"/>
                </w:tcPr>
                <w:p w:rsidR="00BC07F0" w:rsidRDefault="00073EFB">
                  <w:pPr>
                    <w:pStyle w:val="a7"/>
                    <w:rPr>
                      <w:rFonts w:hint="default"/>
                    </w:rPr>
                  </w:pPr>
                  <w:r>
                    <w:t>51</w:t>
                  </w:r>
                </w:p>
              </w:tc>
              <w:tc>
                <w:tcPr>
                  <w:tcW w:w="1365" w:type="dxa"/>
                  <w:vAlign w:val="center"/>
                </w:tcPr>
                <w:p w:rsidR="00BC07F0" w:rsidRDefault="00073EFB">
                  <w:pPr>
                    <w:pStyle w:val="a7"/>
                    <w:rPr>
                      <w:rFonts w:hint="default"/>
                    </w:rPr>
                  </w:pPr>
                  <w:r>
                    <w:t>43.4</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r w:rsidR="00BC07F0">
              <w:trPr>
                <w:trHeight w:val="397"/>
                <w:jc w:val="center"/>
              </w:trPr>
              <w:tc>
                <w:tcPr>
                  <w:tcW w:w="4291" w:type="dxa"/>
                  <w:vAlign w:val="center"/>
                </w:tcPr>
                <w:p w:rsidR="00BC07F0" w:rsidRDefault="00073EFB">
                  <w:pPr>
                    <w:pStyle w:val="a7"/>
                    <w:rPr>
                      <w:rFonts w:hint="default"/>
                    </w:rPr>
                  </w:pPr>
                  <w:r>
                    <w:t>N2</w:t>
                  </w:r>
                  <w:r>
                    <w:t>奇峰苑小区临路第一排北临路第</w:t>
                  </w:r>
                  <w:r>
                    <w:t>1</w:t>
                  </w:r>
                  <w:r>
                    <w:t>层室外</w:t>
                  </w:r>
                  <w:r>
                    <w:t>1m</w:t>
                  </w:r>
                </w:p>
              </w:tc>
              <w:tc>
                <w:tcPr>
                  <w:tcW w:w="1335" w:type="dxa"/>
                  <w:vAlign w:val="center"/>
                </w:tcPr>
                <w:p w:rsidR="00BC07F0" w:rsidRDefault="00073EFB">
                  <w:pPr>
                    <w:pStyle w:val="a7"/>
                    <w:rPr>
                      <w:rFonts w:hint="default"/>
                    </w:rPr>
                  </w:pPr>
                  <w:r>
                    <w:t>51.1</w:t>
                  </w:r>
                </w:p>
              </w:tc>
              <w:tc>
                <w:tcPr>
                  <w:tcW w:w="1365" w:type="dxa"/>
                  <w:vAlign w:val="center"/>
                </w:tcPr>
                <w:p w:rsidR="00BC07F0" w:rsidRDefault="00073EFB">
                  <w:pPr>
                    <w:pStyle w:val="a7"/>
                    <w:rPr>
                      <w:rFonts w:hint="default"/>
                    </w:rPr>
                  </w:pPr>
                  <w:r>
                    <w:t>44.0</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r w:rsidR="00BC07F0">
              <w:trPr>
                <w:trHeight w:val="397"/>
                <w:jc w:val="center"/>
              </w:trPr>
              <w:tc>
                <w:tcPr>
                  <w:tcW w:w="4291" w:type="dxa"/>
                  <w:vAlign w:val="center"/>
                </w:tcPr>
                <w:p w:rsidR="00BC07F0" w:rsidRDefault="00073EFB">
                  <w:pPr>
                    <w:pStyle w:val="a7"/>
                    <w:rPr>
                      <w:rFonts w:hint="default"/>
                    </w:rPr>
                  </w:pPr>
                  <w:r>
                    <w:t>N3</w:t>
                  </w:r>
                  <w:r>
                    <w:t>白沙洲居民点临路第一排</w:t>
                  </w:r>
                </w:p>
              </w:tc>
              <w:tc>
                <w:tcPr>
                  <w:tcW w:w="1335" w:type="dxa"/>
                  <w:vAlign w:val="center"/>
                </w:tcPr>
                <w:p w:rsidR="00BC07F0" w:rsidRDefault="00073EFB">
                  <w:pPr>
                    <w:pStyle w:val="a7"/>
                    <w:rPr>
                      <w:rFonts w:hint="default"/>
                    </w:rPr>
                  </w:pPr>
                  <w:r>
                    <w:t>50.9</w:t>
                  </w:r>
                </w:p>
              </w:tc>
              <w:tc>
                <w:tcPr>
                  <w:tcW w:w="1365" w:type="dxa"/>
                  <w:vAlign w:val="center"/>
                </w:tcPr>
                <w:p w:rsidR="00BC07F0" w:rsidRDefault="00073EFB">
                  <w:pPr>
                    <w:pStyle w:val="a7"/>
                    <w:rPr>
                      <w:rFonts w:hint="default"/>
                    </w:rPr>
                  </w:pPr>
                  <w:r>
                    <w:t>41.1</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r w:rsidR="00BC07F0">
              <w:trPr>
                <w:trHeight w:val="397"/>
                <w:jc w:val="center"/>
              </w:trPr>
              <w:tc>
                <w:tcPr>
                  <w:tcW w:w="4291" w:type="dxa"/>
                  <w:vAlign w:val="center"/>
                </w:tcPr>
                <w:p w:rsidR="00BC07F0" w:rsidRDefault="00073EFB">
                  <w:pPr>
                    <w:pStyle w:val="a7"/>
                    <w:rPr>
                      <w:rFonts w:hint="default"/>
                    </w:rPr>
                  </w:pPr>
                  <w:r>
                    <w:t>N4</w:t>
                  </w:r>
                  <w:r>
                    <w:t>湘江村居民点临路第一排</w:t>
                  </w:r>
                </w:p>
              </w:tc>
              <w:tc>
                <w:tcPr>
                  <w:tcW w:w="1335" w:type="dxa"/>
                  <w:vAlign w:val="center"/>
                </w:tcPr>
                <w:p w:rsidR="00BC07F0" w:rsidRDefault="00073EFB">
                  <w:pPr>
                    <w:pStyle w:val="a7"/>
                    <w:rPr>
                      <w:rFonts w:hint="default"/>
                    </w:rPr>
                  </w:pPr>
                  <w:r>
                    <w:t>51.1</w:t>
                  </w:r>
                </w:p>
              </w:tc>
              <w:tc>
                <w:tcPr>
                  <w:tcW w:w="1365" w:type="dxa"/>
                  <w:vAlign w:val="center"/>
                </w:tcPr>
                <w:p w:rsidR="00BC07F0" w:rsidRDefault="00073EFB">
                  <w:pPr>
                    <w:pStyle w:val="a7"/>
                    <w:rPr>
                      <w:rFonts w:hint="default"/>
                    </w:rPr>
                  </w:pPr>
                  <w:r>
                    <w:t>41.2</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r w:rsidR="00BC07F0">
              <w:trPr>
                <w:trHeight w:val="397"/>
                <w:jc w:val="center"/>
              </w:trPr>
              <w:tc>
                <w:tcPr>
                  <w:tcW w:w="4291" w:type="dxa"/>
                  <w:vAlign w:val="center"/>
                </w:tcPr>
                <w:p w:rsidR="00BC07F0" w:rsidRDefault="00073EFB">
                  <w:pPr>
                    <w:pStyle w:val="a7"/>
                    <w:rPr>
                      <w:rFonts w:hint="default"/>
                    </w:rPr>
                  </w:pPr>
                  <w:r>
                    <w:t>N5</w:t>
                  </w:r>
                  <w:r>
                    <w:t>下老屋居民点临路第一排</w:t>
                  </w:r>
                </w:p>
              </w:tc>
              <w:tc>
                <w:tcPr>
                  <w:tcW w:w="1335" w:type="dxa"/>
                  <w:vAlign w:val="center"/>
                </w:tcPr>
                <w:p w:rsidR="00BC07F0" w:rsidRDefault="00073EFB">
                  <w:pPr>
                    <w:pStyle w:val="a7"/>
                    <w:rPr>
                      <w:rFonts w:hint="default"/>
                    </w:rPr>
                  </w:pPr>
                  <w:r>
                    <w:t>50.1</w:t>
                  </w:r>
                </w:p>
              </w:tc>
              <w:tc>
                <w:tcPr>
                  <w:tcW w:w="1365" w:type="dxa"/>
                  <w:vAlign w:val="center"/>
                </w:tcPr>
                <w:p w:rsidR="00BC07F0" w:rsidRDefault="00073EFB">
                  <w:pPr>
                    <w:pStyle w:val="a7"/>
                    <w:rPr>
                      <w:rFonts w:hint="default"/>
                    </w:rPr>
                  </w:pPr>
                  <w:r>
                    <w:t>41.1</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r w:rsidR="00BC07F0">
              <w:trPr>
                <w:trHeight w:val="397"/>
                <w:jc w:val="center"/>
              </w:trPr>
              <w:tc>
                <w:tcPr>
                  <w:tcW w:w="4291" w:type="dxa"/>
                  <w:vAlign w:val="center"/>
                </w:tcPr>
                <w:p w:rsidR="00BC07F0" w:rsidRDefault="00073EFB">
                  <w:pPr>
                    <w:pStyle w:val="a7"/>
                    <w:rPr>
                      <w:rFonts w:hint="default"/>
                    </w:rPr>
                  </w:pPr>
                  <w:r>
                    <w:t>N6</w:t>
                  </w:r>
                  <w:r>
                    <w:t>白沙村居民点临路第一排</w:t>
                  </w:r>
                </w:p>
              </w:tc>
              <w:tc>
                <w:tcPr>
                  <w:tcW w:w="1335" w:type="dxa"/>
                  <w:vAlign w:val="center"/>
                </w:tcPr>
                <w:p w:rsidR="00BC07F0" w:rsidRDefault="00073EFB">
                  <w:pPr>
                    <w:pStyle w:val="a7"/>
                    <w:rPr>
                      <w:rFonts w:hint="default"/>
                    </w:rPr>
                  </w:pPr>
                  <w:r>
                    <w:t>51.1</w:t>
                  </w:r>
                </w:p>
              </w:tc>
              <w:tc>
                <w:tcPr>
                  <w:tcW w:w="1365" w:type="dxa"/>
                  <w:vAlign w:val="center"/>
                </w:tcPr>
                <w:p w:rsidR="00BC07F0" w:rsidRDefault="00073EFB">
                  <w:pPr>
                    <w:pStyle w:val="a7"/>
                    <w:rPr>
                      <w:rFonts w:hint="default"/>
                    </w:rPr>
                  </w:pPr>
                  <w:r>
                    <w:t>41.3</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r w:rsidR="00BC07F0">
              <w:trPr>
                <w:trHeight w:val="397"/>
                <w:jc w:val="center"/>
              </w:trPr>
              <w:tc>
                <w:tcPr>
                  <w:tcW w:w="4291" w:type="dxa"/>
                  <w:vAlign w:val="center"/>
                </w:tcPr>
                <w:p w:rsidR="00BC07F0" w:rsidRDefault="00073EFB">
                  <w:pPr>
                    <w:pStyle w:val="a7"/>
                    <w:rPr>
                      <w:rFonts w:hint="default"/>
                    </w:rPr>
                  </w:pPr>
                  <w:r>
                    <w:t>N7</w:t>
                  </w:r>
                  <w:r>
                    <w:t>魏家咀居民点临路第一排</w:t>
                  </w:r>
                </w:p>
              </w:tc>
              <w:tc>
                <w:tcPr>
                  <w:tcW w:w="1335" w:type="dxa"/>
                  <w:vAlign w:val="center"/>
                </w:tcPr>
                <w:p w:rsidR="00BC07F0" w:rsidRDefault="00073EFB">
                  <w:pPr>
                    <w:pStyle w:val="a7"/>
                    <w:rPr>
                      <w:rFonts w:hint="default"/>
                    </w:rPr>
                  </w:pPr>
                  <w:r>
                    <w:t>51.1</w:t>
                  </w:r>
                </w:p>
              </w:tc>
              <w:tc>
                <w:tcPr>
                  <w:tcW w:w="1365" w:type="dxa"/>
                  <w:vAlign w:val="center"/>
                </w:tcPr>
                <w:p w:rsidR="00BC07F0" w:rsidRDefault="00073EFB">
                  <w:pPr>
                    <w:pStyle w:val="a7"/>
                    <w:rPr>
                      <w:rFonts w:hint="default"/>
                    </w:rPr>
                  </w:pPr>
                  <w:r>
                    <w:t>41.0</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r w:rsidR="00BC07F0">
              <w:trPr>
                <w:trHeight w:val="397"/>
                <w:jc w:val="center"/>
              </w:trPr>
              <w:tc>
                <w:tcPr>
                  <w:tcW w:w="4291" w:type="dxa"/>
                  <w:vAlign w:val="center"/>
                </w:tcPr>
                <w:p w:rsidR="00BC07F0" w:rsidRDefault="00073EFB">
                  <w:pPr>
                    <w:pStyle w:val="a7"/>
                    <w:rPr>
                      <w:rFonts w:hint="default"/>
                    </w:rPr>
                  </w:pPr>
                  <w:r>
                    <w:t>N8</w:t>
                  </w:r>
                  <w:r>
                    <w:t>白沙二组安置小区临路第一排</w:t>
                  </w:r>
                </w:p>
              </w:tc>
              <w:tc>
                <w:tcPr>
                  <w:tcW w:w="1335" w:type="dxa"/>
                  <w:vAlign w:val="center"/>
                </w:tcPr>
                <w:p w:rsidR="00BC07F0" w:rsidRDefault="00073EFB">
                  <w:pPr>
                    <w:pStyle w:val="a7"/>
                    <w:rPr>
                      <w:rFonts w:hint="default"/>
                    </w:rPr>
                  </w:pPr>
                  <w:r>
                    <w:t>51.1</w:t>
                  </w:r>
                </w:p>
              </w:tc>
              <w:tc>
                <w:tcPr>
                  <w:tcW w:w="1365" w:type="dxa"/>
                  <w:vAlign w:val="center"/>
                </w:tcPr>
                <w:p w:rsidR="00BC07F0" w:rsidRDefault="00073EFB">
                  <w:pPr>
                    <w:pStyle w:val="a7"/>
                    <w:rPr>
                      <w:rFonts w:hint="default"/>
                    </w:rPr>
                  </w:pPr>
                  <w:r>
                    <w:t>41.0</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r w:rsidR="00BC07F0">
              <w:trPr>
                <w:trHeight w:val="397"/>
                <w:jc w:val="center"/>
              </w:trPr>
              <w:tc>
                <w:tcPr>
                  <w:tcW w:w="4291" w:type="dxa"/>
                  <w:vAlign w:val="center"/>
                </w:tcPr>
                <w:p w:rsidR="00BC07F0" w:rsidRDefault="00073EFB">
                  <w:pPr>
                    <w:pStyle w:val="a7"/>
                    <w:rPr>
                      <w:rFonts w:hint="default"/>
                    </w:rPr>
                  </w:pPr>
                  <w:r>
                    <w:t>N9</w:t>
                  </w:r>
                  <w:r>
                    <w:t>白沙洲安置小区临路临路第一排</w:t>
                  </w:r>
                </w:p>
              </w:tc>
              <w:tc>
                <w:tcPr>
                  <w:tcW w:w="1335" w:type="dxa"/>
                  <w:vAlign w:val="center"/>
                </w:tcPr>
                <w:p w:rsidR="00BC07F0" w:rsidRDefault="00073EFB">
                  <w:pPr>
                    <w:pStyle w:val="a7"/>
                    <w:rPr>
                      <w:rFonts w:hint="default"/>
                    </w:rPr>
                  </w:pPr>
                  <w:r>
                    <w:t>51.2</w:t>
                  </w:r>
                </w:p>
              </w:tc>
              <w:tc>
                <w:tcPr>
                  <w:tcW w:w="1365" w:type="dxa"/>
                  <w:vAlign w:val="center"/>
                </w:tcPr>
                <w:p w:rsidR="00BC07F0" w:rsidRDefault="00073EFB">
                  <w:pPr>
                    <w:pStyle w:val="a7"/>
                    <w:rPr>
                      <w:rFonts w:hint="default"/>
                    </w:rPr>
                  </w:pPr>
                  <w:r>
                    <w:t>41.1</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r w:rsidR="00BC07F0">
              <w:trPr>
                <w:trHeight w:val="397"/>
                <w:jc w:val="center"/>
              </w:trPr>
              <w:tc>
                <w:tcPr>
                  <w:tcW w:w="4291" w:type="dxa"/>
                  <w:vAlign w:val="center"/>
                </w:tcPr>
                <w:p w:rsidR="00BC07F0" w:rsidRDefault="00073EFB">
                  <w:pPr>
                    <w:pStyle w:val="a7"/>
                    <w:rPr>
                      <w:rFonts w:hint="default"/>
                    </w:rPr>
                  </w:pPr>
                  <w:r>
                    <w:t>N10</w:t>
                  </w:r>
                  <w:r>
                    <w:t>塑田社区居民点临路第一排</w:t>
                  </w:r>
                </w:p>
              </w:tc>
              <w:tc>
                <w:tcPr>
                  <w:tcW w:w="1335" w:type="dxa"/>
                  <w:vAlign w:val="center"/>
                </w:tcPr>
                <w:p w:rsidR="00BC07F0" w:rsidRDefault="00073EFB">
                  <w:pPr>
                    <w:pStyle w:val="a7"/>
                    <w:rPr>
                      <w:rFonts w:hint="default"/>
                    </w:rPr>
                  </w:pPr>
                  <w:r>
                    <w:t>51.2</w:t>
                  </w:r>
                </w:p>
              </w:tc>
              <w:tc>
                <w:tcPr>
                  <w:tcW w:w="1365" w:type="dxa"/>
                  <w:vAlign w:val="center"/>
                </w:tcPr>
                <w:p w:rsidR="00BC07F0" w:rsidRDefault="00073EFB">
                  <w:pPr>
                    <w:pStyle w:val="a7"/>
                    <w:rPr>
                      <w:rFonts w:hint="default"/>
                    </w:rPr>
                  </w:pPr>
                  <w:r>
                    <w:t>44.2</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r w:rsidR="00BC07F0">
              <w:trPr>
                <w:trHeight w:val="397"/>
                <w:jc w:val="center"/>
              </w:trPr>
              <w:tc>
                <w:tcPr>
                  <w:tcW w:w="4291" w:type="dxa"/>
                  <w:vAlign w:val="center"/>
                </w:tcPr>
                <w:p w:rsidR="00BC07F0" w:rsidRDefault="00073EFB">
                  <w:pPr>
                    <w:pStyle w:val="a7"/>
                    <w:rPr>
                      <w:rFonts w:hint="default"/>
                    </w:rPr>
                  </w:pPr>
                  <w:r>
                    <w:t>N11</w:t>
                  </w:r>
                  <w:r>
                    <w:t>陡岭社区居民点临路第一排</w:t>
                  </w:r>
                </w:p>
              </w:tc>
              <w:tc>
                <w:tcPr>
                  <w:tcW w:w="1335" w:type="dxa"/>
                  <w:vAlign w:val="center"/>
                </w:tcPr>
                <w:p w:rsidR="00BC07F0" w:rsidRDefault="00073EFB">
                  <w:pPr>
                    <w:pStyle w:val="a7"/>
                    <w:rPr>
                      <w:rFonts w:hint="default"/>
                    </w:rPr>
                  </w:pPr>
                  <w:r>
                    <w:t>51.0</w:t>
                  </w:r>
                </w:p>
              </w:tc>
              <w:tc>
                <w:tcPr>
                  <w:tcW w:w="1365" w:type="dxa"/>
                  <w:vAlign w:val="center"/>
                </w:tcPr>
                <w:p w:rsidR="00BC07F0" w:rsidRDefault="00073EFB">
                  <w:pPr>
                    <w:pStyle w:val="a7"/>
                    <w:rPr>
                      <w:rFonts w:hint="default"/>
                    </w:rPr>
                  </w:pPr>
                  <w:r>
                    <w:t>43.9</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r w:rsidR="00BC07F0">
              <w:trPr>
                <w:trHeight w:val="397"/>
                <w:jc w:val="center"/>
              </w:trPr>
              <w:tc>
                <w:tcPr>
                  <w:tcW w:w="4291" w:type="dxa"/>
                  <w:vAlign w:val="center"/>
                </w:tcPr>
                <w:p w:rsidR="00BC07F0" w:rsidRDefault="00073EFB">
                  <w:pPr>
                    <w:pStyle w:val="a7"/>
                    <w:rPr>
                      <w:rFonts w:hint="default"/>
                    </w:rPr>
                  </w:pPr>
                  <w:r>
                    <w:t>N12</w:t>
                  </w:r>
                  <w:r>
                    <w:t>新屋居民点临路第一排</w:t>
                  </w:r>
                </w:p>
              </w:tc>
              <w:tc>
                <w:tcPr>
                  <w:tcW w:w="1335" w:type="dxa"/>
                  <w:vAlign w:val="center"/>
                </w:tcPr>
                <w:p w:rsidR="00BC07F0" w:rsidRDefault="00073EFB">
                  <w:pPr>
                    <w:pStyle w:val="a7"/>
                    <w:rPr>
                      <w:rFonts w:hint="default"/>
                    </w:rPr>
                  </w:pPr>
                  <w:r>
                    <w:t>51.2</w:t>
                  </w:r>
                </w:p>
              </w:tc>
              <w:tc>
                <w:tcPr>
                  <w:tcW w:w="1365" w:type="dxa"/>
                  <w:vAlign w:val="center"/>
                </w:tcPr>
                <w:p w:rsidR="00BC07F0" w:rsidRDefault="00073EFB">
                  <w:pPr>
                    <w:pStyle w:val="a7"/>
                    <w:rPr>
                      <w:rFonts w:hint="default"/>
                    </w:rPr>
                  </w:pPr>
                  <w:r>
                    <w:t>45.5</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r w:rsidR="00BC07F0">
              <w:trPr>
                <w:trHeight w:val="397"/>
                <w:jc w:val="center"/>
              </w:trPr>
              <w:tc>
                <w:tcPr>
                  <w:tcW w:w="4291" w:type="dxa"/>
                  <w:vAlign w:val="center"/>
                </w:tcPr>
                <w:p w:rsidR="00BC07F0" w:rsidRDefault="00073EFB">
                  <w:pPr>
                    <w:pStyle w:val="a7"/>
                    <w:rPr>
                      <w:rFonts w:hint="default"/>
                    </w:rPr>
                  </w:pPr>
                  <w:r>
                    <w:t>N13</w:t>
                  </w:r>
                  <w:r>
                    <w:t>铜桥湿地公园工程施工场界东侧</w:t>
                  </w:r>
                  <w:r>
                    <w:t>1m</w:t>
                  </w:r>
                </w:p>
              </w:tc>
              <w:tc>
                <w:tcPr>
                  <w:tcW w:w="1335" w:type="dxa"/>
                  <w:vAlign w:val="center"/>
                </w:tcPr>
                <w:p w:rsidR="00BC07F0" w:rsidRDefault="00073EFB">
                  <w:pPr>
                    <w:pStyle w:val="a7"/>
                    <w:rPr>
                      <w:rFonts w:hint="default"/>
                    </w:rPr>
                  </w:pPr>
                  <w:r>
                    <w:t>51.0</w:t>
                  </w:r>
                </w:p>
              </w:tc>
              <w:tc>
                <w:tcPr>
                  <w:tcW w:w="1365" w:type="dxa"/>
                  <w:vAlign w:val="center"/>
                </w:tcPr>
                <w:p w:rsidR="00BC07F0" w:rsidRDefault="00073EFB">
                  <w:pPr>
                    <w:pStyle w:val="a7"/>
                    <w:rPr>
                      <w:rFonts w:hint="default"/>
                    </w:rPr>
                  </w:pPr>
                  <w:r>
                    <w:t>43.7</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r w:rsidR="00BC07F0">
              <w:trPr>
                <w:trHeight w:val="397"/>
                <w:jc w:val="center"/>
              </w:trPr>
              <w:tc>
                <w:tcPr>
                  <w:tcW w:w="4291" w:type="dxa"/>
                  <w:vAlign w:val="center"/>
                </w:tcPr>
                <w:p w:rsidR="00BC07F0" w:rsidRDefault="00073EFB">
                  <w:pPr>
                    <w:pStyle w:val="a7"/>
                    <w:rPr>
                      <w:rFonts w:hint="default"/>
                    </w:rPr>
                  </w:pPr>
                  <w:r>
                    <w:t>N14</w:t>
                  </w:r>
                  <w:r>
                    <w:t>铜桥湿地公园工程施工场界西侧</w:t>
                  </w:r>
                  <w:r>
                    <w:t>1m</w:t>
                  </w:r>
                </w:p>
              </w:tc>
              <w:tc>
                <w:tcPr>
                  <w:tcW w:w="1335" w:type="dxa"/>
                  <w:vAlign w:val="center"/>
                </w:tcPr>
                <w:p w:rsidR="00BC07F0" w:rsidRDefault="00073EFB">
                  <w:pPr>
                    <w:pStyle w:val="a7"/>
                    <w:rPr>
                      <w:rFonts w:hint="default"/>
                    </w:rPr>
                  </w:pPr>
                  <w:r>
                    <w:t>51.1</w:t>
                  </w:r>
                </w:p>
              </w:tc>
              <w:tc>
                <w:tcPr>
                  <w:tcW w:w="1365" w:type="dxa"/>
                  <w:vAlign w:val="center"/>
                </w:tcPr>
                <w:p w:rsidR="00BC07F0" w:rsidRDefault="00073EFB">
                  <w:pPr>
                    <w:pStyle w:val="a7"/>
                    <w:rPr>
                      <w:rFonts w:hint="default"/>
                    </w:rPr>
                  </w:pPr>
                  <w:r>
                    <w:t>43.7</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r w:rsidR="00BC07F0">
              <w:trPr>
                <w:trHeight w:val="397"/>
                <w:jc w:val="center"/>
              </w:trPr>
              <w:tc>
                <w:tcPr>
                  <w:tcW w:w="4291" w:type="dxa"/>
                  <w:vAlign w:val="center"/>
                </w:tcPr>
                <w:p w:rsidR="00BC07F0" w:rsidRDefault="00073EFB">
                  <w:pPr>
                    <w:pStyle w:val="a7"/>
                    <w:rPr>
                      <w:rFonts w:hint="default"/>
                    </w:rPr>
                  </w:pPr>
                  <w:r>
                    <w:t>N15</w:t>
                  </w:r>
                  <w:r>
                    <w:t>铜桥湿地公园工程施工场界南侧</w:t>
                  </w:r>
                  <w:r>
                    <w:t>1m</w:t>
                  </w:r>
                </w:p>
              </w:tc>
              <w:tc>
                <w:tcPr>
                  <w:tcW w:w="1335" w:type="dxa"/>
                  <w:vAlign w:val="center"/>
                </w:tcPr>
                <w:p w:rsidR="00BC07F0" w:rsidRDefault="00073EFB">
                  <w:pPr>
                    <w:pStyle w:val="a7"/>
                    <w:rPr>
                      <w:rFonts w:hint="default"/>
                    </w:rPr>
                  </w:pPr>
                  <w:r>
                    <w:t>52.2</w:t>
                  </w:r>
                </w:p>
              </w:tc>
              <w:tc>
                <w:tcPr>
                  <w:tcW w:w="1365" w:type="dxa"/>
                  <w:vAlign w:val="center"/>
                </w:tcPr>
                <w:p w:rsidR="00BC07F0" w:rsidRDefault="00073EFB">
                  <w:pPr>
                    <w:pStyle w:val="a7"/>
                    <w:rPr>
                      <w:rFonts w:hint="default"/>
                    </w:rPr>
                  </w:pPr>
                  <w:r>
                    <w:t>43.9</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r w:rsidR="00BC07F0">
              <w:trPr>
                <w:trHeight w:val="397"/>
                <w:jc w:val="center"/>
              </w:trPr>
              <w:tc>
                <w:tcPr>
                  <w:tcW w:w="4291" w:type="dxa"/>
                  <w:vAlign w:val="center"/>
                </w:tcPr>
                <w:p w:rsidR="00BC07F0" w:rsidRDefault="00073EFB">
                  <w:pPr>
                    <w:pStyle w:val="a7"/>
                    <w:rPr>
                      <w:rFonts w:hint="default"/>
                    </w:rPr>
                  </w:pPr>
                  <w:r>
                    <w:t>N16</w:t>
                  </w:r>
                  <w:r>
                    <w:t>铜桥湿地公园工程施工场界北侧</w:t>
                  </w:r>
                  <w:r>
                    <w:t>1m</w:t>
                  </w:r>
                </w:p>
              </w:tc>
              <w:tc>
                <w:tcPr>
                  <w:tcW w:w="1335" w:type="dxa"/>
                  <w:vAlign w:val="center"/>
                </w:tcPr>
                <w:p w:rsidR="00BC07F0" w:rsidRDefault="00073EFB">
                  <w:pPr>
                    <w:pStyle w:val="a7"/>
                    <w:rPr>
                      <w:rFonts w:hint="default"/>
                    </w:rPr>
                  </w:pPr>
                  <w:r>
                    <w:t>54.1</w:t>
                  </w:r>
                </w:p>
              </w:tc>
              <w:tc>
                <w:tcPr>
                  <w:tcW w:w="1365" w:type="dxa"/>
                  <w:vAlign w:val="center"/>
                </w:tcPr>
                <w:p w:rsidR="00BC07F0" w:rsidRDefault="00073EFB">
                  <w:pPr>
                    <w:pStyle w:val="a7"/>
                    <w:rPr>
                      <w:rFonts w:hint="default"/>
                    </w:rPr>
                  </w:pPr>
                  <w:r>
                    <w:t>43.7</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r w:rsidR="00BC07F0">
              <w:trPr>
                <w:trHeight w:val="397"/>
                <w:jc w:val="center"/>
              </w:trPr>
              <w:tc>
                <w:tcPr>
                  <w:tcW w:w="4291" w:type="dxa"/>
                  <w:vAlign w:val="center"/>
                </w:tcPr>
                <w:p w:rsidR="00BC07F0" w:rsidRDefault="00073EFB">
                  <w:pPr>
                    <w:pStyle w:val="a7"/>
                    <w:rPr>
                      <w:rFonts w:hint="default"/>
                    </w:rPr>
                  </w:pPr>
                  <w:r>
                    <w:t>N17</w:t>
                  </w:r>
                  <w:r>
                    <w:t>铜桥湿地公园工程施工场界附近居民点</w:t>
                  </w:r>
                </w:p>
              </w:tc>
              <w:tc>
                <w:tcPr>
                  <w:tcW w:w="1335" w:type="dxa"/>
                  <w:vAlign w:val="center"/>
                </w:tcPr>
                <w:p w:rsidR="00BC07F0" w:rsidRDefault="00073EFB">
                  <w:pPr>
                    <w:pStyle w:val="a7"/>
                    <w:rPr>
                      <w:rFonts w:hint="default"/>
                    </w:rPr>
                  </w:pPr>
                  <w:r>
                    <w:t>51.0</w:t>
                  </w:r>
                </w:p>
              </w:tc>
              <w:tc>
                <w:tcPr>
                  <w:tcW w:w="1365" w:type="dxa"/>
                  <w:vAlign w:val="center"/>
                </w:tcPr>
                <w:p w:rsidR="00BC07F0" w:rsidRDefault="00073EFB">
                  <w:pPr>
                    <w:pStyle w:val="a7"/>
                    <w:rPr>
                      <w:rFonts w:hint="default"/>
                    </w:rPr>
                  </w:pPr>
                  <w:r>
                    <w:t>44.0</w:t>
                  </w:r>
                </w:p>
              </w:tc>
              <w:tc>
                <w:tcPr>
                  <w:tcW w:w="1065" w:type="dxa"/>
                  <w:vAlign w:val="center"/>
                </w:tcPr>
                <w:p w:rsidR="00BC07F0" w:rsidRDefault="00073EFB">
                  <w:pPr>
                    <w:pStyle w:val="a7"/>
                    <w:rPr>
                      <w:rFonts w:hint="default"/>
                    </w:rPr>
                  </w:pPr>
                  <w:r>
                    <w:t>60</w:t>
                  </w:r>
                </w:p>
              </w:tc>
              <w:tc>
                <w:tcPr>
                  <w:tcW w:w="1052" w:type="dxa"/>
                  <w:vAlign w:val="center"/>
                </w:tcPr>
                <w:p w:rsidR="00BC07F0" w:rsidRDefault="00073EFB">
                  <w:pPr>
                    <w:pStyle w:val="a7"/>
                    <w:rPr>
                      <w:rFonts w:hint="default"/>
                    </w:rPr>
                  </w:pPr>
                  <w:r>
                    <w:t>50</w:t>
                  </w:r>
                </w:p>
              </w:tc>
            </w:tr>
          </w:tbl>
          <w:p w:rsidR="00BC07F0" w:rsidRDefault="00073EFB">
            <w:pPr>
              <w:tabs>
                <w:tab w:val="left" w:pos="480"/>
              </w:tabs>
              <w:ind w:firstLine="480"/>
            </w:pPr>
            <w:r>
              <w:t>由上表可知</w:t>
            </w:r>
            <w:r>
              <w:rPr>
                <w:rFonts w:hint="eastAsia"/>
              </w:rPr>
              <w:t>，</w:t>
            </w:r>
            <w:r>
              <w:rPr>
                <w:rFonts w:hint="eastAsia"/>
              </w:rPr>
              <w:t>N1~N16</w:t>
            </w:r>
            <w:r>
              <w:rPr>
                <w:rFonts w:hint="eastAsia"/>
              </w:rPr>
              <w:t>敏感点</w:t>
            </w:r>
            <w:r>
              <w:rPr>
                <w:rFonts w:hint="eastAsia"/>
              </w:rPr>
              <w:t>噪声</w:t>
            </w:r>
            <w:r>
              <w:rPr>
                <w:rFonts w:hint="eastAsia"/>
              </w:rPr>
              <w:t>现状噪声均小于</w:t>
            </w:r>
            <w:r>
              <w:t>《声环境质量标准》（</w:t>
            </w:r>
            <w:r>
              <w:t>GB3096-2008</w:t>
            </w:r>
            <w:r>
              <w:t>）中</w:t>
            </w:r>
            <w:r>
              <w:rPr>
                <w:rFonts w:hint="eastAsia"/>
              </w:rPr>
              <w:t>2</w:t>
            </w:r>
            <w:r>
              <w:rPr>
                <w:rFonts w:hint="eastAsia"/>
              </w:rPr>
              <w:t>类标准</w:t>
            </w:r>
            <w:r>
              <w:t>。</w:t>
            </w:r>
          </w:p>
        </w:tc>
      </w:tr>
      <w:tr w:rsidR="00BC07F0">
        <w:trPr>
          <w:trHeight w:val="454"/>
          <w:jc w:val="center"/>
        </w:trPr>
        <w:tc>
          <w:tcPr>
            <w:tcW w:w="543" w:type="dxa"/>
            <w:vAlign w:val="center"/>
          </w:tcPr>
          <w:p w:rsidR="00BC07F0" w:rsidRDefault="00073EFB">
            <w:pPr>
              <w:pStyle w:val="a7"/>
              <w:rPr>
                <w:rFonts w:hint="default"/>
                <w:b/>
                <w:bCs/>
                <w:sz w:val="24"/>
                <w:szCs w:val="24"/>
              </w:rPr>
            </w:pPr>
            <w:r>
              <w:rPr>
                <w:b/>
                <w:bCs/>
                <w:sz w:val="24"/>
                <w:szCs w:val="24"/>
              </w:rPr>
              <w:lastRenderedPageBreak/>
              <w:t>与项目有关的原</w:t>
            </w:r>
            <w:r>
              <w:rPr>
                <w:b/>
                <w:bCs/>
                <w:sz w:val="24"/>
                <w:szCs w:val="24"/>
              </w:rPr>
              <w:lastRenderedPageBreak/>
              <w:t>有环境污染和生态破坏问题</w:t>
            </w:r>
          </w:p>
        </w:tc>
        <w:tc>
          <w:tcPr>
            <w:tcW w:w="9318" w:type="dxa"/>
            <w:vAlign w:val="center"/>
          </w:tcPr>
          <w:p w:rsidR="00BC07F0" w:rsidRDefault="00073EFB" w:rsidP="00C55F5E">
            <w:pPr>
              <w:ind w:firstLine="480"/>
            </w:pPr>
            <w:r>
              <w:rPr>
                <w:rFonts w:hint="eastAsia"/>
              </w:rPr>
              <w:lastRenderedPageBreak/>
              <w:t>湘江白沙片区南段，是城市主要的饮用水源地，幸福河入湘江口是主要的雨水排口。设计日处理能力</w:t>
            </w:r>
            <w:r>
              <w:rPr>
                <w:rFonts w:hint="eastAsia"/>
              </w:rPr>
              <w:t>10</w:t>
            </w:r>
            <w:r>
              <w:rPr>
                <w:rFonts w:hint="eastAsia"/>
              </w:rPr>
              <w:t>万吨的铜桥港污水处理厂位于湘江西岸、塑田村幸福河北岸。铜桥港污水处理厂服务片区内外约</w:t>
            </w:r>
            <w:r>
              <w:rPr>
                <w:rFonts w:hint="eastAsia"/>
              </w:rPr>
              <w:t>40</w:t>
            </w:r>
            <w:r>
              <w:rPr>
                <w:rFonts w:hint="eastAsia"/>
              </w:rPr>
              <w:t>万人的生产生活排污，随着城市建成区扩大，幸福河水源日渐枯乏，水流不畅加上工业污染，沿岸居民和企事业单位的污水也直接排入河中，</w:t>
            </w:r>
            <w:r>
              <w:rPr>
                <w:rFonts w:hint="eastAsia"/>
              </w:rPr>
              <w:lastRenderedPageBreak/>
              <w:t>如遇干旱，河水发黑发臭，河内水草丛生，污水横流，淤积严重，阻塞河床，致使本已狭窄的河道断面更趋萎缩，影响河道行洪能力的发挥，加之原有河道防洪标准未达相应要求，极易引发河</w:t>
            </w:r>
            <w:r>
              <w:rPr>
                <w:rFonts w:hint="eastAsia"/>
              </w:rPr>
              <w:t>道两岸低洼地带遭受内涝洪灾，目前，铜桥港污水处理厂己建成投产，沿幸福河两岸敷设的截污管也在不断的完善，原来直接排入到幸福河的污水截流进入污水处理厂处理后再排入湘江，雨季时溢流雨水经幸福河排入湘江。</w:t>
            </w:r>
          </w:p>
        </w:tc>
      </w:tr>
      <w:tr w:rsidR="00BC07F0">
        <w:trPr>
          <w:trHeight w:val="454"/>
          <w:jc w:val="center"/>
        </w:trPr>
        <w:tc>
          <w:tcPr>
            <w:tcW w:w="543" w:type="dxa"/>
            <w:vAlign w:val="center"/>
          </w:tcPr>
          <w:p w:rsidR="00BC07F0" w:rsidRDefault="00073EFB">
            <w:pPr>
              <w:pStyle w:val="a7"/>
              <w:rPr>
                <w:rFonts w:hint="default"/>
                <w:b/>
                <w:bCs/>
                <w:sz w:val="24"/>
                <w:szCs w:val="24"/>
              </w:rPr>
            </w:pPr>
            <w:r>
              <w:rPr>
                <w:b/>
                <w:bCs/>
                <w:sz w:val="24"/>
                <w:szCs w:val="24"/>
              </w:rPr>
              <w:lastRenderedPageBreak/>
              <w:t>生态环境保护目标</w:t>
            </w:r>
          </w:p>
        </w:tc>
        <w:tc>
          <w:tcPr>
            <w:tcW w:w="9318" w:type="dxa"/>
            <w:vAlign w:val="center"/>
          </w:tcPr>
          <w:p w:rsidR="00BC07F0" w:rsidRDefault="00073EFB">
            <w:pPr>
              <w:tabs>
                <w:tab w:val="left" w:pos="480"/>
              </w:tabs>
              <w:ind w:firstLine="480"/>
            </w:pPr>
            <w:r>
              <w:rPr>
                <w:rFonts w:hint="eastAsia"/>
              </w:rPr>
              <w:t>本项目环境空气和声环境保护目标主要为项目周边的居民点，区域主要水体是，项目评价范围</w:t>
            </w:r>
            <w:r>
              <w:rPr>
                <w:rFonts w:hint="eastAsia"/>
              </w:rPr>
              <w:t>不</w:t>
            </w:r>
            <w:r>
              <w:rPr>
                <w:rFonts w:hint="eastAsia"/>
              </w:rPr>
              <w:t>涉水自然保护区、风景名胜区、重要湿地、重点保护与珍稀水生生物的栖息地、重要水生生物的自然产卵场及索饵场、越</w:t>
            </w:r>
            <w:r>
              <w:rPr>
                <w:rFonts w:hint="eastAsia"/>
              </w:rPr>
              <w:t>.</w:t>
            </w:r>
            <w:r>
              <w:rPr>
                <w:rFonts w:hint="eastAsia"/>
              </w:rPr>
              <w:t>冬场和洄游通道、天然渔场等渔业水体以及水产种质资源保护区等地表水环境敏感目标。</w:t>
            </w:r>
          </w:p>
          <w:p w:rsidR="00BC07F0" w:rsidRDefault="00073EFB">
            <w:pPr>
              <w:tabs>
                <w:tab w:val="left" w:pos="480"/>
              </w:tabs>
              <w:ind w:firstLine="482"/>
              <w:rPr>
                <w:b/>
                <w:bCs/>
              </w:rPr>
            </w:pPr>
            <w:r>
              <w:rPr>
                <w:rFonts w:hint="eastAsia"/>
                <w:b/>
                <w:bCs/>
              </w:rPr>
              <w:t>3.4</w:t>
            </w:r>
            <w:r>
              <w:rPr>
                <w:rFonts w:hint="eastAsia"/>
                <w:b/>
                <w:bCs/>
              </w:rPr>
              <w:t>环境空气保护目标</w:t>
            </w:r>
          </w:p>
          <w:p w:rsidR="00BC07F0" w:rsidRDefault="00073EFB">
            <w:pPr>
              <w:tabs>
                <w:tab w:val="left" w:pos="480"/>
              </w:tabs>
              <w:ind w:firstLine="480"/>
            </w:pPr>
            <w:r>
              <w:rPr>
                <w:rFonts w:hint="eastAsia"/>
              </w:rPr>
              <w:t>本项目环境保护目标详见下表。</w:t>
            </w:r>
          </w:p>
          <w:p w:rsidR="00BC07F0" w:rsidRDefault="00073EFB">
            <w:pPr>
              <w:pStyle w:val="a7"/>
              <w:rPr>
                <w:rFonts w:hint="default"/>
                <w:b/>
                <w:bCs/>
              </w:rPr>
            </w:pPr>
            <w:r>
              <w:rPr>
                <w:b/>
                <w:bCs/>
              </w:rPr>
              <w:t>表</w:t>
            </w:r>
            <w:r>
              <w:rPr>
                <w:b/>
                <w:bCs/>
              </w:rPr>
              <w:t>3</w:t>
            </w:r>
            <w:r>
              <w:rPr>
                <w:b/>
                <w:bCs/>
              </w:rPr>
              <w:t>.4-1</w:t>
            </w:r>
            <w:r>
              <w:rPr>
                <w:b/>
                <w:bCs/>
              </w:rPr>
              <w:t>项目主要环境保护目标一览表</w:t>
            </w:r>
          </w:p>
          <w:tbl>
            <w:tblPr>
              <w:tblW w:w="4949" w:type="pct"/>
              <w:jc w:val="center"/>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Look w:val="04A0"/>
            </w:tblPr>
            <w:tblGrid>
              <w:gridCol w:w="889"/>
              <w:gridCol w:w="1069"/>
              <w:gridCol w:w="879"/>
              <w:gridCol w:w="855"/>
              <w:gridCol w:w="750"/>
              <w:gridCol w:w="1290"/>
              <w:gridCol w:w="720"/>
              <w:gridCol w:w="915"/>
              <w:gridCol w:w="753"/>
              <w:gridCol w:w="881"/>
            </w:tblGrid>
            <w:tr w:rsidR="00BC07F0">
              <w:trPr>
                <w:trHeight w:val="397"/>
                <w:jc w:val="center"/>
              </w:trPr>
              <w:tc>
                <w:tcPr>
                  <w:tcW w:w="890" w:type="dxa"/>
                  <w:vMerge w:val="restart"/>
                  <w:tcBorders>
                    <w:tl2br w:val="nil"/>
                    <w:tr2bl w:val="nil"/>
                  </w:tcBorders>
                  <w:shd w:val="clear" w:color="auto" w:fill="auto"/>
                  <w:noWrap/>
                  <w:vAlign w:val="center"/>
                </w:tcPr>
                <w:p w:rsidR="00BC07F0" w:rsidRDefault="00073EFB">
                  <w:pPr>
                    <w:pStyle w:val="a7"/>
                    <w:rPr>
                      <w:rFonts w:hint="default"/>
                    </w:rPr>
                  </w:pPr>
                  <w:r>
                    <w:t>工程范围</w:t>
                  </w:r>
                </w:p>
              </w:tc>
              <w:tc>
                <w:tcPr>
                  <w:tcW w:w="1070" w:type="dxa"/>
                  <w:vMerge w:val="restart"/>
                  <w:tcBorders>
                    <w:tl2br w:val="nil"/>
                    <w:tr2bl w:val="nil"/>
                  </w:tcBorders>
                  <w:shd w:val="clear" w:color="auto" w:fill="auto"/>
                  <w:vAlign w:val="center"/>
                </w:tcPr>
                <w:p w:rsidR="00BC07F0" w:rsidRDefault="00073EFB">
                  <w:pPr>
                    <w:pStyle w:val="a7"/>
                    <w:rPr>
                      <w:rFonts w:hint="default"/>
                    </w:rPr>
                  </w:pPr>
                  <w:r>
                    <w:t>名称</w:t>
                  </w:r>
                </w:p>
              </w:tc>
              <w:tc>
                <w:tcPr>
                  <w:tcW w:w="1735" w:type="dxa"/>
                  <w:gridSpan w:val="2"/>
                  <w:tcBorders>
                    <w:tl2br w:val="nil"/>
                    <w:tr2bl w:val="nil"/>
                  </w:tcBorders>
                  <w:shd w:val="clear" w:color="auto" w:fill="auto"/>
                  <w:vAlign w:val="center"/>
                </w:tcPr>
                <w:p w:rsidR="00BC07F0" w:rsidRDefault="00073EFB">
                  <w:pPr>
                    <w:pStyle w:val="a7"/>
                    <w:rPr>
                      <w:rFonts w:hint="default"/>
                    </w:rPr>
                  </w:pPr>
                  <w:r>
                    <w:t>经纬度坐标</w:t>
                  </w:r>
                </w:p>
              </w:tc>
              <w:tc>
                <w:tcPr>
                  <w:tcW w:w="750" w:type="dxa"/>
                  <w:vMerge w:val="restart"/>
                  <w:tcBorders>
                    <w:tl2br w:val="nil"/>
                    <w:tr2bl w:val="nil"/>
                  </w:tcBorders>
                  <w:shd w:val="clear" w:color="auto" w:fill="auto"/>
                  <w:vAlign w:val="center"/>
                </w:tcPr>
                <w:p w:rsidR="00BC07F0" w:rsidRDefault="00073EFB">
                  <w:pPr>
                    <w:pStyle w:val="a7"/>
                    <w:rPr>
                      <w:rFonts w:hint="default"/>
                    </w:rPr>
                  </w:pPr>
                  <w:r>
                    <w:t>保护对象</w:t>
                  </w:r>
                </w:p>
              </w:tc>
              <w:tc>
                <w:tcPr>
                  <w:tcW w:w="1290" w:type="dxa"/>
                  <w:vMerge w:val="restart"/>
                  <w:tcBorders>
                    <w:tl2br w:val="nil"/>
                    <w:tr2bl w:val="nil"/>
                  </w:tcBorders>
                  <w:shd w:val="clear" w:color="auto" w:fill="auto"/>
                  <w:vAlign w:val="center"/>
                </w:tcPr>
                <w:p w:rsidR="00BC07F0" w:rsidRDefault="00073EFB">
                  <w:pPr>
                    <w:pStyle w:val="a7"/>
                    <w:rPr>
                      <w:rFonts w:hint="default"/>
                    </w:rPr>
                  </w:pPr>
                  <w:r>
                    <w:t>规模</w:t>
                  </w:r>
                </w:p>
              </w:tc>
              <w:tc>
                <w:tcPr>
                  <w:tcW w:w="720" w:type="dxa"/>
                  <w:vMerge w:val="restart"/>
                  <w:tcBorders>
                    <w:tl2br w:val="nil"/>
                    <w:tr2bl w:val="nil"/>
                  </w:tcBorders>
                  <w:shd w:val="clear" w:color="auto" w:fill="auto"/>
                  <w:vAlign w:val="center"/>
                </w:tcPr>
                <w:p w:rsidR="00BC07F0" w:rsidRDefault="00073EFB">
                  <w:pPr>
                    <w:pStyle w:val="a7"/>
                    <w:rPr>
                      <w:rFonts w:hint="default"/>
                    </w:rPr>
                  </w:pPr>
                  <w:r>
                    <w:t>保护内容</w:t>
                  </w:r>
                </w:p>
              </w:tc>
              <w:tc>
                <w:tcPr>
                  <w:tcW w:w="915" w:type="dxa"/>
                  <w:vMerge w:val="restart"/>
                  <w:tcBorders>
                    <w:tl2br w:val="nil"/>
                    <w:tr2bl w:val="nil"/>
                  </w:tcBorders>
                  <w:shd w:val="clear" w:color="auto" w:fill="auto"/>
                  <w:vAlign w:val="center"/>
                </w:tcPr>
                <w:p w:rsidR="00BC07F0" w:rsidRDefault="00073EFB">
                  <w:pPr>
                    <w:pStyle w:val="a7"/>
                    <w:rPr>
                      <w:rFonts w:hint="default"/>
                    </w:rPr>
                  </w:pPr>
                  <w:r>
                    <w:t>环境功能区</w:t>
                  </w:r>
                </w:p>
              </w:tc>
              <w:tc>
                <w:tcPr>
                  <w:tcW w:w="753" w:type="dxa"/>
                  <w:vMerge w:val="restart"/>
                  <w:tcBorders>
                    <w:tl2br w:val="nil"/>
                    <w:tr2bl w:val="nil"/>
                  </w:tcBorders>
                  <w:shd w:val="clear" w:color="auto" w:fill="auto"/>
                  <w:vAlign w:val="center"/>
                </w:tcPr>
                <w:p w:rsidR="00BC07F0" w:rsidRDefault="00073EFB">
                  <w:pPr>
                    <w:pStyle w:val="a7"/>
                    <w:rPr>
                      <w:rFonts w:hint="default"/>
                    </w:rPr>
                  </w:pPr>
                  <w:r>
                    <w:t>相对场地方位</w:t>
                  </w:r>
                </w:p>
              </w:tc>
              <w:tc>
                <w:tcPr>
                  <w:tcW w:w="881" w:type="dxa"/>
                  <w:vMerge w:val="restart"/>
                  <w:tcBorders>
                    <w:tl2br w:val="nil"/>
                    <w:tr2bl w:val="nil"/>
                  </w:tcBorders>
                  <w:shd w:val="clear" w:color="auto" w:fill="auto"/>
                  <w:vAlign w:val="center"/>
                </w:tcPr>
                <w:p w:rsidR="00BC07F0" w:rsidRDefault="00073EFB">
                  <w:pPr>
                    <w:pStyle w:val="a7"/>
                    <w:rPr>
                      <w:rFonts w:hint="default"/>
                    </w:rPr>
                  </w:pPr>
                  <w:r>
                    <w:t>距施工场地最近距离</w:t>
                  </w:r>
                  <w:r>
                    <w:t>/m</w:t>
                  </w:r>
                </w:p>
              </w:tc>
            </w:tr>
            <w:tr w:rsidR="00BC07F0">
              <w:trPr>
                <w:trHeight w:val="397"/>
                <w:jc w:val="center"/>
              </w:trPr>
              <w:tc>
                <w:tcPr>
                  <w:tcW w:w="890" w:type="dxa"/>
                  <w:vMerge/>
                  <w:tcBorders>
                    <w:tl2br w:val="nil"/>
                    <w:tr2bl w:val="nil"/>
                  </w:tcBorders>
                  <w:shd w:val="clear" w:color="auto" w:fill="auto"/>
                  <w:noWrap/>
                  <w:vAlign w:val="center"/>
                </w:tcPr>
                <w:p w:rsidR="00BC07F0" w:rsidRDefault="00BC07F0">
                  <w:pPr>
                    <w:pStyle w:val="a7"/>
                    <w:rPr>
                      <w:rFonts w:hint="default"/>
                    </w:rPr>
                  </w:pPr>
                </w:p>
              </w:tc>
              <w:tc>
                <w:tcPr>
                  <w:tcW w:w="1070" w:type="dxa"/>
                  <w:vMerge/>
                  <w:tcBorders>
                    <w:tl2br w:val="nil"/>
                    <w:tr2bl w:val="nil"/>
                  </w:tcBorders>
                  <w:shd w:val="clear" w:color="auto" w:fill="auto"/>
                  <w:vAlign w:val="center"/>
                </w:tcPr>
                <w:p w:rsidR="00BC07F0" w:rsidRDefault="00BC07F0">
                  <w:pPr>
                    <w:pStyle w:val="a7"/>
                    <w:rPr>
                      <w:rFonts w:hint="default"/>
                    </w:rPr>
                  </w:pP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E</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N</w:t>
                  </w:r>
                </w:p>
              </w:tc>
              <w:tc>
                <w:tcPr>
                  <w:tcW w:w="750" w:type="dxa"/>
                  <w:vMerge/>
                  <w:tcBorders>
                    <w:tl2br w:val="nil"/>
                    <w:tr2bl w:val="nil"/>
                  </w:tcBorders>
                  <w:shd w:val="clear" w:color="auto" w:fill="auto"/>
                  <w:vAlign w:val="center"/>
                </w:tcPr>
                <w:p w:rsidR="00BC07F0" w:rsidRDefault="00BC07F0">
                  <w:pPr>
                    <w:pStyle w:val="a7"/>
                    <w:rPr>
                      <w:rFonts w:hint="default"/>
                    </w:rPr>
                  </w:pPr>
                </w:p>
              </w:tc>
              <w:tc>
                <w:tcPr>
                  <w:tcW w:w="1290" w:type="dxa"/>
                  <w:vMerge/>
                  <w:tcBorders>
                    <w:tl2br w:val="nil"/>
                    <w:tr2bl w:val="nil"/>
                  </w:tcBorders>
                  <w:shd w:val="clear" w:color="auto" w:fill="auto"/>
                  <w:vAlign w:val="center"/>
                </w:tcPr>
                <w:p w:rsidR="00BC07F0" w:rsidRDefault="00BC07F0">
                  <w:pPr>
                    <w:pStyle w:val="a7"/>
                    <w:rPr>
                      <w:rFonts w:hint="default"/>
                    </w:rPr>
                  </w:pPr>
                </w:p>
              </w:tc>
              <w:tc>
                <w:tcPr>
                  <w:tcW w:w="720" w:type="dxa"/>
                  <w:vMerge/>
                  <w:tcBorders>
                    <w:tl2br w:val="nil"/>
                    <w:tr2bl w:val="nil"/>
                  </w:tcBorders>
                  <w:shd w:val="clear" w:color="auto" w:fill="auto"/>
                  <w:vAlign w:val="center"/>
                </w:tcPr>
                <w:p w:rsidR="00BC07F0" w:rsidRDefault="00BC07F0">
                  <w:pPr>
                    <w:pStyle w:val="a7"/>
                    <w:rPr>
                      <w:rFonts w:hint="default"/>
                    </w:rPr>
                  </w:pPr>
                </w:p>
              </w:tc>
              <w:tc>
                <w:tcPr>
                  <w:tcW w:w="915" w:type="dxa"/>
                  <w:vMerge/>
                  <w:tcBorders>
                    <w:tl2br w:val="nil"/>
                    <w:tr2bl w:val="nil"/>
                  </w:tcBorders>
                  <w:shd w:val="clear" w:color="auto" w:fill="auto"/>
                  <w:vAlign w:val="center"/>
                </w:tcPr>
                <w:p w:rsidR="00BC07F0" w:rsidRDefault="00BC07F0">
                  <w:pPr>
                    <w:pStyle w:val="a7"/>
                    <w:rPr>
                      <w:rFonts w:hint="default"/>
                    </w:rPr>
                  </w:pPr>
                </w:p>
              </w:tc>
              <w:tc>
                <w:tcPr>
                  <w:tcW w:w="753" w:type="dxa"/>
                  <w:vMerge/>
                  <w:tcBorders>
                    <w:tl2br w:val="nil"/>
                    <w:tr2bl w:val="nil"/>
                  </w:tcBorders>
                  <w:shd w:val="clear" w:color="auto" w:fill="auto"/>
                  <w:vAlign w:val="center"/>
                </w:tcPr>
                <w:p w:rsidR="00BC07F0" w:rsidRDefault="00BC07F0">
                  <w:pPr>
                    <w:pStyle w:val="a7"/>
                    <w:rPr>
                      <w:rFonts w:hint="default"/>
                    </w:rPr>
                  </w:pPr>
                </w:p>
              </w:tc>
              <w:tc>
                <w:tcPr>
                  <w:tcW w:w="881" w:type="dxa"/>
                  <w:vMerge/>
                  <w:tcBorders>
                    <w:tl2br w:val="nil"/>
                    <w:tr2bl w:val="nil"/>
                  </w:tcBorders>
                  <w:shd w:val="clear" w:color="auto" w:fill="auto"/>
                  <w:vAlign w:val="center"/>
                </w:tcPr>
                <w:p w:rsidR="00BC07F0" w:rsidRDefault="00BC07F0">
                  <w:pPr>
                    <w:pStyle w:val="a7"/>
                    <w:rPr>
                      <w:rFonts w:hint="default"/>
                    </w:rPr>
                  </w:pPr>
                </w:p>
              </w:tc>
            </w:tr>
            <w:tr w:rsidR="00BC07F0">
              <w:trPr>
                <w:trHeight w:val="397"/>
                <w:jc w:val="center"/>
              </w:trPr>
              <w:tc>
                <w:tcPr>
                  <w:tcW w:w="890" w:type="dxa"/>
                  <w:vMerge w:val="restart"/>
                  <w:tcBorders>
                    <w:tl2br w:val="nil"/>
                    <w:tr2bl w:val="nil"/>
                  </w:tcBorders>
                  <w:shd w:val="clear" w:color="auto" w:fill="auto"/>
                  <w:vAlign w:val="center"/>
                </w:tcPr>
                <w:p w:rsidR="00BC07F0" w:rsidRDefault="00073EFB">
                  <w:pPr>
                    <w:pStyle w:val="a7"/>
                    <w:rPr>
                      <w:rFonts w:hint="default"/>
                    </w:rPr>
                  </w:pPr>
                  <w:r>
                    <w:t>湘江南岸（衡阳港</w:t>
                  </w:r>
                  <w:r>
                    <w:t>-</w:t>
                  </w:r>
                  <w:r>
                    <w:t>铜桥港）水环境水安全综合治理工程</w:t>
                  </w:r>
                  <w:r>
                    <w:t>/</w:t>
                  </w:r>
                  <w:r>
                    <w:t>配套城市道路前进路、酃白路工程</w:t>
                  </w:r>
                </w:p>
              </w:tc>
              <w:tc>
                <w:tcPr>
                  <w:tcW w:w="1070" w:type="dxa"/>
                  <w:tcBorders>
                    <w:tl2br w:val="nil"/>
                    <w:tr2bl w:val="nil"/>
                  </w:tcBorders>
                  <w:shd w:val="clear" w:color="auto" w:fill="auto"/>
                  <w:vAlign w:val="center"/>
                </w:tcPr>
                <w:p w:rsidR="00BC07F0" w:rsidRDefault="00073EFB">
                  <w:pPr>
                    <w:pStyle w:val="a7"/>
                    <w:rPr>
                      <w:rFonts w:hint="default"/>
                    </w:rPr>
                  </w:pPr>
                  <w:r>
                    <w:t>白沙洲安置房</w:t>
                  </w: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112.3843</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26.5139</w:t>
                  </w:r>
                </w:p>
              </w:tc>
              <w:tc>
                <w:tcPr>
                  <w:tcW w:w="750" w:type="dxa"/>
                  <w:tcBorders>
                    <w:tl2br w:val="nil"/>
                    <w:tr2bl w:val="nil"/>
                  </w:tcBorders>
                  <w:shd w:val="clear" w:color="auto" w:fill="auto"/>
                  <w:vAlign w:val="center"/>
                </w:tcPr>
                <w:p w:rsidR="00BC07F0" w:rsidRDefault="00073EFB">
                  <w:pPr>
                    <w:pStyle w:val="a7"/>
                    <w:rPr>
                      <w:rFonts w:hint="default"/>
                    </w:rPr>
                  </w:pPr>
                  <w:r>
                    <w:t>居民</w:t>
                  </w:r>
                  <w:r>
                    <w:t>区</w:t>
                  </w:r>
                </w:p>
              </w:tc>
              <w:tc>
                <w:tcPr>
                  <w:tcW w:w="1290" w:type="dxa"/>
                  <w:tcBorders>
                    <w:tl2br w:val="nil"/>
                    <w:tr2bl w:val="nil"/>
                  </w:tcBorders>
                  <w:shd w:val="clear" w:color="auto" w:fill="auto"/>
                  <w:vAlign w:val="center"/>
                </w:tcPr>
                <w:p w:rsidR="00BC07F0" w:rsidRDefault="00073EFB">
                  <w:pPr>
                    <w:pStyle w:val="a7"/>
                    <w:rPr>
                      <w:rFonts w:hint="default"/>
                    </w:rPr>
                  </w:pPr>
                  <w:r>
                    <w:t>约</w:t>
                  </w:r>
                  <w:r>
                    <w:t>30</w:t>
                  </w:r>
                  <w:r>
                    <w:t>栋，</w:t>
                  </w:r>
                  <w:r>
                    <w:t>500</w:t>
                  </w:r>
                  <w:r>
                    <w:t>人</w:t>
                  </w:r>
                </w:p>
              </w:tc>
              <w:tc>
                <w:tcPr>
                  <w:tcW w:w="720" w:type="dxa"/>
                  <w:tcBorders>
                    <w:tl2br w:val="nil"/>
                    <w:tr2bl w:val="nil"/>
                  </w:tcBorders>
                  <w:shd w:val="clear" w:color="auto" w:fill="auto"/>
                  <w:vAlign w:val="center"/>
                </w:tcPr>
                <w:p w:rsidR="00BC07F0" w:rsidRDefault="00073EFB">
                  <w:pPr>
                    <w:pStyle w:val="a7"/>
                    <w:rPr>
                      <w:rFonts w:hint="default"/>
                    </w:rPr>
                  </w:pPr>
                  <w:r>
                    <w:t>居民</w:t>
                  </w:r>
                </w:p>
              </w:tc>
              <w:tc>
                <w:tcPr>
                  <w:tcW w:w="915" w:type="dxa"/>
                  <w:tcBorders>
                    <w:tl2br w:val="nil"/>
                    <w:tr2bl w:val="nil"/>
                  </w:tcBorders>
                  <w:shd w:val="clear" w:color="auto" w:fill="auto"/>
                  <w:vAlign w:val="center"/>
                </w:tcPr>
                <w:p w:rsidR="00BC07F0" w:rsidRDefault="00073EFB">
                  <w:pPr>
                    <w:pStyle w:val="a7"/>
                    <w:rPr>
                      <w:rFonts w:hint="default"/>
                    </w:rPr>
                  </w:pPr>
                  <w:r>
                    <w:t>二类区</w:t>
                  </w:r>
                </w:p>
              </w:tc>
              <w:tc>
                <w:tcPr>
                  <w:tcW w:w="753" w:type="dxa"/>
                  <w:tcBorders>
                    <w:tl2br w:val="nil"/>
                    <w:tr2bl w:val="nil"/>
                  </w:tcBorders>
                  <w:shd w:val="clear" w:color="auto" w:fill="auto"/>
                  <w:vAlign w:val="center"/>
                </w:tcPr>
                <w:p w:rsidR="00BC07F0" w:rsidRDefault="00073EFB">
                  <w:pPr>
                    <w:pStyle w:val="a7"/>
                    <w:rPr>
                      <w:rFonts w:hint="default"/>
                    </w:rPr>
                  </w:pPr>
                  <w:r>
                    <w:rPr>
                      <w:rFonts w:hint="default"/>
                    </w:rPr>
                    <w:t>E</w:t>
                  </w:r>
                </w:p>
              </w:tc>
              <w:tc>
                <w:tcPr>
                  <w:tcW w:w="881" w:type="dxa"/>
                  <w:tcBorders>
                    <w:tl2br w:val="nil"/>
                    <w:tr2bl w:val="nil"/>
                  </w:tcBorders>
                  <w:shd w:val="clear" w:color="auto" w:fill="auto"/>
                  <w:vAlign w:val="center"/>
                </w:tcPr>
                <w:p w:rsidR="00BC07F0" w:rsidRDefault="00073EFB">
                  <w:pPr>
                    <w:pStyle w:val="a7"/>
                    <w:rPr>
                      <w:rFonts w:hint="default"/>
                    </w:rPr>
                  </w:pPr>
                  <w:r>
                    <w:rPr>
                      <w:rFonts w:hint="default"/>
                    </w:rPr>
                    <w:t>400</w:t>
                  </w:r>
                </w:p>
              </w:tc>
            </w:tr>
            <w:tr w:rsidR="00BC07F0">
              <w:trPr>
                <w:trHeight w:val="397"/>
                <w:jc w:val="center"/>
              </w:trPr>
              <w:tc>
                <w:tcPr>
                  <w:tcW w:w="890" w:type="dxa"/>
                  <w:vMerge/>
                  <w:tcBorders>
                    <w:tl2br w:val="nil"/>
                    <w:tr2bl w:val="nil"/>
                  </w:tcBorders>
                  <w:shd w:val="clear" w:color="auto" w:fill="auto"/>
                  <w:vAlign w:val="center"/>
                </w:tcPr>
                <w:p w:rsidR="00BC07F0" w:rsidRDefault="00BC07F0">
                  <w:pPr>
                    <w:pStyle w:val="a7"/>
                    <w:rPr>
                      <w:rFonts w:hint="default"/>
                    </w:rPr>
                  </w:pPr>
                </w:p>
              </w:tc>
              <w:tc>
                <w:tcPr>
                  <w:tcW w:w="1070" w:type="dxa"/>
                  <w:tcBorders>
                    <w:tl2br w:val="nil"/>
                    <w:tr2bl w:val="nil"/>
                  </w:tcBorders>
                  <w:shd w:val="clear" w:color="auto" w:fill="auto"/>
                  <w:vAlign w:val="center"/>
                </w:tcPr>
                <w:p w:rsidR="00BC07F0" w:rsidRDefault="00073EFB">
                  <w:pPr>
                    <w:pStyle w:val="a7"/>
                    <w:rPr>
                      <w:rFonts w:hint="default"/>
                    </w:rPr>
                  </w:pPr>
                  <w:r>
                    <w:t>联盟山社区居民区</w:t>
                  </w: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112.3842</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26.5125</w:t>
                  </w:r>
                </w:p>
              </w:tc>
              <w:tc>
                <w:tcPr>
                  <w:tcW w:w="750" w:type="dxa"/>
                  <w:tcBorders>
                    <w:tl2br w:val="nil"/>
                    <w:tr2bl w:val="nil"/>
                  </w:tcBorders>
                  <w:shd w:val="clear" w:color="auto" w:fill="auto"/>
                  <w:vAlign w:val="center"/>
                </w:tcPr>
                <w:p w:rsidR="00BC07F0" w:rsidRDefault="00073EFB">
                  <w:pPr>
                    <w:pStyle w:val="a7"/>
                    <w:rPr>
                      <w:rFonts w:hint="default"/>
                    </w:rPr>
                  </w:pPr>
                  <w:r>
                    <w:t>居民</w:t>
                  </w:r>
                  <w:r>
                    <w:t>区</w:t>
                  </w:r>
                </w:p>
              </w:tc>
              <w:tc>
                <w:tcPr>
                  <w:tcW w:w="1290" w:type="dxa"/>
                  <w:tcBorders>
                    <w:tl2br w:val="nil"/>
                    <w:tr2bl w:val="nil"/>
                  </w:tcBorders>
                  <w:shd w:val="clear" w:color="auto" w:fill="auto"/>
                  <w:vAlign w:val="center"/>
                </w:tcPr>
                <w:p w:rsidR="00BC07F0" w:rsidRDefault="00073EFB">
                  <w:pPr>
                    <w:pStyle w:val="a7"/>
                    <w:rPr>
                      <w:rFonts w:hint="default"/>
                    </w:rPr>
                  </w:pPr>
                  <w:r>
                    <w:t>约</w:t>
                  </w:r>
                  <w:r>
                    <w:t>60</w:t>
                  </w:r>
                  <w:r>
                    <w:t>栋，</w:t>
                  </w:r>
                  <w:r>
                    <w:t>900</w:t>
                  </w:r>
                  <w:r>
                    <w:t>人</w:t>
                  </w:r>
                </w:p>
              </w:tc>
              <w:tc>
                <w:tcPr>
                  <w:tcW w:w="720" w:type="dxa"/>
                  <w:tcBorders>
                    <w:tl2br w:val="nil"/>
                    <w:tr2bl w:val="nil"/>
                  </w:tcBorders>
                  <w:shd w:val="clear" w:color="auto" w:fill="auto"/>
                  <w:vAlign w:val="center"/>
                </w:tcPr>
                <w:p w:rsidR="00BC07F0" w:rsidRDefault="00073EFB">
                  <w:pPr>
                    <w:pStyle w:val="a7"/>
                    <w:rPr>
                      <w:rFonts w:hint="default"/>
                    </w:rPr>
                  </w:pPr>
                  <w:r>
                    <w:t>居民</w:t>
                  </w:r>
                </w:p>
              </w:tc>
              <w:tc>
                <w:tcPr>
                  <w:tcW w:w="915" w:type="dxa"/>
                  <w:tcBorders>
                    <w:tl2br w:val="nil"/>
                    <w:tr2bl w:val="nil"/>
                  </w:tcBorders>
                  <w:shd w:val="clear" w:color="auto" w:fill="auto"/>
                  <w:vAlign w:val="center"/>
                </w:tcPr>
                <w:p w:rsidR="00BC07F0" w:rsidRDefault="00073EFB">
                  <w:pPr>
                    <w:pStyle w:val="a7"/>
                    <w:rPr>
                      <w:rFonts w:hint="default"/>
                    </w:rPr>
                  </w:pPr>
                  <w:r>
                    <w:t>二类区</w:t>
                  </w:r>
                </w:p>
              </w:tc>
              <w:tc>
                <w:tcPr>
                  <w:tcW w:w="753" w:type="dxa"/>
                  <w:tcBorders>
                    <w:tl2br w:val="nil"/>
                    <w:tr2bl w:val="nil"/>
                  </w:tcBorders>
                  <w:shd w:val="clear" w:color="auto" w:fill="auto"/>
                  <w:vAlign w:val="center"/>
                </w:tcPr>
                <w:p w:rsidR="00BC07F0" w:rsidRDefault="00073EFB">
                  <w:pPr>
                    <w:pStyle w:val="a7"/>
                    <w:rPr>
                      <w:rFonts w:hint="default"/>
                    </w:rPr>
                  </w:pPr>
                  <w:r>
                    <w:rPr>
                      <w:rFonts w:hint="default"/>
                    </w:rPr>
                    <w:t>E</w:t>
                  </w:r>
                </w:p>
              </w:tc>
              <w:tc>
                <w:tcPr>
                  <w:tcW w:w="881" w:type="dxa"/>
                  <w:tcBorders>
                    <w:tl2br w:val="nil"/>
                    <w:tr2bl w:val="nil"/>
                  </w:tcBorders>
                  <w:shd w:val="clear" w:color="auto" w:fill="auto"/>
                  <w:vAlign w:val="center"/>
                </w:tcPr>
                <w:p w:rsidR="00BC07F0" w:rsidRDefault="00073EFB">
                  <w:pPr>
                    <w:pStyle w:val="a7"/>
                    <w:rPr>
                      <w:rFonts w:hint="default"/>
                    </w:rPr>
                  </w:pPr>
                  <w:r>
                    <w:rPr>
                      <w:rFonts w:hint="default"/>
                    </w:rPr>
                    <w:t>450</w:t>
                  </w:r>
                </w:p>
              </w:tc>
            </w:tr>
            <w:tr w:rsidR="00BC07F0">
              <w:trPr>
                <w:trHeight w:val="397"/>
                <w:jc w:val="center"/>
              </w:trPr>
              <w:tc>
                <w:tcPr>
                  <w:tcW w:w="890" w:type="dxa"/>
                  <w:vMerge/>
                  <w:tcBorders>
                    <w:tl2br w:val="nil"/>
                    <w:tr2bl w:val="nil"/>
                  </w:tcBorders>
                  <w:shd w:val="clear" w:color="auto" w:fill="auto"/>
                  <w:vAlign w:val="center"/>
                </w:tcPr>
                <w:p w:rsidR="00BC07F0" w:rsidRDefault="00BC07F0">
                  <w:pPr>
                    <w:pStyle w:val="a7"/>
                    <w:rPr>
                      <w:rFonts w:hint="default"/>
                    </w:rPr>
                  </w:pPr>
                </w:p>
              </w:tc>
              <w:tc>
                <w:tcPr>
                  <w:tcW w:w="1070" w:type="dxa"/>
                  <w:tcBorders>
                    <w:tl2br w:val="nil"/>
                    <w:tr2bl w:val="nil"/>
                  </w:tcBorders>
                  <w:shd w:val="clear" w:color="auto" w:fill="auto"/>
                  <w:vAlign w:val="center"/>
                </w:tcPr>
                <w:p w:rsidR="00BC07F0" w:rsidRDefault="00073EFB">
                  <w:pPr>
                    <w:pStyle w:val="a7"/>
                    <w:rPr>
                      <w:rFonts w:hint="default"/>
                    </w:rPr>
                  </w:pPr>
                  <w:r>
                    <w:t>白莎社区居民区</w:t>
                  </w: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112.3841</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26.51</w:t>
                  </w:r>
                </w:p>
              </w:tc>
              <w:tc>
                <w:tcPr>
                  <w:tcW w:w="750" w:type="dxa"/>
                  <w:tcBorders>
                    <w:tl2br w:val="nil"/>
                    <w:tr2bl w:val="nil"/>
                  </w:tcBorders>
                  <w:shd w:val="clear" w:color="auto" w:fill="auto"/>
                  <w:vAlign w:val="center"/>
                </w:tcPr>
                <w:p w:rsidR="00BC07F0" w:rsidRDefault="00073EFB">
                  <w:pPr>
                    <w:pStyle w:val="a7"/>
                    <w:rPr>
                      <w:rFonts w:hint="default"/>
                    </w:rPr>
                  </w:pPr>
                  <w:r>
                    <w:t>居民</w:t>
                  </w:r>
                  <w:r>
                    <w:t>区</w:t>
                  </w:r>
                </w:p>
              </w:tc>
              <w:tc>
                <w:tcPr>
                  <w:tcW w:w="1290" w:type="dxa"/>
                  <w:tcBorders>
                    <w:tl2br w:val="nil"/>
                    <w:tr2bl w:val="nil"/>
                  </w:tcBorders>
                  <w:shd w:val="clear" w:color="auto" w:fill="auto"/>
                  <w:vAlign w:val="center"/>
                </w:tcPr>
                <w:p w:rsidR="00BC07F0" w:rsidRDefault="00073EFB">
                  <w:pPr>
                    <w:pStyle w:val="a7"/>
                    <w:rPr>
                      <w:rFonts w:hint="default"/>
                    </w:rPr>
                  </w:pPr>
                  <w:r>
                    <w:t>约</w:t>
                  </w:r>
                  <w:r>
                    <w:t>30</w:t>
                  </w:r>
                  <w:r>
                    <w:t>栋，</w:t>
                  </w:r>
                  <w:r>
                    <w:t>600</w:t>
                  </w:r>
                  <w:r>
                    <w:t>人</w:t>
                  </w:r>
                </w:p>
              </w:tc>
              <w:tc>
                <w:tcPr>
                  <w:tcW w:w="720" w:type="dxa"/>
                  <w:tcBorders>
                    <w:tl2br w:val="nil"/>
                    <w:tr2bl w:val="nil"/>
                  </w:tcBorders>
                  <w:shd w:val="clear" w:color="auto" w:fill="auto"/>
                  <w:vAlign w:val="center"/>
                </w:tcPr>
                <w:p w:rsidR="00BC07F0" w:rsidRDefault="00073EFB">
                  <w:pPr>
                    <w:pStyle w:val="a7"/>
                    <w:rPr>
                      <w:rFonts w:hint="default"/>
                    </w:rPr>
                  </w:pPr>
                  <w:r>
                    <w:t>居民</w:t>
                  </w:r>
                </w:p>
              </w:tc>
              <w:tc>
                <w:tcPr>
                  <w:tcW w:w="915" w:type="dxa"/>
                  <w:tcBorders>
                    <w:tl2br w:val="nil"/>
                    <w:tr2bl w:val="nil"/>
                  </w:tcBorders>
                  <w:shd w:val="clear" w:color="auto" w:fill="auto"/>
                  <w:vAlign w:val="center"/>
                </w:tcPr>
                <w:p w:rsidR="00BC07F0" w:rsidRDefault="00073EFB">
                  <w:pPr>
                    <w:pStyle w:val="a7"/>
                    <w:rPr>
                      <w:rFonts w:hint="default"/>
                    </w:rPr>
                  </w:pPr>
                  <w:r>
                    <w:t>二类区</w:t>
                  </w:r>
                </w:p>
              </w:tc>
              <w:tc>
                <w:tcPr>
                  <w:tcW w:w="753" w:type="dxa"/>
                  <w:tcBorders>
                    <w:tl2br w:val="nil"/>
                    <w:tr2bl w:val="nil"/>
                  </w:tcBorders>
                  <w:shd w:val="clear" w:color="auto" w:fill="auto"/>
                  <w:vAlign w:val="center"/>
                </w:tcPr>
                <w:p w:rsidR="00BC07F0" w:rsidRDefault="00073EFB">
                  <w:pPr>
                    <w:pStyle w:val="a7"/>
                    <w:rPr>
                      <w:rFonts w:hint="default"/>
                    </w:rPr>
                  </w:pPr>
                  <w:r>
                    <w:rPr>
                      <w:rFonts w:hint="default"/>
                    </w:rPr>
                    <w:t>E</w:t>
                  </w:r>
                </w:p>
              </w:tc>
              <w:tc>
                <w:tcPr>
                  <w:tcW w:w="881" w:type="dxa"/>
                  <w:tcBorders>
                    <w:tl2br w:val="nil"/>
                    <w:tr2bl w:val="nil"/>
                  </w:tcBorders>
                  <w:shd w:val="clear" w:color="auto" w:fill="auto"/>
                  <w:vAlign w:val="center"/>
                </w:tcPr>
                <w:p w:rsidR="00BC07F0" w:rsidRDefault="00073EFB">
                  <w:pPr>
                    <w:pStyle w:val="a7"/>
                    <w:rPr>
                      <w:rFonts w:hint="default"/>
                    </w:rPr>
                  </w:pPr>
                  <w:r>
                    <w:rPr>
                      <w:rFonts w:hint="default"/>
                    </w:rPr>
                    <w:t>430</w:t>
                  </w:r>
                </w:p>
              </w:tc>
            </w:tr>
            <w:tr w:rsidR="00BC07F0">
              <w:trPr>
                <w:trHeight w:val="397"/>
                <w:jc w:val="center"/>
              </w:trPr>
              <w:tc>
                <w:tcPr>
                  <w:tcW w:w="890" w:type="dxa"/>
                  <w:vMerge/>
                  <w:tcBorders>
                    <w:tl2br w:val="nil"/>
                    <w:tr2bl w:val="nil"/>
                  </w:tcBorders>
                  <w:shd w:val="clear" w:color="auto" w:fill="auto"/>
                  <w:vAlign w:val="center"/>
                </w:tcPr>
                <w:p w:rsidR="00BC07F0" w:rsidRDefault="00BC07F0">
                  <w:pPr>
                    <w:pStyle w:val="a7"/>
                    <w:rPr>
                      <w:rFonts w:hint="default"/>
                    </w:rPr>
                  </w:pPr>
                </w:p>
              </w:tc>
              <w:tc>
                <w:tcPr>
                  <w:tcW w:w="1070" w:type="dxa"/>
                  <w:tcBorders>
                    <w:tl2br w:val="nil"/>
                    <w:tr2bl w:val="nil"/>
                  </w:tcBorders>
                  <w:shd w:val="clear" w:color="auto" w:fill="auto"/>
                  <w:vAlign w:val="center"/>
                </w:tcPr>
                <w:p w:rsidR="00BC07F0" w:rsidRDefault="00073EFB">
                  <w:pPr>
                    <w:pStyle w:val="a7"/>
                    <w:rPr>
                      <w:rFonts w:hint="default"/>
                    </w:rPr>
                  </w:pPr>
                  <w:r>
                    <w:t>西叶塘西侧居民区</w:t>
                  </w: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112.3906</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26.5104</w:t>
                  </w:r>
                </w:p>
              </w:tc>
              <w:tc>
                <w:tcPr>
                  <w:tcW w:w="750" w:type="dxa"/>
                  <w:tcBorders>
                    <w:tl2br w:val="nil"/>
                    <w:tr2bl w:val="nil"/>
                  </w:tcBorders>
                  <w:shd w:val="clear" w:color="auto" w:fill="auto"/>
                  <w:vAlign w:val="center"/>
                </w:tcPr>
                <w:p w:rsidR="00BC07F0" w:rsidRDefault="00073EFB">
                  <w:pPr>
                    <w:pStyle w:val="a7"/>
                    <w:rPr>
                      <w:rFonts w:hint="default"/>
                    </w:rPr>
                  </w:pPr>
                  <w:r>
                    <w:t>居民</w:t>
                  </w:r>
                  <w:r>
                    <w:t>区</w:t>
                  </w:r>
                </w:p>
              </w:tc>
              <w:tc>
                <w:tcPr>
                  <w:tcW w:w="1290" w:type="dxa"/>
                  <w:tcBorders>
                    <w:tl2br w:val="nil"/>
                    <w:tr2bl w:val="nil"/>
                  </w:tcBorders>
                  <w:shd w:val="clear" w:color="auto" w:fill="auto"/>
                  <w:vAlign w:val="center"/>
                </w:tcPr>
                <w:p w:rsidR="00BC07F0" w:rsidRDefault="00073EFB">
                  <w:pPr>
                    <w:pStyle w:val="a7"/>
                    <w:rPr>
                      <w:rFonts w:hint="default"/>
                    </w:rPr>
                  </w:pPr>
                  <w:r>
                    <w:t>约</w:t>
                  </w:r>
                  <w:r>
                    <w:t>25</w:t>
                  </w:r>
                  <w:r>
                    <w:t>栋，</w:t>
                  </w:r>
                  <w:r>
                    <w:t>450</w:t>
                  </w:r>
                  <w:r>
                    <w:t>人</w:t>
                  </w:r>
                </w:p>
              </w:tc>
              <w:tc>
                <w:tcPr>
                  <w:tcW w:w="720" w:type="dxa"/>
                  <w:tcBorders>
                    <w:tl2br w:val="nil"/>
                    <w:tr2bl w:val="nil"/>
                  </w:tcBorders>
                  <w:shd w:val="clear" w:color="auto" w:fill="auto"/>
                  <w:vAlign w:val="center"/>
                </w:tcPr>
                <w:p w:rsidR="00BC07F0" w:rsidRDefault="00073EFB">
                  <w:pPr>
                    <w:pStyle w:val="a7"/>
                    <w:rPr>
                      <w:rFonts w:hint="default"/>
                    </w:rPr>
                  </w:pPr>
                  <w:r>
                    <w:t>居民</w:t>
                  </w:r>
                </w:p>
              </w:tc>
              <w:tc>
                <w:tcPr>
                  <w:tcW w:w="915" w:type="dxa"/>
                  <w:tcBorders>
                    <w:tl2br w:val="nil"/>
                    <w:tr2bl w:val="nil"/>
                  </w:tcBorders>
                  <w:shd w:val="clear" w:color="auto" w:fill="auto"/>
                  <w:vAlign w:val="center"/>
                </w:tcPr>
                <w:p w:rsidR="00BC07F0" w:rsidRDefault="00073EFB">
                  <w:pPr>
                    <w:pStyle w:val="a7"/>
                    <w:rPr>
                      <w:rFonts w:hint="default"/>
                    </w:rPr>
                  </w:pPr>
                  <w:r>
                    <w:t>二类区</w:t>
                  </w:r>
                </w:p>
              </w:tc>
              <w:tc>
                <w:tcPr>
                  <w:tcW w:w="753" w:type="dxa"/>
                  <w:tcBorders>
                    <w:tl2br w:val="nil"/>
                    <w:tr2bl w:val="nil"/>
                  </w:tcBorders>
                  <w:shd w:val="clear" w:color="auto" w:fill="auto"/>
                  <w:vAlign w:val="center"/>
                </w:tcPr>
                <w:p w:rsidR="00BC07F0" w:rsidRDefault="00073EFB">
                  <w:pPr>
                    <w:pStyle w:val="a7"/>
                    <w:rPr>
                      <w:rFonts w:hint="default"/>
                    </w:rPr>
                  </w:pPr>
                  <w:r>
                    <w:rPr>
                      <w:rFonts w:hint="default"/>
                    </w:rPr>
                    <w:t>E</w:t>
                  </w:r>
                </w:p>
              </w:tc>
              <w:tc>
                <w:tcPr>
                  <w:tcW w:w="881" w:type="dxa"/>
                  <w:tcBorders>
                    <w:tl2br w:val="nil"/>
                    <w:tr2bl w:val="nil"/>
                  </w:tcBorders>
                  <w:shd w:val="clear" w:color="auto" w:fill="auto"/>
                  <w:vAlign w:val="center"/>
                </w:tcPr>
                <w:p w:rsidR="00BC07F0" w:rsidRDefault="00073EFB">
                  <w:pPr>
                    <w:pStyle w:val="a7"/>
                    <w:rPr>
                      <w:rFonts w:hint="default"/>
                    </w:rPr>
                  </w:pPr>
                  <w:r>
                    <w:rPr>
                      <w:rFonts w:hint="default"/>
                    </w:rPr>
                    <w:t>100</w:t>
                  </w:r>
                </w:p>
              </w:tc>
            </w:tr>
            <w:tr w:rsidR="00BC07F0">
              <w:trPr>
                <w:trHeight w:val="397"/>
                <w:jc w:val="center"/>
              </w:trPr>
              <w:tc>
                <w:tcPr>
                  <w:tcW w:w="890" w:type="dxa"/>
                  <w:vMerge w:val="restart"/>
                  <w:tcBorders>
                    <w:tl2br w:val="nil"/>
                    <w:tr2bl w:val="nil"/>
                  </w:tcBorders>
                  <w:shd w:val="clear" w:color="auto" w:fill="auto"/>
                  <w:vAlign w:val="center"/>
                </w:tcPr>
                <w:p w:rsidR="00BC07F0" w:rsidRDefault="00073EFB">
                  <w:pPr>
                    <w:pStyle w:val="a7"/>
                    <w:rPr>
                      <w:rFonts w:hint="default"/>
                    </w:rPr>
                  </w:pPr>
                  <w:r>
                    <w:t>铜桥港湿地公园工程</w:t>
                  </w:r>
                </w:p>
              </w:tc>
              <w:tc>
                <w:tcPr>
                  <w:tcW w:w="1070" w:type="dxa"/>
                  <w:tcBorders>
                    <w:tl2br w:val="nil"/>
                    <w:tr2bl w:val="nil"/>
                  </w:tcBorders>
                  <w:shd w:val="clear" w:color="auto" w:fill="auto"/>
                  <w:vAlign w:val="center"/>
                </w:tcPr>
                <w:p w:rsidR="00BC07F0" w:rsidRDefault="00073EFB">
                  <w:pPr>
                    <w:pStyle w:val="a7"/>
                    <w:rPr>
                      <w:rFonts w:hint="default"/>
                    </w:rPr>
                  </w:pPr>
                  <w:r>
                    <w:t>白竹皂社区居民区</w:t>
                  </w: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112.3843</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26.5033</w:t>
                  </w:r>
                </w:p>
              </w:tc>
              <w:tc>
                <w:tcPr>
                  <w:tcW w:w="750" w:type="dxa"/>
                  <w:tcBorders>
                    <w:tl2br w:val="nil"/>
                    <w:tr2bl w:val="nil"/>
                  </w:tcBorders>
                  <w:shd w:val="clear" w:color="auto" w:fill="auto"/>
                  <w:vAlign w:val="center"/>
                </w:tcPr>
                <w:p w:rsidR="00BC07F0" w:rsidRDefault="00073EFB">
                  <w:pPr>
                    <w:pStyle w:val="a7"/>
                    <w:rPr>
                      <w:rFonts w:hint="default"/>
                    </w:rPr>
                  </w:pPr>
                  <w:r>
                    <w:t>居民</w:t>
                  </w:r>
                  <w:r>
                    <w:t>区</w:t>
                  </w:r>
                </w:p>
              </w:tc>
              <w:tc>
                <w:tcPr>
                  <w:tcW w:w="1290" w:type="dxa"/>
                  <w:tcBorders>
                    <w:tl2br w:val="nil"/>
                    <w:tr2bl w:val="nil"/>
                  </w:tcBorders>
                  <w:shd w:val="clear" w:color="auto" w:fill="auto"/>
                  <w:vAlign w:val="center"/>
                </w:tcPr>
                <w:p w:rsidR="00BC07F0" w:rsidRDefault="00073EFB">
                  <w:pPr>
                    <w:pStyle w:val="a7"/>
                    <w:rPr>
                      <w:rFonts w:hint="default"/>
                    </w:rPr>
                  </w:pPr>
                  <w:r>
                    <w:t>约</w:t>
                  </w:r>
                  <w:r>
                    <w:t>60</w:t>
                  </w:r>
                  <w:r>
                    <w:t>栋，</w:t>
                  </w:r>
                  <w:r>
                    <w:t>1200</w:t>
                  </w:r>
                  <w:r>
                    <w:t>人</w:t>
                  </w:r>
                </w:p>
              </w:tc>
              <w:tc>
                <w:tcPr>
                  <w:tcW w:w="720" w:type="dxa"/>
                  <w:tcBorders>
                    <w:tl2br w:val="nil"/>
                    <w:tr2bl w:val="nil"/>
                  </w:tcBorders>
                  <w:shd w:val="clear" w:color="auto" w:fill="auto"/>
                  <w:vAlign w:val="center"/>
                </w:tcPr>
                <w:p w:rsidR="00BC07F0" w:rsidRDefault="00073EFB">
                  <w:pPr>
                    <w:pStyle w:val="a7"/>
                    <w:rPr>
                      <w:rFonts w:hint="default"/>
                    </w:rPr>
                  </w:pPr>
                  <w:r>
                    <w:t>居民</w:t>
                  </w:r>
                </w:p>
              </w:tc>
              <w:tc>
                <w:tcPr>
                  <w:tcW w:w="915" w:type="dxa"/>
                  <w:tcBorders>
                    <w:tl2br w:val="nil"/>
                    <w:tr2bl w:val="nil"/>
                  </w:tcBorders>
                  <w:shd w:val="clear" w:color="auto" w:fill="auto"/>
                  <w:vAlign w:val="center"/>
                </w:tcPr>
                <w:p w:rsidR="00BC07F0" w:rsidRDefault="00073EFB">
                  <w:pPr>
                    <w:pStyle w:val="a7"/>
                    <w:rPr>
                      <w:rFonts w:hint="default"/>
                    </w:rPr>
                  </w:pPr>
                  <w:r>
                    <w:t>二类区</w:t>
                  </w:r>
                </w:p>
              </w:tc>
              <w:tc>
                <w:tcPr>
                  <w:tcW w:w="753" w:type="dxa"/>
                  <w:tcBorders>
                    <w:tl2br w:val="nil"/>
                    <w:tr2bl w:val="nil"/>
                  </w:tcBorders>
                  <w:shd w:val="clear" w:color="auto" w:fill="auto"/>
                  <w:vAlign w:val="center"/>
                </w:tcPr>
                <w:p w:rsidR="00BC07F0" w:rsidRDefault="00073EFB">
                  <w:pPr>
                    <w:pStyle w:val="a7"/>
                    <w:rPr>
                      <w:rFonts w:hint="default"/>
                    </w:rPr>
                  </w:pPr>
                  <w:r>
                    <w:rPr>
                      <w:rFonts w:hint="default"/>
                    </w:rPr>
                    <w:t>NW</w:t>
                  </w:r>
                </w:p>
              </w:tc>
              <w:tc>
                <w:tcPr>
                  <w:tcW w:w="881" w:type="dxa"/>
                  <w:tcBorders>
                    <w:tl2br w:val="nil"/>
                    <w:tr2bl w:val="nil"/>
                  </w:tcBorders>
                  <w:shd w:val="clear" w:color="auto" w:fill="auto"/>
                  <w:vAlign w:val="center"/>
                </w:tcPr>
                <w:p w:rsidR="00BC07F0" w:rsidRDefault="00073EFB">
                  <w:pPr>
                    <w:pStyle w:val="a7"/>
                    <w:rPr>
                      <w:rFonts w:hint="default"/>
                    </w:rPr>
                  </w:pPr>
                  <w:r>
                    <w:rPr>
                      <w:rFonts w:hint="default"/>
                    </w:rPr>
                    <w:t>80</w:t>
                  </w:r>
                </w:p>
              </w:tc>
            </w:tr>
            <w:tr w:rsidR="00BC07F0">
              <w:trPr>
                <w:trHeight w:val="397"/>
                <w:jc w:val="center"/>
              </w:trPr>
              <w:tc>
                <w:tcPr>
                  <w:tcW w:w="890" w:type="dxa"/>
                  <w:vMerge/>
                  <w:tcBorders>
                    <w:tl2br w:val="nil"/>
                    <w:tr2bl w:val="nil"/>
                  </w:tcBorders>
                  <w:shd w:val="clear" w:color="auto" w:fill="auto"/>
                  <w:vAlign w:val="center"/>
                </w:tcPr>
                <w:p w:rsidR="00BC07F0" w:rsidRDefault="00BC07F0">
                  <w:pPr>
                    <w:pStyle w:val="a7"/>
                    <w:rPr>
                      <w:rFonts w:hint="default"/>
                    </w:rPr>
                  </w:pPr>
                </w:p>
              </w:tc>
              <w:tc>
                <w:tcPr>
                  <w:tcW w:w="1070" w:type="dxa"/>
                  <w:tcBorders>
                    <w:tl2br w:val="nil"/>
                    <w:tr2bl w:val="nil"/>
                  </w:tcBorders>
                  <w:shd w:val="clear" w:color="auto" w:fill="auto"/>
                  <w:vAlign w:val="center"/>
                </w:tcPr>
                <w:p w:rsidR="00BC07F0" w:rsidRDefault="00073EFB">
                  <w:pPr>
                    <w:pStyle w:val="a7"/>
                    <w:rPr>
                      <w:rFonts w:hint="default"/>
                    </w:rPr>
                  </w:pPr>
                  <w:r>
                    <w:t>朔田村居民区</w:t>
                  </w: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112.3851</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26.5022</w:t>
                  </w:r>
                </w:p>
              </w:tc>
              <w:tc>
                <w:tcPr>
                  <w:tcW w:w="750" w:type="dxa"/>
                  <w:tcBorders>
                    <w:tl2br w:val="nil"/>
                    <w:tr2bl w:val="nil"/>
                  </w:tcBorders>
                  <w:shd w:val="clear" w:color="auto" w:fill="auto"/>
                  <w:vAlign w:val="center"/>
                </w:tcPr>
                <w:p w:rsidR="00BC07F0" w:rsidRDefault="00073EFB">
                  <w:pPr>
                    <w:pStyle w:val="a7"/>
                    <w:rPr>
                      <w:rFonts w:hint="default"/>
                    </w:rPr>
                  </w:pPr>
                  <w:r>
                    <w:t>居民</w:t>
                  </w:r>
                  <w:r>
                    <w:t>区</w:t>
                  </w:r>
                </w:p>
              </w:tc>
              <w:tc>
                <w:tcPr>
                  <w:tcW w:w="1290" w:type="dxa"/>
                  <w:tcBorders>
                    <w:tl2br w:val="nil"/>
                    <w:tr2bl w:val="nil"/>
                  </w:tcBorders>
                  <w:shd w:val="clear" w:color="auto" w:fill="auto"/>
                  <w:vAlign w:val="center"/>
                </w:tcPr>
                <w:p w:rsidR="00BC07F0" w:rsidRDefault="00073EFB">
                  <w:pPr>
                    <w:pStyle w:val="a7"/>
                    <w:rPr>
                      <w:rFonts w:hint="default"/>
                    </w:rPr>
                  </w:pPr>
                  <w:r>
                    <w:t>约</w:t>
                  </w:r>
                  <w:r>
                    <w:t>35</w:t>
                  </w:r>
                  <w:r>
                    <w:t>栋，</w:t>
                  </w:r>
                  <w:r>
                    <w:t>750</w:t>
                  </w:r>
                  <w:r>
                    <w:t>人</w:t>
                  </w:r>
                </w:p>
              </w:tc>
              <w:tc>
                <w:tcPr>
                  <w:tcW w:w="720" w:type="dxa"/>
                  <w:tcBorders>
                    <w:tl2br w:val="nil"/>
                    <w:tr2bl w:val="nil"/>
                  </w:tcBorders>
                  <w:shd w:val="clear" w:color="auto" w:fill="auto"/>
                  <w:vAlign w:val="center"/>
                </w:tcPr>
                <w:p w:rsidR="00BC07F0" w:rsidRDefault="00073EFB">
                  <w:pPr>
                    <w:pStyle w:val="a7"/>
                    <w:rPr>
                      <w:rFonts w:hint="default"/>
                    </w:rPr>
                  </w:pPr>
                  <w:r>
                    <w:t>居民</w:t>
                  </w:r>
                </w:p>
              </w:tc>
              <w:tc>
                <w:tcPr>
                  <w:tcW w:w="915" w:type="dxa"/>
                  <w:tcBorders>
                    <w:tl2br w:val="nil"/>
                    <w:tr2bl w:val="nil"/>
                  </w:tcBorders>
                  <w:shd w:val="clear" w:color="auto" w:fill="auto"/>
                  <w:vAlign w:val="center"/>
                </w:tcPr>
                <w:p w:rsidR="00BC07F0" w:rsidRDefault="00073EFB">
                  <w:pPr>
                    <w:pStyle w:val="a7"/>
                    <w:rPr>
                      <w:rFonts w:hint="default"/>
                    </w:rPr>
                  </w:pPr>
                  <w:r>
                    <w:t>二类区</w:t>
                  </w:r>
                </w:p>
              </w:tc>
              <w:tc>
                <w:tcPr>
                  <w:tcW w:w="753" w:type="dxa"/>
                  <w:tcBorders>
                    <w:tl2br w:val="nil"/>
                    <w:tr2bl w:val="nil"/>
                  </w:tcBorders>
                  <w:shd w:val="clear" w:color="auto" w:fill="auto"/>
                  <w:vAlign w:val="center"/>
                </w:tcPr>
                <w:p w:rsidR="00BC07F0" w:rsidRDefault="00073EFB">
                  <w:pPr>
                    <w:pStyle w:val="a7"/>
                    <w:rPr>
                      <w:rFonts w:hint="default"/>
                    </w:rPr>
                  </w:pPr>
                  <w:r>
                    <w:rPr>
                      <w:rFonts w:hint="default"/>
                    </w:rPr>
                    <w:t>NW</w:t>
                  </w:r>
                </w:p>
              </w:tc>
              <w:tc>
                <w:tcPr>
                  <w:tcW w:w="881" w:type="dxa"/>
                  <w:tcBorders>
                    <w:tl2br w:val="nil"/>
                    <w:tr2bl w:val="nil"/>
                  </w:tcBorders>
                  <w:shd w:val="clear" w:color="auto" w:fill="auto"/>
                  <w:vAlign w:val="center"/>
                </w:tcPr>
                <w:p w:rsidR="00BC07F0" w:rsidRDefault="00073EFB">
                  <w:pPr>
                    <w:pStyle w:val="a7"/>
                    <w:rPr>
                      <w:rFonts w:hint="default"/>
                    </w:rPr>
                  </w:pPr>
                  <w:r>
                    <w:rPr>
                      <w:rFonts w:hint="default"/>
                    </w:rPr>
                    <w:t>75</w:t>
                  </w:r>
                </w:p>
              </w:tc>
            </w:tr>
            <w:tr w:rsidR="00BC07F0">
              <w:trPr>
                <w:trHeight w:val="397"/>
                <w:jc w:val="center"/>
              </w:trPr>
              <w:tc>
                <w:tcPr>
                  <w:tcW w:w="890" w:type="dxa"/>
                  <w:vMerge/>
                  <w:tcBorders>
                    <w:tl2br w:val="nil"/>
                    <w:tr2bl w:val="nil"/>
                  </w:tcBorders>
                  <w:shd w:val="clear" w:color="auto" w:fill="auto"/>
                  <w:vAlign w:val="center"/>
                </w:tcPr>
                <w:p w:rsidR="00BC07F0" w:rsidRDefault="00BC07F0">
                  <w:pPr>
                    <w:pStyle w:val="a7"/>
                    <w:rPr>
                      <w:rFonts w:hint="default"/>
                    </w:rPr>
                  </w:pPr>
                </w:p>
              </w:tc>
              <w:tc>
                <w:tcPr>
                  <w:tcW w:w="1070" w:type="dxa"/>
                  <w:tcBorders>
                    <w:tl2br w:val="nil"/>
                    <w:tr2bl w:val="nil"/>
                  </w:tcBorders>
                  <w:shd w:val="clear" w:color="auto" w:fill="auto"/>
                  <w:vAlign w:val="center"/>
                </w:tcPr>
                <w:p w:rsidR="00BC07F0" w:rsidRDefault="00073EFB">
                  <w:pPr>
                    <w:pStyle w:val="a7"/>
                    <w:rPr>
                      <w:rFonts w:hint="default"/>
                    </w:rPr>
                  </w:pPr>
                  <w:r>
                    <w:t>明星小区</w:t>
                  </w: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112.3843</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26.5018</w:t>
                  </w:r>
                </w:p>
              </w:tc>
              <w:tc>
                <w:tcPr>
                  <w:tcW w:w="750" w:type="dxa"/>
                  <w:tcBorders>
                    <w:tl2br w:val="nil"/>
                    <w:tr2bl w:val="nil"/>
                  </w:tcBorders>
                  <w:shd w:val="clear" w:color="auto" w:fill="auto"/>
                  <w:vAlign w:val="center"/>
                </w:tcPr>
                <w:p w:rsidR="00BC07F0" w:rsidRDefault="00073EFB">
                  <w:pPr>
                    <w:pStyle w:val="a7"/>
                    <w:rPr>
                      <w:rFonts w:hint="default"/>
                    </w:rPr>
                  </w:pPr>
                  <w:r>
                    <w:t>居民</w:t>
                  </w:r>
                  <w:r>
                    <w:t>区</w:t>
                  </w:r>
                </w:p>
              </w:tc>
              <w:tc>
                <w:tcPr>
                  <w:tcW w:w="1290" w:type="dxa"/>
                  <w:tcBorders>
                    <w:tl2br w:val="nil"/>
                    <w:tr2bl w:val="nil"/>
                  </w:tcBorders>
                  <w:shd w:val="clear" w:color="auto" w:fill="auto"/>
                  <w:vAlign w:val="center"/>
                </w:tcPr>
                <w:p w:rsidR="00BC07F0" w:rsidRDefault="00073EFB">
                  <w:pPr>
                    <w:pStyle w:val="a7"/>
                    <w:rPr>
                      <w:rFonts w:hint="default"/>
                    </w:rPr>
                  </w:pPr>
                  <w:r>
                    <w:t>约</w:t>
                  </w:r>
                  <w:r>
                    <w:t>65</w:t>
                  </w:r>
                  <w:r>
                    <w:t>栋，</w:t>
                  </w:r>
                  <w:r>
                    <w:t>1100</w:t>
                  </w:r>
                  <w:r>
                    <w:t>人</w:t>
                  </w:r>
                </w:p>
              </w:tc>
              <w:tc>
                <w:tcPr>
                  <w:tcW w:w="720" w:type="dxa"/>
                  <w:tcBorders>
                    <w:tl2br w:val="nil"/>
                    <w:tr2bl w:val="nil"/>
                  </w:tcBorders>
                  <w:shd w:val="clear" w:color="auto" w:fill="auto"/>
                  <w:vAlign w:val="center"/>
                </w:tcPr>
                <w:p w:rsidR="00BC07F0" w:rsidRDefault="00073EFB">
                  <w:pPr>
                    <w:pStyle w:val="a7"/>
                    <w:rPr>
                      <w:rFonts w:hint="default"/>
                    </w:rPr>
                  </w:pPr>
                  <w:r>
                    <w:t>居民</w:t>
                  </w:r>
                </w:p>
              </w:tc>
              <w:tc>
                <w:tcPr>
                  <w:tcW w:w="915" w:type="dxa"/>
                  <w:tcBorders>
                    <w:tl2br w:val="nil"/>
                    <w:tr2bl w:val="nil"/>
                  </w:tcBorders>
                  <w:shd w:val="clear" w:color="auto" w:fill="auto"/>
                  <w:vAlign w:val="center"/>
                </w:tcPr>
                <w:p w:rsidR="00BC07F0" w:rsidRDefault="00073EFB">
                  <w:pPr>
                    <w:pStyle w:val="a7"/>
                    <w:rPr>
                      <w:rFonts w:hint="default"/>
                    </w:rPr>
                  </w:pPr>
                  <w:r>
                    <w:t>二类区</w:t>
                  </w:r>
                </w:p>
              </w:tc>
              <w:tc>
                <w:tcPr>
                  <w:tcW w:w="753" w:type="dxa"/>
                  <w:tcBorders>
                    <w:tl2br w:val="nil"/>
                    <w:tr2bl w:val="nil"/>
                  </w:tcBorders>
                  <w:shd w:val="clear" w:color="auto" w:fill="auto"/>
                  <w:vAlign w:val="center"/>
                </w:tcPr>
                <w:p w:rsidR="00BC07F0" w:rsidRDefault="00073EFB">
                  <w:pPr>
                    <w:pStyle w:val="a7"/>
                    <w:rPr>
                      <w:rFonts w:hint="default"/>
                    </w:rPr>
                  </w:pPr>
                  <w:r>
                    <w:rPr>
                      <w:rFonts w:hint="default"/>
                    </w:rPr>
                    <w:t>NW</w:t>
                  </w:r>
                </w:p>
              </w:tc>
              <w:tc>
                <w:tcPr>
                  <w:tcW w:w="881" w:type="dxa"/>
                  <w:tcBorders>
                    <w:tl2br w:val="nil"/>
                    <w:tr2bl w:val="nil"/>
                  </w:tcBorders>
                  <w:shd w:val="clear" w:color="auto" w:fill="auto"/>
                  <w:vAlign w:val="center"/>
                </w:tcPr>
                <w:p w:rsidR="00BC07F0" w:rsidRDefault="00073EFB">
                  <w:pPr>
                    <w:pStyle w:val="a7"/>
                    <w:rPr>
                      <w:rFonts w:hint="default"/>
                    </w:rPr>
                  </w:pPr>
                  <w:r>
                    <w:rPr>
                      <w:rFonts w:hint="default"/>
                    </w:rPr>
                    <w:t>75</w:t>
                  </w:r>
                </w:p>
              </w:tc>
            </w:tr>
            <w:tr w:rsidR="00BC07F0">
              <w:trPr>
                <w:trHeight w:val="397"/>
                <w:jc w:val="center"/>
              </w:trPr>
              <w:tc>
                <w:tcPr>
                  <w:tcW w:w="890" w:type="dxa"/>
                  <w:vMerge/>
                  <w:tcBorders>
                    <w:tl2br w:val="nil"/>
                    <w:tr2bl w:val="nil"/>
                  </w:tcBorders>
                  <w:shd w:val="clear" w:color="auto" w:fill="auto"/>
                  <w:vAlign w:val="center"/>
                </w:tcPr>
                <w:p w:rsidR="00BC07F0" w:rsidRDefault="00BC07F0">
                  <w:pPr>
                    <w:pStyle w:val="a7"/>
                    <w:rPr>
                      <w:rFonts w:hint="default"/>
                    </w:rPr>
                  </w:pPr>
                </w:p>
              </w:tc>
              <w:tc>
                <w:tcPr>
                  <w:tcW w:w="1070" w:type="dxa"/>
                  <w:tcBorders>
                    <w:tl2br w:val="nil"/>
                    <w:tr2bl w:val="nil"/>
                  </w:tcBorders>
                  <w:shd w:val="clear" w:color="auto" w:fill="auto"/>
                  <w:vAlign w:val="center"/>
                </w:tcPr>
                <w:p w:rsidR="00BC07F0" w:rsidRDefault="00073EFB">
                  <w:pPr>
                    <w:pStyle w:val="a7"/>
                    <w:rPr>
                      <w:rFonts w:hint="default"/>
                    </w:rPr>
                  </w:pPr>
                  <w:r>
                    <w:t>雁城国际公馆</w:t>
                  </w: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112.3845</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26.5002</w:t>
                  </w:r>
                </w:p>
              </w:tc>
              <w:tc>
                <w:tcPr>
                  <w:tcW w:w="750" w:type="dxa"/>
                  <w:tcBorders>
                    <w:tl2br w:val="nil"/>
                    <w:tr2bl w:val="nil"/>
                  </w:tcBorders>
                  <w:shd w:val="clear" w:color="auto" w:fill="auto"/>
                  <w:vAlign w:val="center"/>
                </w:tcPr>
                <w:p w:rsidR="00BC07F0" w:rsidRDefault="00073EFB">
                  <w:pPr>
                    <w:pStyle w:val="a7"/>
                    <w:rPr>
                      <w:rFonts w:hint="default"/>
                    </w:rPr>
                  </w:pPr>
                  <w:r>
                    <w:t>居民</w:t>
                  </w:r>
                  <w:r>
                    <w:t>区</w:t>
                  </w:r>
                </w:p>
              </w:tc>
              <w:tc>
                <w:tcPr>
                  <w:tcW w:w="1290" w:type="dxa"/>
                  <w:tcBorders>
                    <w:tl2br w:val="nil"/>
                    <w:tr2bl w:val="nil"/>
                  </w:tcBorders>
                  <w:shd w:val="clear" w:color="auto" w:fill="auto"/>
                  <w:vAlign w:val="center"/>
                </w:tcPr>
                <w:p w:rsidR="00BC07F0" w:rsidRDefault="00073EFB">
                  <w:pPr>
                    <w:pStyle w:val="a7"/>
                    <w:rPr>
                      <w:rFonts w:hint="default"/>
                    </w:rPr>
                  </w:pPr>
                  <w:r>
                    <w:t>约</w:t>
                  </w:r>
                  <w:r>
                    <w:t>30</w:t>
                  </w:r>
                  <w:r>
                    <w:t>栋，</w:t>
                  </w:r>
                  <w:r>
                    <w:t>650</w:t>
                  </w:r>
                  <w:r>
                    <w:t>人</w:t>
                  </w:r>
                </w:p>
              </w:tc>
              <w:tc>
                <w:tcPr>
                  <w:tcW w:w="720" w:type="dxa"/>
                  <w:tcBorders>
                    <w:tl2br w:val="nil"/>
                    <w:tr2bl w:val="nil"/>
                  </w:tcBorders>
                  <w:shd w:val="clear" w:color="auto" w:fill="auto"/>
                  <w:vAlign w:val="center"/>
                </w:tcPr>
                <w:p w:rsidR="00BC07F0" w:rsidRDefault="00073EFB">
                  <w:pPr>
                    <w:pStyle w:val="a7"/>
                    <w:rPr>
                      <w:rFonts w:hint="default"/>
                    </w:rPr>
                  </w:pPr>
                  <w:r>
                    <w:t>居民</w:t>
                  </w:r>
                </w:p>
              </w:tc>
              <w:tc>
                <w:tcPr>
                  <w:tcW w:w="915" w:type="dxa"/>
                  <w:tcBorders>
                    <w:tl2br w:val="nil"/>
                    <w:tr2bl w:val="nil"/>
                  </w:tcBorders>
                  <w:shd w:val="clear" w:color="auto" w:fill="auto"/>
                  <w:vAlign w:val="center"/>
                </w:tcPr>
                <w:p w:rsidR="00BC07F0" w:rsidRDefault="00073EFB">
                  <w:pPr>
                    <w:pStyle w:val="a7"/>
                    <w:rPr>
                      <w:rFonts w:hint="default"/>
                    </w:rPr>
                  </w:pPr>
                  <w:r>
                    <w:t>二类区</w:t>
                  </w:r>
                </w:p>
              </w:tc>
              <w:tc>
                <w:tcPr>
                  <w:tcW w:w="753" w:type="dxa"/>
                  <w:tcBorders>
                    <w:tl2br w:val="nil"/>
                    <w:tr2bl w:val="nil"/>
                  </w:tcBorders>
                  <w:shd w:val="clear" w:color="auto" w:fill="auto"/>
                  <w:vAlign w:val="center"/>
                </w:tcPr>
                <w:p w:rsidR="00BC07F0" w:rsidRDefault="00073EFB">
                  <w:pPr>
                    <w:pStyle w:val="a7"/>
                    <w:rPr>
                      <w:rFonts w:hint="default"/>
                    </w:rPr>
                  </w:pPr>
                  <w:r>
                    <w:rPr>
                      <w:rFonts w:hint="default"/>
                    </w:rPr>
                    <w:t>SW</w:t>
                  </w:r>
                </w:p>
              </w:tc>
              <w:tc>
                <w:tcPr>
                  <w:tcW w:w="881" w:type="dxa"/>
                  <w:tcBorders>
                    <w:tl2br w:val="nil"/>
                    <w:tr2bl w:val="nil"/>
                  </w:tcBorders>
                  <w:shd w:val="clear" w:color="auto" w:fill="auto"/>
                  <w:vAlign w:val="center"/>
                </w:tcPr>
                <w:p w:rsidR="00BC07F0" w:rsidRDefault="00073EFB">
                  <w:pPr>
                    <w:pStyle w:val="a7"/>
                    <w:rPr>
                      <w:rFonts w:hint="default"/>
                    </w:rPr>
                  </w:pPr>
                  <w:r>
                    <w:rPr>
                      <w:rFonts w:hint="default"/>
                    </w:rPr>
                    <w:t>65</w:t>
                  </w:r>
                </w:p>
              </w:tc>
            </w:tr>
            <w:tr w:rsidR="00BC07F0">
              <w:trPr>
                <w:trHeight w:val="397"/>
                <w:jc w:val="center"/>
              </w:trPr>
              <w:tc>
                <w:tcPr>
                  <w:tcW w:w="890" w:type="dxa"/>
                  <w:vMerge/>
                  <w:tcBorders>
                    <w:tl2br w:val="nil"/>
                    <w:tr2bl w:val="nil"/>
                  </w:tcBorders>
                  <w:shd w:val="clear" w:color="auto" w:fill="auto"/>
                  <w:vAlign w:val="center"/>
                </w:tcPr>
                <w:p w:rsidR="00BC07F0" w:rsidRDefault="00BC07F0">
                  <w:pPr>
                    <w:pStyle w:val="a7"/>
                    <w:rPr>
                      <w:rFonts w:hint="default"/>
                    </w:rPr>
                  </w:pPr>
                </w:p>
              </w:tc>
              <w:tc>
                <w:tcPr>
                  <w:tcW w:w="1070" w:type="dxa"/>
                  <w:tcBorders>
                    <w:tl2br w:val="nil"/>
                    <w:tr2bl w:val="nil"/>
                  </w:tcBorders>
                  <w:shd w:val="clear" w:color="auto" w:fill="auto"/>
                  <w:vAlign w:val="center"/>
                </w:tcPr>
                <w:p w:rsidR="00BC07F0" w:rsidRDefault="00073EFB">
                  <w:pPr>
                    <w:pStyle w:val="a7"/>
                    <w:rPr>
                      <w:rFonts w:hint="default"/>
                    </w:rPr>
                  </w:pPr>
                  <w:r>
                    <w:t>衡阳技师学院东院</w:t>
                  </w: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112.385</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26.4951</w:t>
                  </w:r>
                </w:p>
              </w:tc>
              <w:tc>
                <w:tcPr>
                  <w:tcW w:w="750" w:type="dxa"/>
                  <w:tcBorders>
                    <w:tl2br w:val="nil"/>
                    <w:tr2bl w:val="nil"/>
                  </w:tcBorders>
                  <w:shd w:val="clear" w:color="auto" w:fill="auto"/>
                  <w:vAlign w:val="center"/>
                </w:tcPr>
                <w:p w:rsidR="00BC07F0" w:rsidRDefault="00073EFB">
                  <w:pPr>
                    <w:pStyle w:val="a7"/>
                    <w:rPr>
                      <w:rFonts w:hint="default"/>
                    </w:rPr>
                  </w:pPr>
                  <w:r>
                    <w:t>学校</w:t>
                  </w:r>
                </w:p>
              </w:tc>
              <w:tc>
                <w:tcPr>
                  <w:tcW w:w="1290" w:type="dxa"/>
                  <w:tcBorders>
                    <w:tl2br w:val="nil"/>
                    <w:tr2bl w:val="nil"/>
                  </w:tcBorders>
                  <w:shd w:val="clear" w:color="auto" w:fill="auto"/>
                  <w:vAlign w:val="center"/>
                </w:tcPr>
                <w:p w:rsidR="00BC07F0" w:rsidRDefault="00073EFB">
                  <w:pPr>
                    <w:pStyle w:val="a7"/>
                    <w:rPr>
                      <w:rFonts w:hint="default"/>
                    </w:rPr>
                  </w:pPr>
                  <w:r>
                    <w:t>约</w:t>
                  </w:r>
                  <w:r>
                    <w:t>15</w:t>
                  </w:r>
                  <w:r>
                    <w:t>栋，</w:t>
                  </w:r>
                  <w:r>
                    <w:t>1500</w:t>
                  </w:r>
                  <w:r>
                    <w:t>人</w:t>
                  </w:r>
                </w:p>
              </w:tc>
              <w:tc>
                <w:tcPr>
                  <w:tcW w:w="720" w:type="dxa"/>
                  <w:tcBorders>
                    <w:tl2br w:val="nil"/>
                    <w:tr2bl w:val="nil"/>
                  </w:tcBorders>
                  <w:shd w:val="clear" w:color="auto" w:fill="auto"/>
                  <w:vAlign w:val="center"/>
                </w:tcPr>
                <w:p w:rsidR="00BC07F0" w:rsidRDefault="00073EFB">
                  <w:pPr>
                    <w:pStyle w:val="a7"/>
                    <w:rPr>
                      <w:rFonts w:hint="default"/>
                    </w:rPr>
                  </w:pPr>
                  <w:r>
                    <w:t>师生</w:t>
                  </w:r>
                </w:p>
              </w:tc>
              <w:tc>
                <w:tcPr>
                  <w:tcW w:w="915" w:type="dxa"/>
                  <w:tcBorders>
                    <w:tl2br w:val="nil"/>
                    <w:tr2bl w:val="nil"/>
                  </w:tcBorders>
                  <w:shd w:val="clear" w:color="auto" w:fill="auto"/>
                  <w:vAlign w:val="center"/>
                </w:tcPr>
                <w:p w:rsidR="00BC07F0" w:rsidRDefault="00073EFB">
                  <w:pPr>
                    <w:pStyle w:val="a7"/>
                    <w:rPr>
                      <w:rFonts w:hint="default"/>
                    </w:rPr>
                  </w:pPr>
                  <w:r>
                    <w:t>二类区</w:t>
                  </w:r>
                </w:p>
              </w:tc>
              <w:tc>
                <w:tcPr>
                  <w:tcW w:w="753" w:type="dxa"/>
                  <w:tcBorders>
                    <w:tl2br w:val="nil"/>
                    <w:tr2bl w:val="nil"/>
                  </w:tcBorders>
                  <w:shd w:val="clear" w:color="auto" w:fill="auto"/>
                  <w:vAlign w:val="center"/>
                </w:tcPr>
                <w:p w:rsidR="00BC07F0" w:rsidRDefault="00073EFB">
                  <w:pPr>
                    <w:pStyle w:val="a7"/>
                    <w:rPr>
                      <w:rFonts w:hint="default"/>
                    </w:rPr>
                  </w:pPr>
                  <w:r>
                    <w:rPr>
                      <w:rFonts w:hint="default"/>
                    </w:rPr>
                    <w:t>SW</w:t>
                  </w:r>
                </w:p>
              </w:tc>
              <w:tc>
                <w:tcPr>
                  <w:tcW w:w="881" w:type="dxa"/>
                  <w:tcBorders>
                    <w:tl2br w:val="nil"/>
                    <w:tr2bl w:val="nil"/>
                  </w:tcBorders>
                  <w:shd w:val="clear" w:color="auto" w:fill="auto"/>
                  <w:vAlign w:val="center"/>
                </w:tcPr>
                <w:p w:rsidR="00BC07F0" w:rsidRDefault="00073EFB">
                  <w:pPr>
                    <w:pStyle w:val="a7"/>
                    <w:rPr>
                      <w:rFonts w:hint="default"/>
                    </w:rPr>
                  </w:pPr>
                  <w:r>
                    <w:rPr>
                      <w:rFonts w:hint="default"/>
                    </w:rPr>
                    <w:t>200</w:t>
                  </w:r>
                </w:p>
              </w:tc>
            </w:tr>
            <w:tr w:rsidR="00BC07F0">
              <w:trPr>
                <w:trHeight w:val="397"/>
                <w:jc w:val="center"/>
              </w:trPr>
              <w:tc>
                <w:tcPr>
                  <w:tcW w:w="890" w:type="dxa"/>
                  <w:vMerge/>
                  <w:tcBorders>
                    <w:tl2br w:val="nil"/>
                    <w:tr2bl w:val="nil"/>
                  </w:tcBorders>
                  <w:shd w:val="clear" w:color="auto" w:fill="auto"/>
                  <w:vAlign w:val="center"/>
                </w:tcPr>
                <w:p w:rsidR="00BC07F0" w:rsidRDefault="00BC07F0">
                  <w:pPr>
                    <w:pStyle w:val="a7"/>
                    <w:rPr>
                      <w:rFonts w:hint="default"/>
                    </w:rPr>
                  </w:pPr>
                </w:p>
              </w:tc>
              <w:tc>
                <w:tcPr>
                  <w:tcW w:w="1070" w:type="dxa"/>
                  <w:tcBorders>
                    <w:tl2br w:val="nil"/>
                    <w:tr2bl w:val="nil"/>
                  </w:tcBorders>
                  <w:shd w:val="clear" w:color="auto" w:fill="auto"/>
                  <w:vAlign w:val="center"/>
                </w:tcPr>
                <w:p w:rsidR="00BC07F0" w:rsidRDefault="00073EFB">
                  <w:pPr>
                    <w:pStyle w:val="a7"/>
                    <w:rPr>
                      <w:rFonts w:hint="default"/>
                    </w:rPr>
                  </w:pPr>
                  <w:r>
                    <w:t>福龙湾社区居民区</w:t>
                  </w: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112.391</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26.5001</w:t>
                  </w:r>
                </w:p>
              </w:tc>
              <w:tc>
                <w:tcPr>
                  <w:tcW w:w="750" w:type="dxa"/>
                  <w:tcBorders>
                    <w:tl2br w:val="nil"/>
                    <w:tr2bl w:val="nil"/>
                  </w:tcBorders>
                  <w:shd w:val="clear" w:color="auto" w:fill="auto"/>
                  <w:vAlign w:val="center"/>
                </w:tcPr>
                <w:p w:rsidR="00BC07F0" w:rsidRDefault="00073EFB">
                  <w:pPr>
                    <w:pStyle w:val="a7"/>
                    <w:rPr>
                      <w:rFonts w:hint="default"/>
                    </w:rPr>
                  </w:pPr>
                  <w:r>
                    <w:t>居民</w:t>
                  </w:r>
                  <w:r>
                    <w:t>区</w:t>
                  </w:r>
                </w:p>
              </w:tc>
              <w:tc>
                <w:tcPr>
                  <w:tcW w:w="1290" w:type="dxa"/>
                  <w:tcBorders>
                    <w:tl2br w:val="nil"/>
                    <w:tr2bl w:val="nil"/>
                  </w:tcBorders>
                  <w:shd w:val="clear" w:color="auto" w:fill="auto"/>
                  <w:vAlign w:val="center"/>
                </w:tcPr>
                <w:p w:rsidR="00BC07F0" w:rsidRDefault="00073EFB">
                  <w:pPr>
                    <w:pStyle w:val="a7"/>
                    <w:rPr>
                      <w:rFonts w:hint="default"/>
                    </w:rPr>
                  </w:pPr>
                  <w:r>
                    <w:t>约</w:t>
                  </w:r>
                  <w:r>
                    <w:t>45</w:t>
                  </w:r>
                  <w:r>
                    <w:t>栋，</w:t>
                  </w:r>
                  <w:r>
                    <w:t>900</w:t>
                  </w:r>
                  <w:r>
                    <w:t>人</w:t>
                  </w:r>
                </w:p>
              </w:tc>
              <w:tc>
                <w:tcPr>
                  <w:tcW w:w="720" w:type="dxa"/>
                  <w:tcBorders>
                    <w:tl2br w:val="nil"/>
                    <w:tr2bl w:val="nil"/>
                  </w:tcBorders>
                  <w:shd w:val="clear" w:color="auto" w:fill="auto"/>
                  <w:vAlign w:val="center"/>
                </w:tcPr>
                <w:p w:rsidR="00BC07F0" w:rsidRDefault="00073EFB">
                  <w:pPr>
                    <w:pStyle w:val="a7"/>
                    <w:rPr>
                      <w:rFonts w:hint="default"/>
                    </w:rPr>
                  </w:pPr>
                  <w:r>
                    <w:t>居民</w:t>
                  </w:r>
                </w:p>
              </w:tc>
              <w:tc>
                <w:tcPr>
                  <w:tcW w:w="915" w:type="dxa"/>
                  <w:tcBorders>
                    <w:tl2br w:val="nil"/>
                    <w:tr2bl w:val="nil"/>
                  </w:tcBorders>
                  <w:shd w:val="clear" w:color="auto" w:fill="auto"/>
                  <w:vAlign w:val="center"/>
                </w:tcPr>
                <w:p w:rsidR="00BC07F0" w:rsidRDefault="00073EFB">
                  <w:pPr>
                    <w:pStyle w:val="a7"/>
                    <w:rPr>
                      <w:rFonts w:hint="default"/>
                    </w:rPr>
                  </w:pPr>
                  <w:r>
                    <w:t>二类区</w:t>
                  </w:r>
                </w:p>
              </w:tc>
              <w:tc>
                <w:tcPr>
                  <w:tcW w:w="753" w:type="dxa"/>
                  <w:tcBorders>
                    <w:tl2br w:val="nil"/>
                    <w:tr2bl w:val="nil"/>
                  </w:tcBorders>
                  <w:shd w:val="clear" w:color="auto" w:fill="auto"/>
                  <w:vAlign w:val="center"/>
                </w:tcPr>
                <w:p w:rsidR="00BC07F0" w:rsidRDefault="00073EFB">
                  <w:pPr>
                    <w:pStyle w:val="a7"/>
                    <w:rPr>
                      <w:rFonts w:hint="default"/>
                    </w:rPr>
                  </w:pPr>
                  <w:r>
                    <w:rPr>
                      <w:rFonts w:hint="default"/>
                    </w:rPr>
                    <w:t>SE</w:t>
                  </w:r>
                </w:p>
              </w:tc>
              <w:tc>
                <w:tcPr>
                  <w:tcW w:w="881" w:type="dxa"/>
                  <w:tcBorders>
                    <w:tl2br w:val="nil"/>
                    <w:tr2bl w:val="nil"/>
                  </w:tcBorders>
                  <w:shd w:val="clear" w:color="auto" w:fill="auto"/>
                  <w:vAlign w:val="center"/>
                </w:tcPr>
                <w:p w:rsidR="00BC07F0" w:rsidRDefault="00073EFB">
                  <w:pPr>
                    <w:pStyle w:val="a7"/>
                    <w:rPr>
                      <w:rFonts w:hint="default"/>
                    </w:rPr>
                  </w:pPr>
                  <w:r>
                    <w:rPr>
                      <w:rFonts w:hint="default"/>
                    </w:rPr>
                    <w:t>450</w:t>
                  </w:r>
                </w:p>
              </w:tc>
            </w:tr>
            <w:tr w:rsidR="00BC07F0">
              <w:trPr>
                <w:trHeight w:val="397"/>
                <w:jc w:val="center"/>
              </w:trPr>
              <w:tc>
                <w:tcPr>
                  <w:tcW w:w="890" w:type="dxa"/>
                  <w:vMerge w:val="restart"/>
                  <w:tcBorders>
                    <w:tl2br w:val="nil"/>
                    <w:tr2bl w:val="nil"/>
                  </w:tcBorders>
                  <w:shd w:val="clear" w:color="auto" w:fill="auto"/>
                  <w:vAlign w:val="center"/>
                </w:tcPr>
                <w:p w:rsidR="00BC07F0" w:rsidRDefault="00073EFB">
                  <w:pPr>
                    <w:pStyle w:val="a7"/>
                    <w:rPr>
                      <w:rFonts w:hint="default"/>
                    </w:rPr>
                  </w:pPr>
                  <w:r>
                    <w:t>幸福河支流水生态环境综合治理工程</w:t>
                  </w:r>
                </w:p>
              </w:tc>
              <w:tc>
                <w:tcPr>
                  <w:tcW w:w="1070" w:type="dxa"/>
                  <w:tcBorders>
                    <w:tl2br w:val="nil"/>
                    <w:tr2bl w:val="nil"/>
                  </w:tcBorders>
                  <w:shd w:val="clear" w:color="auto" w:fill="auto"/>
                  <w:vAlign w:val="center"/>
                </w:tcPr>
                <w:p w:rsidR="00BC07F0" w:rsidRDefault="00073EFB">
                  <w:pPr>
                    <w:pStyle w:val="a7"/>
                    <w:rPr>
                      <w:rFonts w:hint="default"/>
                    </w:rPr>
                  </w:pPr>
                  <w:r>
                    <w:t>奇峰苑</w:t>
                  </w:r>
                  <w:r>
                    <w:t>B</w:t>
                  </w:r>
                  <w:r>
                    <w:t>区</w:t>
                  </w: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112.3658</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26.501</w:t>
                  </w:r>
                </w:p>
              </w:tc>
              <w:tc>
                <w:tcPr>
                  <w:tcW w:w="750" w:type="dxa"/>
                  <w:tcBorders>
                    <w:tl2br w:val="nil"/>
                    <w:tr2bl w:val="nil"/>
                  </w:tcBorders>
                  <w:shd w:val="clear" w:color="auto" w:fill="auto"/>
                  <w:vAlign w:val="center"/>
                </w:tcPr>
                <w:p w:rsidR="00BC07F0" w:rsidRDefault="00073EFB">
                  <w:pPr>
                    <w:pStyle w:val="a7"/>
                    <w:rPr>
                      <w:rFonts w:hint="default"/>
                    </w:rPr>
                  </w:pPr>
                  <w:r>
                    <w:t>居民</w:t>
                  </w:r>
                  <w:r>
                    <w:t>区</w:t>
                  </w:r>
                </w:p>
              </w:tc>
              <w:tc>
                <w:tcPr>
                  <w:tcW w:w="1290" w:type="dxa"/>
                  <w:tcBorders>
                    <w:tl2br w:val="nil"/>
                    <w:tr2bl w:val="nil"/>
                  </w:tcBorders>
                  <w:shd w:val="clear" w:color="auto" w:fill="auto"/>
                  <w:vAlign w:val="center"/>
                </w:tcPr>
                <w:p w:rsidR="00BC07F0" w:rsidRDefault="00073EFB">
                  <w:pPr>
                    <w:pStyle w:val="a7"/>
                    <w:rPr>
                      <w:rFonts w:hint="default"/>
                    </w:rPr>
                  </w:pPr>
                  <w:r>
                    <w:t>约</w:t>
                  </w:r>
                  <w:r>
                    <w:t>20</w:t>
                  </w:r>
                  <w:r>
                    <w:t>栋，</w:t>
                  </w:r>
                  <w:r>
                    <w:t>700</w:t>
                  </w:r>
                  <w:r>
                    <w:t>人</w:t>
                  </w:r>
                </w:p>
              </w:tc>
              <w:tc>
                <w:tcPr>
                  <w:tcW w:w="720" w:type="dxa"/>
                  <w:tcBorders>
                    <w:tl2br w:val="nil"/>
                    <w:tr2bl w:val="nil"/>
                  </w:tcBorders>
                  <w:shd w:val="clear" w:color="auto" w:fill="auto"/>
                  <w:vAlign w:val="center"/>
                </w:tcPr>
                <w:p w:rsidR="00BC07F0" w:rsidRDefault="00073EFB">
                  <w:pPr>
                    <w:pStyle w:val="a7"/>
                    <w:rPr>
                      <w:rFonts w:hint="default"/>
                    </w:rPr>
                  </w:pPr>
                  <w:r>
                    <w:t>居民</w:t>
                  </w:r>
                </w:p>
              </w:tc>
              <w:tc>
                <w:tcPr>
                  <w:tcW w:w="915" w:type="dxa"/>
                  <w:tcBorders>
                    <w:tl2br w:val="nil"/>
                    <w:tr2bl w:val="nil"/>
                  </w:tcBorders>
                  <w:shd w:val="clear" w:color="auto" w:fill="auto"/>
                  <w:vAlign w:val="center"/>
                </w:tcPr>
                <w:p w:rsidR="00BC07F0" w:rsidRDefault="00073EFB">
                  <w:pPr>
                    <w:pStyle w:val="a7"/>
                    <w:rPr>
                      <w:rFonts w:hint="default"/>
                    </w:rPr>
                  </w:pPr>
                  <w:r>
                    <w:t>二类区</w:t>
                  </w:r>
                </w:p>
              </w:tc>
              <w:tc>
                <w:tcPr>
                  <w:tcW w:w="753" w:type="dxa"/>
                  <w:tcBorders>
                    <w:tl2br w:val="nil"/>
                    <w:tr2bl w:val="nil"/>
                  </w:tcBorders>
                  <w:shd w:val="clear" w:color="auto" w:fill="auto"/>
                  <w:vAlign w:val="center"/>
                </w:tcPr>
                <w:p w:rsidR="00BC07F0" w:rsidRDefault="00073EFB">
                  <w:pPr>
                    <w:pStyle w:val="a7"/>
                    <w:rPr>
                      <w:rFonts w:hint="default"/>
                    </w:rPr>
                  </w:pPr>
                  <w:r>
                    <w:rPr>
                      <w:rFonts w:hint="default"/>
                    </w:rPr>
                    <w:t>N</w:t>
                  </w:r>
                </w:p>
              </w:tc>
              <w:tc>
                <w:tcPr>
                  <w:tcW w:w="881" w:type="dxa"/>
                  <w:tcBorders>
                    <w:tl2br w:val="nil"/>
                    <w:tr2bl w:val="nil"/>
                  </w:tcBorders>
                  <w:shd w:val="clear" w:color="auto" w:fill="auto"/>
                  <w:vAlign w:val="center"/>
                </w:tcPr>
                <w:p w:rsidR="00BC07F0" w:rsidRDefault="00073EFB">
                  <w:pPr>
                    <w:pStyle w:val="a7"/>
                    <w:rPr>
                      <w:rFonts w:hint="default"/>
                    </w:rPr>
                  </w:pPr>
                  <w:r>
                    <w:rPr>
                      <w:rFonts w:hint="default"/>
                    </w:rPr>
                    <w:t>120</w:t>
                  </w:r>
                </w:p>
              </w:tc>
            </w:tr>
            <w:tr w:rsidR="00BC07F0">
              <w:trPr>
                <w:trHeight w:val="397"/>
                <w:jc w:val="center"/>
              </w:trPr>
              <w:tc>
                <w:tcPr>
                  <w:tcW w:w="890" w:type="dxa"/>
                  <w:vMerge/>
                  <w:tcBorders>
                    <w:tl2br w:val="nil"/>
                    <w:tr2bl w:val="nil"/>
                  </w:tcBorders>
                  <w:shd w:val="clear" w:color="auto" w:fill="auto"/>
                  <w:vAlign w:val="center"/>
                </w:tcPr>
                <w:p w:rsidR="00BC07F0" w:rsidRDefault="00BC07F0">
                  <w:pPr>
                    <w:pStyle w:val="a7"/>
                    <w:rPr>
                      <w:rFonts w:hint="default"/>
                    </w:rPr>
                  </w:pPr>
                </w:p>
              </w:tc>
              <w:tc>
                <w:tcPr>
                  <w:tcW w:w="1070" w:type="dxa"/>
                  <w:tcBorders>
                    <w:tl2br w:val="nil"/>
                    <w:tr2bl w:val="nil"/>
                  </w:tcBorders>
                  <w:shd w:val="clear" w:color="auto" w:fill="auto"/>
                  <w:vAlign w:val="center"/>
                </w:tcPr>
                <w:p w:rsidR="00BC07F0" w:rsidRDefault="00073EFB">
                  <w:pPr>
                    <w:pStyle w:val="a7"/>
                    <w:rPr>
                      <w:rFonts w:hint="default"/>
                    </w:rPr>
                  </w:pPr>
                  <w:r>
                    <w:t>衡阳市中心医院</w:t>
                  </w: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112.373</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26.5004</w:t>
                  </w:r>
                </w:p>
              </w:tc>
              <w:tc>
                <w:tcPr>
                  <w:tcW w:w="750" w:type="dxa"/>
                  <w:tcBorders>
                    <w:tl2br w:val="nil"/>
                    <w:tr2bl w:val="nil"/>
                  </w:tcBorders>
                  <w:shd w:val="clear" w:color="auto" w:fill="auto"/>
                  <w:vAlign w:val="center"/>
                </w:tcPr>
                <w:p w:rsidR="00BC07F0" w:rsidRDefault="00073EFB">
                  <w:pPr>
                    <w:pStyle w:val="a7"/>
                    <w:rPr>
                      <w:rFonts w:hint="default"/>
                    </w:rPr>
                  </w:pPr>
                  <w:r>
                    <w:t>医院</w:t>
                  </w:r>
                </w:p>
              </w:tc>
              <w:tc>
                <w:tcPr>
                  <w:tcW w:w="1290" w:type="dxa"/>
                  <w:tcBorders>
                    <w:tl2br w:val="nil"/>
                    <w:tr2bl w:val="nil"/>
                  </w:tcBorders>
                  <w:shd w:val="clear" w:color="auto" w:fill="auto"/>
                  <w:vAlign w:val="center"/>
                </w:tcPr>
                <w:p w:rsidR="00BC07F0" w:rsidRDefault="00073EFB">
                  <w:pPr>
                    <w:pStyle w:val="a7"/>
                    <w:rPr>
                      <w:rFonts w:hint="default"/>
                    </w:rPr>
                  </w:pPr>
                  <w:r>
                    <w:t>约</w:t>
                  </w:r>
                  <w:r>
                    <w:t>8</w:t>
                  </w:r>
                  <w:r>
                    <w:t>栋，</w:t>
                  </w:r>
                  <w:r>
                    <w:t>600</w:t>
                  </w:r>
                  <w:r>
                    <w:t>人</w:t>
                  </w:r>
                </w:p>
              </w:tc>
              <w:tc>
                <w:tcPr>
                  <w:tcW w:w="720" w:type="dxa"/>
                  <w:tcBorders>
                    <w:tl2br w:val="nil"/>
                    <w:tr2bl w:val="nil"/>
                  </w:tcBorders>
                  <w:shd w:val="clear" w:color="auto" w:fill="auto"/>
                  <w:vAlign w:val="center"/>
                </w:tcPr>
                <w:p w:rsidR="00BC07F0" w:rsidRDefault="00073EFB">
                  <w:pPr>
                    <w:pStyle w:val="a7"/>
                    <w:rPr>
                      <w:rFonts w:hint="default"/>
                    </w:rPr>
                  </w:pPr>
                  <w:r>
                    <w:t>病人、医生</w:t>
                  </w:r>
                </w:p>
              </w:tc>
              <w:tc>
                <w:tcPr>
                  <w:tcW w:w="915" w:type="dxa"/>
                  <w:tcBorders>
                    <w:tl2br w:val="nil"/>
                    <w:tr2bl w:val="nil"/>
                  </w:tcBorders>
                  <w:shd w:val="clear" w:color="auto" w:fill="auto"/>
                  <w:vAlign w:val="center"/>
                </w:tcPr>
                <w:p w:rsidR="00BC07F0" w:rsidRDefault="00073EFB">
                  <w:pPr>
                    <w:pStyle w:val="a7"/>
                    <w:rPr>
                      <w:rFonts w:hint="default"/>
                    </w:rPr>
                  </w:pPr>
                  <w:r>
                    <w:t>二类区</w:t>
                  </w:r>
                </w:p>
              </w:tc>
              <w:tc>
                <w:tcPr>
                  <w:tcW w:w="753" w:type="dxa"/>
                  <w:tcBorders>
                    <w:tl2br w:val="nil"/>
                    <w:tr2bl w:val="nil"/>
                  </w:tcBorders>
                  <w:shd w:val="clear" w:color="auto" w:fill="auto"/>
                  <w:vAlign w:val="center"/>
                </w:tcPr>
                <w:p w:rsidR="00BC07F0" w:rsidRDefault="00073EFB">
                  <w:pPr>
                    <w:pStyle w:val="a7"/>
                    <w:rPr>
                      <w:rFonts w:hint="default"/>
                    </w:rPr>
                  </w:pPr>
                  <w:r>
                    <w:rPr>
                      <w:rFonts w:hint="default"/>
                    </w:rPr>
                    <w:t>N</w:t>
                  </w:r>
                </w:p>
              </w:tc>
              <w:tc>
                <w:tcPr>
                  <w:tcW w:w="881" w:type="dxa"/>
                  <w:tcBorders>
                    <w:tl2br w:val="nil"/>
                    <w:tr2bl w:val="nil"/>
                  </w:tcBorders>
                  <w:shd w:val="clear" w:color="auto" w:fill="auto"/>
                  <w:vAlign w:val="center"/>
                </w:tcPr>
                <w:p w:rsidR="00BC07F0" w:rsidRDefault="00073EFB">
                  <w:pPr>
                    <w:pStyle w:val="a7"/>
                    <w:rPr>
                      <w:rFonts w:hint="default"/>
                    </w:rPr>
                  </w:pPr>
                  <w:r>
                    <w:rPr>
                      <w:rFonts w:hint="default"/>
                    </w:rPr>
                    <w:t>150</w:t>
                  </w:r>
                </w:p>
              </w:tc>
            </w:tr>
            <w:tr w:rsidR="00BC07F0">
              <w:trPr>
                <w:trHeight w:val="397"/>
                <w:jc w:val="center"/>
              </w:trPr>
              <w:tc>
                <w:tcPr>
                  <w:tcW w:w="890" w:type="dxa"/>
                  <w:vMerge/>
                  <w:tcBorders>
                    <w:tl2br w:val="nil"/>
                    <w:tr2bl w:val="nil"/>
                  </w:tcBorders>
                  <w:shd w:val="clear" w:color="auto" w:fill="auto"/>
                  <w:vAlign w:val="center"/>
                </w:tcPr>
                <w:p w:rsidR="00BC07F0" w:rsidRDefault="00BC07F0">
                  <w:pPr>
                    <w:pStyle w:val="a7"/>
                    <w:rPr>
                      <w:rFonts w:hint="default"/>
                    </w:rPr>
                  </w:pPr>
                </w:p>
              </w:tc>
              <w:tc>
                <w:tcPr>
                  <w:tcW w:w="1070" w:type="dxa"/>
                  <w:tcBorders>
                    <w:tl2br w:val="nil"/>
                    <w:tr2bl w:val="nil"/>
                  </w:tcBorders>
                  <w:shd w:val="clear" w:color="auto" w:fill="auto"/>
                  <w:vAlign w:val="center"/>
                </w:tcPr>
                <w:p w:rsidR="00BC07F0" w:rsidRDefault="00073EFB">
                  <w:pPr>
                    <w:pStyle w:val="a7"/>
                    <w:rPr>
                      <w:rFonts w:hint="default"/>
                    </w:rPr>
                  </w:pPr>
                  <w:r>
                    <w:t>南三环路北侧居民区</w:t>
                  </w: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112.363</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26.4951</w:t>
                  </w:r>
                </w:p>
              </w:tc>
              <w:tc>
                <w:tcPr>
                  <w:tcW w:w="750" w:type="dxa"/>
                  <w:tcBorders>
                    <w:tl2br w:val="nil"/>
                    <w:tr2bl w:val="nil"/>
                  </w:tcBorders>
                  <w:shd w:val="clear" w:color="auto" w:fill="auto"/>
                  <w:vAlign w:val="center"/>
                </w:tcPr>
                <w:p w:rsidR="00BC07F0" w:rsidRDefault="00073EFB">
                  <w:pPr>
                    <w:pStyle w:val="a7"/>
                    <w:rPr>
                      <w:rFonts w:hint="default"/>
                    </w:rPr>
                  </w:pPr>
                  <w:r>
                    <w:t>居民</w:t>
                  </w:r>
                  <w:r>
                    <w:t>区</w:t>
                  </w:r>
                </w:p>
              </w:tc>
              <w:tc>
                <w:tcPr>
                  <w:tcW w:w="1290" w:type="dxa"/>
                  <w:tcBorders>
                    <w:tl2br w:val="nil"/>
                    <w:tr2bl w:val="nil"/>
                  </w:tcBorders>
                  <w:shd w:val="clear" w:color="auto" w:fill="auto"/>
                  <w:vAlign w:val="center"/>
                </w:tcPr>
                <w:p w:rsidR="00BC07F0" w:rsidRDefault="00073EFB">
                  <w:pPr>
                    <w:pStyle w:val="a7"/>
                    <w:rPr>
                      <w:rFonts w:hint="default"/>
                    </w:rPr>
                  </w:pPr>
                  <w:r>
                    <w:t>约</w:t>
                  </w:r>
                  <w:r>
                    <w:t>45</w:t>
                  </w:r>
                  <w:r>
                    <w:t>栋，</w:t>
                  </w:r>
                  <w:r>
                    <w:t>900</w:t>
                  </w:r>
                  <w:r>
                    <w:t>人</w:t>
                  </w:r>
                </w:p>
              </w:tc>
              <w:tc>
                <w:tcPr>
                  <w:tcW w:w="720" w:type="dxa"/>
                  <w:tcBorders>
                    <w:tl2br w:val="nil"/>
                    <w:tr2bl w:val="nil"/>
                  </w:tcBorders>
                  <w:shd w:val="clear" w:color="auto" w:fill="auto"/>
                  <w:vAlign w:val="center"/>
                </w:tcPr>
                <w:p w:rsidR="00BC07F0" w:rsidRDefault="00073EFB">
                  <w:pPr>
                    <w:pStyle w:val="a7"/>
                    <w:rPr>
                      <w:rFonts w:hint="default"/>
                    </w:rPr>
                  </w:pPr>
                  <w:r>
                    <w:t>居民</w:t>
                  </w:r>
                </w:p>
              </w:tc>
              <w:tc>
                <w:tcPr>
                  <w:tcW w:w="915" w:type="dxa"/>
                  <w:tcBorders>
                    <w:tl2br w:val="nil"/>
                    <w:tr2bl w:val="nil"/>
                  </w:tcBorders>
                  <w:shd w:val="clear" w:color="auto" w:fill="auto"/>
                  <w:vAlign w:val="center"/>
                </w:tcPr>
                <w:p w:rsidR="00BC07F0" w:rsidRDefault="00073EFB">
                  <w:pPr>
                    <w:pStyle w:val="a7"/>
                    <w:rPr>
                      <w:rFonts w:hint="default"/>
                    </w:rPr>
                  </w:pPr>
                  <w:r>
                    <w:t>二类区</w:t>
                  </w:r>
                </w:p>
              </w:tc>
              <w:tc>
                <w:tcPr>
                  <w:tcW w:w="753" w:type="dxa"/>
                  <w:tcBorders>
                    <w:tl2br w:val="nil"/>
                    <w:tr2bl w:val="nil"/>
                  </w:tcBorders>
                  <w:shd w:val="clear" w:color="auto" w:fill="auto"/>
                  <w:vAlign w:val="center"/>
                </w:tcPr>
                <w:p w:rsidR="00BC07F0" w:rsidRDefault="00073EFB">
                  <w:pPr>
                    <w:pStyle w:val="a7"/>
                    <w:rPr>
                      <w:rFonts w:hint="default"/>
                    </w:rPr>
                  </w:pPr>
                  <w:r>
                    <w:rPr>
                      <w:rFonts w:hint="default"/>
                    </w:rPr>
                    <w:t>S</w:t>
                  </w:r>
                </w:p>
              </w:tc>
              <w:tc>
                <w:tcPr>
                  <w:tcW w:w="881" w:type="dxa"/>
                  <w:tcBorders>
                    <w:tl2br w:val="nil"/>
                    <w:tr2bl w:val="nil"/>
                  </w:tcBorders>
                  <w:shd w:val="clear" w:color="auto" w:fill="auto"/>
                  <w:vAlign w:val="center"/>
                </w:tcPr>
                <w:p w:rsidR="00BC07F0" w:rsidRDefault="00073EFB">
                  <w:pPr>
                    <w:pStyle w:val="a7"/>
                    <w:rPr>
                      <w:rFonts w:hint="default"/>
                    </w:rPr>
                  </w:pPr>
                  <w:r>
                    <w:rPr>
                      <w:rFonts w:hint="default"/>
                    </w:rPr>
                    <w:t>200</w:t>
                  </w:r>
                </w:p>
              </w:tc>
            </w:tr>
            <w:tr w:rsidR="00BC07F0">
              <w:trPr>
                <w:trHeight w:val="397"/>
                <w:jc w:val="center"/>
              </w:trPr>
              <w:tc>
                <w:tcPr>
                  <w:tcW w:w="890" w:type="dxa"/>
                  <w:vMerge/>
                  <w:tcBorders>
                    <w:tl2br w:val="nil"/>
                    <w:tr2bl w:val="nil"/>
                  </w:tcBorders>
                  <w:shd w:val="clear" w:color="auto" w:fill="auto"/>
                  <w:vAlign w:val="center"/>
                </w:tcPr>
                <w:p w:rsidR="00BC07F0" w:rsidRDefault="00BC07F0">
                  <w:pPr>
                    <w:pStyle w:val="a7"/>
                    <w:rPr>
                      <w:rFonts w:hint="default"/>
                    </w:rPr>
                  </w:pPr>
                </w:p>
              </w:tc>
              <w:tc>
                <w:tcPr>
                  <w:tcW w:w="1070" w:type="dxa"/>
                  <w:tcBorders>
                    <w:tl2br w:val="nil"/>
                    <w:tr2bl w:val="nil"/>
                  </w:tcBorders>
                  <w:shd w:val="clear" w:color="auto" w:fill="auto"/>
                  <w:vAlign w:val="center"/>
                </w:tcPr>
                <w:p w:rsidR="00BC07F0" w:rsidRDefault="00073EFB">
                  <w:pPr>
                    <w:pStyle w:val="a7"/>
                    <w:rPr>
                      <w:rFonts w:hint="default"/>
                    </w:rPr>
                  </w:pPr>
                  <w:r>
                    <w:t>茅竹叶村居民区</w:t>
                  </w: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112.3651</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26.4945</w:t>
                  </w:r>
                </w:p>
              </w:tc>
              <w:tc>
                <w:tcPr>
                  <w:tcW w:w="750" w:type="dxa"/>
                  <w:tcBorders>
                    <w:tl2br w:val="nil"/>
                    <w:tr2bl w:val="nil"/>
                  </w:tcBorders>
                  <w:shd w:val="clear" w:color="auto" w:fill="auto"/>
                  <w:vAlign w:val="center"/>
                </w:tcPr>
                <w:p w:rsidR="00BC07F0" w:rsidRDefault="00073EFB">
                  <w:pPr>
                    <w:pStyle w:val="a7"/>
                    <w:rPr>
                      <w:rFonts w:hint="default"/>
                    </w:rPr>
                  </w:pPr>
                  <w:r>
                    <w:t>居民</w:t>
                  </w:r>
                  <w:r>
                    <w:t>区</w:t>
                  </w:r>
                </w:p>
              </w:tc>
              <w:tc>
                <w:tcPr>
                  <w:tcW w:w="1290" w:type="dxa"/>
                  <w:tcBorders>
                    <w:tl2br w:val="nil"/>
                    <w:tr2bl w:val="nil"/>
                  </w:tcBorders>
                  <w:shd w:val="clear" w:color="auto" w:fill="auto"/>
                  <w:vAlign w:val="center"/>
                </w:tcPr>
                <w:p w:rsidR="00BC07F0" w:rsidRDefault="00073EFB">
                  <w:pPr>
                    <w:pStyle w:val="a7"/>
                    <w:rPr>
                      <w:rFonts w:hint="default"/>
                    </w:rPr>
                  </w:pPr>
                  <w:r>
                    <w:t>约</w:t>
                  </w:r>
                  <w:r>
                    <w:t>25</w:t>
                  </w:r>
                  <w:r>
                    <w:t>栋，</w:t>
                  </w:r>
                  <w:r>
                    <w:t>600</w:t>
                  </w:r>
                  <w:r>
                    <w:t>人</w:t>
                  </w:r>
                </w:p>
              </w:tc>
              <w:tc>
                <w:tcPr>
                  <w:tcW w:w="720" w:type="dxa"/>
                  <w:tcBorders>
                    <w:tl2br w:val="nil"/>
                    <w:tr2bl w:val="nil"/>
                  </w:tcBorders>
                  <w:shd w:val="clear" w:color="auto" w:fill="auto"/>
                  <w:vAlign w:val="center"/>
                </w:tcPr>
                <w:p w:rsidR="00BC07F0" w:rsidRDefault="00073EFB">
                  <w:pPr>
                    <w:pStyle w:val="a7"/>
                    <w:rPr>
                      <w:rFonts w:hint="default"/>
                    </w:rPr>
                  </w:pPr>
                  <w:r>
                    <w:t>居民</w:t>
                  </w:r>
                </w:p>
              </w:tc>
              <w:tc>
                <w:tcPr>
                  <w:tcW w:w="915" w:type="dxa"/>
                  <w:tcBorders>
                    <w:tl2br w:val="nil"/>
                    <w:tr2bl w:val="nil"/>
                  </w:tcBorders>
                  <w:shd w:val="clear" w:color="auto" w:fill="auto"/>
                  <w:vAlign w:val="center"/>
                </w:tcPr>
                <w:p w:rsidR="00BC07F0" w:rsidRDefault="00073EFB">
                  <w:pPr>
                    <w:pStyle w:val="a7"/>
                    <w:rPr>
                      <w:rFonts w:hint="default"/>
                    </w:rPr>
                  </w:pPr>
                  <w:r>
                    <w:t>二类区</w:t>
                  </w:r>
                </w:p>
              </w:tc>
              <w:tc>
                <w:tcPr>
                  <w:tcW w:w="753" w:type="dxa"/>
                  <w:tcBorders>
                    <w:tl2br w:val="nil"/>
                    <w:tr2bl w:val="nil"/>
                  </w:tcBorders>
                  <w:shd w:val="clear" w:color="auto" w:fill="auto"/>
                  <w:vAlign w:val="center"/>
                </w:tcPr>
                <w:p w:rsidR="00BC07F0" w:rsidRDefault="00073EFB">
                  <w:pPr>
                    <w:pStyle w:val="a7"/>
                    <w:rPr>
                      <w:rFonts w:hint="default"/>
                    </w:rPr>
                  </w:pPr>
                  <w:r>
                    <w:rPr>
                      <w:rFonts w:hint="default"/>
                    </w:rPr>
                    <w:t>S</w:t>
                  </w:r>
                </w:p>
              </w:tc>
              <w:tc>
                <w:tcPr>
                  <w:tcW w:w="881" w:type="dxa"/>
                  <w:tcBorders>
                    <w:tl2br w:val="nil"/>
                    <w:tr2bl w:val="nil"/>
                  </w:tcBorders>
                  <w:shd w:val="clear" w:color="auto" w:fill="auto"/>
                  <w:vAlign w:val="center"/>
                </w:tcPr>
                <w:p w:rsidR="00BC07F0" w:rsidRDefault="00073EFB">
                  <w:pPr>
                    <w:pStyle w:val="a7"/>
                    <w:rPr>
                      <w:rFonts w:hint="default"/>
                    </w:rPr>
                  </w:pPr>
                  <w:r>
                    <w:rPr>
                      <w:rFonts w:hint="default"/>
                    </w:rPr>
                    <w:t>500</w:t>
                  </w:r>
                </w:p>
              </w:tc>
            </w:tr>
            <w:tr w:rsidR="00BC07F0">
              <w:trPr>
                <w:trHeight w:val="397"/>
                <w:jc w:val="center"/>
              </w:trPr>
              <w:tc>
                <w:tcPr>
                  <w:tcW w:w="890" w:type="dxa"/>
                  <w:vMerge/>
                  <w:tcBorders>
                    <w:tl2br w:val="nil"/>
                    <w:tr2bl w:val="nil"/>
                  </w:tcBorders>
                  <w:shd w:val="clear" w:color="auto" w:fill="auto"/>
                  <w:vAlign w:val="center"/>
                </w:tcPr>
                <w:p w:rsidR="00BC07F0" w:rsidRDefault="00BC07F0">
                  <w:pPr>
                    <w:pStyle w:val="a7"/>
                    <w:rPr>
                      <w:rFonts w:hint="default"/>
                    </w:rPr>
                  </w:pPr>
                </w:p>
              </w:tc>
              <w:tc>
                <w:tcPr>
                  <w:tcW w:w="1070" w:type="dxa"/>
                  <w:tcBorders>
                    <w:tl2br w:val="nil"/>
                    <w:tr2bl w:val="nil"/>
                  </w:tcBorders>
                  <w:shd w:val="clear" w:color="auto" w:fill="auto"/>
                  <w:vAlign w:val="center"/>
                </w:tcPr>
                <w:p w:rsidR="00BC07F0" w:rsidRDefault="00073EFB">
                  <w:pPr>
                    <w:pStyle w:val="a7"/>
                    <w:rPr>
                      <w:rFonts w:hint="default"/>
                    </w:rPr>
                  </w:pPr>
                  <w:r>
                    <w:t>罗家老屋居民区</w:t>
                  </w: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112.3709</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26.4943</w:t>
                  </w:r>
                </w:p>
              </w:tc>
              <w:tc>
                <w:tcPr>
                  <w:tcW w:w="750" w:type="dxa"/>
                  <w:tcBorders>
                    <w:tl2br w:val="nil"/>
                    <w:tr2bl w:val="nil"/>
                  </w:tcBorders>
                  <w:shd w:val="clear" w:color="auto" w:fill="auto"/>
                  <w:vAlign w:val="center"/>
                </w:tcPr>
                <w:p w:rsidR="00BC07F0" w:rsidRDefault="00073EFB">
                  <w:pPr>
                    <w:pStyle w:val="a7"/>
                    <w:rPr>
                      <w:rFonts w:hint="default"/>
                    </w:rPr>
                  </w:pPr>
                  <w:r>
                    <w:t>居民</w:t>
                  </w:r>
                  <w:r>
                    <w:t>区</w:t>
                  </w:r>
                </w:p>
              </w:tc>
              <w:tc>
                <w:tcPr>
                  <w:tcW w:w="1290" w:type="dxa"/>
                  <w:tcBorders>
                    <w:tl2br w:val="nil"/>
                    <w:tr2bl w:val="nil"/>
                  </w:tcBorders>
                  <w:shd w:val="clear" w:color="auto" w:fill="auto"/>
                  <w:vAlign w:val="center"/>
                </w:tcPr>
                <w:p w:rsidR="00BC07F0" w:rsidRDefault="00073EFB">
                  <w:pPr>
                    <w:pStyle w:val="a7"/>
                    <w:rPr>
                      <w:rFonts w:hint="default"/>
                    </w:rPr>
                  </w:pPr>
                  <w:r>
                    <w:t>约</w:t>
                  </w:r>
                  <w:r>
                    <w:t>15</w:t>
                  </w:r>
                  <w:r>
                    <w:t>栋，</w:t>
                  </w:r>
                  <w:r>
                    <w:t>500</w:t>
                  </w:r>
                  <w:r>
                    <w:t>人</w:t>
                  </w:r>
                </w:p>
              </w:tc>
              <w:tc>
                <w:tcPr>
                  <w:tcW w:w="720" w:type="dxa"/>
                  <w:tcBorders>
                    <w:tl2br w:val="nil"/>
                    <w:tr2bl w:val="nil"/>
                  </w:tcBorders>
                  <w:shd w:val="clear" w:color="auto" w:fill="auto"/>
                  <w:vAlign w:val="center"/>
                </w:tcPr>
                <w:p w:rsidR="00BC07F0" w:rsidRDefault="00073EFB">
                  <w:pPr>
                    <w:pStyle w:val="a7"/>
                    <w:rPr>
                      <w:rFonts w:hint="default"/>
                    </w:rPr>
                  </w:pPr>
                  <w:r>
                    <w:t>居民</w:t>
                  </w:r>
                </w:p>
              </w:tc>
              <w:tc>
                <w:tcPr>
                  <w:tcW w:w="915" w:type="dxa"/>
                  <w:tcBorders>
                    <w:tl2br w:val="nil"/>
                    <w:tr2bl w:val="nil"/>
                  </w:tcBorders>
                  <w:shd w:val="clear" w:color="auto" w:fill="auto"/>
                  <w:vAlign w:val="center"/>
                </w:tcPr>
                <w:p w:rsidR="00BC07F0" w:rsidRDefault="00073EFB">
                  <w:pPr>
                    <w:pStyle w:val="a7"/>
                    <w:rPr>
                      <w:rFonts w:hint="default"/>
                    </w:rPr>
                  </w:pPr>
                  <w:r>
                    <w:t>二类区</w:t>
                  </w:r>
                </w:p>
              </w:tc>
              <w:tc>
                <w:tcPr>
                  <w:tcW w:w="753" w:type="dxa"/>
                  <w:tcBorders>
                    <w:tl2br w:val="nil"/>
                    <w:tr2bl w:val="nil"/>
                  </w:tcBorders>
                  <w:shd w:val="clear" w:color="auto" w:fill="auto"/>
                  <w:vAlign w:val="center"/>
                </w:tcPr>
                <w:p w:rsidR="00BC07F0" w:rsidRDefault="00073EFB">
                  <w:pPr>
                    <w:pStyle w:val="a7"/>
                    <w:rPr>
                      <w:rFonts w:hint="default"/>
                    </w:rPr>
                  </w:pPr>
                  <w:r>
                    <w:rPr>
                      <w:rFonts w:hint="default"/>
                    </w:rPr>
                    <w:t>S</w:t>
                  </w:r>
                </w:p>
              </w:tc>
              <w:tc>
                <w:tcPr>
                  <w:tcW w:w="881" w:type="dxa"/>
                  <w:tcBorders>
                    <w:tl2br w:val="nil"/>
                    <w:tr2bl w:val="nil"/>
                  </w:tcBorders>
                  <w:shd w:val="clear" w:color="auto" w:fill="auto"/>
                  <w:vAlign w:val="center"/>
                </w:tcPr>
                <w:p w:rsidR="00BC07F0" w:rsidRDefault="00073EFB">
                  <w:pPr>
                    <w:pStyle w:val="a7"/>
                    <w:rPr>
                      <w:rFonts w:hint="default"/>
                    </w:rPr>
                  </w:pPr>
                  <w:r>
                    <w:rPr>
                      <w:rFonts w:hint="default"/>
                    </w:rPr>
                    <w:t>520</w:t>
                  </w:r>
                </w:p>
              </w:tc>
            </w:tr>
            <w:tr w:rsidR="00BC07F0">
              <w:trPr>
                <w:trHeight w:val="397"/>
                <w:jc w:val="center"/>
              </w:trPr>
              <w:tc>
                <w:tcPr>
                  <w:tcW w:w="890" w:type="dxa"/>
                  <w:vMerge/>
                  <w:tcBorders>
                    <w:tl2br w:val="nil"/>
                    <w:tr2bl w:val="nil"/>
                  </w:tcBorders>
                  <w:shd w:val="clear" w:color="auto" w:fill="auto"/>
                  <w:vAlign w:val="center"/>
                </w:tcPr>
                <w:p w:rsidR="00BC07F0" w:rsidRDefault="00BC07F0">
                  <w:pPr>
                    <w:pStyle w:val="a7"/>
                    <w:rPr>
                      <w:rFonts w:hint="default"/>
                    </w:rPr>
                  </w:pPr>
                </w:p>
              </w:tc>
              <w:tc>
                <w:tcPr>
                  <w:tcW w:w="1070" w:type="dxa"/>
                  <w:tcBorders>
                    <w:tl2br w:val="nil"/>
                    <w:tr2bl w:val="nil"/>
                  </w:tcBorders>
                  <w:shd w:val="clear" w:color="auto" w:fill="auto"/>
                  <w:vAlign w:val="center"/>
                </w:tcPr>
                <w:p w:rsidR="00BC07F0" w:rsidRDefault="00073EFB">
                  <w:pPr>
                    <w:pStyle w:val="a7"/>
                    <w:rPr>
                      <w:rFonts w:hint="default"/>
                    </w:rPr>
                  </w:pPr>
                  <w:r>
                    <w:t>长塘村居民区</w:t>
                  </w:r>
                </w:p>
              </w:tc>
              <w:tc>
                <w:tcPr>
                  <w:tcW w:w="880" w:type="dxa"/>
                  <w:tcBorders>
                    <w:tl2br w:val="nil"/>
                    <w:tr2bl w:val="nil"/>
                  </w:tcBorders>
                  <w:shd w:val="clear" w:color="auto" w:fill="auto"/>
                  <w:vAlign w:val="center"/>
                </w:tcPr>
                <w:p w:rsidR="00BC07F0" w:rsidRDefault="00073EFB">
                  <w:pPr>
                    <w:pStyle w:val="a7"/>
                    <w:rPr>
                      <w:rFonts w:hint="default"/>
                    </w:rPr>
                  </w:pPr>
                  <w:r>
                    <w:rPr>
                      <w:rFonts w:hint="default"/>
                    </w:rPr>
                    <w:t>112.3736</w:t>
                  </w:r>
                </w:p>
              </w:tc>
              <w:tc>
                <w:tcPr>
                  <w:tcW w:w="855" w:type="dxa"/>
                  <w:tcBorders>
                    <w:tl2br w:val="nil"/>
                    <w:tr2bl w:val="nil"/>
                  </w:tcBorders>
                  <w:shd w:val="clear" w:color="auto" w:fill="auto"/>
                  <w:vAlign w:val="center"/>
                </w:tcPr>
                <w:p w:rsidR="00BC07F0" w:rsidRDefault="00073EFB">
                  <w:pPr>
                    <w:pStyle w:val="a7"/>
                    <w:rPr>
                      <w:rFonts w:hint="default"/>
                    </w:rPr>
                  </w:pPr>
                  <w:r>
                    <w:rPr>
                      <w:rFonts w:hint="default"/>
                    </w:rPr>
                    <w:t>26.4943</w:t>
                  </w:r>
                </w:p>
              </w:tc>
              <w:tc>
                <w:tcPr>
                  <w:tcW w:w="750" w:type="dxa"/>
                  <w:tcBorders>
                    <w:tl2br w:val="nil"/>
                    <w:tr2bl w:val="nil"/>
                  </w:tcBorders>
                  <w:shd w:val="clear" w:color="auto" w:fill="auto"/>
                  <w:vAlign w:val="center"/>
                </w:tcPr>
                <w:p w:rsidR="00BC07F0" w:rsidRDefault="00073EFB">
                  <w:pPr>
                    <w:pStyle w:val="a7"/>
                    <w:rPr>
                      <w:rFonts w:hint="default"/>
                    </w:rPr>
                  </w:pPr>
                  <w:r>
                    <w:t>居民</w:t>
                  </w:r>
                  <w:r>
                    <w:t>区</w:t>
                  </w:r>
                </w:p>
              </w:tc>
              <w:tc>
                <w:tcPr>
                  <w:tcW w:w="1290" w:type="dxa"/>
                  <w:tcBorders>
                    <w:tl2br w:val="nil"/>
                    <w:tr2bl w:val="nil"/>
                  </w:tcBorders>
                  <w:shd w:val="clear" w:color="auto" w:fill="auto"/>
                  <w:vAlign w:val="center"/>
                </w:tcPr>
                <w:p w:rsidR="00BC07F0" w:rsidRDefault="00073EFB">
                  <w:pPr>
                    <w:pStyle w:val="a7"/>
                    <w:rPr>
                      <w:rFonts w:hint="default"/>
                    </w:rPr>
                  </w:pPr>
                  <w:r>
                    <w:t>约</w:t>
                  </w:r>
                  <w:r>
                    <w:t>5</w:t>
                  </w:r>
                  <w:r>
                    <w:t>栋，</w:t>
                  </w:r>
                  <w:r>
                    <w:t>200</w:t>
                  </w:r>
                  <w:r>
                    <w:t>人</w:t>
                  </w:r>
                </w:p>
              </w:tc>
              <w:tc>
                <w:tcPr>
                  <w:tcW w:w="720" w:type="dxa"/>
                  <w:tcBorders>
                    <w:tl2br w:val="nil"/>
                    <w:tr2bl w:val="nil"/>
                  </w:tcBorders>
                  <w:shd w:val="clear" w:color="auto" w:fill="auto"/>
                  <w:vAlign w:val="center"/>
                </w:tcPr>
                <w:p w:rsidR="00BC07F0" w:rsidRDefault="00073EFB">
                  <w:pPr>
                    <w:pStyle w:val="a7"/>
                    <w:rPr>
                      <w:rFonts w:hint="default"/>
                    </w:rPr>
                  </w:pPr>
                  <w:r>
                    <w:t>居民</w:t>
                  </w:r>
                </w:p>
              </w:tc>
              <w:tc>
                <w:tcPr>
                  <w:tcW w:w="915" w:type="dxa"/>
                  <w:tcBorders>
                    <w:tl2br w:val="nil"/>
                    <w:tr2bl w:val="nil"/>
                  </w:tcBorders>
                  <w:shd w:val="clear" w:color="auto" w:fill="auto"/>
                  <w:vAlign w:val="center"/>
                </w:tcPr>
                <w:p w:rsidR="00BC07F0" w:rsidRDefault="00073EFB">
                  <w:pPr>
                    <w:pStyle w:val="a7"/>
                    <w:rPr>
                      <w:rFonts w:hint="default"/>
                    </w:rPr>
                  </w:pPr>
                  <w:r>
                    <w:t>二类区</w:t>
                  </w:r>
                </w:p>
              </w:tc>
              <w:tc>
                <w:tcPr>
                  <w:tcW w:w="753" w:type="dxa"/>
                  <w:tcBorders>
                    <w:tl2br w:val="nil"/>
                    <w:tr2bl w:val="nil"/>
                  </w:tcBorders>
                  <w:shd w:val="clear" w:color="auto" w:fill="auto"/>
                  <w:vAlign w:val="center"/>
                </w:tcPr>
                <w:p w:rsidR="00BC07F0" w:rsidRDefault="00073EFB">
                  <w:pPr>
                    <w:pStyle w:val="a7"/>
                    <w:rPr>
                      <w:rFonts w:hint="default"/>
                    </w:rPr>
                  </w:pPr>
                  <w:r>
                    <w:rPr>
                      <w:rFonts w:hint="default"/>
                    </w:rPr>
                    <w:t>S</w:t>
                  </w:r>
                </w:p>
              </w:tc>
              <w:tc>
                <w:tcPr>
                  <w:tcW w:w="881" w:type="dxa"/>
                  <w:tcBorders>
                    <w:tl2br w:val="nil"/>
                    <w:tr2bl w:val="nil"/>
                  </w:tcBorders>
                  <w:shd w:val="clear" w:color="auto" w:fill="auto"/>
                  <w:vAlign w:val="center"/>
                </w:tcPr>
                <w:p w:rsidR="00BC07F0" w:rsidRDefault="00073EFB">
                  <w:pPr>
                    <w:pStyle w:val="a7"/>
                    <w:rPr>
                      <w:rFonts w:hint="default"/>
                    </w:rPr>
                  </w:pPr>
                  <w:r>
                    <w:rPr>
                      <w:rFonts w:hint="default"/>
                    </w:rPr>
                    <w:t>550</w:t>
                  </w:r>
                </w:p>
              </w:tc>
            </w:tr>
          </w:tbl>
          <w:p w:rsidR="00BC07F0" w:rsidRDefault="00073EFB">
            <w:pPr>
              <w:tabs>
                <w:tab w:val="left" w:pos="480"/>
              </w:tabs>
              <w:ind w:firstLine="482"/>
            </w:pPr>
            <w:r>
              <w:rPr>
                <w:rFonts w:hint="eastAsia"/>
                <w:b/>
                <w:bCs/>
              </w:rPr>
              <w:t>3.5</w:t>
            </w:r>
            <w:r>
              <w:rPr>
                <w:rFonts w:hint="eastAsia"/>
                <w:b/>
                <w:bCs/>
              </w:rPr>
              <w:t>地表水环境保护目标</w:t>
            </w:r>
          </w:p>
          <w:p w:rsidR="00BC07F0" w:rsidRDefault="00073EFB">
            <w:pPr>
              <w:pStyle w:val="a7"/>
              <w:rPr>
                <w:rFonts w:hint="default"/>
                <w:b/>
                <w:bCs/>
              </w:rPr>
            </w:pPr>
            <w:r>
              <w:rPr>
                <w:b/>
                <w:bCs/>
              </w:rPr>
              <w:t>表</w:t>
            </w:r>
            <w:r>
              <w:rPr>
                <w:b/>
                <w:bCs/>
              </w:rPr>
              <w:t>3.5-1</w:t>
            </w:r>
            <w:r>
              <w:rPr>
                <w:b/>
                <w:bCs/>
              </w:rPr>
              <w:t>地表水环境保护目标</w:t>
            </w:r>
            <w:r>
              <w:rPr>
                <w:b/>
                <w:bCs/>
              </w:rPr>
              <w:t>一览表</w:t>
            </w:r>
          </w:p>
          <w:tbl>
            <w:tblPr>
              <w:tblW w:w="494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24"/>
              <w:gridCol w:w="2061"/>
              <w:gridCol w:w="1457"/>
              <w:gridCol w:w="2036"/>
              <w:gridCol w:w="2709"/>
            </w:tblGrid>
            <w:tr w:rsidR="00BC07F0">
              <w:trPr>
                <w:trHeight w:val="397"/>
                <w:jc w:val="center"/>
              </w:trPr>
              <w:tc>
                <w:tcPr>
                  <w:tcW w:w="729" w:type="dxa"/>
                  <w:vAlign w:val="center"/>
                </w:tcPr>
                <w:p w:rsidR="00BC07F0" w:rsidRDefault="00073EFB">
                  <w:pPr>
                    <w:pStyle w:val="a7"/>
                    <w:rPr>
                      <w:rFonts w:hint="default"/>
                    </w:rPr>
                  </w:pPr>
                  <w:r>
                    <w:t>序号</w:t>
                  </w:r>
                </w:p>
              </w:tc>
              <w:tc>
                <w:tcPr>
                  <w:tcW w:w="2080" w:type="dxa"/>
                  <w:vAlign w:val="center"/>
                </w:tcPr>
                <w:p w:rsidR="00BC07F0" w:rsidRDefault="00073EFB">
                  <w:pPr>
                    <w:pStyle w:val="a7"/>
                    <w:rPr>
                      <w:rFonts w:hint="default"/>
                    </w:rPr>
                  </w:pPr>
                  <w:r>
                    <w:t>保护目标</w:t>
                  </w:r>
                </w:p>
              </w:tc>
              <w:tc>
                <w:tcPr>
                  <w:tcW w:w="1470" w:type="dxa"/>
                  <w:vAlign w:val="center"/>
                </w:tcPr>
                <w:p w:rsidR="00BC07F0" w:rsidRDefault="00073EFB">
                  <w:pPr>
                    <w:pStyle w:val="a7"/>
                    <w:rPr>
                      <w:rFonts w:hint="default"/>
                    </w:rPr>
                  </w:pPr>
                  <w:r>
                    <w:t>方位</w:t>
                  </w:r>
                  <w:r>
                    <w:t>、</w:t>
                  </w:r>
                  <w:r>
                    <w:t>距离</w:t>
                  </w:r>
                </w:p>
              </w:tc>
              <w:tc>
                <w:tcPr>
                  <w:tcW w:w="2055" w:type="dxa"/>
                  <w:vAlign w:val="center"/>
                </w:tcPr>
                <w:p w:rsidR="00BC07F0" w:rsidRDefault="00073EFB">
                  <w:pPr>
                    <w:pStyle w:val="a7"/>
                    <w:rPr>
                      <w:rFonts w:hint="default"/>
                    </w:rPr>
                  </w:pPr>
                  <w:r>
                    <w:t>功能</w:t>
                  </w:r>
                  <w:r>
                    <w:t>、规模</w:t>
                  </w:r>
                </w:p>
              </w:tc>
              <w:tc>
                <w:tcPr>
                  <w:tcW w:w="2735" w:type="dxa"/>
                  <w:vAlign w:val="center"/>
                </w:tcPr>
                <w:p w:rsidR="00BC07F0" w:rsidRDefault="00073EFB">
                  <w:pPr>
                    <w:pStyle w:val="a7"/>
                    <w:rPr>
                      <w:rFonts w:hint="default"/>
                    </w:rPr>
                  </w:pPr>
                  <w:r>
                    <w:t>保护级别</w:t>
                  </w:r>
                </w:p>
              </w:tc>
            </w:tr>
            <w:tr w:rsidR="00BC07F0">
              <w:trPr>
                <w:trHeight w:val="397"/>
                <w:jc w:val="center"/>
              </w:trPr>
              <w:tc>
                <w:tcPr>
                  <w:tcW w:w="729" w:type="dxa"/>
                  <w:vAlign w:val="center"/>
                </w:tcPr>
                <w:p w:rsidR="00BC07F0" w:rsidRDefault="00073EFB">
                  <w:pPr>
                    <w:pStyle w:val="a7"/>
                    <w:rPr>
                      <w:rFonts w:hint="default"/>
                    </w:rPr>
                  </w:pPr>
                  <w:r>
                    <w:t>1</w:t>
                  </w:r>
                </w:p>
              </w:tc>
              <w:tc>
                <w:tcPr>
                  <w:tcW w:w="2080" w:type="dxa"/>
                  <w:vAlign w:val="center"/>
                </w:tcPr>
                <w:p w:rsidR="00BC07F0" w:rsidRDefault="00073EFB">
                  <w:pPr>
                    <w:pStyle w:val="a7"/>
                    <w:rPr>
                      <w:rFonts w:hint="default"/>
                    </w:rPr>
                  </w:pPr>
                  <w:r>
                    <w:t>湘江</w:t>
                  </w:r>
                </w:p>
              </w:tc>
              <w:tc>
                <w:tcPr>
                  <w:tcW w:w="1470" w:type="dxa"/>
                  <w:vAlign w:val="center"/>
                </w:tcPr>
                <w:p w:rsidR="00BC07F0" w:rsidRDefault="00073EFB">
                  <w:pPr>
                    <w:pStyle w:val="a7"/>
                    <w:rPr>
                      <w:rFonts w:hint="default"/>
                    </w:rPr>
                  </w:pPr>
                  <w:r>
                    <w:t>W</w:t>
                  </w:r>
                  <w:r>
                    <w:t>，</w:t>
                  </w:r>
                  <w:r>
                    <w:t>50</w:t>
                  </w:r>
                </w:p>
              </w:tc>
              <w:tc>
                <w:tcPr>
                  <w:tcW w:w="2055" w:type="dxa"/>
                  <w:vAlign w:val="center"/>
                </w:tcPr>
                <w:p w:rsidR="00BC07F0" w:rsidRDefault="00073EFB">
                  <w:pPr>
                    <w:pStyle w:val="a7"/>
                    <w:rPr>
                      <w:rFonts w:hint="default"/>
                    </w:rPr>
                  </w:pPr>
                  <w:r>
                    <w:t>工业用水区</w:t>
                  </w:r>
                </w:p>
              </w:tc>
              <w:tc>
                <w:tcPr>
                  <w:tcW w:w="2735" w:type="dxa"/>
                  <w:vMerge w:val="restart"/>
                  <w:vAlign w:val="center"/>
                </w:tcPr>
                <w:p w:rsidR="00BC07F0" w:rsidRDefault="00073EFB">
                  <w:pPr>
                    <w:pStyle w:val="a7"/>
                    <w:rPr>
                      <w:rFonts w:hint="default"/>
                    </w:rPr>
                  </w:pPr>
                  <w:r>
                    <w:t>《地表水环境质量标准》（</w:t>
                  </w:r>
                  <w:r>
                    <w:t>GB3838-2002</w:t>
                  </w:r>
                  <w:r>
                    <w:t>）</w:t>
                  </w:r>
                  <w:r>
                    <w:t>Ⅲ</w:t>
                  </w:r>
                  <w:r>
                    <w:t>类标准</w:t>
                  </w:r>
                </w:p>
              </w:tc>
            </w:tr>
            <w:tr w:rsidR="00BC07F0">
              <w:trPr>
                <w:trHeight w:val="397"/>
                <w:jc w:val="center"/>
              </w:trPr>
              <w:tc>
                <w:tcPr>
                  <w:tcW w:w="729" w:type="dxa"/>
                  <w:vAlign w:val="center"/>
                </w:tcPr>
                <w:p w:rsidR="00BC07F0" w:rsidRDefault="00073EFB">
                  <w:pPr>
                    <w:pStyle w:val="a7"/>
                    <w:rPr>
                      <w:rFonts w:hint="default"/>
                    </w:rPr>
                  </w:pPr>
                  <w:r>
                    <w:t>2</w:t>
                  </w:r>
                </w:p>
              </w:tc>
              <w:tc>
                <w:tcPr>
                  <w:tcW w:w="2080" w:type="dxa"/>
                  <w:vAlign w:val="center"/>
                </w:tcPr>
                <w:p w:rsidR="00BC07F0" w:rsidRDefault="00073EFB">
                  <w:pPr>
                    <w:pStyle w:val="a7"/>
                    <w:rPr>
                      <w:rFonts w:hint="default"/>
                    </w:rPr>
                  </w:pPr>
                  <w:r>
                    <w:t>幸福河支流</w:t>
                  </w:r>
                </w:p>
              </w:tc>
              <w:tc>
                <w:tcPr>
                  <w:tcW w:w="1470" w:type="dxa"/>
                  <w:vAlign w:val="center"/>
                </w:tcPr>
                <w:p w:rsidR="00BC07F0" w:rsidRDefault="00073EFB">
                  <w:pPr>
                    <w:pStyle w:val="a7"/>
                    <w:rPr>
                      <w:rFonts w:hint="default"/>
                    </w:rPr>
                  </w:pPr>
                  <w:r>
                    <w:t>/</w:t>
                  </w:r>
                </w:p>
              </w:tc>
              <w:tc>
                <w:tcPr>
                  <w:tcW w:w="2055" w:type="dxa"/>
                  <w:vAlign w:val="center"/>
                </w:tcPr>
                <w:p w:rsidR="00BC07F0" w:rsidRDefault="00073EFB">
                  <w:pPr>
                    <w:pStyle w:val="a7"/>
                    <w:rPr>
                      <w:rFonts w:hint="default"/>
                    </w:rPr>
                  </w:pPr>
                  <w:r>
                    <w:t>工业用水区</w:t>
                  </w:r>
                </w:p>
              </w:tc>
              <w:tc>
                <w:tcPr>
                  <w:tcW w:w="2735" w:type="dxa"/>
                  <w:vMerge/>
                  <w:vAlign w:val="center"/>
                </w:tcPr>
                <w:p w:rsidR="00BC07F0" w:rsidRDefault="00BC07F0">
                  <w:pPr>
                    <w:pStyle w:val="a7"/>
                    <w:rPr>
                      <w:rFonts w:hint="default"/>
                    </w:rPr>
                  </w:pPr>
                </w:p>
              </w:tc>
            </w:tr>
            <w:tr w:rsidR="00BC07F0">
              <w:trPr>
                <w:trHeight w:val="397"/>
                <w:jc w:val="center"/>
              </w:trPr>
              <w:tc>
                <w:tcPr>
                  <w:tcW w:w="729" w:type="dxa"/>
                  <w:vAlign w:val="center"/>
                </w:tcPr>
                <w:p w:rsidR="00BC07F0" w:rsidRDefault="00073EFB">
                  <w:pPr>
                    <w:pStyle w:val="a7"/>
                    <w:rPr>
                      <w:rFonts w:hint="default"/>
                    </w:rPr>
                  </w:pPr>
                  <w:r>
                    <w:t>3</w:t>
                  </w:r>
                </w:p>
              </w:tc>
              <w:tc>
                <w:tcPr>
                  <w:tcW w:w="2080" w:type="dxa"/>
                  <w:vAlign w:val="center"/>
                </w:tcPr>
                <w:p w:rsidR="00BC07F0" w:rsidRDefault="00073EFB">
                  <w:pPr>
                    <w:pStyle w:val="a7"/>
                    <w:rPr>
                      <w:rFonts w:hint="default"/>
                    </w:rPr>
                  </w:pPr>
                  <w:r>
                    <w:t>铜桥港污水处理厂</w:t>
                  </w:r>
                </w:p>
              </w:tc>
              <w:tc>
                <w:tcPr>
                  <w:tcW w:w="1470" w:type="dxa"/>
                  <w:vAlign w:val="center"/>
                </w:tcPr>
                <w:p w:rsidR="00BC07F0" w:rsidRDefault="00073EFB">
                  <w:pPr>
                    <w:pStyle w:val="a7"/>
                    <w:rPr>
                      <w:rFonts w:hint="default"/>
                    </w:rPr>
                  </w:pPr>
                  <w:r>
                    <w:t>/</w:t>
                  </w:r>
                </w:p>
              </w:tc>
              <w:tc>
                <w:tcPr>
                  <w:tcW w:w="2055" w:type="dxa"/>
                  <w:vAlign w:val="center"/>
                </w:tcPr>
                <w:p w:rsidR="00BC07F0" w:rsidRDefault="00073EFB">
                  <w:pPr>
                    <w:pStyle w:val="a7"/>
                    <w:rPr>
                      <w:rFonts w:hint="default"/>
                    </w:rPr>
                  </w:pPr>
                  <w:r>
                    <w:t>城镇污水处理厂</w:t>
                  </w:r>
                </w:p>
              </w:tc>
              <w:tc>
                <w:tcPr>
                  <w:tcW w:w="2735" w:type="dxa"/>
                  <w:vAlign w:val="center"/>
                </w:tcPr>
                <w:p w:rsidR="00BC07F0" w:rsidRDefault="00073EFB">
                  <w:pPr>
                    <w:pStyle w:val="a7"/>
                    <w:rPr>
                      <w:rFonts w:hint="default"/>
                    </w:rPr>
                  </w:pPr>
                  <w:r>
                    <w:t>/</w:t>
                  </w:r>
                </w:p>
              </w:tc>
            </w:tr>
          </w:tbl>
          <w:p w:rsidR="00BC07F0" w:rsidRDefault="00073EFB">
            <w:pPr>
              <w:tabs>
                <w:tab w:val="left" w:pos="480"/>
              </w:tabs>
              <w:ind w:firstLine="482"/>
              <w:rPr>
                <w:b/>
                <w:bCs/>
              </w:rPr>
            </w:pPr>
            <w:r>
              <w:rPr>
                <w:rFonts w:hint="eastAsia"/>
                <w:b/>
                <w:bCs/>
              </w:rPr>
              <w:t>3.6</w:t>
            </w:r>
            <w:r>
              <w:rPr>
                <w:rFonts w:hint="eastAsia"/>
                <w:b/>
                <w:bCs/>
              </w:rPr>
              <w:t>声环境保护目标</w:t>
            </w:r>
          </w:p>
          <w:p w:rsidR="00BC07F0" w:rsidRDefault="00073EFB">
            <w:pPr>
              <w:pStyle w:val="a7"/>
              <w:rPr>
                <w:rFonts w:hint="default"/>
                <w:b/>
                <w:bCs/>
              </w:rPr>
            </w:pPr>
            <w:r>
              <w:rPr>
                <w:b/>
                <w:bCs/>
              </w:rPr>
              <w:t>3</w:t>
            </w:r>
            <w:r>
              <w:rPr>
                <w:b/>
                <w:bCs/>
              </w:rPr>
              <w:t>.6-1</w:t>
            </w:r>
            <w:r>
              <w:rPr>
                <w:b/>
                <w:bCs/>
              </w:rPr>
              <w:t>声环境保护目标一览表</w:t>
            </w:r>
          </w:p>
          <w:tbl>
            <w:tblPr>
              <w:tblW w:w="4941" w:type="pct"/>
              <w:jc w:val="center"/>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Look w:val="04A0"/>
            </w:tblPr>
            <w:tblGrid>
              <w:gridCol w:w="702"/>
              <w:gridCol w:w="1139"/>
              <w:gridCol w:w="1600"/>
              <w:gridCol w:w="1395"/>
              <w:gridCol w:w="1335"/>
              <w:gridCol w:w="1831"/>
              <w:gridCol w:w="985"/>
            </w:tblGrid>
            <w:tr w:rsidR="00BC07F0">
              <w:trPr>
                <w:trHeight w:val="564"/>
                <w:jc w:val="center"/>
              </w:trPr>
              <w:tc>
                <w:tcPr>
                  <w:tcW w:w="703" w:type="dxa"/>
                  <w:tcBorders>
                    <w:tl2br w:val="nil"/>
                    <w:tr2bl w:val="nil"/>
                  </w:tcBorders>
                  <w:vAlign w:val="center"/>
                </w:tcPr>
                <w:p w:rsidR="00BC07F0" w:rsidRDefault="00073EFB">
                  <w:pPr>
                    <w:pStyle w:val="a7"/>
                    <w:rPr>
                      <w:rFonts w:hint="default"/>
                    </w:rPr>
                  </w:pPr>
                  <w:r>
                    <w:t>序号</w:t>
                  </w:r>
                </w:p>
              </w:tc>
              <w:tc>
                <w:tcPr>
                  <w:tcW w:w="1140" w:type="dxa"/>
                  <w:tcBorders>
                    <w:tl2br w:val="nil"/>
                    <w:tr2bl w:val="nil"/>
                  </w:tcBorders>
                  <w:vAlign w:val="center"/>
                </w:tcPr>
                <w:p w:rsidR="00BC07F0" w:rsidRDefault="00073EFB">
                  <w:pPr>
                    <w:pStyle w:val="a7"/>
                    <w:rPr>
                      <w:rFonts w:hint="default"/>
                    </w:rPr>
                  </w:pPr>
                  <w:r>
                    <w:t>工程范围</w:t>
                  </w:r>
                </w:p>
              </w:tc>
              <w:tc>
                <w:tcPr>
                  <w:tcW w:w="1600" w:type="dxa"/>
                  <w:tcBorders>
                    <w:tl2br w:val="nil"/>
                    <w:tr2bl w:val="nil"/>
                  </w:tcBorders>
                  <w:vAlign w:val="center"/>
                </w:tcPr>
                <w:p w:rsidR="00BC07F0" w:rsidRDefault="00073EFB">
                  <w:pPr>
                    <w:pStyle w:val="a7"/>
                    <w:rPr>
                      <w:rFonts w:hint="default"/>
                    </w:rPr>
                  </w:pPr>
                  <w:r>
                    <w:t>名称</w:t>
                  </w:r>
                </w:p>
              </w:tc>
              <w:tc>
                <w:tcPr>
                  <w:tcW w:w="1395" w:type="dxa"/>
                  <w:tcBorders>
                    <w:tl2br w:val="nil"/>
                    <w:tr2bl w:val="nil"/>
                  </w:tcBorders>
                  <w:vAlign w:val="center"/>
                </w:tcPr>
                <w:p w:rsidR="00BC07F0" w:rsidRDefault="00073EFB">
                  <w:pPr>
                    <w:pStyle w:val="a7"/>
                    <w:rPr>
                      <w:rFonts w:hint="default"/>
                    </w:rPr>
                  </w:pPr>
                  <w:r>
                    <w:t>相对</w:t>
                  </w:r>
                  <w:r>
                    <w:t>场地方位</w:t>
                  </w:r>
                </w:p>
              </w:tc>
              <w:tc>
                <w:tcPr>
                  <w:tcW w:w="1335" w:type="dxa"/>
                  <w:tcBorders>
                    <w:tl2br w:val="nil"/>
                    <w:tr2bl w:val="nil"/>
                  </w:tcBorders>
                  <w:vAlign w:val="center"/>
                </w:tcPr>
                <w:p w:rsidR="00BC07F0" w:rsidRDefault="00073EFB">
                  <w:pPr>
                    <w:pStyle w:val="a7"/>
                    <w:rPr>
                      <w:rFonts w:hint="default"/>
                    </w:rPr>
                  </w:pPr>
                  <w:r>
                    <w:t>距</w:t>
                  </w:r>
                  <w:r>
                    <w:t>施工场地最近距离</w:t>
                  </w:r>
                  <w:r>
                    <w:t>/m</w:t>
                  </w:r>
                </w:p>
              </w:tc>
              <w:tc>
                <w:tcPr>
                  <w:tcW w:w="1831" w:type="dxa"/>
                  <w:tcBorders>
                    <w:tl2br w:val="nil"/>
                    <w:tr2bl w:val="nil"/>
                  </w:tcBorders>
                  <w:vAlign w:val="center"/>
                </w:tcPr>
                <w:p w:rsidR="00BC07F0" w:rsidRDefault="00073EFB">
                  <w:pPr>
                    <w:pStyle w:val="a7"/>
                    <w:rPr>
                      <w:rFonts w:hint="default"/>
                    </w:rPr>
                  </w:pPr>
                  <w:r>
                    <w:t>规模</w:t>
                  </w:r>
                </w:p>
              </w:tc>
              <w:tc>
                <w:tcPr>
                  <w:tcW w:w="985" w:type="dxa"/>
                  <w:tcBorders>
                    <w:tl2br w:val="nil"/>
                    <w:tr2bl w:val="nil"/>
                  </w:tcBorders>
                  <w:vAlign w:val="center"/>
                </w:tcPr>
                <w:p w:rsidR="00BC07F0" w:rsidRDefault="00073EFB">
                  <w:pPr>
                    <w:pStyle w:val="a7"/>
                    <w:rPr>
                      <w:rFonts w:hint="default"/>
                    </w:rPr>
                  </w:pPr>
                  <w:r>
                    <w:t>保护级别</w:t>
                  </w:r>
                </w:p>
              </w:tc>
            </w:tr>
            <w:tr w:rsidR="00BC07F0">
              <w:trPr>
                <w:trHeight w:val="397"/>
                <w:jc w:val="center"/>
              </w:trPr>
              <w:tc>
                <w:tcPr>
                  <w:tcW w:w="703" w:type="dxa"/>
                  <w:tcBorders>
                    <w:tl2br w:val="nil"/>
                    <w:tr2bl w:val="nil"/>
                  </w:tcBorders>
                  <w:vAlign w:val="center"/>
                </w:tcPr>
                <w:p w:rsidR="00BC07F0" w:rsidRDefault="00073EFB">
                  <w:pPr>
                    <w:pStyle w:val="a7"/>
                    <w:rPr>
                      <w:rFonts w:hint="default"/>
                    </w:rPr>
                  </w:pPr>
                  <w:r>
                    <w:t>1</w:t>
                  </w:r>
                </w:p>
              </w:tc>
              <w:tc>
                <w:tcPr>
                  <w:tcW w:w="1140" w:type="dxa"/>
                  <w:tcBorders>
                    <w:tl2br w:val="nil"/>
                    <w:tr2bl w:val="nil"/>
                  </w:tcBorders>
                  <w:vAlign w:val="center"/>
                </w:tcPr>
                <w:p w:rsidR="00BC07F0" w:rsidRDefault="00073EFB">
                  <w:pPr>
                    <w:pStyle w:val="a7"/>
                    <w:rPr>
                      <w:rFonts w:hint="default"/>
                    </w:rPr>
                  </w:pPr>
                  <w:r>
                    <w:t>湘江南岸（衡阳港</w:t>
                  </w:r>
                  <w:r>
                    <w:t>-</w:t>
                  </w:r>
                  <w:r>
                    <w:t>铜桥港）水环境水安全综合治理工程</w:t>
                  </w:r>
                  <w:r>
                    <w:t>/</w:t>
                  </w:r>
                  <w:r>
                    <w:t>配套城市道路前进路、酃白路工程</w:t>
                  </w:r>
                </w:p>
              </w:tc>
              <w:tc>
                <w:tcPr>
                  <w:tcW w:w="1600" w:type="dxa"/>
                  <w:tcBorders>
                    <w:tl2br w:val="nil"/>
                    <w:tr2bl w:val="nil"/>
                  </w:tcBorders>
                  <w:vAlign w:val="center"/>
                </w:tcPr>
                <w:p w:rsidR="00BC07F0" w:rsidRDefault="00073EFB">
                  <w:pPr>
                    <w:pStyle w:val="a7"/>
                    <w:rPr>
                      <w:rFonts w:hint="default"/>
                    </w:rPr>
                  </w:pPr>
                  <w:r>
                    <w:t>西叶塘西侧居民区</w:t>
                  </w:r>
                </w:p>
              </w:tc>
              <w:tc>
                <w:tcPr>
                  <w:tcW w:w="1395" w:type="dxa"/>
                  <w:tcBorders>
                    <w:tl2br w:val="nil"/>
                    <w:tr2bl w:val="nil"/>
                  </w:tcBorders>
                  <w:vAlign w:val="center"/>
                </w:tcPr>
                <w:p w:rsidR="00BC07F0" w:rsidRDefault="00073EFB">
                  <w:pPr>
                    <w:pStyle w:val="a7"/>
                    <w:rPr>
                      <w:rFonts w:hint="default"/>
                    </w:rPr>
                  </w:pPr>
                  <w:r>
                    <w:t>E</w:t>
                  </w:r>
                </w:p>
              </w:tc>
              <w:tc>
                <w:tcPr>
                  <w:tcW w:w="1335" w:type="dxa"/>
                  <w:tcBorders>
                    <w:tl2br w:val="nil"/>
                    <w:tr2bl w:val="nil"/>
                  </w:tcBorders>
                  <w:vAlign w:val="center"/>
                </w:tcPr>
                <w:p w:rsidR="00BC07F0" w:rsidRDefault="00073EFB">
                  <w:pPr>
                    <w:pStyle w:val="a7"/>
                    <w:rPr>
                      <w:rFonts w:hint="default"/>
                    </w:rPr>
                  </w:pPr>
                  <w:r>
                    <w:t>100</w:t>
                  </w:r>
                </w:p>
              </w:tc>
              <w:tc>
                <w:tcPr>
                  <w:tcW w:w="1831" w:type="dxa"/>
                  <w:tcBorders>
                    <w:tl2br w:val="nil"/>
                    <w:tr2bl w:val="nil"/>
                  </w:tcBorders>
                  <w:vAlign w:val="center"/>
                </w:tcPr>
                <w:p w:rsidR="00BC07F0" w:rsidRDefault="00073EFB">
                  <w:pPr>
                    <w:pStyle w:val="a7"/>
                    <w:rPr>
                      <w:rFonts w:hint="default"/>
                    </w:rPr>
                  </w:pPr>
                  <w:r>
                    <w:t>约</w:t>
                  </w:r>
                  <w:r>
                    <w:t>25</w:t>
                  </w:r>
                  <w:r>
                    <w:t>栋，</w:t>
                  </w:r>
                  <w:r>
                    <w:t>450</w:t>
                  </w:r>
                  <w:r>
                    <w:t>人</w:t>
                  </w:r>
                </w:p>
              </w:tc>
              <w:tc>
                <w:tcPr>
                  <w:tcW w:w="985" w:type="dxa"/>
                  <w:vMerge w:val="restart"/>
                  <w:tcBorders>
                    <w:tl2br w:val="nil"/>
                    <w:tr2bl w:val="nil"/>
                  </w:tcBorders>
                  <w:vAlign w:val="center"/>
                </w:tcPr>
                <w:p w:rsidR="00BC07F0" w:rsidRDefault="00073EFB">
                  <w:pPr>
                    <w:pStyle w:val="a7"/>
                    <w:rPr>
                      <w:rFonts w:hint="default"/>
                    </w:rPr>
                  </w:pPr>
                  <w:r>
                    <w:t>《声环境质量标准》（</w:t>
                  </w:r>
                  <w:r>
                    <w:t>GB3096-2008</w:t>
                  </w:r>
                  <w:r>
                    <w:t>）</w:t>
                  </w:r>
                  <w:r>
                    <w:t>2</w:t>
                  </w:r>
                  <w:r>
                    <w:t>类标准</w:t>
                  </w:r>
                </w:p>
              </w:tc>
            </w:tr>
            <w:tr w:rsidR="00BC07F0">
              <w:trPr>
                <w:trHeight w:val="397"/>
                <w:jc w:val="center"/>
              </w:trPr>
              <w:tc>
                <w:tcPr>
                  <w:tcW w:w="703" w:type="dxa"/>
                  <w:tcBorders>
                    <w:tl2br w:val="nil"/>
                    <w:tr2bl w:val="nil"/>
                  </w:tcBorders>
                  <w:vAlign w:val="center"/>
                </w:tcPr>
                <w:p w:rsidR="00BC07F0" w:rsidRDefault="00073EFB">
                  <w:pPr>
                    <w:pStyle w:val="a7"/>
                    <w:rPr>
                      <w:rFonts w:hint="default"/>
                    </w:rPr>
                  </w:pPr>
                  <w:r>
                    <w:t>2</w:t>
                  </w:r>
                </w:p>
              </w:tc>
              <w:tc>
                <w:tcPr>
                  <w:tcW w:w="1140" w:type="dxa"/>
                  <w:vMerge w:val="restart"/>
                  <w:tcBorders>
                    <w:tl2br w:val="nil"/>
                    <w:tr2bl w:val="nil"/>
                  </w:tcBorders>
                  <w:vAlign w:val="center"/>
                </w:tcPr>
                <w:p w:rsidR="00BC07F0" w:rsidRDefault="00073EFB">
                  <w:pPr>
                    <w:pStyle w:val="a7"/>
                    <w:rPr>
                      <w:rFonts w:hint="default"/>
                    </w:rPr>
                  </w:pPr>
                  <w:r>
                    <w:t>铜桥港湿地公园工程</w:t>
                  </w:r>
                </w:p>
              </w:tc>
              <w:tc>
                <w:tcPr>
                  <w:tcW w:w="1600" w:type="dxa"/>
                  <w:tcBorders>
                    <w:tl2br w:val="nil"/>
                    <w:tr2bl w:val="nil"/>
                  </w:tcBorders>
                  <w:vAlign w:val="center"/>
                </w:tcPr>
                <w:p w:rsidR="00BC07F0" w:rsidRDefault="00073EFB">
                  <w:pPr>
                    <w:pStyle w:val="a7"/>
                    <w:rPr>
                      <w:rFonts w:hint="default"/>
                    </w:rPr>
                  </w:pPr>
                  <w:r>
                    <w:t>白竹皂社区居民区</w:t>
                  </w:r>
                </w:p>
              </w:tc>
              <w:tc>
                <w:tcPr>
                  <w:tcW w:w="1395" w:type="dxa"/>
                  <w:tcBorders>
                    <w:tl2br w:val="nil"/>
                    <w:tr2bl w:val="nil"/>
                  </w:tcBorders>
                  <w:vAlign w:val="center"/>
                </w:tcPr>
                <w:p w:rsidR="00BC07F0" w:rsidRDefault="00073EFB">
                  <w:pPr>
                    <w:pStyle w:val="a7"/>
                    <w:rPr>
                      <w:rFonts w:hint="default"/>
                    </w:rPr>
                  </w:pPr>
                  <w:r>
                    <w:t>NW</w:t>
                  </w:r>
                </w:p>
              </w:tc>
              <w:tc>
                <w:tcPr>
                  <w:tcW w:w="1335" w:type="dxa"/>
                  <w:tcBorders>
                    <w:tl2br w:val="nil"/>
                    <w:tr2bl w:val="nil"/>
                  </w:tcBorders>
                  <w:vAlign w:val="center"/>
                </w:tcPr>
                <w:p w:rsidR="00BC07F0" w:rsidRDefault="00073EFB">
                  <w:pPr>
                    <w:pStyle w:val="a7"/>
                    <w:rPr>
                      <w:rFonts w:hint="default"/>
                    </w:rPr>
                  </w:pPr>
                  <w:r>
                    <w:t>80</w:t>
                  </w:r>
                </w:p>
              </w:tc>
              <w:tc>
                <w:tcPr>
                  <w:tcW w:w="1831" w:type="dxa"/>
                  <w:tcBorders>
                    <w:tl2br w:val="nil"/>
                    <w:tr2bl w:val="nil"/>
                  </w:tcBorders>
                  <w:vAlign w:val="center"/>
                </w:tcPr>
                <w:p w:rsidR="00BC07F0" w:rsidRDefault="00073EFB">
                  <w:pPr>
                    <w:pStyle w:val="a7"/>
                    <w:rPr>
                      <w:rFonts w:hint="default"/>
                    </w:rPr>
                  </w:pPr>
                  <w:r>
                    <w:t>约</w:t>
                  </w:r>
                  <w:r>
                    <w:t>60</w:t>
                  </w:r>
                  <w:r>
                    <w:t>栋，</w:t>
                  </w:r>
                  <w:r>
                    <w:t>1200</w:t>
                  </w:r>
                  <w:r>
                    <w:t>人</w:t>
                  </w:r>
                </w:p>
              </w:tc>
              <w:tc>
                <w:tcPr>
                  <w:tcW w:w="985" w:type="dxa"/>
                  <w:vMerge/>
                  <w:tcBorders>
                    <w:tl2br w:val="nil"/>
                    <w:tr2bl w:val="nil"/>
                  </w:tcBorders>
                  <w:vAlign w:val="center"/>
                </w:tcPr>
                <w:p w:rsidR="00BC07F0" w:rsidRDefault="00BC07F0">
                  <w:pPr>
                    <w:pStyle w:val="a7"/>
                    <w:rPr>
                      <w:rFonts w:hint="default"/>
                    </w:rPr>
                  </w:pPr>
                </w:p>
              </w:tc>
            </w:tr>
            <w:tr w:rsidR="00BC07F0">
              <w:trPr>
                <w:trHeight w:val="397"/>
                <w:jc w:val="center"/>
              </w:trPr>
              <w:tc>
                <w:tcPr>
                  <w:tcW w:w="703" w:type="dxa"/>
                  <w:tcBorders>
                    <w:tl2br w:val="nil"/>
                    <w:tr2bl w:val="nil"/>
                  </w:tcBorders>
                  <w:vAlign w:val="center"/>
                </w:tcPr>
                <w:p w:rsidR="00BC07F0" w:rsidRDefault="00073EFB">
                  <w:pPr>
                    <w:pStyle w:val="a7"/>
                    <w:rPr>
                      <w:rFonts w:hint="default"/>
                    </w:rPr>
                  </w:pPr>
                  <w:r>
                    <w:t>3</w:t>
                  </w:r>
                </w:p>
              </w:tc>
              <w:tc>
                <w:tcPr>
                  <w:tcW w:w="1140" w:type="dxa"/>
                  <w:vMerge/>
                  <w:tcBorders>
                    <w:tl2br w:val="nil"/>
                    <w:tr2bl w:val="nil"/>
                  </w:tcBorders>
                  <w:vAlign w:val="center"/>
                </w:tcPr>
                <w:p w:rsidR="00BC07F0" w:rsidRDefault="00BC07F0">
                  <w:pPr>
                    <w:pStyle w:val="a7"/>
                    <w:rPr>
                      <w:rFonts w:hint="default"/>
                    </w:rPr>
                  </w:pPr>
                </w:p>
              </w:tc>
              <w:tc>
                <w:tcPr>
                  <w:tcW w:w="1600" w:type="dxa"/>
                  <w:tcBorders>
                    <w:tl2br w:val="nil"/>
                    <w:tr2bl w:val="nil"/>
                  </w:tcBorders>
                  <w:vAlign w:val="center"/>
                </w:tcPr>
                <w:p w:rsidR="00BC07F0" w:rsidRDefault="00073EFB">
                  <w:pPr>
                    <w:pStyle w:val="a7"/>
                    <w:rPr>
                      <w:rFonts w:hint="default"/>
                    </w:rPr>
                  </w:pPr>
                  <w:r>
                    <w:t>朔田村居民区</w:t>
                  </w:r>
                </w:p>
              </w:tc>
              <w:tc>
                <w:tcPr>
                  <w:tcW w:w="1395" w:type="dxa"/>
                  <w:tcBorders>
                    <w:tl2br w:val="nil"/>
                    <w:tr2bl w:val="nil"/>
                  </w:tcBorders>
                  <w:vAlign w:val="center"/>
                </w:tcPr>
                <w:p w:rsidR="00BC07F0" w:rsidRDefault="00073EFB">
                  <w:pPr>
                    <w:pStyle w:val="a7"/>
                    <w:rPr>
                      <w:rFonts w:hint="default"/>
                    </w:rPr>
                  </w:pPr>
                  <w:r>
                    <w:t>NW</w:t>
                  </w:r>
                </w:p>
              </w:tc>
              <w:tc>
                <w:tcPr>
                  <w:tcW w:w="1335" w:type="dxa"/>
                  <w:tcBorders>
                    <w:tl2br w:val="nil"/>
                    <w:tr2bl w:val="nil"/>
                  </w:tcBorders>
                  <w:vAlign w:val="center"/>
                </w:tcPr>
                <w:p w:rsidR="00BC07F0" w:rsidRDefault="00073EFB">
                  <w:pPr>
                    <w:pStyle w:val="a7"/>
                    <w:rPr>
                      <w:rFonts w:hint="default"/>
                    </w:rPr>
                  </w:pPr>
                  <w:r>
                    <w:t>75</w:t>
                  </w:r>
                </w:p>
              </w:tc>
              <w:tc>
                <w:tcPr>
                  <w:tcW w:w="1831" w:type="dxa"/>
                  <w:tcBorders>
                    <w:tl2br w:val="nil"/>
                    <w:tr2bl w:val="nil"/>
                  </w:tcBorders>
                  <w:vAlign w:val="center"/>
                </w:tcPr>
                <w:p w:rsidR="00BC07F0" w:rsidRDefault="00073EFB">
                  <w:pPr>
                    <w:pStyle w:val="a7"/>
                    <w:rPr>
                      <w:rFonts w:hint="default"/>
                    </w:rPr>
                  </w:pPr>
                  <w:r>
                    <w:t>约</w:t>
                  </w:r>
                  <w:r>
                    <w:t>35</w:t>
                  </w:r>
                  <w:r>
                    <w:t>栋，</w:t>
                  </w:r>
                  <w:r>
                    <w:t>750</w:t>
                  </w:r>
                  <w:r>
                    <w:t>人</w:t>
                  </w:r>
                </w:p>
              </w:tc>
              <w:tc>
                <w:tcPr>
                  <w:tcW w:w="985" w:type="dxa"/>
                  <w:vMerge/>
                  <w:tcBorders>
                    <w:tl2br w:val="nil"/>
                    <w:tr2bl w:val="nil"/>
                  </w:tcBorders>
                  <w:vAlign w:val="center"/>
                </w:tcPr>
                <w:p w:rsidR="00BC07F0" w:rsidRDefault="00BC07F0">
                  <w:pPr>
                    <w:pStyle w:val="a7"/>
                    <w:rPr>
                      <w:rFonts w:hint="default"/>
                    </w:rPr>
                  </w:pPr>
                </w:p>
              </w:tc>
            </w:tr>
            <w:tr w:rsidR="00BC07F0">
              <w:trPr>
                <w:trHeight w:val="397"/>
                <w:jc w:val="center"/>
              </w:trPr>
              <w:tc>
                <w:tcPr>
                  <w:tcW w:w="703" w:type="dxa"/>
                  <w:tcBorders>
                    <w:tl2br w:val="nil"/>
                    <w:tr2bl w:val="nil"/>
                  </w:tcBorders>
                  <w:vAlign w:val="center"/>
                </w:tcPr>
                <w:p w:rsidR="00BC07F0" w:rsidRDefault="00073EFB">
                  <w:pPr>
                    <w:pStyle w:val="a7"/>
                    <w:rPr>
                      <w:rFonts w:hint="default"/>
                    </w:rPr>
                  </w:pPr>
                  <w:r>
                    <w:t>4</w:t>
                  </w:r>
                </w:p>
              </w:tc>
              <w:tc>
                <w:tcPr>
                  <w:tcW w:w="1140" w:type="dxa"/>
                  <w:vMerge/>
                  <w:tcBorders>
                    <w:tl2br w:val="nil"/>
                    <w:tr2bl w:val="nil"/>
                  </w:tcBorders>
                  <w:vAlign w:val="center"/>
                </w:tcPr>
                <w:p w:rsidR="00BC07F0" w:rsidRDefault="00BC07F0">
                  <w:pPr>
                    <w:pStyle w:val="a7"/>
                    <w:rPr>
                      <w:rFonts w:hint="default"/>
                    </w:rPr>
                  </w:pPr>
                </w:p>
              </w:tc>
              <w:tc>
                <w:tcPr>
                  <w:tcW w:w="1600" w:type="dxa"/>
                  <w:tcBorders>
                    <w:tl2br w:val="nil"/>
                    <w:tr2bl w:val="nil"/>
                  </w:tcBorders>
                  <w:vAlign w:val="center"/>
                </w:tcPr>
                <w:p w:rsidR="00BC07F0" w:rsidRDefault="00073EFB">
                  <w:pPr>
                    <w:pStyle w:val="a7"/>
                    <w:rPr>
                      <w:rFonts w:hint="default"/>
                    </w:rPr>
                  </w:pPr>
                  <w:r>
                    <w:t>明星小区</w:t>
                  </w:r>
                </w:p>
              </w:tc>
              <w:tc>
                <w:tcPr>
                  <w:tcW w:w="1395" w:type="dxa"/>
                  <w:tcBorders>
                    <w:tl2br w:val="nil"/>
                    <w:tr2bl w:val="nil"/>
                  </w:tcBorders>
                  <w:vAlign w:val="center"/>
                </w:tcPr>
                <w:p w:rsidR="00BC07F0" w:rsidRDefault="00073EFB">
                  <w:pPr>
                    <w:pStyle w:val="a7"/>
                    <w:rPr>
                      <w:rFonts w:hint="default"/>
                    </w:rPr>
                  </w:pPr>
                  <w:r>
                    <w:t>NW</w:t>
                  </w:r>
                </w:p>
              </w:tc>
              <w:tc>
                <w:tcPr>
                  <w:tcW w:w="1335" w:type="dxa"/>
                  <w:tcBorders>
                    <w:tl2br w:val="nil"/>
                    <w:tr2bl w:val="nil"/>
                  </w:tcBorders>
                  <w:vAlign w:val="center"/>
                </w:tcPr>
                <w:p w:rsidR="00BC07F0" w:rsidRDefault="00073EFB">
                  <w:pPr>
                    <w:pStyle w:val="a7"/>
                    <w:rPr>
                      <w:rFonts w:hint="default"/>
                    </w:rPr>
                  </w:pPr>
                  <w:r>
                    <w:t>75</w:t>
                  </w:r>
                </w:p>
              </w:tc>
              <w:tc>
                <w:tcPr>
                  <w:tcW w:w="1831" w:type="dxa"/>
                  <w:tcBorders>
                    <w:tl2br w:val="nil"/>
                    <w:tr2bl w:val="nil"/>
                  </w:tcBorders>
                  <w:vAlign w:val="center"/>
                </w:tcPr>
                <w:p w:rsidR="00BC07F0" w:rsidRDefault="00073EFB">
                  <w:pPr>
                    <w:pStyle w:val="a7"/>
                    <w:rPr>
                      <w:rFonts w:hint="default"/>
                    </w:rPr>
                  </w:pPr>
                  <w:r>
                    <w:t>约</w:t>
                  </w:r>
                  <w:r>
                    <w:t>65</w:t>
                  </w:r>
                  <w:r>
                    <w:t>栋，</w:t>
                  </w:r>
                  <w:r>
                    <w:t>1100</w:t>
                  </w:r>
                  <w:r>
                    <w:t>人</w:t>
                  </w:r>
                </w:p>
              </w:tc>
              <w:tc>
                <w:tcPr>
                  <w:tcW w:w="985" w:type="dxa"/>
                  <w:vMerge/>
                  <w:tcBorders>
                    <w:tl2br w:val="nil"/>
                    <w:tr2bl w:val="nil"/>
                  </w:tcBorders>
                  <w:vAlign w:val="center"/>
                </w:tcPr>
                <w:p w:rsidR="00BC07F0" w:rsidRDefault="00BC07F0">
                  <w:pPr>
                    <w:pStyle w:val="a7"/>
                    <w:rPr>
                      <w:rFonts w:hint="default"/>
                    </w:rPr>
                  </w:pPr>
                </w:p>
              </w:tc>
            </w:tr>
            <w:tr w:rsidR="00BC07F0">
              <w:trPr>
                <w:trHeight w:val="397"/>
                <w:jc w:val="center"/>
              </w:trPr>
              <w:tc>
                <w:tcPr>
                  <w:tcW w:w="703" w:type="dxa"/>
                  <w:tcBorders>
                    <w:tl2br w:val="nil"/>
                    <w:tr2bl w:val="nil"/>
                  </w:tcBorders>
                  <w:vAlign w:val="center"/>
                </w:tcPr>
                <w:p w:rsidR="00BC07F0" w:rsidRDefault="00073EFB">
                  <w:pPr>
                    <w:pStyle w:val="a7"/>
                    <w:rPr>
                      <w:rFonts w:hint="default"/>
                    </w:rPr>
                  </w:pPr>
                  <w:r>
                    <w:t>5</w:t>
                  </w:r>
                </w:p>
              </w:tc>
              <w:tc>
                <w:tcPr>
                  <w:tcW w:w="1140" w:type="dxa"/>
                  <w:vMerge/>
                  <w:tcBorders>
                    <w:tl2br w:val="nil"/>
                    <w:tr2bl w:val="nil"/>
                  </w:tcBorders>
                  <w:vAlign w:val="center"/>
                </w:tcPr>
                <w:p w:rsidR="00BC07F0" w:rsidRDefault="00BC07F0">
                  <w:pPr>
                    <w:pStyle w:val="a7"/>
                    <w:rPr>
                      <w:rFonts w:hint="default"/>
                    </w:rPr>
                  </w:pPr>
                </w:p>
              </w:tc>
              <w:tc>
                <w:tcPr>
                  <w:tcW w:w="1600" w:type="dxa"/>
                  <w:tcBorders>
                    <w:tl2br w:val="nil"/>
                    <w:tr2bl w:val="nil"/>
                  </w:tcBorders>
                  <w:vAlign w:val="center"/>
                </w:tcPr>
                <w:p w:rsidR="00BC07F0" w:rsidRDefault="00073EFB">
                  <w:pPr>
                    <w:pStyle w:val="a7"/>
                    <w:rPr>
                      <w:rFonts w:hint="default"/>
                    </w:rPr>
                  </w:pPr>
                  <w:r>
                    <w:t>雁城国际公馆</w:t>
                  </w:r>
                </w:p>
              </w:tc>
              <w:tc>
                <w:tcPr>
                  <w:tcW w:w="1395" w:type="dxa"/>
                  <w:tcBorders>
                    <w:tl2br w:val="nil"/>
                    <w:tr2bl w:val="nil"/>
                  </w:tcBorders>
                  <w:vAlign w:val="center"/>
                </w:tcPr>
                <w:p w:rsidR="00BC07F0" w:rsidRDefault="00073EFB">
                  <w:pPr>
                    <w:pStyle w:val="a7"/>
                    <w:rPr>
                      <w:rFonts w:hint="default"/>
                    </w:rPr>
                  </w:pPr>
                  <w:r>
                    <w:t>SW</w:t>
                  </w:r>
                </w:p>
              </w:tc>
              <w:tc>
                <w:tcPr>
                  <w:tcW w:w="1335" w:type="dxa"/>
                  <w:tcBorders>
                    <w:tl2br w:val="nil"/>
                    <w:tr2bl w:val="nil"/>
                  </w:tcBorders>
                  <w:vAlign w:val="center"/>
                </w:tcPr>
                <w:p w:rsidR="00BC07F0" w:rsidRDefault="00073EFB">
                  <w:pPr>
                    <w:pStyle w:val="a7"/>
                    <w:rPr>
                      <w:rFonts w:hint="default"/>
                    </w:rPr>
                  </w:pPr>
                  <w:r>
                    <w:t>65</w:t>
                  </w:r>
                </w:p>
              </w:tc>
              <w:tc>
                <w:tcPr>
                  <w:tcW w:w="1831" w:type="dxa"/>
                  <w:tcBorders>
                    <w:tl2br w:val="nil"/>
                    <w:tr2bl w:val="nil"/>
                  </w:tcBorders>
                  <w:vAlign w:val="center"/>
                </w:tcPr>
                <w:p w:rsidR="00BC07F0" w:rsidRDefault="00073EFB">
                  <w:pPr>
                    <w:pStyle w:val="a7"/>
                    <w:rPr>
                      <w:rFonts w:hint="default"/>
                    </w:rPr>
                  </w:pPr>
                  <w:r>
                    <w:t>约</w:t>
                  </w:r>
                  <w:r>
                    <w:t>30</w:t>
                  </w:r>
                  <w:r>
                    <w:t>栋，</w:t>
                  </w:r>
                  <w:r>
                    <w:t>650</w:t>
                  </w:r>
                  <w:r>
                    <w:t>人</w:t>
                  </w:r>
                </w:p>
              </w:tc>
              <w:tc>
                <w:tcPr>
                  <w:tcW w:w="985" w:type="dxa"/>
                  <w:vMerge/>
                  <w:tcBorders>
                    <w:tl2br w:val="nil"/>
                    <w:tr2bl w:val="nil"/>
                  </w:tcBorders>
                  <w:vAlign w:val="center"/>
                </w:tcPr>
                <w:p w:rsidR="00BC07F0" w:rsidRDefault="00BC07F0">
                  <w:pPr>
                    <w:pStyle w:val="a7"/>
                    <w:rPr>
                      <w:rFonts w:hint="default"/>
                    </w:rPr>
                  </w:pPr>
                </w:p>
              </w:tc>
            </w:tr>
            <w:tr w:rsidR="00BC07F0">
              <w:trPr>
                <w:trHeight w:val="397"/>
                <w:jc w:val="center"/>
              </w:trPr>
              <w:tc>
                <w:tcPr>
                  <w:tcW w:w="703" w:type="dxa"/>
                  <w:tcBorders>
                    <w:tl2br w:val="nil"/>
                    <w:tr2bl w:val="nil"/>
                  </w:tcBorders>
                  <w:vAlign w:val="center"/>
                </w:tcPr>
                <w:p w:rsidR="00BC07F0" w:rsidRDefault="00073EFB">
                  <w:pPr>
                    <w:pStyle w:val="a7"/>
                    <w:rPr>
                      <w:rFonts w:hint="default"/>
                    </w:rPr>
                  </w:pPr>
                  <w:r>
                    <w:lastRenderedPageBreak/>
                    <w:t>6</w:t>
                  </w:r>
                </w:p>
              </w:tc>
              <w:tc>
                <w:tcPr>
                  <w:tcW w:w="1140" w:type="dxa"/>
                  <w:vMerge/>
                  <w:tcBorders>
                    <w:tl2br w:val="nil"/>
                    <w:tr2bl w:val="nil"/>
                  </w:tcBorders>
                  <w:vAlign w:val="center"/>
                </w:tcPr>
                <w:p w:rsidR="00BC07F0" w:rsidRDefault="00BC07F0">
                  <w:pPr>
                    <w:pStyle w:val="a7"/>
                    <w:rPr>
                      <w:rFonts w:hint="default"/>
                    </w:rPr>
                  </w:pPr>
                </w:p>
              </w:tc>
              <w:tc>
                <w:tcPr>
                  <w:tcW w:w="1600" w:type="dxa"/>
                  <w:tcBorders>
                    <w:tl2br w:val="nil"/>
                    <w:tr2bl w:val="nil"/>
                  </w:tcBorders>
                  <w:vAlign w:val="center"/>
                </w:tcPr>
                <w:p w:rsidR="00BC07F0" w:rsidRDefault="00073EFB">
                  <w:pPr>
                    <w:pStyle w:val="a7"/>
                    <w:rPr>
                      <w:rFonts w:hint="default"/>
                    </w:rPr>
                  </w:pPr>
                  <w:r>
                    <w:t>衡阳技师学院东院</w:t>
                  </w:r>
                </w:p>
              </w:tc>
              <w:tc>
                <w:tcPr>
                  <w:tcW w:w="1395" w:type="dxa"/>
                  <w:tcBorders>
                    <w:tl2br w:val="nil"/>
                    <w:tr2bl w:val="nil"/>
                  </w:tcBorders>
                  <w:vAlign w:val="center"/>
                </w:tcPr>
                <w:p w:rsidR="00BC07F0" w:rsidRDefault="00073EFB">
                  <w:pPr>
                    <w:pStyle w:val="a7"/>
                    <w:rPr>
                      <w:rFonts w:hint="default"/>
                    </w:rPr>
                  </w:pPr>
                  <w:r>
                    <w:t>SW</w:t>
                  </w:r>
                </w:p>
              </w:tc>
              <w:tc>
                <w:tcPr>
                  <w:tcW w:w="1335" w:type="dxa"/>
                  <w:tcBorders>
                    <w:tl2br w:val="nil"/>
                    <w:tr2bl w:val="nil"/>
                  </w:tcBorders>
                  <w:vAlign w:val="center"/>
                </w:tcPr>
                <w:p w:rsidR="00BC07F0" w:rsidRDefault="00073EFB">
                  <w:pPr>
                    <w:pStyle w:val="a7"/>
                    <w:rPr>
                      <w:rFonts w:hint="default"/>
                    </w:rPr>
                  </w:pPr>
                  <w:r>
                    <w:t>200</w:t>
                  </w:r>
                </w:p>
              </w:tc>
              <w:tc>
                <w:tcPr>
                  <w:tcW w:w="1831" w:type="dxa"/>
                  <w:tcBorders>
                    <w:tl2br w:val="nil"/>
                    <w:tr2bl w:val="nil"/>
                  </w:tcBorders>
                  <w:vAlign w:val="center"/>
                </w:tcPr>
                <w:p w:rsidR="00BC07F0" w:rsidRDefault="00073EFB">
                  <w:pPr>
                    <w:pStyle w:val="a7"/>
                    <w:rPr>
                      <w:rFonts w:hint="default"/>
                    </w:rPr>
                  </w:pPr>
                  <w:r>
                    <w:t>约</w:t>
                  </w:r>
                  <w:r>
                    <w:t>15</w:t>
                  </w:r>
                  <w:r>
                    <w:t>栋，</w:t>
                  </w:r>
                  <w:r>
                    <w:t>1500</w:t>
                  </w:r>
                  <w:r>
                    <w:t>人</w:t>
                  </w:r>
                </w:p>
              </w:tc>
              <w:tc>
                <w:tcPr>
                  <w:tcW w:w="985" w:type="dxa"/>
                  <w:vMerge/>
                  <w:tcBorders>
                    <w:tl2br w:val="nil"/>
                    <w:tr2bl w:val="nil"/>
                  </w:tcBorders>
                  <w:vAlign w:val="center"/>
                </w:tcPr>
                <w:p w:rsidR="00BC07F0" w:rsidRDefault="00BC07F0">
                  <w:pPr>
                    <w:pStyle w:val="a7"/>
                    <w:rPr>
                      <w:rFonts w:hint="default"/>
                    </w:rPr>
                  </w:pPr>
                </w:p>
              </w:tc>
            </w:tr>
            <w:tr w:rsidR="00BC07F0">
              <w:trPr>
                <w:trHeight w:val="397"/>
                <w:jc w:val="center"/>
              </w:trPr>
              <w:tc>
                <w:tcPr>
                  <w:tcW w:w="703" w:type="dxa"/>
                  <w:tcBorders>
                    <w:tl2br w:val="nil"/>
                    <w:tr2bl w:val="nil"/>
                  </w:tcBorders>
                  <w:vAlign w:val="center"/>
                </w:tcPr>
                <w:p w:rsidR="00BC07F0" w:rsidRDefault="00073EFB">
                  <w:pPr>
                    <w:pStyle w:val="a7"/>
                    <w:rPr>
                      <w:rFonts w:hint="default"/>
                    </w:rPr>
                  </w:pPr>
                  <w:r>
                    <w:t>7</w:t>
                  </w:r>
                </w:p>
              </w:tc>
              <w:tc>
                <w:tcPr>
                  <w:tcW w:w="1140" w:type="dxa"/>
                  <w:vMerge w:val="restart"/>
                  <w:tcBorders>
                    <w:tl2br w:val="nil"/>
                    <w:tr2bl w:val="nil"/>
                  </w:tcBorders>
                  <w:vAlign w:val="center"/>
                </w:tcPr>
                <w:p w:rsidR="00BC07F0" w:rsidRDefault="00073EFB">
                  <w:pPr>
                    <w:pStyle w:val="a7"/>
                    <w:rPr>
                      <w:rFonts w:hint="default"/>
                    </w:rPr>
                  </w:pPr>
                  <w:r>
                    <w:t>幸福河支流水生态环境综合治理工程</w:t>
                  </w:r>
                </w:p>
              </w:tc>
              <w:tc>
                <w:tcPr>
                  <w:tcW w:w="1600" w:type="dxa"/>
                  <w:tcBorders>
                    <w:tl2br w:val="nil"/>
                    <w:tr2bl w:val="nil"/>
                  </w:tcBorders>
                  <w:vAlign w:val="center"/>
                </w:tcPr>
                <w:p w:rsidR="00BC07F0" w:rsidRDefault="00073EFB">
                  <w:pPr>
                    <w:pStyle w:val="a7"/>
                    <w:rPr>
                      <w:rFonts w:hint="default"/>
                    </w:rPr>
                  </w:pPr>
                  <w:r>
                    <w:t>奇峰苑</w:t>
                  </w:r>
                  <w:r>
                    <w:t>B</w:t>
                  </w:r>
                  <w:r>
                    <w:t>区</w:t>
                  </w:r>
                </w:p>
              </w:tc>
              <w:tc>
                <w:tcPr>
                  <w:tcW w:w="1395" w:type="dxa"/>
                  <w:tcBorders>
                    <w:tl2br w:val="nil"/>
                    <w:tr2bl w:val="nil"/>
                  </w:tcBorders>
                  <w:vAlign w:val="center"/>
                </w:tcPr>
                <w:p w:rsidR="00BC07F0" w:rsidRDefault="00073EFB">
                  <w:pPr>
                    <w:pStyle w:val="a7"/>
                    <w:rPr>
                      <w:rFonts w:hint="default"/>
                    </w:rPr>
                  </w:pPr>
                  <w:r>
                    <w:t>N</w:t>
                  </w:r>
                </w:p>
              </w:tc>
              <w:tc>
                <w:tcPr>
                  <w:tcW w:w="1335" w:type="dxa"/>
                  <w:tcBorders>
                    <w:tl2br w:val="nil"/>
                    <w:tr2bl w:val="nil"/>
                  </w:tcBorders>
                  <w:vAlign w:val="center"/>
                </w:tcPr>
                <w:p w:rsidR="00BC07F0" w:rsidRDefault="00073EFB">
                  <w:pPr>
                    <w:pStyle w:val="a7"/>
                    <w:rPr>
                      <w:rFonts w:hint="default"/>
                    </w:rPr>
                  </w:pPr>
                  <w:r>
                    <w:t>120</w:t>
                  </w:r>
                </w:p>
              </w:tc>
              <w:tc>
                <w:tcPr>
                  <w:tcW w:w="1831" w:type="dxa"/>
                  <w:tcBorders>
                    <w:tl2br w:val="nil"/>
                    <w:tr2bl w:val="nil"/>
                  </w:tcBorders>
                  <w:vAlign w:val="center"/>
                </w:tcPr>
                <w:p w:rsidR="00BC07F0" w:rsidRDefault="00073EFB">
                  <w:pPr>
                    <w:pStyle w:val="a7"/>
                    <w:rPr>
                      <w:rFonts w:hint="default"/>
                    </w:rPr>
                  </w:pPr>
                  <w:r>
                    <w:t>约</w:t>
                  </w:r>
                  <w:r>
                    <w:t>20</w:t>
                  </w:r>
                  <w:r>
                    <w:t>栋，</w:t>
                  </w:r>
                  <w:r>
                    <w:t>700</w:t>
                  </w:r>
                  <w:r>
                    <w:t>人</w:t>
                  </w:r>
                </w:p>
              </w:tc>
              <w:tc>
                <w:tcPr>
                  <w:tcW w:w="985" w:type="dxa"/>
                  <w:vMerge/>
                  <w:tcBorders>
                    <w:tl2br w:val="nil"/>
                    <w:tr2bl w:val="nil"/>
                  </w:tcBorders>
                  <w:vAlign w:val="center"/>
                </w:tcPr>
                <w:p w:rsidR="00BC07F0" w:rsidRDefault="00BC07F0">
                  <w:pPr>
                    <w:pStyle w:val="a7"/>
                    <w:rPr>
                      <w:rFonts w:hint="default"/>
                    </w:rPr>
                  </w:pPr>
                </w:p>
              </w:tc>
            </w:tr>
            <w:tr w:rsidR="00BC07F0">
              <w:trPr>
                <w:trHeight w:val="397"/>
                <w:jc w:val="center"/>
              </w:trPr>
              <w:tc>
                <w:tcPr>
                  <w:tcW w:w="703" w:type="dxa"/>
                  <w:tcBorders>
                    <w:tl2br w:val="nil"/>
                    <w:tr2bl w:val="nil"/>
                  </w:tcBorders>
                  <w:vAlign w:val="center"/>
                </w:tcPr>
                <w:p w:rsidR="00BC07F0" w:rsidRDefault="00073EFB">
                  <w:pPr>
                    <w:pStyle w:val="a7"/>
                    <w:rPr>
                      <w:rFonts w:hint="default"/>
                    </w:rPr>
                  </w:pPr>
                  <w:r>
                    <w:t>8</w:t>
                  </w:r>
                </w:p>
              </w:tc>
              <w:tc>
                <w:tcPr>
                  <w:tcW w:w="1140" w:type="dxa"/>
                  <w:vMerge/>
                  <w:tcBorders>
                    <w:tl2br w:val="nil"/>
                    <w:tr2bl w:val="nil"/>
                  </w:tcBorders>
                  <w:vAlign w:val="center"/>
                </w:tcPr>
                <w:p w:rsidR="00BC07F0" w:rsidRDefault="00BC07F0">
                  <w:pPr>
                    <w:pStyle w:val="a7"/>
                    <w:rPr>
                      <w:rFonts w:hint="default"/>
                    </w:rPr>
                  </w:pPr>
                </w:p>
              </w:tc>
              <w:tc>
                <w:tcPr>
                  <w:tcW w:w="1600" w:type="dxa"/>
                  <w:tcBorders>
                    <w:tl2br w:val="nil"/>
                    <w:tr2bl w:val="nil"/>
                  </w:tcBorders>
                  <w:vAlign w:val="center"/>
                </w:tcPr>
                <w:p w:rsidR="00BC07F0" w:rsidRDefault="00073EFB">
                  <w:pPr>
                    <w:pStyle w:val="a7"/>
                    <w:rPr>
                      <w:rFonts w:hint="default"/>
                    </w:rPr>
                  </w:pPr>
                  <w:r>
                    <w:t>衡阳市中心医院</w:t>
                  </w:r>
                </w:p>
              </w:tc>
              <w:tc>
                <w:tcPr>
                  <w:tcW w:w="1395" w:type="dxa"/>
                  <w:tcBorders>
                    <w:tl2br w:val="nil"/>
                    <w:tr2bl w:val="nil"/>
                  </w:tcBorders>
                  <w:vAlign w:val="center"/>
                </w:tcPr>
                <w:p w:rsidR="00BC07F0" w:rsidRDefault="00073EFB">
                  <w:pPr>
                    <w:pStyle w:val="a7"/>
                    <w:rPr>
                      <w:rFonts w:hint="default"/>
                    </w:rPr>
                  </w:pPr>
                  <w:r>
                    <w:t>N</w:t>
                  </w:r>
                </w:p>
              </w:tc>
              <w:tc>
                <w:tcPr>
                  <w:tcW w:w="1335" w:type="dxa"/>
                  <w:tcBorders>
                    <w:tl2br w:val="nil"/>
                    <w:tr2bl w:val="nil"/>
                  </w:tcBorders>
                  <w:vAlign w:val="center"/>
                </w:tcPr>
                <w:p w:rsidR="00BC07F0" w:rsidRDefault="00073EFB">
                  <w:pPr>
                    <w:pStyle w:val="a7"/>
                    <w:rPr>
                      <w:rFonts w:hint="default"/>
                    </w:rPr>
                  </w:pPr>
                  <w:r>
                    <w:t>150</w:t>
                  </w:r>
                </w:p>
              </w:tc>
              <w:tc>
                <w:tcPr>
                  <w:tcW w:w="1831" w:type="dxa"/>
                  <w:tcBorders>
                    <w:tl2br w:val="nil"/>
                    <w:tr2bl w:val="nil"/>
                  </w:tcBorders>
                  <w:vAlign w:val="center"/>
                </w:tcPr>
                <w:p w:rsidR="00BC07F0" w:rsidRDefault="00073EFB">
                  <w:pPr>
                    <w:pStyle w:val="a7"/>
                    <w:rPr>
                      <w:rFonts w:hint="default"/>
                    </w:rPr>
                  </w:pPr>
                  <w:r>
                    <w:t>约</w:t>
                  </w:r>
                  <w:r>
                    <w:t>8</w:t>
                  </w:r>
                  <w:r>
                    <w:t>栋，</w:t>
                  </w:r>
                  <w:r>
                    <w:t>600</w:t>
                  </w:r>
                  <w:r>
                    <w:t>人</w:t>
                  </w:r>
                </w:p>
              </w:tc>
              <w:tc>
                <w:tcPr>
                  <w:tcW w:w="985" w:type="dxa"/>
                  <w:vMerge/>
                  <w:tcBorders>
                    <w:tl2br w:val="nil"/>
                    <w:tr2bl w:val="nil"/>
                  </w:tcBorders>
                  <w:vAlign w:val="center"/>
                </w:tcPr>
                <w:p w:rsidR="00BC07F0" w:rsidRDefault="00BC07F0">
                  <w:pPr>
                    <w:pStyle w:val="a7"/>
                    <w:rPr>
                      <w:rFonts w:hint="default"/>
                    </w:rPr>
                  </w:pPr>
                </w:p>
              </w:tc>
            </w:tr>
            <w:tr w:rsidR="00BC07F0">
              <w:trPr>
                <w:trHeight w:val="397"/>
                <w:jc w:val="center"/>
              </w:trPr>
              <w:tc>
                <w:tcPr>
                  <w:tcW w:w="703" w:type="dxa"/>
                  <w:tcBorders>
                    <w:tl2br w:val="nil"/>
                    <w:tr2bl w:val="nil"/>
                  </w:tcBorders>
                  <w:vAlign w:val="center"/>
                </w:tcPr>
                <w:p w:rsidR="00BC07F0" w:rsidRDefault="00073EFB">
                  <w:pPr>
                    <w:pStyle w:val="a7"/>
                    <w:rPr>
                      <w:rFonts w:hint="default"/>
                    </w:rPr>
                  </w:pPr>
                  <w:r>
                    <w:t>9</w:t>
                  </w:r>
                </w:p>
              </w:tc>
              <w:tc>
                <w:tcPr>
                  <w:tcW w:w="1140" w:type="dxa"/>
                  <w:vMerge/>
                  <w:tcBorders>
                    <w:tl2br w:val="nil"/>
                    <w:tr2bl w:val="nil"/>
                  </w:tcBorders>
                  <w:vAlign w:val="center"/>
                </w:tcPr>
                <w:p w:rsidR="00BC07F0" w:rsidRDefault="00BC07F0">
                  <w:pPr>
                    <w:pStyle w:val="a7"/>
                    <w:rPr>
                      <w:rFonts w:hint="default"/>
                    </w:rPr>
                  </w:pPr>
                </w:p>
              </w:tc>
              <w:tc>
                <w:tcPr>
                  <w:tcW w:w="1600" w:type="dxa"/>
                  <w:tcBorders>
                    <w:tl2br w:val="nil"/>
                    <w:tr2bl w:val="nil"/>
                  </w:tcBorders>
                  <w:vAlign w:val="center"/>
                </w:tcPr>
                <w:p w:rsidR="00BC07F0" w:rsidRDefault="00073EFB">
                  <w:pPr>
                    <w:pStyle w:val="a7"/>
                    <w:rPr>
                      <w:rFonts w:hint="default"/>
                    </w:rPr>
                  </w:pPr>
                  <w:r>
                    <w:t>南三环路北侧居民区</w:t>
                  </w:r>
                </w:p>
              </w:tc>
              <w:tc>
                <w:tcPr>
                  <w:tcW w:w="1395" w:type="dxa"/>
                  <w:tcBorders>
                    <w:tl2br w:val="nil"/>
                    <w:tr2bl w:val="nil"/>
                  </w:tcBorders>
                  <w:vAlign w:val="center"/>
                </w:tcPr>
                <w:p w:rsidR="00BC07F0" w:rsidRDefault="00073EFB">
                  <w:pPr>
                    <w:pStyle w:val="a7"/>
                    <w:rPr>
                      <w:rFonts w:hint="default"/>
                    </w:rPr>
                  </w:pPr>
                  <w:r>
                    <w:t>S</w:t>
                  </w:r>
                </w:p>
              </w:tc>
              <w:tc>
                <w:tcPr>
                  <w:tcW w:w="1335" w:type="dxa"/>
                  <w:tcBorders>
                    <w:tl2br w:val="nil"/>
                    <w:tr2bl w:val="nil"/>
                  </w:tcBorders>
                  <w:vAlign w:val="center"/>
                </w:tcPr>
                <w:p w:rsidR="00BC07F0" w:rsidRDefault="00073EFB">
                  <w:pPr>
                    <w:pStyle w:val="a7"/>
                    <w:rPr>
                      <w:rFonts w:hint="default"/>
                    </w:rPr>
                  </w:pPr>
                  <w:r>
                    <w:t>200</w:t>
                  </w:r>
                </w:p>
              </w:tc>
              <w:tc>
                <w:tcPr>
                  <w:tcW w:w="1831" w:type="dxa"/>
                  <w:tcBorders>
                    <w:tl2br w:val="nil"/>
                    <w:tr2bl w:val="nil"/>
                  </w:tcBorders>
                  <w:vAlign w:val="center"/>
                </w:tcPr>
                <w:p w:rsidR="00BC07F0" w:rsidRDefault="00073EFB">
                  <w:pPr>
                    <w:pStyle w:val="a7"/>
                    <w:rPr>
                      <w:rFonts w:hint="default"/>
                    </w:rPr>
                  </w:pPr>
                  <w:r>
                    <w:t>约</w:t>
                  </w:r>
                  <w:r>
                    <w:t>45</w:t>
                  </w:r>
                  <w:r>
                    <w:t>栋，</w:t>
                  </w:r>
                  <w:r>
                    <w:t>900</w:t>
                  </w:r>
                  <w:r>
                    <w:t>人</w:t>
                  </w:r>
                </w:p>
              </w:tc>
              <w:tc>
                <w:tcPr>
                  <w:tcW w:w="985" w:type="dxa"/>
                  <w:vMerge/>
                  <w:tcBorders>
                    <w:tl2br w:val="nil"/>
                    <w:tr2bl w:val="nil"/>
                  </w:tcBorders>
                  <w:vAlign w:val="center"/>
                </w:tcPr>
                <w:p w:rsidR="00BC07F0" w:rsidRDefault="00BC07F0">
                  <w:pPr>
                    <w:pStyle w:val="a7"/>
                    <w:rPr>
                      <w:rFonts w:hint="default"/>
                    </w:rPr>
                  </w:pPr>
                </w:p>
              </w:tc>
            </w:tr>
          </w:tbl>
          <w:p w:rsidR="00BC07F0" w:rsidRDefault="00073EFB">
            <w:pPr>
              <w:tabs>
                <w:tab w:val="left" w:pos="480"/>
              </w:tabs>
              <w:ind w:firstLine="482"/>
              <w:rPr>
                <w:b/>
                <w:bCs/>
              </w:rPr>
            </w:pPr>
            <w:r>
              <w:rPr>
                <w:rFonts w:hint="eastAsia"/>
                <w:b/>
                <w:bCs/>
              </w:rPr>
              <w:t>3.7</w:t>
            </w:r>
            <w:r>
              <w:rPr>
                <w:rFonts w:hint="eastAsia"/>
                <w:b/>
                <w:bCs/>
              </w:rPr>
              <w:t>生态环境保护目标</w:t>
            </w:r>
          </w:p>
          <w:p w:rsidR="00BC07F0" w:rsidRDefault="00073EFB">
            <w:pPr>
              <w:pStyle w:val="a7"/>
              <w:rPr>
                <w:rFonts w:hint="default"/>
                <w:b/>
                <w:bCs/>
              </w:rPr>
            </w:pPr>
            <w:r>
              <w:rPr>
                <w:b/>
                <w:bCs/>
              </w:rPr>
              <w:t>3</w:t>
            </w:r>
            <w:r>
              <w:rPr>
                <w:b/>
                <w:bCs/>
              </w:rPr>
              <w:t>.7-1</w:t>
            </w:r>
            <w:r>
              <w:rPr>
                <w:b/>
                <w:bCs/>
              </w:rPr>
              <w:t>生态环境保护目标一览表</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5"/>
              <w:gridCol w:w="2101"/>
              <w:gridCol w:w="1941"/>
              <w:gridCol w:w="2000"/>
              <w:gridCol w:w="2200"/>
            </w:tblGrid>
            <w:tr w:rsidR="00BC07F0">
              <w:trPr>
                <w:trHeight w:val="397"/>
                <w:jc w:val="center"/>
              </w:trPr>
              <w:tc>
                <w:tcPr>
                  <w:tcW w:w="767" w:type="dxa"/>
                  <w:vAlign w:val="center"/>
                </w:tcPr>
                <w:p w:rsidR="00BC07F0" w:rsidRDefault="00073EFB">
                  <w:pPr>
                    <w:pStyle w:val="a7"/>
                    <w:rPr>
                      <w:rFonts w:hint="default"/>
                    </w:rPr>
                  </w:pPr>
                  <w:r>
                    <w:t>序号</w:t>
                  </w:r>
                </w:p>
              </w:tc>
              <w:tc>
                <w:tcPr>
                  <w:tcW w:w="2144" w:type="dxa"/>
                  <w:vAlign w:val="center"/>
                </w:tcPr>
                <w:p w:rsidR="00BC07F0" w:rsidRDefault="00073EFB">
                  <w:pPr>
                    <w:pStyle w:val="a7"/>
                    <w:rPr>
                      <w:rFonts w:hint="default"/>
                    </w:rPr>
                  </w:pPr>
                  <w:r>
                    <w:t>保护目标</w:t>
                  </w:r>
                </w:p>
              </w:tc>
              <w:tc>
                <w:tcPr>
                  <w:tcW w:w="1980" w:type="dxa"/>
                  <w:vAlign w:val="center"/>
                </w:tcPr>
                <w:p w:rsidR="00BC07F0" w:rsidRDefault="00073EFB">
                  <w:pPr>
                    <w:pStyle w:val="a7"/>
                    <w:rPr>
                      <w:rFonts w:hint="default"/>
                    </w:rPr>
                  </w:pPr>
                  <w:r>
                    <w:t>方位</w:t>
                  </w:r>
                </w:p>
              </w:tc>
              <w:tc>
                <w:tcPr>
                  <w:tcW w:w="2040" w:type="dxa"/>
                  <w:vAlign w:val="center"/>
                </w:tcPr>
                <w:p w:rsidR="00BC07F0" w:rsidRDefault="00073EFB">
                  <w:pPr>
                    <w:pStyle w:val="a7"/>
                    <w:rPr>
                      <w:rFonts w:hint="default"/>
                    </w:rPr>
                  </w:pPr>
                  <w:r>
                    <w:t>相应河段水域功能</w:t>
                  </w:r>
                </w:p>
              </w:tc>
              <w:tc>
                <w:tcPr>
                  <w:tcW w:w="2245" w:type="dxa"/>
                  <w:vAlign w:val="center"/>
                </w:tcPr>
                <w:p w:rsidR="00BC07F0" w:rsidRDefault="00073EFB">
                  <w:pPr>
                    <w:pStyle w:val="a7"/>
                    <w:rPr>
                      <w:rFonts w:hint="default"/>
                    </w:rPr>
                  </w:pPr>
                  <w:r>
                    <w:t>保护级别</w:t>
                  </w:r>
                </w:p>
              </w:tc>
            </w:tr>
            <w:tr w:rsidR="00BC07F0">
              <w:trPr>
                <w:trHeight w:val="397"/>
                <w:jc w:val="center"/>
              </w:trPr>
              <w:tc>
                <w:tcPr>
                  <w:tcW w:w="767" w:type="dxa"/>
                  <w:vAlign w:val="center"/>
                </w:tcPr>
                <w:p w:rsidR="00BC07F0" w:rsidRDefault="00073EFB">
                  <w:pPr>
                    <w:pStyle w:val="a7"/>
                    <w:rPr>
                      <w:rFonts w:hint="default"/>
                    </w:rPr>
                  </w:pPr>
                  <w:r>
                    <w:t>1</w:t>
                  </w:r>
                </w:p>
              </w:tc>
              <w:tc>
                <w:tcPr>
                  <w:tcW w:w="2144" w:type="dxa"/>
                  <w:vAlign w:val="center"/>
                </w:tcPr>
                <w:p w:rsidR="00BC07F0" w:rsidRDefault="00073EFB">
                  <w:pPr>
                    <w:pStyle w:val="a7"/>
                    <w:rPr>
                      <w:rFonts w:hint="default"/>
                    </w:rPr>
                  </w:pPr>
                  <w:r>
                    <w:t>陆生生态（工程沿线及周边植被、水土保持现状）</w:t>
                  </w:r>
                </w:p>
              </w:tc>
              <w:tc>
                <w:tcPr>
                  <w:tcW w:w="1980" w:type="dxa"/>
                  <w:vAlign w:val="center"/>
                </w:tcPr>
                <w:p w:rsidR="00BC07F0" w:rsidRDefault="00073EFB">
                  <w:pPr>
                    <w:pStyle w:val="a7"/>
                    <w:rPr>
                      <w:rFonts w:hint="default"/>
                    </w:rPr>
                  </w:pPr>
                  <w:r>
                    <w:t>施工场地周边</w:t>
                  </w:r>
                  <w:r>
                    <w:t>200m</w:t>
                  </w:r>
                  <w:r>
                    <w:t>范围内</w:t>
                  </w:r>
                </w:p>
              </w:tc>
              <w:tc>
                <w:tcPr>
                  <w:tcW w:w="2040" w:type="dxa"/>
                  <w:vMerge w:val="restart"/>
                  <w:vAlign w:val="center"/>
                </w:tcPr>
                <w:p w:rsidR="00BC07F0" w:rsidRDefault="00073EFB">
                  <w:pPr>
                    <w:pStyle w:val="a7"/>
                    <w:rPr>
                      <w:rFonts w:hint="default"/>
                    </w:rPr>
                  </w:pPr>
                  <w:r>
                    <w:t>生态功能不因本项目施工而降低</w:t>
                  </w:r>
                </w:p>
              </w:tc>
              <w:tc>
                <w:tcPr>
                  <w:tcW w:w="2245" w:type="dxa"/>
                  <w:vAlign w:val="center"/>
                </w:tcPr>
                <w:p w:rsidR="00BC07F0" w:rsidRDefault="00073EFB">
                  <w:pPr>
                    <w:pStyle w:val="a7"/>
                    <w:rPr>
                      <w:rFonts w:hint="default"/>
                    </w:rPr>
                  </w:pPr>
                  <w:r>
                    <w:t>评价区内无国家重点保护野生动植物</w:t>
                  </w:r>
                </w:p>
              </w:tc>
            </w:tr>
            <w:tr w:rsidR="00BC07F0">
              <w:trPr>
                <w:trHeight w:val="397"/>
                <w:jc w:val="center"/>
              </w:trPr>
              <w:tc>
                <w:tcPr>
                  <w:tcW w:w="767" w:type="dxa"/>
                  <w:vAlign w:val="center"/>
                </w:tcPr>
                <w:p w:rsidR="00BC07F0" w:rsidRDefault="00073EFB">
                  <w:pPr>
                    <w:pStyle w:val="a7"/>
                    <w:rPr>
                      <w:rFonts w:hint="default"/>
                    </w:rPr>
                  </w:pPr>
                  <w:r>
                    <w:t>2</w:t>
                  </w:r>
                </w:p>
              </w:tc>
              <w:tc>
                <w:tcPr>
                  <w:tcW w:w="2144" w:type="dxa"/>
                  <w:vAlign w:val="center"/>
                </w:tcPr>
                <w:p w:rsidR="00BC07F0" w:rsidRDefault="00073EFB">
                  <w:pPr>
                    <w:pStyle w:val="a7"/>
                    <w:rPr>
                      <w:rFonts w:hint="default"/>
                    </w:rPr>
                  </w:pPr>
                  <w:r>
                    <w:t>沿线景观山林、坡地</w:t>
                  </w:r>
                </w:p>
              </w:tc>
              <w:tc>
                <w:tcPr>
                  <w:tcW w:w="1980" w:type="dxa"/>
                  <w:vAlign w:val="center"/>
                </w:tcPr>
                <w:p w:rsidR="00BC07F0" w:rsidRDefault="00073EFB">
                  <w:pPr>
                    <w:pStyle w:val="a7"/>
                    <w:rPr>
                      <w:rFonts w:hint="default"/>
                    </w:rPr>
                  </w:pPr>
                  <w:r>
                    <w:t>施工场地周边</w:t>
                  </w:r>
                  <w:r>
                    <w:t>200m</w:t>
                  </w:r>
                  <w:r>
                    <w:t>范围内</w:t>
                  </w:r>
                </w:p>
              </w:tc>
              <w:tc>
                <w:tcPr>
                  <w:tcW w:w="2040" w:type="dxa"/>
                  <w:vMerge/>
                  <w:vAlign w:val="center"/>
                </w:tcPr>
                <w:p w:rsidR="00BC07F0" w:rsidRDefault="00BC07F0">
                  <w:pPr>
                    <w:pStyle w:val="a7"/>
                    <w:rPr>
                      <w:rFonts w:hint="default"/>
                    </w:rPr>
                  </w:pPr>
                </w:p>
              </w:tc>
              <w:tc>
                <w:tcPr>
                  <w:tcW w:w="2245" w:type="dxa"/>
                  <w:vAlign w:val="center"/>
                </w:tcPr>
                <w:p w:rsidR="00BC07F0" w:rsidRDefault="00073EFB">
                  <w:pPr>
                    <w:pStyle w:val="a7"/>
                    <w:rPr>
                      <w:rFonts w:hint="default"/>
                    </w:rPr>
                  </w:pPr>
                  <w:r>
                    <w:t>评价区内无国家重点保护植物</w:t>
                  </w:r>
                </w:p>
              </w:tc>
            </w:tr>
          </w:tbl>
          <w:p w:rsidR="00BC07F0" w:rsidRDefault="00BC07F0">
            <w:pPr>
              <w:pStyle w:val="a7"/>
              <w:rPr>
                <w:rFonts w:hint="default"/>
                <w:sz w:val="24"/>
                <w:szCs w:val="24"/>
              </w:rPr>
            </w:pPr>
          </w:p>
        </w:tc>
      </w:tr>
      <w:tr w:rsidR="00BC07F0">
        <w:trPr>
          <w:trHeight w:val="454"/>
          <w:jc w:val="center"/>
        </w:trPr>
        <w:tc>
          <w:tcPr>
            <w:tcW w:w="543" w:type="dxa"/>
            <w:vAlign w:val="center"/>
          </w:tcPr>
          <w:p w:rsidR="00BC07F0" w:rsidRDefault="00073EFB">
            <w:pPr>
              <w:pStyle w:val="a7"/>
              <w:rPr>
                <w:rFonts w:hint="default"/>
                <w:b/>
                <w:bCs/>
                <w:sz w:val="24"/>
                <w:szCs w:val="24"/>
              </w:rPr>
            </w:pPr>
            <w:r>
              <w:rPr>
                <w:b/>
                <w:bCs/>
                <w:sz w:val="24"/>
                <w:szCs w:val="24"/>
              </w:rPr>
              <w:lastRenderedPageBreak/>
              <w:t>评价</w:t>
            </w:r>
          </w:p>
          <w:p w:rsidR="00BC07F0" w:rsidRDefault="00073EFB">
            <w:pPr>
              <w:pStyle w:val="a7"/>
              <w:rPr>
                <w:rFonts w:hint="default"/>
                <w:b/>
                <w:bCs/>
                <w:sz w:val="24"/>
                <w:szCs w:val="24"/>
              </w:rPr>
            </w:pPr>
            <w:r>
              <w:rPr>
                <w:b/>
                <w:bCs/>
                <w:sz w:val="24"/>
                <w:szCs w:val="24"/>
              </w:rPr>
              <w:t>标准</w:t>
            </w:r>
          </w:p>
        </w:tc>
        <w:tc>
          <w:tcPr>
            <w:tcW w:w="9318" w:type="dxa"/>
            <w:vAlign w:val="center"/>
          </w:tcPr>
          <w:p w:rsidR="00BC07F0" w:rsidRDefault="00073EFB">
            <w:pPr>
              <w:tabs>
                <w:tab w:val="left" w:pos="480"/>
              </w:tabs>
              <w:ind w:firstLine="482"/>
              <w:rPr>
                <w:b/>
                <w:bCs/>
              </w:rPr>
            </w:pPr>
            <w:r>
              <w:rPr>
                <w:rFonts w:hint="eastAsia"/>
                <w:b/>
                <w:bCs/>
              </w:rPr>
              <w:t>3.8</w:t>
            </w:r>
            <w:r>
              <w:rPr>
                <w:rFonts w:hint="eastAsia"/>
                <w:b/>
                <w:bCs/>
              </w:rPr>
              <w:t>环境质量标准</w:t>
            </w:r>
          </w:p>
          <w:p w:rsidR="00BC07F0" w:rsidRDefault="00073EFB">
            <w:pPr>
              <w:tabs>
                <w:tab w:val="left" w:pos="480"/>
              </w:tabs>
              <w:ind w:firstLine="482"/>
              <w:rPr>
                <w:b/>
                <w:bCs/>
              </w:rPr>
            </w:pPr>
            <w:r>
              <w:rPr>
                <w:rFonts w:hint="eastAsia"/>
                <w:b/>
                <w:bCs/>
              </w:rPr>
              <w:t>3.8.1</w:t>
            </w:r>
            <w:r>
              <w:rPr>
                <w:b/>
                <w:bCs/>
              </w:rPr>
              <w:t>环境空气质量标准</w:t>
            </w:r>
          </w:p>
          <w:p w:rsidR="00BC07F0" w:rsidRDefault="00073EFB">
            <w:pPr>
              <w:tabs>
                <w:tab w:val="left" w:pos="480"/>
              </w:tabs>
              <w:ind w:firstLine="480"/>
            </w:pPr>
            <w:r>
              <w:t>项目所在地空气</w:t>
            </w:r>
            <w:r>
              <w:rPr>
                <w:rFonts w:hint="eastAsia"/>
              </w:rPr>
              <w:t>质量</w:t>
            </w:r>
            <w:r>
              <w:t>执行《环境空气质量标准》（</w:t>
            </w:r>
            <w:r>
              <w:t>GB3095-2012</w:t>
            </w:r>
            <w:r>
              <w:t>）二级标准。环境空气中污染物</w:t>
            </w:r>
            <w:r>
              <w:t>SO</w:t>
            </w:r>
            <w:r>
              <w:rPr>
                <w:vertAlign w:val="subscript"/>
              </w:rPr>
              <w:t>2</w:t>
            </w:r>
            <w:r>
              <w:t>、</w:t>
            </w:r>
            <w:r>
              <w:t>NO</w:t>
            </w:r>
            <w:r>
              <w:rPr>
                <w:vertAlign w:val="subscript"/>
              </w:rPr>
              <w:t>2</w:t>
            </w:r>
            <w:r>
              <w:t>、</w:t>
            </w:r>
            <w:r>
              <w:t>TSP</w:t>
            </w:r>
            <w:r>
              <w:t>、</w:t>
            </w:r>
            <w:r>
              <w:t>CO</w:t>
            </w:r>
            <w:r>
              <w:t>、</w:t>
            </w:r>
            <w:r>
              <w:t>O</w:t>
            </w:r>
            <w:r>
              <w:rPr>
                <w:vertAlign w:val="subscript"/>
              </w:rPr>
              <w:t>3</w:t>
            </w:r>
            <w:r>
              <w:t>、</w:t>
            </w:r>
            <w:r>
              <w:rPr>
                <w:rFonts w:hint="eastAsia"/>
              </w:rPr>
              <w:t>PM10</w:t>
            </w:r>
            <w:r>
              <w:t>、</w:t>
            </w:r>
            <w:r>
              <w:rPr>
                <w:rFonts w:hint="eastAsia"/>
              </w:rPr>
              <w:t>PM2.5</w:t>
            </w:r>
            <w:r>
              <w:t>执行《环境空气质量标准》</w:t>
            </w:r>
            <w:r>
              <w:rPr>
                <w:rFonts w:hint="eastAsia"/>
              </w:rPr>
              <w:t>（</w:t>
            </w:r>
            <w:r>
              <w:t>GB3095-2012</w:t>
            </w:r>
            <w:r>
              <w:rPr>
                <w:rFonts w:hint="eastAsia"/>
              </w:rPr>
              <w:t>）</w:t>
            </w:r>
            <w:r>
              <w:t>二级标准。</w:t>
            </w:r>
          </w:p>
          <w:p w:rsidR="00BC07F0" w:rsidRDefault="00073EFB">
            <w:pPr>
              <w:pStyle w:val="a7"/>
              <w:rPr>
                <w:rFonts w:hint="default"/>
                <w:b/>
                <w:bCs/>
              </w:rPr>
            </w:pPr>
            <w:r>
              <w:rPr>
                <w:b/>
                <w:bCs/>
              </w:rPr>
              <w:t>表</w:t>
            </w:r>
            <w:r>
              <w:rPr>
                <w:b/>
                <w:bCs/>
              </w:rPr>
              <w:t>3</w:t>
            </w:r>
            <w:r>
              <w:rPr>
                <w:b/>
                <w:bCs/>
              </w:rPr>
              <w:t>.8-1</w:t>
            </w:r>
            <w:r>
              <w:rPr>
                <w:b/>
                <w:bCs/>
              </w:rPr>
              <w:t>环境空气质量标准单位：</w:t>
            </w:r>
            <w:r>
              <w:rPr>
                <w:b/>
                <w:bCs/>
              </w:rPr>
              <w:t>mg/</w:t>
            </w:r>
            <w:r>
              <w:rPr>
                <w:b/>
                <w:bCs/>
              </w:rPr>
              <w:t>m</w:t>
            </w:r>
            <w:r>
              <w:rPr>
                <w:b/>
                <w:bCs/>
              </w:rPr>
              <w:t>³</w:t>
            </w:r>
          </w:p>
          <w:tbl>
            <w:tblPr>
              <w:tblW w:w="495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00"/>
              <w:gridCol w:w="2874"/>
              <w:gridCol w:w="3180"/>
              <w:gridCol w:w="1435"/>
            </w:tblGrid>
            <w:tr w:rsidR="00BC07F0">
              <w:trPr>
                <w:trHeight w:val="340"/>
                <w:jc w:val="center"/>
              </w:trPr>
              <w:tc>
                <w:tcPr>
                  <w:tcW w:w="834" w:type="pct"/>
                  <w:vAlign w:val="center"/>
                </w:tcPr>
                <w:p w:rsidR="00BC07F0" w:rsidRDefault="00073EFB">
                  <w:pPr>
                    <w:pStyle w:val="a7"/>
                    <w:rPr>
                      <w:rFonts w:hint="default"/>
                    </w:rPr>
                  </w:pPr>
                  <w:r>
                    <w:t>污染物名称</w:t>
                  </w:r>
                </w:p>
              </w:tc>
              <w:tc>
                <w:tcPr>
                  <w:tcW w:w="3367" w:type="pct"/>
                  <w:gridSpan w:val="2"/>
                  <w:vAlign w:val="center"/>
                </w:tcPr>
                <w:p w:rsidR="00BC07F0" w:rsidRDefault="00073EFB">
                  <w:pPr>
                    <w:pStyle w:val="a7"/>
                    <w:rPr>
                      <w:rFonts w:hint="default"/>
                    </w:rPr>
                  </w:pPr>
                  <w:r>
                    <w:t>标准值</w:t>
                  </w:r>
                  <w:r>
                    <w:t>(mg/</w:t>
                  </w:r>
                  <w:r>
                    <w:t>m</w:t>
                  </w:r>
                  <w:r>
                    <w:t>³</w:t>
                  </w:r>
                  <w:r>
                    <w:t>)</w:t>
                  </w:r>
                </w:p>
              </w:tc>
              <w:tc>
                <w:tcPr>
                  <w:tcW w:w="798" w:type="pct"/>
                  <w:vAlign w:val="center"/>
                </w:tcPr>
                <w:p w:rsidR="00BC07F0" w:rsidRDefault="00073EFB">
                  <w:pPr>
                    <w:pStyle w:val="a7"/>
                    <w:rPr>
                      <w:rFonts w:hint="default"/>
                    </w:rPr>
                  </w:pPr>
                  <w:r>
                    <w:t>选用标准</w:t>
                  </w:r>
                </w:p>
              </w:tc>
            </w:tr>
            <w:tr w:rsidR="00BC07F0">
              <w:trPr>
                <w:trHeight w:val="340"/>
                <w:jc w:val="center"/>
              </w:trPr>
              <w:tc>
                <w:tcPr>
                  <w:tcW w:w="834" w:type="pct"/>
                  <w:vMerge w:val="restart"/>
                  <w:vAlign w:val="center"/>
                </w:tcPr>
                <w:p w:rsidR="00BC07F0" w:rsidRDefault="00073EFB">
                  <w:pPr>
                    <w:pStyle w:val="a7"/>
                    <w:rPr>
                      <w:rFonts w:hint="default"/>
                    </w:rPr>
                  </w:pPr>
                  <w:r>
                    <w:t>SO2</w:t>
                  </w:r>
                </w:p>
              </w:tc>
              <w:tc>
                <w:tcPr>
                  <w:tcW w:w="1598" w:type="pct"/>
                  <w:vAlign w:val="center"/>
                </w:tcPr>
                <w:p w:rsidR="00BC07F0" w:rsidRDefault="00073EFB">
                  <w:pPr>
                    <w:pStyle w:val="a7"/>
                    <w:rPr>
                      <w:rFonts w:hint="default"/>
                    </w:rPr>
                  </w:pPr>
                  <w:r>
                    <w:t>年平均</w:t>
                  </w:r>
                </w:p>
              </w:tc>
              <w:tc>
                <w:tcPr>
                  <w:tcW w:w="1769" w:type="pct"/>
                  <w:vAlign w:val="center"/>
                </w:tcPr>
                <w:p w:rsidR="00BC07F0" w:rsidRDefault="00073EFB">
                  <w:pPr>
                    <w:pStyle w:val="a7"/>
                    <w:rPr>
                      <w:rFonts w:hint="default"/>
                    </w:rPr>
                  </w:pPr>
                  <w:r>
                    <w:t>0.06</w:t>
                  </w:r>
                </w:p>
              </w:tc>
              <w:tc>
                <w:tcPr>
                  <w:tcW w:w="798" w:type="pct"/>
                  <w:vMerge w:val="restart"/>
                  <w:vAlign w:val="center"/>
                </w:tcPr>
                <w:p w:rsidR="00BC07F0" w:rsidRDefault="00073EFB">
                  <w:pPr>
                    <w:pStyle w:val="a7"/>
                    <w:rPr>
                      <w:rFonts w:hint="default"/>
                    </w:rPr>
                  </w:pPr>
                  <w:r>
                    <w:t>《环境空气质量标准》（</w:t>
                  </w:r>
                  <w:r>
                    <w:t>GB3095-2012</w:t>
                  </w:r>
                  <w:r>
                    <w:t>）</w:t>
                  </w:r>
                </w:p>
                <w:p w:rsidR="00BC07F0" w:rsidRDefault="00073EFB">
                  <w:pPr>
                    <w:pStyle w:val="a7"/>
                    <w:rPr>
                      <w:rFonts w:hint="default"/>
                    </w:rPr>
                  </w:pPr>
                  <w:r>
                    <w:t>二级标准</w:t>
                  </w:r>
                </w:p>
              </w:tc>
            </w:tr>
            <w:tr w:rsidR="00BC07F0">
              <w:trPr>
                <w:trHeight w:val="340"/>
                <w:jc w:val="center"/>
              </w:trPr>
              <w:tc>
                <w:tcPr>
                  <w:tcW w:w="834" w:type="pct"/>
                  <w:vMerge/>
                  <w:vAlign w:val="center"/>
                </w:tcPr>
                <w:p w:rsidR="00BC07F0" w:rsidRDefault="00BC07F0">
                  <w:pPr>
                    <w:pStyle w:val="a7"/>
                    <w:rPr>
                      <w:rFonts w:hint="default"/>
                    </w:rPr>
                  </w:pPr>
                </w:p>
              </w:tc>
              <w:tc>
                <w:tcPr>
                  <w:tcW w:w="1598" w:type="pct"/>
                  <w:vAlign w:val="center"/>
                </w:tcPr>
                <w:p w:rsidR="00BC07F0" w:rsidRDefault="00073EFB">
                  <w:pPr>
                    <w:pStyle w:val="a7"/>
                    <w:rPr>
                      <w:rFonts w:hint="default"/>
                    </w:rPr>
                  </w:pPr>
                  <w:r>
                    <w:t>24</w:t>
                  </w:r>
                  <w:r>
                    <w:t>小时平均</w:t>
                  </w:r>
                </w:p>
              </w:tc>
              <w:tc>
                <w:tcPr>
                  <w:tcW w:w="1769" w:type="pct"/>
                  <w:vAlign w:val="center"/>
                </w:tcPr>
                <w:p w:rsidR="00BC07F0" w:rsidRDefault="00073EFB">
                  <w:pPr>
                    <w:pStyle w:val="a7"/>
                    <w:rPr>
                      <w:rFonts w:hint="default"/>
                    </w:rPr>
                  </w:pPr>
                  <w:r>
                    <w:t>0.15</w:t>
                  </w:r>
                </w:p>
              </w:tc>
              <w:tc>
                <w:tcPr>
                  <w:tcW w:w="798" w:type="pct"/>
                  <w:vMerge/>
                  <w:vAlign w:val="center"/>
                </w:tcPr>
                <w:p w:rsidR="00BC07F0" w:rsidRDefault="00BC07F0">
                  <w:pPr>
                    <w:pStyle w:val="a7"/>
                    <w:rPr>
                      <w:rFonts w:hint="default"/>
                    </w:rPr>
                  </w:pPr>
                </w:p>
              </w:tc>
            </w:tr>
            <w:tr w:rsidR="00BC07F0">
              <w:trPr>
                <w:trHeight w:val="340"/>
                <w:jc w:val="center"/>
              </w:trPr>
              <w:tc>
                <w:tcPr>
                  <w:tcW w:w="834" w:type="pct"/>
                  <w:vMerge/>
                  <w:vAlign w:val="center"/>
                </w:tcPr>
                <w:p w:rsidR="00BC07F0" w:rsidRDefault="00BC07F0">
                  <w:pPr>
                    <w:pStyle w:val="a7"/>
                    <w:rPr>
                      <w:rFonts w:hint="default"/>
                    </w:rPr>
                  </w:pPr>
                </w:p>
              </w:tc>
              <w:tc>
                <w:tcPr>
                  <w:tcW w:w="1598" w:type="pct"/>
                  <w:vAlign w:val="center"/>
                </w:tcPr>
                <w:p w:rsidR="00BC07F0" w:rsidRDefault="00073EFB">
                  <w:pPr>
                    <w:pStyle w:val="a7"/>
                    <w:rPr>
                      <w:rFonts w:hint="default"/>
                    </w:rPr>
                  </w:pPr>
                  <w:r>
                    <w:t>1</w:t>
                  </w:r>
                  <w:r>
                    <w:t>小时均值</w:t>
                  </w:r>
                </w:p>
              </w:tc>
              <w:tc>
                <w:tcPr>
                  <w:tcW w:w="1769" w:type="pct"/>
                  <w:vAlign w:val="center"/>
                </w:tcPr>
                <w:p w:rsidR="00BC07F0" w:rsidRDefault="00073EFB">
                  <w:pPr>
                    <w:pStyle w:val="a7"/>
                    <w:rPr>
                      <w:rFonts w:hint="default"/>
                    </w:rPr>
                  </w:pPr>
                  <w:r>
                    <w:t>0.5</w:t>
                  </w:r>
                </w:p>
              </w:tc>
              <w:tc>
                <w:tcPr>
                  <w:tcW w:w="798" w:type="pct"/>
                  <w:vMerge/>
                  <w:vAlign w:val="center"/>
                </w:tcPr>
                <w:p w:rsidR="00BC07F0" w:rsidRDefault="00BC07F0">
                  <w:pPr>
                    <w:pStyle w:val="a7"/>
                    <w:rPr>
                      <w:rFonts w:hint="default"/>
                    </w:rPr>
                  </w:pPr>
                </w:p>
              </w:tc>
            </w:tr>
            <w:tr w:rsidR="00BC07F0">
              <w:trPr>
                <w:trHeight w:val="340"/>
                <w:jc w:val="center"/>
              </w:trPr>
              <w:tc>
                <w:tcPr>
                  <w:tcW w:w="834" w:type="pct"/>
                  <w:vMerge w:val="restart"/>
                  <w:vAlign w:val="center"/>
                </w:tcPr>
                <w:p w:rsidR="00BC07F0" w:rsidRDefault="00073EFB">
                  <w:pPr>
                    <w:pStyle w:val="a7"/>
                    <w:rPr>
                      <w:rFonts w:hint="default"/>
                    </w:rPr>
                  </w:pPr>
                  <w:r>
                    <w:t>NO2</w:t>
                  </w:r>
                </w:p>
              </w:tc>
              <w:tc>
                <w:tcPr>
                  <w:tcW w:w="1598" w:type="pct"/>
                  <w:vAlign w:val="center"/>
                </w:tcPr>
                <w:p w:rsidR="00BC07F0" w:rsidRDefault="00073EFB">
                  <w:pPr>
                    <w:pStyle w:val="a7"/>
                    <w:rPr>
                      <w:rFonts w:hint="default"/>
                    </w:rPr>
                  </w:pPr>
                  <w:r>
                    <w:t>年平均</w:t>
                  </w:r>
                </w:p>
              </w:tc>
              <w:tc>
                <w:tcPr>
                  <w:tcW w:w="1769" w:type="pct"/>
                  <w:vAlign w:val="center"/>
                </w:tcPr>
                <w:p w:rsidR="00BC07F0" w:rsidRDefault="00073EFB">
                  <w:pPr>
                    <w:pStyle w:val="a7"/>
                    <w:rPr>
                      <w:rFonts w:hint="default"/>
                    </w:rPr>
                  </w:pPr>
                  <w:r>
                    <w:t>0.04</w:t>
                  </w:r>
                </w:p>
              </w:tc>
              <w:tc>
                <w:tcPr>
                  <w:tcW w:w="798" w:type="pct"/>
                  <w:vMerge/>
                  <w:vAlign w:val="center"/>
                </w:tcPr>
                <w:p w:rsidR="00BC07F0" w:rsidRDefault="00BC07F0">
                  <w:pPr>
                    <w:pStyle w:val="a7"/>
                    <w:rPr>
                      <w:rFonts w:hint="default"/>
                    </w:rPr>
                  </w:pPr>
                </w:p>
              </w:tc>
            </w:tr>
            <w:tr w:rsidR="00BC07F0">
              <w:trPr>
                <w:trHeight w:val="340"/>
                <w:jc w:val="center"/>
              </w:trPr>
              <w:tc>
                <w:tcPr>
                  <w:tcW w:w="834" w:type="pct"/>
                  <w:vMerge/>
                  <w:vAlign w:val="center"/>
                </w:tcPr>
                <w:p w:rsidR="00BC07F0" w:rsidRDefault="00BC07F0">
                  <w:pPr>
                    <w:pStyle w:val="a7"/>
                    <w:rPr>
                      <w:rFonts w:hint="default"/>
                    </w:rPr>
                  </w:pPr>
                </w:p>
              </w:tc>
              <w:tc>
                <w:tcPr>
                  <w:tcW w:w="1598" w:type="pct"/>
                  <w:vAlign w:val="center"/>
                </w:tcPr>
                <w:p w:rsidR="00BC07F0" w:rsidRDefault="00073EFB">
                  <w:pPr>
                    <w:pStyle w:val="a7"/>
                    <w:rPr>
                      <w:rFonts w:hint="default"/>
                    </w:rPr>
                  </w:pPr>
                  <w:r>
                    <w:t>24</w:t>
                  </w:r>
                  <w:r>
                    <w:t>小时平均</w:t>
                  </w:r>
                </w:p>
              </w:tc>
              <w:tc>
                <w:tcPr>
                  <w:tcW w:w="1769" w:type="pct"/>
                  <w:vAlign w:val="center"/>
                </w:tcPr>
                <w:p w:rsidR="00BC07F0" w:rsidRDefault="00073EFB">
                  <w:pPr>
                    <w:pStyle w:val="a7"/>
                    <w:rPr>
                      <w:rFonts w:hint="default"/>
                    </w:rPr>
                  </w:pPr>
                  <w:r>
                    <w:t>0.08</w:t>
                  </w:r>
                </w:p>
              </w:tc>
              <w:tc>
                <w:tcPr>
                  <w:tcW w:w="798" w:type="pct"/>
                  <w:vMerge/>
                  <w:vAlign w:val="center"/>
                </w:tcPr>
                <w:p w:rsidR="00BC07F0" w:rsidRDefault="00BC07F0">
                  <w:pPr>
                    <w:pStyle w:val="a7"/>
                    <w:rPr>
                      <w:rFonts w:hint="default"/>
                    </w:rPr>
                  </w:pPr>
                </w:p>
              </w:tc>
            </w:tr>
            <w:tr w:rsidR="00BC07F0">
              <w:trPr>
                <w:trHeight w:val="340"/>
                <w:jc w:val="center"/>
              </w:trPr>
              <w:tc>
                <w:tcPr>
                  <w:tcW w:w="834" w:type="pct"/>
                  <w:vMerge/>
                  <w:vAlign w:val="center"/>
                </w:tcPr>
                <w:p w:rsidR="00BC07F0" w:rsidRDefault="00BC07F0">
                  <w:pPr>
                    <w:pStyle w:val="a7"/>
                    <w:rPr>
                      <w:rFonts w:hint="default"/>
                    </w:rPr>
                  </w:pPr>
                </w:p>
              </w:tc>
              <w:tc>
                <w:tcPr>
                  <w:tcW w:w="1598" w:type="pct"/>
                  <w:vAlign w:val="center"/>
                </w:tcPr>
                <w:p w:rsidR="00BC07F0" w:rsidRDefault="00073EFB">
                  <w:pPr>
                    <w:pStyle w:val="a7"/>
                    <w:rPr>
                      <w:rFonts w:hint="default"/>
                    </w:rPr>
                  </w:pPr>
                  <w:r>
                    <w:t>1</w:t>
                  </w:r>
                  <w:r>
                    <w:t>小时均值</w:t>
                  </w:r>
                </w:p>
              </w:tc>
              <w:tc>
                <w:tcPr>
                  <w:tcW w:w="1769" w:type="pct"/>
                  <w:vAlign w:val="center"/>
                </w:tcPr>
                <w:p w:rsidR="00BC07F0" w:rsidRDefault="00073EFB">
                  <w:pPr>
                    <w:pStyle w:val="a7"/>
                    <w:rPr>
                      <w:rFonts w:hint="default"/>
                    </w:rPr>
                  </w:pPr>
                  <w:r>
                    <w:t>0.2</w:t>
                  </w:r>
                </w:p>
              </w:tc>
              <w:tc>
                <w:tcPr>
                  <w:tcW w:w="798" w:type="pct"/>
                  <w:vMerge/>
                  <w:vAlign w:val="center"/>
                </w:tcPr>
                <w:p w:rsidR="00BC07F0" w:rsidRDefault="00BC07F0">
                  <w:pPr>
                    <w:pStyle w:val="a7"/>
                    <w:rPr>
                      <w:rFonts w:hint="default"/>
                    </w:rPr>
                  </w:pPr>
                </w:p>
              </w:tc>
            </w:tr>
            <w:tr w:rsidR="00BC07F0">
              <w:trPr>
                <w:trHeight w:val="340"/>
                <w:jc w:val="center"/>
              </w:trPr>
              <w:tc>
                <w:tcPr>
                  <w:tcW w:w="834" w:type="pct"/>
                  <w:vMerge w:val="restart"/>
                  <w:vAlign w:val="center"/>
                </w:tcPr>
                <w:p w:rsidR="00BC07F0" w:rsidRDefault="00073EFB">
                  <w:pPr>
                    <w:pStyle w:val="a7"/>
                    <w:rPr>
                      <w:rFonts w:hint="default"/>
                    </w:rPr>
                  </w:pPr>
                  <w:r>
                    <w:t>PM10</w:t>
                  </w:r>
                </w:p>
              </w:tc>
              <w:tc>
                <w:tcPr>
                  <w:tcW w:w="1598" w:type="pct"/>
                  <w:vAlign w:val="center"/>
                </w:tcPr>
                <w:p w:rsidR="00BC07F0" w:rsidRDefault="00073EFB">
                  <w:pPr>
                    <w:pStyle w:val="a7"/>
                    <w:rPr>
                      <w:rFonts w:hint="default"/>
                    </w:rPr>
                  </w:pPr>
                  <w:r>
                    <w:t>年平均</w:t>
                  </w:r>
                </w:p>
              </w:tc>
              <w:tc>
                <w:tcPr>
                  <w:tcW w:w="1769" w:type="pct"/>
                  <w:vAlign w:val="center"/>
                </w:tcPr>
                <w:p w:rsidR="00BC07F0" w:rsidRDefault="00073EFB">
                  <w:pPr>
                    <w:pStyle w:val="a7"/>
                    <w:rPr>
                      <w:rFonts w:hint="default"/>
                    </w:rPr>
                  </w:pPr>
                  <w:r>
                    <w:t>0.07</w:t>
                  </w:r>
                </w:p>
              </w:tc>
              <w:tc>
                <w:tcPr>
                  <w:tcW w:w="798" w:type="pct"/>
                  <w:vMerge/>
                  <w:vAlign w:val="center"/>
                </w:tcPr>
                <w:p w:rsidR="00BC07F0" w:rsidRDefault="00BC07F0">
                  <w:pPr>
                    <w:pStyle w:val="a7"/>
                    <w:rPr>
                      <w:rFonts w:hint="default"/>
                    </w:rPr>
                  </w:pPr>
                </w:p>
              </w:tc>
            </w:tr>
            <w:tr w:rsidR="00BC07F0">
              <w:trPr>
                <w:trHeight w:val="340"/>
                <w:jc w:val="center"/>
              </w:trPr>
              <w:tc>
                <w:tcPr>
                  <w:tcW w:w="834" w:type="pct"/>
                  <w:vMerge/>
                  <w:vAlign w:val="center"/>
                </w:tcPr>
                <w:p w:rsidR="00BC07F0" w:rsidRDefault="00BC07F0">
                  <w:pPr>
                    <w:pStyle w:val="a7"/>
                    <w:rPr>
                      <w:rFonts w:hint="default"/>
                    </w:rPr>
                  </w:pPr>
                </w:p>
              </w:tc>
              <w:tc>
                <w:tcPr>
                  <w:tcW w:w="1598" w:type="pct"/>
                  <w:vAlign w:val="center"/>
                </w:tcPr>
                <w:p w:rsidR="00BC07F0" w:rsidRDefault="00073EFB">
                  <w:pPr>
                    <w:pStyle w:val="a7"/>
                    <w:rPr>
                      <w:rFonts w:hint="default"/>
                    </w:rPr>
                  </w:pPr>
                  <w:r>
                    <w:t>24</w:t>
                  </w:r>
                  <w:r>
                    <w:t>小时平均</w:t>
                  </w:r>
                </w:p>
              </w:tc>
              <w:tc>
                <w:tcPr>
                  <w:tcW w:w="1769" w:type="pct"/>
                  <w:vAlign w:val="center"/>
                </w:tcPr>
                <w:p w:rsidR="00BC07F0" w:rsidRDefault="00073EFB">
                  <w:pPr>
                    <w:pStyle w:val="a7"/>
                    <w:rPr>
                      <w:rFonts w:hint="default"/>
                    </w:rPr>
                  </w:pPr>
                  <w:r>
                    <w:t>0.15</w:t>
                  </w:r>
                </w:p>
              </w:tc>
              <w:tc>
                <w:tcPr>
                  <w:tcW w:w="798" w:type="pct"/>
                  <w:vMerge/>
                  <w:vAlign w:val="center"/>
                </w:tcPr>
                <w:p w:rsidR="00BC07F0" w:rsidRDefault="00BC07F0">
                  <w:pPr>
                    <w:pStyle w:val="a7"/>
                    <w:rPr>
                      <w:rFonts w:hint="default"/>
                    </w:rPr>
                  </w:pPr>
                </w:p>
              </w:tc>
            </w:tr>
            <w:tr w:rsidR="00BC07F0">
              <w:trPr>
                <w:trHeight w:val="340"/>
                <w:jc w:val="center"/>
              </w:trPr>
              <w:tc>
                <w:tcPr>
                  <w:tcW w:w="834" w:type="pct"/>
                  <w:vMerge w:val="restart"/>
                  <w:vAlign w:val="center"/>
                </w:tcPr>
                <w:p w:rsidR="00BC07F0" w:rsidRDefault="00073EFB">
                  <w:pPr>
                    <w:pStyle w:val="a7"/>
                    <w:rPr>
                      <w:rFonts w:hint="default"/>
                    </w:rPr>
                  </w:pPr>
                  <w:r>
                    <w:t>CO</w:t>
                  </w:r>
                </w:p>
              </w:tc>
              <w:tc>
                <w:tcPr>
                  <w:tcW w:w="1598" w:type="pct"/>
                  <w:vAlign w:val="center"/>
                </w:tcPr>
                <w:p w:rsidR="00BC07F0" w:rsidRDefault="00073EFB">
                  <w:pPr>
                    <w:pStyle w:val="a7"/>
                    <w:rPr>
                      <w:rFonts w:hint="default"/>
                    </w:rPr>
                  </w:pPr>
                  <w:r>
                    <w:t>24</w:t>
                  </w:r>
                  <w:r>
                    <w:t>小时平均</w:t>
                  </w:r>
                </w:p>
              </w:tc>
              <w:tc>
                <w:tcPr>
                  <w:tcW w:w="1769" w:type="pct"/>
                  <w:vAlign w:val="center"/>
                </w:tcPr>
                <w:p w:rsidR="00BC07F0" w:rsidRDefault="00073EFB">
                  <w:pPr>
                    <w:pStyle w:val="a7"/>
                    <w:rPr>
                      <w:rFonts w:hint="default"/>
                    </w:rPr>
                  </w:pPr>
                  <w:r>
                    <w:t>4</w:t>
                  </w:r>
                </w:p>
              </w:tc>
              <w:tc>
                <w:tcPr>
                  <w:tcW w:w="798" w:type="pct"/>
                  <w:vMerge/>
                  <w:vAlign w:val="center"/>
                </w:tcPr>
                <w:p w:rsidR="00BC07F0" w:rsidRDefault="00BC07F0">
                  <w:pPr>
                    <w:pStyle w:val="a7"/>
                    <w:rPr>
                      <w:rFonts w:hint="default"/>
                    </w:rPr>
                  </w:pPr>
                </w:p>
              </w:tc>
            </w:tr>
            <w:tr w:rsidR="00BC07F0">
              <w:trPr>
                <w:trHeight w:val="340"/>
                <w:jc w:val="center"/>
              </w:trPr>
              <w:tc>
                <w:tcPr>
                  <w:tcW w:w="834" w:type="pct"/>
                  <w:vMerge/>
                  <w:vAlign w:val="center"/>
                </w:tcPr>
                <w:p w:rsidR="00BC07F0" w:rsidRDefault="00BC07F0">
                  <w:pPr>
                    <w:pStyle w:val="a7"/>
                    <w:rPr>
                      <w:rFonts w:hint="default"/>
                    </w:rPr>
                  </w:pPr>
                </w:p>
              </w:tc>
              <w:tc>
                <w:tcPr>
                  <w:tcW w:w="1598" w:type="pct"/>
                  <w:vAlign w:val="center"/>
                </w:tcPr>
                <w:p w:rsidR="00BC07F0" w:rsidRDefault="00073EFB">
                  <w:pPr>
                    <w:pStyle w:val="a7"/>
                    <w:rPr>
                      <w:rFonts w:hint="default"/>
                    </w:rPr>
                  </w:pPr>
                  <w:r>
                    <w:t>1</w:t>
                  </w:r>
                  <w:r>
                    <w:t>小时均值</w:t>
                  </w:r>
                </w:p>
              </w:tc>
              <w:tc>
                <w:tcPr>
                  <w:tcW w:w="1769" w:type="pct"/>
                  <w:vAlign w:val="center"/>
                </w:tcPr>
                <w:p w:rsidR="00BC07F0" w:rsidRDefault="00073EFB">
                  <w:pPr>
                    <w:pStyle w:val="a7"/>
                    <w:rPr>
                      <w:rFonts w:hint="default"/>
                    </w:rPr>
                  </w:pPr>
                  <w:r>
                    <w:t>10</w:t>
                  </w:r>
                </w:p>
              </w:tc>
              <w:tc>
                <w:tcPr>
                  <w:tcW w:w="798" w:type="pct"/>
                  <w:vMerge/>
                  <w:vAlign w:val="center"/>
                </w:tcPr>
                <w:p w:rsidR="00BC07F0" w:rsidRDefault="00BC07F0">
                  <w:pPr>
                    <w:pStyle w:val="a7"/>
                    <w:rPr>
                      <w:rFonts w:hint="default"/>
                    </w:rPr>
                  </w:pPr>
                </w:p>
              </w:tc>
            </w:tr>
            <w:tr w:rsidR="00BC07F0">
              <w:trPr>
                <w:trHeight w:val="340"/>
                <w:jc w:val="center"/>
              </w:trPr>
              <w:tc>
                <w:tcPr>
                  <w:tcW w:w="834" w:type="pct"/>
                  <w:vMerge w:val="restart"/>
                  <w:vAlign w:val="center"/>
                </w:tcPr>
                <w:p w:rsidR="00BC07F0" w:rsidRDefault="00073EFB">
                  <w:pPr>
                    <w:pStyle w:val="a7"/>
                    <w:rPr>
                      <w:rFonts w:hint="default"/>
                    </w:rPr>
                  </w:pPr>
                  <w:r>
                    <w:t>PM2.5</w:t>
                  </w:r>
                </w:p>
              </w:tc>
              <w:tc>
                <w:tcPr>
                  <w:tcW w:w="1598" w:type="pct"/>
                  <w:vAlign w:val="center"/>
                </w:tcPr>
                <w:p w:rsidR="00BC07F0" w:rsidRDefault="00073EFB">
                  <w:pPr>
                    <w:pStyle w:val="a7"/>
                    <w:rPr>
                      <w:rFonts w:hint="default"/>
                    </w:rPr>
                  </w:pPr>
                  <w:r>
                    <w:t>年平均</w:t>
                  </w:r>
                </w:p>
              </w:tc>
              <w:tc>
                <w:tcPr>
                  <w:tcW w:w="1769" w:type="pct"/>
                  <w:vAlign w:val="center"/>
                </w:tcPr>
                <w:p w:rsidR="00BC07F0" w:rsidRDefault="00073EFB">
                  <w:pPr>
                    <w:pStyle w:val="a7"/>
                    <w:rPr>
                      <w:rFonts w:hint="default"/>
                    </w:rPr>
                  </w:pPr>
                  <w:r>
                    <w:t>0.035</w:t>
                  </w:r>
                </w:p>
              </w:tc>
              <w:tc>
                <w:tcPr>
                  <w:tcW w:w="798" w:type="pct"/>
                  <w:vMerge/>
                  <w:vAlign w:val="center"/>
                </w:tcPr>
                <w:p w:rsidR="00BC07F0" w:rsidRDefault="00BC07F0">
                  <w:pPr>
                    <w:pStyle w:val="a7"/>
                    <w:rPr>
                      <w:rFonts w:hint="default"/>
                    </w:rPr>
                  </w:pPr>
                </w:p>
              </w:tc>
            </w:tr>
            <w:tr w:rsidR="00BC07F0">
              <w:trPr>
                <w:trHeight w:val="340"/>
                <w:jc w:val="center"/>
              </w:trPr>
              <w:tc>
                <w:tcPr>
                  <w:tcW w:w="834" w:type="pct"/>
                  <w:vMerge/>
                  <w:vAlign w:val="center"/>
                </w:tcPr>
                <w:p w:rsidR="00BC07F0" w:rsidRDefault="00BC07F0">
                  <w:pPr>
                    <w:pStyle w:val="a7"/>
                    <w:rPr>
                      <w:rFonts w:hint="default"/>
                    </w:rPr>
                  </w:pPr>
                </w:p>
              </w:tc>
              <w:tc>
                <w:tcPr>
                  <w:tcW w:w="1598" w:type="pct"/>
                  <w:vAlign w:val="center"/>
                </w:tcPr>
                <w:p w:rsidR="00BC07F0" w:rsidRDefault="00073EFB">
                  <w:pPr>
                    <w:pStyle w:val="a7"/>
                    <w:rPr>
                      <w:rFonts w:hint="default"/>
                    </w:rPr>
                  </w:pPr>
                  <w:r>
                    <w:t>24</w:t>
                  </w:r>
                  <w:r>
                    <w:t>小时平均</w:t>
                  </w:r>
                </w:p>
              </w:tc>
              <w:tc>
                <w:tcPr>
                  <w:tcW w:w="1769" w:type="pct"/>
                  <w:vAlign w:val="center"/>
                </w:tcPr>
                <w:p w:rsidR="00BC07F0" w:rsidRDefault="00073EFB">
                  <w:pPr>
                    <w:pStyle w:val="a7"/>
                    <w:rPr>
                      <w:rFonts w:hint="default"/>
                    </w:rPr>
                  </w:pPr>
                  <w:r>
                    <w:t>0.075</w:t>
                  </w:r>
                </w:p>
              </w:tc>
              <w:tc>
                <w:tcPr>
                  <w:tcW w:w="798" w:type="pct"/>
                  <w:vMerge/>
                  <w:vAlign w:val="center"/>
                </w:tcPr>
                <w:p w:rsidR="00BC07F0" w:rsidRDefault="00BC07F0">
                  <w:pPr>
                    <w:pStyle w:val="a7"/>
                    <w:rPr>
                      <w:rFonts w:hint="default"/>
                    </w:rPr>
                  </w:pPr>
                </w:p>
              </w:tc>
            </w:tr>
            <w:tr w:rsidR="00BC07F0">
              <w:trPr>
                <w:trHeight w:val="340"/>
                <w:jc w:val="center"/>
              </w:trPr>
              <w:tc>
                <w:tcPr>
                  <w:tcW w:w="834" w:type="pct"/>
                  <w:vMerge w:val="restart"/>
                  <w:vAlign w:val="center"/>
                </w:tcPr>
                <w:p w:rsidR="00BC07F0" w:rsidRDefault="00073EFB">
                  <w:pPr>
                    <w:pStyle w:val="a7"/>
                    <w:rPr>
                      <w:rFonts w:hint="default"/>
                    </w:rPr>
                  </w:pPr>
                  <w:r>
                    <w:t>TSP</w:t>
                  </w:r>
                </w:p>
              </w:tc>
              <w:tc>
                <w:tcPr>
                  <w:tcW w:w="1598" w:type="pct"/>
                  <w:vAlign w:val="center"/>
                </w:tcPr>
                <w:p w:rsidR="00BC07F0" w:rsidRDefault="00073EFB">
                  <w:pPr>
                    <w:pStyle w:val="a7"/>
                    <w:rPr>
                      <w:rFonts w:hint="default"/>
                    </w:rPr>
                  </w:pPr>
                  <w:r>
                    <w:t>年平均</w:t>
                  </w:r>
                </w:p>
              </w:tc>
              <w:tc>
                <w:tcPr>
                  <w:tcW w:w="1769" w:type="pct"/>
                  <w:vAlign w:val="center"/>
                </w:tcPr>
                <w:p w:rsidR="00BC07F0" w:rsidRDefault="00073EFB">
                  <w:pPr>
                    <w:pStyle w:val="a7"/>
                    <w:rPr>
                      <w:rFonts w:hint="default"/>
                    </w:rPr>
                  </w:pPr>
                  <w:r>
                    <w:t>0.2</w:t>
                  </w:r>
                </w:p>
              </w:tc>
              <w:tc>
                <w:tcPr>
                  <w:tcW w:w="798" w:type="pct"/>
                  <w:vMerge/>
                  <w:vAlign w:val="center"/>
                </w:tcPr>
                <w:p w:rsidR="00BC07F0" w:rsidRDefault="00BC07F0">
                  <w:pPr>
                    <w:pStyle w:val="a7"/>
                    <w:rPr>
                      <w:rFonts w:hint="default"/>
                    </w:rPr>
                  </w:pPr>
                </w:p>
              </w:tc>
            </w:tr>
            <w:tr w:rsidR="00BC07F0">
              <w:trPr>
                <w:trHeight w:val="340"/>
                <w:jc w:val="center"/>
              </w:trPr>
              <w:tc>
                <w:tcPr>
                  <w:tcW w:w="834" w:type="pct"/>
                  <w:vMerge/>
                  <w:vAlign w:val="center"/>
                </w:tcPr>
                <w:p w:rsidR="00BC07F0" w:rsidRDefault="00BC07F0">
                  <w:pPr>
                    <w:pStyle w:val="a7"/>
                    <w:rPr>
                      <w:rFonts w:hint="default"/>
                    </w:rPr>
                  </w:pPr>
                </w:p>
              </w:tc>
              <w:tc>
                <w:tcPr>
                  <w:tcW w:w="1598" w:type="pct"/>
                  <w:vAlign w:val="center"/>
                </w:tcPr>
                <w:p w:rsidR="00BC07F0" w:rsidRDefault="00073EFB">
                  <w:pPr>
                    <w:pStyle w:val="a7"/>
                    <w:rPr>
                      <w:rFonts w:hint="default"/>
                    </w:rPr>
                  </w:pPr>
                  <w:r>
                    <w:t>24</w:t>
                  </w:r>
                  <w:r>
                    <w:t>小时平均</w:t>
                  </w:r>
                </w:p>
              </w:tc>
              <w:tc>
                <w:tcPr>
                  <w:tcW w:w="1769" w:type="pct"/>
                  <w:vAlign w:val="center"/>
                </w:tcPr>
                <w:p w:rsidR="00BC07F0" w:rsidRDefault="00073EFB">
                  <w:pPr>
                    <w:pStyle w:val="a7"/>
                    <w:rPr>
                      <w:rFonts w:hint="default"/>
                    </w:rPr>
                  </w:pPr>
                  <w:r>
                    <w:t>0.3</w:t>
                  </w:r>
                </w:p>
              </w:tc>
              <w:tc>
                <w:tcPr>
                  <w:tcW w:w="798" w:type="pct"/>
                  <w:vMerge/>
                  <w:vAlign w:val="center"/>
                </w:tcPr>
                <w:p w:rsidR="00BC07F0" w:rsidRDefault="00BC07F0">
                  <w:pPr>
                    <w:pStyle w:val="a7"/>
                    <w:rPr>
                      <w:rFonts w:hint="default"/>
                    </w:rPr>
                  </w:pPr>
                </w:p>
              </w:tc>
            </w:tr>
            <w:tr w:rsidR="00BC07F0">
              <w:trPr>
                <w:trHeight w:val="340"/>
                <w:jc w:val="center"/>
              </w:trPr>
              <w:tc>
                <w:tcPr>
                  <w:tcW w:w="834" w:type="pct"/>
                  <w:vMerge w:val="restart"/>
                  <w:vAlign w:val="center"/>
                </w:tcPr>
                <w:p w:rsidR="00BC07F0" w:rsidRDefault="00073EFB">
                  <w:pPr>
                    <w:pStyle w:val="a7"/>
                    <w:rPr>
                      <w:rFonts w:hint="default"/>
                    </w:rPr>
                  </w:pPr>
                  <w:r>
                    <w:t>O3</w:t>
                  </w:r>
                </w:p>
              </w:tc>
              <w:tc>
                <w:tcPr>
                  <w:tcW w:w="1598" w:type="pct"/>
                  <w:vAlign w:val="center"/>
                </w:tcPr>
                <w:p w:rsidR="00BC07F0" w:rsidRDefault="00073EFB">
                  <w:pPr>
                    <w:pStyle w:val="a7"/>
                    <w:rPr>
                      <w:rFonts w:hint="default"/>
                    </w:rPr>
                  </w:pPr>
                  <w:r>
                    <w:t>8</w:t>
                  </w:r>
                  <w:r>
                    <w:t>小时平均</w:t>
                  </w:r>
                </w:p>
              </w:tc>
              <w:tc>
                <w:tcPr>
                  <w:tcW w:w="1769" w:type="pct"/>
                  <w:vAlign w:val="center"/>
                </w:tcPr>
                <w:p w:rsidR="00BC07F0" w:rsidRDefault="00073EFB">
                  <w:pPr>
                    <w:pStyle w:val="a7"/>
                    <w:rPr>
                      <w:rFonts w:hint="default"/>
                    </w:rPr>
                  </w:pPr>
                  <w:r>
                    <w:t>0.16</w:t>
                  </w:r>
                </w:p>
              </w:tc>
              <w:tc>
                <w:tcPr>
                  <w:tcW w:w="798" w:type="pct"/>
                  <w:vMerge/>
                  <w:vAlign w:val="center"/>
                </w:tcPr>
                <w:p w:rsidR="00BC07F0" w:rsidRDefault="00BC07F0">
                  <w:pPr>
                    <w:pStyle w:val="a7"/>
                    <w:rPr>
                      <w:rFonts w:hint="default"/>
                    </w:rPr>
                  </w:pPr>
                </w:p>
              </w:tc>
            </w:tr>
            <w:tr w:rsidR="00BC07F0">
              <w:trPr>
                <w:trHeight w:val="340"/>
                <w:jc w:val="center"/>
              </w:trPr>
              <w:tc>
                <w:tcPr>
                  <w:tcW w:w="834" w:type="pct"/>
                  <w:vMerge/>
                  <w:vAlign w:val="center"/>
                </w:tcPr>
                <w:p w:rsidR="00BC07F0" w:rsidRDefault="00BC07F0">
                  <w:pPr>
                    <w:pStyle w:val="a7"/>
                    <w:rPr>
                      <w:rFonts w:hint="default"/>
                    </w:rPr>
                  </w:pPr>
                </w:p>
              </w:tc>
              <w:tc>
                <w:tcPr>
                  <w:tcW w:w="1598" w:type="pct"/>
                  <w:vAlign w:val="center"/>
                </w:tcPr>
                <w:p w:rsidR="00BC07F0" w:rsidRDefault="00073EFB">
                  <w:pPr>
                    <w:pStyle w:val="a7"/>
                    <w:rPr>
                      <w:rFonts w:hint="default"/>
                    </w:rPr>
                  </w:pPr>
                  <w:r>
                    <w:t>1</w:t>
                  </w:r>
                  <w:r>
                    <w:t>小时平均</w:t>
                  </w:r>
                </w:p>
              </w:tc>
              <w:tc>
                <w:tcPr>
                  <w:tcW w:w="1769" w:type="pct"/>
                  <w:vAlign w:val="center"/>
                </w:tcPr>
                <w:p w:rsidR="00BC07F0" w:rsidRDefault="00073EFB">
                  <w:pPr>
                    <w:pStyle w:val="a7"/>
                    <w:rPr>
                      <w:rFonts w:hint="default"/>
                    </w:rPr>
                  </w:pPr>
                  <w:r>
                    <w:t>0.2</w:t>
                  </w:r>
                </w:p>
              </w:tc>
              <w:tc>
                <w:tcPr>
                  <w:tcW w:w="798" w:type="pct"/>
                  <w:vMerge/>
                  <w:vAlign w:val="center"/>
                </w:tcPr>
                <w:p w:rsidR="00BC07F0" w:rsidRDefault="00BC07F0">
                  <w:pPr>
                    <w:pStyle w:val="a7"/>
                    <w:rPr>
                      <w:rFonts w:hint="default"/>
                    </w:rPr>
                  </w:pPr>
                </w:p>
              </w:tc>
            </w:tr>
          </w:tbl>
          <w:p w:rsidR="00BC07F0" w:rsidRDefault="00073EFB">
            <w:pPr>
              <w:tabs>
                <w:tab w:val="left" w:pos="480"/>
              </w:tabs>
              <w:ind w:firstLine="482"/>
              <w:rPr>
                <w:b/>
                <w:bCs/>
              </w:rPr>
            </w:pPr>
            <w:r>
              <w:rPr>
                <w:rFonts w:hint="eastAsia"/>
                <w:b/>
                <w:bCs/>
              </w:rPr>
              <w:t>3.8.</w:t>
            </w:r>
            <w:r>
              <w:rPr>
                <w:rFonts w:hint="eastAsia"/>
                <w:b/>
                <w:bCs/>
              </w:rPr>
              <w:t>2</w:t>
            </w:r>
            <w:r>
              <w:rPr>
                <w:b/>
                <w:bCs/>
              </w:rPr>
              <w:t>地表水</w:t>
            </w:r>
            <w:r>
              <w:rPr>
                <w:rFonts w:hint="eastAsia"/>
                <w:b/>
                <w:bCs/>
              </w:rPr>
              <w:t>环境</w:t>
            </w:r>
            <w:r>
              <w:rPr>
                <w:b/>
                <w:bCs/>
              </w:rPr>
              <w:t>质量标准</w:t>
            </w:r>
          </w:p>
          <w:p w:rsidR="00BC07F0" w:rsidRDefault="00073EFB">
            <w:pPr>
              <w:tabs>
                <w:tab w:val="left" w:pos="480"/>
              </w:tabs>
              <w:ind w:firstLine="480"/>
            </w:pPr>
            <w:r>
              <w:lastRenderedPageBreak/>
              <w:t>执行《地表水环境质量标准》（</w:t>
            </w:r>
            <w:r>
              <w:t>GB3838-2002</w:t>
            </w:r>
            <w:r>
              <w:t>）</w:t>
            </w:r>
            <w:r>
              <w:rPr>
                <w:rFonts w:hint="eastAsia"/>
              </w:rPr>
              <w:t>中</w:t>
            </w:r>
            <w:r>
              <w:rPr>
                <w:rFonts w:hint="eastAsia"/>
              </w:rPr>
              <w:t>Ⅲ</w:t>
            </w:r>
            <w:r>
              <w:t>类标准。</w:t>
            </w:r>
          </w:p>
          <w:p w:rsidR="00BC07F0" w:rsidRDefault="00073EFB">
            <w:pPr>
              <w:pStyle w:val="a7"/>
              <w:rPr>
                <w:rFonts w:hint="default"/>
                <w:b/>
                <w:bCs/>
              </w:rPr>
            </w:pPr>
            <w:r>
              <w:rPr>
                <w:b/>
                <w:bCs/>
              </w:rPr>
              <w:t>表</w:t>
            </w:r>
            <w:r>
              <w:rPr>
                <w:b/>
                <w:bCs/>
              </w:rPr>
              <w:t>3</w:t>
            </w:r>
            <w:r>
              <w:rPr>
                <w:b/>
                <w:bCs/>
              </w:rPr>
              <w:t>.8-2</w:t>
            </w:r>
            <w:r>
              <w:rPr>
                <w:b/>
                <w:bCs/>
              </w:rPr>
              <w:t>地表水环境质量标准（</w:t>
            </w:r>
            <w:r>
              <w:rPr>
                <w:b/>
                <w:bCs/>
              </w:rPr>
              <w:t>GB3838-2002</w:t>
            </w:r>
            <w:r>
              <w:rPr>
                <w:b/>
                <w:bCs/>
              </w:rPr>
              <w:t>）单位：</w:t>
            </w:r>
            <w:r>
              <w:rPr>
                <w:b/>
                <w:bCs/>
              </w:rPr>
              <w:t>mg/L</w:t>
            </w:r>
            <w:r>
              <w:rPr>
                <w:b/>
                <w:bCs/>
              </w:rPr>
              <w:t>（</w:t>
            </w:r>
            <w:r>
              <w:rPr>
                <w:b/>
                <w:bCs/>
              </w:rPr>
              <w:t>pH</w:t>
            </w:r>
            <w:r>
              <w:rPr>
                <w:b/>
                <w:bCs/>
              </w:rPr>
              <w:t>除外）</w:t>
            </w: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5"/>
              <w:gridCol w:w="3442"/>
              <w:gridCol w:w="4672"/>
            </w:tblGrid>
            <w:tr w:rsidR="00BC07F0">
              <w:trPr>
                <w:trHeight w:val="397"/>
                <w:jc w:val="center"/>
              </w:trPr>
              <w:tc>
                <w:tcPr>
                  <w:tcW w:w="904" w:type="dxa"/>
                  <w:vMerge w:val="restart"/>
                  <w:noWrap/>
                  <w:vAlign w:val="center"/>
                </w:tcPr>
                <w:p w:rsidR="00BC07F0" w:rsidRDefault="00073EFB">
                  <w:pPr>
                    <w:pStyle w:val="a7"/>
                    <w:rPr>
                      <w:rFonts w:hint="default"/>
                    </w:rPr>
                  </w:pPr>
                  <w:r>
                    <w:t>序号</w:t>
                  </w:r>
                </w:p>
              </w:tc>
              <w:tc>
                <w:tcPr>
                  <w:tcW w:w="3536" w:type="dxa"/>
                  <w:vMerge w:val="restart"/>
                  <w:vAlign w:val="center"/>
                </w:tcPr>
                <w:p w:rsidR="00BC07F0" w:rsidRDefault="00073EFB">
                  <w:pPr>
                    <w:pStyle w:val="a7"/>
                    <w:rPr>
                      <w:rFonts w:hint="default"/>
                    </w:rPr>
                  </w:pPr>
                  <w:r>
                    <w:t>检测项目</w:t>
                  </w:r>
                </w:p>
              </w:tc>
              <w:tc>
                <w:tcPr>
                  <w:tcW w:w="4801" w:type="dxa"/>
                  <w:vMerge w:val="restart"/>
                  <w:vAlign w:val="center"/>
                </w:tcPr>
                <w:p w:rsidR="00BC07F0" w:rsidRDefault="00073EFB">
                  <w:pPr>
                    <w:pStyle w:val="a7"/>
                    <w:rPr>
                      <w:rFonts w:hint="default"/>
                    </w:rPr>
                  </w:pPr>
                  <w:r>
                    <w:t>参考限值</w:t>
                  </w:r>
                </w:p>
              </w:tc>
            </w:tr>
            <w:tr w:rsidR="00BC07F0">
              <w:trPr>
                <w:trHeight w:val="397"/>
                <w:jc w:val="center"/>
              </w:trPr>
              <w:tc>
                <w:tcPr>
                  <w:tcW w:w="904" w:type="dxa"/>
                  <w:vMerge/>
                  <w:noWrap/>
                  <w:vAlign w:val="center"/>
                </w:tcPr>
                <w:p w:rsidR="00BC07F0" w:rsidRDefault="00BC07F0">
                  <w:pPr>
                    <w:pStyle w:val="a7"/>
                    <w:rPr>
                      <w:rFonts w:hint="default"/>
                    </w:rPr>
                  </w:pPr>
                </w:p>
              </w:tc>
              <w:tc>
                <w:tcPr>
                  <w:tcW w:w="3536" w:type="dxa"/>
                  <w:vMerge/>
                  <w:vAlign w:val="center"/>
                </w:tcPr>
                <w:p w:rsidR="00BC07F0" w:rsidRDefault="00BC07F0">
                  <w:pPr>
                    <w:pStyle w:val="a7"/>
                    <w:rPr>
                      <w:rFonts w:hint="default"/>
                    </w:rPr>
                  </w:pPr>
                </w:p>
              </w:tc>
              <w:tc>
                <w:tcPr>
                  <w:tcW w:w="4801" w:type="dxa"/>
                  <w:vMerge/>
                  <w:vAlign w:val="center"/>
                </w:tcPr>
                <w:p w:rsidR="00BC07F0" w:rsidRDefault="00BC07F0">
                  <w:pPr>
                    <w:pStyle w:val="a7"/>
                    <w:rPr>
                      <w:rFonts w:hint="default"/>
                    </w:rPr>
                  </w:pPr>
                </w:p>
              </w:tc>
            </w:tr>
            <w:tr w:rsidR="00BC07F0">
              <w:trPr>
                <w:trHeight w:val="397"/>
                <w:jc w:val="center"/>
              </w:trPr>
              <w:tc>
                <w:tcPr>
                  <w:tcW w:w="904" w:type="dxa"/>
                  <w:noWrap/>
                  <w:vAlign w:val="center"/>
                </w:tcPr>
                <w:p w:rsidR="00BC07F0" w:rsidRDefault="00073EFB">
                  <w:pPr>
                    <w:pStyle w:val="a7"/>
                    <w:rPr>
                      <w:rFonts w:hint="default"/>
                    </w:rPr>
                  </w:pPr>
                  <w:r>
                    <w:t>1</w:t>
                  </w:r>
                </w:p>
              </w:tc>
              <w:tc>
                <w:tcPr>
                  <w:tcW w:w="3536" w:type="dxa"/>
                  <w:vAlign w:val="center"/>
                </w:tcPr>
                <w:p w:rsidR="00BC07F0" w:rsidRDefault="00073EFB">
                  <w:pPr>
                    <w:pStyle w:val="a7"/>
                    <w:rPr>
                      <w:rFonts w:hint="default"/>
                    </w:rPr>
                  </w:pPr>
                  <w:r>
                    <w:t>水温</w:t>
                  </w:r>
                </w:p>
              </w:tc>
              <w:tc>
                <w:tcPr>
                  <w:tcW w:w="4801" w:type="dxa"/>
                  <w:vAlign w:val="center"/>
                </w:tcPr>
                <w:p w:rsidR="00BC07F0" w:rsidRDefault="00073EFB">
                  <w:pPr>
                    <w:pStyle w:val="a7"/>
                    <w:rPr>
                      <w:rFonts w:hint="default"/>
                    </w:rPr>
                  </w:pPr>
                  <w:r>
                    <w:t>——</w:t>
                  </w:r>
                </w:p>
              </w:tc>
            </w:tr>
            <w:tr w:rsidR="00BC07F0">
              <w:trPr>
                <w:trHeight w:val="397"/>
                <w:jc w:val="center"/>
              </w:trPr>
              <w:tc>
                <w:tcPr>
                  <w:tcW w:w="904" w:type="dxa"/>
                  <w:noWrap/>
                  <w:vAlign w:val="center"/>
                </w:tcPr>
                <w:p w:rsidR="00BC07F0" w:rsidRDefault="00073EFB">
                  <w:pPr>
                    <w:pStyle w:val="a7"/>
                    <w:rPr>
                      <w:rFonts w:hint="default"/>
                    </w:rPr>
                  </w:pPr>
                  <w:r>
                    <w:t>2</w:t>
                  </w:r>
                </w:p>
              </w:tc>
              <w:tc>
                <w:tcPr>
                  <w:tcW w:w="3536" w:type="dxa"/>
                  <w:vAlign w:val="center"/>
                </w:tcPr>
                <w:p w:rsidR="00BC07F0" w:rsidRDefault="00073EFB">
                  <w:pPr>
                    <w:pStyle w:val="a7"/>
                    <w:rPr>
                      <w:rFonts w:hint="default"/>
                    </w:rPr>
                  </w:pPr>
                  <w:r>
                    <w:t>pH</w:t>
                  </w:r>
                </w:p>
              </w:tc>
              <w:tc>
                <w:tcPr>
                  <w:tcW w:w="4801" w:type="dxa"/>
                  <w:vAlign w:val="center"/>
                </w:tcPr>
                <w:p w:rsidR="00BC07F0" w:rsidRDefault="00073EFB">
                  <w:pPr>
                    <w:pStyle w:val="a7"/>
                    <w:rPr>
                      <w:rFonts w:hint="default"/>
                    </w:rPr>
                  </w:pPr>
                  <w:r>
                    <w:t>6~9</w:t>
                  </w:r>
                </w:p>
              </w:tc>
            </w:tr>
            <w:tr w:rsidR="00BC07F0">
              <w:trPr>
                <w:trHeight w:val="397"/>
                <w:jc w:val="center"/>
              </w:trPr>
              <w:tc>
                <w:tcPr>
                  <w:tcW w:w="904" w:type="dxa"/>
                  <w:noWrap/>
                  <w:vAlign w:val="center"/>
                </w:tcPr>
                <w:p w:rsidR="00BC07F0" w:rsidRDefault="00073EFB">
                  <w:pPr>
                    <w:pStyle w:val="a7"/>
                    <w:rPr>
                      <w:rFonts w:hint="default"/>
                    </w:rPr>
                  </w:pPr>
                  <w:r>
                    <w:t>3</w:t>
                  </w:r>
                </w:p>
              </w:tc>
              <w:tc>
                <w:tcPr>
                  <w:tcW w:w="3536" w:type="dxa"/>
                  <w:vAlign w:val="center"/>
                </w:tcPr>
                <w:p w:rsidR="00BC07F0" w:rsidRDefault="00073EFB">
                  <w:pPr>
                    <w:pStyle w:val="a7"/>
                    <w:rPr>
                      <w:rFonts w:hint="default"/>
                    </w:rPr>
                  </w:pPr>
                  <w:r>
                    <w:t>BOD5</w:t>
                  </w:r>
                </w:p>
              </w:tc>
              <w:tc>
                <w:tcPr>
                  <w:tcW w:w="4801" w:type="dxa"/>
                  <w:vAlign w:val="center"/>
                </w:tcPr>
                <w:p w:rsidR="00BC07F0" w:rsidRDefault="00073EFB">
                  <w:pPr>
                    <w:pStyle w:val="a7"/>
                    <w:rPr>
                      <w:rFonts w:hint="default"/>
                    </w:rPr>
                  </w:pPr>
                  <w:r>
                    <w:t>≤</w:t>
                  </w:r>
                  <w:r>
                    <w:t>4</w:t>
                  </w:r>
                </w:p>
              </w:tc>
            </w:tr>
            <w:tr w:rsidR="00BC07F0">
              <w:trPr>
                <w:trHeight w:val="397"/>
                <w:jc w:val="center"/>
              </w:trPr>
              <w:tc>
                <w:tcPr>
                  <w:tcW w:w="904" w:type="dxa"/>
                  <w:noWrap/>
                  <w:vAlign w:val="center"/>
                </w:tcPr>
                <w:p w:rsidR="00BC07F0" w:rsidRDefault="00073EFB">
                  <w:pPr>
                    <w:pStyle w:val="a7"/>
                    <w:rPr>
                      <w:rFonts w:hint="default"/>
                    </w:rPr>
                  </w:pPr>
                  <w:r>
                    <w:t>4</w:t>
                  </w:r>
                </w:p>
              </w:tc>
              <w:tc>
                <w:tcPr>
                  <w:tcW w:w="3536" w:type="dxa"/>
                  <w:vAlign w:val="center"/>
                </w:tcPr>
                <w:p w:rsidR="00BC07F0" w:rsidRDefault="00073EFB">
                  <w:pPr>
                    <w:pStyle w:val="a7"/>
                    <w:rPr>
                      <w:rFonts w:hint="default"/>
                    </w:rPr>
                  </w:pPr>
                  <w:r>
                    <w:t>COD</w:t>
                  </w:r>
                </w:p>
              </w:tc>
              <w:tc>
                <w:tcPr>
                  <w:tcW w:w="4801" w:type="dxa"/>
                  <w:vAlign w:val="center"/>
                </w:tcPr>
                <w:p w:rsidR="00BC07F0" w:rsidRDefault="00073EFB">
                  <w:pPr>
                    <w:pStyle w:val="a7"/>
                    <w:rPr>
                      <w:rFonts w:hint="default"/>
                    </w:rPr>
                  </w:pPr>
                  <w:r>
                    <w:t>≤</w:t>
                  </w:r>
                  <w:r>
                    <w:t>20</w:t>
                  </w:r>
                </w:p>
              </w:tc>
            </w:tr>
            <w:tr w:rsidR="00BC07F0">
              <w:trPr>
                <w:trHeight w:val="397"/>
                <w:jc w:val="center"/>
              </w:trPr>
              <w:tc>
                <w:tcPr>
                  <w:tcW w:w="904" w:type="dxa"/>
                  <w:noWrap/>
                  <w:vAlign w:val="center"/>
                </w:tcPr>
                <w:p w:rsidR="00BC07F0" w:rsidRDefault="00073EFB">
                  <w:pPr>
                    <w:pStyle w:val="a7"/>
                    <w:rPr>
                      <w:rFonts w:hint="default"/>
                    </w:rPr>
                  </w:pPr>
                  <w:r>
                    <w:t>5</w:t>
                  </w:r>
                </w:p>
              </w:tc>
              <w:tc>
                <w:tcPr>
                  <w:tcW w:w="3536" w:type="dxa"/>
                  <w:vAlign w:val="center"/>
                </w:tcPr>
                <w:p w:rsidR="00BC07F0" w:rsidRDefault="00073EFB">
                  <w:pPr>
                    <w:pStyle w:val="a7"/>
                    <w:rPr>
                      <w:rFonts w:hint="default"/>
                    </w:rPr>
                  </w:pPr>
                  <w:r>
                    <w:t>氨氮</w:t>
                  </w:r>
                </w:p>
              </w:tc>
              <w:tc>
                <w:tcPr>
                  <w:tcW w:w="4801" w:type="dxa"/>
                  <w:vAlign w:val="center"/>
                </w:tcPr>
                <w:p w:rsidR="00BC07F0" w:rsidRDefault="00073EFB">
                  <w:pPr>
                    <w:pStyle w:val="a7"/>
                    <w:rPr>
                      <w:rFonts w:hint="default"/>
                    </w:rPr>
                  </w:pPr>
                  <w:r>
                    <w:t>≤</w:t>
                  </w:r>
                  <w:r>
                    <w:t>1.0</w:t>
                  </w:r>
                </w:p>
              </w:tc>
            </w:tr>
            <w:tr w:rsidR="00BC07F0">
              <w:trPr>
                <w:trHeight w:val="397"/>
                <w:jc w:val="center"/>
              </w:trPr>
              <w:tc>
                <w:tcPr>
                  <w:tcW w:w="904" w:type="dxa"/>
                  <w:noWrap/>
                  <w:vAlign w:val="center"/>
                </w:tcPr>
                <w:p w:rsidR="00BC07F0" w:rsidRDefault="00073EFB">
                  <w:pPr>
                    <w:pStyle w:val="a7"/>
                    <w:rPr>
                      <w:rFonts w:hint="default"/>
                    </w:rPr>
                  </w:pPr>
                  <w:r>
                    <w:t>6</w:t>
                  </w:r>
                </w:p>
              </w:tc>
              <w:tc>
                <w:tcPr>
                  <w:tcW w:w="3536" w:type="dxa"/>
                  <w:vAlign w:val="center"/>
                </w:tcPr>
                <w:p w:rsidR="00BC07F0" w:rsidRDefault="00073EFB">
                  <w:pPr>
                    <w:pStyle w:val="a7"/>
                    <w:rPr>
                      <w:rFonts w:hint="default"/>
                    </w:rPr>
                  </w:pPr>
                  <w:r>
                    <w:t>总磷</w:t>
                  </w:r>
                </w:p>
              </w:tc>
              <w:tc>
                <w:tcPr>
                  <w:tcW w:w="4801" w:type="dxa"/>
                  <w:vAlign w:val="center"/>
                </w:tcPr>
                <w:p w:rsidR="00BC07F0" w:rsidRDefault="00073EFB">
                  <w:pPr>
                    <w:pStyle w:val="a7"/>
                    <w:rPr>
                      <w:rFonts w:hint="default"/>
                    </w:rPr>
                  </w:pPr>
                  <w:r>
                    <w:t>≤</w:t>
                  </w:r>
                  <w:r>
                    <w:t>0.2</w:t>
                  </w:r>
                </w:p>
              </w:tc>
            </w:tr>
            <w:tr w:rsidR="00BC07F0">
              <w:trPr>
                <w:trHeight w:val="397"/>
                <w:jc w:val="center"/>
              </w:trPr>
              <w:tc>
                <w:tcPr>
                  <w:tcW w:w="904" w:type="dxa"/>
                  <w:noWrap/>
                  <w:vAlign w:val="center"/>
                </w:tcPr>
                <w:p w:rsidR="00BC07F0" w:rsidRDefault="00073EFB">
                  <w:pPr>
                    <w:pStyle w:val="a7"/>
                    <w:rPr>
                      <w:rFonts w:hint="default"/>
                    </w:rPr>
                  </w:pPr>
                  <w:r>
                    <w:t>7</w:t>
                  </w:r>
                </w:p>
              </w:tc>
              <w:tc>
                <w:tcPr>
                  <w:tcW w:w="3536" w:type="dxa"/>
                  <w:vAlign w:val="center"/>
                </w:tcPr>
                <w:p w:rsidR="00BC07F0" w:rsidRDefault="00073EFB">
                  <w:pPr>
                    <w:pStyle w:val="a7"/>
                    <w:rPr>
                      <w:rFonts w:hint="default"/>
                    </w:rPr>
                  </w:pPr>
                  <w:r>
                    <w:t>总氮</w:t>
                  </w:r>
                </w:p>
              </w:tc>
              <w:tc>
                <w:tcPr>
                  <w:tcW w:w="4801" w:type="dxa"/>
                  <w:vAlign w:val="center"/>
                </w:tcPr>
                <w:p w:rsidR="00BC07F0" w:rsidRDefault="00073EFB">
                  <w:pPr>
                    <w:pStyle w:val="a7"/>
                    <w:rPr>
                      <w:rFonts w:hint="default"/>
                    </w:rPr>
                  </w:pPr>
                  <w:r>
                    <w:t>≤</w:t>
                  </w:r>
                  <w:r>
                    <w:t>1.0</w:t>
                  </w:r>
                </w:p>
              </w:tc>
            </w:tr>
            <w:tr w:rsidR="00BC07F0">
              <w:trPr>
                <w:trHeight w:val="397"/>
                <w:jc w:val="center"/>
              </w:trPr>
              <w:tc>
                <w:tcPr>
                  <w:tcW w:w="904" w:type="dxa"/>
                  <w:noWrap/>
                  <w:vAlign w:val="center"/>
                </w:tcPr>
                <w:p w:rsidR="00BC07F0" w:rsidRDefault="00073EFB">
                  <w:pPr>
                    <w:pStyle w:val="a7"/>
                    <w:rPr>
                      <w:rFonts w:hint="default"/>
                    </w:rPr>
                  </w:pPr>
                  <w:r>
                    <w:t>8</w:t>
                  </w:r>
                </w:p>
              </w:tc>
              <w:tc>
                <w:tcPr>
                  <w:tcW w:w="3536" w:type="dxa"/>
                  <w:vAlign w:val="center"/>
                </w:tcPr>
                <w:p w:rsidR="00BC07F0" w:rsidRDefault="00073EFB">
                  <w:pPr>
                    <w:pStyle w:val="a7"/>
                    <w:rPr>
                      <w:rFonts w:hint="default"/>
                    </w:rPr>
                  </w:pPr>
                  <w:r>
                    <w:t>透明度</w:t>
                  </w:r>
                </w:p>
              </w:tc>
              <w:tc>
                <w:tcPr>
                  <w:tcW w:w="4801" w:type="dxa"/>
                  <w:vAlign w:val="center"/>
                </w:tcPr>
                <w:p w:rsidR="00BC07F0" w:rsidRDefault="00073EFB">
                  <w:pPr>
                    <w:pStyle w:val="a7"/>
                    <w:rPr>
                      <w:rFonts w:hint="default"/>
                    </w:rPr>
                  </w:pPr>
                  <w:r>
                    <w:t>——</w:t>
                  </w:r>
                </w:p>
              </w:tc>
            </w:tr>
            <w:tr w:rsidR="00BC07F0">
              <w:trPr>
                <w:trHeight w:val="397"/>
                <w:jc w:val="center"/>
              </w:trPr>
              <w:tc>
                <w:tcPr>
                  <w:tcW w:w="904" w:type="dxa"/>
                  <w:noWrap/>
                  <w:vAlign w:val="center"/>
                </w:tcPr>
                <w:p w:rsidR="00BC07F0" w:rsidRDefault="00073EFB">
                  <w:pPr>
                    <w:pStyle w:val="a7"/>
                    <w:rPr>
                      <w:rFonts w:hint="default"/>
                    </w:rPr>
                  </w:pPr>
                  <w:r>
                    <w:t>9</w:t>
                  </w:r>
                </w:p>
              </w:tc>
              <w:tc>
                <w:tcPr>
                  <w:tcW w:w="3536" w:type="dxa"/>
                  <w:vAlign w:val="center"/>
                </w:tcPr>
                <w:p w:rsidR="00BC07F0" w:rsidRDefault="00073EFB">
                  <w:pPr>
                    <w:pStyle w:val="a7"/>
                    <w:rPr>
                      <w:rFonts w:hint="default"/>
                    </w:rPr>
                  </w:pPr>
                  <w:r>
                    <w:t>叶绿素</w:t>
                  </w:r>
                  <w:r>
                    <w:t>a</w:t>
                  </w:r>
                </w:p>
              </w:tc>
              <w:tc>
                <w:tcPr>
                  <w:tcW w:w="4801" w:type="dxa"/>
                  <w:vAlign w:val="center"/>
                </w:tcPr>
                <w:p w:rsidR="00BC07F0" w:rsidRDefault="00073EFB">
                  <w:pPr>
                    <w:pStyle w:val="a7"/>
                    <w:rPr>
                      <w:rFonts w:hint="default"/>
                    </w:rPr>
                  </w:pPr>
                  <w:r>
                    <w:t>——</w:t>
                  </w:r>
                </w:p>
              </w:tc>
            </w:tr>
            <w:tr w:rsidR="00BC07F0">
              <w:trPr>
                <w:trHeight w:val="397"/>
                <w:jc w:val="center"/>
              </w:trPr>
              <w:tc>
                <w:tcPr>
                  <w:tcW w:w="904" w:type="dxa"/>
                  <w:noWrap/>
                  <w:vAlign w:val="center"/>
                </w:tcPr>
                <w:p w:rsidR="00BC07F0" w:rsidRDefault="00073EFB">
                  <w:pPr>
                    <w:pStyle w:val="a7"/>
                    <w:rPr>
                      <w:rFonts w:hint="default"/>
                    </w:rPr>
                  </w:pPr>
                  <w:r>
                    <w:t>10</w:t>
                  </w:r>
                </w:p>
              </w:tc>
              <w:tc>
                <w:tcPr>
                  <w:tcW w:w="3536" w:type="dxa"/>
                  <w:vAlign w:val="center"/>
                </w:tcPr>
                <w:p w:rsidR="00BC07F0" w:rsidRDefault="00073EFB">
                  <w:pPr>
                    <w:pStyle w:val="a7"/>
                    <w:rPr>
                      <w:rFonts w:hint="default"/>
                    </w:rPr>
                  </w:pPr>
                  <w:r>
                    <w:t>高锰酸盐指数</w:t>
                  </w:r>
                </w:p>
              </w:tc>
              <w:tc>
                <w:tcPr>
                  <w:tcW w:w="4801" w:type="dxa"/>
                  <w:vAlign w:val="center"/>
                </w:tcPr>
                <w:p w:rsidR="00BC07F0" w:rsidRDefault="00073EFB">
                  <w:pPr>
                    <w:pStyle w:val="a7"/>
                    <w:rPr>
                      <w:rFonts w:hint="default"/>
                    </w:rPr>
                  </w:pPr>
                  <w:r>
                    <w:t>≤</w:t>
                  </w:r>
                  <w:r>
                    <w:t>6</w:t>
                  </w:r>
                </w:p>
              </w:tc>
            </w:tr>
            <w:tr w:rsidR="00BC07F0">
              <w:trPr>
                <w:trHeight w:val="397"/>
                <w:jc w:val="center"/>
              </w:trPr>
              <w:tc>
                <w:tcPr>
                  <w:tcW w:w="904" w:type="dxa"/>
                  <w:noWrap/>
                  <w:vAlign w:val="center"/>
                </w:tcPr>
                <w:p w:rsidR="00BC07F0" w:rsidRDefault="00073EFB">
                  <w:pPr>
                    <w:pStyle w:val="a7"/>
                    <w:rPr>
                      <w:rFonts w:hint="default"/>
                    </w:rPr>
                  </w:pPr>
                  <w:r>
                    <w:t>11</w:t>
                  </w:r>
                </w:p>
              </w:tc>
              <w:tc>
                <w:tcPr>
                  <w:tcW w:w="3536" w:type="dxa"/>
                  <w:vAlign w:val="center"/>
                </w:tcPr>
                <w:p w:rsidR="00BC07F0" w:rsidRDefault="00073EFB">
                  <w:pPr>
                    <w:pStyle w:val="a7"/>
                    <w:rPr>
                      <w:rFonts w:hint="default"/>
                    </w:rPr>
                  </w:pPr>
                  <w:r>
                    <w:t>悬浮物</w:t>
                  </w:r>
                </w:p>
              </w:tc>
              <w:tc>
                <w:tcPr>
                  <w:tcW w:w="4801" w:type="dxa"/>
                  <w:vAlign w:val="center"/>
                </w:tcPr>
                <w:p w:rsidR="00BC07F0" w:rsidRDefault="00073EFB">
                  <w:pPr>
                    <w:pStyle w:val="a7"/>
                    <w:rPr>
                      <w:rFonts w:hint="default"/>
                    </w:rPr>
                  </w:pPr>
                  <w:r>
                    <w:t>——</w:t>
                  </w:r>
                </w:p>
              </w:tc>
            </w:tr>
            <w:tr w:rsidR="00BC07F0">
              <w:trPr>
                <w:trHeight w:val="397"/>
                <w:jc w:val="center"/>
              </w:trPr>
              <w:tc>
                <w:tcPr>
                  <w:tcW w:w="904" w:type="dxa"/>
                  <w:noWrap/>
                  <w:vAlign w:val="center"/>
                </w:tcPr>
                <w:p w:rsidR="00BC07F0" w:rsidRDefault="00073EFB">
                  <w:pPr>
                    <w:pStyle w:val="a7"/>
                    <w:rPr>
                      <w:rFonts w:hint="default"/>
                    </w:rPr>
                  </w:pPr>
                  <w:r>
                    <w:t>12</w:t>
                  </w:r>
                </w:p>
              </w:tc>
              <w:tc>
                <w:tcPr>
                  <w:tcW w:w="3536" w:type="dxa"/>
                  <w:vAlign w:val="center"/>
                </w:tcPr>
                <w:p w:rsidR="00BC07F0" w:rsidRDefault="00073EFB">
                  <w:pPr>
                    <w:pStyle w:val="a7"/>
                    <w:rPr>
                      <w:rFonts w:hint="default"/>
                    </w:rPr>
                  </w:pPr>
                  <w:r>
                    <w:t>粪大肠菌群</w:t>
                  </w:r>
                </w:p>
              </w:tc>
              <w:tc>
                <w:tcPr>
                  <w:tcW w:w="4801" w:type="dxa"/>
                  <w:vAlign w:val="center"/>
                </w:tcPr>
                <w:p w:rsidR="00BC07F0" w:rsidRDefault="00073EFB">
                  <w:pPr>
                    <w:pStyle w:val="a7"/>
                    <w:rPr>
                      <w:rFonts w:hint="default"/>
                    </w:rPr>
                  </w:pPr>
                  <w:r>
                    <w:t>≤</w:t>
                  </w:r>
                  <w:r>
                    <w:t>10000</w:t>
                  </w:r>
                </w:p>
              </w:tc>
            </w:tr>
            <w:tr w:rsidR="00BC07F0">
              <w:trPr>
                <w:trHeight w:val="397"/>
                <w:jc w:val="center"/>
              </w:trPr>
              <w:tc>
                <w:tcPr>
                  <w:tcW w:w="904" w:type="dxa"/>
                  <w:noWrap/>
                  <w:vAlign w:val="center"/>
                </w:tcPr>
                <w:p w:rsidR="00BC07F0" w:rsidRDefault="00073EFB">
                  <w:pPr>
                    <w:pStyle w:val="a7"/>
                    <w:rPr>
                      <w:rFonts w:hint="default"/>
                    </w:rPr>
                  </w:pPr>
                  <w:r>
                    <w:t>13</w:t>
                  </w:r>
                </w:p>
              </w:tc>
              <w:tc>
                <w:tcPr>
                  <w:tcW w:w="3536" w:type="dxa"/>
                  <w:vAlign w:val="center"/>
                </w:tcPr>
                <w:p w:rsidR="00BC07F0" w:rsidRDefault="00073EFB">
                  <w:pPr>
                    <w:pStyle w:val="a7"/>
                    <w:rPr>
                      <w:rFonts w:hint="default"/>
                    </w:rPr>
                  </w:pPr>
                  <w:r>
                    <w:t>石油类</w:t>
                  </w:r>
                </w:p>
              </w:tc>
              <w:tc>
                <w:tcPr>
                  <w:tcW w:w="4801" w:type="dxa"/>
                  <w:vAlign w:val="center"/>
                </w:tcPr>
                <w:p w:rsidR="00BC07F0" w:rsidRDefault="00073EFB">
                  <w:pPr>
                    <w:pStyle w:val="a7"/>
                    <w:rPr>
                      <w:rFonts w:hint="default"/>
                    </w:rPr>
                  </w:pPr>
                  <w:r>
                    <w:t>≤</w:t>
                  </w:r>
                  <w:r>
                    <w:t>0.05</w:t>
                  </w:r>
                </w:p>
              </w:tc>
            </w:tr>
            <w:tr w:rsidR="00BC07F0">
              <w:trPr>
                <w:trHeight w:val="397"/>
                <w:jc w:val="center"/>
              </w:trPr>
              <w:tc>
                <w:tcPr>
                  <w:tcW w:w="904" w:type="dxa"/>
                  <w:noWrap/>
                  <w:vAlign w:val="center"/>
                </w:tcPr>
                <w:p w:rsidR="00BC07F0" w:rsidRDefault="00073EFB">
                  <w:pPr>
                    <w:pStyle w:val="a7"/>
                    <w:rPr>
                      <w:rFonts w:hint="default"/>
                    </w:rPr>
                  </w:pPr>
                  <w:r>
                    <w:t>14</w:t>
                  </w:r>
                </w:p>
              </w:tc>
              <w:tc>
                <w:tcPr>
                  <w:tcW w:w="3536" w:type="dxa"/>
                  <w:vAlign w:val="center"/>
                </w:tcPr>
                <w:p w:rsidR="00BC07F0" w:rsidRDefault="00073EFB">
                  <w:pPr>
                    <w:pStyle w:val="a7"/>
                    <w:rPr>
                      <w:rFonts w:hint="default"/>
                    </w:rPr>
                  </w:pPr>
                  <w:r>
                    <w:t>铅</w:t>
                  </w:r>
                </w:p>
              </w:tc>
              <w:tc>
                <w:tcPr>
                  <w:tcW w:w="4801" w:type="dxa"/>
                  <w:vAlign w:val="center"/>
                </w:tcPr>
                <w:p w:rsidR="00BC07F0" w:rsidRDefault="00073EFB">
                  <w:pPr>
                    <w:pStyle w:val="a7"/>
                    <w:rPr>
                      <w:rFonts w:hint="default"/>
                    </w:rPr>
                  </w:pPr>
                  <w:r>
                    <w:t>≤</w:t>
                  </w:r>
                  <w:r>
                    <w:t>0.05</w:t>
                  </w:r>
                </w:p>
              </w:tc>
            </w:tr>
            <w:tr w:rsidR="00BC07F0">
              <w:trPr>
                <w:trHeight w:val="397"/>
                <w:jc w:val="center"/>
              </w:trPr>
              <w:tc>
                <w:tcPr>
                  <w:tcW w:w="904" w:type="dxa"/>
                  <w:noWrap/>
                  <w:vAlign w:val="center"/>
                </w:tcPr>
                <w:p w:rsidR="00BC07F0" w:rsidRDefault="00073EFB">
                  <w:pPr>
                    <w:pStyle w:val="a7"/>
                    <w:rPr>
                      <w:rFonts w:hint="default"/>
                    </w:rPr>
                  </w:pPr>
                  <w:r>
                    <w:t>15</w:t>
                  </w:r>
                </w:p>
              </w:tc>
              <w:tc>
                <w:tcPr>
                  <w:tcW w:w="3536" w:type="dxa"/>
                  <w:vAlign w:val="center"/>
                </w:tcPr>
                <w:p w:rsidR="00BC07F0" w:rsidRDefault="00073EFB">
                  <w:pPr>
                    <w:pStyle w:val="a7"/>
                    <w:rPr>
                      <w:rFonts w:hint="default"/>
                    </w:rPr>
                  </w:pPr>
                  <w:r>
                    <w:t>镉</w:t>
                  </w:r>
                </w:p>
              </w:tc>
              <w:tc>
                <w:tcPr>
                  <w:tcW w:w="4801" w:type="dxa"/>
                  <w:vAlign w:val="center"/>
                </w:tcPr>
                <w:p w:rsidR="00BC07F0" w:rsidRDefault="00073EFB">
                  <w:pPr>
                    <w:pStyle w:val="a7"/>
                    <w:rPr>
                      <w:rFonts w:hint="default"/>
                    </w:rPr>
                  </w:pPr>
                  <w:r>
                    <w:t>≤</w:t>
                  </w:r>
                  <w:r>
                    <w:t>0.005</w:t>
                  </w:r>
                </w:p>
              </w:tc>
            </w:tr>
            <w:tr w:rsidR="00BC07F0">
              <w:trPr>
                <w:trHeight w:val="397"/>
                <w:jc w:val="center"/>
              </w:trPr>
              <w:tc>
                <w:tcPr>
                  <w:tcW w:w="904" w:type="dxa"/>
                  <w:noWrap/>
                  <w:vAlign w:val="center"/>
                </w:tcPr>
                <w:p w:rsidR="00BC07F0" w:rsidRDefault="00073EFB">
                  <w:pPr>
                    <w:pStyle w:val="a7"/>
                    <w:rPr>
                      <w:rFonts w:hint="default"/>
                    </w:rPr>
                  </w:pPr>
                  <w:r>
                    <w:t>16</w:t>
                  </w:r>
                </w:p>
              </w:tc>
              <w:tc>
                <w:tcPr>
                  <w:tcW w:w="3536" w:type="dxa"/>
                  <w:vAlign w:val="center"/>
                </w:tcPr>
                <w:p w:rsidR="00BC07F0" w:rsidRDefault="00073EFB">
                  <w:pPr>
                    <w:pStyle w:val="a7"/>
                    <w:rPr>
                      <w:rFonts w:hint="default"/>
                    </w:rPr>
                  </w:pPr>
                  <w:r>
                    <w:t>铬</w:t>
                  </w:r>
                </w:p>
              </w:tc>
              <w:tc>
                <w:tcPr>
                  <w:tcW w:w="4801" w:type="dxa"/>
                  <w:vAlign w:val="center"/>
                </w:tcPr>
                <w:p w:rsidR="00BC07F0" w:rsidRDefault="00073EFB">
                  <w:pPr>
                    <w:pStyle w:val="a7"/>
                    <w:rPr>
                      <w:rFonts w:hint="default"/>
                    </w:rPr>
                  </w:pPr>
                  <w:r>
                    <w:t>——</w:t>
                  </w:r>
                </w:p>
              </w:tc>
            </w:tr>
            <w:tr w:rsidR="00BC07F0">
              <w:trPr>
                <w:trHeight w:val="397"/>
                <w:jc w:val="center"/>
              </w:trPr>
              <w:tc>
                <w:tcPr>
                  <w:tcW w:w="904" w:type="dxa"/>
                  <w:noWrap/>
                  <w:vAlign w:val="center"/>
                </w:tcPr>
                <w:p w:rsidR="00BC07F0" w:rsidRDefault="00073EFB">
                  <w:pPr>
                    <w:pStyle w:val="a7"/>
                    <w:rPr>
                      <w:rFonts w:hint="default"/>
                    </w:rPr>
                  </w:pPr>
                  <w:r>
                    <w:t>17</w:t>
                  </w:r>
                </w:p>
              </w:tc>
              <w:tc>
                <w:tcPr>
                  <w:tcW w:w="3536" w:type="dxa"/>
                  <w:vAlign w:val="center"/>
                </w:tcPr>
                <w:p w:rsidR="00BC07F0" w:rsidRDefault="00073EFB">
                  <w:pPr>
                    <w:pStyle w:val="a7"/>
                    <w:rPr>
                      <w:rFonts w:hint="default"/>
                    </w:rPr>
                  </w:pPr>
                  <w:r>
                    <w:t>汞</w:t>
                  </w:r>
                </w:p>
              </w:tc>
              <w:tc>
                <w:tcPr>
                  <w:tcW w:w="4801" w:type="dxa"/>
                  <w:vAlign w:val="center"/>
                </w:tcPr>
                <w:p w:rsidR="00BC07F0" w:rsidRDefault="00073EFB">
                  <w:pPr>
                    <w:pStyle w:val="a7"/>
                    <w:rPr>
                      <w:rFonts w:hint="default"/>
                    </w:rPr>
                  </w:pPr>
                  <w:r>
                    <w:t>≤</w:t>
                  </w:r>
                  <w:r>
                    <w:t>0.0001</w:t>
                  </w:r>
                </w:p>
              </w:tc>
            </w:tr>
            <w:tr w:rsidR="00BC07F0">
              <w:trPr>
                <w:trHeight w:val="397"/>
                <w:jc w:val="center"/>
              </w:trPr>
              <w:tc>
                <w:tcPr>
                  <w:tcW w:w="904" w:type="dxa"/>
                  <w:noWrap/>
                  <w:vAlign w:val="center"/>
                </w:tcPr>
                <w:p w:rsidR="00BC07F0" w:rsidRDefault="00073EFB">
                  <w:pPr>
                    <w:pStyle w:val="a7"/>
                    <w:rPr>
                      <w:rFonts w:hint="default"/>
                    </w:rPr>
                  </w:pPr>
                  <w:r>
                    <w:t>18</w:t>
                  </w:r>
                </w:p>
              </w:tc>
              <w:tc>
                <w:tcPr>
                  <w:tcW w:w="3536" w:type="dxa"/>
                  <w:vAlign w:val="center"/>
                </w:tcPr>
                <w:p w:rsidR="00BC07F0" w:rsidRDefault="00073EFB">
                  <w:pPr>
                    <w:pStyle w:val="a7"/>
                    <w:rPr>
                      <w:rFonts w:hint="default"/>
                    </w:rPr>
                  </w:pPr>
                  <w:r>
                    <w:t>铜</w:t>
                  </w:r>
                </w:p>
              </w:tc>
              <w:tc>
                <w:tcPr>
                  <w:tcW w:w="4801" w:type="dxa"/>
                  <w:vAlign w:val="center"/>
                </w:tcPr>
                <w:p w:rsidR="00BC07F0" w:rsidRDefault="00073EFB">
                  <w:pPr>
                    <w:pStyle w:val="a7"/>
                    <w:rPr>
                      <w:rFonts w:hint="default"/>
                    </w:rPr>
                  </w:pPr>
                  <w:r>
                    <w:t>≤</w:t>
                  </w:r>
                  <w:r>
                    <w:t>1.0</w:t>
                  </w:r>
                </w:p>
              </w:tc>
            </w:tr>
            <w:tr w:rsidR="00BC07F0">
              <w:trPr>
                <w:trHeight w:val="397"/>
                <w:jc w:val="center"/>
              </w:trPr>
              <w:tc>
                <w:tcPr>
                  <w:tcW w:w="904" w:type="dxa"/>
                  <w:noWrap/>
                  <w:vAlign w:val="center"/>
                </w:tcPr>
                <w:p w:rsidR="00BC07F0" w:rsidRDefault="00073EFB">
                  <w:pPr>
                    <w:pStyle w:val="a7"/>
                    <w:rPr>
                      <w:rFonts w:hint="default"/>
                    </w:rPr>
                  </w:pPr>
                  <w:r>
                    <w:t>19</w:t>
                  </w:r>
                </w:p>
              </w:tc>
              <w:tc>
                <w:tcPr>
                  <w:tcW w:w="3536" w:type="dxa"/>
                  <w:vAlign w:val="center"/>
                </w:tcPr>
                <w:p w:rsidR="00BC07F0" w:rsidRDefault="00073EFB">
                  <w:pPr>
                    <w:pStyle w:val="a7"/>
                    <w:rPr>
                      <w:rFonts w:hint="default"/>
                    </w:rPr>
                  </w:pPr>
                  <w:r>
                    <w:t>锌</w:t>
                  </w:r>
                </w:p>
              </w:tc>
              <w:tc>
                <w:tcPr>
                  <w:tcW w:w="4801" w:type="dxa"/>
                  <w:vAlign w:val="center"/>
                </w:tcPr>
                <w:p w:rsidR="00BC07F0" w:rsidRDefault="00073EFB">
                  <w:pPr>
                    <w:pStyle w:val="a7"/>
                    <w:rPr>
                      <w:rFonts w:hint="default"/>
                    </w:rPr>
                  </w:pPr>
                  <w:r>
                    <w:t>≤</w:t>
                  </w:r>
                  <w:r>
                    <w:t>1.0</w:t>
                  </w:r>
                </w:p>
              </w:tc>
            </w:tr>
            <w:tr w:rsidR="00BC07F0">
              <w:trPr>
                <w:trHeight w:val="397"/>
                <w:jc w:val="center"/>
              </w:trPr>
              <w:tc>
                <w:tcPr>
                  <w:tcW w:w="904" w:type="dxa"/>
                  <w:noWrap/>
                  <w:vAlign w:val="center"/>
                </w:tcPr>
                <w:p w:rsidR="00BC07F0" w:rsidRDefault="00073EFB">
                  <w:pPr>
                    <w:pStyle w:val="a7"/>
                    <w:rPr>
                      <w:rFonts w:hint="default"/>
                    </w:rPr>
                  </w:pPr>
                  <w:r>
                    <w:t>20</w:t>
                  </w:r>
                </w:p>
              </w:tc>
              <w:tc>
                <w:tcPr>
                  <w:tcW w:w="3536" w:type="dxa"/>
                  <w:vAlign w:val="center"/>
                </w:tcPr>
                <w:p w:rsidR="00BC07F0" w:rsidRDefault="00073EFB">
                  <w:pPr>
                    <w:pStyle w:val="a7"/>
                    <w:rPr>
                      <w:rFonts w:hint="default"/>
                    </w:rPr>
                  </w:pPr>
                  <w:r>
                    <w:t>砷</w:t>
                  </w:r>
                </w:p>
              </w:tc>
              <w:tc>
                <w:tcPr>
                  <w:tcW w:w="4801" w:type="dxa"/>
                  <w:vAlign w:val="center"/>
                </w:tcPr>
                <w:p w:rsidR="00BC07F0" w:rsidRDefault="00073EFB">
                  <w:pPr>
                    <w:pStyle w:val="a7"/>
                    <w:rPr>
                      <w:rFonts w:hint="default"/>
                    </w:rPr>
                  </w:pPr>
                  <w:r>
                    <w:t>≤</w:t>
                  </w:r>
                  <w:r>
                    <w:t>0.05</w:t>
                  </w:r>
                </w:p>
              </w:tc>
            </w:tr>
            <w:tr w:rsidR="00BC07F0">
              <w:trPr>
                <w:trHeight w:val="397"/>
                <w:jc w:val="center"/>
              </w:trPr>
              <w:tc>
                <w:tcPr>
                  <w:tcW w:w="904" w:type="dxa"/>
                  <w:noWrap/>
                  <w:vAlign w:val="center"/>
                </w:tcPr>
                <w:p w:rsidR="00BC07F0" w:rsidRDefault="00073EFB">
                  <w:pPr>
                    <w:pStyle w:val="a7"/>
                    <w:rPr>
                      <w:rFonts w:hint="default"/>
                    </w:rPr>
                  </w:pPr>
                  <w:r>
                    <w:t>21</w:t>
                  </w:r>
                </w:p>
              </w:tc>
              <w:tc>
                <w:tcPr>
                  <w:tcW w:w="3536" w:type="dxa"/>
                  <w:vAlign w:val="center"/>
                </w:tcPr>
                <w:p w:rsidR="00BC07F0" w:rsidRDefault="00073EFB">
                  <w:pPr>
                    <w:pStyle w:val="a7"/>
                    <w:rPr>
                      <w:rFonts w:hint="default"/>
                    </w:rPr>
                  </w:pPr>
                  <w:r>
                    <w:t>镍</w:t>
                  </w:r>
                </w:p>
              </w:tc>
              <w:tc>
                <w:tcPr>
                  <w:tcW w:w="4801" w:type="dxa"/>
                  <w:vAlign w:val="center"/>
                </w:tcPr>
                <w:p w:rsidR="00BC07F0" w:rsidRDefault="00073EFB">
                  <w:pPr>
                    <w:pStyle w:val="a7"/>
                    <w:rPr>
                      <w:rFonts w:hint="default"/>
                    </w:rPr>
                  </w:pPr>
                  <w:r>
                    <w:t>0.02</w:t>
                  </w:r>
                </w:p>
              </w:tc>
            </w:tr>
          </w:tbl>
          <w:p w:rsidR="00BC07F0" w:rsidRDefault="00073EFB">
            <w:pPr>
              <w:tabs>
                <w:tab w:val="left" w:pos="480"/>
              </w:tabs>
              <w:ind w:firstLine="482"/>
              <w:rPr>
                <w:b/>
                <w:bCs/>
              </w:rPr>
            </w:pPr>
            <w:r>
              <w:rPr>
                <w:rFonts w:hint="eastAsia"/>
                <w:b/>
                <w:bCs/>
              </w:rPr>
              <w:t>3.8.3</w:t>
            </w:r>
            <w:r>
              <w:rPr>
                <w:b/>
                <w:bCs/>
              </w:rPr>
              <w:t>声环境质量标准</w:t>
            </w:r>
          </w:p>
          <w:p w:rsidR="00BC07F0" w:rsidRDefault="00073EFB">
            <w:pPr>
              <w:tabs>
                <w:tab w:val="left" w:pos="480"/>
              </w:tabs>
              <w:ind w:firstLine="480"/>
            </w:pPr>
            <w:r>
              <w:rPr>
                <w:rFonts w:hint="eastAsia"/>
              </w:rPr>
              <w:t>项目所在区域</w:t>
            </w:r>
            <w:r>
              <w:t>执行《声环境质量标准》（</w:t>
            </w:r>
            <w:r>
              <w:t>GB3096-2008</w:t>
            </w:r>
            <w:r>
              <w:t>）</w:t>
            </w:r>
            <w:r>
              <w:rPr>
                <w:rFonts w:hint="eastAsia"/>
              </w:rPr>
              <w:t>2</w:t>
            </w:r>
            <w:r>
              <w:t>类标准。</w:t>
            </w:r>
          </w:p>
          <w:p w:rsidR="00BC07F0" w:rsidRDefault="00073EFB">
            <w:pPr>
              <w:pStyle w:val="a7"/>
              <w:rPr>
                <w:rFonts w:hint="default"/>
                <w:b/>
                <w:bCs/>
              </w:rPr>
            </w:pPr>
            <w:r>
              <w:rPr>
                <w:b/>
                <w:bCs/>
              </w:rPr>
              <w:t>表</w:t>
            </w:r>
            <w:r>
              <w:rPr>
                <w:b/>
                <w:bCs/>
              </w:rPr>
              <w:t>3</w:t>
            </w:r>
            <w:r>
              <w:rPr>
                <w:b/>
                <w:bCs/>
              </w:rPr>
              <w:t>.8-3</w:t>
            </w:r>
            <w:r>
              <w:rPr>
                <w:b/>
                <w:bCs/>
              </w:rPr>
              <w:t>声环境质量标准（</w:t>
            </w:r>
            <w:r>
              <w:rPr>
                <w:b/>
                <w:bCs/>
              </w:rPr>
              <w:t>GB3096-2008</w:t>
            </w:r>
            <w:r>
              <w:rPr>
                <w:b/>
                <w:bCs/>
              </w:rPr>
              <w:t>）单位：</w:t>
            </w:r>
            <w:r>
              <w:rPr>
                <w:b/>
                <w:bCs/>
              </w:rPr>
              <w:t>dB(A)</w:t>
            </w:r>
          </w:p>
          <w:tbl>
            <w:tblPr>
              <w:tblW w:w="495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4001"/>
              <w:gridCol w:w="1435"/>
              <w:gridCol w:w="1780"/>
              <w:gridCol w:w="1773"/>
            </w:tblGrid>
            <w:tr w:rsidR="00BC07F0">
              <w:trPr>
                <w:cantSplit/>
                <w:trHeight w:val="397"/>
                <w:jc w:val="center"/>
              </w:trPr>
              <w:tc>
                <w:tcPr>
                  <w:tcW w:w="2224" w:type="pct"/>
                  <w:vMerge w:val="restart"/>
                  <w:vAlign w:val="center"/>
                </w:tcPr>
                <w:p w:rsidR="00BC07F0" w:rsidRDefault="00073EFB">
                  <w:pPr>
                    <w:pStyle w:val="a7"/>
                    <w:rPr>
                      <w:rFonts w:hint="default"/>
                    </w:rPr>
                  </w:pPr>
                  <w:r>
                    <w:t>标准</w:t>
                  </w:r>
                </w:p>
              </w:tc>
              <w:tc>
                <w:tcPr>
                  <w:tcW w:w="798" w:type="pct"/>
                  <w:vMerge w:val="restart"/>
                  <w:vAlign w:val="center"/>
                </w:tcPr>
                <w:p w:rsidR="00BC07F0" w:rsidRDefault="00073EFB">
                  <w:pPr>
                    <w:pStyle w:val="a7"/>
                    <w:rPr>
                      <w:rFonts w:hint="default"/>
                    </w:rPr>
                  </w:pPr>
                  <w:r>
                    <w:t>适用区类</w:t>
                  </w:r>
                </w:p>
              </w:tc>
              <w:tc>
                <w:tcPr>
                  <w:tcW w:w="1976" w:type="pct"/>
                  <w:gridSpan w:val="2"/>
                  <w:vAlign w:val="center"/>
                </w:tcPr>
                <w:p w:rsidR="00BC07F0" w:rsidRDefault="00073EFB">
                  <w:pPr>
                    <w:pStyle w:val="a7"/>
                    <w:rPr>
                      <w:rFonts w:hint="default"/>
                    </w:rPr>
                  </w:pPr>
                  <w:r>
                    <w:t>标准值</w:t>
                  </w:r>
                </w:p>
              </w:tc>
            </w:tr>
            <w:tr w:rsidR="00BC07F0">
              <w:trPr>
                <w:cantSplit/>
                <w:trHeight w:val="397"/>
                <w:jc w:val="center"/>
              </w:trPr>
              <w:tc>
                <w:tcPr>
                  <w:tcW w:w="2224" w:type="pct"/>
                  <w:vMerge/>
                  <w:vAlign w:val="center"/>
                </w:tcPr>
                <w:p w:rsidR="00BC07F0" w:rsidRDefault="00BC07F0">
                  <w:pPr>
                    <w:pStyle w:val="a7"/>
                    <w:rPr>
                      <w:rFonts w:hint="default"/>
                    </w:rPr>
                  </w:pPr>
                </w:p>
              </w:tc>
              <w:tc>
                <w:tcPr>
                  <w:tcW w:w="798" w:type="pct"/>
                  <w:vMerge/>
                  <w:vAlign w:val="center"/>
                </w:tcPr>
                <w:p w:rsidR="00BC07F0" w:rsidRDefault="00BC07F0">
                  <w:pPr>
                    <w:pStyle w:val="a7"/>
                    <w:rPr>
                      <w:rFonts w:hint="default"/>
                    </w:rPr>
                  </w:pPr>
                </w:p>
              </w:tc>
              <w:tc>
                <w:tcPr>
                  <w:tcW w:w="990" w:type="pct"/>
                  <w:vAlign w:val="center"/>
                </w:tcPr>
                <w:p w:rsidR="00BC07F0" w:rsidRDefault="00073EFB">
                  <w:pPr>
                    <w:pStyle w:val="a7"/>
                    <w:rPr>
                      <w:rFonts w:hint="default"/>
                    </w:rPr>
                  </w:pPr>
                  <w:r>
                    <w:t>昼间</w:t>
                  </w:r>
                </w:p>
              </w:tc>
              <w:tc>
                <w:tcPr>
                  <w:tcW w:w="986" w:type="pct"/>
                  <w:vAlign w:val="center"/>
                </w:tcPr>
                <w:p w:rsidR="00BC07F0" w:rsidRDefault="00073EFB">
                  <w:pPr>
                    <w:pStyle w:val="a7"/>
                    <w:rPr>
                      <w:rFonts w:hint="default"/>
                    </w:rPr>
                  </w:pPr>
                  <w:r>
                    <w:t>夜间</w:t>
                  </w:r>
                </w:p>
              </w:tc>
            </w:tr>
            <w:tr w:rsidR="00BC07F0">
              <w:trPr>
                <w:cantSplit/>
                <w:trHeight w:val="397"/>
                <w:jc w:val="center"/>
              </w:trPr>
              <w:tc>
                <w:tcPr>
                  <w:tcW w:w="2224" w:type="pct"/>
                  <w:vAlign w:val="center"/>
                </w:tcPr>
                <w:p w:rsidR="00BC07F0" w:rsidRDefault="00073EFB">
                  <w:pPr>
                    <w:pStyle w:val="a7"/>
                    <w:rPr>
                      <w:rFonts w:hint="default"/>
                    </w:rPr>
                  </w:pPr>
                  <w:r>
                    <w:t>《声环境质量标准》（</w:t>
                  </w:r>
                  <w:r>
                    <w:t>GB3096-2008</w:t>
                  </w:r>
                  <w:r>
                    <w:t>）</w:t>
                  </w:r>
                </w:p>
              </w:tc>
              <w:tc>
                <w:tcPr>
                  <w:tcW w:w="798" w:type="pct"/>
                  <w:vAlign w:val="center"/>
                </w:tcPr>
                <w:p w:rsidR="00BC07F0" w:rsidRDefault="00073EFB">
                  <w:pPr>
                    <w:pStyle w:val="a7"/>
                    <w:rPr>
                      <w:rFonts w:hint="default"/>
                    </w:rPr>
                  </w:pPr>
                  <w:r>
                    <w:t>3</w:t>
                  </w:r>
                  <w:r>
                    <w:t>类</w:t>
                  </w:r>
                </w:p>
              </w:tc>
              <w:tc>
                <w:tcPr>
                  <w:tcW w:w="990" w:type="pct"/>
                  <w:vAlign w:val="center"/>
                </w:tcPr>
                <w:p w:rsidR="00BC07F0" w:rsidRDefault="00073EFB">
                  <w:pPr>
                    <w:pStyle w:val="a7"/>
                    <w:rPr>
                      <w:rFonts w:hint="default"/>
                    </w:rPr>
                  </w:pPr>
                  <w:r>
                    <w:t>6</w:t>
                  </w:r>
                  <w:r>
                    <w:t>0</w:t>
                  </w:r>
                </w:p>
              </w:tc>
              <w:tc>
                <w:tcPr>
                  <w:tcW w:w="986" w:type="pct"/>
                  <w:vAlign w:val="center"/>
                </w:tcPr>
                <w:p w:rsidR="00BC07F0" w:rsidRDefault="00073EFB">
                  <w:pPr>
                    <w:pStyle w:val="a7"/>
                    <w:rPr>
                      <w:rFonts w:hint="default"/>
                    </w:rPr>
                  </w:pPr>
                  <w:r>
                    <w:t>5</w:t>
                  </w:r>
                  <w:r>
                    <w:t>0</w:t>
                  </w:r>
                </w:p>
              </w:tc>
            </w:tr>
          </w:tbl>
          <w:p w:rsidR="00BC07F0" w:rsidRDefault="00073EFB">
            <w:pPr>
              <w:tabs>
                <w:tab w:val="left" w:pos="480"/>
              </w:tabs>
              <w:ind w:firstLine="482"/>
              <w:rPr>
                <w:b/>
                <w:bCs/>
              </w:rPr>
            </w:pPr>
            <w:r>
              <w:rPr>
                <w:rFonts w:hint="eastAsia"/>
                <w:b/>
                <w:bCs/>
              </w:rPr>
              <w:t>3.9</w:t>
            </w:r>
            <w:r>
              <w:rPr>
                <w:rFonts w:hint="eastAsia"/>
                <w:b/>
                <w:bCs/>
              </w:rPr>
              <w:t>污染物排放标准</w:t>
            </w:r>
          </w:p>
          <w:p w:rsidR="00BC07F0" w:rsidRDefault="00073EFB" w:rsidP="00C55F5E">
            <w:pPr>
              <w:ind w:firstLine="482"/>
              <w:rPr>
                <w:b/>
                <w:bCs/>
              </w:rPr>
            </w:pPr>
            <w:r>
              <w:rPr>
                <w:rFonts w:hint="eastAsia"/>
                <w:b/>
                <w:bCs/>
              </w:rPr>
              <w:t>3.9.1</w:t>
            </w:r>
            <w:r>
              <w:rPr>
                <w:rFonts w:hint="eastAsia"/>
                <w:b/>
                <w:bCs/>
              </w:rPr>
              <w:t>废水</w:t>
            </w:r>
          </w:p>
          <w:p w:rsidR="00BC07F0" w:rsidRDefault="00073EFB" w:rsidP="00C55F5E">
            <w:pPr>
              <w:ind w:firstLine="480"/>
            </w:pPr>
            <w:r>
              <w:rPr>
                <w:rFonts w:hint="eastAsia"/>
              </w:rPr>
              <w:lastRenderedPageBreak/>
              <w:t>生活污水执行《污水综合排放标准》（</w:t>
            </w:r>
            <w:r>
              <w:rPr>
                <w:rFonts w:hint="eastAsia"/>
              </w:rPr>
              <w:t>GB8978-1996</w:t>
            </w:r>
            <w:r>
              <w:rPr>
                <w:rFonts w:hint="eastAsia"/>
              </w:rPr>
              <w:t>）中三级标准。</w:t>
            </w:r>
          </w:p>
          <w:p w:rsidR="00BC07F0" w:rsidRDefault="00073EFB">
            <w:pPr>
              <w:pStyle w:val="a7"/>
              <w:rPr>
                <w:rFonts w:hint="default"/>
                <w:b/>
                <w:bCs/>
              </w:rPr>
            </w:pPr>
            <w:r>
              <w:rPr>
                <w:b/>
                <w:bCs/>
              </w:rPr>
              <w:t>表</w:t>
            </w:r>
            <w:r>
              <w:rPr>
                <w:b/>
                <w:bCs/>
              </w:rPr>
              <w:t>3.9-1</w:t>
            </w:r>
            <w:r>
              <w:rPr>
                <w:b/>
                <w:bCs/>
              </w:rPr>
              <w:t>《污水综合排放标准》（</w:t>
            </w:r>
            <w:r>
              <w:rPr>
                <w:b/>
                <w:bCs/>
              </w:rPr>
              <w:t>GB8978-1996</w:t>
            </w:r>
            <w:r>
              <w:rPr>
                <w:b/>
                <w:bCs/>
              </w:rPr>
              <w:t>）表</w:t>
            </w:r>
            <w:r>
              <w:rPr>
                <w:b/>
                <w:bCs/>
              </w:rPr>
              <w:t>4</w:t>
            </w:r>
            <w:r>
              <w:rPr>
                <w:b/>
                <w:bCs/>
              </w:rPr>
              <w:t>三级标准</w:t>
            </w:r>
          </w:p>
          <w:tbl>
            <w:tblPr>
              <w:tblW w:w="495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191"/>
              <w:gridCol w:w="1126"/>
              <w:gridCol w:w="1256"/>
              <w:gridCol w:w="1434"/>
              <w:gridCol w:w="1156"/>
              <w:gridCol w:w="1591"/>
              <w:gridCol w:w="1235"/>
            </w:tblGrid>
            <w:tr w:rsidR="00BC07F0">
              <w:trPr>
                <w:trHeight w:val="397"/>
                <w:jc w:val="center"/>
              </w:trPr>
              <w:tc>
                <w:tcPr>
                  <w:tcW w:w="662" w:type="pct"/>
                  <w:tcBorders>
                    <w:tl2br w:val="nil"/>
                    <w:tr2bl w:val="nil"/>
                  </w:tcBorders>
                  <w:vAlign w:val="center"/>
                </w:tcPr>
                <w:p w:rsidR="00BC07F0" w:rsidRDefault="00073EFB">
                  <w:pPr>
                    <w:pStyle w:val="a7"/>
                    <w:rPr>
                      <w:rFonts w:hint="default"/>
                    </w:rPr>
                  </w:pPr>
                  <w:r>
                    <w:t>pH</w:t>
                  </w:r>
                </w:p>
              </w:tc>
              <w:tc>
                <w:tcPr>
                  <w:tcW w:w="626" w:type="pct"/>
                  <w:tcBorders>
                    <w:tl2br w:val="nil"/>
                    <w:tr2bl w:val="nil"/>
                  </w:tcBorders>
                  <w:vAlign w:val="center"/>
                </w:tcPr>
                <w:p w:rsidR="00BC07F0" w:rsidRDefault="00073EFB">
                  <w:pPr>
                    <w:pStyle w:val="a7"/>
                    <w:rPr>
                      <w:rFonts w:hint="default"/>
                    </w:rPr>
                  </w:pPr>
                  <w:r>
                    <w:t>COD</w:t>
                  </w:r>
                </w:p>
              </w:tc>
              <w:tc>
                <w:tcPr>
                  <w:tcW w:w="698" w:type="pct"/>
                  <w:tcBorders>
                    <w:tl2br w:val="nil"/>
                    <w:tr2bl w:val="nil"/>
                  </w:tcBorders>
                  <w:vAlign w:val="center"/>
                </w:tcPr>
                <w:p w:rsidR="00BC07F0" w:rsidRDefault="00073EFB">
                  <w:pPr>
                    <w:pStyle w:val="a7"/>
                    <w:rPr>
                      <w:rFonts w:hint="default"/>
                    </w:rPr>
                  </w:pPr>
                  <w:r>
                    <w:t>BOD5</w:t>
                  </w:r>
                </w:p>
              </w:tc>
              <w:tc>
                <w:tcPr>
                  <w:tcW w:w="797" w:type="pct"/>
                  <w:tcBorders>
                    <w:tl2br w:val="nil"/>
                    <w:tr2bl w:val="nil"/>
                  </w:tcBorders>
                  <w:vAlign w:val="center"/>
                </w:tcPr>
                <w:p w:rsidR="00BC07F0" w:rsidRDefault="00073EFB">
                  <w:pPr>
                    <w:pStyle w:val="a7"/>
                    <w:rPr>
                      <w:rFonts w:hint="default"/>
                    </w:rPr>
                  </w:pPr>
                  <w:r>
                    <w:t>NH3-N</w:t>
                  </w:r>
                </w:p>
              </w:tc>
              <w:tc>
                <w:tcPr>
                  <w:tcW w:w="643" w:type="pct"/>
                  <w:tcBorders>
                    <w:tl2br w:val="nil"/>
                    <w:tr2bl w:val="nil"/>
                  </w:tcBorders>
                  <w:vAlign w:val="center"/>
                </w:tcPr>
                <w:p w:rsidR="00BC07F0" w:rsidRDefault="00073EFB">
                  <w:pPr>
                    <w:pStyle w:val="a7"/>
                    <w:rPr>
                      <w:rFonts w:hint="default"/>
                    </w:rPr>
                  </w:pPr>
                  <w:r>
                    <w:t>SS</w:t>
                  </w:r>
                </w:p>
              </w:tc>
              <w:tc>
                <w:tcPr>
                  <w:tcW w:w="884" w:type="pct"/>
                  <w:tcBorders>
                    <w:tl2br w:val="nil"/>
                    <w:tr2bl w:val="nil"/>
                  </w:tcBorders>
                  <w:vAlign w:val="center"/>
                </w:tcPr>
                <w:p w:rsidR="00BC07F0" w:rsidRDefault="00073EFB">
                  <w:pPr>
                    <w:pStyle w:val="a7"/>
                    <w:rPr>
                      <w:rFonts w:hint="default"/>
                    </w:rPr>
                  </w:pPr>
                  <w:r>
                    <w:t>动植物油</w:t>
                  </w:r>
                </w:p>
              </w:tc>
              <w:tc>
                <w:tcPr>
                  <w:tcW w:w="687" w:type="pct"/>
                  <w:tcBorders>
                    <w:tl2br w:val="nil"/>
                    <w:tr2bl w:val="nil"/>
                  </w:tcBorders>
                  <w:vAlign w:val="center"/>
                </w:tcPr>
                <w:p w:rsidR="00BC07F0" w:rsidRDefault="00073EFB">
                  <w:pPr>
                    <w:pStyle w:val="a7"/>
                    <w:rPr>
                      <w:rFonts w:hint="default"/>
                    </w:rPr>
                  </w:pPr>
                  <w:r>
                    <w:t>石油类</w:t>
                  </w:r>
                </w:p>
              </w:tc>
            </w:tr>
            <w:tr w:rsidR="00BC07F0">
              <w:trPr>
                <w:trHeight w:val="397"/>
                <w:jc w:val="center"/>
              </w:trPr>
              <w:tc>
                <w:tcPr>
                  <w:tcW w:w="662" w:type="pct"/>
                  <w:tcBorders>
                    <w:tl2br w:val="nil"/>
                    <w:tr2bl w:val="nil"/>
                  </w:tcBorders>
                  <w:vAlign w:val="center"/>
                </w:tcPr>
                <w:p w:rsidR="00BC07F0" w:rsidRDefault="00073EFB">
                  <w:pPr>
                    <w:pStyle w:val="a7"/>
                    <w:rPr>
                      <w:rFonts w:hint="default"/>
                    </w:rPr>
                  </w:pPr>
                  <w:r>
                    <w:t>6~9</w:t>
                  </w:r>
                </w:p>
              </w:tc>
              <w:tc>
                <w:tcPr>
                  <w:tcW w:w="626" w:type="pct"/>
                  <w:tcBorders>
                    <w:tl2br w:val="nil"/>
                    <w:tr2bl w:val="nil"/>
                  </w:tcBorders>
                  <w:vAlign w:val="center"/>
                </w:tcPr>
                <w:p w:rsidR="00BC07F0" w:rsidRDefault="00073EFB">
                  <w:pPr>
                    <w:pStyle w:val="a7"/>
                    <w:rPr>
                      <w:rFonts w:hint="default"/>
                    </w:rPr>
                  </w:pPr>
                  <w:r>
                    <w:t>500</w:t>
                  </w:r>
                </w:p>
              </w:tc>
              <w:tc>
                <w:tcPr>
                  <w:tcW w:w="698" w:type="pct"/>
                  <w:tcBorders>
                    <w:tl2br w:val="nil"/>
                    <w:tr2bl w:val="nil"/>
                  </w:tcBorders>
                  <w:vAlign w:val="center"/>
                </w:tcPr>
                <w:p w:rsidR="00BC07F0" w:rsidRDefault="00073EFB">
                  <w:pPr>
                    <w:pStyle w:val="a7"/>
                    <w:rPr>
                      <w:rFonts w:hint="default"/>
                    </w:rPr>
                  </w:pPr>
                  <w:r>
                    <w:t>300</w:t>
                  </w:r>
                </w:p>
              </w:tc>
              <w:tc>
                <w:tcPr>
                  <w:tcW w:w="797" w:type="pct"/>
                  <w:tcBorders>
                    <w:tl2br w:val="nil"/>
                    <w:tr2bl w:val="nil"/>
                  </w:tcBorders>
                  <w:vAlign w:val="center"/>
                </w:tcPr>
                <w:p w:rsidR="00BC07F0" w:rsidRDefault="00073EFB">
                  <w:pPr>
                    <w:pStyle w:val="a7"/>
                    <w:rPr>
                      <w:rFonts w:hint="default"/>
                    </w:rPr>
                  </w:pPr>
                  <w:r>
                    <w:t>-</w:t>
                  </w:r>
                </w:p>
              </w:tc>
              <w:tc>
                <w:tcPr>
                  <w:tcW w:w="643" w:type="pct"/>
                  <w:tcBorders>
                    <w:tl2br w:val="nil"/>
                    <w:tr2bl w:val="nil"/>
                  </w:tcBorders>
                  <w:vAlign w:val="center"/>
                </w:tcPr>
                <w:p w:rsidR="00BC07F0" w:rsidRDefault="00073EFB">
                  <w:pPr>
                    <w:pStyle w:val="a7"/>
                    <w:rPr>
                      <w:rFonts w:hint="default"/>
                    </w:rPr>
                  </w:pPr>
                  <w:r>
                    <w:t>400</w:t>
                  </w:r>
                </w:p>
              </w:tc>
              <w:tc>
                <w:tcPr>
                  <w:tcW w:w="884" w:type="pct"/>
                  <w:tcBorders>
                    <w:tl2br w:val="nil"/>
                    <w:tr2bl w:val="nil"/>
                  </w:tcBorders>
                  <w:vAlign w:val="center"/>
                </w:tcPr>
                <w:p w:rsidR="00BC07F0" w:rsidRDefault="00073EFB">
                  <w:pPr>
                    <w:pStyle w:val="a7"/>
                    <w:rPr>
                      <w:rFonts w:hint="default"/>
                    </w:rPr>
                  </w:pPr>
                  <w:r>
                    <w:t>100</w:t>
                  </w:r>
                </w:p>
              </w:tc>
              <w:tc>
                <w:tcPr>
                  <w:tcW w:w="687" w:type="pct"/>
                  <w:tcBorders>
                    <w:tl2br w:val="nil"/>
                    <w:tr2bl w:val="nil"/>
                  </w:tcBorders>
                  <w:vAlign w:val="center"/>
                </w:tcPr>
                <w:p w:rsidR="00BC07F0" w:rsidRDefault="00073EFB">
                  <w:pPr>
                    <w:pStyle w:val="a7"/>
                    <w:rPr>
                      <w:rFonts w:hint="default"/>
                    </w:rPr>
                  </w:pPr>
                  <w:r>
                    <w:t>20</w:t>
                  </w:r>
                </w:p>
              </w:tc>
            </w:tr>
          </w:tbl>
          <w:p w:rsidR="00BC07F0" w:rsidRDefault="00073EFB">
            <w:pPr>
              <w:tabs>
                <w:tab w:val="left" w:pos="480"/>
              </w:tabs>
              <w:ind w:firstLine="482"/>
              <w:rPr>
                <w:b/>
                <w:bCs/>
              </w:rPr>
            </w:pPr>
            <w:r>
              <w:rPr>
                <w:rFonts w:hint="eastAsia"/>
                <w:b/>
                <w:bCs/>
              </w:rPr>
              <w:t>3.9.2</w:t>
            </w:r>
            <w:r>
              <w:rPr>
                <w:rFonts w:hint="eastAsia"/>
                <w:b/>
                <w:bCs/>
              </w:rPr>
              <w:t>噪声</w:t>
            </w:r>
          </w:p>
          <w:p w:rsidR="00BC07F0" w:rsidRDefault="00073EFB">
            <w:pPr>
              <w:tabs>
                <w:tab w:val="left" w:pos="480"/>
              </w:tabs>
              <w:ind w:firstLine="480"/>
            </w:pPr>
            <w:r>
              <w:t>噪声执行《建筑施工场界环境噪声排放标准》</w:t>
            </w:r>
            <w:r>
              <w:rPr>
                <w:rFonts w:hint="eastAsia"/>
              </w:rPr>
              <w:t>（</w:t>
            </w:r>
            <w:r>
              <w:t>GB12523-2011</w:t>
            </w:r>
            <w:r>
              <w:rPr>
                <w:rFonts w:hint="eastAsia"/>
              </w:rPr>
              <w:t>）</w:t>
            </w:r>
            <w:r>
              <w:t>的场界排放限值，具体值见下表。</w:t>
            </w:r>
          </w:p>
          <w:p w:rsidR="00BC07F0" w:rsidRDefault="00073EFB">
            <w:pPr>
              <w:pStyle w:val="a7"/>
              <w:rPr>
                <w:rFonts w:hint="default"/>
                <w:b/>
                <w:bCs/>
              </w:rPr>
            </w:pPr>
            <w:r>
              <w:rPr>
                <w:b/>
                <w:bCs/>
              </w:rPr>
              <w:t>表</w:t>
            </w:r>
            <w:r>
              <w:rPr>
                <w:b/>
                <w:bCs/>
              </w:rPr>
              <w:t>3-</w:t>
            </w:r>
            <w:r>
              <w:rPr>
                <w:b/>
                <w:bCs/>
              </w:rPr>
              <w:t>11</w:t>
            </w:r>
            <w:r>
              <w:rPr>
                <w:b/>
                <w:bCs/>
              </w:rPr>
              <w:t>建筑施工场界环境噪声排放标准单位：</w:t>
            </w:r>
            <w:r>
              <w:rPr>
                <w:b/>
                <w:bCs/>
              </w:rPr>
              <w:t>dB</w:t>
            </w:r>
            <w:r>
              <w:rPr>
                <w:b/>
                <w:bCs/>
              </w:rPr>
              <w:t>（</w:t>
            </w:r>
            <w:r>
              <w:rPr>
                <w:b/>
                <w:bCs/>
              </w:rPr>
              <w:t>A</w:t>
            </w:r>
            <w:r>
              <w:rPr>
                <w:b/>
                <w:bCs/>
              </w:rPr>
              <w:t>）</w:t>
            </w:r>
          </w:p>
          <w:tbl>
            <w:tblPr>
              <w:tblW w:w="499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601"/>
              <w:gridCol w:w="4477"/>
            </w:tblGrid>
            <w:tr w:rsidR="00BC07F0">
              <w:trPr>
                <w:trHeight w:val="397"/>
                <w:jc w:val="center"/>
              </w:trPr>
              <w:tc>
                <w:tcPr>
                  <w:tcW w:w="2533" w:type="pct"/>
                  <w:vAlign w:val="center"/>
                </w:tcPr>
                <w:p w:rsidR="00BC07F0" w:rsidRDefault="00073EFB">
                  <w:pPr>
                    <w:pStyle w:val="a7"/>
                    <w:rPr>
                      <w:rFonts w:hint="default"/>
                    </w:rPr>
                  </w:pPr>
                  <w:r>
                    <w:t>昼间</w:t>
                  </w:r>
                </w:p>
              </w:tc>
              <w:tc>
                <w:tcPr>
                  <w:tcW w:w="2466" w:type="pct"/>
                  <w:vAlign w:val="center"/>
                </w:tcPr>
                <w:p w:rsidR="00BC07F0" w:rsidRDefault="00073EFB">
                  <w:pPr>
                    <w:pStyle w:val="a7"/>
                    <w:rPr>
                      <w:rFonts w:hint="default"/>
                    </w:rPr>
                  </w:pPr>
                  <w:r>
                    <w:t>夜间</w:t>
                  </w:r>
                </w:p>
              </w:tc>
            </w:tr>
            <w:tr w:rsidR="00BC07F0">
              <w:trPr>
                <w:trHeight w:val="397"/>
                <w:jc w:val="center"/>
              </w:trPr>
              <w:tc>
                <w:tcPr>
                  <w:tcW w:w="2533" w:type="pct"/>
                  <w:vAlign w:val="center"/>
                </w:tcPr>
                <w:p w:rsidR="00BC07F0" w:rsidRDefault="00073EFB">
                  <w:pPr>
                    <w:pStyle w:val="a7"/>
                    <w:rPr>
                      <w:rFonts w:hint="default"/>
                    </w:rPr>
                  </w:pPr>
                  <w:r>
                    <w:t>70</w:t>
                  </w:r>
                </w:p>
              </w:tc>
              <w:tc>
                <w:tcPr>
                  <w:tcW w:w="2466" w:type="pct"/>
                  <w:vAlign w:val="center"/>
                </w:tcPr>
                <w:p w:rsidR="00BC07F0" w:rsidRDefault="00073EFB">
                  <w:pPr>
                    <w:pStyle w:val="a7"/>
                    <w:rPr>
                      <w:rFonts w:hint="default"/>
                    </w:rPr>
                  </w:pPr>
                  <w:r>
                    <w:t>55</w:t>
                  </w:r>
                </w:p>
              </w:tc>
            </w:tr>
          </w:tbl>
          <w:p w:rsidR="00BC07F0" w:rsidRDefault="00073EFB">
            <w:pPr>
              <w:tabs>
                <w:tab w:val="left" w:pos="480"/>
              </w:tabs>
              <w:ind w:firstLine="482"/>
              <w:rPr>
                <w:b/>
                <w:bCs/>
              </w:rPr>
            </w:pPr>
            <w:r>
              <w:rPr>
                <w:rFonts w:hint="eastAsia"/>
                <w:b/>
                <w:bCs/>
              </w:rPr>
              <w:t>3.9.3</w:t>
            </w:r>
            <w:r>
              <w:rPr>
                <w:rFonts w:hint="eastAsia"/>
                <w:b/>
                <w:bCs/>
              </w:rPr>
              <w:t>固体废物</w:t>
            </w:r>
          </w:p>
          <w:p w:rsidR="00BC07F0" w:rsidRDefault="00073EFB" w:rsidP="00C55F5E">
            <w:pPr>
              <w:ind w:firstLine="480"/>
            </w:pPr>
            <w:r>
              <w:t>生活垃圾执行《生活垃圾污染控制标准》</w:t>
            </w:r>
            <w:r>
              <w:rPr>
                <w:rFonts w:hint="eastAsia"/>
              </w:rPr>
              <w:t>（</w:t>
            </w:r>
            <w:r>
              <w:t>GB16889-2008</w:t>
            </w:r>
            <w:r>
              <w:rPr>
                <w:rFonts w:hint="eastAsia"/>
              </w:rPr>
              <w:t>）</w:t>
            </w:r>
            <w:r>
              <w:rPr>
                <w:rFonts w:hint="eastAsia"/>
              </w:rPr>
              <w:t>，</w:t>
            </w:r>
            <w:r>
              <w:rPr>
                <w:rFonts w:hint="eastAsia"/>
              </w:rPr>
              <w:t>一般工业固体废物</w:t>
            </w:r>
            <w:r>
              <w:t>执行</w:t>
            </w:r>
            <w:r>
              <w:rPr>
                <w:rFonts w:hint="eastAsia"/>
              </w:rPr>
              <w:t>《一般工业固体废物贮存和填埋污染控制标准》（</w:t>
            </w:r>
            <w:r>
              <w:rPr>
                <w:rFonts w:hint="eastAsia"/>
              </w:rPr>
              <w:t>GB18599-2020</w:t>
            </w:r>
            <w:r>
              <w:rPr>
                <w:rFonts w:hint="eastAsia"/>
              </w:rPr>
              <w:t>）</w:t>
            </w:r>
            <w:r>
              <w:rPr>
                <w:rFonts w:hint="eastAsia"/>
              </w:rPr>
              <w:t>。</w:t>
            </w:r>
          </w:p>
        </w:tc>
      </w:tr>
      <w:tr w:rsidR="00BC07F0">
        <w:trPr>
          <w:trHeight w:val="454"/>
          <w:jc w:val="center"/>
        </w:trPr>
        <w:tc>
          <w:tcPr>
            <w:tcW w:w="543" w:type="dxa"/>
            <w:vAlign w:val="center"/>
          </w:tcPr>
          <w:p w:rsidR="00BC07F0" w:rsidRDefault="00073EFB">
            <w:pPr>
              <w:pStyle w:val="a7"/>
              <w:rPr>
                <w:rFonts w:hint="default"/>
                <w:b/>
                <w:bCs/>
                <w:sz w:val="24"/>
                <w:szCs w:val="24"/>
              </w:rPr>
            </w:pPr>
            <w:r>
              <w:rPr>
                <w:b/>
                <w:bCs/>
                <w:sz w:val="24"/>
                <w:szCs w:val="24"/>
              </w:rPr>
              <w:lastRenderedPageBreak/>
              <w:t>其他</w:t>
            </w:r>
          </w:p>
        </w:tc>
        <w:tc>
          <w:tcPr>
            <w:tcW w:w="9318" w:type="dxa"/>
            <w:vAlign w:val="center"/>
          </w:tcPr>
          <w:p w:rsidR="00BC07F0" w:rsidRDefault="00073EFB">
            <w:pPr>
              <w:tabs>
                <w:tab w:val="left" w:pos="480"/>
              </w:tabs>
              <w:ind w:firstLine="480"/>
            </w:pPr>
            <w:r>
              <w:rPr>
                <w:rFonts w:hint="eastAsia"/>
              </w:rPr>
              <w:t>按照国家和湖南省生态环境厅的要求，湖南省实行主要污染物总量控制的指标有</w:t>
            </w:r>
            <w:r>
              <w:rPr>
                <w:rFonts w:hint="eastAsia"/>
              </w:rPr>
              <w:t>6</w:t>
            </w:r>
            <w:r>
              <w:rPr>
                <w:rFonts w:hint="eastAsia"/>
              </w:rPr>
              <w:t>项，其中气态污染物</w:t>
            </w:r>
            <w:r>
              <w:rPr>
                <w:rFonts w:hint="eastAsia"/>
              </w:rPr>
              <w:t>3</w:t>
            </w:r>
            <w:r>
              <w:rPr>
                <w:rFonts w:hint="eastAsia"/>
              </w:rPr>
              <w:t>项：</w:t>
            </w:r>
            <w:r>
              <w:rPr>
                <w:rFonts w:hint="eastAsia"/>
              </w:rPr>
              <w:t>VOC</w:t>
            </w:r>
            <w:r>
              <w:rPr>
                <w:rFonts w:hint="eastAsia"/>
              </w:rPr>
              <w:t>（指导性指标）、</w:t>
            </w:r>
            <w:r>
              <w:rPr>
                <w:rFonts w:hint="eastAsia"/>
              </w:rPr>
              <w:t>SO</w:t>
            </w:r>
            <w:r>
              <w:rPr>
                <w:rFonts w:hint="eastAsia"/>
                <w:vertAlign w:val="subscript"/>
              </w:rPr>
              <w:t>2</w:t>
            </w:r>
            <w:r>
              <w:rPr>
                <w:rFonts w:hint="eastAsia"/>
              </w:rPr>
              <w:t>、</w:t>
            </w:r>
            <w:r>
              <w:rPr>
                <w:rFonts w:hint="eastAsia"/>
              </w:rPr>
              <w:t>NOx</w:t>
            </w:r>
            <w:r>
              <w:rPr>
                <w:rFonts w:hint="eastAsia"/>
              </w:rPr>
              <w:t>，水污染物</w:t>
            </w:r>
            <w:r>
              <w:rPr>
                <w:rFonts w:hint="eastAsia"/>
              </w:rPr>
              <w:t>3</w:t>
            </w:r>
            <w:r>
              <w:rPr>
                <w:rFonts w:hint="eastAsia"/>
              </w:rPr>
              <w:t>项：</w:t>
            </w:r>
            <w:r>
              <w:rPr>
                <w:rFonts w:hint="eastAsia"/>
              </w:rPr>
              <w:t>COD</w:t>
            </w:r>
            <w:r>
              <w:rPr>
                <w:rFonts w:hint="eastAsia"/>
              </w:rPr>
              <w:t>、</w:t>
            </w:r>
            <w:r>
              <w:rPr>
                <w:rFonts w:hint="eastAsia"/>
              </w:rPr>
              <w:t>NH</w:t>
            </w:r>
            <w:r>
              <w:rPr>
                <w:rFonts w:hint="eastAsia"/>
                <w:vertAlign w:val="subscript"/>
              </w:rPr>
              <w:t>3</w:t>
            </w:r>
            <w:r>
              <w:rPr>
                <w:rFonts w:hint="eastAsia"/>
              </w:rPr>
              <w:t>-N</w:t>
            </w:r>
            <w:r>
              <w:rPr>
                <w:rFonts w:hint="eastAsia"/>
              </w:rPr>
              <w:t>、</w:t>
            </w:r>
            <w:r>
              <w:rPr>
                <w:rFonts w:hint="eastAsia"/>
              </w:rPr>
              <w:t>TP</w:t>
            </w:r>
            <w:r>
              <w:rPr>
                <w:rFonts w:hint="eastAsia"/>
              </w:rPr>
              <w:t>（指导性指标，常德、</w:t>
            </w:r>
            <w:r>
              <w:rPr>
                <w:rFonts w:hint="eastAsia"/>
              </w:rPr>
              <w:t>衡阳</w:t>
            </w:r>
            <w:r>
              <w:rPr>
                <w:rFonts w:hint="eastAsia"/>
              </w:rPr>
              <w:t>、岳阳）。</w:t>
            </w:r>
          </w:p>
          <w:p w:rsidR="00BC07F0" w:rsidRDefault="00073EFB">
            <w:pPr>
              <w:tabs>
                <w:tab w:val="left" w:pos="480"/>
              </w:tabs>
              <w:ind w:firstLine="480"/>
            </w:pPr>
            <w:r>
              <w:rPr>
                <w:rFonts w:hint="eastAsia"/>
              </w:rPr>
              <w:t>本项目运营期无废气产生，产生的水污染物</w:t>
            </w:r>
            <w:r>
              <w:rPr>
                <w:rFonts w:hint="eastAsia"/>
              </w:rPr>
              <w:t>全部纳入</w:t>
            </w:r>
            <w:r>
              <w:rPr>
                <w:rFonts w:hint="eastAsia"/>
              </w:rPr>
              <w:t>铜桥港污水处理厂尾水</w:t>
            </w:r>
            <w:r>
              <w:rPr>
                <w:rFonts w:hint="eastAsia"/>
              </w:rPr>
              <w:t>。</w:t>
            </w:r>
          </w:p>
          <w:p w:rsidR="00BC07F0" w:rsidRDefault="00BC07F0">
            <w:pPr>
              <w:tabs>
                <w:tab w:val="left" w:pos="480"/>
              </w:tabs>
              <w:ind w:firstLine="480"/>
            </w:pPr>
          </w:p>
          <w:p w:rsidR="00BC07F0" w:rsidRDefault="00BC07F0">
            <w:pPr>
              <w:tabs>
                <w:tab w:val="left" w:pos="480"/>
              </w:tabs>
              <w:ind w:firstLine="480"/>
            </w:pPr>
          </w:p>
          <w:p w:rsidR="00BC07F0" w:rsidRDefault="00BC07F0">
            <w:pPr>
              <w:tabs>
                <w:tab w:val="left" w:pos="480"/>
              </w:tabs>
              <w:ind w:firstLine="480"/>
            </w:pPr>
          </w:p>
          <w:p w:rsidR="00BC07F0" w:rsidRDefault="00BC07F0">
            <w:pPr>
              <w:tabs>
                <w:tab w:val="left" w:pos="480"/>
              </w:tabs>
              <w:ind w:firstLine="480"/>
            </w:pPr>
          </w:p>
          <w:p w:rsidR="00BC07F0" w:rsidRDefault="00BC07F0">
            <w:pPr>
              <w:tabs>
                <w:tab w:val="left" w:pos="480"/>
              </w:tabs>
              <w:ind w:firstLine="480"/>
            </w:pPr>
          </w:p>
          <w:p w:rsidR="00BC07F0" w:rsidRDefault="00BC07F0">
            <w:pPr>
              <w:tabs>
                <w:tab w:val="left" w:pos="480"/>
              </w:tabs>
              <w:ind w:firstLine="480"/>
            </w:pPr>
          </w:p>
          <w:p w:rsidR="00BC07F0" w:rsidRDefault="00BC07F0">
            <w:pPr>
              <w:tabs>
                <w:tab w:val="left" w:pos="480"/>
              </w:tabs>
              <w:ind w:firstLine="480"/>
            </w:pPr>
          </w:p>
          <w:p w:rsidR="00BC07F0" w:rsidRDefault="00BC07F0">
            <w:pPr>
              <w:tabs>
                <w:tab w:val="left" w:pos="480"/>
              </w:tabs>
              <w:ind w:firstLine="480"/>
            </w:pPr>
          </w:p>
          <w:p w:rsidR="00BC07F0" w:rsidRDefault="00BC07F0">
            <w:pPr>
              <w:tabs>
                <w:tab w:val="left" w:pos="480"/>
              </w:tabs>
              <w:ind w:firstLine="480"/>
            </w:pPr>
          </w:p>
          <w:p w:rsidR="00BC07F0" w:rsidRDefault="00BC07F0">
            <w:pPr>
              <w:tabs>
                <w:tab w:val="left" w:pos="480"/>
              </w:tabs>
              <w:ind w:firstLine="480"/>
            </w:pPr>
          </w:p>
          <w:p w:rsidR="00BC07F0" w:rsidRDefault="00BC07F0">
            <w:pPr>
              <w:tabs>
                <w:tab w:val="left" w:pos="480"/>
              </w:tabs>
              <w:ind w:firstLine="480"/>
            </w:pPr>
          </w:p>
        </w:tc>
      </w:tr>
    </w:tbl>
    <w:p w:rsidR="00BC07F0" w:rsidRDefault="00BC07F0">
      <w:pPr>
        <w:pStyle w:val="a7"/>
        <w:rPr>
          <w:rFonts w:hint="default"/>
        </w:rPr>
        <w:sectPr w:rsidR="00BC07F0">
          <w:pgSz w:w="11907" w:h="16840"/>
          <w:pgMar w:top="1440" w:right="1080" w:bottom="1440" w:left="1080" w:header="851" w:footer="1077" w:gutter="0"/>
          <w:cols w:space="720"/>
          <w:docGrid w:linePitch="312"/>
        </w:sectPr>
      </w:pPr>
    </w:p>
    <w:p w:rsidR="00BC07F0" w:rsidRDefault="00073EFB">
      <w:pPr>
        <w:pStyle w:val="1"/>
      </w:pPr>
      <w:bookmarkStart w:id="21" w:name="_Toc2433"/>
      <w:bookmarkStart w:id="22" w:name="_Toc23634"/>
      <w:bookmarkStart w:id="23" w:name="_Toc197"/>
      <w:bookmarkStart w:id="24" w:name="_Toc23586"/>
      <w:r>
        <w:rPr>
          <w:rFonts w:hint="eastAsia"/>
        </w:rPr>
        <w:lastRenderedPageBreak/>
        <w:t>四、生态环境影响分析</w:t>
      </w:r>
      <w:bookmarkEnd w:id="21"/>
      <w:bookmarkEnd w:id="22"/>
      <w:bookmarkEnd w:id="23"/>
      <w:bookmarkEnd w:id="24"/>
    </w:p>
    <w:tbl>
      <w:tblPr>
        <w:tblStyle w:val="a6"/>
        <w:tblW w:w="4948" w:type="pct"/>
        <w:tblLook w:val="04A0"/>
      </w:tblPr>
      <w:tblGrid>
        <w:gridCol w:w="534"/>
        <w:gridCol w:w="9324"/>
      </w:tblGrid>
      <w:tr w:rsidR="00BC07F0">
        <w:trPr>
          <w:trHeight w:val="454"/>
        </w:trPr>
        <w:tc>
          <w:tcPr>
            <w:tcW w:w="534" w:type="dxa"/>
            <w:vAlign w:val="center"/>
          </w:tcPr>
          <w:p w:rsidR="00BC07F0" w:rsidRDefault="00073EFB">
            <w:pPr>
              <w:pStyle w:val="a7"/>
              <w:rPr>
                <w:rFonts w:hint="default"/>
                <w:b/>
                <w:bCs/>
                <w:sz w:val="24"/>
                <w:szCs w:val="24"/>
              </w:rPr>
            </w:pPr>
            <w:r>
              <w:rPr>
                <w:b/>
                <w:bCs/>
                <w:sz w:val="24"/>
                <w:szCs w:val="24"/>
              </w:rPr>
              <w:t>施工期生态环境影响分析</w:t>
            </w:r>
          </w:p>
        </w:tc>
        <w:tc>
          <w:tcPr>
            <w:tcW w:w="9326" w:type="dxa"/>
            <w:vAlign w:val="center"/>
          </w:tcPr>
          <w:p w:rsidR="00BC07F0" w:rsidRDefault="00073EFB" w:rsidP="00C55F5E">
            <w:pPr>
              <w:ind w:firstLine="480"/>
            </w:pPr>
            <w:r>
              <w:rPr>
                <w:rFonts w:hint="eastAsia"/>
              </w:rPr>
              <w:t>湘江南岸（衡阳港</w:t>
            </w:r>
            <w:r>
              <w:rPr>
                <w:rFonts w:hint="eastAsia"/>
              </w:rPr>
              <w:t>-</w:t>
            </w:r>
            <w:r>
              <w:rPr>
                <w:rFonts w:hint="eastAsia"/>
              </w:rPr>
              <w:t>铜桥港）水环境水安全综合治理工程</w:t>
            </w:r>
            <w:r>
              <w:rPr>
                <w:rFonts w:hint="eastAsia"/>
              </w:rPr>
              <w:t>、幸福河支流水生态环境综合治理工程、铜桥港湿地公园工程、</w:t>
            </w:r>
            <w:r>
              <w:rPr>
                <w:rFonts w:hint="eastAsia"/>
              </w:rPr>
              <w:t>配套城市道路前进路、酃白路工程施工期污染来源及对周边环境的影响如下表</w:t>
            </w:r>
            <w:r>
              <w:rPr>
                <w:rFonts w:hint="eastAsia"/>
              </w:rPr>
              <w:t>4.1-1</w:t>
            </w:r>
            <w:r>
              <w:rPr>
                <w:rFonts w:hint="eastAsia"/>
              </w:rPr>
              <w:t>。</w:t>
            </w:r>
          </w:p>
          <w:p w:rsidR="00BC07F0" w:rsidRDefault="00073EFB">
            <w:pPr>
              <w:pStyle w:val="a7"/>
              <w:rPr>
                <w:rFonts w:hint="default"/>
                <w:b/>
                <w:bCs/>
              </w:rPr>
            </w:pPr>
            <w:r>
              <w:rPr>
                <w:b/>
                <w:bCs/>
              </w:rPr>
              <w:t>表</w:t>
            </w:r>
            <w:r>
              <w:rPr>
                <w:b/>
                <w:bCs/>
              </w:rPr>
              <w:t>4</w:t>
            </w:r>
            <w:r>
              <w:rPr>
                <w:b/>
                <w:bCs/>
              </w:rPr>
              <w:t>.1-1</w:t>
            </w:r>
            <w:r>
              <w:rPr>
                <w:b/>
                <w:bCs/>
              </w:rPr>
              <w:t>施工期环境影响因素一览表</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
              <w:gridCol w:w="1485"/>
              <w:gridCol w:w="3195"/>
              <w:gridCol w:w="3556"/>
            </w:tblGrid>
            <w:tr w:rsidR="00BC07F0">
              <w:trPr>
                <w:trHeight w:val="397"/>
                <w:jc w:val="center"/>
              </w:trPr>
              <w:tc>
                <w:tcPr>
                  <w:tcW w:w="766" w:type="dxa"/>
                  <w:vAlign w:val="center"/>
                </w:tcPr>
                <w:p w:rsidR="00BC07F0" w:rsidRDefault="00073EFB">
                  <w:pPr>
                    <w:pStyle w:val="a7"/>
                    <w:rPr>
                      <w:rFonts w:hint="default"/>
                    </w:rPr>
                  </w:pPr>
                  <w:r>
                    <w:t>环境要素</w:t>
                  </w:r>
                </w:p>
              </w:tc>
              <w:tc>
                <w:tcPr>
                  <w:tcW w:w="1485" w:type="dxa"/>
                  <w:vAlign w:val="center"/>
                </w:tcPr>
                <w:p w:rsidR="00BC07F0" w:rsidRDefault="00073EFB">
                  <w:pPr>
                    <w:pStyle w:val="a7"/>
                    <w:rPr>
                      <w:rFonts w:hint="default"/>
                    </w:rPr>
                  </w:pPr>
                  <w:r>
                    <w:t>影响因素</w:t>
                  </w:r>
                </w:p>
              </w:tc>
              <w:tc>
                <w:tcPr>
                  <w:tcW w:w="3195" w:type="dxa"/>
                  <w:vAlign w:val="center"/>
                </w:tcPr>
                <w:p w:rsidR="00BC07F0" w:rsidRDefault="00073EFB">
                  <w:pPr>
                    <w:pStyle w:val="a7"/>
                    <w:rPr>
                      <w:rFonts w:hint="default"/>
                    </w:rPr>
                  </w:pPr>
                  <w:r>
                    <w:t>产生污染物的工程</w:t>
                  </w:r>
                </w:p>
              </w:tc>
              <w:tc>
                <w:tcPr>
                  <w:tcW w:w="3556" w:type="dxa"/>
                  <w:vAlign w:val="center"/>
                </w:tcPr>
                <w:p w:rsidR="00BC07F0" w:rsidRDefault="00073EFB">
                  <w:pPr>
                    <w:pStyle w:val="a7"/>
                    <w:rPr>
                      <w:rFonts w:hint="default"/>
                    </w:rPr>
                  </w:pPr>
                  <w:r>
                    <w:t>污染来源</w:t>
                  </w:r>
                  <w:r>
                    <w:t>及</w:t>
                  </w:r>
                  <w:r>
                    <w:t>环境影响</w:t>
                  </w:r>
                </w:p>
              </w:tc>
            </w:tr>
            <w:tr w:rsidR="00BC07F0">
              <w:trPr>
                <w:trHeight w:val="397"/>
                <w:jc w:val="center"/>
              </w:trPr>
              <w:tc>
                <w:tcPr>
                  <w:tcW w:w="766" w:type="dxa"/>
                  <w:vMerge w:val="restart"/>
                  <w:vAlign w:val="center"/>
                </w:tcPr>
                <w:p w:rsidR="00BC07F0" w:rsidRDefault="00073EFB">
                  <w:pPr>
                    <w:pStyle w:val="a7"/>
                    <w:rPr>
                      <w:rFonts w:hint="default"/>
                    </w:rPr>
                  </w:pPr>
                  <w:r>
                    <w:t>环境空气</w:t>
                  </w:r>
                </w:p>
              </w:tc>
              <w:tc>
                <w:tcPr>
                  <w:tcW w:w="1485" w:type="dxa"/>
                  <w:vAlign w:val="center"/>
                </w:tcPr>
                <w:p w:rsidR="00BC07F0" w:rsidRDefault="00073EFB">
                  <w:pPr>
                    <w:pStyle w:val="a7"/>
                    <w:rPr>
                      <w:rFonts w:hint="default"/>
                    </w:rPr>
                  </w:pPr>
                  <w:r>
                    <w:t>燃油废气</w:t>
                  </w:r>
                </w:p>
              </w:tc>
              <w:tc>
                <w:tcPr>
                  <w:tcW w:w="3195" w:type="dxa"/>
                  <w:vAlign w:val="center"/>
                </w:tcPr>
                <w:p w:rsidR="00BC07F0" w:rsidRDefault="00073EFB">
                  <w:pPr>
                    <w:pStyle w:val="a7"/>
                    <w:rPr>
                      <w:rFonts w:hint="default"/>
                    </w:rPr>
                  </w:pPr>
                  <w:r>
                    <w:t>湘江南岸（衡阳港</w:t>
                  </w:r>
                  <w:r>
                    <w:t>-</w:t>
                  </w:r>
                  <w:r>
                    <w:t>铜桥港）水环境水安全综合治理工程、</w:t>
                  </w:r>
                  <w:r>
                    <w:t>幸福河支流水生态环境综合治理工程</w:t>
                  </w:r>
                  <w:r>
                    <w:t>、</w:t>
                  </w:r>
                  <w:r>
                    <w:t>铜桥港湿地公园工程</w:t>
                  </w:r>
                  <w:r>
                    <w:t>、配套城市道路前进路、酃白路工程</w:t>
                  </w:r>
                </w:p>
              </w:tc>
              <w:tc>
                <w:tcPr>
                  <w:tcW w:w="3556" w:type="dxa"/>
                  <w:vAlign w:val="center"/>
                </w:tcPr>
                <w:p w:rsidR="00BC07F0" w:rsidRDefault="00073EFB">
                  <w:pPr>
                    <w:pStyle w:val="a7"/>
                    <w:rPr>
                      <w:rFonts w:hint="default"/>
                    </w:rPr>
                  </w:pPr>
                  <w:r>
                    <w:t>施工过程中将使用各种大、中、小施工机械，主要以汽油、柴油等燃烧为动力，尤其是大型工程机械将使用柴油为燃料，排放的燃油废气中主要含</w:t>
                  </w:r>
                  <w:r>
                    <w:t>CO</w:t>
                  </w:r>
                  <w:r>
                    <w:t>、</w:t>
                  </w:r>
                  <w:r>
                    <w:t>NO</w:t>
                  </w:r>
                  <w:r>
                    <w:t>x</w:t>
                  </w:r>
                  <w:r>
                    <w:t>、</w:t>
                  </w:r>
                  <w:r>
                    <w:t>THC</w:t>
                  </w:r>
                  <w:r>
                    <w:t>等污染物</w:t>
                  </w:r>
                  <w:r>
                    <w:t>。</w:t>
                  </w:r>
                </w:p>
              </w:tc>
            </w:tr>
            <w:tr w:rsidR="00BC07F0">
              <w:trPr>
                <w:trHeight w:val="397"/>
                <w:jc w:val="center"/>
              </w:trPr>
              <w:tc>
                <w:tcPr>
                  <w:tcW w:w="766" w:type="dxa"/>
                  <w:vMerge/>
                  <w:vAlign w:val="center"/>
                </w:tcPr>
                <w:p w:rsidR="00BC07F0" w:rsidRDefault="00BC07F0">
                  <w:pPr>
                    <w:pStyle w:val="a7"/>
                    <w:rPr>
                      <w:rFonts w:hint="default"/>
                    </w:rPr>
                  </w:pPr>
                </w:p>
              </w:tc>
              <w:tc>
                <w:tcPr>
                  <w:tcW w:w="1485" w:type="dxa"/>
                  <w:vAlign w:val="center"/>
                </w:tcPr>
                <w:p w:rsidR="00BC07F0" w:rsidRDefault="00073EFB">
                  <w:pPr>
                    <w:pStyle w:val="a7"/>
                    <w:rPr>
                      <w:rFonts w:hint="default"/>
                    </w:rPr>
                  </w:pPr>
                  <w:r>
                    <w:t>施工扬尘</w:t>
                  </w:r>
                </w:p>
              </w:tc>
              <w:tc>
                <w:tcPr>
                  <w:tcW w:w="3195" w:type="dxa"/>
                  <w:vAlign w:val="center"/>
                </w:tcPr>
                <w:p w:rsidR="00BC07F0" w:rsidRDefault="00073EFB">
                  <w:pPr>
                    <w:pStyle w:val="a7"/>
                    <w:rPr>
                      <w:rFonts w:hint="default"/>
                    </w:rPr>
                  </w:pPr>
                  <w:r>
                    <w:t>湘江南岸（衡阳港</w:t>
                  </w:r>
                  <w:r>
                    <w:t>-</w:t>
                  </w:r>
                  <w:r>
                    <w:t>铜桥港）水环境水安全综合治理工程、</w:t>
                  </w:r>
                  <w:r>
                    <w:t>幸福河支流水生态环境综合治理工程</w:t>
                  </w:r>
                  <w:r>
                    <w:t>、</w:t>
                  </w:r>
                  <w:r>
                    <w:t>铜桥港湿地公园工程</w:t>
                  </w:r>
                  <w:r>
                    <w:t>、配套城市道路前进路、酃白路工程</w:t>
                  </w:r>
                </w:p>
              </w:tc>
              <w:tc>
                <w:tcPr>
                  <w:tcW w:w="3556" w:type="dxa"/>
                  <w:vAlign w:val="center"/>
                </w:tcPr>
                <w:p w:rsidR="00BC07F0" w:rsidRDefault="00073EFB">
                  <w:pPr>
                    <w:pStyle w:val="a7"/>
                    <w:rPr>
                      <w:rFonts w:hint="default"/>
                    </w:rPr>
                  </w:pPr>
                  <w:r>
                    <w:t>建筑材料运输、卸载中的扬尘，土方运输车辆行驶产生的扬尘，临时物料堆场产生的扬尘等。</w:t>
                  </w:r>
                </w:p>
              </w:tc>
            </w:tr>
            <w:tr w:rsidR="00BC07F0">
              <w:trPr>
                <w:trHeight w:val="397"/>
                <w:jc w:val="center"/>
              </w:trPr>
              <w:tc>
                <w:tcPr>
                  <w:tcW w:w="766" w:type="dxa"/>
                  <w:vMerge/>
                  <w:vAlign w:val="center"/>
                </w:tcPr>
                <w:p w:rsidR="00BC07F0" w:rsidRDefault="00BC07F0">
                  <w:pPr>
                    <w:pStyle w:val="a7"/>
                    <w:rPr>
                      <w:rFonts w:hint="default"/>
                    </w:rPr>
                  </w:pPr>
                </w:p>
              </w:tc>
              <w:tc>
                <w:tcPr>
                  <w:tcW w:w="1485" w:type="dxa"/>
                  <w:vAlign w:val="center"/>
                </w:tcPr>
                <w:p w:rsidR="00BC07F0" w:rsidRDefault="00073EFB">
                  <w:pPr>
                    <w:pStyle w:val="a7"/>
                    <w:rPr>
                      <w:rFonts w:hint="default"/>
                    </w:rPr>
                  </w:pPr>
                  <w:r>
                    <w:t>堆场扬尘</w:t>
                  </w:r>
                </w:p>
              </w:tc>
              <w:tc>
                <w:tcPr>
                  <w:tcW w:w="3195" w:type="dxa"/>
                  <w:vAlign w:val="center"/>
                </w:tcPr>
                <w:p w:rsidR="00BC07F0" w:rsidRDefault="00073EFB">
                  <w:pPr>
                    <w:pStyle w:val="a7"/>
                    <w:rPr>
                      <w:rFonts w:hint="default"/>
                    </w:rPr>
                  </w:pPr>
                  <w:r>
                    <w:t>湘江南岸（衡阳港</w:t>
                  </w:r>
                  <w:r>
                    <w:t>-</w:t>
                  </w:r>
                  <w:r>
                    <w:t>铜桥港）水环境水安全综合治理工程、</w:t>
                  </w:r>
                  <w:r>
                    <w:t>幸福河支流水生态环境综合治理工程</w:t>
                  </w:r>
                  <w:r>
                    <w:t>、</w:t>
                  </w:r>
                  <w:r>
                    <w:t>铜桥港湿地公园工程</w:t>
                  </w:r>
                  <w:r>
                    <w:t>、配套城市道路前进路、酃白路工程</w:t>
                  </w:r>
                </w:p>
              </w:tc>
              <w:tc>
                <w:tcPr>
                  <w:tcW w:w="3556" w:type="dxa"/>
                  <w:vAlign w:val="center"/>
                </w:tcPr>
                <w:p w:rsidR="00BC07F0" w:rsidRDefault="00073EFB">
                  <w:pPr>
                    <w:pStyle w:val="a7"/>
                    <w:rPr>
                      <w:rFonts w:hint="default"/>
                    </w:rPr>
                  </w:pPr>
                  <w:r>
                    <w:t>露天堆放建筑材料</w:t>
                  </w:r>
                  <w:r>
                    <w:t>和</w:t>
                  </w:r>
                  <w:r>
                    <w:t>施工作业点的表层土壤在经过人工开挖后在气候干燥且有风的情况下会产生大量的扬尘</w:t>
                  </w:r>
                  <w:r>
                    <w:t>。</w:t>
                  </w:r>
                </w:p>
              </w:tc>
            </w:tr>
            <w:tr w:rsidR="00BC07F0">
              <w:trPr>
                <w:trHeight w:val="397"/>
                <w:jc w:val="center"/>
              </w:trPr>
              <w:tc>
                <w:tcPr>
                  <w:tcW w:w="766" w:type="dxa"/>
                  <w:vMerge/>
                  <w:vAlign w:val="center"/>
                </w:tcPr>
                <w:p w:rsidR="00BC07F0" w:rsidRDefault="00BC07F0">
                  <w:pPr>
                    <w:pStyle w:val="a7"/>
                    <w:rPr>
                      <w:rFonts w:hint="default"/>
                    </w:rPr>
                  </w:pPr>
                </w:p>
              </w:tc>
              <w:tc>
                <w:tcPr>
                  <w:tcW w:w="1485" w:type="dxa"/>
                  <w:vAlign w:val="center"/>
                </w:tcPr>
                <w:p w:rsidR="00BC07F0" w:rsidRDefault="00073EFB">
                  <w:pPr>
                    <w:pStyle w:val="a7"/>
                    <w:rPr>
                      <w:rFonts w:hint="default"/>
                    </w:rPr>
                  </w:pPr>
                  <w:r>
                    <w:t>道路扬尘</w:t>
                  </w:r>
                </w:p>
              </w:tc>
              <w:tc>
                <w:tcPr>
                  <w:tcW w:w="3195" w:type="dxa"/>
                  <w:vAlign w:val="center"/>
                </w:tcPr>
                <w:p w:rsidR="00BC07F0" w:rsidRDefault="00073EFB">
                  <w:pPr>
                    <w:pStyle w:val="a7"/>
                    <w:rPr>
                      <w:rFonts w:hint="default"/>
                    </w:rPr>
                  </w:pPr>
                  <w:r>
                    <w:t>湘江南岸（衡阳港</w:t>
                  </w:r>
                  <w:r>
                    <w:t>-</w:t>
                  </w:r>
                  <w:r>
                    <w:t>铜桥港）水环境水安全综合治理工程、配套城市道路前进路、酃白路工程</w:t>
                  </w:r>
                </w:p>
              </w:tc>
              <w:tc>
                <w:tcPr>
                  <w:tcW w:w="3556" w:type="dxa"/>
                  <w:vAlign w:val="center"/>
                </w:tcPr>
                <w:p w:rsidR="00BC07F0" w:rsidRDefault="00073EFB">
                  <w:pPr>
                    <w:pStyle w:val="a7"/>
                    <w:rPr>
                      <w:rFonts w:hint="default"/>
                    </w:rPr>
                  </w:pPr>
                  <w:r>
                    <w:t>施工车辆运输过程中如有砂石洒落，在大风时容易产生扬尘。</w:t>
                  </w:r>
                </w:p>
              </w:tc>
            </w:tr>
            <w:tr w:rsidR="00BC07F0">
              <w:trPr>
                <w:trHeight w:val="397"/>
                <w:jc w:val="center"/>
              </w:trPr>
              <w:tc>
                <w:tcPr>
                  <w:tcW w:w="766" w:type="dxa"/>
                  <w:vMerge/>
                  <w:vAlign w:val="center"/>
                </w:tcPr>
                <w:p w:rsidR="00BC07F0" w:rsidRDefault="00BC07F0">
                  <w:pPr>
                    <w:pStyle w:val="a7"/>
                    <w:rPr>
                      <w:rFonts w:hint="default"/>
                    </w:rPr>
                  </w:pPr>
                </w:p>
              </w:tc>
              <w:tc>
                <w:tcPr>
                  <w:tcW w:w="1485" w:type="dxa"/>
                  <w:vAlign w:val="center"/>
                </w:tcPr>
                <w:p w:rsidR="00BC07F0" w:rsidRDefault="00073EFB">
                  <w:pPr>
                    <w:pStyle w:val="a7"/>
                    <w:rPr>
                      <w:rFonts w:hint="default"/>
                    </w:rPr>
                  </w:pPr>
                  <w:r>
                    <w:t>底泥恶臭</w:t>
                  </w:r>
                </w:p>
              </w:tc>
              <w:tc>
                <w:tcPr>
                  <w:tcW w:w="3195" w:type="dxa"/>
                  <w:vAlign w:val="center"/>
                </w:tcPr>
                <w:p w:rsidR="00BC07F0" w:rsidRDefault="00073EFB">
                  <w:pPr>
                    <w:pStyle w:val="a7"/>
                    <w:rPr>
                      <w:rFonts w:hint="default"/>
                    </w:rPr>
                  </w:pPr>
                  <w:r>
                    <w:t>幸福河支流水生态环境综合治理工程</w:t>
                  </w:r>
                </w:p>
              </w:tc>
              <w:tc>
                <w:tcPr>
                  <w:tcW w:w="3556" w:type="dxa"/>
                  <w:vAlign w:val="center"/>
                </w:tcPr>
                <w:p w:rsidR="00BC07F0" w:rsidRDefault="00073EFB">
                  <w:pPr>
                    <w:pStyle w:val="a7"/>
                    <w:rPr>
                      <w:rFonts w:hint="default"/>
                    </w:rPr>
                  </w:pPr>
                  <w:r>
                    <w:t>施工疏浚现场、底泥</w:t>
                  </w:r>
                  <w:r>
                    <w:t>堆放</w:t>
                  </w:r>
                  <w:r>
                    <w:t>过程散发的臭气，臭气主要污染物为</w:t>
                  </w:r>
                  <w:r>
                    <w:t>H</w:t>
                  </w:r>
                  <w:r>
                    <w:rPr>
                      <w:vertAlign w:val="subscript"/>
                    </w:rPr>
                    <w:t>2</w:t>
                  </w:r>
                  <w:r>
                    <w:t>S</w:t>
                  </w:r>
                  <w:r>
                    <w:t>、硫醚类、氨等物质的混合物，呈无组织状态排放</w:t>
                  </w:r>
                  <w:r>
                    <w:t>。</w:t>
                  </w:r>
                </w:p>
              </w:tc>
            </w:tr>
            <w:tr w:rsidR="00BC07F0">
              <w:trPr>
                <w:trHeight w:val="397"/>
                <w:jc w:val="center"/>
              </w:trPr>
              <w:tc>
                <w:tcPr>
                  <w:tcW w:w="766" w:type="dxa"/>
                  <w:vMerge w:val="restart"/>
                  <w:vAlign w:val="center"/>
                </w:tcPr>
                <w:p w:rsidR="00BC07F0" w:rsidRDefault="00073EFB">
                  <w:pPr>
                    <w:pStyle w:val="a7"/>
                    <w:rPr>
                      <w:rFonts w:hint="default"/>
                    </w:rPr>
                  </w:pPr>
                  <w:r>
                    <w:t>水环境</w:t>
                  </w:r>
                </w:p>
              </w:tc>
              <w:tc>
                <w:tcPr>
                  <w:tcW w:w="1485" w:type="dxa"/>
                  <w:vAlign w:val="center"/>
                </w:tcPr>
                <w:p w:rsidR="00BC07F0" w:rsidRDefault="00073EFB">
                  <w:pPr>
                    <w:pStyle w:val="a7"/>
                    <w:rPr>
                      <w:rFonts w:hint="default"/>
                    </w:rPr>
                  </w:pPr>
                  <w:r>
                    <w:t>员工</w:t>
                  </w:r>
                  <w:r>
                    <w:t>生活污水</w:t>
                  </w:r>
                </w:p>
              </w:tc>
              <w:tc>
                <w:tcPr>
                  <w:tcW w:w="3195" w:type="dxa"/>
                  <w:vAlign w:val="center"/>
                </w:tcPr>
                <w:p w:rsidR="00BC07F0" w:rsidRDefault="00073EFB">
                  <w:pPr>
                    <w:pStyle w:val="a7"/>
                    <w:rPr>
                      <w:rFonts w:hint="default"/>
                    </w:rPr>
                  </w:pPr>
                  <w:r>
                    <w:t>湘江南岸（衡阳港</w:t>
                  </w:r>
                  <w:r>
                    <w:t>-</w:t>
                  </w:r>
                  <w:r>
                    <w:t>铜桥港）水环境水安全综合治理工程、</w:t>
                  </w:r>
                  <w:r>
                    <w:t>幸福河支流水生态环境综合治理工程</w:t>
                  </w:r>
                  <w:r>
                    <w:t>、</w:t>
                  </w:r>
                  <w:r>
                    <w:t>铜桥港湿地公园工程</w:t>
                  </w:r>
                  <w:r>
                    <w:t>、配套城市道路前进路、酃白路工程</w:t>
                  </w:r>
                </w:p>
              </w:tc>
              <w:tc>
                <w:tcPr>
                  <w:tcW w:w="3556" w:type="dxa"/>
                  <w:vAlign w:val="center"/>
                </w:tcPr>
                <w:p w:rsidR="00BC07F0" w:rsidRDefault="00073EFB">
                  <w:pPr>
                    <w:pStyle w:val="a7"/>
                    <w:rPr>
                      <w:rFonts w:hint="default"/>
                    </w:rPr>
                  </w:pPr>
                  <w:r>
                    <w:t>施工高峰期住于施工营地的施工人员约</w:t>
                  </w:r>
                  <w:r>
                    <w:t>200</w:t>
                  </w:r>
                  <w:r>
                    <w:t>人，</w:t>
                  </w:r>
                  <w:r>
                    <w:t>主要是如厕、日常生活产生的废水。</w:t>
                  </w:r>
                </w:p>
              </w:tc>
            </w:tr>
            <w:tr w:rsidR="00BC07F0">
              <w:trPr>
                <w:trHeight w:val="397"/>
                <w:jc w:val="center"/>
              </w:trPr>
              <w:tc>
                <w:tcPr>
                  <w:tcW w:w="766" w:type="dxa"/>
                  <w:vMerge/>
                  <w:vAlign w:val="center"/>
                </w:tcPr>
                <w:p w:rsidR="00BC07F0" w:rsidRDefault="00BC07F0">
                  <w:pPr>
                    <w:pStyle w:val="a7"/>
                    <w:rPr>
                      <w:rFonts w:hint="default"/>
                    </w:rPr>
                  </w:pPr>
                </w:p>
              </w:tc>
              <w:tc>
                <w:tcPr>
                  <w:tcW w:w="1485" w:type="dxa"/>
                  <w:vAlign w:val="center"/>
                </w:tcPr>
                <w:p w:rsidR="00BC07F0" w:rsidRDefault="00073EFB">
                  <w:pPr>
                    <w:pStyle w:val="a7"/>
                    <w:rPr>
                      <w:rFonts w:hint="default"/>
                    </w:rPr>
                  </w:pPr>
                  <w:r>
                    <w:t>道路养护废水</w:t>
                  </w:r>
                </w:p>
              </w:tc>
              <w:tc>
                <w:tcPr>
                  <w:tcW w:w="3195" w:type="dxa"/>
                  <w:vAlign w:val="center"/>
                </w:tcPr>
                <w:p w:rsidR="00BC07F0" w:rsidRDefault="00073EFB">
                  <w:pPr>
                    <w:pStyle w:val="a7"/>
                    <w:rPr>
                      <w:rFonts w:hint="default"/>
                    </w:rPr>
                  </w:pPr>
                  <w:r>
                    <w:t>湘江南岸（衡阳港</w:t>
                  </w:r>
                  <w:r>
                    <w:t>-</w:t>
                  </w:r>
                  <w:r>
                    <w:t>铜桥港）水环境水安全综合治理工程、配套城市道路前进路、酃白路工程</w:t>
                  </w:r>
                </w:p>
              </w:tc>
              <w:tc>
                <w:tcPr>
                  <w:tcW w:w="3556" w:type="dxa"/>
                  <w:vAlign w:val="center"/>
                </w:tcPr>
                <w:p w:rsidR="00BC07F0" w:rsidRDefault="00073EFB">
                  <w:pPr>
                    <w:pStyle w:val="a7"/>
                    <w:rPr>
                      <w:rFonts w:hint="default"/>
                    </w:rPr>
                  </w:pPr>
                  <w:r>
                    <w:t>施工道路在建设完成后定期进行养护</w:t>
                  </w:r>
                  <w:r>
                    <w:t>会产生</w:t>
                  </w:r>
                  <w:r>
                    <w:t>养护废水</w:t>
                  </w:r>
                  <w:r>
                    <w:t>。</w:t>
                  </w:r>
                </w:p>
              </w:tc>
            </w:tr>
            <w:tr w:rsidR="00BC07F0">
              <w:trPr>
                <w:trHeight w:val="397"/>
                <w:jc w:val="center"/>
              </w:trPr>
              <w:tc>
                <w:tcPr>
                  <w:tcW w:w="766" w:type="dxa"/>
                  <w:vMerge w:val="restart"/>
                  <w:vAlign w:val="center"/>
                </w:tcPr>
                <w:p w:rsidR="00BC07F0" w:rsidRDefault="00073EFB">
                  <w:pPr>
                    <w:pStyle w:val="a7"/>
                    <w:rPr>
                      <w:rFonts w:hint="default"/>
                    </w:rPr>
                  </w:pPr>
                  <w:r>
                    <w:t>声环境</w:t>
                  </w:r>
                </w:p>
              </w:tc>
              <w:tc>
                <w:tcPr>
                  <w:tcW w:w="1485" w:type="dxa"/>
                  <w:vAlign w:val="center"/>
                </w:tcPr>
                <w:p w:rsidR="00BC07F0" w:rsidRDefault="00073EFB">
                  <w:pPr>
                    <w:pStyle w:val="a7"/>
                    <w:rPr>
                      <w:rFonts w:hint="default"/>
                    </w:rPr>
                  </w:pPr>
                  <w:r>
                    <w:t>施工机械作业噪声</w:t>
                  </w:r>
                </w:p>
              </w:tc>
              <w:tc>
                <w:tcPr>
                  <w:tcW w:w="3195" w:type="dxa"/>
                  <w:vAlign w:val="center"/>
                </w:tcPr>
                <w:p w:rsidR="00BC07F0" w:rsidRDefault="00073EFB">
                  <w:pPr>
                    <w:pStyle w:val="a7"/>
                    <w:rPr>
                      <w:rFonts w:hint="default"/>
                    </w:rPr>
                  </w:pPr>
                  <w:r>
                    <w:t>湘江南岸（衡阳港</w:t>
                  </w:r>
                  <w:r>
                    <w:t>-</w:t>
                  </w:r>
                  <w:r>
                    <w:t>铜桥港）水环境水安全综合治理工程、</w:t>
                  </w:r>
                  <w:r>
                    <w:t>幸福河支流水生态环境综合治理工程</w:t>
                  </w:r>
                  <w:r>
                    <w:t>、</w:t>
                  </w:r>
                  <w:r>
                    <w:t>铜桥港湿地公园工程</w:t>
                  </w:r>
                  <w:r>
                    <w:t>、配套城市道路前进路、酃白路工程</w:t>
                  </w:r>
                </w:p>
              </w:tc>
              <w:tc>
                <w:tcPr>
                  <w:tcW w:w="3556" w:type="dxa"/>
                  <w:vAlign w:val="center"/>
                </w:tcPr>
                <w:p w:rsidR="00BC07F0" w:rsidRDefault="00073EFB">
                  <w:pPr>
                    <w:pStyle w:val="a7"/>
                    <w:rPr>
                      <w:rFonts w:hint="default"/>
                    </w:rPr>
                  </w:pPr>
                  <w:r>
                    <w:t>沥青摊铺机、压路机、装载机、推土机</w:t>
                  </w:r>
                  <w:r>
                    <w:t>等作业产生的</w:t>
                  </w:r>
                  <w:r>
                    <w:t>施工机械作业噪声</w:t>
                  </w:r>
                  <w:r>
                    <w:t>。</w:t>
                  </w:r>
                </w:p>
              </w:tc>
            </w:tr>
            <w:tr w:rsidR="00BC07F0">
              <w:trPr>
                <w:trHeight w:val="397"/>
                <w:jc w:val="center"/>
              </w:trPr>
              <w:tc>
                <w:tcPr>
                  <w:tcW w:w="766" w:type="dxa"/>
                  <w:vMerge/>
                  <w:vAlign w:val="center"/>
                </w:tcPr>
                <w:p w:rsidR="00BC07F0" w:rsidRDefault="00BC07F0">
                  <w:pPr>
                    <w:pStyle w:val="a7"/>
                    <w:rPr>
                      <w:rFonts w:hint="default"/>
                    </w:rPr>
                  </w:pPr>
                </w:p>
              </w:tc>
              <w:tc>
                <w:tcPr>
                  <w:tcW w:w="1485" w:type="dxa"/>
                  <w:vAlign w:val="center"/>
                </w:tcPr>
                <w:p w:rsidR="00BC07F0" w:rsidRDefault="00073EFB">
                  <w:pPr>
                    <w:pStyle w:val="a7"/>
                    <w:rPr>
                      <w:rFonts w:hint="default"/>
                    </w:rPr>
                  </w:pPr>
                  <w:r>
                    <w:t>运输车辆噪声</w:t>
                  </w:r>
                </w:p>
              </w:tc>
              <w:tc>
                <w:tcPr>
                  <w:tcW w:w="3195" w:type="dxa"/>
                  <w:vAlign w:val="center"/>
                </w:tcPr>
                <w:p w:rsidR="00BC07F0" w:rsidRDefault="00073EFB">
                  <w:pPr>
                    <w:pStyle w:val="a7"/>
                    <w:rPr>
                      <w:rFonts w:hint="default"/>
                    </w:rPr>
                  </w:pPr>
                  <w:r>
                    <w:t>湘江南岸（衡阳港</w:t>
                  </w:r>
                  <w:r>
                    <w:t>-</w:t>
                  </w:r>
                  <w:r>
                    <w:t>铜桥港）水环境水安全综合治理工程、</w:t>
                  </w:r>
                  <w:r>
                    <w:t>幸福河支流水生态环境综合治理工程</w:t>
                  </w:r>
                  <w:r>
                    <w:t>、</w:t>
                  </w:r>
                  <w:r>
                    <w:t>铜桥港湿地公园工程</w:t>
                  </w:r>
                  <w:r>
                    <w:t>、配套城市道路前进路、酃白路工程</w:t>
                  </w:r>
                </w:p>
              </w:tc>
              <w:tc>
                <w:tcPr>
                  <w:tcW w:w="3556" w:type="dxa"/>
                  <w:vAlign w:val="center"/>
                </w:tcPr>
                <w:p w:rsidR="00BC07F0" w:rsidRDefault="00073EFB">
                  <w:pPr>
                    <w:pStyle w:val="a7"/>
                    <w:rPr>
                      <w:rFonts w:hint="default"/>
                    </w:rPr>
                  </w:pPr>
                  <w:r>
                    <w:t>拖拉机</w:t>
                  </w:r>
                  <w:r>
                    <w:t>、</w:t>
                  </w:r>
                  <w:r>
                    <w:t>装卸车等大型</w:t>
                  </w:r>
                  <w:r>
                    <w:t>运输</w:t>
                  </w:r>
                  <w:r>
                    <w:t>车进出施工场地</w:t>
                  </w:r>
                  <w:r>
                    <w:t>会产生噪声</w:t>
                  </w:r>
                  <w:r>
                    <w:t>。</w:t>
                  </w:r>
                </w:p>
              </w:tc>
            </w:tr>
            <w:tr w:rsidR="00BC07F0">
              <w:trPr>
                <w:trHeight w:val="397"/>
                <w:jc w:val="center"/>
              </w:trPr>
              <w:tc>
                <w:tcPr>
                  <w:tcW w:w="766" w:type="dxa"/>
                  <w:vMerge w:val="restart"/>
                  <w:vAlign w:val="center"/>
                </w:tcPr>
                <w:p w:rsidR="00BC07F0" w:rsidRDefault="00073EFB">
                  <w:pPr>
                    <w:pStyle w:val="a7"/>
                    <w:rPr>
                      <w:rFonts w:hint="default"/>
                    </w:rPr>
                  </w:pPr>
                  <w:r>
                    <w:lastRenderedPageBreak/>
                    <w:t>固体废物</w:t>
                  </w:r>
                </w:p>
              </w:tc>
              <w:tc>
                <w:tcPr>
                  <w:tcW w:w="1485" w:type="dxa"/>
                  <w:vAlign w:val="center"/>
                </w:tcPr>
                <w:p w:rsidR="00BC07F0" w:rsidRDefault="00073EFB">
                  <w:pPr>
                    <w:pStyle w:val="a7"/>
                    <w:rPr>
                      <w:rFonts w:hint="default"/>
                    </w:rPr>
                  </w:pPr>
                  <w:r>
                    <w:t>表土清除和开挖产生的土石方</w:t>
                  </w:r>
                </w:p>
              </w:tc>
              <w:tc>
                <w:tcPr>
                  <w:tcW w:w="3195" w:type="dxa"/>
                  <w:vAlign w:val="center"/>
                </w:tcPr>
                <w:p w:rsidR="00BC07F0" w:rsidRDefault="00073EFB">
                  <w:pPr>
                    <w:pStyle w:val="a7"/>
                    <w:rPr>
                      <w:rFonts w:hint="default"/>
                    </w:rPr>
                  </w:pPr>
                  <w:r>
                    <w:t>湘江南岸（衡阳港</w:t>
                  </w:r>
                  <w:r>
                    <w:t>-</w:t>
                  </w:r>
                  <w:r>
                    <w:t>铜桥港）水环境水安全综合治理工程、</w:t>
                  </w:r>
                  <w:r>
                    <w:t>幸福河支流水生态环境综合治理工程</w:t>
                  </w:r>
                  <w:r>
                    <w:t>、</w:t>
                  </w:r>
                  <w:r>
                    <w:t>铜桥港湿地公园工程</w:t>
                  </w:r>
                  <w:r>
                    <w:t>、配套城市道路前进路、酃白路工程</w:t>
                  </w:r>
                </w:p>
              </w:tc>
              <w:tc>
                <w:tcPr>
                  <w:tcW w:w="3556" w:type="dxa"/>
                  <w:vAlign w:val="center"/>
                </w:tcPr>
                <w:p w:rsidR="00BC07F0" w:rsidRDefault="00073EFB">
                  <w:pPr>
                    <w:pStyle w:val="a7"/>
                    <w:rPr>
                      <w:rFonts w:hint="default"/>
                    </w:rPr>
                  </w:pPr>
                  <w:r>
                    <w:t>表土清除和</w:t>
                  </w:r>
                  <w:r>
                    <w:t>沟槽</w:t>
                  </w:r>
                  <w:r>
                    <w:t>开挖过程中会产生的大量的土石方</w:t>
                  </w:r>
                </w:p>
              </w:tc>
            </w:tr>
            <w:tr w:rsidR="00BC07F0">
              <w:trPr>
                <w:trHeight w:val="397"/>
                <w:jc w:val="center"/>
              </w:trPr>
              <w:tc>
                <w:tcPr>
                  <w:tcW w:w="766" w:type="dxa"/>
                  <w:vMerge/>
                  <w:vAlign w:val="center"/>
                </w:tcPr>
                <w:p w:rsidR="00BC07F0" w:rsidRDefault="00BC07F0">
                  <w:pPr>
                    <w:pStyle w:val="a7"/>
                    <w:rPr>
                      <w:rFonts w:hint="default"/>
                    </w:rPr>
                  </w:pPr>
                </w:p>
              </w:tc>
              <w:tc>
                <w:tcPr>
                  <w:tcW w:w="1485" w:type="dxa"/>
                  <w:vAlign w:val="center"/>
                </w:tcPr>
                <w:p w:rsidR="00BC07F0" w:rsidRDefault="00073EFB">
                  <w:pPr>
                    <w:pStyle w:val="a7"/>
                    <w:rPr>
                      <w:rFonts w:hint="default"/>
                    </w:rPr>
                  </w:pPr>
                  <w:r>
                    <w:t>生活垃圾</w:t>
                  </w:r>
                </w:p>
              </w:tc>
              <w:tc>
                <w:tcPr>
                  <w:tcW w:w="3195" w:type="dxa"/>
                  <w:vAlign w:val="center"/>
                </w:tcPr>
                <w:p w:rsidR="00BC07F0" w:rsidRDefault="00073EFB">
                  <w:pPr>
                    <w:pStyle w:val="a7"/>
                    <w:rPr>
                      <w:rFonts w:hint="default"/>
                    </w:rPr>
                  </w:pPr>
                  <w:r>
                    <w:t>湘江南岸（衡阳港</w:t>
                  </w:r>
                  <w:r>
                    <w:t>-</w:t>
                  </w:r>
                  <w:r>
                    <w:t>铜桥港）水环境水安全综合治理工程、</w:t>
                  </w:r>
                  <w:r>
                    <w:t>幸福河支流水生态环境综合治理工程</w:t>
                  </w:r>
                  <w:r>
                    <w:t>、</w:t>
                  </w:r>
                  <w:r>
                    <w:t>铜桥港湿地公园工程</w:t>
                  </w:r>
                  <w:r>
                    <w:t>、配套城市道路前进路、酃白路工程</w:t>
                  </w:r>
                </w:p>
              </w:tc>
              <w:tc>
                <w:tcPr>
                  <w:tcW w:w="3556" w:type="dxa"/>
                  <w:vAlign w:val="center"/>
                </w:tcPr>
                <w:p w:rsidR="00BC07F0" w:rsidRDefault="00073EFB">
                  <w:pPr>
                    <w:pStyle w:val="a7"/>
                    <w:rPr>
                      <w:rFonts w:hint="default"/>
                    </w:rPr>
                  </w:pPr>
                  <w:r>
                    <w:t>员工日常生活产生的废纸屑、废旧生活用品等</w:t>
                  </w:r>
                </w:p>
              </w:tc>
            </w:tr>
            <w:tr w:rsidR="00BC07F0">
              <w:trPr>
                <w:trHeight w:val="397"/>
                <w:jc w:val="center"/>
              </w:trPr>
              <w:tc>
                <w:tcPr>
                  <w:tcW w:w="766" w:type="dxa"/>
                  <w:vMerge/>
                  <w:vAlign w:val="center"/>
                </w:tcPr>
                <w:p w:rsidR="00BC07F0" w:rsidRDefault="00BC07F0">
                  <w:pPr>
                    <w:pStyle w:val="a7"/>
                    <w:rPr>
                      <w:rFonts w:hint="default"/>
                    </w:rPr>
                  </w:pPr>
                </w:p>
              </w:tc>
              <w:tc>
                <w:tcPr>
                  <w:tcW w:w="1485" w:type="dxa"/>
                  <w:vAlign w:val="center"/>
                </w:tcPr>
                <w:p w:rsidR="00BC07F0" w:rsidRDefault="00073EFB">
                  <w:pPr>
                    <w:pStyle w:val="a7"/>
                    <w:rPr>
                      <w:rFonts w:hint="default"/>
                    </w:rPr>
                  </w:pPr>
                  <w:r>
                    <w:t>河道疏浚污泥</w:t>
                  </w:r>
                </w:p>
              </w:tc>
              <w:tc>
                <w:tcPr>
                  <w:tcW w:w="3195" w:type="dxa"/>
                  <w:vAlign w:val="center"/>
                </w:tcPr>
                <w:p w:rsidR="00BC07F0" w:rsidRDefault="00073EFB">
                  <w:pPr>
                    <w:pStyle w:val="a7"/>
                    <w:rPr>
                      <w:rFonts w:hint="default"/>
                    </w:rPr>
                  </w:pPr>
                  <w:r>
                    <w:t>幸福河支流水生态环境综合治理工程</w:t>
                  </w:r>
                </w:p>
              </w:tc>
              <w:tc>
                <w:tcPr>
                  <w:tcW w:w="3556" w:type="dxa"/>
                  <w:vAlign w:val="center"/>
                </w:tcPr>
                <w:p w:rsidR="00BC07F0" w:rsidRDefault="00073EFB">
                  <w:pPr>
                    <w:pStyle w:val="a7"/>
                    <w:rPr>
                      <w:rFonts w:hint="default"/>
                    </w:rPr>
                  </w:pPr>
                  <w:r>
                    <w:t>清淤</w:t>
                  </w:r>
                  <w:r>
                    <w:t>工程</w:t>
                  </w:r>
                  <w:r>
                    <w:t>产生的污泥</w:t>
                  </w:r>
                </w:p>
              </w:tc>
            </w:tr>
            <w:tr w:rsidR="00BC07F0">
              <w:trPr>
                <w:trHeight w:val="397"/>
                <w:jc w:val="center"/>
              </w:trPr>
              <w:tc>
                <w:tcPr>
                  <w:tcW w:w="766" w:type="dxa"/>
                  <w:vMerge w:val="restart"/>
                  <w:vAlign w:val="center"/>
                </w:tcPr>
                <w:p w:rsidR="00BC07F0" w:rsidRDefault="00073EFB">
                  <w:pPr>
                    <w:pStyle w:val="a7"/>
                    <w:rPr>
                      <w:rFonts w:hint="default"/>
                    </w:rPr>
                  </w:pPr>
                  <w:r>
                    <w:t>生态环境</w:t>
                  </w:r>
                </w:p>
              </w:tc>
              <w:tc>
                <w:tcPr>
                  <w:tcW w:w="1485" w:type="dxa"/>
                  <w:vAlign w:val="center"/>
                </w:tcPr>
                <w:p w:rsidR="00BC07F0" w:rsidRDefault="00073EFB">
                  <w:pPr>
                    <w:pStyle w:val="a7"/>
                    <w:rPr>
                      <w:rFonts w:hint="default"/>
                    </w:rPr>
                  </w:pPr>
                  <w:r>
                    <w:t>临时占地的影响</w:t>
                  </w:r>
                </w:p>
              </w:tc>
              <w:tc>
                <w:tcPr>
                  <w:tcW w:w="3195" w:type="dxa"/>
                  <w:vAlign w:val="center"/>
                </w:tcPr>
                <w:p w:rsidR="00BC07F0" w:rsidRDefault="00073EFB">
                  <w:pPr>
                    <w:pStyle w:val="a7"/>
                    <w:rPr>
                      <w:rFonts w:hint="default"/>
                    </w:rPr>
                  </w:pPr>
                  <w:r>
                    <w:t>湘江南岸（衡阳港</w:t>
                  </w:r>
                  <w:r>
                    <w:t>-</w:t>
                  </w:r>
                  <w:r>
                    <w:t>铜桥港）水环境水安全综合治理工程、</w:t>
                  </w:r>
                  <w:r>
                    <w:t>幸福河支流水生态环境综合治理工程</w:t>
                  </w:r>
                  <w:r>
                    <w:t>、</w:t>
                  </w:r>
                  <w:r>
                    <w:t>铜桥港湿地公园工程</w:t>
                  </w:r>
                  <w:r>
                    <w:t>、配套城市道路前进路、酃白路工程</w:t>
                  </w:r>
                </w:p>
              </w:tc>
              <w:tc>
                <w:tcPr>
                  <w:tcW w:w="3556" w:type="dxa"/>
                  <w:vAlign w:val="center"/>
                </w:tcPr>
                <w:p w:rsidR="00BC07F0" w:rsidRDefault="00073EFB">
                  <w:pPr>
                    <w:pStyle w:val="a7"/>
                    <w:rPr>
                      <w:rFonts w:hint="default"/>
                    </w:rPr>
                  </w:pPr>
                  <w:r>
                    <w:t>取土场、弃土场、表土场、施工营地</w:t>
                  </w:r>
                </w:p>
              </w:tc>
            </w:tr>
            <w:tr w:rsidR="00BC07F0">
              <w:trPr>
                <w:trHeight w:val="397"/>
                <w:jc w:val="center"/>
              </w:trPr>
              <w:tc>
                <w:tcPr>
                  <w:tcW w:w="766" w:type="dxa"/>
                  <w:vMerge/>
                  <w:vAlign w:val="center"/>
                </w:tcPr>
                <w:p w:rsidR="00BC07F0" w:rsidRDefault="00BC07F0">
                  <w:pPr>
                    <w:pStyle w:val="a7"/>
                    <w:rPr>
                      <w:rFonts w:hint="default"/>
                    </w:rPr>
                  </w:pPr>
                </w:p>
              </w:tc>
              <w:tc>
                <w:tcPr>
                  <w:tcW w:w="1485" w:type="dxa"/>
                  <w:vAlign w:val="center"/>
                </w:tcPr>
                <w:p w:rsidR="00BC07F0" w:rsidRDefault="00073EFB">
                  <w:pPr>
                    <w:pStyle w:val="a7"/>
                    <w:rPr>
                      <w:rFonts w:hint="default"/>
                    </w:rPr>
                  </w:pPr>
                  <w:r>
                    <w:t>永久占地的影响</w:t>
                  </w:r>
                </w:p>
              </w:tc>
              <w:tc>
                <w:tcPr>
                  <w:tcW w:w="3195" w:type="dxa"/>
                  <w:vAlign w:val="center"/>
                </w:tcPr>
                <w:p w:rsidR="00BC07F0" w:rsidRDefault="00073EFB">
                  <w:pPr>
                    <w:pStyle w:val="a7"/>
                    <w:rPr>
                      <w:rFonts w:hint="default"/>
                    </w:rPr>
                  </w:pPr>
                  <w:r>
                    <w:t>铜桥港湿地公园工程</w:t>
                  </w:r>
                  <w:r>
                    <w:t>、湘江南岸（衡阳港</w:t>
                  </w:r>
                  <w:r>
                    <w:t>-</w:t>
                  </w:r>
                  <w:r>
                    <w:t>铜桥港）水环境水安全综合治理工程、配套城市道路前进路、酃白路工程</w:t>
                  </w:r>
                </w:p>
              </w:tc>
              <w:tc>
                <w:tcPr>
                  <w:tcW w:w="3556" w:type="dxa"/>
                  <w:vAlign w:val="center"/>
                </w:tcPr>
                <w:p w:rsidR="00BC07F0" w:rsidRDefault="00073EFB">
                  <w:pPr>
                    <w:pStyle w:val="a7"/>
                    <w:rPr>
                      <w:rFonts w:hint="default"/>
                    </w:rPr>
                  </w:pPr>
                  <w:r>
                    <w:t>施工过程中会扰动地表，使得地表裸露，地形地貌改变，并对植被造成破坏</w:t>
                  </w:r>
                </w:p>
              </w:tc>
            </w:tr>
            <w:tr w:rsidR="00BC07F0">
              <w:trPr>
                <w:trHeight w:val="397"/>
                <w:jc w:val="center"/>
              </w:trPr>
              <w:tc>
                <w:tcPr>
                  <w:tcW w:w="766" w:type="dxa"/>
                  <w:vMerge/>
                  <w:vAlign w:val="center"/>
                </w:tcPr>
                <w:p w:rsidR="00BC07F0" w:rsidRDefault="00BC07F0">
                  <w:pPr>
                    <w:pStyle w:val="a7"/>
                    <w:rPr>
                      <w:rFonts w:hint="default"/>
                    </w:rPr>
                  </w:pPr>
                </w:p>
              </w:tc>
              <w:tc>
                <w:tcPr>
                  <w:tcW w:w="1485" w:type="dxa"/>
                  <w:vAlign w:val="center"/>
                </w:tcPr>
                <w:p w:rsidR="00BC07F0" w:rsidRDefault="00073EFB">
                  <w:pPr>
                    <w:pStyle w:val="a7"/>
                    <w:rPr>
                      <w:rFonts w:hint="default"/>
                    </w:rPr>
                  </w:pPr>
                  <w:r>
                    <w:t>植被影响</w:t>
                  </w:r>
                </w:p>
              </w:tc>
              <w:tc>
                <w:tcPr>
                  <w:tcW w:w="3195" w:type="dxa"/>
                  <w:vAlign w:val="center"/>
                </w:tcPr>
                <w:p w:rsidR="00BC07F0" w:rsidRDefault="00073EFB">
                  <w:pPr>
                    <w:pStyle w:val="a7"/>
                    <w:rPr>
                      <w:rFonts w:hint="default"/>
                    </w:rPr>
                  </w:pPr>
                  <w:r>
                    <w:t>湘江南岸（衡阳港</w:t>
                  </w:r>
                  <w:r>
                    <w:t>-</w:t>
                  </w:r>
                  <w:r>
                    <w:t>铜桥港）水环境水安全综合治理工程、</w:t>
                  </w:r>
                  <w:r>
                    <w:t>幸福河支流水生态环境综合治理工程</w:t>
                  </w:r>
                  <w:r>
                    <w:t>、</w:t>
                  </w:r>
                  <w:r>
                    <w:t>铜桥港湿地公园工程</w:t>
                  </w:r>
                  <w:r>
                    <w:t>、配套城市道路前进路、酃白路工程</w:t>
                  </w:r>
                </w:p>
              </w:tc>
              <w:tc>
                <w:tcPr>
                  <w:tcW w:w="3556" w:type="dxa"/>
                  <w:vAlign w:val="center"/>
                </w:tcPr>
                <w:p w:rsidR="00BC07F0" w:rsidRDefault="00073EFB">
                  <w:pPr>
                    <w:pStyle w:val="a7"/>
                    <w:rPr>
                      <w:rFonts w:hint="default"/>
                    </w:rPr>
                  </w:pPr>
                  <w:r>
                    <w:t>施工活动、建材堆放等会对施工场地及周围植被造成一定的不利影响</w:t>
                  </w:r>
                </w:p>
              </w:tc>
            </w:tr>
            <w:tr w:rsidR="00BC07F0">
              <w:trPr>
                <w:trHeight w:val="397"/>
                <w:jc w:val="center"/>
              </w:trPr>
              <w:tc>
                <w:tcPr>
                  <w:tcW w:w="766" w:type="dxa"/>
                  <w:vMerge/>
                  <w:vAlign w:val="center"/>
                </w:tcPr>
                <w:p w:rsidR="00BC07F0" w:rsidRDefault="00BC07F0">
                  <w:pPr>
                    <w:pStyle w:val="a7"/>
                    <w:rPr>
                      <w:rFonts w:hint="default"/>
                    </w:rPr>
                  </w:pPr>
                </w:p>
              </w:tc>
              <w:tc>
                <w:tcPr>
                  <w:tcW w:w="1485" w:type="dxa"/>
                  <w:vAlign w:val="center"/>
                </w:tcPr>
                <w:p w:rsidR="00BC07F0" w:rsidRDefault="00073EFB">
                  <w:pPr>
                    <w:pStyle w:val="a7"/>
                    <w:rPr>
                      <w:rFonts w:hint="default"/>
                    </w:rPr>
                  </w:pPr>
                  <w:r>
                    <w:t>动物影响</w:t>
                  </w:r>
                </w:p>
              </w:tc>
              <w:tc>
                <w:tcPr>
                  <w:tcW w:w="3195" w:type="dxa"/>
                  <w:vAlign w:val="center"/>
                </w:tcPr>
                <w:p w:rsidR="00BC07F0" w:rsidRDefault="00073EFB">
                  <w:pPr>
                    <w:pStyle w:val="a7"/>
                    <w:rPr>
                      <w:rFonts w:hint="default"/>
                    </w:rPr>
                  </w:pPr>
                  <w:r>
                    <w:t>湘江南岸（衡阳港</w:t>
                  </w:r>
                  <w:r>
                    <w:t>-</w:t>
                  </w:r>
                  <w:r>
                    <w:t>铜桥港）水环境水安全综合治理工程、</w:t>
                  </w:r>
                  <w:r>
                    <w:t>幸福河支流水生态环境综合治理工程</w:t>
                  </w:r>
                  <w:r>
                    <w:t>、</w:t>
                  </w:r>
                  <w:r>
                    <w:t>铜桥港湿地公园工程</w:t>
                  </w:r>
                  <w:r>
                    <w:t>、配套城市道路前进路、酃白路工程</w:t>
                  </w:r>
                </w:p>
              </w:tc>
              <w:tc>
                <w:tcPr>
                  <w:tcW w:w="3556" w:type="dxa"/>
                  <w:vAlign w:val="center"/>
                </w:tcPr>
                <w:p w:rsidR="00BC07F0" w:rsidRDefault="00073EFB">
                  <w:pPr>
                    <w:pStyle w:val="a7"/>
                    <w:rPr>
                      <w:rFonts w:hint="default"/>
                    </w:rPr>
                  </w:pPr>
                  <w:r>
                    <w:rPr>
                      <w:rFonts w:ascii="宋体" w:hAnsi="宋体" w:cs="宋体"/>
                      <w:bCs/>
                      <w:szCs w:val="21"/>
                    </w:rPr>
                    <w:t>工程对动物栖息环境的改变和干扰</w:t>
                  </w:r>
                </w:p>
              </w:tc>
            </w:tr>
            <w:tr w:rsidR="00BC07F0">
              <w:trPr>
                <w:trHeight w:val="397"/>
                <w:jc w:val="center"/>
              </w:trPr>
              <w:tc>
                <w:tcPr>
                  <w:tcW w:w="766" w:type="dxa"/>
                  <w:vMerge/>
                  <w:vAlign w:val="center"/>
                </w:tcPr>
                <w:p w:rsidR="00BC07F0" w:rsidRDefault="00BC07F0">
                  <w:pPr>
                    <w:pStyle w:val="a7"/>
                    <w:rPr>
                      <w:rFonts w:hint="default"/>
                    </w:rPr>
                  </w:pPr>
                </w:p>
              </w:tc>
              <w:tc>
                <w:tcPr>
                  <w:tcW w:w="1485" w:type="dxa"/>
                  <w:vAlign w:val="center"/>
                </w:tcPr>
                <w:p w:rsidR="00BC07F0" w:rsidRDefault="00073EFB">
                  <w:pPr>
                    <w:pStyle w:val="a7"/>
                    <w:rPr>
                      <w:rFonts w:hint="default"/>
                    </w:rPr>
                  </w:pPr>
                  <w:r>
                    <w:t>水土流失的影响</w:t>
                  </w:r>
                </w:p>
              </w:tc>
              <w:tc>
                <w:tcPr>
                  <w:tcW w:w="3195" w:type="dxa"/>
                  <w:vAlign w:val="center"/>
                </w:tcPr>
                <w:p w:rsidR="00BC07F0" w:rsidRDefault="00073EFB">
                  <w:pPr>
                    <w:pStyle w:val="a7"/>
                    <w:rPr>
                      <w:rFonts w:hint="default"/>
                    </w:rPr>
                  </w:pPr>
                  <w:r>
                    <w:t>湘江南岸（衡阳港</w:t>
                  </w:r>
                  <w:r>
                    <w:t>-</w:t>
                  </w:r>
                  <w:r>
                    <w:t>铜桥港）水环境水安全综合治理工程、</w:t>
                  </w:r>
                  <w:r>
                    <w:t>幸福河支流水生态环境综合治理工程</w:t>
                  </w:r>
                  <w:r>
                    <w:t>、</w:t>
                  </w:r>
                  <w:r>
                    <w:t>铜桥港湿地公园工程</w:t>
                  </w:r>
                  <w:r>
                    <w:t>、配套城市道路前进路、酃白路工程</w:t>
                  </w:r>
                </w:p>
              </w:tc>
              <w:tc>
                <w:tcPr>
                  <w:tcW w:w="3556" w:type="dxa"/>
                  <w:vAlign w:val="center"/>
                </w:tcPr>
                <w:p w:rsidR="00BC07F0" w:rsidRDefault="00073EFB">
                  <w:pPr>
                    <w:pStyle w:val="a7"/>
                    <w:rPr>
                      <w:rFonts w:hint="default"/>
                    </w:rPr>
                  </w:pPr>
                  <w:r>
                    <w:rPr>
                      <w:rFonts w:ascii="宋体" w:hAnsi="宋体" w:cs="宋体"/>
                      <w:bCs/>
                      <w:szCs w:val="21"/>
                    </w:rPr>
                    <w:t>人为活动将使地表结构遭到破坏，伴随着降雨、地表径流等自然因素的影响</w:t>
                  </w:r>
                </w:p>
              </w:tc>
            </w:tr>
          </w:tbl>
          <w:p w:rsidR="00BC07F0" w:rsidRDefault="00073EFB" w:rsidP="00C55F5E">
            <w:pPr>
              <w:ind w:firstLine="482"/>
              <w:rPr>
                <w:b/>
                <w:bCs/>
              </w:rPr>
            </w:pPr>
            <w:r>
              <w:rPr>
                <w:rFonts w:hint="eastAsia"/>
                <w:b/>
                <w:bCs/>
              </w:rPr>
              <w:t>4.1</w:t>
            </w:r>
            <w:r>
              <w:rPr>
                <w:rFonts w:hint="eastAsia"/>
                <w:b/>
                <w:bCs/>
              </w:rPr>
              <w:t>施工期废气</w:t>
            </w:r>
          </w:p>
          <w:p w:rsidR="00BC07F0" w:rsidRDefault="00073EFB" w:rsidP="00C55F5E">
            <w:pPr>
              <w:ind w:firstLine="480"/>
            </w:pPr>
            <w:r>
              <w:rPr>
                <w:rFonts w:hint="eastAsia"/>
              </w:rPr>
              <w:t>本项目各工程施工期产生的废气主要是燃油废气、施工扬尘、堆场扬尘、道路扬尘、底泥恶臭。</w:t>
            </w:r>
          </w:p>
          <w:p w:rsidR="00BC07F0" w:rsidRDefault="00073EFB" w:rsidP="00C55F5E">
            <w:pPr>
              <w:ind w:firstLine="482"/>
              <w:rPr>
                <w:b/>
                <w:bCs/>
              </w:rPr>
            </w:pPr>
            <w:r>
              <w:rPr>
                <w:rFonts w:hint="eastAsia"/>
                <w:b/>
                <w:bCs/>
              </w:rPr>
              <w:t>4.1.1</w:t>
            </w:r>
            <w:r>
              <w:rPr>
                <w:rFonts w:hint="eastAsia"/>
                <w:b/>
                <w:bCs/>
              </w:rPr>
              <w:t>燃油废气</w:t>
            </w:r>
          </w:p>
          <w:p w:rsidR="00BC07F0" w:rsidRDefault="00073EFB" w:rsidP="00C55F5E">
            <w:pPr>
              <w:ind w:firstLine="480"/>
            </w:pPr>
            <w:r>
              <w:rPr>
                <w:rFonts w:hint="eastAsia"/>
              </w:rPr>
              <w:t>施工机械柴油机工作和燃柴油的大型运输车辆、推土机、挖掘机等排放的烟尘、</w:t>
            </w:r>
            <w:r>
              <w:rPr>
                <w:rFonts w:hint="eastAsia"/>
              </w:rPr>
              <w:t xml:space="preserve">SO2 </w:t>
            </w:r>
            <w:r>
              <w:rPr>
                <w:rFonts w:hint="eastAsia"/>
              </w:rPr>
              <w:t>等。其影响范围在施工场地及运输道路沿途，随着施工强度的加大废气的产生量将增加</w:t>
            </w:r>
            <w:r>
              <w:rPr>
                <w:rFonts w:hint="eastAsia"/>
              </w:rPr>
              <w:t>，但是燃油废气属于间歇性排放源，影响范围有限。</w:t>
            </w:r>
          </w:p>
          <w:p w:rsidR="00BC07F0" w:rsidRDefault="00073EFB" w:rsidP="00C55F5E">
            <w:pPr>
              <w:ind w:firstLine="482"/>
              <w:rPr>
                <w:b/>
                <w:bCs/>
              </w:rPr>
            </w:pPr>
            <w:r>
              <w:rPr>
                <w:rFonts w:hint="eastAsia"/>
                <w:b/>
                <w:bCs/>
              </w:rPr>
              <w:t>4.1.2</w:t>
            </w:r>
            <w:r>
              <w:rPr>
                <w:rFonts w:hint="eastAsia"/>
                <w:b/>
                <w:bCs/>
              </w:rPr>
              <w:t>施工扬尘</w:t>
            </w:r>
          </w:p>
          <w:p w:rsidR="00BC07F0" w:rsidRDefault="00073EFB" w:rsidP="00C55F5E">
            <w:pPr>
              <w:ind w:firstLine="480"/>
            </w:pPr>
            <w:r>
              <w:rPr>
                <w:rFonts w:hint="eastAsia"/>
              </w:rPr>
              <w:lastRenderedPageBreak/>
              <w:t>扬尘产生量与气候条件和施工方法有关，一般发生在风速大于</w:t>
            </w:r>
            <w:r>
              <w:rPr>
                <w:rFonts w:hint="eastAsia"/>
              </w:rPr>
              <w:t>3m/s</w:t>
            </w:r>
            <w:r>
              <w:rPr>
                <w:rFonts w:hint="eastAsia"/>
              </w:rPr>
              <w:t>的气象条件。施工扬尘源的高度一般较低，颗粒度也较大，为瞬时源。本项目为新建道路，工程施工过程中挖土（石）</w:t>
            </w:r>
            <w:r>
              <w:rPr>
                <w:rFonts w:hint="eastAsia"/>
              </w:rPr>
              <w:t>、弃土、堆土及水泥、砂石等装卸、运输过程中会有大量的灰尘散落到周围环境中，影响范围在</w:t>
            </w:r>
            <w:r>
              <w:rPr>
                <w:rFonts w:hint="eastAsia"/>
              </w:rPr>
              <w:t>100m</w:t>
            </w:r>
            <w:r>
              <w:rPr>
                <w:rFonts w:hint="eastAsia"/>
              </w:rPr>
              <w:t>内。同时，物料运输、堆放期间由于风力将引起扬尘污染，特别是在干燥和风速较大的情况下，扬尘污染尤为严重。其影响范围主要在施工场地附近，对施工人员和施工道路两旁的附近居民影响较大。</w:t>
            </w:r>
          </w:p>
          <w:p w:rsidR="00BC07F0" w:rsidRDefault="00073EFB" w:rsidP="00C55F5E">
            <w:pPr>
              <w:ind w:firstLine="482"/>
              <w:rPr>
                <w:b/>
                <w:bCs/>
              </w:rPr>
            </w:pPr>
            <w:r>
              <w:rPr>
                <w:rFonts w:hint="eastAsia"/>
                <w:b/>
                <w:bCs/>
              </w:rPr>
              <w:t>4.1.3</w:t>
            </w:r>
            <w:r>
              <w:rPr>
                <w:rFonts w:hint="eastAsia"/>
                <w:b/>
                <w:bCs/>
              </w:rPr>
              <w:t>堆场扬尘</w:t>
            </w:r>
          </w:p>
          <w:p w:rsidR="00BC07F0" w:rsidRDefault="00073EFB" w:rsidP="00C55F5E">
            <w:pPr>
              <w:ind w:firstLine="480"/>
            </w:pPr>
            <w:r>
              <w:rPr>
                <w:rFonts w:hint="eastAsia"/>
              </w:rPr>
              <w:t>施工阶段扬尘的另一个主要来源是露天堆场和裸露场地的风力扬尘</w:t>
            </w:r>
            <w:r>
              <w:rPr>
                <w:rFonts w:hint="eastAsia"/>
              </w:rPr>
              <w:t>，</w:t>
            </w:r>
            <w:r>
              <w:rPr>
                <w:rFonts w:hint="eastAsia"/>
              </w:rPr>
              <w:t>由于施工需要，一些建筑材料需要露天堆放，一些施工作业点的表层土壤在经过人工开挖后，临时露天堆放，在气候干燥且有风的情况下，会产生大量的扬尘。</w:t>
            </w:r>
          </w:p>
          <w:p w:rsidR="00BC07F0" w:rsidRDefault="00073EFB" w:rsidP="00C55F5E">
            <w:pPr>
              <w:ind w:firstLine="482"/>
              <w:rPr>
                <w:b/>
                <w:bCs/>
              </w:rPr>
            </w:pPr>
            <w:r>
              <w:rPr>
                <w:rFonts w:hint="eastAsia"/>
                <w:b/>
                <w:bCs/>
              </w:rPr>
              <w:t>4.1.4</w:t>
            </w:r>
            <w:r>
              <w:rPr>
                <w:rFonts w:hint="eastAsia"/>
                <w:b/>
                <w:bCs/>
              </w:rPr>
              <w:t>道路扬尘</w:t>
            </w:r>
          </w:p>
          <w:p w:rsidR="00BC07F0" w:rsidRDefault="00073EFB" w:rsidP="00C55F5E">
            <w:pPr>
              <w:ind w:firstLine="480"/>
            </w:pPr>
            <w:r>
              <w:rPr>
                <w:rFonts w:hint="eastAsia"/>
              </w:rPr>
              <w:t>交通扬尘主要来源于施工车辆行驶</w:t>
            </w:r>
            <w:r>
              <w:rPr>
                <w:rFonts w:hint="eastAsia"/>
              </w:rPr>
              <w:t>，</w:t>
            </w:r>
            <w:r>
              <w:rPr>
                <w:rFonts w:hint="eastAsia"/>
              </w:rPr>
              <w:t>施工过程中车辆行驶产生的扬尘约占施工总扬尘量的</w:t>
            </w:r>
            <w:r>
              <w:rPr>
                <w:rFonts w:hint="eastAsia"/>
              </w:rPr>
              <w:t>60%</w:t>
            </w:r>
            <w:r>
              <w:rPr>
                <w:rFonts w:hint="eastAsia"/>
              </w:rPr>
              <w:t>以上。一般情况车辆行驶产生的扬尘在同样路面清洁程度下，车速越快，扬尘量越大；而在同样车速下，路面越脏扬尘量越大。本工程场内临时施工道路多为混凝土路面，不易产生扬尘，但道路运输过程中如有砂石洒落，在大风时容易产生扬尘。</w:t>
            </w:r>
          </w:p>
          <w:p w:rsidR="00BC07F0" w:rsidRDefault="00073EFB" w:rsidP="00C55F5E">
            <w:pPr>
              <w:ind w:firstLine="482"/>
              <w:rPr>
                <w:b/>
                <w:bCs/>
              </w:rPr>
            </w:pPr>
            <w:r>
              <w:rPr>
                <w:rFonts w:hint="eastAsia"/>
                <w:b/>
                <w:bCs/>
              </w:rPr>
              <w:t>4.1.5</w:t>
            </w:r>
            <w:r>
              <w:rPr>
                <w:rFonts w:hint="eastAsia"/>
                <w:b/>
                <w:bCs/>
              </w:rPr>
              <w:t>底泥恶臭</w:t>
            </w:r>
          </w:p>
          <w:p w:rsidR="00BC07F0" w:rsidRDefault="00073EFB" w:rsidP="00C55F5E">
            <w:pPr>
              <w:ind w:firstLine="480"/>
            </w:pPr>
            <w:r>
              <w:rPr>
                <w:rFonts w:hint="eastAsia"/>
              </w:rPr>
              <w:t>清淤</w:t>
            </w:r>
            <w:r>
              <w:rPr>
                <w:rFonts w:hint="eastAsia"/>
              </w:rPr>
              <w:t>疏浚现场</w:t>
            </w:r>
            <w:r>
              <w:rPr>
                <w:rFonts w:hint="eastAsia"/>
              </w:rPr>
              <w:t>底泥</w:t>
            </w:r>
            <w:r>
              <w:rPr>
                <w:rFonts w:hint="eastAsia"/>
              </w:rPr>
              <w:t>散发的臭气主要污染物为</w:t>
            </w:r>
            <w:r>
              <w:rPr>
                <w:rFonts w:hint="eastAsia"/>
              </w:rPr>
              <w:t>H</w:t>
            </w:r>
            <w:r>
              <w:rPr>
                <w:rFonts w:hint="eastAsia"/>
                <w:vertAlign w:val="subscript"/>
              </w:rPr>
              <w:t>2</w:t>
            </w:r>
            <w:r>
              <w:rPr>
                <w:rFonts w:hint="eastAsia"/>
              </w:rPr>
              <w:t>S</w:t>
            </w:r>
            <w:r>
              <w:rPr>
                <w:rFonts w:hint="eastAsia"/>
              </w:rPr>
              <w:t>、硫醚类、氨等物质的混合物，呈无组织状态排放，影响周围环境空气质量。</w:t>
            </w:r>
          </w:p>
          <w:p w:rsidR="00BC07F0" w:rsidRDefault="00073EFB" w:rsidP="00C55F5E">
            <w:pPr>
              <w:ind w:firstLine="482"/>
              <w:rPr>
                <w:b/>
                <w:bCs/>
              </w:rPr>
            </w:pPr>
            <w:r>
              <w:rPr>
                <w:rFonts w:hint="eastAsia"/>
                <w:b/>
                <w:bCs/>
              </w:rPr>
              <w:t>4.2</w:t>
            </w:r>
            <w:r>
              <w:rPr>
                <w:rFonts w:hint="eastAsia"/>
                <w:b/>
                <w:bCs/>
              </w:rPr>
              <w:t>施工期废水</w:t>
            </w:r>
          </w:p>
          <w:p w:rsidR="00BC07F0" w:rsidRDefault="00073EFB" w:rsidP="00C55F5E">
            <w:pPr>
              <w:ind w:firstLine="480"/>
            </w:pPr>
            <w:r>
              <w:rPr>
                <w:rFonts w:hint="eastAsia"/>
              </w:rPr>
              <w:t>本项目各工程施工期产生的废水主要是员工生活污水、道路养护废</w:t>
            </w:r>
            <w:r>
              <w:rPr>
                <w:rFonts w:hint="eastAsia"/>
              </w:rPr>
              <w:t>水。</w:t>
            </w:r>
          </w:p>
          <w:p w:rsidR="00BC07F0" w:rsidRDefault="00073EFB" w:rsidP="00C55F5E">
            <w:pPr>
              <w:ind w:firstLine="482"/>
              <w:rPr>
                <w:b/>
                <w:bCs/>
              </w:rPr>
            </w:pPr>
            <w:r>
              <w:rPr>
                <w:rFonts w:hint="eastAsia"/>
                <w:b/>
                <w:bCs/>
              </w:rPr>
              <w:t>4.2.1</w:t>
            </w:r>
            <w:r>
              <w:rPr>
                <w:rFonts w:hint="eastAsia"/>
                <w:b/>
                <w:bCs/>
              </w:rPr>
              <w:t>生活污水</w:t>
            </w:r>
          </w:p>
          <w:p w:rsidR="00BC07F0" w:rsidRDefault="00073EFB" w:rsidP="00C55F5E">
            <w:pPr>
              <w:ind w:firstLine="480"/>
            </w:pPr>
            <w:r>
              <w:rPr>
                <w:rFonts w:hint="eastAsia"/>
              </w:rPr>
              <w:t>施工人员</w:t>
            </w:r>
            <w:r>
              <w:rPr>
                <w:rFonts w:hint="eastAsia"/>
              </w:rPr>
              <w:t>租用沿线民房，生活污水主要为施工人员日常生活产生的污水，以施工高峰时期</w:t>
            </w:r>
            <w:r>
              <w:rPr>
                <w:rFonts w:hint="eastAsia"/>
              </w:rPr>
              <w:t>200</w:t>
            </w:r>
            <w:r>
              <w:rPr>
                <w:rFonts w:hint="eastAsia"/>
              </w:rPr>
              <w:t>人计，生活污水产生量</w:t>
            </w:r>
            <w:r>
              <w:rPr>
                <w:rFonts w:hint="eastAsia"/>
              </w:rPr>
              <w:t>4672</w:t>
            </w:r>
            <w:r>
              <w:rPr>
                <w:rFonts w:hint="eastAsia"/>
              </w:rPr>
              <w:t>m</w:t>
            </w:r>
            <w:r>
              <w:rPr>
                <w:rFonts w:hint="eastAsia"/>
                <w:vertAlign w:val="superscript"/>
              </w:rPr>
              <w:t>3</w:t>
            </w:r>
            <w:r>
              <w:rPr>
                <w:rFonts w:hint="eastAsia"/>
              </w:rPr>
              <w:t>/</w:t>
            </w:r>
            <w:r>
              <w:rPr>
                <w:rFonts w:hint="eastAsia"/>
              </w:rPr>
              <w:t>a</w:t>
            </w:r>
            <w:r>
              <w:rPr>
                <w:rFonts w:hint="eastAsia"/>
              </w:rPr>
              <w:t>（以</w:t>
            </w:r>
            <w:r>
              <w:rPr>
                <w:rFonts w:hint="eastAsia"/>
              </w:rPr>
              <w:t>80L/d</w:t>
            </w:r>
            <w:r>
              <w:rPr>
                <w:rFonts w:hint="eastAsia"/>
              </w:rPr>
              <w:t>•人计，排水系数</w:t>
            </w:r>
            <w:r>
              <w:rPr>
                <w:rFonts w:hint="eastAsia"/>
              </w:rPr>
              <w:t>0.8</w:t>
            </w:r>
            <w:r>
              <w:rPr>
                <w:rFonts w:hint="eastAsia"/>
              </w:rPr>
              <w:t>），生活污水中的主要污染因子及浓度为</w:t>
            </w:r>
            <w:r>
              <w:rPr>
                <w:rFonts w:hint="eastAsia"/>
              </w:rPr>
              <w:t>COD</w:t>
            </w:r>
            <w:r>
              <w:rPr>
                <w:rFonts w:hint="eastAsia"/>
              </w:rPr>
              <w:t>c</w:t>
            </w:r>
            <w:r>
              <w:rPr>
                <w:rFonts w:hint="eastAsia"/>
              </w:rPr>
              <w:t>r350mg/L</w:t>
            </w:r>
            <w:r>
              <w:rPr>
                <w:rFonts w:hint="eastAsia"/>
              </w:rPr>
              <w:t>、</w:t>
            </w:r>
            <w:r>
              <w:rPr>
                <w:rFonts w:hint="eastAsia"/>
              </w:rPr>
              <w:t>BOD</w:t>
            </w:r>
            <w:r>
              <w:rPr>
                <w:rFonts w:hint="eastAsia"/>
                <w:vertAlign w:val="subscript"/>
              </w:rPr>
              <w:t>5</w:t>
            </w:r>
            <w:r>
              <w:rPr>
                <w:rFonts w:hint="eastAsia"/>
              </w:rPr>
              <w:t>200mg/L</w:t>
            </w:r>
            <w:r>
              <w:rPr>
                <w:rFonts w:hint="eastAsia"/>
              </w:rPr>
              <w:t>、</w:t>
            </w:r>
            <w:r>
              <w:rPr>
                <w:rFonts w:hint="eastAsia"/>
              </w:rPr>
              <w:t>SS200mg/L</w:t>
            </w:r>
            <w:r>
              <w:rPr>
                <w:rFonts w:hint="eastAsia"/>
              </w:rPr>
              <w:t>、氨氮</w:t>
            </w:r>
            <w:r>
              <w:rPr>
                <w:rFonts w:hint="eastAsia"/>
              </w:rPr>
              <w:t>24mg/L</w:t>
            </w:r>
            <w:r>
              <w:rPr>
                <w:rFonts w:hint="eastAsia"/>
              </w:rPr>
              <w:t>等，租用民房的施工人员产生的生活污水依托沿线居民现有的污水处理设施处理，在项目部的施工人员产生的生活污水经隔油池化粪池处理后排往市政污水管网。</w:t>
            </w:r>
          </w:p>
          <w:p w:rsidR="00BC07F0" w:rsidRDefault="00073EFB" w:rsidP="00C55F5E">
            <w:pPr>
              <w:ind w:firstLine="482"/>
              <w:rPr>
                <w:b/>
                <w:bCs/>
              </w:rPr>
            </w:pPr>
            <w:r>
              <w:rPr>
                <w:rFonts w:hint="eastAsia"/>
                <w:b/>
                <w:bCs/>
              </w:rPr>
              <w:t>4.2.2</w:t>
            </w:r>
            <w:r>
              <w:rPr>
                <w:rFonts w:hint="eastAsia"/>
                <w:b/>
                <w:bCs/>
              </w:rPr>
              <w:t>道路养护废水</w:t>
            </w:r>
          </w:p>
          <w:p w:rsidR="00BC07F0" w:rsidRDefault="00073EFB" w:rsidP="00C55F5E">
            <w:pPr>
              <w:ind w:firstLine="480"/>
            </w:pPr>
            <w:r>
              <w:rPr>
                <w:rFonts w:hint="eastAsia"/>
              </w:rPr>
              <w:t>施工道路在建设完成后需定期进行养护，道路</w:t>
            </w:r>
            <w:r>
              <w:rPr>
                <w:rFonts w:hint="eastAsia"/>
              </w:rPr>
              <w:t>养护废水产生量较少，其主要污染物为</w:t>
            </w:r>
            <w:r>
              <w:rPr>
                <w:rFonts w:hint="eastAsia"/>
              </w:rPr>
              <w:t>SS</w:t>
            </w:r>
            <w:r>
              <w:rPr>
                <w:rFonts w:hint="eastAsia"/>
              </w:rPr>
              <w:t>，在地面直接损耗。</w:t>
            </w:r>
          </w:p>
          <w:p w:rsidR="00BC07F0" w:rsidRDefault="00073EFB" w:rsidP="00C55F5E">
            <w:pPr>
              <w:ind w:firstLine="482"/>
            </w:pPr>
            <w:r>
              <w:rPr>
                <w:rFonts w:hint="eastAsia"/>
                <w:b/>
                <w:bCs/>
              </w:rPr>
              <w:lastRenderedPageBreak/>
              <w:t>4.3</w:t>
            </w:r>
            <w:r>
              <w:rPr>
                <w:rFonts w:hint="eastAsia"/>
                <w:b/>
                <w:bCs/>
              </w:rPr>
              <w:t>施工期噪声</w:t>
            </w:r>
          </w:p>
          <w:p w:rsidR="00BC07F0" w:rsidRDefault="00073EFB" w:rsidP="00C55F5E">
            <w:pPr>
              <w:ind w:firstLine="480"/>
            </w:pPr>
            <w:r>
              <w:rPr>
                <w:rFonts w:hint="eastAsia"/>
              </w:rPr>
              <w:t>本项目各工程施工期产生的噪声主要是施工机械作业噪声、运输车辆噪声。</w:t>
            </w:r>
          </w:p>
          <w:p w:rsidR="00BC07F0" w:rsidRDefault="00073EFB" w:rsidP="00C55F5E">
            <w:pPr>
              <w:ind w:firstLine="482"/>
              <w:rPr>
                <w:b/>
                <w:bCs/>
              </w:rPr>
            </w:pPr>
            <w:r>
              <w:rPr>
                <w:rFonts w:hint="eastAsia"/>
                <w:b/>
                <w:bCs/>
              </w:rPr>
              <w:t>4.3.1</w:t>
            </w:r>
            <w:r>
              <w:rPr>
                <w:rFonts w:hint="eastAsia"/>
                <w:b/>
                <w:bCs/>
              </w:rPr>
              <w:t>施工机械作业噪声</w:t>
            </w:r>
          </w:p>
          <w:p w:rsidR="00BC07F0" w:rsidRDefault="00073EFB" w:rsidP="00C55F5E">
            <w:pPr>
              <w:ind w:firstLine="480"/>
            </w:pPr>
            <w:r>
              <w:rPr>
                <w:rFonts w:hint="eastAsia"/>
              </w:rPr>
              <w:t>施工机械作业噪声</w:t>
            </w:r>
            <w:r>
              <w:rPr>
                <w:rFonts w:hint="eastAsia"/>
              </w:rPr>
              <w:t>主要来源于</w:t>
            </w:r>
            <w:r>
              <w:rPr>
                <w:rFonts w:hint="eastAsia"/>
              </w:rPr>
              <w:t>沥青摊铺机、压路机、装载机、推土机</w:t>
            </w:r>
            <w:r>
              <w:rPr>
                <w:rFonts w:hint="eastAsia"/>
              </w:rPr>
              <w:t>等</w:t>
            </w:r>
            <w:r>
              <w:rPr>
                <w:rFonts w:hint="eastAsia"/>
              </w:rPr>
              <w:t>大型车辆，车辆等工作噪声值一般在</w:t>
            </w:r>
            <w:r>
              <w:rPr>
                <w:rFonts w:hint="eastAsia"/>
              </w:rPr>
              <w:t>80dB(A)</w:t>
            </w:r>
            <w:r>
              <w:rPr>
                <w:rFonts w:hint="eastAsia"/>
              </w:rPr>
              <w:t>～</w:t>
            </w:r>
            <w:r>
              <w:rPr>
                <w:rFonts w:hint="eastAsia"/>
              </w:rPr>
              <w:t>95dB(A)</w:t>
            </w:r>
            <w:r>
              <w:rPr>
                <w:rFonts w:hint="eastAsia"/>
              </w:rPr>
              <w:t>之间，部分机械设备实测值见表</w:t>
            </w:r>
            <w:r>
              <w:rPr>
                <w:rFonts w:hint="eastAsia"/>
              </w:rPr>
              <w:t>4.3-1</w:t>
            </w:r>
            <w:r>
              <w:rPr>
                <w:rFonts w:hint="eastAsia"/>
              </w:rPr>
              <w:t>。</w:t>
            </w:r>
          </w:p>
          <w:p w:rsidR="00BC07F0" w:rsidRDefault="00073EFB">
            <w:pPr>
              <w:pStyle w:val="a7"/>
              <w:rPr>
                <w:rFonts w:hint="default"/>
                <w:b/>
                <w:bCs/>
              </w:rPr>
            </w:pPr>
            <w:r>
              <w:rPr>
                <w:b/>
                <w:bCs/>
              </w:rPr>
              <w:t>4.3-1</w:t>
            </w:r>
            <w:r>
              <w:rPr>
                <w:b/>
                <w:bCs/>
              </w:rPr>
              <w:t>施工期主要噪声源噪声强度表</w:t>
            </w:r>
            <w:r>
              <w:rPr>
                <w:b/>
                <w:bCs/>
              </w:rPr>
              <w:t xml:space="preserve"> </w:t>
            </w:r>
            <w:r>
              <w:rPr>
                <w:b/>
                <w:bCs/>
              </w:rPr>
              <w:t>单位：</w:t>
            </w:r>
            <w:r>
              <w:rPr>
                <w:b/>
                <w:bCs/>
              </w:rPr>
              <w:t>dB</w:t>
            </w:r>
            <w:r>
              <w:rPr>
                <w:b/>
                <w:bCs/>
              </w:rPr>
              <w:t>（</w:t>
            </w:r>
            <w:r>
              <w:rPr>
                <w:b/>
                <w:bCs/>
              </w:rPr>
              <w:t>A</w:t>
            </w:r>
            <w:r>
              <w:rPr>
                <w:b/>
                <w:bCs/>
              </w:rPr>
              <w:t>）</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2"/>
              <w:gridCol w:w="2949"/>
              <w:gridCol w:w="2550"/>
              <w:gridCol w:w="2381"/>
            </w:tblGrid>
            <w:tr w:rsidR="00BC07F0">
              <w:trPr>
                <w:trHeight w:val="397"/>
                <w:jc w:val="center"/>
              </w:trPr>
              <w:tc>
                <w:tcPr>
                  <w:tcW w:w="1122" w:type="dxa"/>
                  <w:vAlign w:val="center"/>
                </w:tcPr>
                <w:p w:rsidR="00BC07F0" w:rsidRDefault="00073EFB">
                  <w:pPr>
                    <w:pStyle w:val="a7"/>
                    <w:rPr>
                      <w:rFonts w:hint="default"/>
                    </w:rPr>
                  </w:pPr>
                  <w:r>
                    <w:t>序号</w:t>
                  </w:r>
                </w:p>
              </w:tc>
              <w:tc>
                <w:tcPr>
                  <w:tcW w:w="2949" w:type="dxa"/>
                  <w:vAlign w:val="center"/>
                </w:tcPr>
                <w:p w:rsidR="00BC07F0" w:rsidRDefault="00073EFB">
                  <w:pPr>
                    <w:pStyle w:val="a7"/>
                    <w:rPr>
                      <w:rFonts w:hint="default"/>
                    </w:rPr>
                  </w:pPr>
                  <w:r>
                    <w:t>机械类型</w:t>
                  </w:r>
                </w:p>
              </w:tc>
              <w:tc>
                <w:tcPr>
                  <w:tcW w:w="2550" w:type="dxa"/>
                  <w:vAlign w:val="center"/>
                </w:tcPr>
                <w:p w:rsidR="00BC07F0" w:rsidRDefault="00073EFB">
                  <w:pPr>
                    <w:pStyle w:val="a7"/>
                    <w:rPr>
                      <w:rFonts w:hint="default"/>
                    </w:rPr>
                  </w:pPr>
                  <w:r>
                    <w:t>测点距施工机械距离</w:t>
                  </w:r>
                </w:p>
              </w:tc>
              <w:tc>
                <w:tcPr>
                  <w:tcW w:w="2381" w:type="dxa"/>
                  <w:vAlign w:val="center"/>
                </w:tcPr>
                <w:p w:rsidR="00BC07F0" w:rsidRDefault="00073EFB">
                  <w:pPr>
                    <w:pStyle w:val="a7"/>
                    <w:rPr>
                      <w:rFonts w:hint="default"/>
                    </w:rPr>
                  </w:pPr>
                  <w:r>
                    <w:t>最大声级</w:t>
                  </w:r>
                </w:p>
              </w:tc>
            </w:tr>
            <w:tr w:rsidR="00BC07F0">
              <w:trPr>
                <w:trHeight w:val="397"/>
                <w:jc w:val="center"/>
              </w:trPr>
              <w:tc>
                <w:tcPr>
                  <w:tcW w:w="1122" w:type="dxa"/>
                  <w:vAlign w:val="center"/>
                </w:tcPr>
                <w:p w:rsidR="00BC07F0" w:rsidRDefault="00073EFB">
                  <w:pPr>
                    <w:pStyle w:val="a7"/>
                    <w:rPr>
                      <w:rFonts w:hint="default"/>
                    </w:rPr>
                  </w:pPr>
                  <w:r>
                    <w:t>1</w:t>
                  </w:r>
                </w:p>
              </w:tc>
              <w:tc>
                <w:tcPr>
                  <w:tcW w:w="2949" w:type="dxa"/>
                  <w:vAlign w:val="center"/>
                </w:tcPr>
                <w:p w:rsidR="00BC07F0" w:rsidRDefault="00073EFB">
                  <w:pPr>
                    <w:pStyle w:val="a7"/>
                    <w:rPr>
                      <w:rFonts w:hint="default"/>
                    </w:rPr>
                  </w:pPr>
                  <w:r>
                    <w:t>装载机</w:t>
                  </w:r>
                </w:p>
              </w:tc>
              <w:tc>
                <w:tcPr>
                  <w:tcW w:w="2550" w:type="dxa"/>
                  <w:vAlign w:val="center"/>
                </w:tcPr>
                <w:p w:rsidR="00BC07F0" w:rsidRDefault="00073EFB">
                  <w:pPr>
                    <w:pStyle w:val="a7"/>
                    <w:rPr>
                      <w:rFonts w:hint="default"/>
                    </w:rPr>
                  </w:pPr>
                  <w:r>
                    <w:t>5m</w:t>
                  </w:r>
                </w:p>
              </w:tc>
              <w:tc>
                <w:tcPr>
                  <w:tcW w:w="2381" w:type="dxa"/>
                  <w:vAlign w:val="center"/>
                </w:tcPr>
                <w:p w:rsidR="00BC07F0" w:rsidRDefault="00073EFB">
                  <w:pPr>
                    <w:pStyle w:val="a7"/>
                    <w:rPr>
                      <w:rFonts w:hint="default"/>
                    </w:rPr>
                  </w:pPr>
                  <w:r>
                    <w:t>95</w:t>
                  </w:r>
                </w:p>
              </w:tc>
            </w:tr>
            <w:tr w:rsidR="00BC07F0">
              <w:trPr>
                <w:trHeight w:val="397"/>
                <w:jc w:val="center"/>
              </w:trPr>
              <w:tc>
                <w:tcPr>
                  <w:tcW w:w="1122" w:type="dxa"/>
                  <w:vAlign w:val="center"/>
                </w:tcPr>
                <w:p w:rsidR="00BC07F0" w:rsidRDefault="00073EFB">
                  <w:pPr>
                    <w:pStyle w:val="a7"/>
                    <w:rPr>
                      <w:rFonts w:hint="default"/>
                    </w:rPr>
                  </w:pPr>
                  <w:r>
                    <w:t>2</w:t>
                  </w:r>
                </w:p>
              </w:tc>
              <w:tc>
                <w:tcPr>
                  <w:tcW w:w="2949" w:type="dxa"/>
                  <w:vAlign w:val="center"/>
                </w:tcPr>
                <w:p w:rsidR="00BC07F0" w:rsidRDefault="00073EFB">
                  <w:pPr>
                    <w:pStyle w:val="a7"/>
                    <w:rPr>
                      <w:rFonts w:hint="default"/>
                    </w:rPr>
                  </w:pPr>
                  <w:r>
                    <w:t>平地机</w:t>
                  </w:r>
                </w:p>
              </w:tc>
              <w:tc>
                <w:tcPr>
                  <w:tcW w:w="2550" w:type="dxa"/>
                  <w:vAlign w:val="center"/>
                </w:tcPr>
                <w:p w:rsidR="00BC07F0" w:rsidRDefault="00073EFB">
                  <w:pPr>
                    <w:pStyle w:val="a7"/>
                    <w:rPr>
                      <w:rFonts w:hint="default"/>
                    </w:rPr>
                  </w:pPr>
                  <w:r>
                    <w:t>5m</w:t>
                  </w:r>
                </w:p>
              </w:tc>
              <w:tc>
                <w:tcPr>
                  <w:tcW w:w="2381" w:type="dxa"/>
                  <w:vAlign w:val="center"/>
                </w:tcPr>
                <w:p w:rsidR="00BC07F0" w:rsidRDefault="00073EFB">
                  <w:pPr>
                    <w:pStyle w:val="a7"/>
                    <w:rPr>
                      <w:rFonts w:hint="default"/>
                    </w:rPr>
                  </w:pPr>
                  <w:r>
                    <w:t>90</w:t>
                  </w:r>
                </w:p>
              </w:tc>
            </w:tr>
            <w:tr w:rsidR="00BC07F0">
              <w:trPr>
                <w:trHeight w:val="397"/>
                <w:jc w:val="center"/>
              </w:trPr>
              <w:tc>
                <w:tcPr>
                  <w:tcW w:w="1122" w:type="dxa"/>
                  <w:vAlign w:val="center"/>
                </w:tcPr>
                <w:p w:rsidR="00BC07F0" w:rsidRDefault="00073EFB">
                  <w:pPr>
                    <w:pStyle w:val="a7"/>
                    <w:rPr>
                      <w:rFonts w:hint="default"/>
                    </w:rPr>
                  </w:pPr>
                  <w:r>
                    <w:t>3</w:t>
                  </w:r>
                </w:p>
              </w:tc>
              <w:tc>
                <w:tcPr>
                  <w:tcW w:w="2949" w:type="dxa"/>
                  <w:vAlign w:val="center"/>
                </w:tcPr>
                <w:p w:rsidR="00BC07F0" w:rsidRDefault="00073EFB">
                  <w:pPr>
                    <w:pStyle w:val="a7"/>
                    <w:rPr>
                      <w:rFonts w:hint="default"/>
                    </w:rPr>
                  </w:pPr>
                  <w:r>
                    <w:t>振动式压路机</w:t>
                  </w:r>
                </w:p>
              </w:tc>
              <w:tc>
                <w:tcPr>
                  <w:tcW w:w="2550" w:type="dxa"/>
                  <w:vAlign w:val="center"/>
                </w:tcPr>
                <w:p w:rsidR="00BC07F0" w:rsidRDefault="00073EFB">
                  <w:pPr>
                    <w:pStyle w:val="a7"/>
                    <w:rPr>
                      <w:rFonts w:hint="default"/>
                    </w:rPr>
                  </w:pPr>
                  <w:r>
                    <w:t>5m</w:t>
                  </w:r>
                </w:p>
              </w:tc>
              <w:tc>
                <w:tcPr>
                  <w:tcW w:w="2381" w:type="dxa"/>
                  <w:vAlign w:val="center"/>
                </w:tcPr>
                <w:p w:rsidR="00BC07F0" w:rsidRDefault="00073EFB">
                  <w:pPr>
                    <w:pStyle w:val="a7"/>
                    <w:rPr>
                      <w:rFonts w:hint="default"/>
                    </w:rPr>
                  </w:pPr>
                  <w:r>
                    <w:t>85</w:t>
                  </w:r>
                </w:p>
              </w:tc>
            </w:tr>
            <w:tr w:rsidR="00BC07F0">
              <w:trPr>
                <w:trHeight w:val="397"/>
                <w:jc w:val="center"/>
              </w:trPr>
              <w:tc>
                <w:tcPr>
                  <w:tcW w:w="1122" w:type="dxa"/>
                  <w:vAlign w:val="center"/>
                </w:tcPr>
                <w:p w:rsidR="00BC07F0" w:rsidRDefault="00073EFB">
                  <w:pPr>
                    <w:pStyle w:val="a7"/>
                    <w:rPr>
                      <w:rFonts w:hint="default"/>
                    </w:rPr>
                  </w:pPr>
                  <w:r>
                    <w:t>4</w:t>
                  </w:r>
                </w:p>
              </w:tc>
              <w:tc>
                <w:tcPr>
                  <w:tcW w:w="2949" w:type="dxa"/>
                  <w:vAlign w:val="center"/>
                </w:tcPr>
                <w:p w:rsidR="00BC07F0" w:rsidRDefault="00073EFB">
                  <w:pPr>
                    <w:pStyle w:val="a7"/>
                    <w:rPr>
                      <w:rFonts w:hint="default"/>
                    </w:rPr>
                  </w:pPr>
                  <w:r>
                    <w:t>三轮压路机</w:t>
                  </w:r>
                </w:p>
              </w:tc>
              <w:tc>
                <w:tcPr>
                  <w:tcW w:w="2550" w:type="dxa"/>
                  <w:vAlign w:val="center"/>
                </w:tcPr>
                <w:p w:rsidR="00BC07F0" w:rsidRDefault="00073EFB">
                  <w:pPr>
                    <w:pStyle w:val="a7"/>
                    <w:rPr>
                      <w:rFonts w:hint="default"/>
                    </w:rPr>
                  </w:pPr>
                  <w:r>
                    <w:t>5m</w:t>
                  </w:r>
                </w:p>
              </w:tc>
              <w:tc>
                <w:tcPr>
                  <w:tcW w:w="2381" w:type="dxa"/>
                  <w:vAlign w:val="center"/>
                </w:tcPr>
                <w:p w:rsidR="00BC07F0" w:rsidRDefault="00073EFB">
                  <w:pPr>
                    <w:pStyle w:val="a7"/>
                    <w:rPr>
                      <w:rFonts w:hint="default"/>
                    </w:rPr>
                  </w:pPr>
                  <w:r>
                    <w:t>81</w:t>
                  </w:r>
                </w:p>
              </w:tc>
            </w:tr>
            <w:tr w:rsidR="00BC07F0">
              <w:trPr>
                <w:trHeight w:val="397"/>
                <w:jc w:val="center"/>
              </w:trPr>
              <w:tc>
                <w:tcPr>
                  <w:tcW w:w="1122" w:type="dxa"/>
                  <w:vAlign w:val="center"/>
                </w:tcPr>
                <w:p w:rsidR="00BC07F0" w:rsidRDefault="00073EFB">
                  <w:pPr>
                    <w:pStyle w:val="a7"/>
                    <w:rPr>
                      <w:rFonts w:hint="default"/>
                    </w:rPr>
                  </w:pPr>
                  <w:r>
                    <w:t>5</w:t>
                  </w:r>
                </w:p>
              </w:tc>
              <w:tc>
                <w:tcPr>
                  <w:tcW w:w="2949" w:type="dxa"/>
                  <w:vAlign w:val="center"/>
                </w:tcPr>
                <w:p w:rsidR="00BC07F0" w:rsidRDefault="00073EFB">
                  <w:pPr>
                    <w:pStyle w:val="a7"/>
                    <w:rPr>
                      <w:rFonts w:hint="default"/>
                    </w:rPr>
                  </w:pPr>
                  <w:r>
                    <w:t>双轮双振压路机</w:t>
                  </w:r>
                </w:p>
              </w:tc>
              <w:tc>
                <w:tcPr>
                  <w:tcW w:w="2550" w:type="dxa"/>
                  <w:vAlign w:val="center"/>
                </w:tcPr>
                <w:p w:rsidR="00BC07F0" w:rsidRDefault="00073EFB">
                  <w:pPr>
                    <w:pStyle w:val="a7"/>
                    <w:rPr>
                      <w:rFonts w:hint="default"/>
                    </w:rPr>
                  </w:pPr>
                  <w:r>
                    <w:t>5m</w:t>
                  </w:r>
                </w:p>
              </w:tc>
              <w:tc>
                <w:tcPr>
                  <w:tcW w:w="2381" w:type="dxa"/>
                  <w:vAlign w:val="center"/>
                </w:tcPr>
                <w:p w:rsidR="00BC07F0" w:rsidRDefault="00073EFB">
                  <w:pPr>
                    <w:pStyle w:val="a7"/>
                    <w:rPr>
                      <w:rFonts w:hint="default"/>
                    </w:rPr>
                  </w:pPr>
                  <w:r>
                    <w:t>81</w:t>
                  </w:r>
                </w:p>
              </w:tc>
            </w:tr>
            <w:tr w:rsidR="00BC07F0">
              <w:trPr>
                <w:trHeight w:val="397"/>
                <w:jc w:val="center"/>
              </w:trPr>
              <w:tc>
                <w:tcPr>
                  <w:tcW w:w="1122" w:type="dxa"/>
                  <w:vAlign w:val="center"/>
                </w:tcPr>
                <w:p w:rsidR="00BC07F0" w:rsidRDefault="00073EFB">
                  <w:pPr>
                    <w:pStyle w:val="a7"/>
                    <w:rPr>
                      <w:rFonts w:hint="default"/>
                    </w:rPr>
                  </w:pPr>
                  <w:r>
                    <w:t>6</w:t>
                  </w:r>
                </w:p>
              </w:tc>
              <w:tc>
                <w:tcPr>
                  <w:tcW w:w="2949" w:type="dxa"/>
                  <w:vAlign w:val="center"/>
                </w:tcPr>
                <w:p w:rsidR="00BC07F0" w:rsidRDefault="00073EFB">
                  <w:pPr>
                    <w:pStyle w:val="a7"/>
                    <w:rPr>
                      <w:rFonts w:hint="default"/>
                    </w:rPr>
                  </w:pPr>
                  <w:r>
                    <w:t>液压</w:t>
                  </w:r>
                  <w:r>
                    <w:t>挖掘机</w:t>
                  </w:r>
                </w:p>
              </w:tc>
              <w:tc>
                <w:tcPr>
                  <w:tcW w:w="2550" w:type="dxa"/>
                  <w:vAlign w:val="center"/>
                </w:tcPr>
                <w:p w:rsidR="00BC07F0" w:rsidRDefault="00073EFB">
                  <w:pPr>
                    <w:pStyle w:val="a7"/>
                    <w:rPr>
                      <w:rFonts w:hint="default"/>
                    </w:rPr>
                  </w:pPr>
                  <w:r>
                    <w:t>5m</w:t>
                  </w:r>
                </w:p>
              </w:tc>
              <w:tc>
                <w:tcPr>
                  <w:tcW w:w="2381" w:type="dxa"/>
                  <w:vAlign w:val="center"/>
                </w:tcPr>
                <w:p w:rsidR="00BC07F0" w:rsidRDefault="00073EFB">
                  <w:pPr>
                    <w:pStyle w:val="a7"/>
                    <w:rPr>
                      <w:rFonts w:hint="default"/>
                    </w:rPr>
                  </w:pPr>
                  <w:r>
                    <w:t>85</w:t>
                  </w:r>
                </w:p>
              </w:tc>
            </w:tr>
            <w:tr w:rsidR="00BC07F0">
              <w:trPr>
                <w:trHeight w:val="397"/>
                <w:jc w:val="center"/>
              </w:trPr>
              <w:tc>
                <w:tcPr>
                  <w:tcW w:w="1122" w:type="dxa"/>
                  <w:vAlign w:val="center"/>
                </w:tcPr>
                <w:p w:rsidR="00BC07F0" w:rsidRDefault="00073EFB">
                  <w:pPr>
                    <w:pStyle w:val="a7"/>
                    <w:rPr>
                      <w:rFonts w:hint="default"/>
                    </w:rPr>
                  </w:pPr>
                  <w:r>
                    <w:t>7</w:t>
                  </w:r>
                </w:p>
              </w:tc>
              <w:tc>
                <w:tcPr>
                  <w:tcW w:w="2949" w:type="dxa"/>
                  <w:vAlign w:val="center"/>
                </w:tcPr>
                <w:p w:rsidR="00BC07F0" w:rsidRDefault="00073EFB">
                  <w:pPr>
                    <w:pStyle w:val="a7"/>
                    <w:rPr>
                      <w:rFonts w:hint="default"/>
                    </w:rPr>
                  </w:pPr>
                  <w:r>
                    <w:t>摊铺机</w:t>
                  </w:r>
                </w:p>
              </w:tc>
              <w:tc>
                <w:tcPr>
                  <w:tcW w:w="2550" w:type="dxa"/>
                  <w:vAlign w:val="center"/>
                </w:tcPr>
                <w:p w:rsidR="00BC07F0" w:rsidRDefault="00073EFB">
                  <w:pPr>
                    <w:pStyle w:val="a7"/>
                    <w:rPr>
                      <w:rFonts w:hint="default"/>
                    </w:rPr>
                  </w:pPr>
                  <w:r>
                    <w:t>5m</w:t>
                  </w:r>
                </w:p>
              </w:tc>
              <w:tc>
                <w:tcPr>
                  <w:tcW w:w="2381" w:type="dxa"/>
                  <w:vAlign w:val="center"/>
                </w:tcPr>
                <w:p w:rsidR="00BC07F0" w:rsidRDefault="00073EFB">
                  <w:pPr>
                    <w:pStyle w:val="a7"/>
                    <w:rPr>
                      <w:rFonts w:hint="default"/>
                    </w:rPr>
                  </w:pPr>
                  <w:r>
                    <w:t>88</w:t>
                  </w:r>
                </w:p>
              </w:tc>
            </w:tr>
            <w:tr w:rsidR="00BC07F0">
              <w:trPr>
                <w:trHeight w:val="397"/>
                <w:jc w:val="center"/>
              </w:trPr>
              <w:tc>
                <w:tcPr>
                  <w:tcW w:w="1122" w:type="dxa"/>
                  <w:vAlign w:val="center"/>
                </w:tcPr>
                <w:p w:rsidR="00BC07F0" w:rsidRDefault="00073EFB">
                  <w:pPr>
                    <w:pStyle w:val="a7"/>
                    <w:rPr>
                      <w:rFonts w:hint="default"/>
                    </w:rPr>
                  </w:pPr>
                  <w:r>
                    <w:t>8</w:t>
                  </w:r>
                </w:p>
              </w:tc>
              <w:tc>
                <w:tcPr>
                  <w:tcW w:w="2949" w:type="dxa"/>
                  <w:vAlign w:val="center"/>
                </w:tcPr>
                <w:p w:rsidR="00BC07F0" w:rsidRDefault="00073EFB">
                  <w:pPr>
                    <w:pStyle w:val="a7"/>
                    <w:rPr>
                      <w:rFonts w:hint="default"/>
                    </w:rPr>
                  </w:pPr>
                  <w:r>
                    <w:t>推土机</w:t>
                  </w:r>
                </w:p>
              </w:tc>
              <w:tc>
                <w:tcPr>
                  <w:tcW w:w="2550" w:type="dxa"/>
                  <w:vAlign w:val="center"/>
                </w:tcPr>
                <w:p w:rsidR="00BC07F0" w:rsidRDefault="00073EFB">
                  <w:pPr>
                    <w:pStyle w:val="a7"/>
                    <w:rPr>
                      <w:rFonts w:hint="default"/>
                    </w:rPr>
                  </w:pPr>
                  <w:r>
                    <w:t>5m</w:t>
                  </w:r>
                </w:p>
              </w:tc>
              <w:tc>
                <w:tcPr>
                  <w:tcW w:w="2381" w:type="dxa"/>
                  <w:vAlign w:val="center"/>
                </w:tcPr>
                <w:p w:rsidR="00BC07F0" w:rsidRDefault="00073EFB">
                  <w:pPr>
                    <w:pStyle w:val="a7"/>
                    <w:rPr>
                      <w:rFonts w:hint="default"/>
                    </w:rPr>
                  </w:pPr>
                  <w:r>
                    <w:t>88</w:t>
                  </w:r>
                </w:p>
              </w:tc>
            </w:tr>
            <w:tr w:rsidR="00BC07F0">
              <w:trPr>
                <w:trHeight w:val="397"/>
                <w:jc w:val="center"/>
              </w:trPr>
              <w:tc>
                <w:tcPr>
                  <w:tcW w:w="1122" w:type="dxa"/>
                  <w:vAlign w:val="center"/>
                </w:tcPr>
                <w:p w:rsidR="00BC07F0" w:rsidRDefault="00073EFB">
                  <w:pPr>
                    <w:pStyle w:val="a7"/>
                    <w:rPr>
                      <w:rFonts w:hint="default"/>
                    </w:rPr>
                  </w:pPr>
                  <w:r>
                    <w:t>9</w:t>
                  </w:r>
                </w:p>
              </w:tc>
              <w:tc>
                <w:tcPr>
                  <w:tcW w:w="2949" w:type="dxa"/>
                  <w:vAlign w:val="center"/>
                </w:tcPr>
                <w:p w:rsidR="00BC07F0" w:rsidRDefault="00073EFB">
                  <w:pPr>
                    <w:pStyle w:val="a7"/>
                    <w:rPr>
                      <w:rFonts w:hint="default"/>
                    </w:rPr>
                  </w:pPr>
                  <w:r>
                    <w:t>轮胎式液压挖掘机</w:t>
                  </w:r>
                </w:p>
              </w:tc>
              <w:tc>
                <w:tcPr>
                  <w:tcW w:w="2550" w:type="dxa"/>
                  <w:vAlign w:val="center"/>
                </w:tcPr>
                <w:p w:rsidR="00BC07F0" w:rsidRDefault="00073EFB">
                  <w:pPr>
                    <w:pStyle w:val="a7"/>
                    <w:rPr>
                      <w:rFonts w:hint="default"/>
                    </w:rPr>
                  </w:pPr>
                  <w:r>
                    <w:t>5m</w:t>
                  </w:r>
                </w:p>
              </w:tc>
              <w:tc>
                <w:tcPr>
                  <w:tcW w:w="2381" w:type="dxa"/>
                  <w:vAlign w:val="center"/>
                </w:tcPr>
                <w:p w:rsidR="00BC07F0" w:rsidRDefault="00073EFB">
                  <w:pPr>
                    <w:pStyle w:val="a7"/>
                    <w:rPr>
                      <w:rFonts w:hint="default"/>
                    </w:rPr>
                  </w:pPr>
                  <w:r>
                    <w:t>84</w:t>
                  </w:r>
                </w:p>
              </w:tc>
            </w:tr>
            <w:tr w:rsidR="00BC07F0">
              <w:trPr>
                <w:trHeight w:val="397"/>
                <w:jc w:val="center"/>
              </w:trPr>
              <w:tc>
                <w:tcPr>
                  <w:tcW w:w="1122" w:type="dxa"/>
                  <w:vAlign w:val="center"/>
                </w:tcPr>
                <w:p w:rsidR="00BC07F0" w:rsidRDefault="00073EFB">
                  <w:pPr>
                    <w:pStyle w:val="a7"/>
                    <w:rPr>
                      <w:rFonts w:hint="default"/>
                    </w:rPr>
                  </w:pPr>
                  <w:r>
                    <w:t>10</w:t>
                  </w:r>
                </w:p>
              </w:tc>
              <w:tc>
                <w:tcPr>
                  <w:tcW w:w="2949" w:type="dxa"/>
                  <w:vAlign w:val="center"/>
                </w:tcPr>
                <w:p w:rsidR="00BC07F0" w:rsidRDefault="00073EFB">
                  <w:pPr>
                    <w:pStyle w:val="a7"/>
                    <w:rPr>
                      <w:rFonts w:hint="default"/>
                    </w:rPr>
                  </w:pPr>
                  <w:r>
                    <w:t>振捣机</w:t>
                  </w:r>
                </w:p>
              </w:tc>
              <w:tc>
                <w:tcPr>
                  <w:tcW w:w="2550" w:type="dxa"/>
                  <w:vAlign w:val="center"/>
                </w:tcPr>
                <w:p w:rsidR="00BC07F0" w:rsidRDefault="00073EFB">
                  <w:pPr>
                    <w:pStyle w:val="a7"/>
                    <w:rPr>
                      <w:rFonts w:hint="default"/>
                    </w:rPr>
                  </w:pPr>
                  <w:r>
                    <w:t>5m</w:t>
                  </w:r>
                </w:p>
              </w:tc>
              <w:tc>
                <w:tcPr>
                  <w:tcW w:w="2381" w:type="dxa"/>
                  <w:vAlign w:val="center"/>
                </w:tcPr>
                <w:p w:rsidR="00BC07F0" w:rsidRDefault="00073EFB">
                  <w:pPr>
                    <w:pStyle w:val="a7"/>
                    <w:rPr>
                      <w:rFonts w:hint="default"/>
                    </w:rPr>
                  </w:pPr>
                  <w:r>
                    <w:t>84</w:t>
                  </w:r>
                </w:p>
              </w:tc>
            </w:tr>
            <w:tr w:rsidR="00BC07F0">
              <w:trPr>
                <w:trHeight w:val="397"/>
                <w:jc w:val="center"/>
              </w:trPr>
              <w:tc>
                <w:tcPr>
                  <w:tcW w:w="1122" w:type="dxa"/>
                  <w:vAlign w:val="center"/>
                </w:tcPr>
                <w:p w:rsidR="00BC07F0" w:rsidRDefault="00073EFB">
                  <w:pPr>
                    <w:pStyle w:val="a7"/>
                    <w:rPr>
                      <w:rFonts w:hint="default"/>
                    </w:rPr>
                  </w:pPr>
                  <w:r>
                    <w:t>11</w:t>
                  </w:r>
                </w:p>
              </w:tc>
              <w:tc>
                <w:tcPr>
                  <w:tcW w:w="2949" w:type="dxa"/>
                  <w:vAlign w:val="center"/>
                </w:tcPr>
                <w:p w:rsidR="00BC07F0" w:rsidRDefault="00073EFB">
                  <w:pPr>
                    <w:pStyle w:val="a7"/>
                    <w:rPr>
                      <w:rFonts w:hint="default"/>
                    </w:rPr>
                  </w:pPr>
                  <w:r>
                    <w:t>切割机</w:t>
                  </w:r>
                </w:p>
              </w:tc>
              <w:tc>
                <w:tcPr>
                  <w:tcW w:w="2550" w:type="dxa"/>
                  <w:vAlign w:val="center"/>
                </w:tcPr>
                <w:p w:rsidR="00BC07F0" w:rsidRDefault="00073EFB">
                  <w:pPr>
                    <w:pStyle w:val="a7"/>
                    <w:rPr>
                      <w:rFonts w:hint="default"/>
                    </w:rPr>
                  </w:pPr>
                  <w:r>
                    <w:t>5m</w:t>
                  </w:r>
                </w:p>
              </w:tc>
              <w:tc>
                <w:tcPr>
                  <w:tcW w:w="2381" w:type="dxa"/>
                  <w:vAlign w:val="center"/>
                </w:tcPr>
                <w:p w:rsidR="00BC07F0" w:rsidRDefault="00073EFB">
                  <w:pPr>
                    <w:pStyle w:val="a7"/>
                    <w:rPr>
                      <w:rFonts w:hint="default"/>
                    </w:rPr>
                  </w:pPr>
                  <w:r>
                    <w:t>85</w:t>
                  </w:r>
                </w:p>
              </w:tc>
            </w:tr>
          </w:tbl>
          <w:p w:rsidR="00BC07F0" w:rsidRDefault="00073EFB" w:rsidP="00C55F5E">
            <w:pPr>
              <w:ind w:firstLine="482"/>
              <w:rPr>
                <w:b/>
                <w:bCs/>
              </w:rPr>
            </w:pPr>
            <w:r>
              <w:rPr>
                <w:rFonts w:hint="eastAsia"/>
                <w:b/>
                <w:bCs/>
              </w:rPr>
              <w:t>4.3.2</w:t>
            </w:r>
            <w:r>
              <w:rPr>
                <w:rFonts w:hint="eastAsia"/>
                <w:b/>
                <w:bCs/>
              </w:rPr>
              <w:t>运输车辆噪声</w:t>
            </w:r>
          </w:p>
          <w:p w:rsidR="00BC07F0" w:rsidRDefault="00073EFB" w:rsidP="00C55F5E">
            <w:pPr>
              <w:ind w:firstLine="480"/>
            </w:pPr>
            <w:r>
              <w:rPr>
                <w:rFonts w:hint="eastAsia"/>
              </w:rPr>
              <w:t>施工场内主要来往车辆为拖拉机，施工以及车辆运输会产生噪声影响</w:t>
            </w:r>
            <w:r>
              <w:rPr>
                <w:rFonts w:hint="eastAsia"/>
              </w:rPr>
              <w:t>，</w:t>
            </w:r>
            <w:r>
              <w:rPr>
                <w:rFonts w:hint="eastAsia"/>
              </w:rPr>
              <w:t>交通噪声属于线声源，其源强与车辆载重类型、行车速度密切相关，一般在</w:t>
            </w:r>
            <w:r>
              <w:rPr>
                <w:rFonts w:hint="eastAsia"/>
              </w:rPr>
              <w:t>80dB(A)</w:t>
            </w:r>
            <w:r>
              <w:rPr>
                <w:rFonts w:hint="eastAsia"/>
              </w:rPr>
              <w:t>～</w:t>
            </w:r>
            <w:r>
              <w:rPr>
                <w:rFonts w:hint="eastAsia"/>
              </w:rPr>
              <w:t>95dB(A)</w:t>
            </w:r>
            <w:r>
              <w:rPr>
                <w:rFonts w:hint="eastAsia"/>
              </w:rPr>
              <w:t>之间。</w:t>
            </w:r>
          </w:p>
          <w:p w:rsidR="00BC07F0" w:rsidRDefault="00073EFB" w:rsidP="00C55F5E">
            <w:pPr>
              <w:ind w:firstLine="482"/>
            </w:pPr>
            <w:r>
              <w:rPr>
                <w:rFonts w:hint="eastAsia"/>
                <w:b/>
                <w:bCs/>
              </w:rPr>
              <w:t>4.4</w:t>
            </w:r>
            <w:r>
              <w:rPr>
                <w:rFonts w:hint="eastAsia"/>
                <w:b/>
                <w:bCs/>
              </w:rPr>
              <w:t>施工期固体废物</w:t>
            </w:r>
          </w:p>
          <w:p w:rsidR="00BC07F0" w:rsidRDefault="00073EFB" w:rsidP="00C55F5E">
            <w:pPr>
              <w:ind w:firstLine="480"/>
            </w:pPr>
            <w:r>
              <w:rPr>
                <w:rFonts w:hint="eastAsia"/>
              </w:rPr>
              <w:t>本项目各工程施工期产生的固体废物主要是表土清除和开挖产生的土石方、生活垃圾、河道疏浚污泥。</w:t>
            </w:r>
          </w:p>
          <w:p w:rsidR="00BC07F0" w:rsidRDefault="00073EFB" w:rsidP="00C55F5E">
            <w:pPr>
              <w:ind w:firstLine="482"/>
              <w:rPr>
                <w:b/>
                <w:bCs/>
              </w:rPr>
            </w:pPr>
            <w:r>
              <w:rPr>
                <w:rFonts w:hint="eastAsia"/>
                <w:b/>
                <w:bCs/>
              </w:rPr>
              <w:t>4.4.1</w:t>
            </w:r>
            <w:r>
              <w:rPr>
                <w:rFonts w:hint="eastAsia"/>
                <w:b/>
                <w:bCs/>
              </w:rPr>
              <w:t>表土清除和开挖产生的土石方</w:t>
            </w:r>
          </w:p>
          <w:p w:rsidR="00BC07F0" w:rsidRDefault="00073EFB" w:rsidP="00C55F5E">
            <w:pPr>
              <w:ind w:firstLine="480"/>
            </w:pPr>
            <w:r>
              <w:rPr>
                <w:rFonts w:hint="eastAsia"/>
              </w:rPr>
              <w:t>本项目在表土清除和塘基开挖过程中会产生的大量的土石方和淤泥，产生的土石方则堆在临时表土场，通过对表土场采取必要的水土保持措施，弃土对环境的影响可以得到有效控制。</w:t>
            </w:r>
          </w:p>
          <w:p w:rsidR="00BC07F0" w:rsidRDefault="00073EFB" w:rsidP="00C55F5E">
            <w:pPr>
              <w:ind w:firstLine="482"/>
              <w:rPr>
                <w:b/>
                <w:bCs/>
              </w:rPr>
            </w:pPr>
            <w:r>
              <w:rPr>
                <w:rFonts w:hint="eastAsia"/>
                <w:b/>
                <w:bCs/>
              </w:rPr>
              <w:t>4.4.2</w:t>
            </w:r>
            <w:r>
              <w:rPr>
                <w:rFonts w:hint="eastAsia"/>
                <w:b/>
                <w:bCs/>
              </w:rPr>
              <w:t>生活垃圾</w:t>
            </w:r>
          </w:p>
          <w:p w:rsidR="00BC07F0" w:rsidRDefault="00073EFB" w:rsidP="00C55F5E">
            <w:pPr>
              <w:ind w:firstLine="480"/>
            </w:pPr>
            <w:r>
              <w:rPr>
                <w:rFonts w:hint="eastAsia"/>
              </w:rPr>
              <w:t>本项目施工期间高峰期施工人员为</w:t>
            </w:r>
            <w:r>
              <w:rPr>
                <w:rFonts w:hint="eastAsia"/>
              </w:rPr>
              <w:t>200</w:t>
            </w:r>
            <w:r>
              <w:rPr>
                <w:rFonts w:hint="eastAsia"/>
              </w:rPr>
              <w:t>人，生活垃圾产生量为</w:t>
            </w:r>
            <w:r>
              <w:rPr>
                <w:rFonts w:hint="eastAsia"/>
              </w:rPr>
              <w:t>36.5</w:t>
            </w:r>
            <w:r>
              <w:rPr>
                <w:rFonts w:hint="eastAsia"/>
              </w:rPr>
              <w:t>t/a</w:t>
            </w:r>
            <w:r>
              <w:rPr>
                <w:rFonts w:hint="eastAsia"/>
              </w:rPr>
              <w:t>，</w:t>
            </w:r>
            <w:r>
              <w:rPr>
                <w:rFonts w:hint="eastAsia"/>
              </w:rPr>
              <w:t>施工期产生的生活垃圾</w:t>
            </w:r>
            <w:r>
              <w:rPr>
                <w:rFonts w:hint="eastAsia"/>
              </w:rPr>
              <w:t>分类</w:t>
            </w:r>
            <w:r>
              <w:rPr>
                <w:rFonts w:hint="eastAsia"/>
              </w:rPr>
              <w:t>收集后交由环卫部门清运处置。</w:t>
            </w:r>
          </w:p>
          <w:p w:rsidR="00BC07F0" w:rsidRDefault="00073EFB" w:rsidP="00C55F5E">
            <w:pPr>
              <w:ind w:firstLine="482"/>
              <w:rPr>
                <w:b/>
                <w:bCs/>
              </w:rPr>
            </w:pPr>
            <w:r>
              <w:rPr>
                <w:rFonts w:hint="eastAsia"/>
                <w:b/>
                <w:bCs/>
              </w:rPr>
              <w:lastRenderedPageBreak/>
              <w:t>4.4.3</w:t>
            </w:r>
            <w:r>
              <w:rPr>
                <w:rFonts w:hint="eastAsia"/>
                <w:b/>
                <w:bCs/>
              </w:rPr>
              <w:t>河道疏浚污泥</w:t>
            </w:r>
          </w:p>
          <w:p w:rsidR="00BC07F0" w:rsidRDefault="00073EFB" w:rsidP="00C55F5E">
            <w:pPr>
              <w:ind w:firstLine="480"/>
            </w:pPr>
            <w:r>
              <w:rPr>
                <w:color w:val="FF0000"/>
              </w:rPr>
              <w:t>幸福河支流水生态环境综合治理工程</w:t>
            </w:r>
            <w:r>
              <w:rPr>
                <w:rFonts w:hint="eastAsia"/>
              </w:rPr>
              <w:t>清淤量</w:t>
            </w:r>
            <w:r>
              <w:rPr>
                <w:rFonts w:hint="eastAsia"/>
              </w:rPr>
              <w:t>19768m</w:t>
            </w:r>
            <w:r>
              <w:rPr>
                <w:rFonts w:hint="eastAsia"/>
                <w:vertAlign w:val="superscript"/>
              </w:rPr>
              <w:t>3</w:t>
            </w:r>
            <w:r>
              <w:rPr>
                <w:rFonts w:hint="eastAsia"/>
              </w:rPr>
              <w:t>，根据施工放样情况用围堰板围堰，然后用抽水泵将河水抽出围堰外，作为生态护岸、人工湿地、植被种植的覆土，做到项目内部平衡，无弃方产生</w:t>
            </w:r>
            <w:r>
              <w:rPr>
                <w:rFonts w:hint="eastAsia"/>
              </w:rPr>
              <w:t>，</w:t>
            </w:r>
            <w:r>
              <w:rPr>
                <w:rFonts w:hint="eastAsia"/>
              </w:rPr>
              <w:t>淤泥堆放在</w:t>
            </w:r>
            <w:r>
              <w:rPr>
                <w:rFonts w:hint="eastAsia"/>
                <w:color w:val="000000" w:themeColor="text1"/>
              </w:rPr>
              <w:t>蒸湘南路以西，</w:t>
            </w:r>
            <w:r>
              <w:rPr>
                <w:rFonts w:hint="eastAsia"/>
                <w:color w:val="FF0000"/>
              </w:rPr>
              <w:t>幸福河支流以东。</w:t>
            </w:r>
          </w:p>
          <w:p w:rsidR="00BC07F0" w:rsidRDefault="00073EFB" w:rsidP="00C55F5E">
            <w:pPr>
              <w:ind w:firstLine="482"/>
              <w:rPr>
                <w:b/>
                <w:bCs/>
              </w:rPr>
            </w:pPr>
            <w:r>
              <w:rPr>
                <w:rFonts w:hint="eastAsia"/>
                <w:b/>
                <w:bCs/>
              </w:rPr>
              <w:t>4.5</w:t>
            </w:r>
            <w:r>
              <w:rPr>
                <w:rFonts w:hint="eastAsia"/>
                <w:b/>
                <w:bCs/>
              </w:rPr>
              <w:t>生态环境分析</w:t>
            </w:r>
          </w:p>
          <w:p w:rsidR="00BC07F0" w:rsidRDefault="00073EFB" w:rsidP="00C55F5E">
            <w:pPr>
              <w:ind w:firstLine="480"/>
            </w:pPr>
            <w:r>
              <w:rPr>
                <w:rFonts w:hint="eastAsia"/>
              </w:rPr>
              <w:t>本项目各工程施工期</w:t>
            </w:r>
            <w:r>
              <w:rPr>
                <w:rFonts w:hint="eastAsia"/>
              </w:rPr>
              <w:t>对生态环境产生的影响主要体现在临时占地的影响、永久占地的影响、植被影响、动物影响、水土流失的影响。</w:t>
            </w:r>
          </w:p>
          <w:p w:rsidR="00BC07F0" w:rsidRDefault="00073EFB" w:rsidP="00C55F5E">
            <w:pPr>
              <w:ind w:firstLine="482"/>
              <w:rPr>
                <w:b/>
                <w:bCs/>
              </w:rPr>
            </w:pPr>
            <w:r>
              <w:rPr>
                <w:rFonts w:hint="eastAsia"/>
                <w:b/>
                <w:bCs/>
              </w:rPr>
              <w:t>4.5.1</w:t>
            </w:r>
            <w:r>
              <w:rPr>
                <w:rFonts w:hint="eastAsia"/>
                <w:b/>
                <w:bCs/>
              </w:rPr>
              <w:t>临时占地的影响</w:t>
            </w:r>
          </w:p>
          <w:p w:rsidR="00BC07F0" w:rsidRDefault="00073EFB" w:rsidP="00C55F5E">
            <w:pPr>
              <w:ind w:firstLine="480"/>
              <w:rPr>
                <w:b/>
                <w:bCs/>
              </w:rPr>
            </w:pPr>
            <w:r>
              <w:rPr>
                <w:rFonts w:hint="eastAsia"/>
              </w:rPr>
              <w:t>施工期取土场区主要有土石方等工程活动，取土场区施工对生态的影响主要有占地、水土流失、扬尘等对其影响。取土场区取土会扰动地表，破坏地表植物及植被，动物栖息环境减少；同时取土过</w:t>
            </w:r>
            <w:r>
              <w:rPr>
                <w:rFonts w:hint="eastAsia"/>
              </w:rPr>
              <w:t>程中，场区原有地形地貌改变，地表失衡，如遇雨季，易引起水土流失；此外，取土场区施工还会产生大量扬尘，会对附近动植物及其生境产生不利影响。本项目共设取土场</w:t>
            </w:r>
            <w:r>
              <w:rPr>
                <w:rFonts w:hint="eastAsia"/>
              </w:rPr>
              <w:t>1</w:t>
            </w:r>
            <w:r>
              <w:rPr>
                <w:rFonts w:hint="eastAsia"/>
              </w:rPr>
              <w:t>处，位于龙州南路青春里小区建设工地，且取土场的土为小区开发建设产生的弃土。取土场为建设用地，且受取土场区影响的动植物均为适应性强、抗逆性强，分布范围广的物种，无珍稀濒危野生动植物分布，因此取土场区施工对区域动植物的影响较小。且施工结束后，取土场区将种植植被进行绿化，进一步减缓工程建设对其影响。</w:t>
            </w:r>
          </w:p>
          <w:p w:rsidR="00BC07F0" w:rsidRDefault="00073EFB" w:rsidP="00C55F5E">
            <w:pPr>
              <w:ind w:firstLine="482"/>
              <w:rPr>
                <w:b/>
                <w:bCs/>
              </w:rPr>
            </w:pPr>
            <w:r>
              <w:rPr>
                <w:rFonts w:hint="eastAsia"/>
                <w:b/>
                <w:bCs/>
              </w:rPr>
              <w:t>4.5.2</w:t>
            </w:r>
            <w:r>
              <w:rPr>
                <w:rFonts w:hint="eastAsia"/>
                <w:b/>
                <w:bCs/>
              </w:rPr>
              <w:t>永久占地的影响</w:t>
            </w:r>
          </w:p>
          <w:p w:rsidR="00BC07F0" w:rsidRDefault="00073EFB" w:rsidP="00C55F5E">
            <w:pPr>
              <w:ind w:firstLine="480"/>
            </w:pPr>
            <w:r>
              <w:rPr>
                <w:rFonts w:hint="eastAsia"/>
              </w:rPr>
              <w:t>本项目各工程永久占地在施工过程中会扰</w:t>
            </w:r>
            <w:r>
              <w:rPr>
                <w:rFonts w:hint="eastAsia"/>
              </w:rPr>
              <w:t>动地表，使得地表裸露，地形地貌改变，并对植被造成破坏，可能诱发局部轻微水土流失；施工机械、施工人员和施工活动可能对施工场地周围的动植物造成影响。本项目建设完成后，可以改善周围的交通条件，对沿线人口会产生较大的聚集作用，可以增加土地的利用价值。随着项目的运营，沿线道路会出现新的产业带，会为当地带来社会、聚集效益，使失去的土地实现价值的转换。</w:t>
            </w:r>
          </w:p>
          <w:p w:rsidR="00BC07F0" w:rsidRDefault="00073EFB" w:rsidP="00C55F5E">
            <w:pPr>
              <w:ind w:firstLine="482"/>
              <w:rPr>
                <w:b/>
                <w:bCs/>
              </w:rPr>
            </w:pPr>
            <w:r>
              <w:rPr>
                <w:rFonts w:hint="eastAsia"/>
                <w:b/>
                <w:bCs/>
              </w:rPr>
              <w:t>4.5.3</w:t>
            </w:r>
            <w:r>
              <w:rPr>
                <w:rFonts w:hint="eastAsia"/>
                <w:b/>
                <w:bCs/>
              </w:rPr>
              <w:t>植被影响</w:t>
            </w:r>
          </w:p>
          <w:p w:rsidR="00BC07F0" w:rsidRDefault="00073EFB" w:rsidP="00C55F5E">
            <w:pPr>
              <w:ind w:firstLine="480"/>
            </w:pPr>
            <w:r>
              <w:rPr>
                <w:rFonts w:hint="eastAsia"/>
              </w:rPr>
              <w:t>本项目各工程施工过程中的施工活动、建材堆放等会对施工场地及周围植被造成一定的不利影响，根据现场调查可知，本项目占地已规划为建设用地，其内无濒危保护植物物种，也无古树名树分布。本项目在施工过程中对植被造成的影响主要为：施工时对地表植被的破坏，施工时产生的扬尘对植被的生长产生不利影响。施工占地对植被将会产生直接的破坏作用，导致群落的生物多样性降低，由于项目植被资源较为丰富，所占</w:t>
            </w:r>
            <w:r>
              <w:rPr>
                <w:rFonts w:hint="eastAsia"/>
              </w:rPr>
              <w:lastRenderedPageBreak/>
              <w:t>植被在项目沿线均广泛分布，项目占用地对区域林地格局影响较小。因此，工程占地对区域植被的破坏较小，同时临时占地的植被可以通过后期的绿化措施</w:t>
            </w:r>
            <w:r>
              <w:rPr>
                <w:rFonts w:hint="eastAsia"/>
              </w:rPr>
              <w:t>进行恢复，本项目占地对当地的植被影响相对较小。</w:t>
            </w:r>
          </w:p>
          <w:p w:rsidR="00BC07F0" w:rsidRDefault="00073EFB" w:rsidP="00C55F5E">
            <w:pPr>
              <w:ind w:firstLine="482"/>
              <w:rPr>
                <w:b/>
                <w:bCs/>
              </w:rPr>
            </w:pPr>
            <w:r>
              <w:rPr>
                <w:rFonts w:hint="eastAsia"/>
                <w:b/>
                <w:bCs/>
              </w:rPr>
              <w:t>4.5.4</w:t>
            </w:r>
            <w:r>
              <w:rPr>
                <w:rFonts w:hint="eastAsia"/>
                <w:b/>
                <w:bCs/>
              </w:rPr>
              <w:t>动物影响</w:t>
            </w:r>
          </w:p>
          <w:p w:rsidR="00BC07F0" w:rsidRDefault="00073EFB" w:rsidP="00C55F5E">
            <w:pPr>
              <w:ind w:firstLine="480"/>
            </w:pPr>
            <w:r>
              <w:rPr>
                <w:rFonts w:hint="eastAsia"/>
              </w:rPr>
              <w:t>本项目各工程建设对动物的影响主要表现在工程行为和工程设施对动物栖息环境的改变和干扰。施工过程及施工机械的噪声将使生活在周围环境中的动物受到干扰，局部地区树木、杂草的铲除以及施工现场扬尘、废水的影响，使动物原有的栖息环境发生改变、破坏，加上施工占用永久地和临时地，将导致动物的迁移。项目完工后，因工程破坏的植被部分可在道路建设完成后得到恢复，因此施工期对陆地生态环境影响小。</w:t>
            </w:r>
          </w:p>
          <w:p w:rsidR="00BC07F0" w:rsidRDefault="00073EFB" w:rsidP="00C55F5E">
            <w:pPr>
              <w:ind w:firstLine="482"/>
              <w:rPr>
                <w:b/>
                <w:bCs/>
              </w:rPr>
            </w:pPr>
            <w:r>
              <w:rPr>
                <w:rFonts w:hint="eastAsia"/>
                <w:b/>
                <w:bCs/>
              </w:rPr>
              <w:t>4.5.5</w:t>
            </w:r>
            <w:r>
              <w:rPr>
                <w:rFonts w:hint="eastAsia"/>
                <w:b/>
                <w:bCs/>
              </w:rPr>
              <w:t>水土流失的影响</w:t>
            </w:r>
          </w:p>
          <w:p w:rsidR="00BC07F0" w:rsidRDefault="00073EFB" w:rsidP="00C55F5E">
            <w:pPr>
              <w:ind w:firstLine="480"/>
            </w:pPr>
            <w:r>
              <w:rPr>
                <w:rFonts w:hint="eastAsia"/>
              </w:rPr>
              <w:t>施工过程中人为活动将使地表结构遭到破坏，伴随</w:t>
            </w:r>
            <w:r>
              <w:rPr>
                <w:rFonts w:hint="eastAsia"/>
              </w:rPr>
              <w:t>着降雨、地表径流等自然因素的影响，项目区水土流失剧烈增加，主要表现</w:t>
            </w:r>
            <w:r>
              <w:t>为</w:t>
            </w:r>
            <w:r>
              <w:rPr>
                <w:rFonts w:hint="eastAsia"/>
              </w:rPr>
              <w:t>施工将破坏原有的地貌和植被，扰动表土结构，致使土壤抗蚀能力降低，若不加以防护，易产生扬尘、冲刷、崩塌等现象，导致新的水土流失。项目在建设过程中将产生打了的弃土、弃渣和建筑垃圾，这些松散的堆积物抗侵蚀能力较差，遇到地表径流冲刷，产生水土流失。</w:t>
            </w:r>
          </w:p>
        </w:tc>
      </w:tr>
      <w:tr w:rsidR="00BC07F0">
        <w:trPr>
          <w:trHeight w:val="454"/>
        </w:trPr>
        <w:tc>
          <w:tcPr>
            <w:tcW w:w="534" w:type="dxa"/>
            <w:vAlign w:val="center"/>
          </w:tcPr>
          <w:p w:rsidR="00BC07F0" w:rsidRDefault="00073EFB">
            <w:pPr>
              <w:pStyle w:val="a7"/>
              <w:rPr>
                <w:rFonts w:hint="default"/>
                <w:b/>
                <w:bCs/>
                <w:sz w:val="24"/>
                <w:szCs w:val="24"/>
              </w:rPr>
            </w:pPr>
            <w:r>
              <w:rPr>
                <w:b/>
                <w:bCs/>
                <w:sz w:val="24"/>
                <w:szCs w:val="24"/>
              </w:rPr>
              <w:lastRenderedPageBreak/>
              <w:t>运营期生态环境影响分析</w:t>
            </w:r>
          </w:p>
        </w:tc>
        <w:tc>
          <w:tcPr>
            <w:tcW w:w="9326" w:type="dxa"/>
            <w:vAlign w:val="center"/>
          </w:tcPr>
          <w:p w:rsidR="00BC07F0" w:rsidRDefault="00073EFB" w:rsidP="00C55F5E">
            <w:pPr>
              <w:ind w:firstLine="480"/>
            </w:pPr>
            <w:r>
              <w:rPr>
                <w:rFonts w:hint="eastAsia"/>
              </w:rPr>
              <w:t>湘江南岸（衡阳港</w:t>
            </w:r>
            <w:r>
              <w:rPr>
                <w:rFonts w:hint="eastAsia"/>
              </w:rPr>
              <w:t>-</w:t>
            </w:r>
            <w:r>
              <w:rPr>
                <w:rFonts w:hint="eastAsia"/>
              </w:rPr>
              <w:t>铜桥港）水环境水安全综合治理工程</w:t>
            </w:r>
            <w:r>
              <w:rPr>
                <w:rFonts w:hint="eastAsia"/>
              </w:rPr>
              <w:t>、幸福河支流水生态环境综合治理工程、铜桥港湿地公园工程、</w:t>
            </w:r>
            <w:r>
              <w:rPr>
                <w:rFonts w:hint="eastAsia"/>
              </w:rPr>
              <w:t>配套城市道路前进路、酃白路工程运营期污染来源及对周边环境的影响如下表</w:t>
            </w:r>
            <w:r>
              <w:rPr>
                <w:rFonts w:hint="eastAsia"/>
              </w:rPr>
              <w:t>4</w:t>
            </w:r>
            <w:r>
              <w:rPr>
                <w:rFonts w:hint="eastAsia"/>
              </w:rPr>
              <w:t>.6-1</w:t>
            </w:r>
            <w:r>
              <w:rPr>
                <w:rFonts w:hint="eastAsia"/>
              </w:rPr>
              <w:t>。</w:t>
            </w:r>
          </w:p>
          <w:p w:rsidR="00BC07F0" w:rsidRDefault="00073EFB">
            <w:pPr>
              <w:pStyle w:val="a7"/>
              <w:rPr>
                <w:rFonts w:hint="default"/>
                <w:b/>
                <w:bCs/>
              </w:rPr>
            </w:pPr>
            <w:r>
              <w:rPr>
                <w:b/>
                <w:bCs/>
              </w:rPr>
              <w:t>表</w:t>
            </w:r>
            <w:r>
              <w:rPr>
                <w:b/>
                <w:bCs/>
              </w:rPr>
              <w:t>4</w:t>
            </w:r>
            <w:r>
              <w:rPr>
                <w:b/>
                <w:bCs/>
              </w:rPr>
              <w:t>.6-1</w:t>
            </w:r>
            <w:r>
              <w:rPr>
                <w:b/>
                <w:bCs/>
              </w:rPr>
              <w:t>运营</w:t>
            </w:r>
            <w:r>
              <w:rPr>
                <w:b/>
                <w:bCs/>
              </w:rPr>
              <w:t>期环境影响因素一览表</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0"/>
              <w:gridCol w:w="2576"/>
              <w:gridCol w:w="2670"/>
              <w:gridCol w:w="2656"/>
            </w:tblGrid>
            <w:tr w:rsidR="00BC07F0">
              <w:trPr>
                <w:trHeight w:val="397"/>
                <w:jc w:val="center"/>
              </w:trPr>
              <w:tc>
                <w:tcPr>
                  <w:tcW w:w="1100" w:type="dxa"/>
                  <w:vAlign w:val="center"/>
                </w:tcPr>
                <w:p w:rsidR="00BC07F0" w:rsidRDefault="00073EFB">
                  <w:pPr>
                    <w:pStyle w:val="a7"/>
                    <w:rPr>
                      <w:rFonts w:hint="default"/>
                    </w:rPr>
                  </w:pPr>
                  <w:r>
                    <w:t>环境要素</w:t>
                  </w:r>
                </w:p>
              </w:tc>
              <w:tc>
                <w:tcPr>
                  <w:tcW w:w="2576" w:type="dxa"/>
                  <w:vAlign w:val="center"/>
                </w:tcPr>
                <w:p w:rsidR="00BC07F0" w:rsidRDefault="00073EFB">
                  <w:pPr>
                    <w:pStyle w:val="a7"/>
                    <w:rPr>
                      <w:rFonts w:hint="default"/>
                    </w:rPr>
                  </w:pPr>
                  <w:r>
                    <w:t>影响因素</w:t>
                  </w:r>
                </w:p>
              </w:tc>
              <w:tc>
                <w:tcPr>
                  <w:tcW w:w="2670" w:type="dxa"/>
                  <w:vAlign w:val="center"/>
                </w:tcPr>
                <w:p w:rsidR="00BC07F0" w:rsidRDefault="00073EFB">
                  <w:pPr>
                    <w:pStyle w:val="a7"/>
                    <w:rPr>
                      <w:rFonts w:hint="default"/>
                    </w:rPr>
                  </w:pPr>
                  <w:r>
                    <w:t>产生污染物的工程</w:t>
                  </w:r>
                </w:p>
              </w:tc>
              <w:tc>
                <w:tcPr>
                  <w:tcW w:w="2656" w:type="dxa"/>
                  <w:vAlign w:val="center"/>
                </w:tcPr>
                <w:p w:rsidR="00BC07F0" w:rsidRDefault="00073EFB">
                  <w:pPr>
                    <w:pStyle w:val="a7"/>
                    <w:rPr>
                      <w:rFonts w:hint="default"/>
                    </w:rPr>
                  </w:pPr>
                  <w:r>
                    <w:t>污染来源</w:t>
                  </w:r>
                  <w:r>
                    <w:t>及</w:t>
                  </w:r>
                  <w:r>
                    <w:t>环境影响</w:t>
                  </w:r>
                </w:p>
              </w:tc>
            </w:tr>
            <w:tr w:rsidR="00BC07F0">
              <w:trPr>
                <w:trHeight w:val="397"/>
                <w:jc w:val="center"/>
              </w:trPr>
              <w:tc>
                <w:tcPr>
                  <w:tcW w:w="1100" w:type="dxa"/>
                  <w:vMerge w:val="restart"/>
                  <w:vAlign w:val="center"/>
                </w:tcPr>
                <w:p w:rsidR="00BC07F0" w:rsidRDefault="00073EFB">
                  <w:pPr>
                    <w:pStyle w:val="a7"/>
                    <w:rPr>
                      <w:rFonts w:hint="default"/>
                    </w:rPr>
                  </w:pPr>
                  <w:r>
                    <w:t>环境空气</w:t>
                  </w:r>
                </w:p>
              </w:tc>
              <w:tc>
                <w:tcPr>
                  <w:tcW w:w="2576" w:type="dxa"/>
                  <w:vAlign w:val="center"/>
                </w:tcPr>
                <w:p w:rsidR="00BC07F0" w:rsidRDefault="00073EFB">
                  <w:pPr>
                    <w:pStyle w:val="a7"/>
                    <w:rPr>
                      <w:rFonts w:hint="default"/>
                    </w:rPr>
                  </w:pPr>
                  <w:r>
                    <w:t>汽车尾气</w:t>
                  </w:r>
                </w:p>
              </w:tc>
              <w:tc>
                <w:tcPr>
                  <w:tcW w:w="2670" w:type="dxa"/>
                  <w:vAlign w:val="center"/>
                </w:tcPr>
                <w:p w:rsidR="00BC07F0" w:rsidRDefault="00073EFB">
                  <w:pPr>
                    <w:pStyle w:val="a7"/>
                    <w:rPr>
                      <w:rFonts w:hint="default"/>
                    </w:rPr>
                  </w:pPr>
                  <w:r>
                    <w:t>湘江南岸（衡阳港</w:t>
                  </w:r>
                  <w:r>
                    <w:t>-</w:t>
                  </w:r>
                  <w:r>
                    <w:t>铜桥港）水环境水安全综合治理工程、配套城市道路前进路、酃白路工程</w:t>
                  </w:r>
                </w:p>
              </w:tc>
              <w:tc>
                <w:tcPr>
                  <w:tcW w:w="2656" w:type="dxa"/>
                  <w:vAlign w:val="center"/>
                </w:tcPr>
                <w:p w:rsidR="00BC07F0" w:rsidRDefault="00073EFB">
                  <w:pPr>
                    <w:pStyle w:val="a7"/>
                    <w:rPr>
                      <w:rFonts w:hint="default"/>
                    </w:rPr>
                  </w:pPr>
                  <w:r>
                    <w:t>运营期对大气环境造成影响的污染源主要是汽车尾气，汽车尾气中含有的污染物为</w:t>
                  </w:r>
                  <w:r>
                    <w:t>NOx</w:t>
                  </w:r>
                  <w:r>
                    <w:t>、</w:t>
                  </w:r>
                  <w:r>
                    <w:t>CO</w:t>
                  </w:r>
                  <w:r>
                    <w:t>。</w:t>
                  </w:r>
                </w:p>
              </w:tc>
            </w:tr>
            <w:tr w:rsidR="00BC07F0">
              <w:trPr>
                <w:trHeight w:val="397"/>
                <w:jc w:val="center"/>
              </w:trPr>
              <w:tc>
                <w:tcPr>
                  <w:tcW w:w="1100" w:type="dxa"/>
                  <w:vMerge/>
                  <w:vAlign w:val="center"/>
                </w:tcPr>
                <w:p w:rsidR="00BC07F0" w:rsidRDefault="00BC07F0">
                  <w:pPr>
                    <w:pStyle w:val="a7"/>
                    <w:rPr>
                      <w:rFonts w:hint="default"/>
                    </w:rPr>
                  </w:pPr>
                </w:p>
              </w:tc>
              <w:tc>
                <w:tcPr>
                  <w:tcW w:w="2576" w:type="dxa"/>
                  <w:vAlign w:val="center"/>
                </w:tcPr>
                <w:p w:rsidR="00BC07F0" w:rsidRDefault="00073EFB">
                  <w:pPr>
                    <w:pStyle w:val="a7"/>
                    <w:rPr>
                      <w:rFonts w:hint="default"/>
                    </w:rPr>
                  </w:pPr>
                  <w:r>
                    <w:t>道路扬尘</w:t>
                  </w:r>
                </w:p>
              </w:tc>
              <w:tc>
                <w:tcPr>
                  <w:tcW w:w="2670" w:type="dxa"/>
                  <w:vAlign w:val="center"/>
                </w:tcPr>
                <w:p w:rsidR="00BC07F0" w:rsidRDefault="00073EFB">
                  <w:pPr>
                    <w:pStyle w:val="a7"/>
                    <w:rPr>
                      <w:rFonts w:hint="default"/>
                    </w:rPr>
                  </w:pPr>
                  <w:r>
                    <w:t>湘江南岸（衡阳港</w:t>
                  </w:r>
                  <w:r>
                    <w:t>-</w:t>
                  </w:r>
                  <w:r>
                    <w:t>铜桥港）水环境水安全综合治理工程、配套城市道路前进路、酃白路工程</w:t>
                  </w:r>
                </w:p>
              </w:tc>
              <w:tc>
                <w:tcPr>
                  <w:tcW w:w="2656" w:type="dxa"/>
                  <w:vAlign w:val="center"/>
                </w:tcPr>
                <w:p w:rsidR="00BC07F0" w:rsidRDefault="00073EFB">
                  <w:pPr>
                    <w:pStyle w:val="a7"/>
                    <w:rPr>
                      <w:rFonts w:hint="default"/>
                    </w:rPr>
                  </w:pPr>
                  <w:r>
                    <w:t>汽车在公路上</w:t>
                  </w:r>
                  <w:r>
                    <w:t>行驶</w:t>
                  </w:r>
                  <w:r>
                    <w:t>会使路面产生二次扬尘污染</w:t>
                  </w:r>
                </w:p>
              </w:tc>
            </w:tr>
            <w:tr w:rsidR="00BC07F0">
              <w:trPr>
                <w:trHeight w:val="397"/>
                <w:jc w:val="center"/>
              </w:trPr>
              <w:tc>
                <w:tcPr>
                  <w:tcW w:w="1100" w:type="dxa"/>
                  <w:vMerge w:val="restart"/>
                  <w:vAlign w:val="center"/>
                </w:tcPr>
                <w:p w:rsidR="00BC07F0" w:rsidRDefault="00073EFB">
                  <w:pPr>
                    <w:pStyle w:val="a7"/>
                    <w:rPr>
                      <w:rFonts w:hint="default"/>
                    </w:rPr>
                  </w:pPr>
                  <w:r>
                    <w:t>水环境</w:t>
                  </w:r>
                </w:p>
              </w:tc>
              <w:tc>
                <w:tcPr>
                  <w:tcW w:w="2576" w:type="dxa"/>
                  <w:vAlign w:val="center"/>
                </w:tcPr>
                <w:p w:rsidR="00BC07F0" w:rsidRDefault="00073EFB">
                  <w:pPr>
                    <w:pStyle w:val="a7"/>
                    <w:rPr>
                      <w:rFonts w:hint="default"/>
                    </w:rPr>
                  </w:pPr>
                  <w:r>
                    <w:t>路面径流</w:t>
                  </w:r>
                </w:p>
              </w:tc>
              <w:tc>
                <w:tcPr>
                  <w:tcW w:w="2670" w:type="dxa"/>
                  <w:vMerge w:val="restart"/>
                  <w:vAlign w:val="center"/>
                </w:tcPr>
                <w:p w:rsidR="00BC07F0" w:rsidRDefault="00073EFB">
                  <w:pPr>
                    <w:pStyle w:val="a7"/>
                    <w:rPr>
                      <w:rFonts w:hint="default"/>
                    </w:rPr>
                  </w:pPr>
                  <w:r>
                    <w:t>湘江南岸（衡阳港</w:t>
                  </w:r>
                  <w:r>
                    <w:t>-</w:t>
                  </w:r>
                  <w:r>
                    <w:t>铜桥港）水环境水安全综合治理工程、配套城市道路前进路、酃白路工程</w:t>
                  </w:r>
                </w:p>
              </w:tc>
              <w:tc>
                <w:tcPr>
                  <w:tcW w:w="2656" w:type="dxa"/>
                  <w:vMerge w:val="restart"/>
                  <w:vAlign w:val="center"/>
                </w:tcPr>
                <w:p w:rsidR="00BC07F0" w:rsidRDefault="00073EFB">
                  <w:pPr>
                    <w:pStyle w:val="a7"/>
                    <w:rPr>
                      <w:rFonts w:hint="default"/>
                    </w:rPr>
                  </w:pPr>
                  <w:r>
                    <w:t>工程</w:t>
                  </w:r>
                  <w:r>
                    <w:rPr>
                      <w:rFonts w:hint="default"/>
                    </w:rPr>
                    <w:t>运营期对附近水体产生的污染途径主要表现为路面径流</w:t>
                  </w:r>
                  <w:r>
                    <w:t>，路面径流量的大小与降雨强度有密切联系。</w:t>
                  </w:r>
                </w:p>
              </w:tc>
            </w:tr>
            <w:tr w:rsidR="00BC07F0">
              <w:trPr>
                <w:trHeight w:val="397"/>
                <w:jc w:val="center"/>
              </w:trPr>
              <w:tc>
                <w:tcPr>
                  <w:tcW w:w="1100" w:type="dxa"/>
                  <w:vMerge/>
                  <w:vAlign w:val="center"/>
                </w:tcPr>
                <w:p w:rsidR="00BC07F0" w:rsidRDefault="00BC07F0">
                  <w:pPr>
                    <w:pStyle w:val="a7"/>
                    <w:rPr>
                      <w:rFonts w:hint="default"/>
                    </w:rPr>
                  </w:pPr>
                </w:p>
              </w:tc>
              <w:tc>
                <w:tcPr>
                  <w:tcW w:w="2576" w:type="dxa"/>
                  <w:vAlign w:val="center"/>
                </w:tcPr>
                <w:p w:rsidR="00BC07F0" w:rsidRDefault="00073EFB">
                  <w:pPr>
                    <w:pStyle w:val="a7"/>
                    <w:rPr>
                      <w:rFonts w:hint="default"/>
                    </w:rPr>
                  </w:pPr>
                  <w:r>
                    <w:t>厕所冲水废水</w:t>
                  </w:r>
                </w:p>
              </w:tc>
              <w:tc>
                <w:tcPr>
                  <w:tcW w:w="2670" w:type="dxa"/>
                  <w:vMerge/>
                  <w:vAlign w:val="center"/>
                </w:tcPr>
                <w:p w:rsidR="00BC07F0" w:rsidRDefault="00BC07F0">
                  <w:pPr>
                    <w:pStyle w:val="a7"/>
                    <w:rPr>
                      <w:rFonts w:hint="default"/>
                    </w:rPr>
                  </w:pPr>
                </w:p>
              </w:tc>
              <w:tc>
                <w:tcPr>
                  <w:tcW w:w="2656" w:type="dxa"/>
                  <w:vMerge/>
                  <w:vAlign w:val="center"/>
                </w:tcPr>
                <w:p w:rsidR="00BC07F0" w:rsidRDefault="00BC07F0">
                  <w:pPr>
                    <w:pStyle w:val="a7"/>
                    <w:rPr>
                      <w:rFonts w:hint="default"/>
                    </w:rPr>
                  </w:pPr>
                </w:p>
              </w:tc>
            </w:tr>
            <w:tr w:rsidR="00BC07F0">
              <w:trPr>
                <w:trHeight w:val="397"/>
                <w:jc w:val="center"/>
              </w:trPr>
              <w:tc>
                <w:tcPr>
                  <w:tcW w:w="1100" w:type="dxa"/>
                  <w:vAlign w:val="center"/>
                </w:tcPr>
                <w:p w:rsidR="00BC07F0" w:rsidRDefault="00073EFB">
                  <w:pPr>
                    <w:pStyle w:val="a7"/>
                    <w:rPr>
                      <w:rFonts w:hint="default"/>
                    </w:rPr>
                  </w:pPr>
                  <w:r>
                    <w:t>声环境</w:t>
                  </w:r>
                </w:p>
              </w:tc>
              <w:tc>
                <w:tcPr>
                  <w:tcW w:w="2576" w:type="dxa"/>
                  <w:vAlign w:val="center"/>
                </w:tcPr>
                <w:p w:rsidR="00BC07F0" w:rsidRDefault="00073EFB">
                  <w:pPr>
                    <w:pStyle w:val="a7"/>
                    <w:rPr>
                      <w:rFonts w:hint="default"/>
                    </w:rPr>
                  </w:pPr>
                  <w:r>
                    <w:t>交通</w:t>
                  </w:r>
                  <w:r>
                    <w:t>噪声</w:t>
                  </w:r>
                </w:p>
              </w:tc>
              <w:tc>
                <w:tcPr>
                  <w:tcW w:w="2670" w:type="dxa"/>
                  <w:vAlign w:val="center"/>
                </w:tcPr>
                <w:p w:rsidR="00BC07F0" w:rsidRDefault="00073EFB">
                  <w:pPr>
                    <w:pStyle w:val="a7"/>
                    <w:rPr>
                      <w:rFonts w:hint="default"/>
                    </w:rPr>
                  </w:pPr>
                  <w:r>
                    <w:t>湘江南岸（衡阳港</w:t>
                  </w:r>
                  <w:r>
                    <w:t>-</w:t>
                  </w:r>
                  <w:r>
                    <w:t>铜桥港）水环境水安全综合治理工程、配套城市道路前进路、酃白路工程</w:t>
                  </w:r>
                </w:p>
              </w:tc>
              <w:tc>
                <w:tcPr>
                  <w:tcW w:w="2656" w:type="dxa"/>
                  <w:vAlign w:val="center"/>
                </w:tcPr>
                <w:p w:rsidR="00BC07F0" w:rsidRDefault="00073EFB">
                  <w:pPr>
                    <w:pStyle w:val="a7"/>
                    <w:rPr>
                      <w:rFonts w:hint="default"/>
                    </w:rPr>
                  </w:pPr>
                  <w:r>
                    <w:t>交通噪声跟车流量和车速有关</w:t>
                  </w:r>
                  <w:r>
                    <w:t>。</w:t>
                  </w:r>
                </w:p>
              </w:tc>
            </w:tr>
            <w:tr w:rsidR="00BC07F0">
              <w:trPr>
                <w:trHeight w:val="397"/>
                <w:jc w:val="center"/>
              </w:trPr>
              <w:tc>
                <w:tcPr>
                  <w:tcW w:w="1100" w:type="dxa"/>
                  <w:vAlign w:val="center"/>
                </w:tcPr>
                <w:p w:rsidR="00BC07F0" w:rsidRDefault="00073EFB">
                  <w:pPr>
                    <w:pStyle w:val="a7"/>
                    <w:rPr>
                      <w:rFonts w:hint="default"/>
                    </w:rPr>
                  </w:pPr>
                  <w:r>
                    <w:t>固体废物</w:t>
                  </w:r>
                </w:p>
              </w:tc>
              <w:tc>
                <w:tcPr>
                  <w:tcW w:w="2576" w:type="dxa"/>
                  <w:vAlign w:val="center"/>
                </w:tcPr>
                <w:p w:rsidR="00BC07F0" w:rsidRDefault="00073EFB">
                  <w:pPr>
                    <w:pStyle w:val="a7"/>
                    <w:rPr>
                      <w:rFonts w:hint="default"/>
                    </w:rPr>
                  </w:pPr>
                  <w:r>
                    <w:t>生活垃圾</w:t>
                  </w:r>
                </w:p>
              </w:tc>
              <w:tc>
                <w:tcPr>
                  <w:tcW w:w="2670" w:type="dxa"/>
                  <w:vAlign w:val="center"/>
                </w:tcPr>
                <w:p w:rsidR="00BC07F0" w:rsidRDefault="00073EFB">
                  <w:pPr>
                    <w:pStyle w:val="a7"/>
                    <w:rPr>
                      <w:rFonts w:hint="default"/>
                    </w:rPr>
                  </w:pPr>
                  <w:r>
                    <w:t>铜桥港湿地公园</w:t>
                  </w:r>
                  <w:r>
                    <w:t>工程、湘江</w:t>
                  </w:r>
                  <w:r>
                    <w:lastRenderedPageBreak/>
                    <w:t>南岸（衡阳港</w:t>
                  </w:r>
                  <w:r>
                    <w:t>-</w:t>
                  </w:r>
                  <w:r>
                    <w:t>铜桥港）水环境水安全综合治理工程、配套城市道路前进路、酃白路工程</w:t>
                  </w:r>
                </w:p>
              </w:tc>
              <w:tc>
                <w:tcPr>
                  <w:tcW w:w="2656" w:type="dxa"/>
                  <w:vAlign w:val="center"/>
                </w:tcPr>
                <w:p w:rsidR="00BC07F0" w:rsidRDefault="00073EFB">
                  <w:pPr>
                    <w:pStyle w:val="a7"/>
                    <w:rPr>
                      <w:rFonts w:hint="default"/>
                    </w:rPr>
                  </w:pPr>
                  <w:r>
                    <w:lastRenderedPageBreak/>
                    <w:t>铜桥港湿地公园</w:t>
                  </w:r>
                  <w:r>
                    <w:t>游客产生</w:t>
                  </w:r>
                  <w:r>
                    <w:lastRenderedPageBreak/>
                    <w:t>的生活垃圾、道路工程运输车辆散落的运载物、发生交通事故的车辆装载的货物、乘客丢弃的物品等。</w:t>
                  </w:r>
                </w:p>
              </w:tc>
            </w:tr>
            <w:tr w:rsidR="00BC07F0">
              <w:trPr>
                <w:trHeight w:val="397"/>
                <w:jc w:val="center"/>
              </w:trPr>
              <w:tc>
                <w:tcPr>
                  <w:tcW w:w="1100" w:type="dxa"/>
                  <w:vMerge w:val="restart"/>
                  <w:vAlign w:val="center"/>
                </w:tcPr>
                <w:p w:rsidR="00BC07F0" w:rsidRDefault="00073EFB">
                  <w:pPr>
                    <w:pStyle w:val="a7"/>
                    <w:rPr>
                      <w:rFonts w:hint="default"/>
                    </w:rPr>
                  </w:pPr>
                  <w:r>
                    <w:lastRenderedPageBreak/>
                    <w:t>生态环境</w:t>
                  </w:r>
                </w:p>
              </w:tc>
              <w:tc>
                <w:tcPr>
                  <w:tcW w:w="2576" w:type="dxa"/>
                  <w:vAlign w:val="center"/>
                </w:tcPr>
                <w:p w:rsidR="00BC07F0" w:rsidRDefault="00073EFB">
                  <w:pPr>
                    <w:pStyle w:val="a7"/>
                    <w:rPr>
                      <w:rFonts w:hint="default"/>
                    </w:rPr>
                  </w:pPr>
                  <w:r>
                    <w:t>对土地利用的影响</w:t>
                  </w:r>
                </w:p>
              </w:tc>
              <w:tc>
                <w:tcPr>
                  <w:tcW w:w="2670" w:type="dxa"/>
                  <w:vMerge w:val="restart"/>
                  <w:vAlign w:val="center"/>
                </w:tcPr>
                <w:p w:rsidR="00BC07F0" w:rsidRDefault="00073EFB">
                  <w:pPr>
                    <w:pStyle w:val="a7"/>
                    <w:rPr>
                      <w:rFonts w:hint="default"/>
                    </w:rPr>
                  </w:pPr>
                  <w:r>
                    <w:t>湘江南岸（衡阳港</w:t>
                  </w:r>
                  <w:r>
                    <w:t>-</w:t>
                  </w:r>
                  <w:r>
                    <w:t>铜桥港）水环境水安全综合治理工程、幸福河支流水生态环境综合治理工程、铜桥港湿地公园工程</w:t>
                  </w:r>
                </w:p>
              </w:tc>
              <w:tc>
                <w:tcPr>
                  <w:tcW w:w="2656" w:type="dxa"/>
                  <w:vMerge w:val="restart"/>
                  <w:vAlign w:val="center"/>
                </w:tcPr>
                <w:p w:rsidR="00BC07F0" w:rsidRDefault="00073EFB">
                  <w:pPr>
                    <w:pStyle w:val="a7"/>
                    <w:rPr>
                      <w:rFonts w:hint="default"/>
                    </w:rPr>
                  </w:pPr>
                  <w:r>
                    <w:t>详见工程分析</w:t>
                  </w:r>
                </w:p>
              </w:tc>
            </w:tr>
            <w:tr w:rsidR="00BC07F0">
              <w:trPr>
                <w:trHeight w:val="397"/>
                <w:jc w:val="center"/>
              </w:trPr>
              <w:tc>
                <w:tcPr>
                  <w:tcW w:w="1100" w:type="dxa"/>
                  <w:vMerge/>
                  <w:vAlign w:val="center"/>
                </w:tcPr>
                <w:p w:rsidR="00BC07F0" w:rsidRDefault="00BC07F0">
                  <w:pPr>
                    <w:pStyle w:val="a7"/>
                    <w:rPr>
                      <w:rFonts w:hint="default"/>
                    </w:rPr>
                  </w:pPr>
                </w:p>
              </w:tc>
              <w:tc>
                <w:tcPr>
                  <w:tcW w:w="2576" w:type="dxa"/>
                  <w:vAlign w:val="center"/>
                </w:tcPr>
                <w:p w:rsidR="00BC07F0" w:rsidRDefault="00073EFB">
                  <w:pPr>
                    <w:pStyle w:val="a7"/>
                    <w:rPr>
                      <w:rFonts w:hint="default"/>
                    </w:rPr>
                  </w:pPr>
                  <w:r>
                    <w:t>对水土流失和河床的影响</w:t>
                  </w:r>
                </w:p>
              </w:tc>
              <w:tc>
                <w:tcPr>
                  <w:tcW w:w="2670" w:type="dxa"/>
                  <w:vMerge/>
                  <w:vAlign w:val="center"/>
                </w:tcPr>
                <w:p w:rsidR="00BC07F0" w:rsidRDefault="00BC07F0">
                  <w:pPr>
                    <w:pStyle w:val="a7"/>
                    <w:rPr>
                      <w:rFonts w:hint="default"/>
                    </w:rPr>
                  </w:pPr>
                </w:p>
              </w:tc>
              <w:tc>
                <w:tcPr>
                  <w:tcW w:w="2656" w:type="dxa"/>
                  <w:vMerge/>
                  <w:vAlign w:val="center"/>
                </w:tcPr>
                <w:p w:rsidR="00BC07F0" w:rsidRDefault="00BC07F0">
                  <w:pPr>
                    <w:pStyle w:val="a7"/>
                    <w:rPr>
                      <w:rFonts w:hint="default"/>
                    </w:rPr>
                  </w:pPr>
                </w:p>
              </w:tc>
            </w:tr>
            <w:tr w:rsidR="00BC07F0">
              <w:trPr>
                <w:trHeight w:val="397"/>
                <w:jc w:val="center"/>
              </w:trPr>
              <w:tc>
                <w:tcPr>
                  <w:tcW w:w="1100" w:type="dxa"/>
                  <w:vMerge/>
                  <w:vAlign w:val="center"/>
                </w:tcPr>
                <w:p w:rsidR="00BC07F0" w:rsidRDefault="00BC07F0">
                  <w:pPr>
                    <w:pStyle w:val="a7"/>
                    <w:rPr>
                      <w:rFonts w:hint="default"/>
                    </w:rPr>
                  </w:pPr>
                </w:p>
              </w:tc>
              <w:tc>
                <w:tcPr>
                  <w:tcW w:w="2576" w:type="dxa"/>
                  <w:vAlign w:val="center"/>
                </w:tcPr>
                <w:p w:rsidR="00BC07F0" w:rsidRDefault="00073EFB">
                  <w:pPr>
                    <w:pStyle w:val="a7"/>
                    <w:rPr>
                      <w:rFonts w:hint="default"/>
                    </w:rPr>
                  </w:pPr>
                  <w:r>
                    <w:t>对陆生生态的影响</w:t>
                  </w:r>
                </w:p>
              </w:tc>
              <w:tc>
                <w:tcPr>
                  <w:tcW w:w="2670" w:type="dxa"/>
                  <w:vMerge/>
                  <w:vAlign w:val="center"/>
                </w:tcPr>
                <w:p w:rsidR="00BC07F0" w:rsidRDefault="00BC07F0">
                  <w:pPr>
                    <w:pStyle w:val="a7"/>
                    <w:rPr>
                      <w:rFonts w:hint="default"/>
                    </w:rPr>
                  </w:pPr>
                </w:p>
              </w:tc>
              <w:tc>
                <w:tcPr>
                  <w:tcW w:w="2656" w:type="dxa"/>
                  <w:vMerge/>
                  <w:vAlign w:val="center"/>
                </w:tcPr>
                <w:p w:rsidR="00BC07F0" w:rsidRDefault="00BC07F0">
                  <w:pPr>
                    <w:pStyle w:val="a7"/>
                    <w:rPr>
                      <w:rFonts w:hint="default"/>
                    </w:rPr>
                  </w:pPr>
                </w:p>
              </w:tc>
            </w:tr>
            <w:tr w:rsidR="00BC07F0">
              <w:trPr>
                <w:trHeight w:val="397"/>
                <w:jc w:val="center"/>
              </w:trPr>
              <w:tc>
                <w:tcPr>
                  <w:tcW w:w="1100" w:type="dxa"/>
                  <w:vMerge/>
                  <w:vAlign w:val="center"/>
                </w:tcPr>
                <w:p w:rsidR="00BC07F0" w:rsidRDefault="00BC07F0">
                  <w:pPr>
                    <w:pStyle w:val="a7"/>
                    <w:rPr>
                      <w:rFonts w:hint="default"/>
                    </w:rPr>
                  </w:pPr>
                </w:p>
              </w:tc>
              <w:tc>
                <w:tcPr>
                  <w:tcW w:w="2576" w:type="dxa"/>
                  <w:vAlign w:val="center"/>
                </w:tcPr>
                <w:p w:rsidR="00BC07F0" w:rsidRDefault="00073EFB">
                  <w:pPr>
                    <w:pStyle w:val="a7"/>
                    <w:rPr>
                      <w:rFonts w:hint="default"/>
                    </w:rPr>
                  </w:pPr>
                  <w:r>
                    <w:t>对湿地植物的影响</w:t>
                  </w:r>
                </w:p>
              </w:tc>
              <w:tc>
                <w:tcPr>
                  <w:tcW w:w="2670" w:type="dxa"/>
                  <w:vMerge/>
                  <w:vAlign w:val="center"/>
                </w:tcPr>
                <w:p w:rsidR="00BC07F0" w:rsidRDefault="00BC07F0">
                  <w:pPr>
                    <w:pStyle w:val="a7"/>
                    <w:rPr>
                      <w:rFonts w:hint="default"/>
                    </w:rPr>
                  </w:pPr>
                </w:p>
              </w:tc>
              <w:tc>
                <w:tcPr>
                  <w:tcW w:w="2656" w:type="dxa"/>
                  <w:vMerge/>
                  <w:vAlign w:val="center"/>
                </w:tcPr>
                <w:p w:rsidR="00BC07F0" w:rsidRDefault="00BC07F0">
                  <w:pPr>
                    <w:pStyle w:val="a7"/>
                    <w:rPr>
                      <w:rFonts w:hint="default"/>
                    </w:rPr>
                  </w:pPr>
                </w:p>
              </w:tc>
            </w:tr>
            <w:tr w:rsidR="00BC07F0">
              <w:trPr>
                <w:trHeight w:val="397"/>
                <w:jc w:val="center"/>
              </w:trPr>
              <w:tc>
                <w:tcPr>
                  <w:tcW w:w="1100" w:type="dxa"/>
                  <w:vMerge/>
                  <w:vAlign w:val="center"/>
                </w:tcPr>
                <w:p w:rsidR="00BC07F0" w:rsidRDefault="00BC07F0">
                  <w:pPr>
                    <w:pStyle w:val="a7"/>
                    <w:rPr>
                      <w:rFonts w:hint="default"/>
                    </w:rPr>
                  </w:pPr>
                </w:p>
              </w:tc>
              <w:tc>
                <w:tcPr>
                  <w:tcW w:w="2576" w:type="dxa"/>
                  <w:vAlign w:val="center"/>
                </w:tcPr>
                <w:p w:rsidR="00BC07F0" w:rsidRDefault="00073EFB">
                  <w:pPr>
                    <w:pStyle w:val="a7"/>
                    <w:rPr>
                      <w:rFonts w:hint="default"/>
                    </w:rPr>
                  </w:pPr>
                  <w:r>
                    <w:t>对浮游生物多样性的影响</w:t>
                  </w:r>
                </w:p>
              </w:tc>
              <w:tc>
                <w:tcPr>
                  <w:tcW w:w="2670" w:type="dxa"/>
                  <w:vMerge/>
                  <w:vAlign w:val="center"/>
                </w:tcPr>
                <w:p w:rsidR="00BC07F0" w:rsidRDefault="00BC07F0">
                  <w:pPr>
                    <w:pStyle w:val="a7"/>
                    <w:rPr>
                      <w:rFonts w:hint="default"/>
                    </w:rPr>
                  </w:pPr>
                </w:p>
              </w:tc>
              <w:tc>
                <w:tcPr>
                  <w:tcW w:w="2656" w:type="dxa"/>
                  <w:vMerge/>
                  <w:vAlign w:val="center"/>
                </w:tcPr>
                <w:p w:rsidR="00BC07F0" w:rsidRDefault="00BC07F0">
                  <w:pPr>
                    <w:pStyle w:val="a7"/>
                    <w:rPr>
                      <w:rFonts w:hint="default"/>
                    </w:rPr>
                  </w:pPr>
                </w:p>
              </w:tc>
            </w:tr>
            <w:tr w:rsidR="00BC07F0">
              <w:trPr>
                <w:trHeight w:val="397"/>
                <w:jc w:val="center"/>
              </w:trPr>
              <w:tc>
                <w:tcPr>
                  <w:tcW w:w="1100" w:type="dxa"/>
                  <w:vMerge/>
                  <w:vAlign w:val="center"/>
                </w:tcPr>
                <w:p w:rsidR="00BC07F0" w:rsidRDefault="00BC07F0">
                  <w:pPr>
                    <w:pStyle w:val="a7"/>
                    <w:rPr>
                      <w:rFonts w:hint="default"/>
                    </w:rPr>
                  </w:pPr>
                </w:p>
              </w:tc>
              <w:tc>
                <w:tcPr>
                  <w:tcW w:w="2576" w:type="dxa"/>
                  <w:vAlign w:val="center"/>
                </w:tcPr>
                <w:p w:rsidR="00BC07F0" w:rsidRDefault="00073EFB">
                  <w:pPr>
                    <w:pStyle w:val="a7"/>
                    <w:rPr>
                      <w:rFonts w:hint="default"/>
                    </w:rPr>
                  </w:pPr>
                  <w:r>
                    <w:t>对底栖生物多样性的影响</w:t>
                  </w:r>
                </w:p>
              </w:tc>
              <w:tc>
                <w:tcPr>
                  <w:tcW w:w="2670" w:type="dxa"/>
                  <w:vMerge/>
                  <w:vAlign w:val="center"/>
                </w:tcPr>
                <w:p w:rsidR="00BC07F0" w:rsidRDefault="00BC07F0">
                  <w:pPr>
                    <w:pStyle w:val="a7"/>
                    <w:rPr>
                      <w:rFonts w:hint="default"/>
                    </w:rPr>
                  </w:pPr>
                </w:p>
              </w:tc>
              <w:tc>
                <w:tcPr>
                  <w:tcW w:w="2656" w:type="dxa"/>
                  <w:vMerge/>
                  <w:vAlign w:val="center"/>
                </w:tcPr>
                <w:p w:rsidR="00BC07F0" w:rsidRDefault="00BC07F0">
                  <w:pPr>
                    <w:pStyle w:val="a7"/>
                    <w:rPr>
                      <w:rFonts w:hint="default"/>
                    </w:rPr>
                  </w:pPr>
                </w:p>
              </w:tc>
            </w:tr>
            <w:tr w:rsidR="00BC07F0">
              <w:trPr>
                <w:trHeight w:val="397"/>
                <w:jc w:val="center"/>
              </w:trPr>
              <w:tc>
                <w:tcPr>
                  <w:tcW w:w="1100" w:type="dxa"/>
                  <w:vMerge/>
                  <w:vAlign w:val="center"/>
                </w:tcPr>
                <w:p w:rsidR="00BC07F0" w:rsidRDefault="00BC07F0">
                  <w:pPr>
                    <w:pStyle w:val="a7"/>
                    <w:rPr>
                      <w:rFonts w:hint="default"/>
                    </w:rPr>
                  </w:pPr>
                </w:p>
              </w:tc>
              <w:tc>
                <w:tcPr>
                  <w:tcW w:w="2576" w:type="dxa"/>
                  <w:vAlign w:val="center"/>
                </w:tcPr>
                <w:p w:rsidR="00BC07F0" w:rsidRDefault="00073EFB">
                  <w:pPr>
                    <w:pStyle w:val="a7"/>
                    <w:rPr>
                      <w:rFonts w:hint="default"/>
                    </w:rPr>
                  </w:pPr>
                  <w:r>
                    <w:t>对鱼类多样性的影响</w:t>
                  </w:r>
                </w:p>
              </w:tc>
              <w:tc>
                <w:tcPr>
                  <w:tcW w:w="2670" w:type="dxa"/>
                  <w:vMerge/>
                  <w:vAlign w:val="center"/>
                </w:tcPr>
                <w:p w:rsidR="00BC07F0" w:rsidRDefault="00BC07F0">
                  <w:pPr>
                    <w:pStyle w:val="a7"/>
                    <w:rPr>
                      <w:rFonts w:hint="default"/>
                    </w:rPr>
                  </w:pPr>
                </w:p>
              </w:tc>
              <w:tc>
                <w:tcPr>
                  <w:tcW w:w="2656" w:type="dxa"/>
                  <w:vMerge/>
                  <w:vAlign w:val="center"/>
                </w:tcPr>
                <w:p w:rsidR="00BC07F0" w:rsidRDefault="00BC07F0">
                  <w:pPr>
                    <w:pStyle w:val="a7"/>
                    <w:rPr>
                      <w:rFonts w:hint="default"/>
                    </w:rPr>
                  </w:pPr>
                </w:p>
              </w:tc>
            </w:tr>
          </w:tbl>
          <w:p w:rsidR="00BC07F0" w:rsidRDefault="00073EFB" w:rsidP="00C55F5E">
            <w:pPr>
              <w:ind w:firstLine="482"/>
              <w:rPr>
                <w:b/>
                <w:bCs/>
              </w:rPr>
            </w:pPr>
            <w:r>
              <w:rPr>
                <w:rFonts w:hint="eastAsia"/>
                <w:b/>
                <w:bCs/>
              </w:rPr>
              <w:t>4.6</w:t>
            </w:r>
            <w:r>
              <w:rPr>
                <w:rFonts w:hint="eastAsia"/>
                <w:b/>
                <w:bCs/>
              </w:rPr>
              <w:t>运营期废气</w:t>
            </w:r>
          </w:p>
          <w:p w:rsidR="00BC07F0" w:rsidRDefault="00073EFB" w:rsidP="00C55F5E">
            <w:pPr>
              <w:ind w:firstLine="482"/>
              <w:rPr>
                <w:b/>
                <w:bCs/>
              </w:rPr>
            </w:pPr>
            <w:r>
              <w:rPr>
                <w:rFonts w:hint="eastAsia"/>
                <w:b/>
                <w:bCs/>
              </w:rPr>
              <w:t>4.6.1</w:t>
            </w:r>
            <w:r>
              <w:rPr>
                <w:rFonts w:hint="eastAsia"/>
                <w:b/>
                <w:bCs/>
              </w:rPr>
              <w:t>汽车尾气</w:t>
            </w:r>
          </w:p>
          <w:p w:rsidR="00BC07F0" w:rsidRDefault="00073EFB" w:rsidP="00C55F5E">
            <w:pPr>
              <w:ind w:firstLine="480"/>
            </w:pPr>
            <w:r>
              <w:rPr>
                <w:rFonts w:hint="eastAsia"/>
              </w:rPr>
              <w:t>运营期对大气环境造成影响的污染源主要是汽车尾气，汽车尾气中含有的污染物为</w:t>
            </w:r>
            <w:r>
              <w:rPr>
                <w:rFonts w:hint="eastAsia"/>
              </w:rPr>
              <w:t>NOx</w:t>
            </w:r>
            <w:r>
              <w:rPr>
                <w:rFonts w:hint="eastAsia"/>
              </w:rPr>
              <w:t>、</w:t>
            </w:r>
            <w:r>
              <w:rPr>
                <w:rFonts w:hint="eastAsia"/>
              </w:rPr>
              <w:t>CO</w:t>
            </w:r>
            <w:r>
              <w:rPr>
                <w:rFonts w:hint="eastAsia"/>
              </w:rPr>
              <w:t>。机动车在行驶时排放尾气，各类型机动车在不同行驶速度下的台架模试验表明，不同类型机动车的尾气污染物排放有不同的规律。本环评采用《公路建设项目环境影响评价规范》（</w:t>
            </w:r>
            <w:r>
              <w:rPr>
                <w:rFonts w:hint="eastAsia"/>
              </w:rPr>
              <w:t>JTG B03-2006</w:t>
            </w:r>
            <w:r>
              <w:rPr>
                <w:rFonts w:hint="eastAsia"/>
              </w:rPr>
              <w:t>）中推荐的机动车尾气污染物排放因子</w:t>
            </w:r>
          </w:p>
          <w:p w:rsidR="00BC07F0" w:rsidRDefault="00073EFB">
            <w:pPr>
              <w:pStyle w:val="a7"/>
              <w:rPr>
                <w:rFonts w:hint="default"/>
                <w:b/>
                <w:bCs/>
              </w:rPr>
            </w:pPr>
            <w:r>
              <w:rPr>
                <w:b/>
                <w:bCs/>
              </w:rPr>
              <w:t>表</w:t>
            </w:r>
            <w:r>
              <w:rPr>
                <w:b/>
                <w:bCs/>
              </w:rPr>
              <w:t>4.6-2</w:t>
            </w:r>
            <w:r>
              <w:rPr>
                <w:b/>
                <w:bCs/>
              </w:rPr>
              <w:t>车辆单车排放因子推荐值（</w:t>
            </w:r>
            <w:r>
              <w:rPr>
                <w:b/>
                <w:bCs/>
              </w:rPr>
              <w:t>mg/</w:t>
            </w:r>
            <w:r>
              <w:rPr>
                <w:b/>
                <w:bCs/>
              </w:rPr>
              <w:t>辆•</w:t>
            </w:r>
            <w:r>
              <w:rPr>
                <w:b/>
                <w:bCs/>
              </w:rPr>
              <w:t>m</w:t>
            </w:r>
            <w:r>
              <w:rPr>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9"/>
              <w:gridCol w:w="1144"/>
              <w:gridCol w:w="1140"/>
              <w:gridCol w:w="1140"/>
              <w:gridCol w:w="1138"/>
              <w:gridCol w:w="1138"/>
              <w:gridCol w:w="1138"/>
              <w:gridCol w:w="981"/>
            </w:tblGrid>
            <w:tr w:rsidR="00BC07F0">
              <w:trPr>
                <w:trHeight w:val="408"/>
              </w:trPr>
              <w:tc>
                <w:tcPr>
                  <w:tcW w:w="2166" w:type="dxa"/>
                  <w:gridSpan w:val="2"/>
                  <w:vAlign w:val="center"/>
                </w:tcPr>
                <w:p w:rsidR="00BC07F0" w:rsidRDefault="00073EFB">
                  <w:pPr>
                    <w:pStyle w:val="a7"/>
                    <w:rPr>
                      <w:rFonts w:hint="default"/>
                    </w:rPr>
                  </w:pPr>
                  <w:r>
                    <w:t>平均车速（</w:t>
                  </w:r>
                  <w:r>
                    <w:t>km/h</w:t>
                  </w:r>
                  <w:r>
                    <w:t>）</w:t>
                  </w:r>
                </w:p>
              </w:tc>
              <w:tc>
                <w:tcPr>
                  <w:tcW w:w="1020" w:type="dxa"/>
                  <w:vAlign w:val="center"/>
                </w:tcPr>
                <w:p w:rsidR="00BC07F0" w:rsidRDefault="00073EFB">
                  <w:pPr>
                    <w:pStyle w:val="a7"/>
                    <w:rPr>
                      <w:rFonts w:hint="default"/>
                    </w:rPr>
                  </w:pPr>
                  <w:r>
                    <w:t>50</w:t>
                  </w:r>
                </w:p>
              </w:tc>
              <w:tc>
                <w:tcPr>
                  <w:tcW w:w="1020" w:type="dxa"/>
                  <w:vAlign w:val="center"/>
                </w:tcPr>
                <w:p w:rsidR="00BC07F0" w:rsidRDefault="00073EFB">
                  <w:pPr>
                    <w:pStyle w:val="a7"/>
                    <w:rPr>
                      <w:rFonts w:hint="default"/>
                    </w:rPr>
                  </w:pPr>
                  <w:r>
                    <w:t>60</w:t>
                  </w:r>
                </w:p>
              </w:tc>
              <w:tc>
                <w:tcPr>
                  <w:tcW w:w="1018" w:type="dxa"/>
                  <w:vAlign w:val="center"/>
                </w:tcPr>
                <w:p w:rsidR="00BC07F0" w:rsidRDefault="00073EFB">
                  <w:pPr>
                    <w:pStyle w:val="a7"/>
                    <w:rPr>
                      <w:rFonts w:hint="default"/>
                    </w:rPr>
                  </w:pPr>
                  <w:r>
                    <w:t>70</w:t>
                  </w:r>
                </w:p>
              </w:tc>
              <w:tc>
                <w:tcPr>
                  <w:tcW w:w="1018" w:type="dxa"/>
                  <w:vAlign w:val="center"/>
                </w:tcPr>
                <w:p w:rsidR="00BC07F0" w:rsidRDefault="00073EFB">
                  <w:pPr>
                    <w:pStyle w:val="a7"/>
                    <w:rPr>
                      <w:rFonts w:hint="default"/>
                    </w:rPr>
                  </w:pPr>
                  <w:r>
                    <w:t>80</w:t>
                  </w:r>
                </w:p>
              </w:tc>
              <w:tc>
                <w:tcPr>
                  <w:tcW w:w="1018" w:type="dxa"/>
                  <w:vAlign w:val="center"/>
                </w:tcPr>
                <w:p w:rsidR="00BC07F0" w:rsidRDefault="00073EFB">
                  <w:pPr>
                    <w:pStyle w:val="a7"/>
                    <w:rPr>
                      <w:rFonts w:hint="default"/>
                    </w:rPr>
                  </w:pPr>
                  <w:r>
                    <w:t>90</w:t>
                  </w:r>
                </w:p>
              </w:tc>
              <w:tc>
                <w:tcPr>
                  <w:tcW w:w="877" w:type="dxa"/>
                  <w:vAlign w:val="center"/>
                </w:tcPr>
                <w:p w:rsidR="00BC07F0" w:rsidRDefault="00073EFB">
                  <w:pPr>
                    <w:pStyle w:val="a7"/>
                    <w:rPr>
                      <w:rFonts w:hint="default"/>
                    </w:rPr>
                  </w:pPr>
                  <w:r>
                    <w:t>100</w:t>
                  </w:r>
                </w:p>
              </w:tc>
            </w:tr>
            <w:tr w:rsidR="00BC07F0">
              <w:trPr>
                <w:trHeight w:val="408"/>
              </w:trPr>
              <w:tc>
                <w:tcPr>
                  <w:tcW w:w="1143" w:type="dxa"/>
                  <w:vMerge w:val="restart"/>
                  <w:vAlign w:val="center"/>
                </w:tcPr>
                <w:p w:rsidR="00BC07F0" w:rsidRDefault="00073EFB">
                  <w:pPr>
                    <w:pStyle w:val="a7"/>
                    <w:rPr>
                      <w:rFonts w:hint="default"/>
                    </w:rPr>
                  </w:pPr>
                  <w:r>
                    <w:t>小型车</w:t>
                  </w:r>
                </w:p>
              </w:tc>
              <w:tc>
                <w:tcPr>
                  <w:tcW w:w="1023" w:type="dxa"/>
                  <w:vAlign w:val="center"/>
                </w:tcPr>
                <w:p w:rsidR="00BC07F0" w:rsidRDefault="00073EFB">
                  <w:pPr>
                    <w:pStyle w:val="a7"/>
                    <w:rPr>
                      <w:rFonts w:hint="default"/>
                    </w:rPr>
                  </w:pPr>
                  <w:r>
                    <w:t>CO</w:t>
                  </w:r>
                </w:p>
              </w:tc>
              <w:tc>
                <w:tcPr>
                  <w:tcW w:w="1020" w:type="dxa"/>
                  <w:vAlign w:val="center"/>
                </w:tcPr>
                <w:p w:rsidR="00BC07F0" w:rsidRDefault="00073EFB">
                  <w:pPr>
                    <w:pStyle w:val="a7"/>
                    <w:rPr>
                      <w:rFonts w:hint="default"/>
                    </w:rPr>
                  </w:pPr>
                  <w:r>
                    <w:t>31.34</w:t>
                  </w:r>
                </w:p>
              </w:tc>
              <w:tc>
                <w:tcPr>
                  <w:tcW w:w="1020" w:type="dxa"/>
                  <w:vAlign w:val="center"/>
                </w:tcPr>
                <w:p w:rsidR="00BC07F0" w:rsidRDefault="00073EFB">
                  <w:pPr>
                    <w:pStyle w:val="a7"/>
                    <w:rPr>
                      <w:rFonts w:hint="default"/>
                    </w:rPr>
                  </w:pPr>
                  <w:r>
                    <w:t>23.68</w:t>
                  </w:r>
                </w:p>
              </w:tc>
              <w:tc>
                <w:tcPr>
                  <w:tcW w:w="1018" w:type="dxa"/>
                  <w:vAlign w:val="center"/>
                </w:tcPr>
                <w:p w:rsidR="00BC07F0" w:rsidRDefault="00073EFB">
                  <w:pPr>
                    <w:pStyle w:val="a7"/>
                    <w:rPr>
                      <w:rFonts w:hint="default"/>
                    </w:rPr>
                  </w:pPr>
                  <w:r>
                    <w:t>17.90</w:t>
                  </w:r>
                </w:p>
              </w:tc>
              <w:tc>
                <w:tcPr>
                  <w:tcW w:w="1018" w:type="dxa"/>
                  <w:vAlign w:val="center"/>
                </w:tcPr>
                <w:p w:rsidR="00BC07F0" w:rsidRDefault="00073EFB">
                  <w:pPr>
                    <w:pStyle w:val="a7"/>
                    <w:rPr>
                      <w:rFonts w:hint="default"/>
                    </w:rPr>
                  </w:pPr>
                  <w:r>
                    <w:t>14.76</w:t>
                  </w:r>
                </w:p>
              </w:tc>
              <w:tc>
                <w:tcPr>
                  <w:tcW w:w="1018" w:type="dxa"/>
                  <w:vAlign w:val="center"/>
                </w:tcPr>
                <w:p w:rsidR="00BC07F0" w:rsidRDefault="00073EFB">
                  <w:pPr>
                    <w:pStyle w:val="a7"/>
                    <w:rPr>
                      <w:rFonts w:hint="default"/>
                    </w:rPr>
                  </w:pPr>
                  <w:r>
                    <w:t>10.24</w:t>
                  </w:r>
                </w:p>
              </w:tc>
              <w:tc>
                <w:tcPr>
                  <w:tcW w:w="877" w:type="dxa"/>
                  <w:vAlign w:val="center"/>
                </w:tcPr>
                <w:p w:rsidR="00BC07F0" w:rsidRDefault="00073EFB">
                  <w:pPr>
                    <w:pStyle w:val="a7"/>
                    <w:rPr>
                      <w:rFonts w:hint="default"/>
                    </w:rPr>
                  </w:pPr>
                  <w:r>
                    <w:t>7.72</w:t>
                  </w:r>
                </w:p>
              </w:tc>
            </w:tr>
            <w:tr w:rsidR="00BC07F0">
              <w:trPr>
                <w:trHeight w:val="408"/>
              </w:trPr>
              <w:tc>
                <w:tcPr>
                  <w:tcW w:w="1143" w:type="dxa"/>
                  <w:vMerge/>
                  <w:vAlign w:val="center"/>
                </w:tcPr>
                <w:p w:rsidR="00BC07F0" w:rsidRDefault="00BC07F0">
                  <w:pPr>
                    <w:pStyle w:val="a7"/>
                    <w:rPr>
                      <w:rFonts w:hint="default"/>
                    </w:rPr>
                  </w:pPr>
                </w:p>
              </w:tc>
              <w:tc>
                <w:tcPr>
                  <w:tcW w:w="1023" w:type="dxa"/>
                  <w:vAlign w:val="center"/>
                </w:tcPr>
                <w:p w:rsidR="00BC07F0" w:rsidRDefault="00073EFB">
                  <w:pPr>
                    <w:pStyle w:val="a7"/>
                    <w:rPr>
                      <w:rFonts w:hint="default"/>
                    </w:rPr>
                  </w:pPr>
                  <w:r>
                    <w:t>NOX</w:t>
                  </w:r>
                </w:p>
              </w:tc>
              <w:tc>
                <w:tcPr>
                  <w:tcW w:w="1020" w:type="dxa"/>
                  <w:vAlign w:val="center"/>
                </w:tcPr>
                <w:p w:rsidR="00BC07F0" w:rsidRDefault="00073EFB">
                  <w:pPr>
                    <w:pStyle w:val="a7"/>
                    <w:rPr>
                      <w:rFonts w:hint="default"/>
                    </w:rPr>
                  </w:pPr>
                  <w:r>
                    <w:t>1.77</w:t>
                  </w:r>
                </w:p>
              </w:tc>
              <w:tc>
                <w:tcPr>
                  <w:tcW w:w="1020" w:type="dxa"/>
                  <w:vAlign w:val="center"/>
                </w:tcPr>
                <w:p w:rsidR="00BC07F0" w:rsidRDefault="00073EFB">
                  <w:pPr>
                    <w:pStyle w:val="a7"/>
                    <w:rPr>
                      <w:rFonts w:hint="default"/>
                    </w:rPr>
                  </w:pPr>
                  <w:r>
                    <w:t>2.37</w:t>
                  </w:r>
                </w:p>
              </w:tc>
              <w:tc>
                <w:tcPr>
                  <w:tcW w:w="1018" w:type="dxa"/>
                  <w:vAlign w:val="center"/>
                </w:tcPr>
                <w:p w:rsidR="00BC07F0" w:rsidRDefault="00073EFB">
                  <w:pPr>
                    <w:pStyle w:val="a7"/>
                    <w:rPr>
                      <w:rFonts w:hint="default"/>
                    </w:rPr>
                  </w:pPr>
                  <w:r>
                    <w:t>2.96</w:t>
                  </w:r>
                </w:p>
              </w:tc>
              <w:tc>
                <w:tcPr>
                  <w:tcW w:w="1018" w:type="dxa"/>
                  <w:vAlign w:val="center"/>
                </w:tcPr>
                <w:p w:rsidR="00BC07F0" w:rsidRDefault="00073EFB">
                  <w:pPr>
                    <w:pStyle w:val="a7"/>
                    <w:rPr>
                      <w:rFonts w:hint="default"/>
                    </w:rPr>
                  </w:pPr>
                  <w:r>
                    <w:t>3.71</w:t>
                  </w:r>
                </w:p>
              </w:tc>
              <w:tc>
                <w:tcPr>
                  <w:tcW w:w="1018" w:type="dxa"/>
                  <w:vAlign w:val="center"/>
                </w:tcPr>
                <w:p w:rsidR="00BC07F0" w:rsidRDefault="00073EFB">
                  <w:pPr>
                    <w:pStyle w:val="a7"/>
                    <w:rPr>
                      <w:rFonts w:hint="default"/>
                    </w:rPr>
                  </w:pPr>
                  <w:r>
                    <w:t>3.85</w:t>
                  </w:r>
                </w:p>
              </w:tc>
              <w:tc>
                <w:tcPr>
                  <w:tcW w:w="877" w:type="dxa"/>
                  <w:vAlign w:val="center"/>
                </w:tcPr>
                <w:p w:rsidR="00BC07F0" w:rsidRDefault="00073EFB">
                  <w:pPr>
                    <w:pStyle w:val="a7"/>
                    <w:rPr>
                      <w:rFonts w:hint="default"/>
                    </w:rPr>
                  </w:pPr>
                  <w:r>
                    <w:t>3.99</w:t>
                  </w:r>
                </w:p>
              </w:tc>
            </w:tr>
            <w:tr w:rsidR="00BC07F0">
              <w:trPr>
                <w:trHeight w:val="408"/>
              </w:trPr>
              <w:tc>
                <w:tcPr>
                  <w:tcW w:w="1143" w:type="dxa"/>
                  <w:vMerge w:val="restart"/>
                  <w:vAlign w:val="center"/>
                </w:tcPr>
                <w:p w:rsidR="00BC07F0" w:rsidRDefault="00073EFB">
                  <w:pPr>
                    <w:pStyle w:val="a7"/>
                    <w:rPr>
                      <w:rFonts w:hint="default"/>
                    </w:rPr>
                  </w:pPr>
                  <w:r>
                    <w:t>中型车</w:t>
                  </w:r>
                </w:p>
              </w:tc>
              <w:tc>
                <w:tcPr>
                  <w:tcW w:w="1023" w:type="dxa"/>
                  <w:vAlign w:val="center"/>
                </w:tcPr>
                <w:p w:rsidR="00BC07F0" w:rsidRDefault="00073EFB">
                  <w:pPr>
                    <w:pStyle w:val="a7"/>
                    <w:rPr>
                      <w:rFonts w:hint="default"/>
                    </w:rPr>
                  </w:pPr>
                  <w:r>
                    <w:t>CO</w:t>
                  </w:r>
                </w:p>
              </w:tc>
              <w:tc>
                <w:tcPr>
                  <w:tcW w:w="1020" w:type="dxa"/>
                  <w:vAlign w:val="center"/>
                </w:tcPr>
                <w:p w:rsidR="00BC07F0" w:rsidRDefault="00073EFB">
                  <w:pPr>
                    <w:pStyle w:val="a7"/>
                    <w:rPr>
                      <w:rFonts w:hint="default"/>
                    </w:rPr>
                  </w:pPr>
                  <w:r>
                    <w:t>30.18</w:t>
                  </w:r>
                </w:p>
              </w:tc>
              <w:tc>
                <w:tcPr>
                  <w:tcW w:w="1020" w:type="dxa"/>
                  <w:vAlign w:val="center"/>
                </w:tcPr>
                <w:p w:rsidR="00BC07F0" w:rsidRDefault="00073EFB">
                  <w:pPr>
                    <w:pStyle w:val="a7"/>
                    <w:rPr>
                      <w:rFonts w:hint="default"/>
                    </w:rPr>
                  </w:pPr>
                  <w:r>
                    <w:t>26.19</w:t>
                  </w:r>
                </w:p>
              </w:tc>
              <w:tc>
                <w:tcPr>
                  <w:tcW w:w="1018" w:type="dxa"/>
                  <w:vAlign w:val="center"/>
                </w:tcPr>
                <w:p w:rsidR="00BC07F0" w:rsidRDefault="00073EFB">
                  <w:pPr>
                    <w:pStyle w:val="a7"/>
                    <w:rPr>
                      <w:rFonts w:hint="default"/>
                    </w:rPr>
                  </w:pPr>
                  <w:r>
                    <w:t>24.76</w:t>
                  </w:r>
                </w:p>
              </w:tc>
              <w:tc>
                <w:tcPr>
                  <w:tcW w:w="1018" w:type="dxa"/>
                  <w:vAlign w:val="center"/>
                </w:tcPr>
                <w:p w:rsidR="00BC07F0" w:rsidRDefault="00073EFB">
                  <w:pPr>
                    <w:pStyle w:val="a7"/>
                    <w:rPr>
                      <w:rFonts w:hint="default"/>
                    </w:rPr>
                  </w:pPr>
                  <w:r>
                    <w:t>25.47</w:t>
                  </w:r>
                </w:p>
              </w:tc>
              <w:tc>
                <w:tcPr>
                  <w:tcW w:w="1018" w:type="dxa"/>
                  <w:vAlign w:val="center"/>
                </w:tcPr>
                <w:p w:rsidR="00BC07F0" w:rsidRDefault="00073EFB">
                  <w:pPr>
                    <w:pStyle w:val="a7"/>
                    <w:rPr>
                      <w:rFonts w:hint="default"/>
                    </w:rPr>
                  </w:pPr>
                  <w:r>
                    <w:t>28.55</w:t>
                  </w:r>
                </w:p>
              </w:tc>
              <w:tc>
                <w:tcPr>
                  <w:tcW w:w="877" w:type="dxa"/>
                  <w:vAlign w:val="center"/>
                </w:tcPr>
                <w:p w:rsidR="00BC07F0" w:rsidRDefault="00073EFB">
                  <w:pPr>
                    <w:pStyle w:val="a7"/>
                    <w:rPr>
                      <w:rFonts w:hint="default"/>
                    </w:rPr>
                  </w:pPr>
                  <w:r>
                    <w:t>34.78</w:t>
                  </w:r>
                </w:p>
              </w:tc>
            </w:tr>
            <w:tr w:rsidR="00BC07F0">
              <w:trPr>
                <w:trHeight w:val="408"/>
              </w:trPr>
              <w:tc>
                <w:tcPr>
                  <w:tcW w:w="1143" w:type="dxa"/>
                  <w:vMerge/>
                  <w:vAlign w:val="center"/>
                </w:tcPr>
                <w:p w:rsidR="00BC07F0" w:rsidRDefault="00BC07F0">
                  <w:pPr>
                    <w:pStyle w:val="a7"/>
                    <w:rPr>
                      <w:rFonts w:hint="default"/>
                    </w:rPr>
                  </w:pPr>
                </w:p>
              </w:tc>
              <w:tc>
                <w:tcPr>
                  <w:tcW w:w="1023" w:type="dxa"/>
                  <w:vAlign w:val="center"/>
                </w:tcPr>
                <w:p w:rsidR="00BC07F0" w:rsidRDefault="00073EFB">
                  <w:pPr>
                    <w:pStyle w:val="a7"/>
                    <w:rPr>
                      <w:rFonts w:hint="default"/>
                    </w:rPr>
                  </w:pPr>
                  <w:r>
                    <w:t>NOX</w:t>
                  </w:r>
                </w:p>
              </w:tc>
              <w:tc>
                <w:tcPr>
                  <w:tcW w:w="1020" w:type="dxa"/>
                  <w:vAlign w:val="center"/>
                </w:tcPr>
                <w:p w:rsidR="00BC07F0" w:rsidRDefault="00073EFB">
                  <w:pPr>
                    <w:pStyle w:val="a7"/>
                    <w:rPr>
                      <w:rFonts w:hint="default"/>
                    </w:rPr>
                  </w:pPr>
                  <w:r>
                    <w:t>5.40</w:t>
                  </w:r>
                </w:p>
              </w:tc>
              <w:tc>
                <w:tcPr>
                  <w:tcW w:w="1020" w:type="dxa"/>
                  <w:vAlign w:val="center"/>
                </w:tcPr>
                <w:p w:rsidR="00BC07F0" w:rsidRDefault="00073EFB">
                  <w:pPr>
                    <w:pStyle w:val="a7"/>
                    <w:rPr>
                      <w:rFonts w:hint="default"/>
                    </w:rPr>
                  </w:pPr>
                  <w:r>
                    <w:t>6.30</w:t>
                  </w:r>
                </w:p>
              </w:tc>
              <w:tc>
                <w:tcPr>
                  <w:tcW w:w="1018" w:type="dxa"/>
                  <w:vAlign w:val="center"/>
                </w:tcPr>
                <w:p w:rsidR="00BC07F0" w:rsidRDefault="00073EFB">
                  <w:pPr>
                    <w:pStyle w:val="a7"/>
                    <w:rPr>
                      <w:rFonts w:hint="default"/>
                    </w:rPr>
                  </w:pPr>
                  <w:r>
                    <w:t>7.20</w:t>
                  </w:r>
                </w:p>
              </w:tc>
              <w:tc>
                <w:tcPr>
                  <w:tcW w:w="1018" w:type="dxa"/>
                  <w:vAlign w:val="center"/>
                </w:tcPr>
                <w:p w:rsidR="00BC07F0" w:rsidRDefault="00073EFB">
                  <w:pPr>
                    <w:pStyle w:val="a7"/>
                    <w:rPr>
                      <w:rFonts w:hint="default"/>
                    </w:rPr>
                  </w:pPr>
                  <w:r>
                    <w:t>8.30</w:t>
                  </w:r>
                </w:p>
              </w:tc>
              <w:tc>
                <w:tcPr>
                  <w:tcW w:w="1018" w:type="dxa"/>
                  <w:vAlign w:val="center"/>
                </w:tcPr>
                <w:p w:rsidR="00BC07F0" w:rsidRDefault="00073EFB">
                  <w:pPr>
                    <w:pStyle w:val="a7"/>
                    <w:rPr>
                      <w:rFonts w:hint="default"/>
                    </w:rPr>
                  </w:pPr>
                  <w:r>
                    <w:t>8.80</w:t>
                  </w:r>
                </w:p>
              </w:tc>
              <w:tc>
                <w:tcPr>
                  <w:tcW w:w="877" w:type="dxa"/>
                  <w:vAlign w:val="center"/>
                </w:tcPr>
                <w:p w:rsidR="00BC07F0" w:rsidRDefault="00073EFB">
                  <w:pPr>
                    <w:pStyle w:val="a7"/>
                    <w:rPr>
                      <w:rFonts w:hint="default"/>
                    </w:rPr>
                  </w:pPr>
                  <w:r>
                    <w:t>9.30</w:t>
                  </w:r>
                </w:p>
              </w:tc>
            </w:tr>
            <w:tr w:rsidR="00BC07F0">
              <w:trPr>
                <w:trHeight w:val="408"/>
              </w:trPr>
              <w:tc>
                <w:tcPr>
                  <w:tcW w:w="1143" w:type="dxa"/>
                  <w:vMerge w:val="restart"/>
                  <w:vAlign w:val="center"/>
                </w:tcPr>
                <w:p w:rsidR="00BC07F0" w:rsidRDefault="00073EFB">
                  <w:pPr>
                    <w:pStyle w:val="a7"/>
                    <w:rPr>
                      <w:rFonts w:hint="default"/>
                    </w:rPr>
                  </w:pPr>
                  <w:r>
                    <w:t>大型车</w:t>
                  </w:r>
                </w:p>
              </w:tc>
              <w:tc>
                <w:tcPr>
                  <w:tcW w:w="1023" w:type="dxa"/>
                  <w:vAlign w:val="center"/>
                </w:tcPr>
                <w:p w:rsidR="00BC07F0" w:rsidRDefault="00073EFB">
                  <w:pPr>
                    <w:pStyle w:val="a7"/>
                    <w:rPr>
                      <w:rFonts w:hint="default"/>
                    </w:rPr>
                  </w:pPr>
                  <w:r>
                    <w:t>CO</w:t>
                  </w:r>
                </w:p>
              </w:tc>
              <w:tc>
                <w:tcPr>
                  <w:tcW w:w="1020" w:type="dxa"/>
                  <w:vAlign w:val="center"/>
                </w:tcPr>
                <w:p w:rsidR="00BC07F0" w:rsidRDefault="00073EFB">
                  <w:pPr>
                    <w:pStyle w:val="a7"/>
                    <w:rPr>
                      <w:rFonts w:hint="default"/>
                    </w:rPr>
                  </w:pPr>
                  <w:r>
                    <w:t>5.25</w:t>
                  </w:r>
                </w:p>
              </w:tc>
              <w:tc>
                <w:tcPr>
                  <w:tcW w:w="1020" w:type="dxa"/>
                  <w:vAlign w:val="center"/>
                </w:tcPr>
                <w:p w:rsidR="00BC07F0" w:rsidRDefault="00073EFB">
                  <w:pPr>
                    <w:pStyle w:val="a7"/>
                    <w:rPr>
                      <w:rFonts w:hint="default"/>
                    </w:rPr>
                  </w:pPr>
                  <w:r>
                    <w:t>4.48</w:t>
                  </w:r>
                </w:p>
              </w:tc>
              <w:tc>
                <w:tcPr>
                  <w:tcW w:w="1018" w:type="dxa"/>
                  <w:vAlign w:val="center"/>
                </w:tcPr>
                <w:p w:rsidR="00BC07F0" w:rsidRDefault="00073EFB">
                  <w:pPr>
                    <w:pStyle w:val="a7"/>
                    <w:rPr>
                      <w:rFonts w:hint="default"/>
                    </w:rPr>
                  </w:pPr>
                  <w:r>
                    <w:t>4.10</w:t>
                  </w:r>
                </w:p>
              </w:tc>
              <w:tc>
                <w:tcPr>
                  <w:tcW w:w="1018" w:type="dxa"/>
                  <w:vAlign w:val="center"/>
                </w:tcPr>
                <w:p w:rsidR="00BC07F0" w:rsidRDefault="00073EFB">
                  <w:pPr>
                    <w:pStyle w:val="a7"/>
                    <w:rPr>
                      <w:rFonts w:hint="default"/>
                    </w:rPr>
                  </w:pPr>
                  <w:r>
                    <w:t>4.01</w:t>
                  </w:r>
                </w:p>
              </w:tc>
              <w:tc>
                <w:tcPr>
                  <w:tcW w:w="1018" w:type="dxa"/>
                  <w:vAlign w:val="center"/>
                </w:tcPr>
                <w:p w:rsidR="00BC07F0" w:rsidRDefault="00073EFB">
                  <w:pPr>
                    <w:pStyle w:val="a7"/>
                    <w:rPr>
                      <w:rFonts w:hint="default"/>
                    </w:rPr>
                  </w:pPr>
                  <w:r>
                    <w:t>4.23</w:t>
                  </w:r>
                </w:p>
              </w:tc>
              <w:tc>
                <w:tcPr>
                  <w:tcW w:w="877" w:type="dxa"/>
                  <w:vAlign w:val="center"/>
                </w:tcPr>
                <w:p w:rsidR="00BC07F0" w:rsidRDefault="00073EFB">
                  <w:pPr>
                    <w:pStyle w:val="a7"/>
                    <w:rPr>
                      <w:rFonts w:hint="default"/>
                    </w:rPr>
                  </w:pPr>
                  <w:r>
                    <w:t>4.77</w:t>
                  </w:r>
                </w:p>
              </w:tc>
            </w:tr>
            <w:tr w:rsidR="00BC07F0">
              <w:trPr>
                <w:trHeight w:val="408"/>
              </w:trPr>
              <w:tc>
                <w:tcPr>
                  <w:tcW w:w="1143" w:type="dxa"/>
                  <w:vMerge/>
                  <w:vAlign w:val="center"/>
                </w:tcPr>
                <w:p w:rsidR="00BC07F0" w:rsidRDefault="00BC07F0">
                  <w:pPr>
                    <w:pStyle w:val="a7"/>
                    <w:rPr>
                      <w:rFonts w:hint="default"/>
                    </w:rPr>
                  </w:pPr>
                </w:p>
              </w:tc>
              <w:tc>
                <w:tcPr>
                  <w:tcW w:w="1023" w:type="dxa"/>
                  <w:vAlign w:val="center"/>
                </w:tcPr>
                <w:p w:rsidR="00BC07F0" w:rsidRDefault="00073EFB">
                  <w:pPr>
                    <w:pStyle w:val="a7"/>
                    <w:rPr>
                      <w:rFonts w:hint="default"/>
                    </w:rPr>
                  </w:pPr>
                  <w:r>
                    <w:t>NOX</w:t>
                  </w:r>
                </w:p>
              </w:tc>
              <w:tc>
                <w:tcPr>
                  <w:tcW w:w="1020" w:type="dxa"/>
                  <w:vAlign w:val="center"/>
                </w:tcPr>
                <w:p w:rsidR="00BC07F0" w:rsidRDefault="00073EFB">
                  <w:pPr>
                    <w:pStyle w:val="a7"/>
                    <w:rPr>
                      <w:rFonts w:hint="default"/>
                    </w:rPr>
                  </w:pPr>
                  <w:r>
                    <w:t>10.44</w:t>
                  </w:r>
                </w:p>
              </w:tc>
              <w:tc>
                <w:tcPr>
                  <w:tcW w:w="1020" w:type="dxa"/>
                  <w:vAlign w:val="center"/>
                </w:tcPr>
                <w:p w:rsidR="00BC07F0" w:rsidRDefault="00073EFB">
                  <w:pPr>
                    <w:pStyle w:val="a7"/>
                    <w:rPr>
                      <w:rFonts w:hint="default"/>
                    </w:rPr>
                  </w:pPr>
                  <w:r>
                    <w:t>10.48</w:t>
                  </w:r>
                </w:p>
              </w:tc>
              <w:tc>
                <w:tcPr>
                  <w:tcW w:w="1018" w:type="dxa"/>
                  <w:vAlign w:val="center"/>
                </w:tcPr>
                <w:p w:rsidR="00BC07F0" w:rsidRDefault="00073EFB">
                  <w:pPr>
                    <w:pStyle w:val="a7"/>
                    <w:rPr>
                      <w:rFonts w:hint="default"/>
                    </w:rPr>
                  </w:pPr>
                  <w:r>
                    <w:t>11.10</w:t>
                  </w:r>
                </w:p>
              </w:tc>
              <w:tc>
                <w:tcPr>
                  <w:tcW w:w="1018" w:type="dxa"/>
                  <w:vAlign w:val="center"/>
                </w:tcPr>
                <w:p w:rsidR="00BC07F0" w:rsidRDefault="00073EFB">
                  <w:pPr>
                    <w:pStyle w:val="a7"/>
                    <w:rPr>
                      <w:rFonts w:hint="default"/>
                    </w:rPr>
                  </w:pPr>
                  <w:r>
                    <w:t>14.71</w:t>
                  </w:r>
                </w:p>
              </w:tc>
              <w:tc>
                <w:tcPr>
                  <w:tcW w:w="1018" w:type="dxa"/>
                  <w:vAlign w:val="center"/>
                </w:tcPr>
                <w:p w:rsidR="00BC07F0" w:rsidRDefault="00073EFB">
                  <w:pPr>
                    <w:pStyle w:val="a7"/>
                    <w:rPr>
                      <w:rFonts w:hint="default"/>
                    </w:rPr>
                  </w:pPr>
                  <w:r>
                    <w:t>15.64</w:t>
                  </w:r>
                </w:p>
              </w:tc>
              <w:tc>
                <w:tcPr>
                  <w:tcW w:w="877" w:type="dxa"/>
                  <w:vAlign w:val="center"/>
                </w:tcPr>
                <w:p w:rsidR="00BC07F0" w:rsidRDefault="00073EFB">
                  <w:pPr>
                    <w:pStyle w:val="a7"/>
                    <w:rPr>
                      <w:rFonts w:hint="default"/>
                    </w:rPr>
                  </w:pPr>
                  <w:r>
                    <w:t>18.38</w:t>
                  </w:r>
                </w:p>
              </w:tc>
            </w:tr>
          </w:tbl>
          <w:p w:rsidR="00BC07F0" w:rsidRDefault="00073EFB">
            <w:pPr>
              <w:adjustRightInd w:val="0"/>
              <w:snapToGrid w:val="0"/>
              <w:ind w:firstLine="480"/>
            </w:pPr>
            <w:r>
              <w:rPr>
                <w:bCs/>
                <w:szCs w:val="21"/>
              </w:rPr>
              <w:t>由上表可见车辆行驶速度降低，同型号的单车所产生的污染物量越大，此外道路工程营运过程中车辆气体污染物中排放量还与交通量大小、车辆构成比例有关。据运营后交通车流量预测，计算机动车尾气污染物排放源强，</w:t>
            </w:r>
            <w:r>
              <w:rPr>
                <w:rFonts w:ascii="宋体" w:hAnsi="宋体" w:cs="宋体" w:hint="eastAsia"/>
                <w:bCs/>
                <w:szCs w:val="21"/>
              </w:rPr>
              <w:t>随着汽车尾气净化系统将得到进一步改进，运输车种构成比例将更为优化，逐步减少高能耗、高排污的车种比例，汽车尾气排放将大大降低，因此</w:t>
            </w:r>
            <w:r>
              <w:rPr>
                <w:rFonts w:ascii="宋体" w:hAnsi="宋体" w:cs="宋体" w:hint="eastAsia"/>
                <w:bCs/>
                <w:szCs w:val="21"/>
              </w:rPr>
              <w:t>，</w:t>
            </w:r>
            <w:r>
              <w:rPr>
                <w:rFonts w:ascii="宋体" w:hAnsi="宋体" w:cs="宋体" w:hint="eastAsia"/>
                <w:bCs/>
                <w:szCs w:val="21"/>
              </w:rPr>
              <w:t>项目汽车尾气对沿线两侧环境空气的影响范围将会缩小。</w:t>
            </w:r>
          </w:p>
          <w:p w:rsidR="00BC07F0" w:rsidRDefault="00073EFB" w:rsidP="00C55F5E">
            <w:pPr>
              <w:ind w:firstLine="482"/>
              <w:rPr>
                <w:b/>
                <w:bCs/>
              </w:rPr>
            </w:pPr>
            <w:r>
              <w:rPr>
                <w:rFonts w:hint="eastAsia"/>
                <w:b/>
                <w:bCs/>
              </w:rPr>
              <w:t>4.6.2</w:t>
            </w:r>
            <w:r>
              <w:rPr>
                <w:rFonts w:hint="eastAsia"/>
                <w:b/>
                <w:bCs/>
              </w:rPr>
              <w:t>道路扬尘</w:t>
            </w:r>
          </w:p>
          <w:p w:rsidR="00BC07F0" w:rsidRDefault="00073EFB" w:rsidP="00C55F5E">
            <w:pPr>
              <w:ind w:firstLine="480"/>
              <w:rPr>
                <w:b/>
                <w:bCs/>
              </w:rPr>
            </w:pPr>
            <w:r>
              <w:rPr>
                <w:rFonts w:hint="eastAsia"/>
              </w:rPr>
              <w:t>汽车在公路上形式会使路面产生二次扬尘污染，项目运营期应该加强对装载散装物资如砂石、水泥等车辆的检查与管理，要求运输物</w:t>
            </w:r>
            <w:r>
              <w:rPr>
                <w:rFonts w:hint="eastAsia"/>
              </w:rPr>
              <w:t>资需加盖篷布，同时定期对路面进行</w:t>
            </w:r>
            <w:r>
              <w:rPr>
                <w:rFonts w:hint="eastAsia"/>
              </w:rPr>
              <w:lastRenderedPageBreak/>
              <w:t>清扫，以减少扬尘对周围环境的影响。</w:t>
            </w:r>
          </w:p>
          <w:p w:rsidR="00BC07F0" w:rsidRDefault="00073EFB" w:rsidP="00C55F5E">
            <w:pPr>
              <w:ind w:firstLine="482"/>
              <w:rPr>
                <w:b/>
                <w:bCs/>
              </w:rPr>
            </w:pPr>
            <w:r>
              <w:rPr>
                <w:rFonts w:hint="eastAsia"/>
                <w:b/>
                <w:bCs/>
              </w:rPr>
              <w:t>4.7</w:t>
            </w:r>
            <w:r>
              <w:rPr>
                <w:rFonts w:hint="eastAsia"/>
                <w:b/>
                <w:bCs/>
              </w:rPr>
              <w:t>运营期废水</w:t>
            </w:r>
          </w:p>
          <w:p w:rsidR="00BC07F0" w:rsidRDefault="00073EFB" w:rsidP="00C55F5E">
            <w:pPr>
              <w:ind w:firstLine="482"/>
              <w:rPr>
                <w:b/>
                <w:bCs/>
              </w:rPr>
            </w:pPr>
            <w:r>
              <w:rPr>
                <w:rFonts w:hint="eastAsia"/>
                <w:b/>
                <w:bCs/>
              </w:rPr>
              <w:t>4.7.1</w:t>
            </w:r>
            <w:r>
              <w:rPr>
                <w:rFonts w:hint="eastAsia"/>
                <w:b/>
                <w:bCs/>
              </w:rPr>
              <w:t>路面径流</w:t>
            </w:r>
          </w:p>
          <w:p w:rsidR="00BC07F0" w:rsidRDefault="00073EFB" w:rsidP="00C55F5E">
            <w:pPr>
              <w:ind w:firstLine="480"/>
            </w:pPr>
            <w:r>
              <w:rPr>
                <w:rFonts w:hint="eastAsia"/>
              </w:rPr>
              <w:t>项目运营期对附近水体产生的污染途径主要表现为路面径流。</w:t>
            </w:r>
            <w:r>
              <w:rPr>
                <w:rFonts w:hint="eastAsia"/>
              </w:rPr>
              <w:t>，</w:t>
            </w:r>
            <w:r>
              <w:rPr>
                <w:rFonts w:hint="eastAsia"/>
              </w:rPr>
              <w:t>雨水量经路侧雨水管道排至资水。路面径流量的大小与降雨强度有密切联系，降雨对道路附近水体造成的影响主要是降雨初期</w:t>
            </w:r>
            <w:r>
              <w:rPr>
                <w:rFonts w:hint="eastAsia"/>
              </w:rPr>
              <w:t>1h</w:t>
            </w:r>
            <w:r>
              <w:rPr>
                <w:rFonts w:hint="eastAsia"/>
              </w:rPr>
              <w:t>内形成的路面径流。根据国家环保总局华南科研所对南方地区路面径流污染情况的研究，路面雨水污染物浓度变化情况见表</w:t>
            </w:r>
            <w:r>
              <w:rPr>
                <w:rFonts w:hint="eastAsia"/>
              </w:rPr>
              <w:t>4.7-1</w:t>
            </w:r>
            <w:r>
              <w:rPr>
                <w:rFonts w:hint="eastAsia"/>
              </w:rPr>
              <w:t>。</w:t>
            </w:r>
          </w:p>
          <w:p w:rsidR="00BC07F0" w:rsidRDefault="00073EFB">
            <w:pPr>
              <w:pStyle w:val="a7"/>
              <w:rPr>
                <w:rFonts w:hint="default"/>
                <w:b/>
                <w:bCs/>
              </w:rPr>
            </w:pPr>
            <w:r>
              <w:rPr>
                <w:b/>
                <w:bCs/>
              </w:rPr>
              <w:t>表</w:t>
            </w:r>
            <w:r>
              <w:rPr>
                <w:b/>
                <w:bCs/>
              </w:rPr>
              <w:t>4.7-1</w:t>
            </w:r>
            <w:r>
              <w:rPr>
                <w:b/>
                <w:bCs/>
              </w:rPr>
              <w:t>路面径流污染物浓度范围</w:t>
            </w:r>
            <w:r>
              <w:rPr>
                <w:b/>
                <w:bCs/>
              </w:rPr>
              <w:t xml:space="preserve">  </w:t>
            </w:r>
            <w:r>
              <w:rPr>
                <w:b/>
                <w:bCs/>
              </w:rPr>
              <w:t>单位：</w:t>
            </w:r>
            <w:r>
              <w:rPr>
                <w:b/>
                <w:bCs/>
              </w:rPr>
              <w:t>mg/L</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1801"/>
              <w:gridCol w:w="1801"/>
              <w:gridCol w:w="1979"/>
              <w:gridCol w:w="1624"/>
            </w:tblGrid>
            <w:tr w:rsidR="00BC07F0">
              <w:trPr>
                <w:trHeight w:val="397"/>
                <w:jc w:val="center"/>
              </w:trPr>
              <w:tc>
                <w:tcPr>
                  <w:tcW w:w="1801" w:type="dxa"/>
                  <w:vAlign w:val="center"/>
                </w:tcPr>
                <w:p w:rsidR="00BC07F0" w:rsidRDefault="00073EFB">
                  <w:pPr>
                    <w:pStyle w:val="a7"/>
                    <w:rPr>
                      <w:rFonts w:hint="default"/>
                    </w:rPr>
                  </w:pPr>
                  <w:r>
                    <w:t>项目</w:t>
                  </w:r>
                </w:p>
              </w:tc>
              <w:tc>
                <w:tcPr>
                  <w:tcW w:w="1801" w:type="dxa"/>
                  <w:vAlign w:val="center"/>
                </w:tcPr>
                <w:p w:rsidR="00BC07F0" w:rsidRDefault="00073EFB">
                  <w:pPr>
                    <w:pStyle w:val="a7"/>
                    <w:rPr>
                      <w:rFonts w:hint="default"/>
                    </w:rPr>
                  </w:pPr>
                  <w:r>
                    <w:t>5</w:t>
                  </w:r>
                  <w:r>
                    <w:t>~20</w:t>
                  </w:r>
                  <w:r>
                    <w:t>min</w:t>
                  </w:r>
                </w:p>
              </w:tc>
              <w:tc>
                <w:tcPr>
                  <w:tcW w:w="1801" w:type="dxa"/>
                  <w:vAlign w:val="center"/>
                </w:tcPr>
                <w:p w:rsidR="00BC07F0" w:rsidRDefault="00073EFB">
                  <w:pPr>
                    <w:pStyle w:val="a7"/>
                    <w:rPr>
                      <w:rFonts w:hint="default"/>
                    </w:rPr>
                  </w:pPr>
                  <w:r>
                    <w:t>20</w:t>
                  </w:r>
                  <w:r>
                    <w:t>~</w:t>
                  </w:r>
                  <w:r>
                    <w:t>40min</w:t>
                  </w:r>
                </w:p>
              </w:tc>
              <w:tc>
                <w:tcPr>
                  <w:tcW w:w="1979" w:type="dxa"/>
                  <w:vAlign w:val="center"/>
                </w:tcPr>
                <w:p w:rsidR="00BC07F0" w:rsidRDefault="00073EFB">
                  <w:pPr>
                    <w:pStyle w:val="a7"/>
                    <w:rPr>
                      <w:rFonts w:hint="default"/>
                    </w:rPr>
                  </w:pPr>
                  <w:r>
                    <w:t>40</w:t>
                  </w:r>
                  <w:r>
                    <w:t>~</w:t>
                  </w:r>
                  <w:r>
                    <w:t>60min</w:t>
                  </w:r>
                </w:p>
              </w:tc>
              <w:tc>
                <w:tcPr>
                  <w:tcW w:w="1625" w:type="dxa"/>
                  <w:vAlign w:val="center"/>
                </w:tcPr>
                <w:p w:rsidR="00BC07F0" w:rsidRDefault="00073EFB">
                  <w:pPr>
                    <w:pStyle w:val="a7"/>
                    <w:rPr>
                      <w:rFonts w:hint="default"/>
                    </w:rPr>
                  </w:pPr>
                  <w:r>
                    <w:t>平均值</w:t>
                  </w:r>
                </w:p>
              </w:tc>
            </w:tr>
            <w:tr w:rsidR="00BC07F0">
              <w:trPr>
                <w:trHeight w:val="397"/>
                <w:jc w:val="center"/>
              </w:trPr>
              <w:tc>
                <w:tcPr>
                  <w:tcW w:w="1801" w:type="dxa"/>
                  <w:vAlign w:val="center"/>
                </w:tcPr>
                <w:p w:rsidR="00BC07F0" w:rsidRDefault="00073EFB">
                  <w:pPr>
                    <w:pStyle w:val="a7"/>
                    <w:rPr>
                      <w:rFonts w:hint="default"/>
                    </w:rPr>
                  </w:pPr>
                  <w:r>
                    <w:t>SS</w:t>
                  </w:r>
                </w:p>
              </w:tc>
              <w:tc>
                <w:tcPr>
                  <w:tcW w:w="1801" w:type="dxa"/>
                  <w:vAlign w:val="center"/>
                </w:tcPr>
                <w:p w:rsidR="00BC07F0" w:rsidRDefault="00073EFB">
                  <w:pPr>
                    <w:pStyle w:val="a7"/>
                    <w:rPr>
                      <w:rFonts w:hint="default"/>
                    </w:rPr>
                  </w:pPr>
                  <w:r>
                    <w:t>231.42</w:t>
                  </w:r>
                  <w:r>
                    <w:t>~</w:t>
                  </w:r>
                  <w:r>
                    <w:t>158.22</w:t>
                  </w:r>
                </w:p>
              </w:tc>
              <w:tc>
                <w:tcPr>
                  <w:tcW w:w="1801" w:type="dxa"/>
                  <w:vAlign w:val="center"/>
                </w:tcPr>
                <w:p w:rsidR="00BC07F0" w:rsidRDefault="00073EFB">
                  <w:pPr>
                    <w:pStyle w:val="a7"/>
                    <w:rPr>
                      <w:rFonts w:hint="default"/>
                    </w:rPr>
                  </w:pPr>
                  <w:r>
                    <w:t>158.22</w:t>
                  </w:r>
                  <w:r>
                    <w:t>~</w:t>
                  </w:r>
                  <w:r>
                    <w:t>90.36</w:t>
                  </w:r>
                </w:p>
              </w:tc>
              <w:tc>
                <w:tcPr>
                  <w:tcW w:w="1979" w:type="dxa"/>
                  <w:vAlign w:val="center"/>
                </w:tcPr>
                <w:p w:rsidR="00BC07F0" w:rsidRDefault="00073EFB">
                  <w:pPr>
                    <w:pStyle w:val="a7"/>
                    <w:rPr>
                      <w:rFonts w:hint="default"/>
                    </w:rPr>
                  </w:pPr>
                  <w:r>
                    <w:t>90.36</w:t>
                  </w:r>
                  <w:r>
                    <w:t>~</w:t>
                  </w:r>
                  <w:r>
                    <w:t>18.71</w:t>
                  </w:r>
                </w:p>
              </w:tc>
              <w:tc>
                <w:tcPr>
                  <w:tcW w:w="1625" w:type="dxa"/>
                  <w:vAlign w:val="center"/>
                </w:tcPr>
                <w:p w:rsidR="00BC07F0" w:rsidRDefault="00073EFB">
                  <w:pPr>
                    <w:pStyle w:val="a7"/>
                    <w:rPr>
                      <w:rFonts w:hint="default"/>
                    </w:rPr>
                  </w:pPr>
                  <w:r>
                    <w:t>100</w:t>
                  </w:r>
                </w:p>
              </w:tc>
            </w:tr>
            <w:tr w:rsidR="00BC07F0">
              <w:trPr>
                <w:trHeight w:val="397"/>
                <w:jc w:val="center"/>
              </w:trPr>
              <w:tc>
                <w:tcPr>
                  <w:tcW w:w="1801" w:type="dxa"/>
                  <w:vAlign w:val="center"/>
                </w:tcPr>
                <w:p w:rsidR="00BC07F0" w:rsidRDefault="00073EFB">
                  <w:pPr>
                    <w:pStyle w:val="a7"/>
                    <w:rPr>
                      <w:rFonts w:hint="default"/>
                    </w:rPr>
                  </w:pPr>
                  <w:r>
                    <w:t>COD</w:t>
                  </w:r>
                </w:p>
              </w:tc>
              <w:tc>
                <w:tcPr>
                  <w:tcW w:w="1801" w:type="dxa"/>
                  <w:vAlign w:val="center"/>
                </w:tcPr>
                <w:p w:rsidR="00BC07F0" w:rsidRDefault="00073EFB">
                  <w:pPr>
                    <w:pStyle w:val="a7"/>
                    <w:rPr>
                      <w:rFonts w:hint="default"/>
                    </w:rPr>
                  </w:pPr>
                  <w:r>
                    <w:t>87~60</w:t>
                  </w:r>
                </w:p>
              </w:tc>
              <w:tc>
                <w:tcPr>
                  <w:tcW w:w="1801" w:type="dxa"/>
                  <w:vAlign w:val="center"/>
                </w:tcPr>
                <w:p w:rsidR="00BC07F0" w:rsidRDefault="00073EFB">
                  <w:pPr>
                    <w:pStyle w:val="a7"/>
                    <w:rPr>
                      <w:rFonts w:hint="default"/>
                    </w:rPr>
                  </w:pPr>
                  <w:r>
                    <w:t>60~22</w:t>
                  </w:r>
                </w:p>
              </w:tc>
              <w:tc>
                <w:tcPr>
                  <w:tcW w:w="1979" w:type="dxa"/>
                  <w:vAlign w:val="center"/>
                </w:tcPr>
                <w:p w:rsidR="00BC07F0" w:rsidRDefault="00073EFB">
                  <w:pPr>
                    <w:pStyle w:val="a7"/>
                    <w:rPr>
                      <w:rFonts w:hint="default"/>
                    </w:rPr>
                  </w:pPr>
                  <w:r>
                    <w:t>22~4.0</w:t>
                  </w:r>
                </w:p>
              </w:tc>
              <w:tc>
                <w:tcPr>
                  <w:tcW w:w="1625" w:type="dxa"/>
                  <w:vAlign w:val="center"/>
                </w:tcPr>
                <w:p w:rsidR="00BC07F0" w:rsidRDefault="00073EFB">
                  <w:pPr>
                    <w:pStyle w:val="a7"/>
                    <w:rPr>
                      <w:rFonts w:hint="default"/>
                    </w:rPr>
                  </w:pPr>
                  <w:r>
                    <w:t>45.5</w:t>
                  </w:r>
                </w:p>
              </w:tc>
            </w:tr>
            <w:tr w:rsidR="00BC07F0">
              <w:trPr>
                <w:trHeight w:val="397"/>
                <w:jc w:val="center"/>
              </w:trPr>
              <w:tc>
                <w:tcPr>
                  <w:tcW w:w="1801" w:type="dxa"/>
                  <w:vAlign w:val="center"/>
                </w:tcPr>
                <w:p w:rsidR="00BC07F0" w:rsidRDefault="00073EFB">
                  <w:pPr>
                    <w:pStyle w:val="a7"/>
                    <w:rPr>
                      <w:rFonts w:hint="default"/>
                    </w:rPr>
                  </w:pPr>
                  <w:r>
                    <w:t>石油类</w:t>
                  </w:r>
                </w:p>
              </w:tc>
              <w:tc>
                <w:tcPr>
                  <w:tcW w:w="1801" w:type="dxa"/>
                  <w:vAlign w:val="center"/>
                </w:tcPr>
                <w:p w:rsidR="00BC07F0" w:rsidRDefault="00073EFB">
                  <w:pPr>
                    <w:pStyle w:val="a7"/>
                    <w:rPr>
                      <w:rFonts w:hint="default"/>
                    </w:rPr>
                  </w:pPr>
                  <w:r>
                    <w:t>22.30</w:t>
                  </w:r>
                  <w:r>
                    <w:t>~</w:t>
                  </w:r>
                  <w:r>
                    <w:t>19.74</w:t>
                  </w:r>
                </w:p>
              </w:tc>
              <w:tc>
                <w:tcPr>
                  <w:tcW w:w="1801" w:type="dxa"/>
                  <w:vAlign w:val="center"/>
                </w:tcPr>
                <w:p w:rsidR="00BC07F0" w:rsidRDefault="00073EFB">
                  <w:pPr>
                    <w:pStyle w:val="a7"/>
                    <w:rPr>
                      <w:rFonts w:hint="default"/>
                    </w:rPr>
                  </w:pPr>
                  <w:r>
                    <w:t>19.74</w:t>
                  </w:r>
                  <w:r>
                    <w:t>~</w:t>
                  </w:r>
                  <w:r>
                    <w:t>3.12</w:t>
                  </w:r>
                </w:p>
              </w:tc>
              <w:tc>
                <w:tcPr>
                  <w:tcW w:w="1979" w:type="dxa"/>
                  <w:vAlign w:val="center"/>
                </w:tcPr>
                <w:p w:rsidR="00BC07F0" w:rsidRDefault="00073EFB">
                  <w:pPr>
                    <w:pStyle w:val="a7"/>
                    <w:rPr>
                      <w:rFonts w:hint="default"/>
                    </w:rPr>
                  </w:pPr>
                  <w:r>
                    <w:t>3.12</w:t>
                  </w:r>
                  <w:r>
                    <w:t>~</w:t>
                  </w:r>
                  <w:r>
                    <w:t>0.21</w:t>
                  </w:r>
                </w:p>
              </w:tc>
              <w:tc>
                <w:tcPr>
                  <w:tcW w:w="1625" w:type="dxa"/>
                  <w:vAlign w:val="center"/>
                </w:tcPr>
                <w:p w:rsidR="00BC07F0" w:rsidRDefault="00073EFB">
                  <w:pPr>
                    <w:pStyle w:val="a7"/>
                    <w:rPr>
                      <w:rFonts w:hint="default"/>
                    </w:rPr>
                  </w:pPr>
                  <w:r>
                    <w:t>11.25</w:t>
                  </w:r>
                </w:p>
              </w:tc>
            </w:tr>
          </w:tbl>
          <w:p w:rsidR="00BC07F0" w:rsidRDefault="00073EFB" w:rsidP="00C55F5E">
            <w:pPr>
              <w:ind w:firstLine="480"/>
            </w:pPr>
            <w:r>
              <w:rPr>
                <w:rFonts w:hint="eastAsia"/>
              </w:rPr>
              <w:t>由表表</w:t>
            </w:r>
            <w:r>
              <w:rPr>
                <w:rFonts w:hint="eastAsia"/>
              </w:rPr>
              <w:t>4.7-1</w:t>
            </w:r>
            <w:r>
              <w:rPr>
                <w:rFonts w:hint="eastAsia"/>
              </w:rPr>
              <w:t>可知，路面径流中污染物浓度大小经历由大变小的变化过程，路面径流在降雨开始到形成径流的</w:t>
            </w:r>
            <w:r>
              <w:rPr>
                <w:rFonts w:hint="eastAsia"/>
              </w:rPr>
              <w:t>20</w:t>
            </w:r>
            <w:r>
              <w:rPr>
                <w:rFonts w:hint="eastAsia"/>
              </w:rPr>
              <w:t>分钟内雨水中的悬浮物和石油类物质比较多，</w:t>
            </w:r>
            <w:r>
              <w:rPr>
                <w:rFonts w:hint="eastAsia"/>
              </w:rPr>
              <w:t>20</w:t>
            </w:r>
            <w:r>
              <w:rPr>
                <w:rFonts w:hint="eastAsia"/>
              </w:rPr>
              <w:t>分钟后，随着降雨时间的延长，污染物浓度逐渐下降，且下降速率较快。</w:t>
            </w:r>
          </w:p>
          <w:p w:rsidR="00BC07F0" w:rsidRDefault="00073EFB">
            <w:pPr>
              <w:pStyle w:val="a7"/>
              <w:rPr>
                <w:rFonts w:hint="default"/>
                <w:b/>
                <w:bCs/>
              </w:rPr>
            </w:pPr>
            <w:r>
              <w:rPr>
                <w:b/>
                <w:bCs/>
              </w:rPr>
              <w:t>表</w:t>
            </w:r>
            <w:r>
              <w:rPr>
                <w:b/>
                <w:bCs/>
              </w:rPr>
              <w:t>4.7-</w:t>
            </w:r>
            <w:r>
              <w:rPr>
                <w:b/>
                <w:bCs/>
              </w:rPr>
              <w:t xml:space="preserve">2 </w:t>
            </w:r>
            <w:r>
              <w:rPr>
                <w:b/>
                <w:bCs/>
              </w:rPr>
              <w:t>1h</w:t>
            </w:r>
            <w:r>
              <w:rPr>
                <w:b/>
                <w:bCs/>
              </w:rPr>
              <w:t>路面径流污染物产生量</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2"/>
              <w:gridCol w:w="2251"/>
              <w:gridCol w:w="2251"/>
              <w:gridCol w:w="2253"/>
            </w:tblGrid>
            <w:tr w:rsidR="00BC07F0">
              <w:trPr>
                <w:trHeight w:val="397"/>
                <w:jc w:val="center"/>
              </w:trPr>
              <w:tc>
                <w:tcPr>
                  <w:tcW w:w="2034" w:type="dxa"/>
                  <w:vAlign w:val="center"/>
                </w:tcPr>
                <w:p w:rsidR="00BC07F0" w:rsidRDefault="00073EFB">
                  <w:pPr>
                    <w:pStyle w:val="a7"/>
                    <w:rPr>
                      <w:rFonts w:hint="default"/>
                    </w:rPr>
                  </w:pPr>
                  <w:r>
                    <w:t>项目</w:t>
                  </w:r>
                </w:p>
              </w:tc>
              <w:tc>
                <w:tcPr>
                  <w:tcW w:w="2034" w:type="dxa"/>
                  <w:vAlign w:val="center"/>
                </w:tcPr>
                <w:p w:rsidR="00BC07F0" w:rsidRDefault="00073EFB">
                  <w:pPr>
                    <w:pStyle w:val="a7"/>
                    <w:rPr>
                      <w:rFonts w:hint="default"/>
                    </w:rPr>
                  </w:pPr>
                  <w:r>
                    <w:t>SS</w:t>
                  </w:r>
                </w:p>
              </w:tc>
              <w:tc>
                <w:tcPr>
                  <w:tcW w:w="2034" w:type="dxa"/>
                  <w:vAlign w:val="center"/>
                </w:tcPr>
                <w:p w:rsidR="00BC07F0" w:rsidRDefault="00073EFB">
                  <w:pPr>
                    <w:pStyle w:val="a7"/>
                    <w:rPr>
                      <w:rFonts w:hint="default"/>
                    </w:rPr>
                  </w:pPr>
                  <w:r>
                    <w:t>COD</w:t>
                  </w:r>
                </w:p>
              </w:tc>
              <w:tc>
                <w:tcPr>
                  <w:tcW w:w="2035" w:type="dxa"/>
                  <w:vAlign w:val="center"/>
                </w:tcPr>
                <w:p w:rsidR="00BC07F0" w:rsidRDefault="00073EFB">
                  <w:pPr>
                    <w:pStyle w:val="a7"/>
                    <w:rPr>
                      <w:rFonts w:hint="default"/>
                    </w:rPr>
                  </w:pPr>
                  <w:r>
                    <w:t>石油类</w:t>
                  </w:r>
                </w:p>
              </w:tc>
            </w:tr>
            <w:tr w:rsidR="00BC07F0">
              <w:trPr>
                <w:trHeight w:val="397"/>
                <w:jc w:val="center"/>
              </w:trPr>
              <w:tc>
                <w:tcPr>
                  <w:tcW w:w="2034" w:type="dxa"/>
                  <w:vAlign w:val="center"/>
                </w:tcPr>
                <w:p w:rsidR="00BC07F0" w:rsidRDefault="00073EFB">
                  <w:pPr>
                    <w:pStyle w:val="a7"/>
                    <w:rPr>
                      <w:rFonts w:hint="default"/>
                    </w:rPr>
                  </w:pPr>
                  <w:r>
                    <w:t>平均值（</w:t>
                  </w:r>
                  <w:r>
                    <w:t>mg/L</w:t>
                  </w:r>
                  <w:r>
                    <w:t>）</w:t>
                  </w:r>
                </w:p>
              </w:tc>
              <w:tc>
                <w:tcPr>
                  <w:tcW w:w="2034" w:type="dxa"/>
                  <w:vAlign w:val="center"/>
                </w:tcPr>
                <w:p w:rsidR="00BC07F0" w:rsidRDefault="00073EFB">
                  <w:pPr>
                    <w:pStyle w:val="a7"/>
                    <w:rPr>
                      <w:rFonts w:hint="default"/>
                    </w:rPr>
                  </w:pPr>
                  <w:r>
                    <w:t>100</w:t>
                  </w:r>
                </w:p>
              </w:tc>
              <w:tc>
                <w:tcPr>
                  <w:tcW w:w="2034" w:type="dxa"/>
                  <w:vAlign w:val="center"/>
                </w:tcPr>
                <w:p w:rsidR="00BC07F0" w:rsidRDefault="00073EFB">
                  <w:pPr>
                    <w:pStyle w:val="a7"/>
                    <w:rPr>
                      <w:rFonts w:hint="default"/>
                    </w:rPr>
                  </w:pPr>
                  <w:r>
                    <w:t>45.5</w:t>
                  </w:r>
                </w:p>
              </w:tc>
              <w:tc>
                <w:tcPr>
                  <w:tcW w:w="2035" w:type="dxa"/>
                  <w:vAlign w:val="center"/>
                </w:tcPr>
                <w:p w:rsidR="00BC07F0" w:rsidRDefault="00073EFB">
                  <w:pPr>
                    <w:pStyle w:val="a7"/>
                    <w:rPr>
                      <w:rFonts w:hint="default"/>
                    </w:rPr>
                  </w:pPr>
                  <w:r>
                    <w:t>11.25</w:t>
                  </w:r>
                </w:p>
              </w:tc>
            </w:tr>
            <w:tr w:rsidR="00BC07F0">
              <w:trPr>
                <w:trHeight w:val="397"/>
                <w:jc w:val="center"/>
              </w:trPr>
              <w:tc>
                <w:tcPr>
                  <w:tcW w:w="2034" w:type="dxa"/>
                  <w:vAlign w:val="center"/>
                </w:tcPr>
                <w:p w:rsidR="00BC07F0" w:rsidRDefault="00073EFB">
                  <w:pPr>
                    <w:pStyle w:val="a7"/>
                    <w:rPr>
                      <w:rFonts w:hint="default"/>
                    </w:rPr>
                  </w:pPr>
                  <w:r>
                    <w:t>年降雨量（</w:t>
                  </w:r>
                  <w:r>
                    <w:t>mm</w:t>
                  </w:r>
                  <w:r>
                    <w:t>）</w:t>
                  </w:r>
                </w:p>
              </w:tc>
              <w:tc>
                <w:tcPr>
                  <w:tcW w:w="6103" w:type="dxa"/>
                  <w:gridSpan w:val="3"/>
                  <w:vAlign w:val="center"/>
                </w:tcPr>
                <w:p w:rsidR="00BC07F0" w:rsidRDefault="00073EFB">
                  <w:pPr>
                    <w:pStyle w:val="a7"/>
                    <w:rPr>
                      <w:rFonts w:hint="default"/>
                    </w:rPr>
                  </w:pPr>
                  <w:r>
                    <w:t>1394.6</w:t>
                  </w:r>
                </w:p>
              </w:tc>
            </w:tr>
            <w:tr w:rsidR="00BC07F0">
              <w:trPr>
                <w:trHeight w:val="397"/>
                <w:jc w:val="center"/>
              </w:trPr>
              <w:tc>
                <w:tcPr>
                  <w:tcW w:w="2034" w:type="dxa"/>
                  <w:vAlign w:val="center"/>
                </w:tcPr>
                <w:p w:rsidR="00BC07F0" w:rsidRDefault="00073EFB">
                  <w:pPr>
                    <w:pStyle w:val="a7"/>
                    <w:rPr>
                      <w:rFonts w:hint="default"/>
                    </w:rPr>
                  </w:pPr>
                  <w:r>
                    <w:t>路面面积（</w:t>
                  </w:r>
                  <w:r>
                    <w:t>m</w:t>
                  </w:r>
                  <w:r>
                    <w:rPr>
                      <w:vertAlign w:val="superscript"/>
                    </w:rPr>
                    <w:t>2</w:t>
                  </w:r>
                  <w:r>
                    <w:t>）</w:t>
                  </w:r>
                </w:p>
              </w:tc>
              <w:tc>
                <w:tcPr>
                  <w:tcW w:w="6103" w:type="dxa"/>
                  <w:gridSpan w:val="3"/>
                  <w:vAlign w:val="center"/>
                </w:tcPr>
                <w:p w:rsidR="00BC07F0" w:rsidRDefault="00073EFB">
                  <w:pPr>
                    <w:pStyle w:val="a7"/>
                    <w:rPr>
                      <w:rFonts w:hint="default"/>
                    </w:rPr>
                  </w:pPr>
                  <w:r>
                    <w:t>20452.08</w:t>
                  </w:r>
                </w:p>
              </w:tc>
            </w:tr>
            <w:tr w:rsidR="00BC07F0">
              <w:trPr>
                <w:trHeight w:val="397"/>
                <w:jc w:val="center"/>
              </w:trPr>
              <w:tc>
                <w:tcPr>
                  <w:tcW w:w="2034" w:type="dxa"/>
                  <w:vAlign w:val="center"/>
                </w:tcPr>
                <w:p w:rsidR="00BC07F0" w:rsidRDefault="00073EFB">
                  <w:pPr>
                    <w:pStyle w:val="a7"/>
                    <w:rPr>
                      <w:rFonts w:hint="default"/>
                    </w:rPr>
                  </w:pPr>
                  <w:r>
                    <w:t>径流系数</w:t>
                  </w:r>
                </w:p>
              </w:tc>
              <w:tc>
                <w:tcPr>
                  <w:tcW w:w="6103" w:type="dxa"/>
                  <w:gridSpan w:val="3"/>
                  <w:vAlign w:val="center"/>
                </w:tcPr>
                <w:p w:rsidR="00BC07F0" w:rsidRDefault="00073EFB">
                  <w:pPr>
                    <w:pStyle w:val="a7"/>
                    <w:rPr>
                      <w:rFonts w:hint="default"/>
                    </w:rPr>
                  </w:pPr>
                  <w:r>
                    <w:t>0.9</w:t>
                  </w:r>
                </w:p>
              </w:tc>
            </w:tr>
            <w:tr w:rsidR="00BC07F0">
              <w:trPr>
                <w:trHeight w:val="397"/>
                <w:jc w:val="center"/>
              </w:trPr>
              <w:tc>
                <w:tcPr>
                  <w:tcW w:w="2034" w:type="dxa"/>
                  <w:vAlign w:val="center"/>
                </w:tcPr>
                <w:p w:rsidR="00BC07F0" w:rsidRDefault="00073EFB">
                  <w:pPr>
                    <w:pStyle w:val="a7"/>
                    <w:rPr>
                      <w:rFonts w:hint="default"/>
                    </w:rPr>
                  </w:pPr>
                  <w:r>
                    <w:t>径流总量（</w:t>
                  </w:r>
                  <w:r>
                    <w:t>m</w:t>
                  </w:r>
                  <w:r>
                    <w:rPr>
                      <w:vertAlign w:val="superscript"/>
                    </w:rPr>
                    <w:t>3</w:t>
                  </w:r>
                  <w:r>
                    <w:t>）</w:t>
                  </w:r>
                </w:p>
              </w:tc>
              <w:tc>
                <w:tcPr>
                  <w:tcW w:w="6103" w:type="dxa"/>
                  <w:gridSpan w:val="3"/>
                  <w:vAlign w:val="center"/>
                </w:tcPr>
                <w:p w:rsidR="00BC07F0" w:rsidRDefault="00073EFB">
                  <w:pPr>
                    <w:pStyle w:val="a7"/>
                    <w:rPr>
                      <w:rFonts w:hint="default"/>
                    </w:rPr>
                  </w:pPr>
                  <w:r>
                    <w:t>31588.11</w:t>
                  </w:r>
                </w:p>
              </w:tc>
            </w:tr>
            <w:tr w:rsidR="00BC07F0">
              <w:trPr>
                <w:trHeight w:val="397"/>
                <w:jc w:val="center"/>
              </w:trPr>
              <w:tc>
                <w:tcPr>
                  <w:tcW w:w="2034" w:type="dxa"/>
                  <w:vAlign w:val="center"/>
                </w:tcPr>
                <w:p w:rsidR="00BC07F0" w:rsidRDefault="00073EFB">
                  <w:pPr>
                    <w:pStyle w:val="a7"/>
                    <w:rPr>
                      <w:rFonts w:hint="default"/>
                    </w:rPr>
                  </w:pPr>
                  <w:r>
                    <w:t>年均产生量（</w:t>
                  </w:r>
                  <w:r>
                    <w:t>t/a</w:t>
                  </w:r>
                  <w:r>
                    <w:t>）</w:t>
                  </w:r>
                </w:p>
              </w:tc>
              <w:tc>
                <w:tcPr>
                  <w:tcW w:w="2034" w:type="dxa"/>
                  <w:vAlign w:val="center"/>
                </w:tcPr>
                <w:p w:rsidR="00BC07F0" w:rsidRDefault="00073EFB">
                  <w:pPr>
                    <w:pStyle w:val="a7"/>
                    <w:rPr>
                      <w:rFonts w:hint="default"/>
                    </w:rPr>
                  </w:pPr>
                  <w:r>
                    <w:t>3.159</w:t>
                  </w:r>
                </w:p>
              </w:tc>
              <w:tc>
                <w:tcPr>
                  <w:tcW w:w="2034" w:type="dxa"/>
                  <w:vAlign w:val="center"/>
                </w:tcPr>
                <w:p w:rsidR="00BC07F0" w:rsidRDefault="00073EFB">
                  <w:pPr>
                    <w:pStyle w:val="a7"/>
                    <w:rPr>
                      <w:rFonts w:hint="default"/>
                    </w:rPr>
                  </w:pPr>
                  <w:r>
                    <w:t>1.437</w:t>
                  </w:r>
                </w:p>
              </w:tc>
              <w:tc>
                <w:tcPr>
                  <w:tcW w:w="2035" w:type="dxa"/>
                  <w:vAlign w:val="center"/>
                </w:tcPr>
                <w:p w:rsidR="00BC07F0" w:rsidRDefault="00073EFB">
                  <w:pPr>
                    <w:pStyle w:val="a7"/>
                    <w:rPr>
                      <w:rFonts w:hint="default"/>
                    </w:rPr>
                  </w:pPr>
                  <w:r>
                    <w:t>0.355</w:t>
                  </w:r>
                </w:p>
              </w:tc>
            </w:tr>
          </w:tbl>
          <w:p w:rsidR="00BC07F0" w:rsidRDefault="00073EFB" w:rsidP="00C55F5E">
            <w:pPr>
              <w:ind w:firstLine="480"/>
            </w:pPr>
            <w:r>
              <w:rPr>
                <w:rFonts w:hint="eastAsia"/>
              </w:rPr>
              <w:t>为了防止含有大量的</w:t>
            </w:r>
            <w:r>
              <w:rPr>
                <w:rFonts w:hint="eastAsia"/>
              </w:rPr>
              <w:t>SS</w:t>
            </w:r>
            <w:r>
              <w:rPr>
                <w:rFonts w:hint="eastAsia"/>
              </w:rPr>
              <w:t>、石油类物质的路面径流污染沿线的附近水体，本项目设置完善的收集排水设施，并于工程同步建设，路面径流经道路两侧排水系统收集，使路面径流不直接外排，最大限度的减缓水污染影响。</w:t>
            </w:r>
          </w:p>
          <w:p w:rsidR="00BC07F0" w:rsidRDefault="00073EFB" w:rsidP="00C55F5E">
            <w:pPr>
              <w:ind w:firstLine="482"/>
              <w:rPr>
                <w:b/>
                <w:bCs/>
              </w:rPr>
            </w:pPr>
            <w:r>
              <w:rPr>
                <w:rFonts w:hint="eastAsia"/>
                <w:b/>
                <w:bCs/>
              </w:rPr>
              <w:t>4.7.2</w:t>
            </w:r>
            <w:r>
              <w:rPr>
                <w:rFonts w:hint="eastAsia"/>
                <w:b/>
                <w:bCs/>
              </w:rPr>
              <w:t>厕所冲水废水</w:t>
            </w:r>
          </w:p>
          <w:p w:rsidR="00BC07F0" w:rsidRDefault="00073EFB" w:rsidP="00C55F5E">
            <w:pPr>
              <w:ind w:firstLine="480"/>
            </w:pPr>
            <w:r>
              <w:rPr>
                <w:rFonts w:hint="eastAsia"/>
              </w:rPr>
              <w:t>铜桥港湿地公园</w:t>
            </w:r>
            <w:r>
              <w:rPr>
                <w:rFonts w:hint="eastAsia"/>
              </w:rPr>
              <w:t>不新建厕所，在现有厕所上进行装修改建，</w:t>
            </w:r>
            <w:r>
              <w:rPr>
                <w:rFonts w:hint="eastAsia"/>
              </w:rPr>
              <w:t>铜桥港湿地公园</w:t>
            </w:r>
            <w:r>
              <w:rPr>
                <w:rFonts w:hint="eastAsia"/>
              </w:rPr>
              <w:t>如厕人数最大流量以</w:t>
            </w:r>
            <w:r>
              <w:rPr>
                <w:rFonts w:hint="eastAsia"/>
              </w:rPr>
              <w:t>200</w:t>
            </w:r>
            <w:r>
              <w:rPr>
                <w:rFonts w:hint="eastAsia"/>
              </w:rPr>
              <w:t>人</w:t>
            </w:r>
            <w:r>
              <w:rPr>
                <w:rFonts w:hint="eastAsia"/>
              </w:rPr>
              <w:t>/d</w:t>
            </w:r>
            <w:r>
              <w:rPr>
                <w:rFonts w:hint="eastAsia"/>
              </w:rPr>
              <w:t>为计，每次用水量为</w:t>
            </w:r>
            <w:r>
              <w:rPr>
                <w:rFonts w:hint="eastAsia"/>
              </w:rPr>
              <w:t>4L</w:t>
            </w:r>
            <w:r>
              <w:rPr>
                <w:rFonts w:hint="eastAsia"/>
              </w:rPr>
              <w:t>，则每年产生的废水量为</w:t>
            </w:r>
            <w:r>
              <w:rPr>
                <w:rFonts w:hint="eastAsia"/>
              </w:rPr>
              <w:t>292t/a</w:t>
            </w:r>
            <w:r>
              <w:rPr>
                <w:rFonts w:hint="eastAsia"/>
              </w:rPr>
              <w:t>。废水经化粪池处理达《污水综合排放标准》（</w:t>
            </w:r>
            <w:r>
              <w:rPr>
                <w:rFonts w:hint="eastAsia"/>
              </w:rPr>
              <w:t>GB8978-1996</w:t>
            </w:r>
            <w:r>
              <w:rPr>
                <w:rFonts w:hint="eastAsia"/>
              </w:rPr>
              <w:t>）中三级标准后排入市政污水管网，后进入衡阳市铜桥港污水处理厂深度处理达《城镇污水处理厂污染物排放标准》（</w:t>
            </w:r>
            <w:r>
              <w:rPr>
                <w:rFonts w:hint="eastAsia"/>
              </w:rPr>
              <w:t>GB 18918-2002</w:t>
            </w:r>
            <w:r>
              <w:rPr>
                <w:rFonts w:hint="eastAsia"/>
              </w:rPr>
              <w:t>）一级</w:t>
            </w:r>
            <w:r>
              <w:rPr>
                <w:rFonts w:hint="eastAsia"/>
              </w:rPr>
              <w:t>A</w:t>
            </w:r>
            <w:r>
              <w:rPr>
                <w:rFonts w:hint="eastAsia"/>
              </w:rPr>
              <w:t>标后排入湘江。</w:t>
            </w:r>
          </w:p>
          <w:p w:rsidR="00BC07F0" w:rsidRDefault="00073EFB" w:rsidP="00C55F5E">
            <w:pPr>
              <w:ind w:firstLine="482"/>
              <w:rPr>
                <w:b/>
                <w:bCs/>
              </w:rPr>
            </w:pPr>
            <w:r>
              <w:rPr>
                <w:rFonts w:hint="eastAsia"/>
                <w:b/>
                <w:bCs/>
              </w:rPr>
              <w:lastRenderedPageBreak/>
              <w:t>4.8</w:t>
            </w:r>
            <w:r>
              <w:rPr>
                <w:rFonts w:hint="eastAsia"/>
                <w:b/>
                <w:bCs/>
              </w:rPr>
              <w:t>运营期噪声</w:t>
            </w:r>
          </w:p>
          <w:p w:rsidR="00BC07F0" w:rsidRDefault="00073EFB" w:rsidP="00C55F5E">
            <w:pPr>
              <w:ind w:firstLine="482"/>
              <w:rPr>
                <w:b/>
                <w:bCs/>
              </w:rPr>
            </w:pPr>
            <w:r>
              <w:rPr>
                <w:rFonts w:hint="eastAsia"/>
                <w:b/>
                <w:bCs/>
              </w:rPr>
              <w:t>4.8.1</w:t>
            </w:r>
            <w:r>
              <w:rPr>
                <w:rFonts w:hint="eastAsia"/>
                <w:b/>
                <w:bCs/>
              </w:rPr>
              <w:t>交通噪声</w:t>
            </w:r>
          </w:p>
          <w:p w:rsidR="00BC07F0" w:rsidRDefault="00073EFB" w:rsidP="00C55F5E">
            <w:pPr>
              <w:ind w:firstLine="480"/>
            </w:pPr>
            <w:r>
              <w:rPr>
                <w:rFonts w:hint="eastAsia"/>
              </w:rPr>
              <w:t>本项目</w:t>
            </w:r>
            <w:r>
              <w:rPr>
                <w:rFonts w:hint="eastAsia"/>
              </w:rPr>
              <w:t>道路工程</w:t>
            </w:r>
            <w:r>
              <w:rPr>
                <w:rFonts w:hint="eastAsia"/>
              </w:rPr>
              <w:t>两侧敏感点受沿线现状道路的交通噪声影响较大。</w:t>
            </w:r>
          </w:p>
          <w:p w:rsidR="00BC07F0" w:rsidRDefault="00073EFB" w:rsidP="00C55F5E">
            <w:pPr>
              <w:ind w:firstLine="482"/>
              <w:rPr>
                <w:b/>
                <w:bCs/>
              </w:rPr>
            </w:pPr>
            <w:r>
              <w:rPr>
                <w:rFonts w:hint="eastAsia"/>
                <w:b/>
                <w:bCs/>
              </w:rPr>
              <w:t>4.9</w:t>
            </w:r>
            <w:r>
              <w:rPr>
                <w:rFonts w:hint="eastAsia"/>
                <w:b/>
                <w:bCs/>
              </w:rPr>
              <w:t>固体废物</w:t>
            </w:r>
          </w:p>
          <w:p w:rsidR="00BC07F0" w:rsidRDefault="00073EFB" w:rsidP="00C55F5E">
            <w:pPr>
              <w:ind w:firstLine="482"/>
              <w:rPr>
                <w:b/>
                <w:bCs/>
              </w:rPr>
            </w:pPr>
            <w:r>
              <w:rPr>
                <w:rFonts w:hint="eastAsia"/>
                <w:b/>
                <w:bCs/>
              </w:rPr>
              <w:t>4.9.1</w:t>
            </w:r>
            <w:r>
              <w:rPr>
                <w:rFonts w:hint="eastAsia"/>
                <w:b/>
                <w:bCs/>
              </w:rPr>
              <w:t>生活垃圾</w:t>
            </w:r>
          </w:p>
          <w:p w:rsidR="00BC07F0" w:rsidRDefault="00073EFB" w:rsidP="00C55F5E">
            <w:pPr>
              <w:ind w:firstLine="480"/>
            </w:pPr>
            <w:r>
              <w:rPr>
                <w:rFonts w:hint="eastAsia"/>
              </w:rPr>
              <w:t>营运期的固体废弃物主要</w:t>
            </w:r>
            <w:r>
              <w:rPr>
                <w:rFonts w:hint="eastAsia"/>
              </w:rPr>
              <w:t>是铜桥港湿地公园游客产生的生活垃圾、道路工程运输车辆散落的运载物、发生交通事故的车辆装载的货物、乘客丢弃的物品等。</w:t>
            </w:r>
          </w:p>
          <w:p w:rsidR="00BC07F0" w:rsidRDefault="00073EFB" w:rsidP="00C55F5E">
            <w:pPr>
              <w:ind w:firstLine="480"/>
            </w:pPr>
            <w:r>
              <w:rPr>
                <w:rFonts w:hint="eastAsia"/>
              </w:rPr>
              <w:t>铜桥港湿地公园游客</w:t>
            </w:r>
            <w:r>
              <w:rPr>
                <w:rFonts w:hint="eastAsia"/>
              </w:rPr>
              <w:t>最大流量以</w:t>
            </w:r>
            <w:r>
              <w:rPr>
                <w:rFonts w:hint="eastAsia"/>
              </w:rPr>
              <w:t>600</w:t>
            </w:r>
            <w:r>
              <w:rPr>
                <w:rFonts w:hint="eastAsia"/>
              </w:rPr>
              <w:t>人</w:t>
            </w:r>
            <w:r>
              <w:rPr>
                <w:rFonts w:hint="eastAsia"/>
              </w:rPr>
              <w:t>/d</w:t>
            </w:r>
            <w:r>
              <w:rPr>
                <w:rFonts w:hint="eastAsia"/>
              </w:rPr>
              <w:t>为计，每人产生的垃圾量为</w:t>
            </w:r>
            <w:r>
              <w:rPr>
                <w:rFonts w:hint="eastAsia"/>
              </w:rPr>
              <w:t>0.5kg/d</w:t>
            </w:r>
            <w:r>
              <w:rPr>
                <w:rFonts w:hint="eastAsia"/>
              </w:rPr>
              <w:t>，则每年产生的垃圾量为</w:t>
            </w:r>
            <w:r>
              <w:rPr>
                <w:rFonts w:hint="eastAsia"/>
              </w:rPr>
              <w:t>109.5t/a</w:t>
            </w:r>
            <w:r>
              <w:rPr>
                <w:rFonts w:hint="eastAsia"/>
              </w:rPr>
              <w:t>。公园设置有分类垃圾桶，生活垃圾经分类收集后交由市政环卫部门处理。</w:t>
            </w:r>
          </w:p>
          <w:p w:rsidR="00BC07F0" w:rsidRDefault="00073EFB" w:rsidP="00C55F5E">
            <w:pPr>
              <w:ind w:firstLine="480"/>
            </w:pPr>
            <w:r>
              <w:rPr>
                <w:rFonts w:hint="eastAsia"/>
              </w:rPr>
              <w:t>道路工程</w:t>
            </w:r>
            <w:r>
              <w:rPr>
                <w:rFonts w:hint="eastAsia"/>
              </w:rPr>
              <w:t>运输车辆散落的运载物、发生交通事故的车辆装载的货物、乘客丢弃的物品等。由于道路建成后有养护工人对道路全线进行养护，在对道路进行养护的同时，也对沿线垃圾进行收集，清扫、集中处理。</w:t>
            </w:r>
          </w:p>
          <w:p w:rsidR="00BC07F0" w:rsidRDefault="00073EFB" w:rsidP="00C55F5E">
            <w:pPr>
              <w:ind w:firstLine="482"/>
              <w:rPr>
                <w:b/>
                <w:bCs/>
              </w:rPr>
            </w:pPr>
            <w:r>
              <w:rPr>
                <w:rFonts w:hint="eastAsia"/>
                <w:b/>
                <w:bCs/>
              </w:rPr>
              <w:t>4.10</w:t>
            </w:r>
            <w:r>
              <w:rPr>
                <w:rFonts w:hint="eastAsia"/>
                <w:b/>
                <w:bCs/>
              </w:rPr>
              <w:t>生态环境</w:t>
            </w:r>
          </w:p>
          <w:p w:rsidR="00BC07F0" w:rsidRDefault="00073EFB" w:rsidP="00C55F5E">
            <w:pPr>
              <w:ind w:firstLine="482"/>
              <w:rPr>
                <w:b/>
                <w:bCs/>
              </w:rPr>
            </w:pPr>
            <w:r>
              <w:rPr>
                <w:rFonts w:hint="eastAsia"/>
                <w:b/>
                <w:bCs/>
              </w:rPr>
              <w:t>4.10</w:t>
            </w:r>
            <w:r>
              <w:rPr>
                <w:rFonts w:hint="eastAsia"/>
                <w:b/>
                <w:bCs/>
              </w:rPr>
              <w:t>.1</w:t>
            </w:r>
            <w:r>
              <w:rPr>
                <w:rFonts w:hint="eastAsia"/>
                <w:b/>
                <w:bCs/>
              </w:rPr>
              <w:t>对土地利用的影响</w:t>
            </w:r>
          </w:p>
          <w:p w:rsidR="00BC07F0" w:rsidRDefault="00073EFB" w:rsidP="00C55F5E">
            <w:pPr>
              <w:ind w:firstLine="480"/>
            </w:pPr>
            <w:r>
              <w:rPr>
                <w:rFonts w:hint="eastAsia"/>
              </w:rPr>
              <w:t>本工程临时占地主要</w:t>
            </w:r>
            <w:r>
              <w:rPr>
                <w:rFonts w:hint="eastAsia"/>
              </w:rPr>
              <w:t>是各工程临时施工用地</w:t>
            </w:r>
            <w:r>
              <w:rPr>
                <w:rFonts w:hint="eastAsia"/>
              </w:rPr>
              <w:t>，</w:t>
            </w:r>
            <w:r>
              <w:rPr>
                <w:rFonts w:hint="eastAsia"/>
              </w:rPr>
              <w:t>临时占地的影响主要是施工期对地表植被的破坏及使用过程中地面硬化而使植被恢复困难。项目应在施工前剥离表土并妥善保存表层土，加强施工期的管理，严禁随意扩大占压面积；在施工结束后及时进行场地的清理和平整，并进行绿化，则临时占地范围内植被覆盖率将能够逐渐恢复。因此，项目临时占地的影响是短暂的。</w:t>
            </w:r>
          </w:p>
          <w:p w:rsidR="00BC07F0" w:rsidRDefault="00073EFB" w:rsidP="00C55F5E">
            <w:pPr>
              <w:ind w:firstLine="480"/>
            </w:pPr>
            <w:r>
              <w:rPr>
                <w:rFonts w:hint="eastAsia"/>
              </w:rPr>
              <w:t>堆场设计应该按照以下原则：避免选择在雨水汇集量大，</w:t>
            </w:r>
            <w:r>
              <w:rPr>
                <w:rFonts w:hint="eastAsia"/>
              </w:rPr>
              <w:t xml:space="preserve"> </w:t>
            </w:r>
            <w:r>
              <w:rPr>
                <w:rFonts w:hint="eastAsia"/>
              </w:rPr>
              <w:t>冲刷严重的地方；选择在荒山或荒地；在可能的情况下，选择在肚大口小，有利于布设拦渣工程的地型位置；施工场地范围内</w:t>
            </w:r>
            <w:r>
              <w:rPr>
                <w:rFonts w:hint="eastAsia"/>
              </w:rPr>
              <w:t>的低洼地区可作为堆放场，平整后可作为或扩大为施工场地；</w:t>
            </w:r>
          </w:p>
          <w:p w:rsidR="00BC07F0" w:rsidRDefault="00073EFB" w:rsidP="00C55F5E">
            <w:pPr>
              <w:ind w:firstLine="480"/>
            </w:pPr>
            <w:r>
              <w:rPr>
                <w:rFonts w:hint="eastAsia"/>
              </w:rPr>
              <w:t>项目</w:t>
            </w:r>
            <w:r>
              <w:rPr>
                <w:rFonts w:hint="eastAsia"/>
              </w:rPr>
              <w:t>各工程临时施工用地</w:t>
            </w:r>
            <w:r>
              <w:rPr>
                <w:rFonts w:hint="eastAsia"/>
              </w:rPr>
              <w:t>选址对当地生态环境及居民生产生活的干扰均较小，在做好污泥场的防洪、截排水、挡渣墙等防治措施的基础上污泥场选址可行。加强施工控制，严格按设计进行绿化防护，对工程占地内的耕地应尽量加以保护，使工程对植被的不利影响降至最低。施工结束后应考虑因地制宜，复垦成林地，减轻水土流失的影响。</w:t>
            </w:r>
          </w:p>
          <w:p w:rsidR="00BC07F0" w:rsidRDefault="00073EFB" w:rsidP="00C55F5E">
            <w:pPr>
              <w:ind w:firstLine="482"/>
              <w:rPr>
                <w:b/>
                <w:bCs/>
              </w:rPr>
            </w:pPr>
            <w:r>
              <w:rPr>
                <w:rFonts w:hint="eastAsia"/>
                <w:b/>
                <w:bCs/>
              </w:rPr>
              <w:t>4.10.2</w:t>
            </w:r>
            <w:r>
              <w:rPr>
                <w:rFonts w:hint="eastAsia"/>
                <w:b/>
                <w:bCs/>
              </w:rPr>
              <w:t>对水土流失和河床的影响</w:t>
            </w:r>
          </w:p>
          <w:p w:rsidR="00BC07F0" w:rsidRDefault="00073EFB" w:rsidP="00C55F5E">
            <w:pPr>
              <w:ind w:firstLine="480"/>
            </w:pPr>
            <w:r>
              <w:rPr>
                <w:rFonts w:hint="eastAsia"/>
              </w:rPr>
              <w:t>幸福河出历史遗留污泥结构松散，基本无安全隐患，工程河段周边附近区域有土体</w:t>
            </w:r>
            <w:r>
              <w:rPr>
                <w:rFonts w:hint="eastAsia"/>
              </w:rPr>
              <w:lastRenderedPageBreak/>
              <w:t>和岩体分布，其主特征是结构较松散，抗压强度低，工程地质性能较差。河道内历史遗留污泥靠近水体或埋藏于水体之下，结构松散，呈层状，未完成自重固结，有利于清障疏浚作业。工程河段岩土体工程地质条件属简单类型。清障疏浚采用</w:t>
            </w:r>
            <w:r>
              <w:rPr>
                <w:rFonts w:hint="eastAsia"/>
              </w:rPr>
              <w:t>挖机</w:t>
            </w:r>
            <w:r>
              <w:rPr>
                <w:rFonts w:hint="eastAsia"/>
              </w:rPr>
              <w:t>作业，对河床底板扰动少，岩土体地质条件对开采影响不大。据本次实地调查访问，河道内对以往历史遗留污泥进行清障活动未诱发地面塌陷和沉降地质灾害，本区的地形地貌不具有发生泥石流的条件，因此项目不会对河流底部物理结构造成破坏。历史遗</w:t>
            </w:r>
            <w:r>
              <w:rPr>
                <w:rFonts w:hint="eastAsia"/>
              </w:rPr>
              <w:t>留污泥的清障疏浚不会影响水位的变化，对弃于河中的淤泥，且大部分将随河水流往下游，一般不会堵塞河道。因此项目对水土流失和河道影响较小。</w:t>
            </w:r>
          </w:p>
          <w:p w:rsidR="00BC07F0" w:rsidRDefault="00073EFB" w:rsidP="00C55F5E">
            <w:pPr>
              <w:ind w:firstLine="482"/>
              <w:rPr>
                <w:b/>
                <w:bCs/>
              </w:rPr>
            </w:pPr>
            <w:r>
              <w:rPr>
                <w:rFonts w:hint="eastAsia"/>
                <w:b/>
                <w:bCs/>
              </w:rPr>
              <w:t>4.10.2</w:t>
            </w:r>
            <w:r>
              <w:rPr>
                <w:rFonts w:hint="eastAsia"/>
                <w:b/>
                <w:bCs/>
              </w:rPr>
              <w:t>对陆生生态的影响</w:t>
            </w:r>
          </w:p>
          <w:p w:rsidR="00BC07F0" w:rsidRDefault="00073EFB" w:rsidP="00C55F5E">
            <w:pPr>
              <w:ind w:firstLine="480"/>
            </w:pPr>
            <w:r>
              <w:rPr>
                <w:rFonts w:hint="eastAsia"/>
              </w:rPr>
              <w:t>工程运营对湿地生态系统、农林复合生态系统、生态系统植被及植物多样性无明显的影响。营运期生态环境影响是施工期影响的一种延续，主要表现为植被恢复期的影响。由于工程施工在原有工业用地上，没有临时占地，不存在生态环境逐步恢复的过程。工程实施过程中</w:t>
            </w:r>
            <w:r>
              <w:rPr>
                <w:rFonts w:hint="eastAsia"/>
              </w:rPr>
              <w:t>清淤</w:t>
            </w:r>
            <w:r>
              <w:rPr>
                <w:rFonts w:hint="eastAsia"/>
              </w:rPr>
              <w:t>疏浚等工程将使</w:t>
            </w:r>
            <w:r>
              <w:rPr>
                <w:rFonts w:hint="eastAsia"/>
              </w:rPr>
              <w:t>河段</w:t>
            </w:r>
            <w:r>
              <w:rPr>
                <w:rFonts w:hint="eastAsia"/>
              </w:rPr>
              <w:t>破坏，</w:t>
            </w:r>
            <w:r>
              <w:rPr>
                <w:rFonts w:hint="eastAsia"/>
              </w:rPr>
              <w:t>河流</w:t>
            </w:r>
            <w:r>
              <w:rPr>
                <w:rFonts w:hint="eastAsia"/>
              </w:rPr>
              <w:t>畅通之后改善水文过程，两栖、爬行动物的栖息环境将发生改变，一定程度上影响两栖、</w:t>
            </w:r>
            <w:r>
              <w:rPr>
                <w:rFonts w:hint="eastAsia"/>
              </w:rPr>
              <w:t>爬行动物的繁殖活动。</w:t>
            </w:r>
          </w:p>
          <w:p w:rsidR="00BC07F0" w:rsidRDefault="00073EFB" w:rsidP="00C55F5E">
            <w:pPr>
              <w:ind w:firstLine="480"/>
            </w:pPr>
            <w:r>
              <w:rPr>
                <w:rFonts w:hint="eastAsia"/>
              </w:rPr>
              <w:t>项目施工区沿岸鸟类动物种类较多，施工期间，施工噪声会对这些野生动物产生惊吓，施工占地也会侵占一些野生动物的栖息地，但由于动物都具有较强的移动能力，它们会迅速转移到较远的地方，工程对动物影响是暂时的。</w:t>
            </w:r>
          </w:p>
          <w:p w:rsidR="00BC07F0" w:rsidRDefault="00073EFB" w:rsidP="00C55F5E">
            <w:pPr>
              <w:ind w:firstLine="480"/>
            </w:pPr>
            <w:r>
              <w:rPr>
                <w:rFonts w:hint="eastAsia"/>
              </w:rPr>
              <w:t>项目施工过程产生的噪音污染和粉尘等会对兽类的生存和活动产生一定的负面影响，项目沿线人为活动较多，大型兽类较少，且无濒危物种，哺乳动物主要为田鼠、食虫类等常见小型兽类，它们适应能力较强，因此工程建设对兽类影响程度较小。</w:t>
            </w:r>
          </w:p>
          <w:p w:rsidR="00BC07F0" w:rsidRDefault="00073EFB" w:rsidP="00C55F5E">
            <w:pPr>
              <w:ind w:firstLine="482"/>
              <w:rPr>
                <w:b/>
                <w:bCs/>
              </w:rPr>
            </w:pPr>
            <w:r>
              <w:rPr>
                <w:rFonts w:hint="eastAsia"/>
                <w:b/>
                <w:bCs/>
              </w:rPr>
              <w:t>4.10.3</w:t>
            </w:r>
            <w:r>
              <w:rPr>
                <w:rFonts w:hint="eastAsia"/>
                <w:b/>
                <w:bCs/>
              </w:rPr>
              <w:t>对湿地植物的影响</w:t>
            </w:r>
          </w:p>
          <w:p w:rsidR="00BC07F0" w:rsidRDefault="00073EFB" w:rsidP="00C55F5E">
            <w:pPr>
              <w:ind w:firstLine="480"/>
            </w:pPr>
            <w:r>
              <w:rPr>
                <w:rFonts w:hint="eastAsia"/>
              </w:rPr>
              <w:t>项目运营期修筑的护岸挡土墙阻挡了水土流失，</w:t>
            </w:r>
            <w:r>
              <w:rPr>
                <w:rFonts w:hint="eastAsia"/>
              </w:rPr>
              <w:t>但也造成了河流中的水无法供给给河岸上的植物，会影响河岸湿地植物，因此对植物会造成一些影响。污泥清理将会创造合适的沉水植物生长的生态环境，例如消除河道遮盖物，增加光照的通透性，有利于增沉水植物的生长，是有利的影响。</w:t>
            </w:r>
          </w:p>
          <w:p w:rsidR="00BC07F0" w:rsidRDefault="00073EFB" w:rsidP="00C55F5E">
            <w:pPr>
              <w:ind w:firstLine="482"/>
              <w:rPr>
                <w:b/>
                <w:bCs/>
              </w:rPr>
            </w:pPr>
            <w:r>
              <w:rPr>
                <w:rFonts w:hint="eastAsia"/>
                <w:b/>
                <w:bCs/>
              </w:rPr>
              <w:t>4.10.4</w:t>
            </w:r>
            <w:r>
              <w:rPr>
                <w:rFonts w:hint="eastAsia"/>
                <w:b/>
                <w:bCs/>
              </w:rPr>
              <w:t>对浮游生物多样性的影响</w:t>
            </w:r>
          </w:p>
          <w:p w:rsidR="00BC07F0" w:rsidRDefault="00073EFB" w:rsidP="00C55F5E">
            <w:pPr>
              <w:ind w:firstLine="480"/>
            </w:pPr>
            <w:r>
              <w:rPr>
                <w:rFonts w:hint="eastAsia"/>
              </w:rPr>
              <w:t>施工工程施工生产生活污废水排放对区域水质下降，对浮游生物的生境产生影响；机械的搅动会引起底沙悬扬，在转移污泥清理物时，洒落的泥沙也会造成局部水域的浑浊，这会导致河底沉积污染物的释放，比例氨和磷化物，致使水质“肥化”，这会导致</w:t>
            </w:r>
            <w:r>
              <w:rPr>
                <w:rFonts w:hint="eastAsia"/>
              </w:rPr>
              <w:lastRenderedPageBreak/>
              <w:t>部分浮游生物、藻类的大量增生，对浮游生</w:t>
            </w:r>
            <w:r>
              <w:rPr>
                <w:rFonts w:hint="eastAsia"/>
              </w:rPr>
              <w:t>物的多样性产生一定影响。运营期间河道污泥清理加速了流域水流扩散速度，加速了流域污染物稀释，有利于浮游生物的多样性提高。</w:t>
            </w:r>
          </w:p>
          <w:p w:rsidR="00BC07F0" w:rsidRDefault="00073EFB" w:rsidP="00C55F5E">
            <w:pPr>
              <w:ind w:firstLine="482"/>
              <w:rPr>
                <w:b/>
                <w:bCs/>
              </w:rPr>
            </w:pPr>
            <w:r>
              <w:rPr>
                <w:rFonts w:hint="eastAsia"/>
                <w:b/>
                <w:bCs/>
              </w:rPr>
              <w:t>4.10.5</w:t>
            </w:r>
            <w:r>
              <w:rPr>
                <w:rFonts w:hint="eastAsia"/>
                <w:b/>
                <w:bCs/>
              </w:rPr>
              <w:t>对底栖生物多样性的影响</w:t>
            </w:r>
          </w:p>
          <w:p w:rsidR="00BC07F0" w:rsidRDefault="00073EFB" w:rsidP="00C55F5E">
            <w:pPr>
              <w:ind w:firstLine="480"/>
            </w:pPr>
            <w:r>
              <w:rPr>
                <w:rFonts w:hint="eastAsia"/>
              </w:rPr>
              <w:t>底栖生态系统迅速恢复，达到新的平衡状态，底栖生物多样性也将得到恢复，污泥清理将会导致底栖生物河底生境面积的扩大和水流环境的改良，有利于底栖生物的多样性增加。</w:t>
            </w:r>
          </w:p>
          <w:p w:rsidR="00BC07F0" w:rsidRDefault="00073EFB" w:rsidP="00C55F5E">
            <w:pPr>
              <w:ind w:firstLine="482"/>
              <w:rPr>
                <w:b/>
                <w:bCs/>
              </w:rPr>
            </w:pPr>
            <w:r>
              <w:rPr>
                <w:rFonts w:hint="eastAsia"/>
                <w:b/>
                <w:bCs/>
              </w:rPr>
              <w:t>4.10.7</w:t>
            </w:r>
            <w:r>
              <w:rPr>
                <w:rFonts w:hint="eastAsia"/>
                <w:b/>
                <w:bCs/>
              </w:rPr>
              <w:t>对鱼类多样性的影响</w:t>
            </w:r>
          </w:p>
          <w:p w:rsidR="00BC07F0" w:rsidRDefault="00073EFB" w:rsidP="00C55F5E">
            <w:pPr>
              <w:ind w:firstLine="480"/>
            </w:pPr>
            <w:r>
              <w:rPr>
                <w:rFonts w:hint="eastAsia"/>
              </w:rPr>
              <w:t>污泥清理将会破坏一些鱼类的结构化的栖息地，污泥清理后产生的新的栖息地可能不适合原有鱼类，此外，较深的水生栖息地可能使河流更易受非本地物种入侵；污泥清理后，浮游生物、沉水植物的多样性将会增加，为仔幼鱼的索饵创造了良好条件；新的生态系统一旦建立，河流生态系统将更加开放，鱼类生境的片段化将会得到改善，不同种群基因交流加强，有利于鱼类多样性的增加。本工程实施后</w:t>
            </w:r>
            <w:r>
              <w:rPr>
                <w:rFonts w:hint="eastAsia"/>
              </w:rPr>
              <w:t>幸福河</w:t>
            </w:r>
            <w:r>
              <w:rPr>
                <w:rFonts w:hint="eastAsia"/>
              </w:rPr>
              <w:t>水质变清，水流增加，水生生境得到改善，为水生生物创造了良好的生存条件，将有利于浮游植物的繁殖和发展；随着浮游植物丰度和生物量的不断增加，浮游动物的丰度和</w:t>
            </w:r>
            <w:r>
              <w:rPr>
                <w:rFonts w:hint="eastAsia"/>
              </w:rPr>
              <w:t>生物量也会逐渐恢复；治理后的河流运行后底质会有所改善，同时一些绿化植被水生植物的生长，可以为底栖动物提供更为丰富的栖息环境，从而增加底栖动物的多样性和数量，特别是腹足类的种类和数量会增加；河流治理后水面加宽，水流增加，鱼类生境得以恢复，特别是作为鱼类天然饵料的浮游植物和浮游动物逐渐发展起来，为鱼类生存和生长创造了较有利的条件。</w:t>
            </w:r>
          </w:p>
          <w:p w:rsidR="00BC07F0" w:rsidRDefault="00073EFB" w:rsidP="00C55F5E">
            <w:pPr>
              <w:ind w:firstLine="482"/>
              <w:rPr>
                <w:b/>
                <w:bCs/>
              </w:rPr>
            </w:pPr>
            <w:r>
              <w:rPr>
                <w:rFonts w:hint="eastAsia"/>
                <w:b/>
                <w:bCs/>
              </w:rPr>
              <w:t>4.10.8</w:t>
            </w:r>
            <w:r>
              <w:rPr>
                <w:rFonts w:hint="eastAsia"/>
                <w:b/>
                <w:bCs/>
              </w:rPr>
              <w:t>铜桥港湿地公园工程运营期生态环境影响分析</w:t>
            </w:r>
          </w:p>
          <w:p w:rsidR="00BC07F0" w:rsidRDefault="00073EFB" w:rsidP="00C55F5E">
            <w:pPr>
              <w:ind w:firstLine="480"/>
            </w:pPr>
            <w:r>
              <w:rPr>
                <w:rFonts w:hint="eastAsia"/>
              </w:rPr>
              <w:t>铜桥港湿地公园工程人工湿地主要是主要是表面流人工湿地，总用地面积</w:t>
            </w:r>
            <w:r>
              <w:rPr>
                <w:rFonts w:hint="eastAsia"/>
              </w:rPr>
              <w:t>135385.44m</w:t>
            </w:r>
            <w:r>
              <w:rPr>
                <w:rFonts w:hint="eastAsia"/>
                <w:vertAlign w:val="superscript"/>
              </w:rPr>
              <w:t>2</w:t>
            </w:r>
            <w:r>
              <w:rPr>
                <w:rFonts w:hint="eastAsia"/>
              </w:rPr>
              <w:t>，其中水体用地面积</w:t>
            </w:r>
            <w:r>
              <w:rPr>
                <w:rFonts w:hint="eastAsia"/>
              </w:rPr>
              <w:t>56661.26m</w:t>
            </w:r>
            <w:r>
              <w:rPr>
                <w:rFonts w:hint="eastAsia"/>
                <w:vertAlign w:val="superscript"/>
              </w:rPr>
              <w:t>2</w:t>
            </w:r>
            <w:r>
              <w:rPr>
                <w:rFonts w:hint="eastAsia"/>
              </w:rPr>
              <w:t>，陆</w:t>
            </w:r>
            <w:r>
              <w:rPr>
                <w:rFonts w:hint="eastAsia"/>
              </w:rPr>
              <w:t>地用地面积</w:t>
            </w:r>
            <w:r>
              <w:rPr>
                <w:rFonts w:hint="eastAsia"/>
              </w:rPr>
              <w:t>78724.18m</w:t>
            </w:r>
            <w:r>
              <w:rPr>
                <w:rFonts w:hint="eastAsia"/>
                <w:vertAlign w:val="superscript"/>
              </w:rPr>
              <w:t>2</w:t>
            </w:r>
            <w:r>
              <w:rPr>
                <w:rFonts w:hint="eastAsia"/>
              </w:rPr>
              <w:t>，主要功能是深度净化衡阳市铜桥港污水处理厂尾水和中水再利用，洪水期污水厂尾水不排入湿地，工程不新建排污口。配套建筑包括管理用房占地面积</w:t>
            </w:r>
            <w:r>
              <w:rPr>
                <w:rFonts w:hint="eastAsia"/>
              </w:rPr>
              <w:t>260.62m</w:t>
            </w:r>
            <w:r>
              <w:rPr>
                <w:rFonts w:hint="eastAsia"/>
                <w:vertAlign w:val="superscript"/>
              </w:rPr>
              <w:t>2</w:t>
            </w:r>
            <w:r>
              <w:rPr>
                <w:rFonts w:hint="eastAsia"/>
              </w:rPr>
              <w:t>，休闲厅</w:t>
            </w:r>
            <w:r>
              <w:rPr>
                <w:rFonts w:hint="eastAsia"/>
              </w:rPr>
              <w:t>+</w:t>
            </w:r>
            <w:r>
              <w:rPr>
                <w:rFonts w:hint="eastAsia"/>
              </w:rPr>
              <w:t>公厕</w:t>
            </w:r>
            <w:r>
              <w:rPr>
                <w:rFonts w:hint="eastAsia"/>
              </w:rPr>
              <w:t>297.92m</w:t>
            </w:r>
            <w:r>
              <w:rPr>
                <w:rFonts w:hint="eastAsia"/>
                <w:vertAlign w:val="superscript"/>
              </w:rPr>
              <w:t>2</w:t>
            </w:r>
            <w:r>
              <w:rPr>
                <w:rFonts w:hint="eastAsia"/>
              </w:rPr>
              <w:t>，休闲书吧</w:t>
            </w:r>
            <w:r>
              <w:rPr>
                <w:rFonts w:hint="eastAsia"/>
              </w:rPr>
              <w:t>296.44m</w:t>
            </w:r>
            <w:r>
              <w:rPr>
                <w:rFonts w:hint="eastAsia"/>
                <w:vertAlign w:val="superscript"/>
              </w:rPr>
              <w:t>2</w:t>
            </w:r>
            <w:r>
              <w:rPr>
                <w:rFonts w:hint="eastAsia"/>
              </w:rPr>
              <w:t>，湿地科普馆</w:t>
            </w:r>
            <w:r>
              <w:rPr>
                <w:rFonts w:hint="eastAsia"/>
              </w:rPr>
              <w:t>1117.44m</w:t>
            </w:r>
            <w:r>
              <w:rPr>
                <w:rFonts w:hint="eastAsia"/>
                <w:vertAlign w:val="superscript"/>
              </w:rPr>
              <w:t>2</w:t>
            </w:r>
            <w:r>
              <w:rPr>
                <w:rFonts w:hint="eastAsia"/>
              </w:rPr>
              <w:t>，观景厅</w:t>
            </w:r>
            <w:r>
              <w:rPr>
                <w:rFonts w:hint="eastAsia"/>
              </w:rPr>
              <w:t>249m</w:t>
            </w:r>
            <w:r>
              <w:rPr>
                <w:rFonts w:hint="eastAsia"/>
                <w:vertAlign w:val="superscript"/>
              </w:rPr>
              <w:t>2</w:t>
            </w:r>
            <w:r>
              <w:rPr>
                <w:rFonts w:hint="eastAsia"/>
              </w:rPr>
              <w:t>。</w:t>
            </w:r>
          </w:p>
          <w:p w:rsidR="00BC07F0" w:rsidRDefault="00073EFB">
            <w:pPr>
              <w:pStyle w:val="a7"/>
              <w:rPr>
                <w:rFonts w:hint="default"/>
              </w:rPr>
            </w:pPr>
            <w:r>
              <w:rPr>
                <w:noProof/>
              </w:rPr>
              <w:drawing>
                <wp:inline distT="0" distB="0" distL="114300" distR="114300">
                  <wp:extent cx="4809490" cy="828040"/>
                  <wp:effectExtent l="0" t="0" r="10160" b="10160"/>
                  <wp:docPr id="21" name="图片 21" descr="ddb8620571cf261c3427e17a018d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db8620571cf261c3427e17a018d974"/>
                          <pic:cNvPicPr>
                            <a:picLocks noChangeAspect="1"/>
                          </pic:cNvPicPr>
                        </pic:nvPicPr>
                        <pic:blipFill>
                          <a:blip r:embed="rId35" cstate="print"/>
                          <a:stretch>
                            <a:fillRect/>
                          </a:stretch>
                        </pic:blipFill>
                        <pic:spPr>
                          <a:xfrm>
                            <a:off x="0" y="0"/>
                            <a:ext cx="4809490" cy="828040"/>
                          </a:xfrm>
                          <a:prstGeom prst="rect">
                            <a:avLst/>
                          </a:prstGeom>
                        </pic:spPr>
                      </pic:pic>
                    </a:graphicData>
                  </a:graphic>
                </wp:inline>
              </w:drawing>
            </w:r>
          </w:p>
          <w:p w:rsidR="00BC07F0" w:rsidRDefault="00073EFB">
            <w:pPr>
              <w:pStyle w:val="a7"/>
              <w:rPr>
                <w:rFonts w:hint="default"/>
                <w:b/>
                <w:bCs/>
              </w:rPr>
            </w:pPr>
            <w:r>
              <w:rPr>
                <w:b/>
                <w:bCs/>
              </w:rPr>
              <w:t>图</w:t>
            </w:r>
            <w:r>
              <w:rPr>
                <w:b/>
                <w:bCs/>
              </w:rPr>
              <w:t>2.1-1</w:t>
            </w:r>
            <w:r>
              <w:rPr>
                <w:b/>
                <w:bCs/>
              </w:rPr>
              <w:t>铜桥港湿地公园工艺流程</w:t>
            </w:r>
            <w:r>
              <w:rPr>
                <w:b/>
                <w:bCs/>
              </w:rPr>
              <w:t>图</w:t>
            </w:r>
          </w:p>
          <w:p w:rsidR="00BC07F0" w:rsidRDefault="00073EFB" w:rsidP="00C55F5E">
            <w:pPr>
              <w:ind w:firstLine="480"/>
            </w:pPr>
            <w:r>
              <w:rPr>
                <w:rFonts w:hint="eastAsia"/>
              </w:rPr>
              <w:lastRenderedPageBreak/>
              <w:t>植物好氧塘单元：除种植浮水植物外，增设生态浮岛及太阳能曝气设施，生态浮岛上部种植水生植物，提高单位容积内微生物数量，实现化学需氧量、氨氮等污染物的有效去除，提升植物好氧塘去除效果。此</w:t>
            </w:r>
            <w:r>
              <w:rPr>
                <w:rFonts w:hint="eastAsia"/>
              </w:rPr>
              <w:t>外，本项目在植物好氧塘末端设置跌水景观，提高系统内溶解氧含量，降低系统内的曝气设备投资。</w:t>
            </w:r>
          </w:p>
          <w:p w:rsidR="00BC07F0" w:rsidRDefault="00073EFB" w:rsidP="00C55F5E">
            <w:pPr>
              <w:ind w:firstLine="480"/>
            </w:pPr>
            <w:r>
              <w:rPr>
                <w:rFonts w:hint="eastAsia"/>
              </w:rPr>
              <w:t>表面流人工湿地单元：通过种植沉水植物、浮水植物和挺水植物，提髙湿地内溶解氧浓度、进一步降低污染物浓度，强化湿地水质净化能力，保障出水水质稳定，同时还可实现优美生态环境的提升，改善群众居住环境质量。为保证提髙表面流人工湿地溶解氧含量，在表面流湿地末端设置跌</w:t>
            </w:r>
            <w:bookmarkStart w:id="25" w:name="_GoBack"/>
            <w:bookmarkEnd w:id="25"/>
            <w:r>
              <w:rPr>
                <w:rFonts w:hint="eastAsia"/>
              </w:rPr>
              <w:t>水设施，提髙水生植物塘内溶解氧浓度，防止水体在长期储存过程中富营养化。</w:t>
            </w:r>
          </w:p>
          <w:p w:rsidR="00BC07F0" w:rsidRDefault="00073EFB" w:rsidP="00C55F5E">
            <w:pPr>
              <w:ind w:firstLine="480"/>
            </w:pPr>
            <w:r>
              <w:rPr>
                <w:rFonts w:hint="eastAsia"/>
              </w:rPr>
              <w:t>水生植物塘：水生植物塘通过种植沉水植物、浮水植物等措施，进一步提髙水中溶解氧浓度、降低污染物浓度</w:t>
            </w:r>
            <w:r>
              <w:rPr>
                <w:rFonts w:hint="eastAsia"/>
              </w:rPr>
              <w:t>，保障出水水质稳定，同时还可实现优美生态环境的提升，改善周边环境质量</w:t>
            </w:r>
            <w:r>
              <w:rPr>
                <w:rFonts w:hint="eastAsia"/>
              </w:rPr>
              <w:t>。</w:t>
            </w:r>
          </w:p>
        </w:tc>
      </w:tr>
      <w:tr w:rsidR="00BC07F0">
        <w:trPr>
          <w:trHeight w:val="454"/>
        </w:trPr>
        <w:tc>
          <w:tcPr>
            <w:tcW w:w="534" w:type="dxa"/>
            <w:vAlign w:val="center"/>
          </w:tcPr>
          <w:p w:rsidR="00BC07F0" w:rsidRDefault="00073EFB">
            <w:pPr>
              <w:pStyle w:val="a7"/>
              <w:rPr>
                <w:rFonts w:hint="default"/>
                <w:b/>
                <w:bCs/>
                <w:sz w:val="24"/>
                <w:szCs w:val="24"/>
              </w:rPr>
            </w:pPr>
            <w:r>
              <w:rPr>
                <w:b/>
                <w:bCs/>
                <w:sz w:val="24"/>
                <w:szCs w:val="24"/>
              </w:rPr>
              <w:lastRenderedPageBreak/>
              <w:t>选址选线环境合理性分析</w:t>
            </w:r>
          </w:p>
        </w:tc>
        <w:tc>
          <w:tcPr>
            <w:tcW w:w="9326" w:type="dxa"/>
            <w:vAlign w:val="center"/>
          </w:tcPr>
          <w:p w:rsidR="00BC07F0" w:rsidRDefault="00073EFB" w:rsidP="00C55F5E">
            <w:pPr>
              <w:ind w:firstLine="480"/>
            </w:pPr>
            <w:r>
              <w:rPr>
                <w:rFonts w:hint="eastAsia"/>
              </w:rPr>
              <w:t>本项目各工程</w:t>
            </w:r>
            <w:r>
              <w:rPr>
                <w:rFonts w:hint="eastAsia"/>
              </w:rPr>
              <w:t>选址已取得衡阳市发展和改革委员会下发的立项批复</w:t>
            </w:r>
            <w:r>
              <w:rPr>
                <w:rFonts w:hint="eastAsia"/>
              </w:rPr>
              <w:t>，</w:t>
            </w:r>
            <w:r>
              <w:rPr>
                <w:rFonts w:hint="eastAsia"/>
              </w:rPr>
              <w:t>各</w:t>
            </w:r>
            <w:r>
              <w:rPr>
                <w:rFonts w:hint="eastAsia"/>
              </w:rPr>
              <w:t>工程选址不涉及衡阳市生态保护红线，不涉及自然保护区、饮用水水源保护区等环境敏感区，无环境制约因素。</w:t>
            </w:r>
            <w:r>
              <w:rPr>
                <w:rFonts w:hint="eastAsia"/>
              </w:rPr>
              <w:t>项目施工期在落实各项环保措施的情况下对周边居民生活影响较小，对区域大气环境、声环境、地表水环境、土壤等环境质量影响较小。</w:t>
            </w:r>
            <w:r>
              <w:rPr>
                <w:rFonts w:hint="eastAsia"/>
              </w:rPr>
              <w:t>根据工程分析，</w:t>
            </w:r>
            <w:r>
              <w:rPr>
                <w:rFonts w:hint="eastAsia"/>
              </w:rPr>
              <w:t>项目运营期有利于改善区域水环境，对周边生态环境产生的影响主要为有利影响，因此项目选址选线环境合理。</w:t>
            </w: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pPr>
              <w:ind w:firstLineChars="0" w:firstLine="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tc>
      </w:tr>
    </w:tbl>
    <w:p w:rsidR="00BC07F0" w:rsidRDefault="00BC07F0">
      <w:pPr>
        <w:pStyle w:val="a7"/>
        <w:rPr>
          <w:rFonts w:hint="default"/>
        </w:rPr>
        <w:sectPr w:rsidR="00BC07F0">
          <w:pgSz w:w="11906" w:h="16838"/>
          <w:pgMar w:top="1440" w:right="1080" w:bottom="1440" w:left="1080" w:header="851" w:footer="992" w:gutter="0"/>
          <w:cols w:space="425"/>
          <w:docGrid w:type="lines" w:linePitch="312"/>
        </w:sectPr>
      </w:pPr>
    </w:p>
    <w:p w:rsidR="00BC07F0" w:rsidRDefault="00073EFB">
      <w:pPr>
        <w:pStyle w:val="1"/>
      </w:pPr>
      <w:bookmarkStart w:id="26" w:name="_Toc6001"/>
      <w:bookmarkStart w:id="27" w:name="_Toc12649"/>
      <w:bookmarkStart w:id="28" w:name="_Toc19621"/>
      <w:bookmarkStart w:id="29" w:name="_Toc29566"/>
      <w:r>
        <w:rPr>
          <w:rFonts w:hint="eastAsia"/>
        </w:rPr>
        <w:lastRenderedPageBreak/>
        <w:t>五、主要生态环境保护措施</w:t>
      </w:r>
      <w:bookmarkEnd w:id="26"/>
      <w:bookmarkEnd w:id="27"/>
      <w:bookmarkEnd w:id="28"/>
      <w:bookmarkEnd w:id="29"/>
    </w:p>
    <w:tbl>
      <w:tblPr>
        <w:tblW w:w="499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50"/>
        <w:gridCol w:w="9413"/>
      </w:tblGrid>
      <w:tr w:rsidR="00BC07F0">
        <w:trPr>
          <w:trHeight w:val="454"/>
          <w:jc w:val="center"/>
        </w:trPr>
        <w:tc>
          <w:tcPr>
            <w:tcW w:w="446" w:type="dxa"/>
            <w:tcMar>
              <w:left w:w="28" w:type="dxa"/>
              <w:right w:w="28" w:type="dxa"/>
            </w:tcMar>
            <w:vAlign w:val="center"/>
          </w:tcPr>
          <w:p w:rsidR="00BC07F0" w:rsidRDefault="00073EFB">
            <w:pPr>
              <w:pStyle w:val="a7"/>
              <w:rPr>
                <w:rFonts w:hint="default"/>
                <w:b/>
                <w:bCs/>
                <w:sz w:val="24"/>
                <w:szCs w:val="24"/>
              </w:rPr>
            </w:pPr>
            <w:r>
              <w:rPr>
                <w:b/>
                <w:bCs/>
                <w:sz w:val="24"/>
                <w:szCs w:val="24"/>
              </w:rPr>
              <w:t>施工期生态环境保护措施</w:t>
            </w:r>
          </w:p>
        </w:tc>
        <w:tc>
          <w:tcPr>
            <w:tcW w:w="9338" w:type="dxa"/>
          </w:tcPr>
          <w:p w:rsidR="00BC07F0" w:rsidRDefault="00073EFB" w:rsidP="00C55F5E">
            <w:pPr>
              <w:ind w:firstLine="482"/>
              <w:rPr>
                <w:b/>
                <w:bCs/>
              </w:rPr>
            </w:pPr>
            <w:r>
              <w:rPr>
                <w:rFonts w:hint="eastAsia"/>
                <w:b/>
                <w:bCs/>
              </w:rPr>
              <w:t>5.1</w:t>
            </w:r>
            <w:r>
              <w:rPr>
                <w:rFonts w:hint="eastAsia"/>
                <w:b/>
                <w:bCs/>
              </w:rPr>
              <w:t>施工期</w:t>
            </w:r>
            <w:r>
              <w:rPr>
                <w:rFonts w:hint="eastAsia"/>
                <w:b/>
                <w:bCs/>
              </w:rPr>
              <w:t>大气环境保护措施</w:t>
            </w:r>
          </w:p>
          <w:p w:rsidR="00BC07F0" w:rsidRDefault="00073EFB" w:rsidP="00C55F5E">
            <w:pPr>
              <w:ind w:firstLine="480"/>
            </w:pPr>
            <w:r>
              <w:rPr>
                <w:rFonts w:hint="eastAsia"/>
              </w:rPr>
              <w:t>本项目各工程施工期产生的废气主要是燃油废气、施工扬尘、堆场扬尘、道路扬尘、底泥恶臭。</w:t>
            </w:r>
          </w:p>
          <w:p w:rsidR="00BC07F0" w:rsidRDefault="00073EFB" w:rsidP="00C55F5E">
            <w:pPr>
              <w:ind w:firstLine="482"/>
              <w:rPr>
                <w:b/>
                <w:bCs/>
              </w:rPr>
            </w:pPr>
            <w:r>
              <w:rPr>
                <w:rFonts w:hint="eastAsia"/>
                <w:b/>
                <w:bCs/>
              </w:rPr>
              <w:t>5.1.1</w:t>
            </w:r>
            <w:r>
              <w:rPr>
                <w:rFonts w:hint="eastAsia"/>
                <w:b/>
                <w:bCs/>
              </w:rPr>
              <w:t>燃油废气</w:t>
            </w:r>
          </w:p>
          <w:p w:rsidR="00BC07F0" w:rsidRDefault="00073EFB" w:rsidP="00C55F5E">
            <w:pPr>
              <w:ind w:firstLine="480"/>
            </w:pPr>
            <w:r>
              <w:rPr>
                <w:rFonts w:hint="eastAsia"/>
              </w:rPr>
              <w:t>燃油废气产生于运输车辆和以燃油为动力的施工机械。本工程施工过程中使用的挖掘机、推土机、运输车辆等作业时将产生燃油废气，其主要污染物为</w:t>
            </w:r>
            <w:r>
              <w:rPr>
                <w:rFonts w:hint="eastAsia"/>
              </w:rPr>
              <w:t>SO</w:t>
            </w:r>
            <w:r>
              <w:rPr>
                <w:rFonts w:hint="eastAsia"/>
                <w:vertAlign w:val="subscript"/>
              </w:rPr>
              <w:t>2</w:t>
            </w:r>
            <w:r>
              <w:rPr>
                <w:rFonts w:hint="eastAsia"/>
              </w:rPr>
              <w:t>、</w:t>
            </w:r>
            <w:r>
              <w:rPr>
                <w:rFonts w:hint="eastAsia"/>
              </w:rPr>
              <w:t>NO</w:t>
            </w:r>
            <w:r>
              <w:rPr>
                <w:rFonts w:hint="eastAsia"/>
                <w:vertAlign w:val="subscript"/>
              </w:rPr>
              <w:t>2</w:t>
            </w:r>
            <w:r>
              <w:rPr>
                <w:rFonts w:hint="eastAsia"/>
              </w:rPr>
              <w:t>等，其产生量与施工机械数量及密度、耗油量、燃料品质及机械设备状况有关。根据类似工程监测成果，挖掘机燃油废气中主要污染物的影响范围为下风向</w:t>
            </w:r>
            <w:r>
              <w:rPr>
                <w:rFonts w:hint="eastAsia"/>
              </w:rPr>
              <w:t>15m</w:t>
            </w:r>
            <w:r>
              <w:rPr>
                <w:rFonts w:hint="eastAsia"/>
              </w:rPr>
              <w:t>至</w:t>
            </w:r>
            <w:r>
              <w:rPr>
                <w:rFonts w:hint="eastAsia"/>
              </w:rPr>
              <w:t>18m</w:t>
            </w:r>
            <w:r>
              <w:rPr>
                <w:rFonts w:hint="eastAsia"/>
              </w:rPr>
              <w:t>，其浓度值达</w:t>
            </w:r>
            <w:r>
              <w:rPr>
                <w:rFonts w:hint="eastAsia"/>
              </w:rPr>
              <w:t>0.016mg/m</w:t>
            </w:r>
            <w:r>
              <w:rPr>
                <w:rFonts w:hint="eastAsia"/>
              </w:rPr>
              <w:t>³至</w:t>
            </w:r>
            <w:r>
              <w:rPr>
                <w:rFonts w:hint="eastAsia"/>
              </w:rPr>
              <w:t>0.18mg/m</w:t>
            </w:r>
            <w:r>
              <w:rPr>
                <w:rFonts w:hint="eastAsia"/>
              </w:rPr>
              <w:t>³。本工程施工地段地势开阔，空气扩散条件很好，燃油废气对区域环境空气质量影响较小。</w:t>
            </w:r>
          </w:p>
          <w:p w:rsidR="00BC07F0" w:rsidRDefault="00073EFB" w:rsidP="00C55F5E">
            <w:pPr>
              <w:ind w:firstLine="482"/>
              <w:rPr>
                <w:b/>
                <w:bCs/>
              </w:rPr>
            </w:pPr>
            <w:r>
              <w:rPr>
                <w:rFonts w:hint="eastAsia"/>
                <w:b/>
                <w:bCs/>
              </w:rPr>
              <w:t>5.1.2</w:t>
            </w:r>
            <w:r>
              <w:rPr>
                <w:rFonts w:hint="eastAsia"/>
                <w:b/>
                <w:bCs/>
              </w:rPr>
              <w:t>施工扬尘</w:t>
            </w:r>
          </w:p>
          <w:p w:rsidR="00BC07F0" w:rsidRDefault="00073EFB" w:rsidP="00C55F5E">
            <w:pPr>
              <w:ind w:firstLine="480"/>
            </w:pPr>
            <w:r>
              <w:rPr>
                <w:rFonts w:hint="eastAsia"/>
              </w:rPr>
              <w:t>根据相关单位在市政施工现场的实测资料，一般气象条件下风速为</w:t>
            </w:r>
            <w:r>
              <w:rPr>
                <w:rFonts w:hint="eastAsia"/>
              </w:rPr>
              <w:t>2.5m/s</w:t>
            </w:r>
            <w:r>
              <w:rPr>
                <w:rFonts w:hint="eastAsia"/>
              </w:rPr>
              <w:t>时，建筑工地内</w:t>
            </w:r>
            <w:r>
              <w:rPr>
                <w:rFonts w:hint="eastAsia"/>
              </w:rPr>
              <w:t>TSP</w:t>
            </w:r>
            <w:r>
              <w:rPr>
                <w:rFonts w:hint="eastAsia"/>
              </w:rPr>
              <w:t>浓度为其上风向对照点的</w:t>
            </w:r>
            <w:r>
              <w:rPr>
                <w:rFonts w:hint="eastAsia"/>
              </w:rPr>
              <w:t>2</w:t>
            </w:r>
            <w:r>
              <w:rPr>
                <w:rFonts w:hint="eastAsia"/>
              </w:rPr>
              <w:t>～</w:t>
            </w:r>
            <w:r>
              <w:rPr>
                <w:rFonts w:hint="eastAsia"/>
              </w:rPr>
              <w:t>2.5</w:t>
            </w:r>
            <w:r>
              <w:rPr>
                <w:rFonts w:hint="eastAsia"/>
              </w:rPr>
              <w:t>倍，建筑施工扬尘的影响范围在其下风向可达</w:t>
            </w:r>
            <w:r>
              <w:rPr>
                <w:rFonts w:hint="eastAsia"/>
              </w:rPr>
              <w:t>150m</w:t>
            </w:r>
            <w:r>
              <w:rPr>
                <w:rFonts w:hint="eastAsia"/>
              </w:rPr>
              <w:t>，影响范围内</w:t>
            </w:r>
            <w:r>
              <w:rPr>
                <w:rFonts w:hint="eastAsia"/>
              </w:rPr>
              <w:t>TSP</w:t>
            </w:r>
            <w:r>
              <w:rPr>
                <w:rFonts w:hint="eastAsia"/>
              </w:rPr>
              <w:t>浓度平均值可达</w:t>
            </w:r>
            <w:r>
              <w:rPr>
                <w:rFonts w:hint="eastAsia"/>
              </w:rPr>
              <w:t>0.4</w:t>
            </w:r>
            <w:r>
              <w:rPr>
                <w:rFonts w:hint="eastAsia"/>
              </w:rPr>
              <w:t>9mg/m</w:t>
            </w:r>
            <w:r>
              <w:rPr>
                <w:rFonts w:hint="eastAsia"/>
              </w:rPr>
              <w:t>³（相当于空气质量标准的</w:t>
            </w:r>
            <w:r>
              <w:rPr>
                <w:rFonts w:hint="eastAsia"/>
              </w:rPr>
              <w:t>1.6</w:t>
            </w:r>
            <w:r>
              <w:rPr>
                <w:rFonts w:hint="eastAsia"/>
              </w:rPr>
              <w:t>倍）。当有围栏时，在同等条件下，其影响距离可缩短</w:t>
            </w:r>
            <w:r>
              <w:rPr>
                <w:rFonts w:hint="eastAsia"/>
              </w:rPr>
              <w:t>40%</w:t>
            </w:r>
            <w:r>
              <w:rPr>
                <w:rFonts w:hint="eastAsia"/>
              </w:rPr>
              <w:t>（即缩短</w:t>
            </w:r>
            <w:r>
              <w:rPr>
                <w:rFonts w:hint="eastAsia"/>
              </w:rPr>
              <w:t>60m</w:t>
            </w:r>
            <w:r>
              <w:rPr>
                <w:rFonts w:hint="eastAsia"/>
              </w:rPr>
              <w:t>）。当风速大于</w:t>
            </w:r>
            <w:r>
              <w:rPr>
                <w:rFonts w:hint="eastAsia"/>
              </w:rPr>
              <w:t>5m/s</w:t>
            </w:r>
            <w:r>
              <w:rPr>
                <w:rFonts w:hint="eastAsia"/>
              </w:rPr>
              <w:t>时，施工现场及其下风向部分区域</w:t>
            </w:r>
            <w:r>
              <w:rPr>
                <w:rFonts w:hint="eastAsia"/>
              </w:rPr>
              <w:t>TSP</w:t>
            </w:r>
            <w:r>
              <w:rPr>
                <w:rFonts w:hint="eastAsia"/>
              </w:rPr>
              <w:t>浓度将超过空气质量标准中的二级标准，而且随着风速的增大，施工扬尘产生的污染程度和超标范围也将随之增强和扩大。伴随着项目施工，扬尘将对附近的大气环境带来不利影响，因此必须采取合理可行的控制措施，尽量减轻其污染程度，缩小其影响范围。由于本项目施工期较长，本次评价建议建设单位参照执行新修订的的《衡阳市施工工地扬尘管理规范》，施工工地扬尘“</w:t>
            </w:r>
            <w:r>
              <w:rPr>
                <w:rFonts w:hint="eastAsia"/>
              </w:rPr>
              <w:t>8</w:t>
            </w:r>
            <w:r>
              <w:rPr>
                <w:rFonts w:hint="eastAsia"/>
              </w:rPr>
              <w:t>个</w:t>
            </w:r>
            <w:r>
              <w:rPr>
                <w:rFonts w:hint="eastAsia"/>
              </w:rPr>
              <w:t>100%</w:t>
            </w:r>
            <w:r>
              <w:rPr>
                <w:rFonts w:hint="eastAsia"/>
              </w:rPr>
              <w:t>”防治措施，具体为：</w:t>
            </w:r>
          </w:p>
          <w:p w:rsidR="00BC07F0" w:rsidRDefault="00073EFB" w:rsidP="00C55F5E">
            <w:pPr>
              <w:ind w:firstLine="480"/>
            </w:pPr>
            <w:r>
              <w:rPr>
                <w:rFonts w:hint="eastAsia"/>
              </w:rPr>
              <w:t>①　落实建设单位责任。建设单位要履行主体责任，将建筑施工扬尘治理列入工程合同，在施工合同中约定安全文明施工措施总费用，以及费用支付、使用要求、调整方式等内容。加强对施工过程中扬尘治理工作，做好物料堆放和施工车辆带泥上路的管理，选用经有关部门核发证照的土方、运渣车辆进行土方开挖和渣土运输。</w:t>
            </w:r>
          </w:p>
          <w:p w:rsidR="00BC07F0" w:rsidRDefault="00073EFB" w:rsidP="00C55F5E">
            <w:pPr>
              <w:ind w:firstLine="480"/>
            </w:pPr>
            <w:r>
              <w:rPr>
                <w:rFonts w:hint="eastAsia"/>
              </w:rPr>
              <w:t>②　落实施工单位责任。施工单位要组织编制施工工地扬尘治理实施方案，并向建设主管部门备案，严格落实建筑施工扬尘污染防治“</w:t>
            </w:r>
            <w:r>
              <w:rPr>
                <w:rFonts w:hint="eastAsia"/>
              </w:rPr>
              <w:t>8</w:t>
            </w:r>
            <w:r>
              <w:rPr>
                <w:rFonts w:hint="eastAsia"/>
              </w:rPr>
              <w:t>个</w:t>
            </w:r>
            <w:r>
              <w:rPr>
                <w:rFonts w:hint="eastAsia"/>
              </w:rPr>
              <w:t>100%</w:t>
            </w:r>
            <w:r>
              <w:rPr>
                <w:rFonts w:hint="eastAsia"/>
              </w:rPr>
              <w:t>”抑尘措施（工地沙土</w:t>
            </w:r>
            <w:r>
              <w:rPr>
                <w:rFonts w:hint="eastAsia"/>
              </w:rPr>
              <w:t>100%</w:t>
            </w:r>
            <w:r>
              <w:rPr>
                <w:rFonts w:hint="eastAsia"/>
              </w:rPr>
              <w:t>覆盖、工地路面</w:t>
            </w:r>
            <w:r>
              <w:rPr>
                <w:rFonts w:hint="eastAsia"/>
              </w:rPr>
              <w:t>100%</w:t>
            </w:r>
            <w:r>
              <w:rPr>
                <w:rFonts w:hint="eastAsia"/>
              </w:rPr>
              <w:t>硬化、出工地车辆</w:t>
            </w:r>
            <w:r>
              <w:rPr>
                <w:rFonts w:hint="eastAsia"/>
              </w:rPr>
              <w:t>10</w:t>
            </w:r>
            <w:r>
              <w:rPr>
                <w:rFonts w:hint="eastAsia"/>
              </w:rPr>
              <w:t>0%</w:t>
            </w:r>
            <w:r>
              <w:rPr>
                <w:rFonts w:hint="eastAsia"/>
              </w:rPr>
              <w:t>冲洗车轮、拆除房屋的工地</w:t>
            </w:r>
            <w:r>
              <w:rPr>
                <w:rFonts w:hint="eastAsia"/>
              </w:rPr>
              <w:t>100%</w:t>
            </w:r>
            <w:r>
              <w:rPr>
                <w:rFonts w:hint="eastAsia"/>
              </w:rPr>
              <w:t>洒水压尘、</w:t>
            </w:r>
            <w:r>
              <w:rPr>
                <w:rFonts w:hint="eastAsia"/>
              </w:rPr>
              <w:lastRenderedPageBreak/>
              <w:t>暂时不开发的空地</w:t>
            </w:r>
            <w:r>
              <w:rPr>
                <w:rFonts w:hint="eastAsia"/>
              </w:rPr>
              <w:t>100%</w:t>
            </w:r>
            <w:r>
              <w:rPr>
                <w:rFonts w:hint="eastAsia"/>
              </w:rPr>
              <w:t>绿化（参考执行，基本农田范围内不得种植树木）、渣土实施</w:t>
            </w:r>
            <w:r>
              <w:rPr>
                <w:rFonts w:hint="eastAsia"/>
              </w:rPr>
              <w:t>100%</w:t>
            </w:r>
            <w:r>
              <w:rPr>
                <w:rFonts w:hint="eastAsia"/>
              </w:rPr>
              <w:t>封闭运输、建筑垃圾</w:t>
            </w:r>
            <w:r>
              <w:rPr>
                <w:rFonts w:hint="eastAsia"/>
              </w:rPr>
              <w:t>100%</w:t>
            </w:r>
            <w:r>
              <w:rPr>
                <w:rFonts w:hint="eastAsia"/>
              </w:rPr>
              <w:t>规范管理、工程机械尾气排放</w:t>
            </w:r>
            <w:r>
              <w:rPr>
                <w:rFonts w:hint="eastAsia"/>
              </w:rPr>
              <w:t>100%</w:t>
            </w:r>
            <w:r>
              <w:rPr>
                <w:rFonts w:hint="eastAsia"/>
              </w:rPr>
              <w:t>达标）。根据蓝天保卫战的要求执行“六控”（控尘、控车、控排、控烧、控煤、控油）、“十个严禁”（严禁渣土车、混凝土搅拌车、运砂车等各类车辆带泥上路，严禁违法倾倒渣土，严禁工地裸露黄土，严禁重污染天气下土石方施工，严禁燃烧散煤，严禁燃放烟花爆竹，严禁露天焚烧垃圾，严禁露天烧烤，严禁露天焚烧秸秆，严禁拖拉机等高排放车辆进城）</w:t>
            </w:r>
            <w:r>
              <w:rPr>
                <w:rFonts w:hint="eastAsia"/>
              </w:rPr>
              <w:t>。</w:t>
            </w:r>
          </w:p>
          <w:p w:rsidR="00BC07F0" w:rsidRDefault="00073EFB" w:rsidP="00C55F5E">
            <w:pPr>
              <w:ind w:firstLine="480"/>
            </w:pPr>
            <w:r>
              <w:rPr>
                <w:rFonts w:hint="eastAsia"/>
              </w:rPr>
              <w:t>③　施工围挡。施工现场应封闭施工，符合坚固、稳定、整洁、美观的要求。设置围挡高度不低于</w:t>
            </w:r>
            <w:r>
              <w:rPr>
                <w:rFonts w:hint="eastAsia"/>
              </w:rPr>
              <w:t>2.5</w:t>
            </w:r>
            <w:r>
              <w:rPr>
                <w:rFonts w:hint="eastAsia"/>
              </w:rPr>
              <w:t>米。安排专人负责围挡的保洁、维护，确保围挡设施整洁、美观。施工现场出入口应美观规范，设立企业标志、企业名称和工程名称。主要出入口设置“五牌一图”，在施工工地公示扬尘污染防治措施、负责人、扬尘监督管理主管部门等信息。在建工程主体必须用密目式安全网进行全封闭，表面美观整洁、不破损、不污染。</w:t>
            </w:r>
          </w:p>
          <w:p w:rsidR="00BC07F0" w:rsidRDefault="00073EFB" w:rsidP="00C55F5E">
            <w:pPr>
              <w:ind w:firstLine="480"/>
            </w:pPr>
            <w:r>
              <w:rPr>
                <w:rFonts w:hint="eastAsia"/>
              </w:rPr>
              <w:t>④　场地硬化。施工现场内道路、加工区、办公区、生活区必须设置合理并采用混凝土进行硬化，其他区域平整后使用碎石覆盖。硬化后的地面不</w:t>
            </w:r>
            <w:r>
              <w:rPr>
                <w:rFonts w:hint="eastAsia"/>
              </w:rPr>
              <w:t>得有浮土、积土。施工现场土方必须集中堆放并采取覆盖或固化措施，暂不施工的场地，应采用绿色的密目式安全网或者遮阳网进行覆盖，超过三个月的应当铺装或者遮盖。建筑施工现场要设置洒水喷淋设备等降尘设施，遇到干燥季节和大风天气时，要安排专人定时喷水降尘，保持路面清洁湿润。气象预报</w:t>
            </w:r>
            <w:r>
              <w:rPr>
                <w:rFonts w:hint="eastAsia"/>
              </w:rPr>
              <w:t>5</w:t>
            </w:r>
            <w:r>
              <w:rPr>
                <w:rFonts w:hint="eastAsia"/>
              </w:rPr>
              <w:t>级以上大风或空气质量预报重度污染天气时，严禁土方开挖、回填、转运以及其他可能产生扬尘污染的施工，并做好覆盖工作。</w:t>
            </w:r>
          </w:p>
          <w:p w:rsidR="00BC07F0" w:rsidRDefault="00073EFB" w:rsidP="00C55F5E">
            <w:pPr>
              <w:ind w:firstLine="480"/>
            </w:pPr>
            <w:r>
              <w:rPr>
                <w:rFonts w:hint="eastAsia"/>
              </w:rPr>
              <w:t>⑤　车辆冲洗。建筑工程施工现场出入口处必须设置洗车平台，运输土石方的车辆进出工地，需配置自动冲洗设备，逐步取代人工冲洗。平台标</w:t>
            </w:r>
            <w:r>
              <w:rPr>
                <w:rFonts w:hint="eastAsia"/>
              </w:rPr>
              <w:t>高必须低于出口路面</w:t>
            </w:r>
            <w:r>
              <w:rPr>
                <w:rFonts w:hint="eastAsia"/>
              </w:rPr>
              <w:t>50</w:t>
            </w:r>
            <w:r>
              <w:rPr>
                <w:rFonts w:hint="eastAsia"/>
              </w:rPr>
              <w:t>公分，洗车平台要有完善的排水沟，建有沉淀池，泥水不得直接排入下水道，对驶出施工现场的机动车辆冲洗干净后方可上路行驶。</w:t>
            </w:r>
          </w:p>
          <w:p w:rsidR="00BC07F0" w:rsidRDefault="00073EFB" w:rsidP="00C55F5E">
            <w:pPr>
              <w:ind w:firstLine="480"/>
            </w:pPr>
            <w:r>
              <w:rPr>
                <w:rFonts w:hint="eastAsia"/>
              </w:rPr>
              <w:t>⑥　材料堆放。施工现场建筑材料应按规定要求分类堆放，设置标牌，并稳定牢固、整齐有序。施工现场必须使用预拌砂浆，禁止现场搅拌砂浆，石灰等易产生扬尘的材料必须入库、入罐存放。</w:t>
            </w:r>
          </w:p>
          <w:p w:rsidR="00BC07F0" w:rsidRDefault="00073EFB" w:rsidP="00C55F5E">
            <w:pPr>
              <w:ind w:firstLine="480"/>
            </w:pPr>
            <w:r>
              <w:rPr>
                <w:rFonts w:hint="eastAsia"/>
              </w:rPr>
              <w:t>⑦　建筑垃圾、土方、渣土清运。建筑物内施工垃圾的清运，必须采用相应的容器或管道运输，严禁凌空抛掷。施工现场严禁焚烧各类废弃物。建筑垃圾、工程渣土在</w:t>
            </w:r>
            <w:r>
              <w:rPr>
                <w:rFonts w:hint="eastAsia"/>
              </w:rPr>
              <w:t>48</w:t>
            </w:r>
            <w:r>
              <w:rPr>
                <w:rFonts w:hint="eastAsia"/>
              </w:rPr>
              <w:t>小时内不能完成清运的，应当在施工工地内设置临时堆放</w:t>
            </w:r>
            <w:r>
              <w:rPr>
                <w:rFonts w:hint="eastAsia"/>
              </w:rPr>
              <w:t>场，临时堆放场应当采取围挡、覆盖等防尘措施。外脚手架拆除时应当采取洒水等防尘措施，禁止拍抖密目网造成扬尘。</w:t>
            </w:r>
          </w:p>
          <w:p w:rsidR="00BC07F0" w:rsidRDefault="00073EFB" w:rsidP="00C55F5E">
            <w:pPr>
              <w:ind w:firstLine="480"/>
            </w:pPr>
            <w:r>
              <w:rPr>
                <w:rFonts w:hint="eastAsia"/>
              </w:rPr>
              <w:lastRenderedPageBreak/>
              <w:t>⑧　非道路移动机械。挖掘机、推土机、等非道路移动机械，必须使用合格的油品，严禁使用劣质油品，杜绝冒黑烟现象。加强设备维护保养，按要求配合所在地环保部门完成排污申报登记。</w:t>
            </w:r>
          </w:p>
          <w:p w:rsidR="00BC07F0" w:rsidRDefault="00073EFB" w:rsidP="00C55F5E">
            <w:pPr>
              <w:ind w:firstLine="480"/>
            </w:pPr>
            <w:r>
              <w:rPr>
                <w:rFonts w:hint="eastAsia"/>
              </w:rPr>
              <w:t>⑨　当空气质量为重度污染（空气质量指数</w:t>
            </w:r>
            <w:r>
              <w:rPr>
                <w:rFonts w:hint="eastAsia"/>
              </w:rPr>
              <w:t>201~300</w:t>
            </w:r>
            <w:r>
              <w:rPr>
                <w:rFonts w:hint="eastAsia"/>
              </w:rPr>
              <w:t>）和气象预报风速达</w:t>
            </w:r>
            <w:r>
              <w:rPr>
                <w:rFonts w:hint="eastAsia"/>
              </w:rPr>
              <w:t>5</w:t>
            </w:r>
            <w:r>
              <w:rPr>
                <w:rFonts w:hint="eastAsia"/>
              </w:rPr>
              <w:t>级以上时，停止爆破、土方和拆迁施工，并做好覆盖工作；当空气质量为中度污染（空气质量指数</w:t>
            </w:r>
            <w:r>
              <w:rPr>
                <w:rFonts w:hint="eastAsia"/>
              </w:rPr>
              <w:t>151~200</w:t>
            </w:r>
            <w:r>
              <w:rPr>
                <w:rFonts w:hint="eastAsia"/>
              </w:rPr>
              <w:t>）和风速达</w:t>
            </w:r>
            <w:r>
              <w:rPr>
                <w:rFonts w:hint="eastAsia"/>
              </w:rPr>
              <w:t>4</w:t>
            </w:r>
            <w:r>
              <w:rPr>
                <w:rFonts w:hint="eastAsia"/>
              </w:rPr>
              <w:t>级以上时，停止土方施工，并每隔</w:t>
            </w:r>
            <w:r>
              <w:rPr>
                <w:rFonts w:hint="eastAsia"/>
              </w:rPr>
              <w:t>2</w:t>
            </w:r>
            <w:r>
              <w:rPr>
                <w:rFonts w:hint="eastAsia"/>
              </w:rPr>
              <w:t>小时对施工现场洒水</w:t>
            </w:r>
            <w:r>
              <w:rPr>
                <w:rFonts w:hint="eastAsia"/>
              </w:rPr>
              <w:t>1</w:t>
            </w:r>
            <w:r>
              <w:rPr>
                <w:rFonts w:hint="eastAsia"/>
              </w:rPr>
              <w:t>次；当空气质量为轻度污染（空气质量指数</w:t>
            </w:r>
            <w:r>
              <w:rPr>
                <w:rFonts w:hint="eastAsia"/>
              </w:rPr>
              <w:t>101~150</w:t>
            </w:r>
            <w:r>
              <w:rPr>
                <w:rFonts w:hint="eastAsia"/>
              </w:rPr>
              <w:t>）时，应每隔</w:t>
            </w:r>
            <w:r>
              <w:rPr>
                <w:rFonts w:hint="eastAsia"/>
              </w:rPr>
              <w:t>4</w:t>
            </w:r>
            <w:r>
              <w:rPr>
                <w:rFonts w:hint="eastAsia"/>
              </w:rPr>
              <w:t>小时对施工现场洒水</w:t>
            </w:r>
            <w:r>
              <w:rPr>
                <w:rFonts w:hint="eastAsia"/>
              </w:rPr>
              <w:t>1</w:t>
            </w:r>
            <w:r>
              <w:rPr>
                <w:rFonts w:hint="eastAsia"/>
              </w:rPr>
              <w:t>次。</w:t>
            </w:r>
          </w:p>
          <w:p w:rsidR="00BC07F0" w:rsidRDefault="00073EFB" w:rsidP="00C55F5E">
            <w:pPr>
              <w:ind w:firstLine="480"/>
            </w:pPr>
            <w:r>
              <w:rPr>
                <w:rFonts w:hint="eastAsia"/>
              </w:rPr>
              <w:t>⑩　施工单位应在工程项目的大门口醒目位置设置扬尘污染防治“</w:t>
            </w:r>
            <w:r>
              <w:rPr>
                <w:rFonts w:hint="eastAsia"/>
              </w:rPr>
              <w:t>5</w:t>
            </w:r>
            <w:r>
              <w:rPr>
                <w:rFonts w:hint="eastAsia"/>
              </w:rPr>
              <w:t>个</w:t>
            </w:r>
            <w:r>
              <w:rPr>
                <w:rFonts w:hint="eastAsia"/>
              </w:rPr>
              <w:t>100</w:t>
            </w:r>
            <w:r>
              <w:rPr>
                <w:rFonts w:hint="eastAsia"/>
              </w:rPr>
              <w:t>％</w:t>
            </w:r>
            <w:r>
              <w:rPr>
                <w:rFonts w:hint="eastAsia"/>
              </w:rPr>
              <w:t>"</w:t>
            </w:r>
            <w:r>
              <w:rPr>
                <w:rFonts w:hint="eastAsia"/>
              </w:rPr>
              <w:t>监管公示牌，公布扬尘污染监督举报电话，接受社会和輿论监督。</w:t>
            </w:r>
          </w:p>
          <w:p w:rsidR="00BC07F0" w:rsidRDefault="00073EFB" w:rsidP="00C55F5E">
            <w:pPr>
              <w:ind w:firstLine="480"/>
            </w:pPr>
            <w:r>
              <w:rPr>
                <w:rFonts w:hint="eastAsia"/>
              </w:rPr>
              <w:t>⑪　工程建设现场要设置洒水喷淋设备等降尘设施，遇到干燥季节和大风天气时，要安排专人定时喷水降尘，保持路面清洁湿润。外脚手架拆除时应当采取洒水等防尘措施，禁止拍抖密目网造成扬尘。环评要求建设单位必须严格按照相关扬尘的控制及城市扬尘防护规定进行施工，在施工过程中应加强环境监督管理工作，注意</w:t>
            </w:r>
            <w:r>
              <w:rPr>
                <w:rFonts w:hint="eastAsia"/>
              </w:rPr>
              <w:t>文明施工，尽量减少扬尘对环境的影响程度。在严格按要求落实环评提出的各项扬尘防治措施，项目施工期扬尘对周围环境的影响将得到明显的减小。</w:t>
            </w:r>
          </w:p>
          <w:p w:rsidR="00BC07F0" w:rsidRDefault="00073EFB" w:rsidP="00C55F5E">
            <w:pPr>
              <w:ind w:firstLine="482"/>
              <w:rPr>
                <w:b/>
                <w:bCs/>
              </w:rPr>
            </w:pPr>
            <w:r>
              <w:rPr>
                <w:rFonts w:hint="eastAsia"/>
                <w:b/>
                <w:bCs/>
              </w:rPr>
              <w:t>5.1.3</w:t>
            </w:r>
            <w:r>
              <w:rPr>
                <w:rFonts w:hint="eastAsia"/>
                <w:b/>
                <w:bCs/>
              </w:rPr>
              <w:t>堆场扬尘</w:t>
            </w:r>
          </w:p>
          <w:p w:rsidR="00BC07F0" w:rsidRDefault="00073EFB">
            <w:pPr>
              <w:tabs>
                <w:tab w:val="left" w:pos="949"/>
              </w:tabs>
              <w:adjustRightInd w:val="0"/>
              <w:snapToGrid w:val="0"/>
              <w:ind w:firstLine="480"/>
            </w:pPr>
            <w:r>
              <w:rPr>
                <w:rFonts w:hint="eastAsia"/>
              </w:rPr>
              <w:t>由于施工的需要，一些建材需露天堆放；一些施工点表层土壤需人工开挖、堆放，在气候干燥又有风的情况下，会产生扬尘，其扬尘可按堆场起尘的经验公式计算：</w:t>
            </w:r>
          </w:p>
          <w:p w:rsidR="00BC07F0" w:rsidRDefault="00BC07F0">
            <w:pPr>
              <w:tabs>
                <w:tab w:val="left" w:pos="949"/>
              </w:tabs>
              <w:adjustRightInd w:val="0"/>
              <w:snapToGrid w:val="0"/>
              <w:ind w:firstLine="480"/>
              <w:jc w:val="center"/>
            </w:pPr>
            <w:r w:rsidRPr="00BC07F0">
              <w:rPr>
                <w:position w:val="-12"/>
              </w:rPr>
              <w:object w:dxaOrig="237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3pt;height:24pt" o:ole="">
                  <v:imagedata r:id="rId36" o:title=""/>
                </v:shape>
                <o:OLEObject Type="Embed" ProgID="Equation.3" ShapeID="_x0000_i1025" DrawAspect="Content" ObjectID="_1746346129" r:id="rId37"/>
              </w:object>
            </w:r>
          </w:p>
          <w:p w:rsidR="00BC07F0" w:rsidRDefault="00073EFB">
            <w:pPr>
              <w:tabs>
                <w:tab w:val="left" w:pos="949"/>
              </w:tabs>
              <w:adjustRightInd w:val="0"/>
              <w:snapToGrid w:val="0"/>
              <w:ind w:firstLine="480"/>
            </w:pPr>
            <w:r>
              <w:rPr>
                <w:rFonts w:hint="eastAsia"/>
              </w:rPr>
              <w:t>其中：</w:t>
            </w:r>
            <w:r>
              <w:rPr>
                <w:rFonts w:hint="eastAsia"/>
              </w:rPr>
              <w:t>Q</w:t>
            </w:r>
            <w:r>
              <w:rPr>
                <w:rFonts w:hint="eastAsia"/>
              </w:rPr>
              <w:t>──起尘量，</w:t>
            </w:r>
            <w:r>
              <w:rPr>
                <w:rFonts w:hint="eastAsia"/>
              </w:rPr>
              <w:t>kg/t</w:t>
            </w:r>
            <w:r>
              <w:rPr>
                <w:rFonts w:hint="eastAsia"/>
              </w:rPr>
              <w:t>·</w:t>
            </w:r>
            <w:r>
              <w:rPr>
                <w:rFonts w:hint="eastAsia"/>
              </w:rPr>
              <w:t>a</w:t>
            </w:r>
            <w:r>
              <w:rPr>
                <w:rFonts w:hint="eastAsia"/>
              </w:rPr>
              <w:t>；</w:t>
            </w:r>
          </w:p>
          <w:p w:rsidR="00BC07F0" w:rsidRDefault="00073EFB">
            <w:pPr>
              <w:tabs>
                <w:tab w:val="left" w:pos="949"/>
              </w:tabs>
              <w:adjustRightInd w:val="0"/>
              <w:snapToGrid w:val="0"/>
              <w:ind w:firstLine="480"/>
            </w:pPr>
            <w:r>
              <w:rPr>
                <w:rFonts w:hint="eastAsia"/>
              </w:rPr>
              <w:t>V</w:t>
            </w:r>
            <w:r>
              <w:rPr>
                <w:rFonts w:hint="eastAsia"/>
                <w:vertAlign w:val="subscript"/>
              </w:rPr>
              <w:t>50</w:t>
            </w:r>
            <w:r>
              <w:rPr>
                <w:rFonts w:hint="eastAsia"/>
              </w:rPr>
              <w:t>──距地面</w:t>
            </w:r>
            <w:r>
              <w:rPr>
                <w:rFonts w:hint="eastAsia"/>
              </w:rPr>
              <w:t>50 m</w:t>
            </w:r>
            <w:r>
              <w:rPr>
                <w:rFonts w:hint="eastAsia"/>
              </w:rPr>
              <w:t>处风速，</w:t>
            </w:r>
            <w:r>
              <w:rPr>
                <w:rFonts w:hint="eastAsia"/>
              </w:rPr>
              <w:t>m/s</w:t>
            </w:r>
            <w:r>
              <w:rPr>
                <w:rFonts w:hint="eastAsia"/>
              </w:rPr>
              <w:t>；</w:t>
            </w:r>
          </w:p>
          <w:p w:rsidR="00BC07F0" w:rsidRDefault="00073EFB">
            <w:pPr>
              <w:tabs>
                <w:tab w:val="left" w:pos="949"/>
              </w:tabs>
              <w:adjustRightInd w:val="0"/>
              <w:snapToGrid w:val="0"/>
              <w:ind w:firstLine="480"/>
            </w:pPr>
            <w:r>
              <w:rPr>
                <w:rFonts w:hint="eastAsia"/>
              </w:rPr>
              <w:t>V</w:t>
            </w:r>
            <w:r>
              <w:rPr>
                <w:rFonts w:hint="eastAsia"/>
                <w:vertAlign w:val="subscript"/>
              </w:rPr>
              <w:t>0</w:t>
            </w:r>
            <w:r>
              <w:rPr>
                <w:rFonts w:hint="eastAsia"/>
              </w:rPr>
              <w:t>──起尘风速，</w:t>
            </w:r>
            <w:r>
              <w:rPr>
                <w:rFonts w:hint="eastAsia"/>
              </w:rPr>
              <w:t>m/s</w:t>
            </w:r>
            <w:r>
              <w:rPr>
                <w:rFonts w:hint="eastAsia"/>
              </w:rPr>
              <w:t>；</w:t>
            </w:r>
          </w:p>
          <w:p w:rsidR="00BC07F0" w:rsidRDefault="00073EFB">
            <w:pPr>
              <w:tabs>
                <w:tab w:val="left" w:pos="949"/>
              </w:tabs>
              <w:adjustRightInd w:val="0"/>
              <w:snapToGrid w:val="0"/>
              <w:ind w:firstLine="480"/>
            </w:pPr>
            <w:r>
              <w:rPr>
                <w:rFonts w:hint="eastAsia"/>
              </w:rPr>
              <w:t>W</w:t>
            </w:r>
            <w:r>
              <w:rPr>
                <w:rFonts w:hint="eastAsia"/>
              </w:rPr>
              <w:t>──尘粒的含水率，</w:t>
            </w:r>
            <w:r>
              <w:rPr>
                <w:rFonts w:hint="eastAsia"/>
              </w:rPr>
              <w:t>%</w:t>
            </w:r>
            <w:r>
              <w:rPr>
                <w:rFonts w:hint="eastAsia"/>
              </w:rPr>
              <w:t>。</w:t>
            </w:r>
          </w:p>
          <w:p w:rsidR="00BC07F0" w:rsidRDefault="00073EFB">
            <w:pPr>
              <w:tabs>
                <w:tab w:val="left" w:pos="949"/>
              </w:tabs>
              <w:adjustRightInd w:val="0"/>
              <w:snapToGrid w:val="0"/>
              <w:ind w:firstLine="480"/>
            </w:pPr>
            <w:r>
              <w:rPr>
                <w:rFonts w:hint="eastAsia"/>
              </w:rPr>
              <w:t>V</w:t>
            </w:r>
            <w:r>
              <w:rPr>
                <w:rFonts w:hint="eastAsia"/>
                <w:vertAlign w:val="subscript"/>
              </w:rPr>
              <w:t>0</w:t>
            </w:r>
            <w:r>
              <w:rPr>
                <w:rFonts w:hint="eastAsia"/>
              </w:rPr>
              <w:t>与粒径和含水率有关。因此，减少露天堆放和保证一定的含水率及减少裸露地面是减少风力起尘的有效手段。尘粒在空气中的传播扩散情况与风速等气象条件有关，也与尘粒本身的沉降速度有关。以煤尘为例，不同粒径的尘粒的沉降速度见表</w:t>
            </w:r>
            <w:r>
              <w:rPr>
                <w:rFonts w:hint="eastAsia"/>
              </w:rPr>
              <w:t>5.1-1</w:t>
            </w:r>
            <w:r>
              <w:rPr>
                <w:rFonts w:hint="eastAsia"/>
              </w:rPr>
              <w:t>。</w:t>
            </w:r>
          </w:p>
          <w:p w:rsidR="00BC07F0" w:rsidRDefault="00073EFB">
            <w:pPr>
              <w:pStyle w:val="a7"/>
              <w:rPr>
                <w:rFonts w:hint="default"/>
                <w:b/>
                <w:bCs/>
              </w:rPr>
            </w:pPr>
            <w:r>
              <w:rPr>
                <w:b/>
                <w:bCs/>
              </w:rPr>
              <w:t>表</w:t>
            </w:r>
            <w:r>
              <w:rPr>
                <w:b/>
                <w:bCs/>
              </w:rPr>
              <w:t>5.1-1</w:t>
            </w:r>
            <w:r>
              <w:rPr>
                <w:b/>
                <w:bCs/>
              </w:rPr>
              <w:t>不同粒径尘粒的沉降速度</w:t>
            </w:r>
          </w:p>
          <w:tbl>
            <w:tblPr>
              <w:tblW w:w="495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856"/>
              <w:gridCol w:w="1033"/>
              <w:gridCol w:w="1033"/>
              <w:gridCol w:w="1033"/>
              <w:gridCol w:w="1034"/>
              <w:gridCol w:w="1033"/>
              <w:gridCol w:w="1033"/>
              <w:gridCol w:w="1034"/>
            </w:tblGrid>
            <w:tr w:rsidR="00BC07F0">
              <w:trPr>
                <w:trHeight w:val="397"/>
                <w:jc w:val="center"/>
              </w:trPr>
              <w:tc>
                <w:tcPr>
                  <w:tcW w:w="1811" w:type="dxa"/>
                  <w:vAlign w:val="center"/>
                </w:tcPr>
                <w:p w:rsidR="00BC07F0" w:rsidRDefault="00073EFB">
                  <w:pPr>
                    <w:pStyle w:val="a7"/>
                    <w:rPr>
                      <w:rFonts w:hint="default"/>
                    </w:rPr>
                  </w:pPr>
                  <w:r>
                    <w:t>粉尘粒径</w:t>
                  </w:r>
                  <w:r>
                    <w:t xml:space="preserve"> (</w:t>
                  </w:r>
                  <w:r>
                    <w:sym w:font="Symbol" w:char="F06D"/>
                  </w:r>
                  <w:r>
                    <w:t>m)</w:t>
                  </w:r>
                </w:p>
              </w:tc>
              <w:tc>
                <w:tcPr>
                  <w:tcW w:w="1008" w:type="dxa"/>
                  <w:vAlign w:val="center"/>
                </w:tcPr>
                <w:p w:rsidR="00BC07F0" w:rsidRDefault="00073EFB">
                  <w:pPr>
                    <w:pStyle w:val="a7"/>
                    <w:rPr>
                      <w:rFonts w:hint="default"/>
                    </w:rPr>
                  </w:pPr>
                  <w:r>
                    <w:t>10</w:t>
                  </w:r>
                </w:p>
              </w:tc>
              <w:tc>
                <w:tcPr>
                  <w:tcW w:w="1008" w:type="dxa"/>
                  <w:vAlign w:val="center"/>
                </w:tcPr>
                <w:p w:rsidR="00BC07F0" w:rsidRDefault="00073EFB">
                  <w:pPr>
                    <w:pStyle w:val="a7"/>
                    <w:rPr>
                      <w:rFonts w:hint="default"/>
                    </w:rPr>
                  </w:pPr>
                  <w:r>
                    <w:t>20</w:t>
                  </w:r>
                </w:p>
              </w:tc>
              <w:tc>
                <w:tcPr>
                  <w:tcW w:w="1008" w:type="dxa"/>
                  <w:vAlign w:val="center"/>
                </w:tcPr>
                <w:p w:rsidR="00BC07F0" w:rsidRDefault="00073EFB">
                  <w:pPr>
                    <w:pStyle w:val="a7"/>
                    <w:rPr>
                      <w:rFonts w:hint="default"/>
                    </w:rPr>
                  </w:pPr>
                  <w:r>
                    <w:t>30</w:t>
                  </w:r>
                </w:p>
              </w:tc>
              <w:tc>
                <w:tcPr>
                  <w:tcW w:w="1009" w:type="dxa"/>
                  <w:vAlign w:val="center"/>
                </w:tcPr>
                <w:p w:rsidR="00BC07F0" w:rsidRDefault="00073EFB">
                  <w:pPr>
                    <w:pStyle w:val="a7"/>
                    <w:rPr>
                      <w:rFonts w:hint="default"/>
                    </w:rPr>
                  </w:pPr>
                  <w:r>
                    <w:t>40</w:t>
                  </w:r>
                </w:p>
              </w:tc>
              <w:tc>
                <w:tcPr>
                  <w:tcW w:w="1008" w:type="dxa"/>
                  <w:vAlign w:val="center"/>
                </w:tcPr>
                <w:p w:rsidR="00BC07F0" w:rsidRDefault="00073EFB">
                  <w:pPr>
                    <w:pStyle w:val="a7"/>
                    <w:rPr>
                      <w:rFonts w:hint="default"/>
                    </w:rPr>
                  </w:pPr>
                  <w:r>
                    <w:t>50</w:t>
                  </w:r>
                </w:p>
              </w:tc>
              <w:tc>
                <w:tcPr>
                  <w:tcW w:w="1008" w:type="dxa"/>
                  <w:vAlign w:val="center"/>
                </w:tcPr>
                <w:p w:rsidR="00BC07F0" w:rsidRDefault="00073EFB">
                  <w:pPr>
                    <w:pStyle w:val="a7"/>
                    <w:rPr>
                      <w:rFonts w:hint="default"/>
                    </w:rPr>
                  </w:pPr>
                  <w:r>
                    <w:t>60</w:t>
                  </w:r>
                </w:p>
              </w:tc>
              <w:tc>
                <w:tcPr>
                  <w:tcW w:w="1009" w:type="dxa"/>
                  <w:vAlign w:val="center"/>
                </w:tcPr>
                <w:p w:rsidR="00BC07F0" w:rsidRDefault="00073EFB">
                  <w:pPr>
                    <w:pStyle w:val="a7"/>
                    <w:rPr>
                      <w:rFonts w:hint="default"/>
                    </w:rPr>
                  </w:pPr>
                  <w:r>
                    <w:t>70</w:t>
                  </w:r>
                </w:p>
              </w:tc>
            </w:tr>
            <w:tr w:rsidR="00BC07F0">
              <w:trPr>
                <w:trHeight w:val="397"/>
                <w:jc w:val="center"/>
              </w:trPr>
              <w:tc>
                <w:tcPr>
                  <w:tcW w:w="1811" w:type="dxa"/>
                  <w:vAlign w:val="center"/>
                </w:tcPr>
                <w:p w:rsidR="00BC07F0" w:rsidRDefault="00073EFB">
                  <w:pPr>
                    <w:pStyle w:val="a7"/>
                    <w:rPr>
                      <w:rFonts w:hint="default"/>
                    </w:rPr>
                  </w:pPr>
                  <w:r>
                    <w:t>沉降速度</w:t>
                  </w:r>
                  <w:r>
                    <w:t xml:space="preserve"> (m/s)</w:t>
                  </w:r>
                </w:p>
              </w:tc>
              <w:tc>
                <w:tcPr>
                  <w:tcW w:w="1008" w:type="dxa"/>
                  <w:vAlign w:val="center"/>
                </w:tcPr>
                <w:p w:rsidR="00BC07F0" w:rsidRDefault="00073EFB">
                  <w:pPr>
                    <w:pStyle w:val="a7"/>
                    <w:rPr>
                      <w:rFonts w:hint="default"/>
                    </w:rPr>
                  </w:pPr>
                  <w:r>
                    <w:t>0.003</w:t>
                  </w:r>
                </w:p>
              </w:tc>
              <w:tc>
                <w:tcPr>
                  <w:tcW w:w="1008" w:type="dxa"/>
                  <w:vAlign w:val="center"/>
                </w:tcPr>
                <w:p w:rsidR="00BC07F0" w:rsidRDefault="00073EFB">
                  <w:pPr>
                    <w:pStyle w:val="a7"/>
                    <w:rPr>
                      <w:rFonts w:hint="default"/>
                    </w:rPr>
                  </w:pPr>
                  <w:r>
                    <w:t>0.012</w:t>
                  </w:r>
                </w:p>
              </w:tc>
              <w:tc>
                <w:tcPr>
                  <w:tcW w:w="1008" w:type="dxa"/>
                  <w:vAlign w:val="center"/>
                </w:tcPr>
                <w:p w:rsidR="00BC07F0" w:rsidRDefault="00073EFB">
                  <w:pPr>
                    <w:pStyle w:val="a7"/>
                    <w:rPr>
                      <w:rFonts w:hint="default"/>
                    </w:rPr>
                  </w:pPr>
                  <w:r>
                    <w:t>0.027</w:t>
                  </w:r>
                </w:p>
              </w:tc>
              <w:tc>
                <w:tcPr>
                  <w:tcW w:w="1009" w:type="dxa"/>
                  <w:vAlign w:val="center"/>
                </w:tcPr>
                <w:p w:rsidR="00BC07F0" w:rsidRDefault="00073EFB">
                  <w:pPr>
                    <w:pStyle w:val="a7"/>
                    <w:rPr>
                      <w:rFonts w:hint="default"/>
                    </w:rPr>
                  </w:pPr>
                  <w:r>
                    <w:t>0.048</w:t>
                  </w:r>
                </w:p>
              </w:tc>
              <w:tc>
                <w:tcPr>
                  <w:tcW w:w="1008" w:type="dxa"/>
                  <w:vAlign w:val="center"/>
                </w:tcPr>
                <w:p w:rsidR="00BC07F0" w:rsidRDefault="00073EFB">
                  <w:pPr>
                    <w:pStyle w:val="a7"/>
                    <w:rPr>
                      <w:rFonts w:hint="default"/>
                    </w:rPr>
                  </w:pPr>
                  <w:r>
                    <w:t>0.075</w:t>
                  </w:r>
                </w:p>
              </w:tc>
              <w:tc>
                <w:tcPr>
                  <w:tcW w:w="1008" w:type="dxa"/>
                  <w:vAlign w:val="center"/>
                </w:tcPr>
                <w:p w:rsidR="00BC07F0" w:rsidRDefault="00073EFB">
                  <w:pPr>
                    <w:pStyle w:val="a7"/>
                    <w:rPr>
                      <w:rFonts w:hint="default"/>
                    </w:rPr>
                  </w:pPr>
                  <w:r>
                    <w:t>0.108</w:t>
                  </w:r>
                </w:p>
              </w:tc>
              <w:tc>
                <w:tcPr>
                  <w:tcW w:w="1009" w:type="dxa"/>
                  <w:vAlign w:val="center"/>
                </w:tcPr>
                <w:p w:rsidR="00BC07F0" w:rsidRDefault="00073EFB">
                  <w:pPr>
                    <w:pStyle w:val="a7"/>
                    <w:rPr>
                      <w:rFonts w:hint="default"/>
                    </w:rPr>
                  </w:pPr>
                  <w:r>
                    <w:t>0.147</w:t>
                  </w:r>
                </w:p>
              </w:tc>
            </w:tr>
            <w:tr w:rsidR="00BC07F0">
              <w:trPr>
                <w:trHeight w:val="397"/>
                <w:jc w:val="center"/>
              </w:trPr>
              <w:tc>
                <w:tcPr>
                  <w:tcW w:w="1811" w:type="dxa"/>
                  <w:vAlign w:val="center"/>
                </w:tcPr>
                <w:p w:rsidR="00BC07F0" w:rsidRDefault="00073EFB">
                  <w:pPr>
                    <w:pStyle w:val="a7"/>
                    <w:rPr>
                      <w:rFonts w:hint="default"/>
                    </w:rPr>
                  </w:pPr>
                  <w:r>
                    <w:t>粉尘粒径</w:t>
                  </w:r>
                  <w:r>
                    <w:t xml:space="preserve"> (</w:t>
                  </w:r>
                  <w:r>
                    <w:sym w:font="Symbol" w:char="F06D"/>
                  </w:r>
                  <w:r>
                    <w:t>m)</w:t>
                  </w:r>
                </w:p>
              </w:tc>
              <w:tc>
                <w:tcPr>
                  <w:tcW w:w="1008" w:type="dxa"/>
                  <w:vAlign w:val="center"/>
                </w:tcPr>
                <w:p w:rsidR="00BC07F0" w:rsidRDefault="00073EFB">
                  <w:pPr>
                    <w:pStyle w:val="a7"/>
                    <w:rPr>
                      <w:rFonts w:hint="default"/>
                    </w:rPr>
                  </w:pPr>
                  <w:r>
                    <w:t>80</w:t>
                  </w:r>
                </w:p>
              </w:tc>
              <w:tc>
                <w:tcPr>
                  <w:tcW w:w="1008" w:type="dxa"/>
                  <w:vAlign w:val="center"/>
                </w:tcPr>
                <w:p w:rsidR="00BC07F0" w:rsidRDefault="00073EFB">
                  <w:pPr>
                    <w:pStyle w:val="a7"/>
                    <w:rPr>
                      <w:rFonts w:hint="default"/>
                    </w:rPr>
                  </w:pPr>
                  <w:r>
                    <w:t>90</w:t>
                  </w:r>
                </w:p>
              </w:tc>
              <w:tc>
                <w:tcPr>
                  <w:tcW w:w="1008" w:type="dxa"/>
                  <w:vAlign w:val="center"/>
                </w:tcPr>
                <w:p w:rsidR="00BC07F0" w:rsidRDefault="00073EFB">
                  <w:pPr>
                    <w:pStyle w:val="a7"/>
                    <w:rPr>
                      <w:rFonts w:hint="default"/>
                    </w:rPr>
                  </w:pPr>
                  <w:r>
                    <w:t>100</w:t>
                  </w:r>
                </w:p>
              </w:tc>
              <w:tc>
                <w:tcPr>
                  <w:tcW w:w="1009" w:type="dxa"/>
                  <w:vAlign w:val="center"/>
                </w:tcPr>
                <w:p w:rsidR="00BC07F0" w:rsidRDefault="00073EFB">
                  <w:pPr>
                    <w:pStyle w:val="a7"/>
                    <w:rPr>
                      <w:rFonts w:hint="default"/>
                    </w:rPr>
                  </w:pPr>
                  <w:r>
                    <w:t>150</w:t>
                  </w:r>
                </w:p>
              </w:tc>
              <w:tc>
                <w:tcPr>
                  <w:tcW w:w="1008" w:type="dxa"/>
                  <w:vAlign w:val="center"/>
                </w:tcPr>
                <w:p w:rsidR="00BC07F0" w:rsidRDefault="00073EFB">
                  <w:pPr>
                    <w:pStyle w:val="a7"/>
                    <w:rPr>
                      <w:rFonts w:hint="default"/>
                    </w:rPr>
                  </w:pPr>
                  <w:r>
                    <w:t>200</w:t>
                  </w:r>
                </w:p>
              </w:tc>
              <w:tc>
                <w:tcPr>
                  <w:tcW w:w="1008" w:type="dxa"/>
                  <w:vAlign w:val="center"/>
                </w:tcPr>
                <w:p w:rsidR="00BC07F0" w:rsidRDefault="00073EFB">
                  <w:pPr>
                    <w:pStyle w:val="a7"/>
                    <w:rPr>
                      <w:rFonts w:hint="default"/>
                    </w:rPr>
                  </w:pPr>
                  <w:r>
                    <w:t>250</w:t>
                  </w:r>
                </w:p>
              </w:tc>
              <w:tc>
                <w:tcPr>
                  <w:tcW w:w="1009" w:type="dxa"/>
                  <w:vAlign w:val="center"/>
                </w:tcPr>
                <w:p w:rsidR="00BC07F0" w:rsidRDefault="00073EFB">
                  <w:pPr>
                    <w:pStyle w:val="a7"/>
                    <w:rPr>
                      <w:rFonts w:hint="default"/>
                    </w:rPr>
                  </w:pPr>
                  <w:r>
                    <w:t>350</w:t>
                  </w:r>
                </w:p>
              </w:tc>
            </w:tr>
            <w:tr w:rsidR="00BC07F0">
              <w:trPr>
                <w:trHeight w:val="397"/>
                <w:jc w:val="center"/>
              </w:trPr>
              <w:tc>
                <w:tcPr>
                  <w:tcW w:w="1811" w:type="dxa"/>
                  <w:vAlign w:val="center"/>
                </w:tcPr>
                <w:p w:rsidR="00BC07F0" w:rsidRDefault="00073EFB">
                  <w:pPr>
                    <w:pStyle w:val="a7"/>
                    <w:rPr>
                      <w:rFonts w:hint="default"/>
                    </w:rPr>
                  </w:pPr>
                  <w:r>
                    <w:lastRenderedPageBreak/>
                    <w:t>沉降速度</w:t>
                  </w:r>
                  <w:r>
                    <w:t xml:space="preserve"> (m/s)</w:t>
                  </w:r>
                </w:p>
              </w:tc>
              <w:tc>
                <w:tcPr>
                  <w:tcW w:w="1008" w:type="dxa"/>
                  <w:vAlign w:val="center"/>
                </w:tcPr>
                <w:p w:rsidR="00BC07F0" w:rsidRDefault="00073EFB">
                  <w:pPr>
                    <w:pStyle w:val="a7"/>
                    <w:rPr>
                      <w:rFonts w:hint="default"/>
                    </w:rPr>
                  </w:pPr>
                  <w:r>
                    <w:t>0.158</w:t>
                  </w:r>
                </w:p>
              </w:tc>
              <w:tc>
                <w:tcPr>
                  <w:tcW w:w="1008" w:type="dxa"/>
                  <w:vAlign w:val="center"/>
                </w:tcPr>
                <w:p w:rsidR="00BC07F0" w:rsidRDefault="00073EFB">
                  <w:pPr>
                    <w:pStyle w:val="a7"/>
                    <w:rPr>
                      <w:rFonts w:hint="default"/>
                    </w:rPr>
                  </w:pPr>
                  <w:r>
                    <w:t>0.170</w:t>
                  </w:r>
                </w:p>
              </w:tc>
              <w:tc>
                <w:tcPr>
                  <w:tcW w:w="1008" w:type="dxa"/>
                  <w:vAlign w:val="center"/>
                </w:tcPr>
                <w:p w:rsidR="00BC07F0" w:rsidRDefault="00073EFB">
                  <w:pPr>
                    <w:pStyle w:val="a7"/>
                    <w:rPr>
                      <w:rFonts w:hint="default"/>
                    </w:rPr>
                  </w:pPr>
                  <w:r>
                    <w:t>0.182</w:t>
                  </w:r>
                </w:p>
              </w:tc>
              <w:tc>
                <w:tcPr>
                  <w:tcW w:w="1009" w:type="dxa"/>
                  <w:vAlign w:val="center"/>
                </w:tcPr>
                <w:p w:rsidR="00BC07F0" w:rsidRDefault="00073EFB">
                  <w:pPr>
                    <w:pStyle w:val="a7"/>
                    <w:rPr>
                      <w:rFonts w:hint="default"/>
                    </w:rPr>
                  </w:pPr>
                  <w:r>
                    <w:t>0.239</w:t>
                  </w:r>
                </w:p>
              </w:tc>
              <w:tc>
                <w:tcPr>
                  <w:tcW w:w="1008" w:type="dxa"/>
                  <w:vAlign w:val="center"/>
                </w:tcPr>
                <w:p w:rsidR="00BC07F0" w:rsidRDefault="00073EFB">
                  <w:pPr>
                    <w:pStyle w:val="a7"/>
                    <w:rPr>
                      <w:rFonts w:hint="default"/>
                    </w:rPr>
                  </w:pPr>
                  <w:r>
                    <w:t>0.804</w:t>
                  </w:r>
                </w:p>
              </w:tc>
              <w:tc>
                <w:tcPr>
                  <w:tcW w:w="1008" w:type="dxa"/>
                  <w:vAlign w:val="center"/>
                </w:tcPr>
                <w:p w:rsidR="00BC07F0" w:rsidRDefault="00073EFB">
                  <w:pPr>
                    <w:pStyle w:val="a7"/>
                    <w:rPr>
                      <w:rFonts w:hint="default"/>
                    </w:rPr>
                  </w:pPr>
                  <w:r>
                    <w:t>1.005</w:t>
                  </w:r>
                </w:p>
              </w:tc>
              <w:tc>
                <w:tcPr>
                  <w:tcW w:w="1009" w:type="dxa"/>
                  <w:vAlign w:val="center"/>
                </w:tcPr>
                <w:p w:rsidR="00BC07F0" w:rsidRDefault="00073EFB">
                  <w:pPr>
                    <w:pStyle w:val="a7"/>
                    <w:rPr>
                      <w:rFonts w:hint="default"/>
                    </w:rPr>
                  </w:pPr>
                  <w:r>
                    <w:t>1.829</w:t>
                  </w:r>
                </w:p>
              </w:tc>
            </w:tr>
            <w:tr w:rsidR="00BC07F0">
              <w:trPr>
                <w:trHeight w:val="397"/>
                <w:jc w:val="center"/>
              </w:trPr>
              <w:tc>
                <w:tcPr>
                  <w:tcW w:w="1811" w:type="dxa"/>
                  <w:vAlign w:val="center"/>
                </w:tcPr>
                <w:p w:rsidR="00BC07F0" w:rsidRDefault="00073EFB">
                  <w:pPr>
                    <w:pStyle w:val="a7"/>
                    <w:rPr>
                      <w:rFonts w:hint="default"/>
                    </w:rPr>
                  </w:pPr>
                  <w:r>
                    <w:t>粉尘粒径</w:t>
                  </w:r>
                  <w:r>
                    <w:t xml:space="preserve"> (</w:t>
                  </w:r>
                  <w:r>
                    <w:sym w:font="Symbol" w:char="F06D"/>
                  </w:r>
                  <w:r>
                    <w:t>m)</w:t>
                  </w:r>
                </w:p>
              </w:tc>
              <w:tc>
                <w:tcPr>
                  <w:tcW w:w="1008" w:type="dxa"/>
                  <w:vAlign w:val="center"/>
                </w:tcPr>
                <w:p w:rsidR="00BC07F0" w:rsidRDefault="00073EFB">
                  <w:pPr>
                    <w:pStyle w:val="a7"/>
                    <w:rPr>
                      <w:rFonts w:hint="default"/>
                    </w:rPr>
                  </w:pPr>
                  <w:r>
                    <w:t>450</w:t>
                  </w:r>
                </w:p>
              </w:tc>
              <w:tc>
                <w:tcPr>
                  <w:tcW w:w="1008" w:type="dxa"/>
                  <w:vAlign w:val="center"/>
                </w:tcPr>
                <w:p w:rsidR="00BC07F0" w:rsidRDefault="00073EFB">
                  <w:pPr>
                    <w:pStyle w:val="a7"/>
                    <w:rPr>
                      <w:rFonts w:hint="default"/>
                    </w:rPr>
                  </w:pPr>
                  <w:r>
                    <w:t>550</w:t>
                  </w:r>
                </w:p>
              </w:tc>
              <w:tc>
                <w:tcPr>
                  <w:tcW w:w="1008" w:type="dxa"/>
                  <w:vAlign w:val="center"/>
                </w:tcPr>
                <w:p w:rsidR="00BC07F0" w:rsidRDefault="00073EFB">
                  <w:pPr>
                    <w:pStyle w:val="a7"/>
                    <w:rPr>
                      <w:rFonts w:hint="default"/>
                    </w:rPr>
                  </w:pPr>
                  <w:r>
                    <w:t>650</w:t>
                  </w:r>
                </w:p>
              </w:tc>
              <w:tc>
                <w:tcPr>
                  <w:tcW w:w="1009" w:type="dxa"/>
                  <w:vAlign w:val="center"/>
                </w:tcPr>
                <w:p w:rsidR="00BC07F0" w:rsidRDefault="00073EFB">
                  <w:pPr>
                    <w:pStyle w:val="a7"/>
                    <w:rPr>
                      <w:rFonts w:hint="default"/>
                    </w:rPr>
                  </w:pPr>
                  <w:r>
                    <w:t>750</w:t>
                  </w:r>
                </w:p>
              </w:tc>
              <w:tc>
                <w:tcPr>
                  <w:tcW w:w="1008" w:type="dxa"/>
                  <w:vAlign w:val="center"/>
                </w:tcPr>
                <w:p w:rsidR="00BC07F0" w:rsidRDefault="00073EFB">
                  <w:pPr>
                    <w:pStyle w:val="a7"/>
                    <w:rPr>
                      <w:rFonts w:hint="default"/>
                    </w:rPr>
                  </w:pPr>
                  <w:r>
                    <w:t>850</w:t>
                  </w:r>
                </w:p>
              </w:tc>
              <w:tc>
                <w:tcPr>
                  <w:tcW w:w="1008" w:type="dxa"/>
                  <w:vAlign w:val="center"/>
                </w:tcPr>
                <w:p w:rsidR="00BC07F0" w:rsidRDefault="00073EFB">
                  <w:pPr>
                    <w:pStyle w:val="a7"/>
                    <w:rPr>
                      <w:rFonts w:hint="default"/>
                    </w:rPr>
                  </w:pPr>
                  <w:r>
                    <w:t>950</w:t>
                  </w:r>
                </w:p>
              </w:tc>
              <w:tc>
                <w:tcPr>
                  <w:tcW w:w="1009" w:type="dxa"/>
                  <w:vAlign w:val="center"/>
                </w:tcPr>
                <w:p w:rsidR="00BC07F0" w:rsidRDefault="00073EFB">
                  <w:pPr>
                    <w:pStyle w:val="a7"/>
                    <w:rPr>
                      <w:rFonts w:hint="default"/>
                    </w:rPr>
                  </w:pPr>
                  <w:r>
                    <w:t>1050</w:t>
                  </w:r>
                </w:p>
              </w:tc>
            </w:tr>
          </w:tbl>
          <w:p w:rsidR="00BC07F0" w:rsidRDefault="00073EFB" w:rsidP="00C55F5E">
            <w:pPr>
              <w:ind w:firstLine="480"/>
            </w:pPr>
            <w:r>
              <w:rPr>
                <w:rFonts w:hint="eastAsia"/>
              </w:rPr>
              <w:t>粉尘的沉降速度随粒径的增大而迅速增大。当粒径为</w:t>
            </w:r>
            <w:r>
              <w:rPr>
                <w:rFonts w:hint="eastAsia"/>
              </w:rPr>
              <w:t>250</w:t>
            </w:r>
            <w:r>
              <w:rPr>
                <w:rFonts w:hint="eastAsia"/>
              </w:rPr>
              <w:t>μ</w:t>
            </w:r>
            <w:r>
              <w:rPr>
                <w:rFonts w:hint="eastAsia"/>
              </w:rPr>
              <w:t xml:space="preserve">m </w:t>
            </w:r>
            <w:r>
              <w:rPr>
                <w:rFonts w:hint="eastAsia"/>
              </w:rPr>
              <w:t>时，沉降速度为</w:t>
            </w:r>
            <w:r>
              <w:rPr>
                <w:rFonts w:hint="eastAsia"/>
              </w:rPr>
              <w:t>1.005m/s</w:t>
            </w:r>
            <w:r>
              <w:rPr>
                <w:rFonts w:hint="eastAsia"/>
              </w:rPr>
              <w:t>，因此可以认为当尘粒大于</w:t>
            </w:r>
            <w:r>
              <w:rPr>
                <w:rFonts w:hint="eastAsia"/>
              </w:rPr>
              <w:t>250</w:t>
            </w:r>
            <w:r>
              <w:rPr>
                <w:rFonts w:hint="eastAsia"/>
              </w:rPr>
              <w:t>μ</w:t>
            </w:r>
            <w:r>
              <w:rPr>
                <w:rFonts w:hint="eastAsia"/>
              </w:rPr>
              <w:t xml:space="preserve">m </w:t>
            </w:r>
            <w:r>
              <w:rPr>
                <w:rFonts w:hint="eastAsia"/>
              </w:rPr>
              <w:t>时，主要影响范围在扬尘点下风向近距离范围内，而真正对外环境产生影响的是一些微小粒径的粉尘。施工场地下风向</w:t>
            </w:r>
            <w:r>
              <w:rPr>
                <w:rFonts w:hint="eastAsia"/>
              </w:rPr>
              <w:t xml:space="preserve">200m </w:t>
            </w:r>
            <w:r>
              <w:rPr>
                <w:rFonts w:hint="eastAsia"/>
              </w:rPr>
              <w:t>范围内无敏感点，本评价要求</w:t>
            </w:r>
            <w:r>
              <w:rPr>
                <w:rFonts w:hint="eastAsia"/>
              </w:rPr>
              <w:t>堆场</w:t>
            </w:r>
            <w:r>
              <w:rPr>
                <w:rFonts w:hint="eastAsia"/>
              </w:rPr>
              <w:t>定期洒水，并且用帆布覆盖，从而减少其对周围环境空气质量的影响。</w:t>
            </w:r>
          </w:p>
          <w:p w:rsidR="00BC07F0" w:rsidRDefault="00073EFB" w:rsidP="00C55F5E">
            <w:pPr>
              <w:ind w:firstLine="482"/>
              <w:rPr>
                <w:b/>
                <w:bCs/>
              </w:rPr>
            </w:pPr>
            <w:r>
              <w:rPr>
                <w:rFonts w:hint="eastAsia"/>
                <w:b/>
                <w:bCs/>
              </w:rPr>
              <w:t>5.1.4</w:t>
            </w:r>
            <w:r>
              <w:rPr>
                <w:rFonts w:hint="eastAsia"/>
                <w:b/>
                <w:bCs/>
              </w:rPr>
              <w:t>道路扬尘</w:t>
            </w:r>
          </w:p>
          <w:p w:rsidR="00BC07F0" w:rsidRDefault="00073EFB" w:rsidP="00C55F5E">
            <w:pPr>
              <w:ind w:firstLine="480"/>
            </w:pPr>
            <w:r>
              <w:rPr>
                <w:rFonts w:hint="eastAsia"/>
              </w:rPr>
              <w:t>汽车在公路上形式会使路面产生二次扬尘污染，应该加强对装载散装物资如砂石、水泥等车辆的检查与管理，要求运输物资需加盖篷布，同时定期对路面进行清扫，以减少扬尘对周围环境的影响。</w:t>
            </w:r>
          </w:p>
          <w:p w:rsidR="00BC07F0" w:rsidRDefault="00073EFB" w:rsidP="00C55F5E">
            <w:pPr>
              <w:ind w:firstLine="482"/>
              <w:rPr>
                <w:b/>
                <w:bCs/>
              </w:rPr>
            </w:pPr>
            <w:r>
              <w:rPr>
                <w:rFonts w:hint="eastAsia"/>
                <w:b/>
                <w:bCs/>
              </w:rPr>
              <w:t>5.1.5</w:t>
            </w:r>
            <w:r>
              <w:rPr>
                <w:rFonts w:hint="eastAsia"/>
                <w:b/>
                <w:bCs/>
              </w:rPr>
              <w:t>底泥恶臭。</w:t>
            </w:r>
          </w:p>
          <w:p w:rsidR="00BC07F0" w:rsidRDefault="00073EFB" w:rsidP="00C55F5E">
            <w:pPr>
              <w:ind w:firstLine="480"/>
            </w:pPr>
            <w:r>
              <w:rPr>
                <w:rFonts w:hint="eastAsia"/>
              </w:rPr>
              <w:t>主要产生于施工疏浚现场和干化过程，臭气主要污染物为</w:t>
            </w:r>
            <w:r>
              <w:rPr>
                <w:rFonts w:hint="eastAsia"/>
              </w:rPr>
              <w:t>H</w:t>
            </w:r>
            <w:r>
              <w:rPr>
                <w:rFonts w:hint="eastAsia"/>
                <w:vertAlign w:val="subscript"/>
              </w:rPr>
              <w:t>2</w:t>
            </w:r>
            <w:r>
              <w:rPr>
                <w:rFonts w:hint="eastAsia"/>
              </w:rPr>
              <w:t>S</w:t>
            </w:r>
            <w:r>
              <w:rPr>
                <w:rFonts w:hint="eastAsia"/>
              </w:rPr>
              <w:t>、硫醚类、氨等物质的混合物。施工现场通过类比其他同类项目疏浚作业的数据经验，恶臭强度一般为</w:t>
            </w:r>
            <w:r>
              <w:rPr>
                <w:rFonts w:hint="eastAsia"/>
              </w:rPr>
              <w:t>2-3</w:t>
            </w:r>
            <w:r>
              <w:rPr>
                <w:rFonts w:hint="eastAsia"/>
              </w:rPr>
              <w:t>级，无风条件下的影响范围为</w:t>
            </w:r>
            <w:r>
              <w:rPr>
                <w:rFonts w:hint="eastAsia"/>
              </w:rPr>
              <w:t>30m</w:t>
            </w:r>
            <w:r>
              <w:rPr>
                <w:rFonts w:hint="eastAsia"/>
              </w:rPr>
              <w:t>，有风时下风向受影响的距离将略微增大，但均小于</w:t>
            </w:r>
            <w:r>
              <w:rPr>
                <w:rFonts w:hint="eastAsia"/>
              </w:rPr>
              <w:t>100m</w:t>
            </w:r>
            <w:r>
              <w:rPr>
                <w:rFonts w:hint="eastAsia"/>
              </w:rPr>
              <w:t>。本项目</w:t>
            </w:r>
            <w:r>
              <w:rPr>
                <w:rFonts w:hint="eastAsia"/>
              </w:rPr>
              <w:t>清淤</w:t>
            </w:r>
            <w:r>
              <w:rPr>
                <w:rFonts w:hint="eastAsia"/>
              </w:rPr>
              <w:t>疏浚段环境保护目标</w:t>
            </w:r>
            <w:r>
              <w:rPr>
                <w:rFonts w:hint="eastAsia"/>
              </w:rPr>
              <w:t>主要是幸福河清淤河段周边</w:t>
            </w:r>
            <w:r>
              <w:rPr>
                <w:rFonts w:hint="eastAsia"/>
              </w:rPr>
              <w:t>社区</w:t>
            </w:r>
            <w:r>
              <w:rPr>
                <w:rFonts w:hint="eastAsia"/>
              </w:rPr>
              <w:t>居民</w:t>
            </w:r>
            <w:r>
              <w:rPr>
                <w:rFonts w:hint="eastAsia"/>
              </w:rPr>
              <w:t>，</w:t>
            </w:r>
            <w:r>
              <w:rPr>
                <w:rFonts w:hint="eastAsia"/>
              </w:rPr>
              <w:t>因此本次评价建议将</w:t>
            </w:r>
            <w:r>
              <w:rPr>
                <w:rFonts w:hint="eastAsia"/>
              </w:rPr>
              <w:t>清淤季节建议在冬季，</w:t>
            </w:r>
            <w:r>
              <w:rPr>
                <w:rFonts w:hint="eastAsia"/>
              </w:rPr>
              <w:t xml:space="preserve"> </w:t>
            </w:r>
            <w:r>
              <w:rPr>
                <w:rFonts w:hint="eastAsia"/>
              </w:rPr>
              <w:t>清淤的气味不易发散，而且冬季居民的窗户关闭，可以减轻臭气对周围居民的影响；敏感点段施工时加快施工进程，设置挡板，降低对敏感点的影响。施工期环境空气污染具有影响距离近、影响范围小的特点，影响时段仅限于施工期，随工程施工的结束而</w:t>
            </w:r>
            <w:r>
              <w:rPr>
                <w:rFonts w:hint="eastAsia"/>
              </w:rPr>
              <w:t>停止，不会产生累积的污染影响。应切实做好上述防治措施，</w:t>
            </w:r>
            <w:r>
              <w:rPr>
                <w:rFonts w:hint="eastAsia"/>
              </w:rPr>
              <w:t xml:space="preserve"> </w:t>
            </w:r>
            <w:r>
              <w:rPr>
                <w:rFonts w:hint="eastAsia"/>
              </w:rPr>
              <w:t>强调文明施工，加强环保管理要求，制定工作责任制，并服从环保部门的监督管理，最大限度地减小施工期影响。</w:t>
            </w:r>
          </w:p>
          <w:p w:rsidR="00BC07F0" w:rsidRDefault="00073EFB" w:rsidP="00C55F5E">
            <w:pPr>
              <w:ind w:firstLine="482"/>
              <w:rPr>
                <w:b/>
                <w:bCs/>
              </w:rPr>
            </w:pPr>
            <w:r>
              <w:rPr>
                <w:rFonts w:hint="eastAsia"/>
                <w:b/>
                <w:bCs/>
              </w:rPr>
              <w:t>5.2</w:t>
            </w:r>
            <w:r>
              <w:rPr>
                <w:rFonts w:hint="eastAsia"/>
                <w:b/>
                <w:bCs/>
              </w:rPr>
              <w:t>施工期</w:t>
            </w:r>
            <w:r>
              <w:rPr>
                <w:rFonts w:hint="eastAsia"/>
                <w:b/>
                <w:bCs/>
              </w:rPr>
              <w:t>地表水</w:t>
            </w:r>
            <w:r>
              <w:rPr>
                <w:rFonts w:hint="eastAsia"/>
                <w:b/>
                <w:bCs/>
              </w:rPr>
              <w:t>环境保护措施</w:t>
            </w:r>
          </w:p>
          <w:p w:rsidR="00BC07F0" w:rsidRDefault="00073EFB" w:rsidP="00C55F5E">
            <w:pPr>
              <w:ind w:firstLine="480"/>
            </w:pPr>
            <w:r>
              <w:rPr>
                <w:rFonts w:hint="eastAsia"/>
              </w:rPr>
              <w:t>本项目施工期产生的废水主要是员工生活污水、道路养护废水。</w:t>
            </w:r>
            <w:r>
              <w:rPr>
                <w:rFonts w:hint="eastAsia"/>
              </w:rPr>
              <w:t>本次评价要求建设单位：</w:t>
            </w:r>
          </w:p>
          <w:p w:rsidR="00BC07F0" w:rsidRDefault="00073EFB">
            <w:pPr>
              <w:numPr>
                <w:ilvl w:val="0"/>
                <w:numId w:val="10"/>
              </w:numPr>
              <w:ind w:left="0" w:firstLineChars="0" w:firstLine="420"/>
            </w:pPr>
            <w:r>
              <w:rPr>
                <w:rFonts w:hint="eastAsia"/>
              </w:rPr>
              <w:t>施工前要求施工单位编制的施工方案考虑水土保持措施，施工场地的雨水汇水处应开挖二级沉砂池，雨水经沉淀后回用于施工场地。施工期路面地表径流经沉砂池处理后排放，施工生产废水经隔油沉淀池处理后回用作施工场地抑尘降尘喷洒用水、不外排。</w:t>
            </w:r>
          </w:p>
          <w:p w:rsidR="00BC07F0" w:rsidRDefault="00073EFB">
            <w:pPr>
              <w:numPr>
                <w:ilvl w:val="0"/>
                <w:numId w:val="10"/>
              </w:numPr>
              <w:ind w:left="0" w:firstLineChars="0" w:firstLine="420"/>
            </w:pPr>
            <w:r>
              <w:rPr>
                <w:rFonts w:hint="eastAsia"/>
              </w:rPr>
              <w:t>项目施工前应在项</w:t>
            </w:r>
            <w:r>
              <w:rPr>
                <w:rFonts w:hint="eastAsia"/>
              </w:rPr>
              <w:t>目部先建设隔油池、化粪池，产生的生活污水经污水处理设施处理达三级标准后排往沿线道路污水管网，对环境的影响小。</w:t>
            </w:r>
          </w:p>
          <w:p w:rsidR="00BC07F0" w:rsidRDefault="00073EFB">
            <w:pPr>
              <w:numPr>
                <w:ilvl w:val="0"/>
                <w:numId w:val="10"/>
              </w:numPr>
              <w:ind w:left="0" w:firstLineChars="0" w:firstLine="420"/>
            </w:pPr>
            <w:r>
              <w:rPr>
                <w:rFonts w:hint="eastAsia"/>
              </w:rPr>
              <w:lastRenderedPageBreak/>
              <w:t>对各类车辆、设备使用的燃油、机油、润滑油等加强管理，所有废弃脂类均集中处理，不得随意倾倒，更不得任意弃入水体内。</w:t>
            </w:r>
          </w:p>
          <w:p w:rsidR="00BC07F0" w:rsidRDefault="00073EFB">
            <w:pPr>
              <w:numPr>
                <w:ilvl w:val="0"/>
                <w:numId w:val="10"/>
              </w:numPr>
              <w:ind w:left="0" w:firstLineChars="0" w:firstLine="420"/>
            </w:pPr>
            <w:r>
              <w:rPr>
                <w:rFonts w:hint="eastAsia"/>
              </w:rPr>
              <w:t>项目部分施工人员租用沿线民房进行安置，生活污水依托当地污水处理系统，设置施工生活区，建设隔油池、化粪池对生活污水进行处理。</w:t>
            </w:r>
          </w:p>
          <w:p w:rsidR="00BC07F0" w:rsidRDefault="00073EFB">
            <w:pPr>
              <w:numPr>
                <w:ilvl w:val="0"/>
                <w:numId w:val="10"/>
              </w:numPr>
              <w:ind w:left="0" w:firstLineChars="0" w:firstLine="420"/>
            </w:pPr>
            <w:r>
              <w:rPr>
                <w:rFonts w:hint="eastAsia"/>
              </w:rPr>
              <w:t>对施工场地尽量予以硬化，经常性清扫，避免雨水冲刷产生高浊度废水，同时避免污染物进入土壤。</w:t>
            </w:r>
          </w:p>
          <w:p w:rsidR="00BC07F0" w:rsidRDefault="00073EFB">
            <w:pPr>
              <w:numPr>
                <w:ilvl w:val="0"/>
                <w:numId w:val="10"/>
              </w:numPr>
              <w:ind w:left="0" w:firstLineChars="0" w:firstLine="420"/>
            </w:pPr>
            <w:r>
              <w:rPr>
                <w:rFonts w:hint="eastAsia"/>
              </w:rPr>
              <w:t>施工机械维修点应设硬化地面及干化池，防止机械清洗污水对水体、土壤的污染。加</w:t>
            </w:r>
            <w:r>
              <w:rPr>
                <w:rFonts w:hint="eastAsia"/>
              </w:rPr>
              <w:t>强施工机械的检修，严格施工管理，避免施工机械的跑、冒、滴、漏油。</w:t>
            </w:r>
          </w:p>
          <w:p w:rsidR="00BC07F0" w:rsidRDefault="00073EFB">
            <w:pPr>
              <w:numPr>
                <w:ilvl w:val="0"/>
                <w:numId w:val="10"/>
              </w:numPr>
              <w:ind w:left="0" w:firstLineChars="0" w:firstLine="420"/>
            </w:pPr>
            <w:r>
              <w:rPr>
                <w:rFonts w:hint="eastAsia"/>
              </w:rPr>
              <w:t>施工期采取严格的管理措施，严格的控制污染物的排放，在严格落实本报告提出的水污染防治措施后，施工期产生的废水不得直接外排，可以是施工期对区域地表水的污染得到有效的控制。</w:t>
            </w:r>
          </w:p>
          <w:p w:rsidR="00BC07F0" w:rsidRDefault="00073EFB" w:rsidP="00C55F5E">
            <w:pPr>
              <w:ind w:firstLine="482"/>
            </w:pPr>
            <w:r>
              <w:rPr>
                <w:rFonts w:hint="eastAsia"/>
                <w:b/>
                <w:bCs/>
              </w:rPr>
              <w:t>5.3</w:t>
            </w:r>
            <w:r>
              <w:rPr>
                <w:rFonts w:hint="eastAsia"/>
                <w:b/>
                <w:bCs/>
              </w:rPr>
              <w:t>施工期</w:t>
            </w:r>
            <w:r>
              <w:rPr>
                <w:rFonts w:hint="eastAsia"/>
                <w:b/>
                <w:bCs/>
              </w:rPr>
              <w:t>声</w:t>
            </w:r>
            <w:r>
              <w:rPr>
                <w:rFonts w:hint="eastAsia"/>
                <w:b/>
                <w:bCs/>
              </w:rPr>
              <w:t>环境保护措施</w:t>
            </w:r>
          </w:p>
          <w:p w:rsidR="00BC07F0" w:rsidRDefault="00073EFB" w:rsidP="00C55F5E">
            <w:pPr>
              <w:ind w:firstLine="480"/>
            </w:pPr>
            <w:r>
              <w:rPr>
                <w:rFonts w:hint="eastAsia"/>
              </w:rPr>
              <w:t>本项目各工程施工期产生的噪声主要是施工机械作业噪声、运输车辆噪声</w:t>
            </w:r>
            <w:r>
              <w:rPr>
                <w:rFonts w:hint="eastAsia"/>
              </w:rPr>
              <w:t>，</w:t>
            </w:r>
            <w:r>
              <w:rPr>
                <w:rFonts w:hint="eastAsia"/>
              </w:rPr>
              <w:t>为了降低噪声的影响，要求建设单位采取以下降噪措施：</w:t>
            </w:r>
          </w:p>
          <w:p w:rsidR="00BC07F0" w:rsidRDefault="00073EFB">
            <w:pPr>
              <w:numPr>
                <w:ilvl w:val="0"/>
                <w:numId w:val="11"/>
              </w:numPr>
              <w:ind w:left="0" w:firstLineChars="0" w:firstLine="420"/>
            </w:pPr>
            <w:r>
              <w:rPr>
                <w:rFonts w:hint="eastAsia"/>
              </w:rPr>
              <w:t>尽量采用先进的低噪声施工机具、设备和工艺，施工过程中应经常对设备进行维修保养，避免由于设备故障而导致噪声增强现象的发生。</w:t>
            </w:r>
          </w:p>
          <w:p w:rsidR="00BC07F0" w:rsidRDefault="00073EFB">
            <w:pPr>
              <w:numPr>
                <w:ilvl w:val="0"/>
                <w:numId w:val="11"/>
              </w:numPr>
              <w:ind w:left="0" w:firstLineChars="0" w:firstLine="420"/>
            </w:pPr>
            <w:r>
              <w:rPr>
                <w:rFonts w:hint="eastAsia"/>
              </w:rPr>
              <w:t>施工单位夜</w:t>
            </w:r>
            <w:r>
              <w:rPr>
                <w:rFonts w:hint="eastAsia"/>
              </w:rPr>
              <w:t>间（</w:t>
            </w:r>
            <w:r>
              <w:rPr>
                <w:rFonts w:hint="eastAsia"/>
              </w:rPr>
              <w:t>22</w:t>
            </w:r>
            <w:r>
              <w:rPr>
                <w:rFonts w:hint="eastAsia"/>
              </w:rPr>
              <w:t>：</w:t>
            </w:r>
            <w:r>
              <w:rPr>
                <w:rFonts w:hint="eastAsia"/>
              </w:rPr>
              <w:t>00~07</w:t>
            </w:r>
            <w:r>
              <w:rPr>
                <w:rFonts w:hint="eastAsia"/>
              </w:rPr>
              <w:t>：</w:t>
            </w:r>
            <w:r>
              <w:rPr>
                <w:rFonts w:hint="eastAsia"/>
              </w:rPr>
              <w:t>00</w:t>
            </w:r>
            <w:r>
              <w:rPr>
                <w:rFonts w:hint="eastAsia"/>
              </w:rPr>
              <w:t>）禁止使用各种打桩机，施工单位在使用推土机、挖掘机、装载机、打桩机、电锯、吊车等机具的时候昼、夜间场界噪声必须满足《建筑施工场界环境噪声排放标准》（</w:t>
            </w:r>
            <w:r>
              <w:rPr>
                <w:rFonts w:hint="eastAsia"/>
              </w:rPr>
              <w:t>GB12523-2011</w:t>
            </w:r>
            <w:r>
              <w:rPr>
                <w:rFonts w:hint="eastAsia"/>
              </w:rPr>
              <w:t>）标准限值。</w:t>
            </w:r>
          </w:p>
          <w:p w:rsidR="00BC07F0" w:rsidRDefault="00073EFB">
            <w:pPr>
              <w:numPr>
                <w:ilvl w:val="0"/>
                <w:numId w:val="11"/>
              </w:numPr>
              <w:ind w:left="0" w:firstLineChars="0" w:firstLine="420"/>
            </w:pPr>
            <w:r>
              <w:rPr>
                <w:rFonts w:hint="eastAsia"/>
              </w:rPr>
              <w:t>施工工地内合理布置施工机械和设备，在施工路段两旁设置围挡和临时声屏障，将施工现场强噪声设备应设置在远离居民区的一侧，降低施工噪声对周围的影响。</w:t>
            </w:r>
          </w:p>
          <w:p w:rsidR="00BC07F0" w:rsidRDefault="00073EFB">
            <w:pPr>
              <w:numPr>
                <w:ilvl w:val="0"/>
                <w:numId w:val="11"/>
              </w:numPr>
              <w:ind w:left="0" w:firstLineChars="0" w:firstLine="420"/>
            </w:pPr>
            <w:r>
              <w:rPr>
                <w:rFonts w:hint="eastAsia"/>
              </w:rPr>
              <w:t>施工期加强噪声监测，发现施工噪声超标且对附近居民产生影响时，应该及时采取有效的噪声污染防治措施来降低对周围环境的影响。</w:t>
            </w:r>
          </w:p>
          <w:p w:rsidR="00BC07F0" w:rsidRDefault="00073EFB">
            <w:pPr>
              <w:numPr>
                <w:ilvl w:val="0"/>
                <w:numId w:val="11"/>
              </w:numPr>
              <w:ind w:left="0" w:firstLineChars="0" w:firstLine="420"/>
            </w:pPr>
            <w:r>
              <w:rPr>
                <w:rFonts w:hint="eastAsia"/>
              </w:rPr>
              <w:t>项目应综合考虑周围居民点的特点，合理</w:t>
            </w:r>
            <w:r>
              <w:rPr>
                <w:rFonts w:hint="eastAsia"/>
              </w:rPr>
              <w:t>安排使用高噪声设备时间，避开居民休息时间，在情况允许的情况下，采用人工开挖和大排锯机械开挖相结合的开挖方式，使噪声污染在施工中得到控制。</w:t>
            </w:r>
          </w:p>
          <w:p w:rsidR="00BC07F0" w:rsidRDefault="00073EFB" w:rsidP="00C55F5E">
            <w:pPr>
              <w:ind w:firstLine="480"/>
            </w:pPr>
            <w:r>
              <w:rPr>
                <w:rFonts w:hint="eastAsia"/>
              </w:rPr>
              <w:t>综上所诉，本项目产生的噪声能达到标准要求，采取以上措施，本项目的噪声影响能控制在可以接受的范围之内。对周边环境影响较小。</w:t>
            </w:r>
          </w:p>
          <w:p w:rsidR="00BC07F0" w:rsidRDefault="00073EFB" w:rsidP="00C55F5E">
            <w:pPr>
              <w:ind w:firstLine="482"/>
              <w:rPr>
                <w:b/>
                <w:bCs/>
              </w:rPr>
            </w:pPr>
            <w:r>
              <w:rPr>
                <w:rFonts w:hint="eastAsia"/>
                <w:b/>
                <w:bCs/>
              </w:rPr>
              <w:t>5.4</w:t>
            </w:r>
            <w:r>
              <w:rPr>
                <w:rFonts w:hint="eastAsia"/>
                <w:b/>
                <w:bCs/>
              </w:rPr>
              <w:t>施工期固体废物处理措施</w:t>
            </w:r>
          </w:p>
          <w:p w:rsidR="00BC07F0" w:rsidRDefault="00073EFB" w:rsidP="00C55F5E">
            <w:pPr>
              <w:ind w:firstLine="480"/>
            </w:pPr>
            <w:r>
              <w:rPr>
                <w:rFonts w:hint="eastAsia"/>
              </w:rPr>
              <w:t>本项目各工程施工期产生的固体废物主要是表土清除和开挖产生的土石方、生活垃</w:t>
            </w:r>
            <w:r>
              <w:rPr>
                <w:rFonts w:hint="eastAsia"/>
              </w:rPr>
              <w:lastRenderedPageBreak/>
              <w:t>圾、河道疏浚污泥。</w:t>
            </w:r>
            <w:r>
              <w:rPr>
                <w:rFonts w:hint="eastAsia"/>
              </w:rPr>
              <w:t>本项目在表土清除和塘基开挖过程中会产生的大量的土石方和淤泥，产生的土石方则堆在临时表土场，产生淤泥则运往指定的地点，通过对表土场采取</w:t>
            </w:r>
            <w:r>
              <w:rPr>
                <w:rFonts w:hint="eastAsia"/>
              </w:rPr>
              <w:t>必要的水土保持措施，弃土对环境的影响可以得到有效控制。施工期产生的生活垃圾</w:t>
            </w:r>
            <w:r>
              <w:rPr>
                <w:rFonts w:hint="eastAsia"/>
              </w:rPr>
              <w:t>分类</w:t>
            </w:r>
            <w:r>
              <w:rPr>
                <w:rFonts w:hint="eastAsia"/>
              </w:rPr>
              <w:t>收集后交由环卫部门清运处置。</w:t>
            </w:r>
            <w:r>
              <w:rPr>
                <w:rFonts w:hint="eastAsia"/>
              </w:rPr>
              <w:t>清淤工程淤泥堆放在蒸湘南路以西，幸福河以东，</w:t>
            </w:r>
            <w:r>
              <w:rPr>
                <w:rFonts w:hint="eastAsia"/>
              </w:rPr>
              <w:t>作为生态护岸、人工湿地、植被种植的覆土</w:t>
            </w:r>
            <w:r>
              <w:rPr>
                <w:rFonts w:hint="eastAsia"/>
              </w:rPr>
              <w:t>。施工期各类固废可得到妥善处理，</w:t>
            </w:r>
            <w:r>
              <w:rPr>
                <w:rFonts w:hint="eastAsia"/>
              </w:rPr>
              <w:t>避免</w:t>
            </w:r>
            <w:r>
              <w:rPr>
                <w:rFonts w:hint="eastAsia"/>
              </w:rPr>
              <w:t>对环境产生二次污染。</w:t>
            </w:r>
          </w:p>
          <w:p w:rsidR="00BC07F0" w:rsidRDefault="00073EFB" w:rsidP="00C55F5E">
            <w:pPr>
              <w:ind w:firstLine="482"/>
              <w:rPr>
                <w:b/>
                <w:bCs/>
              </w:rPr>
            </w:pPr>
            <w:r>
              <w:rPr>
                <w:rFonts w:hint="eastAsia"/>
                <w:b/>
                <w:bCs/>
              </w:rPr>
              <w:t>5.5</w:t>
            </w:r>
            <w:r>
              <w:rPr>
                <w:rFonts w:hint="eastAsia"/>
                <w:b/>
                <w:bCs/>
              </w:rPr>
              <w:t>施工期生态环境保护措施</w:t>
            </w:r>
          </w:p>
          <w:p w:rsidR="00BC07F0" w:rsidRDefault="00073EFB" w:rsidP="00C55F5E">
            <w:pPr>
              <w:ind w:firstLine="482"/>
              <w:rPr>
                <w:b/>
                <w:bCs/>
              </w:rPr>
            </w:pPr>
            <w:r>
              <w:rPr>
                <w:rFonts w:hint="eastAsia"/>
                <w:b/>
                <w:bCs/>
              </w:rPr>
              <w:t>5.5.1</w:t>
            </w:r>
            <w:r>
              <w:rPr>
                <w:rFonts w:hint="eastAsia"/>
                <w:b/>
                <w:bCs/>
              </w:rPr>
              <w:t>优化施工进度和方案</w:t>
            </w:r>
          </w:p>
          <w:p w:rsidR="00BC07F0" w:rsidRDefault="00073EFB" w:rsidP="00C55F5E">
            <w:pPr>
              <w:ind w:firstLine="480"/>
            </w:pPr>
            <w:r>
              <w:rPr>
                <w:rFonts w:hint="eastAsia"/>
              </w:rPr>
              <w:t>进一步优化施工进度和施工工序，合理安排施工时段，工程按照一个枯水期完成安排，如果由于特殊情况不能完成施工应在下一个枯水期施工。涉及敏感区的护坡优先选择植草连锁的生态型护坡，控制施工船舶数量，优化船舶航行路线，物料运输尽量采用陆运方式，控制施工船舶数量和密度，为水生生物留出通道和活动空间。水下施工尽量减轻水下噪声，应避免昼夜连续作业，陆域施工时应将高噪声设备特别是挖掘机做好消声隔声设施后安排在远离河道的施工区。</w:t>
            </w:r>
          </w:p>
          <w:p w:rsidR="00BC07F0" w:rsidRDefault="00073EFB" w:rsidP="00C55F5E">
            <w:pPr>
              <w:ind w:firstLine="482"/>
              <w:rPr>
                <w:b/>
                <w:bCs/>
              </w:rPr>
            </w:pPr>
            <w:r>
              <w:rPr>
                <w:rFonts w:hint="eastAsia"/>
                <w:b/>
                <w:bCs/>
              </w:rPr>
              <w:t>5.5.2</w:t>
            </w:r>
            <w:r>
              <w:rPr>
                <w:rFonts w:hint="eastAsia"/>
                <w:b/>
                <w:bCs/>
              </w:rPr>
              <w:t>加强环境监测与管理</w:t>
            </w:r>
          </w:p>
          <w:p w:rsidR="00BC07F0" w:rsidRDefault="00073EFB" w:rsidP="00C55F5E">
            <w:pPr>
              <w:ind w:firstLine="480"/>
            </w:pPr>
            <w:r>
              <w:rPr>
                <w:rFonts w:hint="eastAsia"/>
              </w:rPr>
              <w:t>施工期间以公告、宣传单、板报和会议等形式，加强对施工人员的环境保护宣传教育和保护野生动物常识的宣传，提高施工人员的环境保护意识，使其在施工中能自觉保护生态环境及珍稀水生物种，并遵守相关的生态保护规定；制定水生生物保护规定，严禁在施工江段进行捕鱼或从事其它有碍生态环境保护的活动，一旦发现水生生物种类，应及时进行保护。施工过程中应采取有效的措施，严格控制生活垃圾、生活污水和生产废弃物的收集处理，避免其污染水体。</w:t>
            </w:r>
          </w:p>
          <w:p w:rsidR="00BC07F0" w:rsidRDefault="00073EFB" w:rsidP="00C55F5E">
            <w:pPr>
              <w:ind w:firstLine="482"/>
              <w:rPr>
                <w:b/>
                <w:bCs/>
              </w:rPr>
            </w:pPr>
            <w:r>
              <w:rPr>
                <w:rFonts w:hint="eastAsia"/>
                <w:b/>
                <w:bCs/>
              </w:rPr>
              <w:t>5.5.3</w:t>
            </w:r>
            <w:r>
              <w:rPr>
                <w:rFonts w:hint="eastAsia"/>
                <w:b/>
                <w:bCs/>
              </w:rPr>
              <w:t>生态修复措施</w:t>
            </w:r>
          </w:p>
          <w:p w:rsidR="00BC07F0" w:rsidRDefault="00073EFB" w:rsidP="00C55F5E">
            <w:pPr>
              <w:ind w:firstLine="480"/>
            </w:pPr>
            <w:r>
              <w:rPr>
                <w:rFonts w:hint="eastAsia"/>
              </w:rPr>
              <w:t>部分抛石护岸营造成蜂窝状，以利于浮游生物、底栖生物吸附和生存。采取合理降低抛</w:t>
            </w:r>
            <w:r>
              <w:rPr>
                <w:rFonts w:hint="eastAsia"/>
              </w:rPr>
              <w:t>石棱提高度和抛石量，护岸带工程近岸两侧水体流速相对缓慢处为适合水生维管植物生长的栖息地，利用工程构筑物营造利于水生生物附着的亲水护坡、护岸等，给水生维管植物的生产留出固着基质。</w:t>
            </w:r>
          </w:p>
          <w:p w:rsidR="00BC07F0" w:rsidRDefault="00073EFB" w:rsidP="00C55F5E">
            <w:pPr>
              <w:ind w:firstLine="480"/>
            </w:pPr>
            <w:r>
              <w:rPr>
                <w:rFonts w:hint="eastAsia"/>
              </w:rPr>
              <w:t>施工前进行陆生植物的全面调查，合理优化施工场地的布置；加强施工管理与监理，严格控制施工范围，采取科学施工方式，尽量减少对陆生植被和野生动物生境的破坏，针对保护植物和受伤的保护动物，及时采取就地保护、移栽保护和救护等措施。对可能受影响的水生植物进行移植，构建亲水护岸、护坡，以利于底栖生物、水生生物恢复。</w:t>
            </w:r>
            <w:r>
              <w:rPr>
                <w:rFonts w:hint="eastAsia"/>
              </w:rPr>
              <w:lastRenderedPageBreak/>
              <w:t>合理调整施工时间，消除施工噪声对</w:t>
            </w:r>
            <w:r>
              <w:rPr>
                <w:rFonts w:hint="eastAsia"/>
              </w:rPr>
              <w:t>野生动物的影响；加强生态环境保护宣传教育与管理。施工期间，施工人员不得随意破坏洲滩和岸坡上的植被；工程所需砂石料应采用购买方式获取，严禁随意在江段和岸坡取砂石；严禁随意砍伐工程附近区域的树木或破坏植被；禁止非法捕猎野生动物和鸟类：护岸开挖前先将表面约</w:t>
            </w:r>
            <w:r>
              <w:rPr>
                <w:rFonts w:hint="eastAsia"/>
              </w:rPr>
              <w:t>30cm</w:t>
            </w:r>
            <w:r>
              <w:rPr>
                <w:rFonts w:hint="eastAsia"/>
              </w:rPr>
              <w:t>的表层土剥离，集中堆放在护岸工程后方，并采取临时保护措施防止养分流失，表土周边利用袋装土临时拦挡，开挖结束后，拆除临时拦挡，将表土均匀平铺于护岸工程后方表面及顶部，并进行碾压：合理设置弃土场和临时施工场地，减少对岸坡植被的破坏，施工结束后选择当地适生植物</w:t>
            </w:r>
            <w:r>
              <w:rPr>
                <w:rFonts w:hint="eastAsia"/>
              </w:rPr>
              <w:t>对施工迹地进行植被恢复。护岸工程做到一次开挖、修建，集中堆放开挖松土，施工过程中一旦遇到大雨或暴雨，应采用塑料薄膜覆盖裸露的破面，以减少水土流失及时发现和掌握动物栖息信息，护岸开挖时尽量避免对野生动物洞穴的扰动和破坏</w:t>
            </w:r>
            <w:r>
              <w:rPr>
                <w:rFonts w:hint="eastAsia"/>
              </w:rPr>
              <w:t>。</w:t>
            </w:r>
            <w:r>
              <w:rPr>
                <w:rFonts w:hint="eastAsia"/>
              </w:rPr>
              <w:t>工程完工后及时清理施工现场，对施工场地进行绿化，最大可能地恢复已被破坏的植被。</w:t>
            </w:r>
          </w:p>
        </w:tc>
      </w:tr>
      <w:tr w:rsidR="00BC07F0">
        <w:trPr>
          <w:trHeight w:val="454"/>
          <w:jc w:val="center"/>
        </w:trPr>
        <w:tc>
          <w:tcPr>
            <w:tcW w:w="446" w:type="dxa"/>
            <w:tcMar>
              <w:left w:w="28" w:type="dxa"/>
              <w:right w:w="28" w:type="dxa"/>
            </w:tcMar>
            <w:vAlign w:val="center"/>
          </w:tcPr>
          <w:p w:rsidR="00BC07F0" w:rsidRDefault="00073EFB">
            <w:pPr>
              <w:pStyle w:val="a7"/>
              <w:rPr>
                <w:rFonts w:hint="default"/>
                <w:b/>
                <w:bCs/>
                <w:sz w:val="24"/>
                <w:szCs w:val="24"/>
              </w:rPr>
            </w:pPr>
            <w:r>
              <w:rPr>
                <w:b/>
                <w:bCs/>
                <w:sz w:val="24"/>
                <w:szCs w:val="24"/>
              </w:rPr>
              <w:lastRenderedPageBreak/>
              <w:t>运营期生态环境保护措施</w:t>
            </w:r>
          </w:p>
        </w:tc>
        <w:tc>
          <w:tcPr>
            <w:tcW w:w="9338" w:type="dxa"/>
          </w:tcPr>
          <w:p w:rsidR="00BC07F0" w:rsidRDefault="00073EFB" w:rsidP="00C55F5E">
            <w:pPr>
              <w:ind w:firstLine="482"/>
              <w:rPr>
                <w:b/>
                <w:bCs/>
              </w:rPr>
            </w:pPr>
            <w:r>
              <w:rPr>
                <w:rFonts w:hint="eastAsia"/>
                <w:b/>
                <w:bCs/>
              </w:rPr>
              <w:t>5.6</w:t>
            </w:r>
            <w:r>
              <w:rPr>
                <w:rFonts w:hint="eastAsia"/>
                <w:b/>
                <w:bCs/>
              </w:rPr>
              <w:t>运营期大气环境保护措施</w:t>
            </w:r>
          </w:p>
          <w:p w:rsidR="00BC07F0" w:rsidRDefault="00073EFB" w:rsidP="00C55F5E">
            <w:pPr>
              <w:ind w:firstLine="480"/>
            </w:pPr>
            <w:r>
              <w:rPr>
                <w:rFonts w:hint="eastAsia"/>
              </w:rPr>
              <w:t>项目运营期产生的废气主要是汽车尾气</w:t>
            </w:r>
            <w:r>
              <w:rPr>
                <w:rFonts w:hint="eastAsia"/>
              </w:rPr>
              <w:t>和道路扬尘，本次评价建议在道路上运行的车辆应按照有关法规进行严格管理，对不符合现行汽车相关大气污染物排放标准的车辆不允许其上</w:t>
            </w:r>
            <w:r>
              <w:rPr>
                <w:rFonts w:hint="eastAsia"/>
              </w:rPr>
              <w:t>路，并要求限期治理。对运输容易产生扬尘的车辆需对其运载货物进行覆盖，以免产生扬尘污染周围大气环境。对路面配备洒水车和保洁人员，对路面积水清扫、喷洒清水，减少扬尘的产生。</w:t>
            </w:r>
          </w:p>
          <w:p w:rsidR="00BC07F0" w:rsidRDefault="00073EFB" w:rsidP="00C55F5E">
            <w:pPr>
              <w:ind w:firstLine="482"/>
              <w:rPr>
                <w:b/>
                <w:bCs/>
              </w:rPr>
            </w:pPr>
            <w:r>
              <w:rPr>
                <w:rFonts w:hint="eastAsia"/>
                <w:b/>
                <w:bCs/>
              </w:rPr>
              <w:t>5.7</w:t>
            </w:r>
            <w:r>
              <w:rPr>
                <w:rFonts w:hint="eastAsia"/>
                <w:b/>
                <w:bCs/>
              </w:rPr>
              <w:t>运营期地表水环境保护措施</w:t>
            </w:r>
          </w:p>
          <w:p w:rsidR="00BC07F0" w:rsidRDefault="00073EFB" w:rsidP="00C55F5E">
            <w:pPr>
              <w:ind w:firstLine="480"/>
            </w:pPr>
            <w:r>
              <w:rPr>
                <w:rFonts w:hint="eastAsia"/>
              </w:rPr>
              <w:t>项目运营期产生的废气主要是路面径流</w:t>
            </w:r>
            <w:r>
              <w:rPr>
                <w:rFonts w:hint="eastAsia"/>
              </w:rPr>
              <w:t>和厕所冲水废水，为了防止路面径流污染物污染附近水体，本项目设置完善的排水设施并与工程同步建设，根据规划项目区域采用雨污分流排水系统，路面径流水汇入市政污水管网进入城镇污水处理厂处理，不直接外排，最大限度减缓水污染影响，建设单位制订有害物质外泄的应急处理措施及应急处理方案，一旦</w:t>
            </w:r>
            <w:r>
              <w:rPr>
                <w:rFonts w:hint="eastAsia"/>
              </w:rPr>
              <w:t>发生有害物质外泄，及时处理、清除，避免有害物质进入地面水体而造成污染事件。</w:t>
            </w:r>
          </w:p>
          <w:p w:rsidR="00BC07F0" w:rsidRDefault="00073EFB" w:rsidP="00C55F5E">
            <w:pPr>
              <w:ind w:firstLine="482"/>
              <w:rPr>
                <w:b/>
                <w:bCs/>
              </w:rPr>
            </w:pPr>
            <w:r>
              <w:rPr>
                <w:rFonts w:hint="eastAsia"/>
                <w:b/>
                <w:bCs/>
              </w:rPr>
              <w:t>5.8</w:t>
            </w:r>
            <w:r>
              <w:rPr>
                <w:rFonts w:hint="eastAsia"/>
                <w:b/>
                <w:bCs/>
              </w:rPr>
              <w:t>运营期噪声防治措施</w:t>
            </w:r>
          </w:p>
          <w:p w:rsidR="00BC07F0" w:rsidRDefault="00073EFB" w:rsidP="00C55F5E">
            <w:pPr>
              <w:ind w:firstLine="480"/>
            </w:pPr>
            <w:r>
              <w:rPr>
                <w:rFonts w:hint="eastAsia"/>
              </w:rPr>
              <w:t>本项目道路</w:t>
            </w:r>
            <w:r>
              <w:rPr>
                <w:rFonts w:hint="eastAsia"/>
              </w:rPr>
              <w:t>工程</w:t>
            </w:r>
            <w:r>
              <w:rPr>
                <w:rFonts w:hint="eastAsia"/>
              </w:rPr>
              <w:t>两侧敏感点受沿线现状道路的交通噪声影响较大，</w:t>
            </w:r>
            <w:r>
              <w:rPr>
                <w:rFonts w:hint="eastAsia"/>
              </w:rPr>
              <w:t>本次评价建议：</w:t>
            </w:r>
            <w:r>
              <w:rPr>
                <w:rFonts w:hint="eastAsia"/>
              </w:rPr>
              <w:t>交通管理部门宜利用交通管理手段，在居民集中区域等敏感点设置相应的标志或减速带，在敏感时段（</w:t>
            </w:r>
            <w:r>
              <w:rPr>
                <w:rFonts w:hint="eastAsia"/>
              </w:rPr>
              <w:t>22</w:t>
            </w:r>
            <w:r>
              <w:rPr>
                <w:rFonts w:hint="eastAsia"/>
              </w:rPr>
              <w:t>：</w:t>
            </w:r>
            <w:r>
              <w:rPr>
                <w:rFonts w:hint="eastAsia"/>
              </w:rPr>
              <w:t>00-6</w:t>
            </w:r>
            <w:r>
              <w:rPr>
                <w:rFonts w:hint="eastAsia"/>
              </w:rPr>
              <w:t>：</w:t>
            </w:r>
            <w:r>
              <w:rPr>
                <w:rFonts w:hint="eastAsia"/>
              </w:rPr>
              <w:t>00</w:t>
            </w:r>
            <w:r>
              <w:rPr>
                <w:rFonts w:hint="eastAsia"/>
              </w:rPr>
              <w:t>）通过采取禁鸣、限行（含禁行）等措施，控制大型货车车流量，降低交通噪声。路政部门宜对道路进行经常性维护，保证道路的长期处于良好路</w:t>
            </w:r>
            <w:r>
              <w:rPr>
                <w:rFonts w:hint="eastAsia"/>
              </w:rPr>
              <w:lastRenderedPageBreak/>
              <w:t>况。结合当地生态建设规划，加强道路征地范围内可绿化地段的绿化工作。对于沿线为开发建设的敏感建筑，进行</w:t>
            </w:r>
            <w:r>
              <w:rPr>
                <w:rFonts w:hint="eastAsia"/>
              </w:rPr>
              <w:t>合理的功能布局，做好墙体和窗户的降噪设计。</w:t>
            </w:r>
          </w:p>
          <w:p w:rsidR="00BC07F0" w:rsidRDefault="00073EFB" w:rsidP="00C55F5E">
            <w:pPr>
              <w:ind w:firstLine="482"/>
              <w:rPr>
                <w:b/>
                <w:bCs/>
              </w:rPr>
            </w:pPr>
            <w:r>
              <w:rPr>
                <w:rFonts w:hint="eastAsia"/>
                <w:b/>
                <w:bCs/>
              </w:rPr>
              <w:t>5.9</w:t>
            </w:r>
            <w:r>
              <w:rPr>
                <w:rFonts w:hint="eastAsia"/>
                <w:b/>
                <w:bCs/>
              </w:rPr>
              <w:t>运营期固体废物处理措施</w:t>
            </w:r>
          </w:p>
          <w:p w:rsidR="00BC07F0" w:rsidRDefault="00073EFB" w:rsidP="00C55F5E">
            <w:pPr>
              <w:ind w:firstLine="480"/>
            </w:pPr>
            <w:r>
              <w:rPr>
                <w:rFonts w:hint="eastAsia"/>
              </w:rPr>
              <w:t>项目投入运营后</w:t>
            </w:r>
            <w:r>
              <w:rPr>
                <w:rFonts w:hint="eastAsia"/>
              </w:rPr>
              <w:t>工程本身</w:t>
            </w:r>
            <w:r>
              <w:rPr>
                <w:rFonts w:hint="eastAsia"/>
              </w:rPr>
              <w:t>不产生固体废物，主要</w:t>
            </w:r>
            <w:r>
              <w:rPr>
                <w:rFonts w:hint="eastAsia"/>
              </w:rPr>
              <w:t>是</w:t>
            </w:r>
            <w:r>
              <w:rPr>
                <w:rFonts w:hint="eastAsia"/>
              </w:rPr>
              <w:t>铜桥港湿地公园游客产生的生活垃圾、运输车辆散落的运载物、发生交通事故的车辆装载的货物、乘客丢弃的物品等。由于</w:t>
            </w:r>
            <w:r>
              <w:rPr>
                <w:rFonts w:hint="eastAsia"/>
              </w:rPr>
              <w:t>工程</w:t>
            </w:r>
            <w:r>
              <w:rPr>
                <w:rFonts w:hint="eastAsia"/>
              </w:rPr>
              <w:t>建成后有养护工人对</w:t>
            </w:r>
            <w:r>
              <w:rPr>
                <w:rFonts w:hint="eastAsia"/>
              </w:rPr>
              <w:t>工程</w:t>
            </w:r>
            <w:r>
              <w:rPr>
                <w:rFonts w:hint="eastAsia"/>
              </w:rPr>
              <w:t>进行养护，在对道路</w:t>
            </w:r>
            <w:r>
              <w:rPr>
                <w:rFonts w:hint="eastAsia"/>
              </w:rPr>
              <w:t>和公园</w:t>
            </w:r>
            <w:r>
              <w:rPr>
                <w:rFonts w:hint="eastAsia"/>
              </w:rPr>
              <w:t>进行养护的同时，也对沿线垃圾进行收集，清扫、集中处理，故营运期固体废弃物对环境影响</w:t>
            </w:r>
            <w:r>
              <w:rPr>
                <w:rFonts w:hint="eastAsia"/>
              </w:rPr>
              <w:t>较小</w:t>
            </w:r>
            <w:r>
              <w:rPr>
                <w:rFonts w:hint="eastAsia"/>
              </w:rPr>
              <w:t>。</w:t>
            </w:r>
          </w:p>
          <w:p w:rsidR="00BC07F0" w:rsidRDefault="00073EFB" w:rsidP="00C55F5E">
            <w:pPr>
              <w:ind w:firstLine="482"/>
              <w:rPr>
                <w:b/>
                <w:bCs/>
              </w:rPr>
            </w:pPr>
            <w:r>
              <w:rPr>
                <w:rFonts w:hint="eastAsia"/>
                <w:b/>
                <w:bCs/>
              </w:rPr>
              <w:t>5.10</w:t>
            </w:r>
            <w:r>
              <w:rPr>
                <w:rFonts w:hint="eastAsia"/>
                <w:b/>
                <w:bCs/>
              </w:rPr>
              <w:t>运营期</w:t>
            </w:r>
            <w:r>
              <w:rPr>
                <w:rFonts w:hint="eastAsia"/>
                <w:b/>
                <w:bCs/>
              </w:rPr>
              <w:t>生态环境</w:t>
            </w:r>
            <w:r>
              <w:rPr>
                <w:rFonts w:hint="eastAsia"/>
                <w:b/>
                <w:bCs/>
              </w:rPr>
              <w:t>保护措施</w:t>
            </w:r>
          </w:p>
          <w:p w:rsidR="00BC07F0" w:rsidRDefault="00073EFB" w:rsidP="00C55F5E">
            <w:pPr>
              <w:ind w:firstLine="480"/>
            </w:pPr>
            <w:r>
              <w:rPr>
                <w:rFonts w:hint="eastAsia"/>
              </w:rPr>
              <w:t>本次评价建议建设单位对各项工程</w:t>
            </w:r>
            <w:r>
              <w:rPr>
                <w:rFonts w:hint="eastAsia"/>
              </w:rPr>
              <w:t>配备专业技术员定期对绿化苗木进行浇水、施肥、松土、修剪、病虫害防治，检查苗木生长状况，对枯死苗木、草皮进行更换补种。加强</w:t>
            </w:r>
            <w:r>
              <w:rPr>
                <w:rFonts w:hint="eastAsia"/>
              </w:rPr>
              <w:t>工程</w:t>
            </w:r>
            <w:r>
              <w:rPr>
                <w:rFonts w:hint="eastAsia"/>
              </w:rPr>
              <w:t>绿化苗木的管理和养护，确保道路绿化工程发挥长久的减少水土流失、净化空气、隔声降噪等环保功能。</w:t>
            </w:r>
          </w:p>
          <w:p w:rsidR="00BC07F0" w:rsidRDefault="00073EFB" w:rsidP="00C55F5E">
            <w:pPr>
              <w:ind w:firstLine="482"/>
              <w:rPr>
                <w:b/>
                <w:bCs/>
              </w:rPr>
            </w:pPr>
            <w:r>
              <w:rPr>
                <w:rFonts w:hint="eastAsia"/>
                <w:b/>
                <w:bCs/>
              </w:rPr>
              <w:t>5.11</w:t>
            </w:r>
            <w:r>
              <w:rPr>
                <w:rFonts w:hint="eastAsia"/>
                <w:b/>
                <w:bCs/>
              </w:rPr>
              <w:t>环境风险防范措施</w:t>
            </w:r>
          </w:p>
          <w:p w:rsidR="00BC07F0" w:rsidRDefault="00073EFB" w:rsidP="00C55F5E">
            <w:pPr>
              <w:ind w:firstLine="480"/>
            </w:pPr>
            <w:r>
              <w:rPr>
                <w:rFonts w:hint="eastAsia"/>
              </w:rPr>
              <w:t>本项目可能产生的环境风险主要是汽车运输易燃易爆品产生火灾</w:t>
            </w:r>
            <w:r>
              <w:rPr>
                <w:rFonts w:hint="eastAsia"/>
              </w:rPr>
              <w:t>，</w:t>
            </w:r>
            <w:r>
              <w:rPr>
                <w:rFonts w:hint="eastAsia"/>
              </w:rPr>
              <w:t>本次评价建议</w:t>
            </w:r>
            <w:r>
              <w:rPr>
                <w:rFonts w:hint="eastAsia"/>
              </w:rPr>
              <w:t>设置交通监控系统，监控中心通过全程监督的方式加强安全监管，监控的对象包括所有的危化品车辆，并制定详细的应急处置程序，有效的处理项目的风险事故，降低发生危化品泄漏污染临近水体水质的风险。</w:t>
            </w:r>
          </w:p>
        </w:tc>
      </w:tr>
      <w:tr w:rsidR="00BC07F0">
        <w:trPr>
          <w:trHeight w:val="454"/>
          <w:jc w:val="center"/>
        </w:trPr>
        <w:tc>
          <w:tcPr>
            <w:tcW w:w="446" w:type="dxa"/>
            <w:vAlign w:val="center"/>
          </w:tcPr>
          <w:p w:rsidR="00BC07F0" w:rsidRDefault="00073EFB">
            <w:pPr>
              <w:pStyle w:val="a7"/>
              <w:rPr>
                <w:rFonts w:hint="default"/>
                <w:b/>
                <w:bCs/>
                <w:sz w:val="24"/>
                <w:szCs w:val="24"/>
              </w:rPr>
            </w:pPr>
            <w:r>
              <w:rPr>
                <w:b/>
                <w:bCs/>
                <w:sz w:val="24"/>
                <w:szCs w:val="24"/>
              </w:rPr>
              <w:lastRenderedPageBreak/>
              <w:t>其他</w:t>
            </w:r>
          </w:p>
        </w:tc>
        <w:tc>
          <w:tcPr>
            <w:tcW w:w="9338" w:type="dxa"/>
          </w:tcPr>
          <w:p w:rsidR="00BC07F0" w:rsidRDefault="00073EFB" w:rsidP="00C55F5E">
            <w:pPr>
              <w:adjustRightInd w:val="0"/>
              <w:snapToGrid w:val="0"/>
              <w:ind w:firstLine="482"/>
              <w:rPr>
                <w:b/>
                <w:bCs/>
                <w:kern w:val="0"/>
                <w:szCs w:val="21"/>
              </w:rPr>
            </w:pPr>
            <w:r>
              <w:rPr>
                <w:rFonts w:hint="eastAsia"/>
                <w:b/>
                <w:bCs/>
                <w:kern w:val="0"/>
                <w:szCs w:val="21"/>
              </w:rPr>
              <w:t>5.12</w:t>
            </w:r>
            <w:r>
              <w:rPr>
                <w:rFonts w:hint="eastAsia"/>
                <w:b/>
                <w:bCs/>
                <w:kern w:val="0"/>
                <w:szCs w:val="21"/>
              </w:rPr>
              <w:t>环境管理</w:t>
            </w:r>
          </w:p>
          <w:p w:rsidR="00BC07F0" w:rsidRDefault="00073EFB">
            <w:pPr>
              <w:adjustRightInd w:val="0"/>
              <w:snapToGrid w:val="0"/>
              <w:ind w:firstLine="482"/>
              <w:rPr>
                <w:b/>
                <w:bCs/>
                <w:kern w:val="0"/>
                <w:szCs w:val="21"/>
              </w:rPr>
            </w:pPr>
            <w:r>
              <w:rPr>
                <w:rFonts w:hint="eastAsia"/>
                <w:b/>
                <w:bCs/>
                <w:kern w:val="0"/>
                <w:szCs w:val="21"/>
              </w:rPr>
              <w:t>5.12.1</w:t>
            </w:r>
            <w:r>
              <w:rPr>
                <w:b/>
                <w:bCs/>
                <w:kern w:val="0"/>
                <w:szCs w:val="21"/>
              </w:rPr>
              <w:t>环境管理体系</w:t>
            </w:r>
          </w:p>
          <w:p w:rsidR="00BC07F0" w:rsidRDefault="00073EFB">
            <w:pPr>
              <w:adjustRightInd w:val="0"/>
              <w:snapToGrid w:val="0"/>
              <w:ind w:firstLine="480"/>
              <w:rPr>
                <w:kern w:val="0"/>
                <w:szCs w:val="21"/>
              </w:rPr>
            </w:pPr>
            <w:r>
              <w:rPr>
                <w:kern w:val="0"/>
                <w:szCs w:val="21"/>
              </w:rPr>
              <w:t>在项目运营期间，需做好环境保护工作，各设计部门及施工部门本着保护环境的态度开展工作。因项目立项到项目运营期需经历一个较长的时间，且中间环节较多，需建立完整和规范的环境管理体系，以贯彻执行各项方针、政策、法规及地方环境保护的管理规定。拟建工程环境管理体系</w:t>
            </w:r>
            <w:r>
              <w:rPr>
                <w:rFonts w:hint="eastAsia"/>
                <w:kern w:val="0"/>
                <w:szCs w:val="21"/>
              </w:rPr>
              <w:t>和程序详细情况</w:t>
            </w:r>
            <w:r>
              <w:rPr>
                <w:kern w:val="0"/>
                <w:szCs w:val="21"/>
              </w:rPr>
              <w:t>详见表</w:t>
            </w:r>
            <w:r>
              <w:rPr>
                <w:kern w:val="0"/>
                <w:szCs w:val="21"/>
              </w:rPr>
              <w:t>5</w:t>
            </w:r>
            <w:r>
              <w:rPr>
                <w:rFonts w:hint="eastAsia"/>
                <w:kern w:val="0"/>
                <w:szCs w:val="21"/>
              </w:rPr>
              <w:t>.12-</w:t>
            </w:r>
            <w:r>
              <w:rPr>
                <w:kern w:val="0"/>
                <w:szCs w:val="21"/>
              </w:rPr>
              <w:t>1</w:t>
            </w:r>
            <w:r>
              <w:rPr>
                <w:rFonts w:hint="eastAsia"/>
                <w:kern w:val="0"/>
                <w:szCs w:val="21"/>
              </w:rPr>
              <w:t>所示</w:t>
            </w:r>
            <w:r>
              <w:rPr>
                <w:kern w:val="0"/>
                <w:szCs w:val="21"/>
              </w:rPr>
              <w:t>。</w:t>
            </w:r>
          </w:p>
          <w:p w:rsidR="00BC07F0" w:rsidRDefault="00073EFB">
            <w:pPr>
              <w:pStyle w:val="a7"/>
              <w:rPr>
                <w:rFonts w:hint="default"/>
                <w:b/>
                <w:bCs/>
              </w:rPr>
            </w:pPr>
            <w:r>
              <w:rPr>
                <w:b/>
                <w:bCs/>
              </w:rPr>
              <w:t>表</w:t>
            </w:r>
            <w:r>
              <w:rPr>
                <w:b/>
                <w:bCs/>
              </w:rPr>
              <w:t>5.12-1</w:t>
            </w:r>
            <w:r>
              <w:rPr>
                <w:b/>
                <w:bCs/>
              </w:rPr>
              <w:t>环境保护管理体系及程序一览表</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1"/>
              <w:gridCol w:w="2311"/>
              <w:gridCol w:w="1500"/>
              <w:gridCol w:w="3898"/>
            </w:tblGrid>
            <w:tr w:rsidR="00BC07F0">
              <w:trPr>
                <w:trHeight w:val="397"/>
                <w:jc w:val="center"/>
              </w:trPr>
              <w:tc>
                <w:tcPr>
                  <w:tcW w:w="1382" w:type="dxa"/>
                  <w:vAlign w:val="center"/>
                </w:tcPr>
                <w:p w:rsidR="00BC07F0" w:rsidRDefault="00073EFB">
                  <w:pPr>
                    <w:pStyle w:val="a7"/>
                    <w:rPr>
                      <w:rFonts w:hint="default"/>
                    </w:rPr>
                  </w:pPr>
                  <w:r>
                    <w:t>阶段</w:t>
                  </w:r>
                </w:p>
              </w:tc>
              <w:tc>
                <w:tcPr>
                  <w:tcW w:w="2311" w:type="dxa"/>
                  <w:vAlign w:val="center"/>
                </w:tcPr>
                <w:p w:rsidR="00BC07F0" w:rsidRDefault="00073EFB">
                  <w:pPr>
                    <w:pStyle w:val="a7"/>
                    <w:rPr>
                      <w:rFonts w:hint="default"/>
                    </w:rPr>
                  </w:pPr>
                  <w:r>
                    <w:t>环境保护内容</w:t>
                  </w:r>
                </w:p>
              </w:tc>
              <w:tc>
                <w:tcPr>
                  <w:tcW w:w="1500" w:type="dxa"/>
                  <w:vAlign w:val="center"/>
                </w:tcPr>
                <w:p w:rsidR="00BC07F0" w:rsidRDefault="00073EFB">
                  <w:pPr>
                    <w:pStyle w:val="a7"/>
                    <w:rPr>
                      <w:rFonts w:hint="default"/>
                    </w:rPr>
                  </w:pPr>
                  <w:r>
                    <w:t>执行单位</w:t>
                  </w:r>
                </w:p>
              </w:tc>
              <w:tc>
                <w:tcPr>
                  <w:tcW w:w="3898" w:type="dxa"/>
                  <w:vAlign w:val="center"/>
                </w:tcPr>
                <w:p w:rsidR="00BC07F0" w:rsidRDefault="00073EFB">
                  <w:pPr>
                    <w:pStyle w:val="a7"/>
                    <w:rPr>
                      <w:rFonts w:hint="default"/>
                    </w:rPr>
                  </w:pPr>
                  <w:r>
                    <w:t>管理部门</w:t>
                  </w:r>
                </w:p>
              </w:tc>
            </w:tr>
            <w:tr w:rsidR="00BC07F0">
              <w:trPr>
                <w:trHeight w:val="397"/>
                <w:jc w:val="center"/>
              </w:trPr>
              <w:tc>
                <w:tcPr>
                  <w:tcW w:w="1382" w:type="dxa"/>
                  <w:vAlign w:val="center"/>
                </w:tcPr>
                <w:p w:rsidR="00BC07F0" w:rsidRDefault="00073EFB">
                  <w:pPr>
                    <w:pStyle w:val="a7"/>
                    <w:rPr>
                      <w:rFonts w:hint="default"/>
                    </w:rPr>
                  </w:pPr>
                  <w:r>
                    <w:t>设计期</w:t>
                  </w:r>
                </w:p>
              </w:tc>
              <w:tc>
                <w:tcPr>
                  <w:tcW w:w="2311" w:type="dxa"/>
                  <w:vAlign w:val="center"/>
                </w:tcPr>
                <w:p w:rsidR="00BC07F0" w:rsidRDefault="00073EFB">
                  <w:pPr>
                    <w:pStyle w:val="a7"/>
                    <w:rPr>
                      <w:rFonts w:hint="default"/>
                    </w:rPr>
                  </w:pPr>
                  <w:r>
                    <w:t>环境工程设计</w:t>
                  </w:r>
                </w:p>
              </w:tc>
              <w:tc>
                <w:tcPr>
                  <w:tcW w:w="1500" w:type="dxa"/>
                  <w:vAlign w:val="center"/>
                </w:tcPr>
                <w:p w:rsidR="00BC07F0" w:rsidRDefault="00073EFB">
                  <w:pPr>
                    <w:pStyle w:val="a7"/>
                    <w:rPr>
                      <w:rFonts w:hint="default"/>
                    </w:rPr>
                  </w:pPr>
                  <w:r>
                    <w:t>设计单位</w:t>
                  </w:r>
                </w:p>
              </w:tc>
              <w:tc>
                <w:tcPr>
                  <w:tcW w:w="3898" w:type="dxa"/>
                  <w:vAlign w:val="center"/>
                </w:tcPr>
                <w:p w:rsidR="00BC07F0" w:rsidRDefault="00073EFB">
                  <w:pPr>
                    <w:pStyle w:val="a7"/>
                    <w:rPr>
                      <w:rFonts w:hint="default"/>
                    </w:rPr>
                  </w:pPr>
                  <w:r>
                    <w:t>衡阳</w:t>
                  </w:r>
                  <w:r>
                    <w:t>市生态环境局</w:t>
                  </w:r>
                </w:p>
              </w:tc>
            </w:tr>
            <w:tr w:rsidR="00BC07F0">
              <w:trPr>
                <w:trHeight w:val="397"/>
                <w:jc w:val="center"/>
              </w:trPr>
              <w:tc>
                <w:tcPr>
                  <w:tcW w:w="1382" w:type="dxa"/>
                  <w:vAlign w:val="center"/>
                </w:tcPr>
                <w:p w:rsidR="00BC07F0" w:rsidRDefault="00073EFB">
                  <w:pPr>
                    <w:pStyle w:val="a7"/>
                    <w:rPr>
                      <w:rFonts w:hint="default"/>
                    </w:rPr>
                  </w:pPr>
                  <w:r>
                    <w:t>施工期</w:t>
                  </w:r>
                </w:p>
              </w:tc>
              <w:tc>
                <w:tcPr>
                  <w:tcW w:w="2311" w:type="dxa"/>
                  <w:vAlign w:val="center"/>
                </w:tcPr>
                <w:p w:rsidR="00BC07F0" w:rsidRDefault="00073EFB">
                  <w:pPr>
                    <w:pStyle w:val="a7"/>
                    <w:rPr>
                      <w:rFonts w:hint="default"/>
                    </w:rPr>
                  </w:pPr>
                  <w:r>
                    <w:t>实施环保措施、手续</w:t>
                  </w:r>
                </w:p>
              </w:tc>
              <w:tc>
                <w:tcPr>
                  <w:tcW w:w="1500" w:type="dxa"/>
                  <w:vAlign w:val="center"/>
                </w:tcPr>
                <w:p w:rsidR="00BC07F0" w:rsidRDefault="00073EFB">
                  <w:pPr>
                    <w:pStyle w:val="a7"/>
                    <w:rPr>
                      <w:rFonts w:hint="default"/>
                    </w:rPr>
                  </w:pPr>
                  <w:r>
                    <w:t>施工单位</w:t>
                  </w:r>
                </w:p>
              </w:tc>
              <w:tc>
                <w:tcPr>
                  <w:tcW w:w="3898" w:type="dxa"/>
                  <w:vAlign w:val="center"/>
                </w:tcPr>
                <w:p w:rsidR="00BC07F0" w:rsidRDefault="00073EFB">
                  <w:pPr>
                    <w:pStyle w:val="a7"/>
                    <w:rPr>
                      <w:rFonts w:hint="default"/>
                    </w:rPr>
                  </w:pPr>
                  <w:r>
                    <w:t>衡阳</w:t>
                  </w:r>
                  <w:r>
                    <w:t>市生态环境局</w:t>
                  </w:r>
                  <w:r>
                    <w:t>、</w:t>
                  </w:r>
                  <w:r>
                    <w:t>建设单位、监理公司</w:t>
                  </w:r>
                </w:p>
              </w:tc>
            </w:tr>
            <w:tr w:rsidR="00BC07F0">
              <w:trPr>
                <w:trHeight w:val="397"/>
                <w:jc w:val="center"/>
              </w:trPr>
              <w:tc>
                <w:tcPr>
                  <w:tcW w:w="1382" w:type="dxa"/>
                  <w:vAlign w:val="center"/>
                </w:tcPr>
                <w:p w:rsidR="00BC07F0" w:rsidRDefault="00073EFB">
                  <w:pPr>
                    <w:pStyle w:val="a7"/>
                    <w:rPr>
                      <w:rFonts w:hint="default"/>
                    </w:rPr>
                  </w:pPr>
                  <w:r>
                    <w:t>运营期</w:t>
                  </w:r>
                </w:p>
              </w:tc>
              <w:tc>
                <w:tcPr>
                  <w:tcW w:w="2311" w:type="dxa"/>
                  <w:vAlign w:val="center"/>
                </w:tcPr>
                <w:p w:rsidR="00BC07F0" w:rsidRDefault="00073EFB">
                  <w:pPr>
                    <w:pStyle w:val="a7"/>
                    <w:rPr>
                      <w:rFonts w:hint="default"/>
                    </w:rPr>
                  </w:pPr>
                  <w:r>
                    <w:t>环境监测</w:t>
                  </w:r>
                </w:p>
              </w:tc>
              <w:tc>
                <w:tcPr>
                  <w:tcW w:w="1500" w:type="dxa"/>
                  <w:vAlign w:val="center"/>
                </w:tcPr>
                <w:p w:rsidR="00BC07F0" w:rsidRDefault="00073EFB">
                  <w:pPr>
                    <w:pStyle w:val="a7"/>
                    <w:rPr>
                      <w:rFonts w:hint="default"/>
                    </w:rPr>
                  </w:pPr>
                  <w:r>
                    <w:t>委托监测单位</w:t>
                  </w:r>
                </w:p>
              </w:tc>
              <w:tc>
                <w:tcPr>
                  <w:tcW w:w="3898" w:type="dxa"/>
                  <w:vAlign w:val="center"/>
                </w:tcPr>
                <w:p w:rsidR="00BC07F0" w:rsidRDefault="00073EFB">
                  <w:pPr>
                    <w:pStyle w:val="a7"/>
                    <w:rPr>
                      <w:rFonts w:hint="default"/>
                    </w:rPr>
                  </w:pPr>
                  <w:r>
                    <w:t>衡阳</w:t>
                  </w:r>
                  <w:r>
                    <w:t>市生态环境局</w:t>
                  </w:r>
                </w:p>
              </w:tc>
            </w:tr>
          </w:tbl>
          <w:p w:rsidR="00BC07F0" w:rsidRDefault="00073EFB">
            <w:pPr>
              <w:adjustRightInd w:val="0"/>
              <w:snapToGrid w:val="0"/>
              <w:ind w:firstLine="482"/>
              <w:rPr>
                <w:b/>
                <w:bCs/>
                <w:kern w:val="0"/>
                <w:szCs w:val="21"/>
              </w:rPr>
            </w:pPr>
            <w:r>
              <w:rPr>
                <w:rFonts w:hint="eastAsia"/>
                <w:b/>
                <w:bCs/>
                <w:kern w:val="0"/>
                <w:szCs w:val="21"/>
              </w:rPr>
              <w:t>5.12.2</w:t>
            </w:r>
            <w:r>
              <w:rPr>
                <w:b/>
                <w:bCs/>
                <w:kern w:val="0"/>
                <w:szCs w:val="21"/>
              </w:rPr>
              <w:t>环境管理计划</w:t>
            </w:r>
          </w:p>
          <w:p w:rsidR="00BC07F0" w:rsidRDefault="00073EFB">
            <w:pPr>
              <w:adjustRightInd w:val="0"/>
              <w:snapToGrid w:val="0"/>
              <w:ind w:firstLine="480"/>
              <w:rPr>
                <w:kern w:val="0"/>
                <w:szCs w:val="21"/>
              </w:rPr>
            </w:pPr>
            <w:r>
              <w:rPr>
                <w:kern w:val="0"/>
                <w:szCs w:val="21"/>
              </w:rPr>
              <w:t>环境管理计划的实施应贯彻于项目运作的始终，并针对项目运作不同阶段的特点制</w:t>
            </w:r>
            <w:r>
              <w:rPr>
                <w:kern w:val="0"/>
                <w:szCs w:val="21"/>
              </w:rPr>
              <w:lastRenderedPageBreak/>
              <w:t>定相应的要求，本项目环境保护管理计划见表</w:t>
            </w:r>
            <w:r>
              <w:rPr>
                <w:rFonts w:hint="eastAsia"/>
                <w:kern w:val="0"/>
                <w:szCs w:val="21"/>
              </w:rPr>
              <w:t>5.12-2</w:t>
            </w:r>
            <w:r>
              <w:rPr>
                <w:kern w:val="0"/>
                <w:szCs w:val="21"/>
              </w:rPr>
              <w:t>所示。</w:t>
            </w:r>
          </w:p>
          <w:p w:rsidR="00BC07F0" w:rsidRDefault="00073EFB">
            <w:pPr>
              <w:pStyle w:val="a7"/>
              <w:rPr>
                <w:rFonts w:hint="default"/>
                <w:b/>
                <w:bCs/>
              </w:rPr>
            </w:pPr>
            <w:r>
              <w:rPr>
                <w:b/>
                <w:bCs/>
              </w:rPr>
              <w:t>表</w:t>
            </w:r>
            <w:r>
              <w:rPr>
                <w:b/>
                <w:bCs/>
              </w:rPr>
              <w:t>5.12-</w:t>
            </w:r>
            <w:r>
              <w:rPr>
                <w:b/>
                <w:bCs/>
              </w:rPr>
              <w:t>2</w:t>
            </w:r>
            <w:r>
              <w:rPr>
                <w:b/>
                <w:bCs/>
              </w:rPr>
              <w:t>环境保护管理计划一览表</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0"/>
              <w:gridCol w:w="2282"/>
              <w:gridCol w:w="3195"/>
              <w:gridCol w:w="1125"/>
              <w:gridCol w:w="1438"/>
            </w:tblGrid>
            <w:tr w:rsidR="00BC07F0">
              <w:trPr>
                <w:trHeight w:val="397"/>
                <w:jc w:val="center"/>
              </w:trPr>
              <w:tc>
                <w:tcPr>
                  <w:tcW w:w="1051" w:type="dxa"/>
                  <w:vAlign w:val="center"/>
                </w:tcPr>
                <w:p w:rsidR="00BC07F0" w:rsidRDefault="00073EFB">
                  <w:pPr>
                    <w:pStyle w:val="a7"/>
                    <w:rPr>
                      <w:rFonts w:hint="default"/>
                    </w:rPr>
                  </w:pPr>
                  <w:r>
                    <w:t>阶段</w:t>
                  </w:r>
                </w:p>
              </w:tc>
              <w:tc>
                <w:tcPr>
                  <w:tcW w:w="2282" w:type="dxa"/>
                  <w:vAlign w:val="center"/>
                </w:tcPr>
                <w:p w:rsidR="00BC07F0" w:rsidRDefault="00073EFB">
                  <w:pPr>
                    <w:pStyle w:val="a7"/>
                    <w:rPr>
                      <w:rFonts w:hint="default"/>
                    </w:rPr>
                  </w:pPr>
                  <w:r>
                    <w:t>可能产生的潜在影响</w:t>
                  </w:r>
                </w:p>
              </w:tc>
              <w:tc>
                <w:tcPr>
                  <w:tcW w:w="3195" w:type="dxa"/>
                  <w:vAlign w:val="center"/>
                </w:tcPr>
                <w:p w:rsidR="00BC07F0" w:rsidRDefault="00073EFB">
                  <w:pPr>
                    <w:pStyle w:val="a7"/>
                    <w:rPr>
                      <w:rFonts w:hint="default"/>
                    </w:rPr>
                  </w:pPr>
                  <w:r>
                    <w:t>保护措施</w:t>
                  </w:r>
                </w:p>
              </w:tc>
              <w:tc>
                <w:tcPr>
                  <w:tcW w:w="1125" w:type="dxa"/>
                  <w:vAlign w:val="center"/>
                </w:tcPr>
                <w:p w:rsidR="00BC07F0" w:rsidRDefault="00073EFB">
                  <w:pPr>
                    <w:pStyle w:val="a7"/>
                    <w:rPr>
                      <w:rFonts w:hint="default"/>
                    </w:rPr>
                  </w:pPr>
                  <w:r>
                    <w:t>实施机构</w:t>
                  </w:r>
                </w:p>
              </w:tc>
              <w:tc>
                <w:tcPr>
                  <w:tcW w:w="1438" w:type="dxa"/>
                  <w:vAlign w:val="center"/>
                </w:tcPr>
                <w:p w:rsidR="00BC07F0" w:rsidRDefault="00073EFB">
                  <w:pPr>
                    <w:pStyle w:val="a7"/>
                    <w:rPr>
                      <w:rFonts w:hint="default"/>
                    </w:rPr>
                  </w:pPr>
                  <w:r>
                    <w:t>监督机构</w:t>
                  </w:r>
                </w:p>
              </w:tc>
            </w:tr>
            <w:tr w:rsidR="00BC07F0">
              <w:trPr>
                <w:trHeight w:val="397"/>
                <w:jc w:val="center"/>
              </w:trPr>
              <w:tc>
                <w:tcPr>
                  <w:tcW w:w="1051" w:type="dxa"/>
                  <w:vMerge w:val="restart"/>
                  <w:vAlign w:val="center"/>
                </w:tcPr>
                <w:p w:rsidR="00BC07F0" w:rsidRDefault="00073EFB">
                  <w:pPr>
                    <w:pStyle w:val="a7"/>
                    <w:rPr>
                      <w:rFonts w:hint="default"/>
                    </w:rPr>
                  </w:pPr>
                  <w:r>
                    <w:t>设计期</w:t>
                  </w:r>
                </w:p>
              </w:tc>
              <w:tc>
                <w:tcPr>
                  <w:tcW w:w="2282" w:type="dxa"/>
                  <w:vAlign w:val="center"/>
                </w:tcPr>
                <w:p w:rsidR="00BC07F0" w:rsidRDefault="00073EFB">
                  <w:pPr>
                    <w:pStyle w:val="a7"/>
                    <w:rPr>
                      <w:rFonts w:hint="default"/>
                    </w:rPr>
                  </w:pPr>
                  <w:r>
                    <w:t>交通阻隔、交通噪声</w:t>
                  </w:r>
                </w:p>
              </w:tc>
              <w:tc>
                <w:tcPr>
                  <w:tcW w:w="3195" w:type="dxa"/>
                  <w:vAlign w:val="center"/>
                </w:tcPr>
                <w:p w:rsidR="00BC07F0" w:rsidRDefault="00073EFB">
                  <w:pPr>
                    <w:pStyle w:val="a7"/>
                    <w:rPr>
                      <w:rFonts w:hint="default"/>
                    </w:rPr>
                  </w:pPr>
                  <w:r>
                    <w:t>设置合理的通道保证行人和车辆的通行，设置施工屏障</w:t>
                  </w:r>
                </w:p>
              </w:tc>
              <w:tc>
                <w:tcPr>
                  <w:tcW w:w="1125" w:type="dxa"/>
                  <w:vMerge w:val="restart"/>
                  <w:vAlign w:val="center"/>
                </w:tcPr>
                <w:p w:rsidR="00BC07F0" w:rsidRDefault="00073EFB">
                  <w:pPr>
                    <w:pStyle w:val="a7"/>
                    <w:rPr>
                      <w:rFonts w:hint="default"/>
                    </w:rPr>
                  </w:pPr>
                  <w:r>
                    <w:t>设计单位</w:t>
                  </w:r>
                </w:p>
              </w:tc>
              <w:tc>
                <w:tcPr>
                  <w:tcW w:w="1438" w:type="dxa"/>
                  <w:vMerge w:val="restart"/>
                  <w:vAlign w:val="center"/>
                </w:tcPr>
                <w:p w:rsidR="00BC07F0" w:rsidRDefault="00073EFB">
                  <w:pPr>
                    <w:pStyle w:val="a7"/>
                    <w:rPr>
                      <w:rFonts w:hint="default"/>
                    </w:rPr>
                  </w:pPr>
                  <w:r>
                    <w:t>相关</w:t>
                  </w:r>
                  <w:r>
                    <w:t>职能</w:t>
                  </w:r>
                  <w:r>
                    <w:t>部门</w:t>
                  </w:r>
                </w:p>
              </w:tc>
            </w:tr>
            <w:tr w:rsidR="00BC07F0">
              <w:trPr>
                <w:trHeight w:val="397"/>
                <w:jc w:val="center"/>
              </w:trPr>
              <w:tc>
                <w:tcPr>
                  <w:tcW w:w="1051" w:type="dxa"/>
                  <w:vMerge/>
                  <w:vAlign w:val="center"/>
                </w:tcPr>
                <w:p w:rsidR="00BC07F0" w:rsidRDefault="00BC07F0">
                  <w:pPr>
                    <w:pStyle w:val="a7"/>
                    <w:rPr>
                      <w:rFonts w:hint="default"/>
                    </w:rPr>
                  </w:pPr>
                </w:p>
              </w:tc>
              <w:tc>
                <w:tcPr>
                  <w:tcW w:w="2282" w:type="dxa"/>
                  <w:vAlign w:val="center"/>
                </w:tcPr>
                <w:p w:rsidR="00BC07F0" w:rsidRDefault="00073EFB">
                  <w:pPr>
                    <w:pStyle w:val="a7"/>
                    <w:rPr>
                      <w:rFonts w:hint="default"/>
                    </w:rPr>
                  </w:pPr>
                  <w:r>
                    <w:t>水土流失</w:t>
                  </w:r>
                </w:p>
              </w:tc>
              <w:tc>
                <w:tcPr>
                  <w:tcW w:w="3195" w:type="dxa"/>
                  <w:vAlign w:val="center"/>
                </w:tcPr>
                <w:p w:rsidR="00BC07F0" w:rsidRDefault="00073EFB">
                  <w:pPr>
                    <w:pStyle w:val="a7"/>
                    <w:rPr>
                      <w:rFonts w:hint="default"/>
                    </w:rPr>
                  </w:pPr>
                  <w:r>
                    <w:t>制定水土流失保持方案</w:t>
                  </w:r>
                </w:p>
              </w:tc>
              <w:tc>
                <w:tcPr>
                  <w:tcW w:w="1125" w:type="dxa"/>
                  <w:vMerge/>
                  <w:vAlign w:val="center"/>
                </w:tcPr>
                <w:p w:rsidR="00BC07F0" w:rsidRDefault="00BC07F0">
                  <w:pPr>
                    <w:pStyle w:val="a7"/>
                    <w:rPr>
                      <w:rFonts w:hint="default"/>
                    </w:rPr>
                  </w:pPr>
                </w:p>
              </w:tc>
              <w:tc>
                <w:tcPr>
                  <w:tcW w:w="1438" w:type="dxa"/>
                  <w:vMerge/>
                  <w:vAlign w:val="center"/>
                </w:tcPr>
                <w:p w:rsidR="00BC07F0" w:rsidRDefault="00BC07F0">
                  <w:pPr>
                    <w:pStyle w:val="a7"/>
                    <w:rPr>
                      <w:rFonts w:hint="default"/>
                    </w:rPr>
                  </w:pPr>
                </w:p>
              </w:tc>
            </w:tr>
            <w:tr w:rsidR="00BC07F0">
              <w:trPr>
                <w:trHeight w:val="397"/>
                <w:jc w:val="center"/>
              </w:trPr>
              <w:tc>
                <w:tcPr>
                  <w:tcW w:w="1051" w:type="dxa"/>
                  <w:vMerge w:val="restart"/>
                  <w:vAlign w:val="center"/>
                </w:tcPr>
                <w:p w:rsidR="00BC07F0" w:rsidRDefault="00073EFB">
                  <w:pPr>
                    <w:pStyle w:val="a7"/>
                    <w:rPr>
                      <w:rFonts w:hint="default"/>
                    </w:rPr>
                  </w:pPr>
                  <w:r>
                    <w:t>施工期</w:t>
                  </w:r>
                </w:p>
              </w:tc>
              <w:tc>
                <w:tcPr>
                  <w:tcW w:w="2282" w:type="dxa"/>
                  <w:vAlign w:val="center"/>
                </w:tcPr>
                <w:p w:rsidR="00BC07F0" w:rsidRDefault="00073EFB">
                  <w:pPr>
                    <w:pStyle w:val="a7"/>
                    <w:rPr>
                      <w:rFonts w:hint="default"/>
                    </w:rPr>
                  </w:pPr>
                  <w:r>
                    <w:t>施工现场造成的扬尘污染</w:t>
                  </w:r>
                </w:p>
              </w:tc>
              <w:tc>
                <w:tcPr>
                  <w:tcW w:w="3195" w:type="dxa"/>
                  <w:vAlign w:val="center"/>
                </w:tcPr>
                <w:p w:rsidR="00BC07F0" w:rsidRDefault="00073EFB">
                  <w:pPr>
                    <w:pStyle w:val="a7"/>
                    <w:rPr>
                      <w:rFonts w:hint="default"/>
                    </w:rPr>
                  </w:pPr>
                  <w:r>
                    <w:t>设置围挡，定期对施工现场进行洒水</w:t>
                  </w:r>
                </w:p>
              </w:tc>
              <w:tc>
                <w:tcPr>
                  <w:tcW w:w="1125" w:type="dxa"/>
                  <w:vMerge w:val="restart"/>
                  <w:vAlign w:val="center"/>
                </w:tcPr>
                <w:p w:rsidR="00BC07F0" w:rsidRDefault="00073EFB">
                  <w:pPr>
                    <w:pStyle w:val="a7"/>
                    <w:rPr>
                      <w:rFonts w:hint="default"/>
                    </w:rPr>
                  </w:pPr>
                  <w:r>
                    <w:t>施工单位</w:t>
                  </w:r>
                </w:p>
              </w:tc>
              <w:tc>
                <w:tcPr>
                  <w:tcW w:w="1438" w:type="dxa"/>
                  <w:vMerge w:val="restart"/>
                  <w:vAlign w:val="center"/>
                </w:tcPr>
                <w:p w:rsidR="00BC07F0" w:rsidRDefault="00073EFB">
                  <w:pPr>
                    <w:pStyle w:val="a7"/>
                    <w:rPr>
                      <w:rFonts w:hint="default"/>
                    </w:rPr>
                  </w:pPr>
                  <w:r>
                    <w:t>相关职能部门及</w:t>
                  </w:r>
                  <w:r>
                    <w:t>监理公司</w:t>
                  </w:r>
                </w:p>
              </w:tc>
            </w:tr>
            <w:tr w:rsidR="00BC07F0">
              <w:trPr>
                <w:trHeight w:val="397"/>
                <w:jc w:val="center"/>
              </w:trPr>
              <w:tc>
                <w:tcPr>
                  <w:tcW w:w="1051" w:type="dxa"/>
                  <w:vMerge/>
                  <w:vAlign w:val="center"/>
                </w:tcPr>
                <w:p w:rsidR="00BC07F0" w:rsidRDefault="00BC07F0">
                  <w:pPr>
                    <w:pStyle w:val="a7"/>
                    <w:rPr>
                      <w:rFonts w:hint="default"/>
                    </w:rPr>
                  </w:pPr>
                </w:p>
              </w:tc>
              <w:tc>
                <w:tcPr>
                  <w:tcW w:w="2282" w:type="dxa"/>
                  <w:vAlign w:val="center"/>
                </w:tcPr>
                <w:p w:rsidR="00BC07F0" w:rsidRDefault="00073EFB">
                  <w:pPr>
                    <w:pStyle w:val="a7"/>
                    <w:rPr>
                      <w:rFonts w:hint="default"/>
                    </w:rPr>
                  </w:pPr>
                  <w:r>
                    <w:t>施工现场产生的噪声污染</w:t>
                  </w:r>
                </w:p>
              </w:tc>
              <w:tc>
                <w:tcPr>
                  <w:tcW w:w="3195" w:type="dxa"/>
                  <w:vAlign w:val="center"/>
                </w:tcPr>
                <w:p w:rsidR="00BC07F0" w:rsidRDefault="00073EFB">
                  <w:pPr>
                    <w:pStyle w:val="a7"/>
                    <w:rPr>
                      <w:rFonts w:hint="default"/>
                    </w:rPr>
                  </w:pPr>
                  <w:r>
                    <w:t>选用低噪声的设备，合理安排施工时间</w:t>
                  </w:r>
                </w:p>
              </w:tc>
              <w:tc>
                <w:tcPr>
                  <w:tcW w:w="1125" w:type="dxa"/>
                  <w:vMerge/>
                  <w:vAlign w:val="center"/>
                </w:tcPr>
                <w:p w:rsidR="00BC07F0" w:rsidRDefault="00BC07F0">
                  <w:pPr>
                    <w:pStyle w:val="a7"/>
                    <w:rPr>
                      <w:rFonts w:hint="default"/>
                    </w:rPr>
                  </w:pPr>
                </w:p>
              </w:tc>
              <w:tc>
                <w:tcPr>
                  <w:tcW w:w="1438" w:type="dxa"/>
                  <w:vMerge/>
                  <w:vAlign w:val="center"/>
                </w:tcPr>
                <w:p w:rsidR="00BC07F0" w:rsidRDefault="00BC07F0">
                  <w:pPr>
                    <w:pStyle w:val="a7"/>
                    <w:rPr>
                      <w:rFonts w:hint="default"/>
                    </w:rPr>
                  </w:pPr>
                </w:p>
              </w:tc>
            </w:tr>
            <w:tr w:rsidR="00BC07F0">
              <w:trPr>
                <w:trHeight w:val="397"/>
                <w:jc w:val="center"/>
              </w:trPr>
              <w:tc>
                <w:tcPr>
                  <w:tcW w:w="1051" w:type="dxa"/>
                  <w:vMerge/>
                  <w:vAlign w:val="center"/>
                </w:tcPr>
                <w:p w:rsidR="00BC07F0" w:rsidRDefault="00BC07F0">
                  <w:pPr>
                    <w:pStyle w:val="a7"/>
                    <w:rPr>
                      <w:rFonts w:hint="default"/>
                    </w:rPr>
                  </w:pPr>
                </w:p>
              </w:tc>
              <w:tc>
                <w:tcPr>
                  <w:tcW w:w="2282" w:type="dxa"/>
                  <w:vAlign w:val="center"/>
                </w:tcPr>
                <w:p w:rsidR="00BC07F0" w:rsidRDefault="00073EFB">
                  <w:pPr>
                    <w:pStyle w:val="a7"/>
                    <w:rPr>
                      <w:rFonts w:hint="default"/>
                    </w:rPr>
                  </w:pPr>
                  <w:r>
                    <w:t>施工现场产生的固体废物污染</w:t>
                  </w:r>
                </w:p>
              </w:tc>
              <w:tc>
                <w:tcPr>
                  <w:tcW w:w="3195" w:type="dxa"/>
                  <w:vAlign w:val="center"/>
                </w:tcPr>
                <w:p w:rsidR="00BC07F0" w:rsidRDefault="00073EFB">
                  <w:pPr>
                    <w:pStyle w:val="a7"/>
                    <w:rPr>
                      <w:rFonts w:hint="default"/>
                    </w:rPr>
                  </w:pPr>
                  <w:r>
                    <w:t>对施工人员产生的生活垃圾进行收集，统一交由环卫部门处理</w:t>
                  </w:r>
                </w:p>
              </w:tc>
              <w:tc>
                <w:tcPr>
                  <w:tcW w:w="1125" w:type="dxa"/>
                  <w:vMerge/>
                  <w:vAlign w:val="center"/>
                </w:tcPr>
                <w:p w:rsidR="00BC07F0" w:rsidRDefault="00BC07F0">
                  <w:pPr>
                    <w:pStyle w:val="a7"/>
                    <w:rPr>
                      <w:rFonts w:hint="default"/>
                    </w:rPr>
                  </w:pPr>
                </w:p>
              </w:tc>
              <w:tc>
                <w:tcPr>
                  <w:tcW w:w="1438" w:type="dxa"/>
                  <w:vMerge/>
                  <w:vAlign w:val="center"/>
                </w:tcPr>
                <w:p w:rsidR="00BC07F0" w:rsidRDefault="00BC07F0">
                  <w:pPr>
                    <w:pStyle w:val="a7"/>
                    <w:rPr>
                      <w:rFonts w:hint="default"/>
                    </w:rPr>
                  </w:pPr>
                </w:p>
              </w:tc>
            </w:tr>
            <w:tr w:rsidR="00BC07F0">
              <w:trPr>
                <w:trHeight w:val="397"/>
                <w:jc w:val="center"/>
              </w:trPr>
              <w:tc>
                <w:tcPr>
                  <w:tcW w:w="1051" w:type="dxa"/>
                  <w:vMerge/>
                  <w:vAlign w:val="center"/>
                </w:tcPr>
                <w:p w:rsidR="00BC07F0" w:rsidRDefault="00BC07F0">
                  <w:pPr>
                    <w:pStyle w:val="a7"/>
                    <w:rPr>
                      <w:rFonts w:hint="default"/>
                    </w:rPr>
                  </w:pPr>
                </w:p>
              </w:tc>
              <w:tc>
                <w:tcPr>
                  <w:tcW w:w="2282" w:type="dxa"/>
                  <w:vAlign w:val="center"/>
                </w:tcPr>
                <w:p w:rsidR="00BC07F0" w:rsidRDefault="00073EFB">
                  <w:pPr>
                    <w:pStyle w:val="a7"/>
                    <w:rPr>
                      <w:rFonts w:hint="default"/>
                    </w:rPr>
                  </w:pPr>
                  <w:r>
                    <w:t>临时占地对土地利用的影响</w:t>
                  </w:r>
                </w:p>
              </w:tc>
              <w:tc>
                <w:tcPr>
                  <w:tcW w:w="3195" w:type="dxa"/>
                  <w:vAlign w:val="center"/>
                </w:tcPr>
                <w:p w:rsidR="00BC07F0" w:rsidRDefault="00073EFB">
                  <w:pPr>
                    <w:pStyle w:val="a7"/>
                    <w:rPr>
                      <w:rFonts w:hint="default"/>
                    </w:rPr>
                  </w:pPr>
                  <w:r>
                    <w:t>尽可能少占用土地，并对占用土地及时平整和植被恢复</w:t>
                  </w:r>
                </w:p>
              </w:tc>
              <w:tc>
                <w:tcPr>
                  <w:tcW w:w="1125" w:type="dxa"/>
                  <w:vMerge/>
                  <w:vAlign w:val="center"/>
                </w:tcPr>
                <w:p w:rsidR="00BC07F0" w:rsidRDefault="00BC07F0">
                  <w:pPr>
                    <w:pStyle w:val="a7"/>
                    <w:rPr>
                      <w:rFonts w:hint="default"/>
                    </w:rPr>
                  </w:pPr>
                </w:p>
              </w:tc>
              <w:tc>
                <w:tcPr>
                  <w:tcW w:w="1438" w:type="dxa"/>
                  <w:vMerge/>
                  <w:vAlign w:val="center"/>
                </w:tcPr>
                <w:p w:rsidR="00BC07F0" w:rsidRDefault="00BC07F0">
                  <w:pPr>
                    <w:pStyle w:val="a7"/>
                    <w:rPr>
                      <w:rFonts w:hint="default"/>
                    </w:rPr>
                  </w:pPr>
                </w:p>
              </w:tc>
            </w:tr>
            <w:tr w:rsidR="00BC07F0">
              <w:trPr>
                <w:trHeight w:val="397"/>
                <w:jc w:val="center"/>
              </w:trPr>
              <w:tc>
                <w:tcPr>
                  <w:tcW w:w="1051" w:type="dxa"/>
                  <w:vMerge/>
                  <w:vAlign w:val="center"/>
                </w:tcPr>
                <w:p w:rsidR="00BC07F0" w:rsidRDefault="00BC07F0">
                  <w:pPr>
                    <w:pStyle w:val="a7"/>
                    <w:rPr>
                      <w:rFonts w:hint="default"/>
                    </w:rPr>
                  </w:pPr>
                </w:p>
              </w:tc>
              <w:tc>
                <w:tcPr>
                  <w:tcW w:w="2282" w:type="dxa"/>
                  <w:vAlign w:val="center"/>
                </w:tcPr>
                <w:p w:rsidR="00BC07F0" w:rsidRDefault="00073EFB">
                  <w:pPr>
                    <w:pStyle w:val="a7"/>
                    <w:rPr>
                      <w:rFonts w:hint="default"/>
                    </w:rPr>
                  </w:pPr>
                  <w:r>
                    <w:t>生态破坏、水土流失</w:t>
                  </w:r>
                </w:p>
              </w:tc>
              <w:tc>
                <w:tcPr>
                  <w:tcW w:w="3195" w:type="dxa"/>
                  <w:vAlign w:val="center"/>
                </w:tcPr>
                <w:p w:rsidR="00BC07F0" w:rsidRDefault="00073EFB">
                  <w:pPr>
                    <w:pStyle w:val="a7"/>
                    <w:rPr>
                      <w:rFonts w:hint="default"/>
                    </w:rPr>
                  </w:pPr>
                  <w:r>
                    <w:t>严格的实施水土保持措施，预防水土流失的发生</w:t>
                  </w:r>
                </w:p>
              </w:tc>
              <w:tc>
                <w:tcPr>
                  <w:tcW w:w="1125" w:type="dxa"/>
                  <w:vMerge/>
                  <w:vAlign w:val="center"/>
                </w:tcPr>
                <w:p w:rsidR="00BC07F0" w:rsidRDefault="00BC07F0">
                  <w:pPr>
                    <w:pStyle w:val="a7"/>
                    <w:rPr>
                      <w:rFonts w:hint="default"/>
                    </w:rPr>
                  </w:pPr>
                </w:p>
              </w:tc>
              <w:tc>
                <w:tcPr>
                  <w:tcW w:w="1438" w:type="dxa"/>
                  <w:vMerge/>
                  <w:vAlign w:val="center"/>
                </w:tcPr>
                <w:p w:rsidR="00BC07F0" w:rsidRDefault="00BC07F0">
                  <w:pPr>
                    <w:pStyle w:val="a7"/>
                    <w:rPr>
                      <w:rFonts w:hint="default"/>
                    </w:rPr>
                  </w:pPr>
                </w:p>
              </w:tc>
            </w:tr>
            <w:tr w:rsidR="00BC07F0">
              <w:trPr>
                <w:trHeight w:val="397"/>
                <w:jc w:val="center"/>
              </w:trPr>
              <w:tc>
                <w:tcPr>
                  <w:tcW w:w="1051" w:type="dxa"/>
                  <w:vMerge w:val="restart"/>
                  <w:vAlign w:val="center"/>
                </w:tcPr>
                <w:p w:rsidR="00BC07F0" w:rsidRDefault="00073EFB">
                  <w:pPr>
                    <w:pStyle w:val="a7"/>
                    <w:rPr>
                      <w:rFonts w:hint="default"/>
                    </w:rPr>
                  </w:pPr>
                  <w:r>
                    <w:t>运营期</w:t>
                  </w:r>
                </w:p>
              </w:tc>
              <w:tc>
                <w:tcPr>
                  <w:tcW w:w="2282" w:type="dxa"/>
                  <w:vAlign w:val="center"/>
                </w:tcPr>
                <w:p w:rsidR="00BC07F0" w:rsidRDefault="00073EFB">
                  <w:pPr>
                    <w:pStyle w:val="a7"/>
                    <w:rPr>
                      <w:rFonts w:hint="default"/>
                    </w:rPr>
                  </w:pPr>
                  <w:r>
                    <w:t>交通噪声的污染</w:t>
                  </w:r>
                </w:p>
              </w:tc>
              <w:tc>
                <w:tcPr>
                  <w:tcW w:w="3195" w:type="dxa"/>
                  <w:vAlign w:val="center"/>
                </w:tcPr>
                <w:p w:rsidR="00BC07F0" w:rsidRDefault="00073EFB">
                  <w:pPr>
                    <w:pStyle w:val="a7"/>
                    <w:rPr>
                      <w:rFonts w:hint="default"/>
                    </w:rPr>
                  </w:pPr>
                  <w:r>
                    <w:t>对道路进行限速、禁鸣，实行环境噪声跟踪监测</w:t>
                  </w:r>
                </w:p>
              </w:tc>
              <w:tc>
                <w:tcPr>
                  <w:tcW w:w="1125" w:type="dxa"/>
                  <w:vMerge w:val="restart"/>
                  <w:vAlign w:val="center"/>
                </w:tcPr>
                <w:p w:rsidR="00BC07F0" w:rsidRDefault="00073EFB">
                  <w:pPr>
                    <w:pStyle w:val="a7"/>
                    <w:rPr>
                      <w:rFonts w:hint="default"/>
                    </w:rPr>
                  </w:pPr>
                  <w:r>
                    <w:t>工程运营管理机构</w:t>
                  </w:r>
                </w:p>
              </w:tc>
              <w:tc>
                <w:tcPr>
                  <w:tcW w:w="1438" w:type="dxa"/>
                  <w:vMerge w:val="restart"/>
                  <w:vAlign w:val="center"/>
                </w:tcPr>
                <w:p w:rsidR="00BC07F0" w:rsidRDefault="00073EFB">
                  <w:pPr>
                    <w:pStyle w:val="a7"/>
                    <w:rPr>
                      <w:rFonts w:hint="default"/>
                    </w:rPr>
                  </w:pPr>
                  <w:r>
                    <w:t>相关职能部门</w:t>
                  </w:r>
                </w:p>
              </w:tc>
            </w:tr>
            <w:tr w:rsidR="00BC07F0">
              <w:trPr>
                <w:trHeight w:val="397"/>
                <w:jc w:val="center"/>
              </w:trPr>
              <w:tc>
                <w:tcPr>
                  <w:tcW w:w="1051" w:type="dxa"/>
                  <w:vMerge/>
                  <w:vAlign w:val="center"/>
                </w:tcPr>
                <w:p w:rsidR="00BC07F0" w:rsidRDefault="00BC07F0">
                  <w:pPr>
                    <w:pStyle w:val="a7"/>
                    <w:rPr>
                      <w:rFonts w:hint="default"/>
                    </w:rPr>
                  </w:pPr>
                </w:p>
              </w:tc>
              <w:tc>
                <w:tcPr>
                  <w:tcW w:w="2282" w:type="dxa"/>
                  <w:vAlign w:val="center"/>
                </w:tcPr>
                <w:p w:rsidR="00BC07F0" w:rsidRDefault="00073EFB">
                  <w:pPr>
                    <w:pStyle w:val="a7"/>
                    <w:rPr>
                      <w:rFonts w:hint="default"/>
                    </w:rPr>
                  </w:pPr>
                  <w:r>
                    <w:t>路面径流污染</w:t>
                  </w:r>
                </w:p>
              </w:tc>
              <w:tc>
                <w:tcPr>
                  <w:tcW w:w="3195" w:type="dxa"/>
                  <w:vAlign w:val="center"/>
                </w:tcPr>
                <w:p w:rsidR="00BC07F0" w:rsidRDefault="00073EFB">
                  <w:pPr>
                    <w:pStyle w:val="a7"/>
                    <w:rPr>
                      <w:rFonts w:hint="default"/>
                    </w:rPr>
                  </w:pPr>
                  <w:r>
                    <w:t>沿线两侧设置排水沟，路面径流进行收集，不直接排入附近水体</w:t>
                  </w:r>
                </w:p>
              </w:tc>
              <w:tc>
                <w:tcPr>
                  <w:tcW w:w="1125" w:type="dxa"/>
                  <w:vMerge/>
                  <w:vAlign w:val="center"/>
                </w:tcPr>
                <w:p w:rsidR="00BC07F0" w:rsidRDefault="00BC07F0">
                  <w:pPr>
                    <w:pStyle w:val="a7"/>
                    <w:rPr>
                      <w:rFonts w:hint="default"/>
                    </w:rPr>
                  </w:pPr>
                </w:p>
              </w:tc>
              <w:tc>
                <w:tcPr>
                  <w:tcW w:w="1438" w:type="dxa"/>
                  <w:vMerge/>
                  <w:vAlign w:val="center"/>
                </w:tcPr>
                <w:p w:rsidR="00BC07F0" w:rsidRDefault="00BC07F0">
                  <w:pPr>
                    <w:pStyle w:val="a7"/>
                    <w:rPr>
                      <w:rFonts w:hint="default"/>
                    </w:rPr>
                  </w:pPr>
                </w:p>
              </w:tc>
            </w:tr>
            <w:tr w:rsidR="00BC07F0">
              <w:trPr>
                <w:trHeight w:val="397"/>
                <w:jc w:val="center"/>
              </w:trPr>
              <w:tc>
                <w:tcPr>
                  <w:tcW w:w="1051" w:type="dxa"/>
                  <w:vMerge/>
                  <w:vAlign w:val="center"/>
                </w:tcPr>
                <w:p w:rsidR="00BC07F0" w:rsidRDefault="00BC07F0">
                  <w:pPr>
                    <w:pStyle w:val="a7"/>
                    <w:rPr>
                      <w:rFonts w:hint="default"/>
                    </w:rPr>
                  </w:pPr>
                </w:p>
              </w:tc>
              <w:tc>
                <w:tcPr>
                  <w:tcW w:w="2282" w:type="dxa"/>
                  <w:vAlign w:val="center"/>
                </w:tcPr>
                <w:p w:rsidR="00BC07F0" w:rsidRDefault="00073EFB">
                  <w:pPr>
                    <w:pStyle w:val="a7"/>
                    <w:rPr>
                      <w:rFonts w:hint="default"/>
                    </w:rPr>
                  </w:pPr>
                  <w:r>
                    <w:t>汽车尾气污染</w:t>
                  </w:r>
                </w:p>
              </w:tc>
              <w:tc>
                <w:tcPr>
                  <w:tcW w:w="3195" w:type="dxa"/>
                  <w:vAlign w:val="center"/>
                </w:tcPr>
                <w:p w:rsidR="00BC07F0" w:rsidRDefault="00073EFB">
                  <w:pPr>
                    <w:pStyle w:val="a7"/>
                    <w:rPr>
                      <w:rFonts w:hint="default"/>
                    </w:rPr>
                  </w:pPr>
                  <w:r>
                    <w:t>加强绿化，禁止尾气不达标的汽车上路</w:t>
                  </w:r>
                </w:p>
              </w:tc>
              <w:tc>
                <w:tcPr>
                  <w:tcW w:w="1125" w:type="dxa"/>
                  <w:vMerge/>
                  <w:vAlign w:val="center"/>
                </w:tcPr>
                <w:p w:rsidR="00BC07F0" w:rsidRDefault="00BC07F0">
                  <w:pPr>
                    <w:pStyle w:val="a7"/>
                    <w:rPr>
                      <w:rFonts w:hint="default"/>
                    </w:rPr>
                  </w:pPr>
                </w:p>
              </w:tc>
              <w:tc>
                <w:tcPr>
                  <w:tcW w:w="1438" w:type="dxa"/>
                  <w:vMerge/>
                  <w:vAlign w:val="center"/>
                </w:tcPr>
                <w:p w:rsidR="00BC07F0" w:rsidRDefault="00BC07F0">
                  <w:pPr>
                    <w:pStyle w:val="a7"/>
                    <w:rPr>
                      <w:rFonts w:hint="default"/>
                    </w:rPr>
                  </w:pPr>
                </w:p>
              </w:tc>
            </w:tr>
          </w:tbl>
          <w:p w:rsidR="00BC07F0" w:rsidRDefault="00073EFB" w:rsidP="00C55F5E">
            <w:pPr>
              <w:adjustRightInd w:val="0"/>
              <w:snapToGrid w:val="0"/>
              <w:ind w:firstLine="482"/>
              <w:rPr>
                <w:b/>
                <w:bCs/>
                <w:kern w:val="0"/>
                <w:szCs w:val="21"/>
              </w:rPr>
            </w:pPr>
            <w:r>
              <w:rPr>
                <w:rFonts w:hint="eastAsia"/>
                <w:b/>
                <w:bCs/>
                <w:kern w:val="0"/>
                <w:szCs w:val="21"/>
              </w:rPr>
              <w:t>5.12.3</w:t>
            </w:r>
            <w:r>
              <w:rPr>
                <w:rFonts w:hint="eastAsia"/>
                <w:b/>
                <w:bCs/>
                <w:kern w:val="0"/>
                <w:szCs w:val="21"/>
              </w:rPr>
              <w:t>环境监理</w:t>
            </w:r>
          </w:p>
          <w:p w:rsidR="00BC07F0" w:rsidRDefault="00073EFB" w:rsidP="00C55F5E">
            <w:pPr>
              <w:ind w:firstLine="480"/>
            </w:pPr>
            <w:r>
              <w:rPr>
                <w:rFonts w:hint="eastAsia"/>
              </w:rPr>
              <w:t>环境监理范围</w:t>
            </w:r>
            <w:r>
              <w:rPr>
                <w:rFonts w:hint="eastAsia"/>
              </w:rPr>
              <w:t>：</w:t>
            </w:r>
            <w:r>
              <w:rPr>
                <w:rFonts w:hint="eastAsia"/>
              </w:rPr>
              <w:t>工程环境监理范围为工程项目建设区与工程直接影响区域，包括工程主体工程、施工现场以及承担工程运输的当地现有道路，工程监理单位将环境监理内容一并实施。环境监理工作必须贯穿于施工准备阶段、施工阶段及工程保修阶段。</w:t>
            </w:r>
          </w:p>
          <w:p w:rsidR="00BC07F0" w:rsidRDefault="00073EFB" w:rsidP="00C55F5E">
            <w:pPr>
              <w:ind w:firstLine="480"/>
            </w:pPr>
            <w:r>
              <w:rPr>
                <w:rFonts w:hint="eastAsia"/>
              </w:rPr>
              <w:t>环境监理内容</w:t>
            </w:r>
            <w:r>
              <w:rPr>
                <w:rFonts w:hint="eastAsia"/>
              </w:rPr>
              <w:t>：</w:t>
            </w:r>
            <w:r>
              <w:rPr>
                <w:rFonts w:hint="eastAsia"/>
              </w:rPr>
              <w:t>内容包括水土保持、绿化、污染物防治以及社会环境等环境保护工作的所有方面。</w:t>
            </w:r>
          </w:p>
          <w:p w:rsidR="00BC07F0" w:rsidRDefault="00073EFB" w:rsidP="00C55F5E">
            <w:pPr>
              <w:ind w:firstLine="480"/>
            </w:pPr>
            <w:r>
              <w:rPr>
                <w:rFonts w:hint="eastAsia"/>
              </w:rPr>
              <w:t>环境监理一般程序</w:t>
            </w:r>
            <w:r>
              <w:rPr>
                <w:rFonts w:hint="eastAsia"/>
              </w:rPr>
              <w:t>：</w:t>
            </w:r>
            <w:r>
              <w:rPr>
                <w:rFonts w:hint="eastAsia"/>
              </w:rPr>
              <w:t>制定工程施工期环境监理计划；根据各项环保措施编制环境监理细则；根据环境监理细则进行施工期环境监理；参与工程环保验收，签署环境监理意见；监理项目完成后，向项目法人提交监理档案资料。</w:t>
            </w:r>
          </w:p>
          <w:p w:rsidR="00BC07F0" w:rsidRDefault="00073EFB" w:rsidP="00C55F5E">
            <w:pPr>
              <w:ind w:firstLine="480"/>
            </w:pPr>
            <w:r>
              <w:rPr>
                <w:rFonts w:hint="eastAsia"/>
              </w:rPr>
              <w:t>环境监理工作重点</w:t>
            </w:r>
            <w:r>
              <w:rPr>
                <w:rFonts w:hint="eastAsia"/>
              </w:rPr>
              <w:t>：</w:t>
            </w:r>
            <w:r>
              <w:rPr>
                <w:rFonts w:hint="eastAsia"/>
              </w:rPr>
              <w:t>环境监理单位应收集拟建道路的有关资料，包括项目的基本情况、环境影响评价报告表、环境保护设计、施工单位的设备、生产方式、管理、施工现场的环境情况，以及施工过程的排污规律、防治措施等。然后应根据收集的资料制定环境监理计划，按施工进度计划及排污行为的不同，确定不同时段的监理重点项目、监理方式及监理方法</w:t>
            </w:r>
            <w:r>
              <w:rPr>
                <w:rFonts w:hint="eastAsia"/>
              </w:rPr>
              <w:t>。</w:t>
            </w:r>
          </w:p>
          <w:p w:rsidR="00BC07F0" w:rsidRDefault="00073EFB" w:rsidP="00C55F5E">
            <w:pPr>
              <w:adjustRightInd w:val="0"/>
              <w:snapToGrid w:val="0"/>
              <w:ind w:firstLine="482"/>
              <w:rPr>
                <w:b/>
                <w:bCs/>
                <w:kern w:val="0"/>
                <w:szCs w:val="21"/>
              </w:rPr>
            </w:pPr>
            <w:r>
              <w:rPr>
                <w:rFonts w:hint="eastAsia"/>
                <w:b/>
                <w:bCs/>
                <w:kern w:val="0"/>
                <w:szCs w:val="21"/>
              </w:rPr>
              <w:t>5.12.</w:t>
            </w:r>
            <w:r>
              <w:rPr>
                <w:rFonts w:hint="eastAsia"/>
                <w:b/>
                <w:bCs/>
                <w:kern w:val="0"/>
                <w:szCs w:val="21"/>
              </w:rPr>
              <w:t>4</w:t>
            </w:r>
            <w:r>
              <w:rPr>
                <w:rFonts w:hint="eastAsia"/>
                <w:b/>
                <w:bCs/>
                <w:kern w:val="0"/>
                <w:szCs w:val="21"/>
              </w:rPr>
              <w:t>环境监测计划</w:t>
            </w:r>
          </w:p>
          <w:p w:rsidR="00BC07F0" w:rsidRDefault="00073EFB">
            <w:pPr>
              <w:adjustRightInd w:val="0"/>
              <w:snapToGrid w:val="0"/>
              <w:ind w:firstLine="480"/>
              <w:rPr>
                <w:rFonts w:ascii="宋体" w:hAnsi="宋体" w:cs="宋体"/>
                <w:kern w:val="0"/>
                <w:szCs w:val="21"/>
              </w:rPr>
            </w:pPr>
            <w:r>
              <w:rPr>
                <w:rFonts w:ascii="宋体" w:hAnsi="宋体" w:cs="宋体" w:hint="eastAsia"/>
                <w:kern w:val="0"/>
                <w:szCs w:val="21"/>
              </w:rPr>
              <w:lastRenderedPageBreak/>
              <w:t>本项目环境监测的重点是声环境、大气环境</w:t>
            </w:r>
            <w:r>
              <w:rPr>
                <w:rFonts w:ascii="宋体" w:hAnsi="宋体" w:cs="宋体" w:hint="eastAsia"/>
                <w:kern w:val="0"/>
                <w:szCs w:val="21"/>
              </w:rPr>
              <w:t>，</w:t>
            </w:r>
            <w:r>
              <w:rPr>
                <w:rFonts w:ascii="宋体" w:hAnsi="宋体" w:cs="宋体" w:hint="eastAsia"/>
                <w:kern w:val="0"/>
                <w:szCs w:val="21"/>
              </w:rPr>
              <w:t>常规监测要求定点和不定点监测、定时和不定时抽检相结合的方式进行。建设单位需委托具有环境监测相关资质的单位进行监测，监测方法和标准按照相关标准执行，具体环境监测计划</w:t>
            </w:r>
            <w:r>
              <w:rPr>
                <w:kern w:val="0"/>
                <w:szCs w:val="21"/>
              </w:rPr>
              <w:t>见表</w:t>
            </w:r>
            <w:r>
              <w:rPr>
                <w:rFonts w:hint="eastAsia"/>
                <w:kern w:val="0"/>
                <w:szCs w:val="21"/>
              </w:rPr>
              <w:t>表</w:t>
            </w:r>
            <w:r>
              <w:rPr>
                <w:rFonts w:hint="eastAsia"/>
                <w:kern w:val="0"/>
                <w:szCs w:val="21"/>
              </w:rPr>
              <w:t>5.12-</w:t>
            </w:r>
            <w:r>
              <w:rPr>
                <w:rFonts w:hint="eastAsia"/>
                <w:kern w:val="0"/>
                <w:szCs w:val="21"/>
              </w:rPr>
              <w:t>3</w:t>
            </w:r>
            <w:r>
              <w:rPr>
                <w:kern w:val="0"/>
                <w:szCs w:val="21"/>
              </w:rPr>
              <w:t>。</w:t>
            </w:r>
          </w:p>
          <w:p w:rsidR="00BC07F0" w:rsidRDefault="00073EFB">
            <w:pPr>
              <w:pStyle w:val="a7"/>
              <w:rPr>
                <w:rFonts w:hint="default"/>
                <w:b/>
                <w:bCs/>
              </w:rPr>
            </w:pPr>
            <w:r>
              <w:rPr>
                <w:b/>
                <w:bCs/>
              </w:rPr>
              <w:t>表</w:t>
            </w:r>
            <w:r>
              <w:rPr>
                <w:b/>
                <w:bCs/>
              </w:rPr>
              <w:t>5.12-3</w:t>
            </w:r>
            <w:r>
              <w:rPr>
                <w:b/>
                <w:bCs/>
              </w:rPr>
              <w:t>环境监测计划</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0"/>
              <w:gridCol w:w="1138"/>
              <w:gridCol w:w="1499"/>
              <w:gridCol w:w="1637"/>
              <w:gridCol w:w="1350"/>
              <w:gridCol w:w="2399"/>
            </w:tblGrid>
            <w:tr w:rsidR="00BC07F0">
              <w:trPr>
                <w:trHeight w:val="397"/>
                <w:jc w:val="center"/>
              </w:trPr>
              <w:tc>
                <w:tcPr>
                  <w:tcW w:w="1071" w:type="dxa"/>
                  <w:vAlign w:val="center"/>
                </w:tcPr>
                <w:p w:rsidR="00BC07F0" w:rsidRDefault="00073EFB">
                  <w:pPr>
                    <w:pStyle w:val="a7"/>
                    <w:rPr>
                      <w:rFonts w:hint="default"/>
                    </w:rPr>
                  </w:pPr>
                  <w:r>
                    <w:t>阶段</w:t>
                  </w:r>
                </w:p>
              </w:tc>
              <w:tc>
                <w:tcPr>
                  <w:tcW w:w="1138" w:type="dxa"/>
                  <w:vAlign w:val="center"/>
                </w:tcPr>
                <w:p w:rsidR="00BC07F0" w:rsidRDefault="00073EFB">
                  <w:pPr>
                    <w:pStyle w:val="a7"/>
                    <w:rPr>
                      <w:rFonts w:hint="default"/>
                    </w:rPr>
                  </w:pPr>
                  <w:r>
                    <w:t>环境要素</w:t>
                  </w:r>
                </w:p>
              </w:tc>
              <w:tc>
                <w:tcPr>
                  <w:tcW w:w="1499" w:type="dxa"/>
                  <w:vAlign w:val="center"/>
                </w:tcPr>
                <w:p w:rsidR="00BC07F0" w:rsidRDefault="00073EFB">
                  <w:pPr>
                    <w:pStyle w:val="a7"/>
                    <w:rPr>
                      <w:rFonts w:hint="default"/>
                    </w:rPr>
                  </w:pPr>
                  <w:r>
                    <w:t>监测项目</w:t>
                  </w:r>
                </w:p>
              </w:tc>
              <w:tc>
                <w:tcPr>
                  <w:tcW w:w="1637" w:type="dxa"/>
                  <w:vAlign w:val="center"/>
                </w:tcPr>
                <w:p w:rsidR="00BC07F0" w:rsidRDefault="00073EFB">
                  <w:pPr>
                    <w:pStyle w:val="a7"/>
                    <w:rPr>
                      <w:rFonts w:hint="default"/>
                    </w:rPr>
                  </w:pPr>
                  <w:r>
                    <w:t>监测点位</w:t>
                  </w:r>
                </w:p>
              </w:tc>
              <w:tc>
                <w:tcPr>
                  <w:tcW w:w="1350" w:type="dxa"/>
                  <w:vAlign w:val="center"/>
                </w:tcPr>
                <w:p w:rsidR="00BC07F0" w:rsidRDefault="00073EFB">
                  <w:pPr>
                    <w:pStyle w:val="a7"/>
                    <w:rPr>
                      <w:rFonts w:hint="default"/>
                    </w:rPr>
                  </w:pPr>
                  <w:r>
                    <w:t>监测频次</w:t>
                  </w:r>
                </w:p>
              </w:tc>
              <w:tc>
                <w:tcPr>
                  <w:tcW w:w="2399" w:type="dxa"/>
                  <w:vAlign w:val="center"/>
                </w:tcPr>
                <w:p w:rsidR="00BC07F0" w:rsidRDefault="00073EFB">
                  <w:pPr>
                    <w:pStyle w:val="a7"/>
                    <w:rPr>
                      <w:rFonts w:hint="default"/>
                    </w:rPr>
                  </w:pPr>
                  <w:r>
                    <w:t>执行标准</w:t>
                  </w:r>
                </w:p>
              </w:tc>
            </w:tr>
            <w:tr w:rsidR="00BC07F0">
              <w:trPr>
                <w:trHeight w:val="397"/>
                <w:jc w:val="center"/>
              </w:trPr>
              <w:tc>
                <w:tcPr>
                  <w:tcW w:w="1071" w:type="dxa"/>
                  <w:vMerge w:val="restart"/>
                  <w:vAlign w:val="center"/>
                </w:tcPr>
                <w:p w:rsidR="00BC07F0" w:rsidRDefault="00073EFB">
                  <w:pPr>
                    <w:pStyle w:val="a7"/>
                    <w:rPr>
                      <w:rFonts w:hint="default"/>
                    </w:rPr>
                  </w:pPr>
                  <w:r>
                    <w:t>施工期</w:t>
                  </w:r>
                </w:p>
              </w:tc>
              <w:tc>
                <w:tcPr>
                  <w:tcW w:w="1138" w:type="dxa"/>
                  <w:vAlign w:val="center"/>
                </w:tcPr>
                <w:p w:rsidR="00BC07F0" w:rsidRDefault="00073EFB">
                  <w:pPr>
                    <w:pStyle w:val="a7"/>
                    <w:rPr>
                      <w:rFonts w:hint="default"/>
                    </w:rPr>
                  </w:pPr>
                  <w:r>
                    <w:t>大气环境</w:t>
                  </w:r>
                </w:p>
              </w:tc>
              <w:tc>
                <w:tcPr>
                  <w:tcW w:w="1499" w:type="dxa"/>
                  <w:vAlign w:val="center"/>
                </w:tcPr>
                <w:p w:rsidR="00BC07F0" w:rsidRDefault="00073EFB">
                  <w:pPr>
                    <w:pStyle w:val="a7"/>
                    <w:rPr>
                      <w:rFonts w:hint="default"/>
                    </w:rPr>
                  </w:pPr>
                  <w:r>
                    <w:t>TSP</w:t>
                  </w:r>
                </w:p>
              </w:tc>
              <w:tc>
                <w:tcPr>
                  <w:tcW w:w="1637" w:type="dxa"/>
                  <w:vAlign w:val="center"/>
                </w:tcPr>
                <w:p w:rsidR="00BC07F0" w:rsidRDefault="00073EFB">
                  <w:pPr>
                    <w:pStyle w:val="a7"/>
                    <w:rPr>
                      <w:rFonts w:hint="default"/>
                    </w:rPr>
                  </w:pPr>
                  <w:r>
                    <w:t>施工现场周边</w:t>
                  </w:r>
                </w:p>
              </w:tc>
              <w:tc>
                <w:tcPr>
                  <w:tcW w:w="1350" w:type="dxa"/>
                  <w:vAlign w:val="center"/>
                </w:tcPr>
                <w:p w:rsidR="00BC07F0" w:rsidRDefault="00073EFB">
                  <w:pPr>
                    <w:pStyle w:val="a7"/>
                    <w:rPr>
                      <w:rFonts w:hint="default"/>
                    </w:rPr>
                  </w:pPr>
                  <w:r>
                    <w:t>1</w:t>
                  </w:r>
                  <w:r>
                    <w:t>次</w:t>
                  </w:r>
                  <w:r>
                    <w:t>/</w:t>
                  </w:r>
                  <w:r>
                    <w:t>季</w:t>
                  </w:r>
                </w:p>
              </w:tc>
              <w:tc>
                <w:tcPr>
                  <w:tcW w:w="2399" w:type="dxa"/>
                  <w:vAlign w:val="center"/>
                </w:tcPr>
                <w:p w:rsidR="00BC07F0" w:rsidRDefault="00073EFB">
                  <w:pPr>
                    <w:pStyle w:val="a7"/>
                    <w:rPr>
                      <w:rFonts w:hint="default"/>
                    </w:rPr>
                  </w:pPr>
                  <w:r>
                    <w:t>《大气污染物综合排放标准》（</w:t>
                  </w:r>
                  <w:r>
                    <w:t>GB16297-1996</w:t>
                  </w:r>
                  <w:r>
                    <w:t>）表</w:t>
                  </w:r>
                  <w:r>
                    <w:t>2</w:t>
                  </w:r>
                </w:p>
              </w:tc>
            </w:tr>
            <w:tr w:rsidR="00BC07F0">
              <w:trPr>
                <w:trHeight w:val="397"/>
                <w:jc w:val="center"/>
              </w:trPr>
              <w:tc>
                <w:tcPr>
                  <w:tcW w:w="1071" w:type="dxa"/>
                  <w:vMerge/>
                  <w:vAlign w:val="center"/>
                </w:tcPr>
                <w:p w:rsidR="00BC07F0" w:rsidRDefault="00BC07F0">
                  <w:pPr>
                    <w:pStyle w:val="a7"/>
                    <w:rPr>
                      <w:rFonts w:hint="default"/>
                    </w:rPr>
                  </w:pPr>
                </w:p>
              </w:tc>
              <w:tc>
                <w:tcPr>
                  <w:tcW w:w="1138" w:type="dxa"/>
                  <w:vAlign w:val="center"/>
                </w:tcPr>
                <w:p w:rsidR="00BC07F0" w:rsidRDefault="00073EFB">
                  <w:pPr>
                    <w:pStyle w:val="a7"/>
                    <w:rPr>
                      <w:rFonts w:hint="default"/>
                    </w:rPr>
                  </w:pPr>
                  <w:r>
                    <w:t>声环境</w:t>
                  </w:r>
                </w:p>
              </w:tc>
              <w:tc>
                <w:tcPr>
                  <w:tcW w:w="1499" w:type="dxa"/>
                  <w:vAlign w:val="center"/>
                </w:tcPr>
                <w:p w:rsidR="00BC07F0" w:rsidRDefault="00073EFB">
                  <w:pPr>
                    <w:pStyle w:val="a7"/>
                    <w:rPr>
                      <w:rFonts w:hint="default"/>
                    </w:rPr>
                  </w:pPr>
                  <w:r>
                    <w:t>Laeq</w:t>
                  </w:r>
                </w:p>
              </w:tc>
              <w:tc>
                <w:tcPr>
                  <w:tcW w:w="1637" w:type="dxa"/>
                  <w:vAlign w:val="center"/>
                </w:tcPr>
                <w:p w:rsidR="00BC07F0" w:rsidRDefault="00073EFB">
                  <w:pPr>
                    <w:pStyle w:val="a7"/>
                    <w:rPr>
                      <w:rFonts w:hint="default"/>
                    </w:rPr>
                  </w:pPr>
                  <w:r>
                    <w:t>施工现场周边、典型敏感点</w:t>
                  </w:r>
                </w:p>
              </w:tc>
              <w:tc>
                <w:tcPr>
                  <w:tcW w:w="1350" w:type="dxa"/>
                  <w:vAlign w:val="center"/>
                </w:tcPr>
                <w:p w:rsidR="00BC07F0" w:rsidRDefault="00073EFB">
                  <w:pPr>
                    <w:pStyle w:val="a7"/>
                    <w:rPr>
                      <w:rFonts w:hint="default"/>
                    </w:rPr>
                  </w:pPr>
                  <w:r>
                    <w:t>1</w:t>
                  </w:r>
                  <w:r>
                    <w:t>次</w:t>
                  </w:r>
                  <w:r>
                    <w:t>/</w:t>
                  </w:r>
                  <w:r>
                    <w:t>季</w:t>
                  </w:r>
                </w:p>
              </w:tc>
              <w:tc>
                <w:tcPr>
                  <w:tcW w:w="2399" w:type="dxa"/>
                  <w:vAlign w:val="center"/>
                </w:tcPr>
                <w:p w:rsidR="00BC07F0" w:rsidRDefault="00073EFB">
                  <w:pPr>
                    <w:pStyle w:val="a7"/>
                    <w:rPr>
                      <w:rFonts w:hint="default"/>
                    </w:rPr>
                  </w:pPr>
                  <w:r>
                    <w:t>《建筑施工场界环境噪声排放标准》（</w:t>
                  </w:r>
                  <w:r>
                    <w:t>GB12523-2011</w:t>
                  </w:r>
                  <w:r>
                    <w:t>）</w:t>
                  </w:r>
                </w:p>
              </w:tc>
            </w:tr>
            <w:tr w:rsidR="00BC07F0">
              <w:trPr>
                <w:trHeight w:val="397"/>
                <w:jc w:val="center"/>
              </w:trPr>
              <w:tc>
                <w:tcPr>
                  <w:tcW w:w="1071" w:type="dxa"/>
                  <w:vMerge w:val="restart"/>
                  <w:vAlign w:val="center"/>
                </w:tcPr>
                <w:p w:rsidR="00BC07F0" w:rsidRDefault="00073EFB">
                  <w:pPr>
                    <w:pStyle w:val="a7"/>
                    <w:rPr>
                      <w:rFonts w:hint="default"/>
                    </w:rPr>
                  </w:pPr>
                  <w:r>
                    <w:t>运营期</w:t>
                  </w:r>
                </w:p>
              </w:tc>
              <w:tc>
                <w:tcPr>
                  <w:tcW w:w="1138" w:type="dxa"/>
                  <w:vAlign w:val="center"/>
                </w:tcPr>
                <w:p w:rsidR="00BC07F0" w:rsidRDefault="00073EFB">
                  <w:pPr>
                    <w:pStyle w:val="a7"/>
                    <w:rPr>
                      <w:rFonts w:hint="default"/>
                    </w:rPr>
                  </w:pPr>
                  <w:r>
                    <w:t>大气环境</w:t>
                  </w:r>
                </w:p>
              </w:tc>
              <w:tc>
                <w:tcPr>
                  <w:tcW w:w="1499" w:type="dxa"/>
                  <w:vAlign w:val="center"/>
                </w:tcPr>
                <w:p w:rsidR="00BC07F0" w:rsidRDefault="00073EFB">
                  <w:pPr>
                    <w:pStyle w:val="a7"/>
                    <w:rPr>
                      <w:rFonts w:hint="default"/>
                    </w:rPr>
                  </w:pPr>
                  <w:r>
                    <w:t>NO</w:t>
                  </w:r>
                  <w:r>
                    <w:t>x</w:t>
                  </w:r>
                  <w:r>
                    <w:t>、</w:t>
                  </w:r>
                  <w:r>
                    <w:t>TSP</w:t>
                  </w:r>
                </w:p>
              </w:tc>
              <w:tc>
                <w:tcPr>
                  <w:tcW w:w="1637" w:type="dxa"/>
                  <w:vAlign w:val="center"/>
                </w:tcPr>
                <w:p w:rsidR="00BC07F0" w:rsidRDefault="00073EFB">
                  <w:pPr>
                    <w:pStyle w:val="a7"/>
                    <w:rPr>
                      <w:rFonts w:hint="default"/>
                    </w:rPr>
                  </w:pPr>
                  <w:r>
                    <w:t>典型敏感点</w:t>
                  </w:r>
                </w:p>
              </w:tc>
              <w:tc>
                <w:tcPr>
                  <w:tcW w:w="1350" w:type="dxa"/>
                  <w:vAlign w:val="center"/>
                </w:tcPr>
                <w:p w:rsidR="00BC07F0" w:rsidRDefault="00073EFB">
                  <w:pPr>
                    <w:pStyle w:val="a7"/>
                    <w:rPr>
                      <w:rFonts w:hint="default"/>
                    </w:rPr>
                  </w:pPr>
                  <w:r>
                    <w:t>1</w:t>
                  </w:r>
                  <w:r>
                    <w:t>次</w:t>
                  </w:r>
                  <w:r>
                    <w:t>/</w:t>
                  </w:r>
                  <w:r>
                    <w:t>年</w:t>
                  </w:r>
                </w:p>
              </w:tc>
              <w:tc>
                <w:tcPr>
                  <w:tcW w:w="2399" w:type="dxa"/>
                  <w:vAlign w:val="center"/>
                </w:tcPr>
                <w:p w:rsidR="00BC07F0" w:rsidRDefault="00073EFB">
                  <w:pPr>
                    <w:pStyle w:val="a7"/>
                    <w:rPr>
                      <w:rFonts w:hint="default"/>
                    </w:rPr>
                  </w:pPr>
                  <w:r>
                    <w:t>《大气污染物综合排放标准》（</w:t>
                  </w:r>
                  <w:r>
                    <w:t>GB16297-1996</w:t>
                  </w:r>
                  <w:r>
                    <w:t>）表</w:t>
                  </w:r>
                  <w:r>
                    <w:t>2</w:t>
                  </w:r>
                </w:p>
              </w:tc>
            </w:tr>
            <w:tr w:rsidR="00BC07F0">
              <w:trPr>
                <w:trHeight w:val="397"/>
                <w:jc w:val="center"/>
              </w:trPr>
              <w:tc>
                <w:tcPr>
                  <w:tcW w:w="1071" w:type="dxa"/>
                  <w:vMerge/>
                  <w:vAlign w:val="center"/>
                </w:tcPr>
                <w:p w:rsidR="00BC07F0" w:rsidRDefault="00BC07F0">
                  <w:pPr>
                    <w:pStyle w:val="a7"/>
                    <w:rPr>
                      <w:rFonts w:hint="default"/>
                    </w:rPr>
                  </w:pPr>
                </w:p>
              </w:tc>
              <w:tc>
                <w:tcPr>
                  <w:tcW w:w="1138" w:type="dxa"/>
                  <w:vAlign w:val="center"/>
                </w:tcPr>
                <w:p w:rsidR="00BC07F0" w:rsidRDefault="00073EFB">
                  <w:pPr>
                    <w:pStyle w:val="a7"/>
                    <w:rPr>
                      <w:rFonts w:hint="default"/>
                    </w:rPr>
                  </w:pPr>
                  <w:r>
                    <w:t>声环境</w:t>
                  </w:r>
                </w:p>
              </w:tc>
              <w:tc>
                <w:tcPr>
                  <w:tcW w:w="1499" w:type="dxa"/>
                  <w:vAlign w:val="center"/>
                </w:tcPr>
                <w:p w:rsidR="00BC07F0" w:rsidRDefault="00073EFB">
                  <w:pPr>
                    <w:pStyle w:val="a7"/>
                    <w:rPr>
                      <w:rFonts w:hint="default"/>
                    </w:rPr>
                  </w:pPr>
                  <w:r>
                    <w:t>Laeq</w:t>
                  </w:r>
                </w:p>
              </w:tc>
              <w:tc>
                <w:tcPr>
                  <w:tcW w:w="1637" w:type="dxa"/>
                  <w:vAlign w:val="center"/>
                </w:tcPr>
                <w:p w:rsidR="00BC07F0" w:rsidRDefault="00073EFB">
                  <w:pPr>
                    <w:pStyle w:val="a7"/>
                    <w:rPr>
                      <w:rFonts w:hint="default"/>
                    </w:rPr>
                  </w:pPr>
                  <w:r>
                    <w:t>道路沿线居民区</w:t>
                  </w:r>
                </w:p>
              </w:tc>
              <w:tc>
                <w:tcPr>
                  <w:tcW w:w="1350" w:type="dxa"/>
                  <w:vAlign w:val="center"/>
                </w:tcPr>
                <w:p w:rsidR="00BC07F0" w:rsidRDefault="00073EFB">
                  <w:pPr>
                    <w:pStyle w:val="a7"/>
                    <w:rPr>
                      <w:rFonts w:hint="default"/>
                    </w:rPr>
                  </w:pPr>
                  <w:r>
                    <w:t>1</w:t>
                  </w:r>
                  <w:r>
                    <w:t>次</w:t>
                  </w:r>
                  <w:r>
                    <w:t>/</w:t>
                  </w:r>
                  <w:r>
                    <w:t>年</w:t>
                  </w:r>
                </w:p>
              </w:tc>
              <w:tc>
                <w:tcPr>
                  <w:tcW w:w="2399" w:type="dxa"/>
                  <w:vAlign w:val="center"/>
                </w:tcPr>
                <w:p w:rsidR="00BC07F0" w:rsidRDefault="00073EFB">
                  <w:pPr>
                    <w:pStyle w:val="a7"/>
                    <w:rPr>
                      <w:rFonts w:hint="default"/>
                    </w:rPr>
                  </w:pPr>
                  <w:r>
                    <w:t>《声环境质量标准》（</w:t>
                  </w:r>
                  <w:r>
                    <w:t>GB3096-2008</w:t>
                  </w:r>
                  <w:r>
                    <w:t>）</w:t>
                  </w:r>
                </w:p>
              </w:tc>
            </w:tr>
          </w:tbl>
          <w:p w:rsidR="00BC07F0" w:rsidRDefault="00BC07F0">
            <w:pPr>
              <w:pStyle w:val="a7"/>
              <w:rPr>
                <w:rFonts w:hint="default"/>
                <w:sz w:val="24"/>
                <w:szCs w:val="24"/>
              </w:rPr>
            </w:pPr>
          </w:p>
        </w:tc>
      </w:tr>
      <w:tr w:rsidR="00BC07F0">
        <w:trPr>
          <w:trHeight w:val="454"/>
          <w:jc w:val="center"/>
        </w:trPr>
        <w:tc>
          <w:tcPr>
            <w:tcW w:w="446" w:type="dxa"/>
            <w:vAlign w:val="center"/>
          </w:tcPr>
          <w:p w:rsidR="00BC07F0" w:rsidRDefault="00073EFB">
            <w:pPr>
              <w:pStyle w:val="a7"/>
              <w:rPr>
                <w:rFonts w:hint="default"/>
                <w:b/>
                <w:bCs/>
                <w:sz w:val="24"/>
                <w:szCs w:val="24"/>
              </w:rPr>
            </w:pPr>
            <w:r>
              <w:rPr>
                <w:b/>
                <w:bCs/>
                <w:sz w:val="24"/>
                <w:szCs w:val="24"/>
              </w:rPr>
              <w:lastRenderedPageBreak/>
              <w:t>环保投资</w:t>
            </w:r>
          </w:p>
        </w:tc>
        <w:tc>
          <w:tcPr>
            <w:tcW w:w="9338" w:type="dxa"/>
          </w:tcPr>
          <w:p w:rsidR="00BC07F0" w:rsidRDefault="00073EFB">
            <w:pPr>
              <w:adjustRightInd w:val="0"/>
              <w:snapToGrid w:val="0"/>
              <w:ind w:firstLine="480"/>
              <w:rPr>
                <w:kern w:val="0"/>
                <w:szCs w:val="21"/>
              </w:rPr>
            </w:pPr>
            <w:r>
              <w:rPr>
                <w:kern w:val="0"/>
                <w:szCs w:val="21"/>
              </w:rPr>
              <w:t>本项目总投资</w:t>
            </w:r>
            <w:r>
              <w:rPr>
                <w:rFonts w:hint="eastAsia"/>
                <w:kern w:val="0"/>
                <w:szCs w:val="21"/>
              </w:rPr>
              <w:t>180369.03</w:t>
            </w:r>
            <w:r>
              <w:rPr>
                <w:kern w:val="0"/>
                <w:szCs w:val="21"/>
              </w:rPr>
              <w:t>万元，环保投资</w:t>
            </w:r>
            <w:r>
              <w:rPr>
                <w:rFonts w:hint="eastAsia"/>
                <w:kern w:val="0"/>
                <w:szCs w:val="21"/>
              </w:rPr>
              <w:t>154</w:t>
            </w:r>
            <w:r>
              <w:rPr>
                <w:kern w:val="0"/>
                <w:szCs w:val="21"/>
              </w:rPr>
              <w:t>万元，占总投资的</w:t>
            </w:r>
            <w:r>
              <w:rPr>
                <w:rFonts w:hint="eastAsia"/>
                <w:kern w:val="0"/>
                <w:szCs w:val="21"/>
              </w:rPr>
              <w:t xml:space="preserve">0.09 </w:t>
            </w:r>
            <w:r>
              <w:rPr>
                <w:rFonts w:hint="eastAsia"/>
                <w:kern w:val="0"/>
                <w:szCs w:val="21"/>
              </w:rPr>
              <w:t>%</w:t>
            </w:r>
            <w:r>
              <w:rPr>
                <w:kern w:val="0"/>
                <w:szCs w:val="21"/>
              </w:rPr>
              <w:t>，具体环保工程投资见表</w:t>
            </w:r>
            <w:r>
              <w:rPr>
                <w:kern w:val="0"/>
                <w:szCs w:val="21"/>
              </w:rPr>
              <w:t>5-5</w:t>
            </w:r>
            <w:r>
              <w:rPr>
                <w:kern w:val="0"/>
                <w:szCs w:val="21"/>
              </w:rPr>
              <w:t>。</w:t>
            </w:r>
          </w:p>
          <w:p w:rsidR="00BC07F0" w:rsidRDefault="00073EFB">
            <w:pPr>
              <w:pStyle w:val="a7"/>
              <w:rPr>
                <w:rFonts w:hint="default"/>
                <w:b/>
                <w:bCs/>
              </w:rPr>
            </w:pPr>
            <w:r>
              <w:rPr>
                <w:b/>
                <w:bCs/>
              </w:rPr>
              <w:t>表</w:t>
            </w:r>
            <w:r>
              <w:rPr>
                <w:b/>
                <w:bCs/>
              </w:rPr>
              <w:t>5.12-3</w:t>
            </w:r>
            <w:r>
              <w:rPr>
                <w:b/>
                <w:bCs/>
              </w:rPr>
              <w:t>项目环保投资估算一览表</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
              <w:gridCol w:w="1950"/>
              <w:gridCol w:w="4860"/>
              <w:gridCol w:w="1795"/>
            </w:tblGrid>
            <w:tr w:rsidR="00BC07F0">
              <w:trPr>
                <w:trHeight w:val="397"/>
                <w:jc w:val="center"/>
              </w:trPr>
              <w:tc>
                <w:tcPr>
                  <w:tcW w:w="2435" w:type="dxa"/>
                  <w:gridSpan w:val="2"/>
                  <w:vAlign w:val="center"/>
                </w:tcPr>
                <w:p w:rsidR="00BC07F0" w:rsidRDefault="00073EFB">
                  <w:pPr>
                    <w:pStyle w:val="a7"/>
                    <w:rPr>
                      <w:rFonts w:hint="default"/>
                    </w:rPr>
                  </w:pPr>
                  <w:r>
                    <w:t>项目</w:t>
                  </w:r>
                </w:p>
              </w:tc>
              <w:tc>
                <w:tcPr>
                  <w:tcW w:w="4860" w:type="dxa"/>
                  <w:vAlign w:val="center"/>
                </w:tcPr>
                <w:p w:rsidR="00BC07F0" w:rsidRDefault="00073EFB">
                  <w:pPr>
                    <w:pStyle w:val="a7"/>
                    <w:rPr>
                      <w:rFonts w:hint="default"/>
                    </w:rPr>
                  </w:pPr>
                  <w:r>
                    <w:t>环保设施及组成规模</w:t>
                  </w:r>
                </w:p>
              </w:tc>
              <w:tc>
                <w:tcPr>
                  <w:tcW w:w="1795" w:type="dxa"/>
                  <w:vAlign w:val="center"/>
                </w:tcPr>
                <w:p w:rsidR="00BC07F0" w:rsidRDefault="00073EFB">
                  <w:pPr>
                    <w:pStyle w:val="a7"/>
                    <w:rPr>
                      <w:rFonts w:hint="default"/>
                    </w:rPr>
                  </w:pPr>
                  <w:r>
                    <w:t>投资额（万元）</w:t>
                  </w:r>
                </w:p>
              </w:tc>
            </w:tr>
            <w:tr w:rsidR="00BC07F0">
              <w:trPr>
                <w:trHeight w:val="397"/>
                <w:jc w:val="center"/>
              </w:trPr>
              <w:tc>
                <w:tcPr>
                  <w:tcW w:w="485" w:type="dxa"/>
                  <w:vMerge w:val="restart"/>
                  <w:vAlign w:val="center"/>
                </w:tcPr>
                <w:p w:rsidR="00BC07F0" w:rsidRDefault="00073EFB">
                  <w:pPr>
                    <w:pStyle w:val="a7"/>
                    <w:rPr>
                      <w:rFonts w:hint="default"/>
                    </w:rPr>
                  </w:pPr>
                  <w:r>
                    <w:t>施工期</w:t>
                  </w:r>
                </w:p>
              </w:tc>
              <w:tc>
                <w:tcPr>
                  <w:tcW w:w="1950" w:type="dxa"/>
                  <w:vAlign w:val="center"/>
                </w:tcPr>
                <w:p w:rsidR="00BC07F0" w:rsidRDefault="00073EFB">
                  <w:pPr>
                    <w:pStyle w:val="a7"/>
                    <w:rPr>
                      <w:rFonts w:hint="default"/>
                    </w:rPr>
                  </w:pPr>
                  <w:r>
                    <w:t>废气治理</w:t>
                  </w:r>
                </w:p>
              </w:tc>
              <w:tc>
                <w:tcPr>
                  <w:tcW w:w="4860" w:type="dxa"/>
                  <w:vAlign w:val="center"/>
                </w:tcPr>
                <w:p w:rsidR="00BC07F0" w:rsidRDefault="00073EFB">
                  <w:pPr>
                    <w:pStyle w:val="a7"/>
                    <w:rPr>
                      <w:rFonts w:hint="default"/>
                    </w:rPr>
                  </w:pPr>
                  <w:r>
                    <w:t>堆场</w:t>
                  </w:r>
                  <w:r>
                    <w:t>定期洒水，并且用帆布覆盖</w:t>
                  </w:r>
                  <w:r>
                    <w:t>；</w:t>
                  </w:r>
                  <w:r>
                    <w:t>运输物资需加盖篷布，定期对路面进行清扫</w:t>
                  </w:r>
                  <w:r>
                    <w:t>；</w:t>
                  </w:r>
                  <w:r>
                    <w:t>清淤季节建议在冬季，敏感点段施工时加快施工进程，设置挡板</w:t>
                  </w:r>
                  <w:r>
                    <w:t>。</w:t>
                  </w:r>
                </w:p>
              </w:tc>
              <w:tc>
                <w:tcPr>
                  <w:tcW w:w="1795" w:type="dxa"/>
                  <w:vAlign w:val="center"/>
                </w:tcPr>
                <w:p w:rsidR="00BC07F0" w:rsidRDefault="00073EFB">
                  <w:pPr>
                    <w:pStyle w:val="a7"/>
                    <w:rPr>
                      <w:rFonts w:hint="default"/>
                    </w:rPr>
                  </w:pPr>
                  <w:r>
                    <w:t>30</w:t>
                  </w:r>
                </w:p>
              </w:tc>
            </w:tr>
            <w:tr w:rsidR="00BC07F0">
              <w:trPr>
                <w:trHeight w:val="397"/>
                <w:jc w:val="center"/>
              </w:trPr>
              <w:tc>
                <w:tcPr>
                  <w:tcW w:w="485" w:type="dxa"/>
                  <w:vMerge/>
                  <w:vAlign w:val="center"/>
                </w:tcPr>
                <w:p w:rsidR="00BC07F0" w:rsidRDefault="00BC07F0">
                  <w:pPr>
                    <w:pStyle w:val="a7"/>
                    <w:rPr>
                      <w:rFonts w:hint="default"/>
                    </w:rPr>
                  </w:pPr>
                </w:p>
              </w:tc>
              <w:tc>
                <w:tcPr>
                  <w:tcW w:w="1950" w:type="dxa"/>
                  <w:vAlign w:val="center"/>
                </w:tcPr>
                <w:p w:rsidR="00BC07F0" w:rsidRDefault="00073EFB">
                  <w:pPr>
                    <w:pStyle w:val="a7"/>
                    <w:rPr>
                      <w:rFonts w:hint="default"/>
                    </w:rPr>
                  </w:pPr>
                  <w:r>
                    <w:t>废水治理</w:t>
                  </w:r>
                </w:p>
              </w:tc>
              <w:tc>
                <w:tcPr>
                  <w:tcW w:w="4860" w:type="dxa"/>
                  <w:vAlign w:val="center"/>
                </w:tcPr>
                <w:p w:rsidR="00BC07F0" w:rsidRDefault="00073EFB">
                  <w:pPr>
                    <w:pStyle w:val="a7"/>
                    <w:rPr>
                      <w:rFonts w:hint="default"/>
                    </w:rPr>
                  </w:pPr>
                  <w:r>
                    <w:t>施工废水截水沟、沉淀池。</w:t>
                  </w:r>
                </w:p>
              </w:tc>
              <w:tc>
                <w:tcPr>
                  <w:tcW w:w="1795" w:type="dxa"/>
                  <w:vAlign w:val="center"/>
                </w:tcPr>
                <w:p w:rsidR="00BC07F0" w:rsidRDefault="00073EFB">
                  <w:pPr>
                    <w:pStyle w:val="a7"/>
                    <w:rPr>
                      <w:rFonts w:hint="default"/>
                    </w:rPr>
                  </w:pPr>
                  <w:r>
                    <w:t>5</w:t>
                  </w:r>
                </w:p>
              </w:tc>
            </w:tr>
            <w:tr w:rsidR="00BC07F0">
              <w:trPr>
                <w:trHeight w:val="397"/>
                <w:jc w:val="center"/>
              </w:trPr>
              <w:tc>
                <w:tcPr>
                  <w:tcW w:w="485" w:type="dxa"/>
                  <w:vMerge/>
                  <w:vAlign w:val="center"/>
                </w:tcPr>
                <w:p w:rsidR="00BC07F0" w:rsidRDefault="00BC07F0">
                  <w:pPr>
                    <w:pStyle w:val="a7"/>
                    <w:rPr>
                      <w:rFonts w:hint="default"/>
                    </w:rPr>
                  </w:pPr>
                </w:p>
              </w:tc>
              <w:tc>
                <w:tcPr>
                  <w:tcW w:w="1950" w:type="dxa"/>
                  <w:vAlign w:val="center"/>
                </w:tcPr>
                <w:p w:rsidR="00BC07F0" w:rsidRDefault="00073EFB">
                  <w:pPr>
                    <w:pStyle w:val="a7"/>
                    <w:rPr>
                      <w:rFonts w:hint="default"/>
                    </w:rPr>
                  </w:pPr>
                  <w:r>
                    <w:t>噪声治理</w:t>
                  </w:r>
                </w:p>
              </w:tc>
              <w:tc>
                <w:tcPr>
                  <w:tcW w:w="4860" w:type="dxa"/>
                  <w:vAlign w:val="center"/>
                </w:tcPr>
                <w:p w:rsidR="00BC07F0" w:rsidRDefault="00073EFB">
                  <w:pPr>
                    <w:pStyle w:val="a7"/>
                    <w:rPr>
                      <w:rFonts w:hint="default"/>
                    </w:rPr>
                  </w:pPr>
                  <w:r>
                    <w:t>加强施工设备管理，采用低噪声设备；运输车辆减速慢行，经过居民区时尽量不要鸣笛；施工场地四周设置临时围挡等。</w:t>
                  </w:r>
                </w:p>
              </w:tc>
              <w:tc>
                <w:tcPr>
                  <w:tcW w:w="1795" w:type="dxa"/>
                  <w:vAlign w:val="center"/>
                </w:tcPr>
                <w:p w:rsidR="00BC07F0" w:rsidRDefault="00073EFB">
                  <w:pPr>
                    <w:pStyle w:val="a7"/>
                    <w:rPr>
                      <w:rFonts w:hint="default"/>
                    </w:rPr>
                  </w:pPr>
                  <w:r>
                    <w:t>30</w:t>
                  </w:r>
                </w:p>
              </w:tc>
            </w:tr>
            <w:tr w:rsidR="00BC07F0">
              <w:trPr>
                <w:trHeight w:val="397"/>
                <w:jc w:val="center"/>
              </w:trPr>
              <w:tc>
                <w:tcPr>
                  <w:tcW w:w="485" w:type="dxa"/>
                  <w:vMerge/>
                  <w:vAlign w:val="center"/>
                </w:tcPr>
                <w:p w:rsidR="00BC07F0" w:rsidRDefault="00BC07F0">
                  <w:pPr>
                    <w:pStyle w:val="a7"/>
                    <w:rPr>
                      <w:rFonts w:hint="default"/>
                    </w:rPr>
                  </w:pPr>
                </w:p>
              </w:tc>
              <w:tc>
                <w:tcPr>
                  <w:tcW w:w="1950" w:type="dxa"/>
                  <w:vAlign w:val="center"/>
                </w:tcPr>
                <w:p w:rsidR="00BC07F0" w:rsidRDefault="00073EFB">
                  <w:pPr>
                    <w:pStyle w:val="a7"/>
                    <w:rPr>
                      <w:rFonts w:hint="default"/>
                    </w:rPr>
                  </w:pPr>
                  <w:r>
                    <w:t>固体废弃物处置</w:t>
                  </w:r>
                </w:p>
              </w:tc>
              <w:tc>
                <w:tcPr>
                  <w:tcW w:w="4860" w:type="dxa"/>
                  <w:vAlign w:val="center"/>
                </w:tcPr>
                <w:p w:rsidR="00BC07F0" w:rsidRDefault="00073EFB">
                  <w:pPr>
                    <w:pStyle w:val="a7"/>
                    <w:rPr>
                      <w:rFonts w:hint="default"/>
                    </w:rPr>
                  </w:pPr>
                  <w:r>
                    <w:t>临时垃圾箱；建筑垃圾外运。</w:t>
                  </w:r>
                </w:p>
              </w:tc>
              <w:tc>
                <w:tcPr>
                  <w:tcW w:w="1795" w:type="dxa"/>
                  <w:vAlign w:val="center"/>
                </w:tcPr>
                <w:p w:rsidR="00BC07F0" w:rsidRDefault="00073EFB">
                  <w:pPr>
                    <w:pStyle w:val="a7"/>
                    <w:rPr>
                      <w:rFonts w:hint="default"/>
                    </w:rPr>
                  </w:pPr>
                  <w:r>
                    <w:t>20</w:t>
                  </w:r>
                </w:p>
              </w:tc>
            </w:tr>
            <w:tr w:rsidR="00BC07F0">
              <w:trPr>
                <w:trHeight w:val="397"/>
                <w:jc w:val="center"/>
              </w:trPr>
              <w:tc>
                <w:tcPr>
                  <w:tcW w:w="485" w:type="dxa"/>
                  <w:vMerge/>
                  <w:vAlign w:val="center"/>
                </w:tcPr>
                <w:p w:rsidR="00BC07F0" w:rsidRDefault="00BC07F0">
                  <w:pPr>
                    <w:pStyle w:val="a7"/>
                    <w:rPr>
                      <w:rFonts w:hint="default"/>
                    </w:rPr>
                  </w:pPr>
                </w:p>
              </w:tc>
              <w:tc>
                <w:tcPr>
                  <w:tcW w:w="1950" w:type="dxa"/>
                  <w:vAlign w:val="center"/>
                </w:tcPr>
                <w:p w:rsidR="00BC07F0" w:rsidRDefault="00073EFB">
                  <w:pPr>
                    <w:pStyle w:val="a7"/>
                    <w:rPr>
                      <w:rFonts w:hint="default"/>
                    </w:rPr>
                  </w:pPr>
                  <w:r>
                    <w:t>生态保护</w:t>
                  </w:r>
                </w:p>
              </w:tc>
              <w:tc>
                <w:tcPr>
                  <w:tcW w:w="4860" w:type="dxa"/>
                  <w:vAlign w:val="center"/>
                </w:tcPr>
                <w:p w:rsidR="00BC07F0" w:rsidRDefault="00073EFB">
                  <w:pPr>
                    <w:pStyle w:val="a7"/>
                    <w:rPr>
                      <w:rFonts w:hint="default"/>
                    </w:rPr>
                  </w:pPr>
                  <w:r>
                    <w:t>修复破坏植被，水土保持、绿化。</w:t>
                  </w:r>
                </w:p>
              </w:tc>
              <w:tc>
                <w:tcPr>
                  <w:tcW w:w="1795" w:type="dxa"/>
                  <w:vAlign w:val="center"/>
                </w:tcPr>
                <w:p w:rsidR="00BC07F0" w:rsidRDefault="00073EFB">
                  <w:pPr>
                    <w:pStyle w:val="a7"/>
                    <w:rPr>
                      <w:rFonts w:hint="default"/>
                    </w:rPr>
                  </w:pPr>
                  <w:r>
                    <w:t>40</w:t>
                  </w:r>
                </w:p>
              </w:tc>
            </w:tr>
            <w:tr w:rsidR="00BC07F0">
              <w:trPr>
                <w:trHeight w:val="397"/>
                <w:jc w:val="center"/>
              </w:trPr>
              <w:tc>
                <w:tcPr>
                  <w:tcW w:w="485" w:type="dxa"/>
                  <w:vMerge/>
                  <w:vAlign w:val="center"/>
                </w:tcPr>
                <w:p w:rsidR="00BC07F0" w:rsidRDefault="00BC07F0">
                  <w:pPr>
                    <w:pStyle w:val="a7"/>
                    <w:rPr>
                      <w:rFonts w:hint="default"/>
                    </w:rPr>
                  </w:pPr>
                </w:p>
              </w:tc>
              <w:tc>
                <w:tcPr>
                  <w:tcW w:w="1950" w:type="dxa"/>
                  <w:vAlign w:val="center"/>
                </w:tcPr>
                <w:p w:rsidR="00BC07F0" w:rsidRDefault="00073EFB">
                  <w:pPr>
                    <w:pStyle w:val="a7"/>
                    <w:rPr>
                      <w:rFonts w:hint="default"/>
                    </w:rPr>
                  </w:pPr>
                  <w:r>
                    <w:t>环境监测</w:t>
                  </w:r>
                </w:p>
              </w:tc>
              <w:tc>
                <w:tcPr>
                  <w:tcW w:w="4860" w:type="dxa"/>
                  <w:vAlign w:val="center"/>
                </w:tcPr>
                <w:p w:rsidR="00BC07F0" w:rsidRDefault="00073EFB">
                  <w:pPr>
                    <w:pStyle w:val="a7"/>
                    <w:rPr>
                      <w:rFonts w:hint="default"/>
                    </w:rPr>
                  </w:pPr>
                  <w:r>
                    <w:t>废气、噪声监测</w:t>
                  </w:r>
                </w:p>
              </w:tc>
              <w:tc>
                <w:tcPr>
                  <w:tcW w:w="1795" w:type="dxa"/>
                  <w:vAlign w:val="center"/>
                </w:tcPr>
                <w:p w:rsidR="00BC07F0" w:rsidRDefault="00073EFB">
                  <w:pPr>
                    <w:pStyle w:val="a7"/>
                    <w:rPr>
                      <w:rFonts w:hint="default"/>
                    </w:rPr>
                  </w:pPr>
                  <w:r>
                    <w:t>3</w:t>
                  </w:r>
                </w:p>
              </w:tc>
            </w:tr>
            <w:tr w:rsidR="00BC07F0">
              <w:trPr>
                <w:trHeight w:val="397"/>
                <w:jc w:val="center"/>
              </w:trPr>
              <w:tc>
                <w:tcPr>
                  <w:tcW w:w="485" w:type="dxa"/>
                  <w:vMerge w:val="restart"/>
                  <w:vAlign w:val="center"/>
                </w:tcPr>
                <w:p w:rsidR="00BC07F0" w:rsidRDefault="00073EFB">
                  <w:pPr>
                    <w:pStyle w:val="a7"/>
                    <w:rPr>
                      <w:rFonts w:hint="default"/>
                    </w:rPr>
                  </w:pPr>
                  <w:r>
                    <w:t>运营期</w:t>
                  </w:r>
                </w:p>
              </w:tc>
              <w:tc>
                <w:tcPr>
                  <w:tcW w:w="1950" w:type="dxa"/>
                  <w:vAlign w:val="center"/>
                </w:tcPr>
                <w:p w:rsidR="00BC07F0" w:rsidRDefault="00073EFB">
                  <w:pPr>
                    <w:pStyle w:val="a7"/>
                    <w:rPr>
                      <w:rFonts w:hint="default"/>
                    </w:rPr>
                  </w:pPr>
                  <w:r>
                    <w:t>废气治理</w:t>
                  </w:r>
                </w:p>
              </w:tc>
              <w:tc>
                <w:tcPr>
                  <w:tcW w:w="4860" w:type="dxa"/>
                  <w:vAlign w:val="center"/>
                </w:tcPr>
                <w:p w:rsidR="00BC07F0" w:rsidRDefault="00073EFB">
                  <w:pPr>
                    <w:pStyle w:val="a7"/>
                    <w:rPr>
                      <w:rFonts w:hint="default"/>
                    </w:rPr>
                  </w:pPr>
                  <w:r>
                    <w:t>道路洒水清洁。</w:t>
                  </w:r>
                </w:p>
              </w:tc>
              <w:tc>
                <w:tcPr>
                  <w:tcW w:w="1795" w:type="dxa"/>
                  <w:vAlign w:val="center"/>
                </w:tcPr>
                <w:p w:rsidR="00BC07F0" w:rsidRDefault="00073EFB">
                  <w:pPr>
                    <w:pStyle w:val="a7"/>
                    <w:rPr>
                      <w:rFonts w:hint="default"/>
                    </w:rPr>
                  </w:pPr>
                  <w:r>
                    <w:t>8</w:t>
                  </w:r>
                </w:p>
              </w:tc>
            </w:tr>
            <w:tr w:rsidR="00BC07F0">
              <w:trPr>
                <w:trHeight w:val="397"/>
                <w:jc w:val="center"/>
              </w:trPr>
              <w:tc>
                <w:tcPr>
                  <w:tcW w:w="485" w:type="dxa"/>
                  <w:vMerge/>
                  <w:vAlign w:val="center"/>
                </w:tcPr>
                <w:p w:rsidR="00BC07F0" w:rsidRDefault="00BC07F0">
                  <w:pPr>
                    <w:pStyle w:val="a7"/>
                    <w:rPr>
                      <w:rFonts w:hint="default"/>
                    </w:rPr>
                  </w:pPr>
                </w:p>
              </w:tc>
              <w:tc>
                <w:tcPr>
                  <w:tcW w:w="1950" w:type="dxa"/>
                  <w:vAlign w:val="center"/>
                </w:tcPr>
                <w:p w:rsidR="00BC07F0" w:rsidRDefault="00073EFB">
                  <w:pPr>
                    <w:pStyle w:val="a7"/>
                    <w:rPr>
                      <w:rFonts w:hint="default"/>
                    </w:rPr>
                  </w:pPr>
                  <w:r>
                    <w:t>废水治理</w:t>
                  </w:r>
                </w:p>
              </w:tc>
              <w:tc>
                <w:tcPr>
                  <w:tcW w:w="4860" w:type="dxa"/>
                  <w:vAlign w:val="center"/>
                </w:tcPr>
                <w:p w:rsidR="00BC07F0" w:rsidRDefault="00073EFB">
                  <w:pPr>
                    <w:pStyle w:val="a7"/>
                    <w:rPr>
                      <w:rFonts w:hint="default"/>
                    </w:rPr>
                  </w:pPr>
                  <w:r>
                    <w:t>沿线设置路面径流排水系统，定期检查公路雨水排水系统。</w:t>
                  </w:r>
                </w:p>
              </w:tc>
              <w:tc>
                <w:tcPr>
                  <w:tcW w:w="1795" w:type="dxa"/>
                  <w:vAlign w:val="center"/>
                </w:tcPr>
                <w:p w:rsidR="00BC07F0" w:rsidRDefault="00073EFB">
                  <w:pPr>
                    <w:pStyle w:val="a7"/>
                    <w:rPr>
                      <w:rFonts w:hint="default"/>
                    </w:rPr>
                  </w:pPr>
                  <w:r>
                    <w:t>10</w:t>
                  </w:r>
                </w:p>
              </w:tc>
            </w:tr>
            <w:tr w:rsidR="00BC07F0">
              <w:trPr>
                <w:trHeight w:val="397"/>
                <w:jc w:val="center"/>
              </w:trPr>
              <w:tc>
                <w:tcPr>
                  <w:tcW w:w="485" w:type="dxa"/>
                  <w:vMerge/>
                  <w:vAlign w:val="center"/>
                </w:tcPr>
                <w:p w:rsidR="00BC07F0" w:rsidRDefault="00BC07F0">
                  <w:pPr>
                    <w:pStyle w:val="a7"/>
                    <w:rPr>
                      <w:rFonts w:hint="default"/>
                    </w:rPr>
                  </w:pPr>
                </w:p>
              </w:tc>
              <w:tc>
                <w:tcPr>
                  <w:tcW w:w="1950" w:type="dxa"/>
                  <w:vAlign w:val="center"/>
                </w:tcPr>
                <w:p w:rsidR="00BC07F0" w:rsidRDefault="00073EFB">
                  <w:pPr>
                    <w:pStyle w:val="a7"/>
                    <w:rPr>
                      <w:rFonts w:hint="default"/>
                    </w:rPr>
                  </w:pPr>
                  <w:r>
                    <w:t>噪声治理</w:t>
                  </w:r>
                </w:p>
              </w:tc>
              <w:tc>
                <w:tcPr>
                  <w:tcW w:w="4860" w:type="dxa"/>
                  <w:vAlign w:val="center"/>
                </w:tcPr>
                <w:p w:rsidR="00BC07F0" w:rsidRDefault="00073EFB">
                  <w:pPr>
                    <w:pStyle w:val="a7"/>
                    <w:rPr>
                      <w:rFonts w:hint="default"/>
                    </w:rPr>
                  </w:pPr>
                  <w:r>
                    <w:t>种植绿化隔离带、设置限速交通标志、禁止鸣笛等交通标志。</w:t>
                  </w:r>
                </w:p>
              </w:tc>
              <w:tc>
                <w:tcPr>
                  <w:tcW w:w="1795" w:type="dxa"/>
                  <w:vAlign w:val="center"/>
                </w:tcPr>
                <w:p w:rsidR="00BC07F0" w:rsidRDefault="00073EFB">
                  <w:pPr>
                    <w:pStyle w:val="a7"/>
                    <w:rPr>
                      <w:rFonts w:hint="default"/>
                    </w:rPr>
                  </w:pPr>
                  <w:r>
                    <w:t>3</w:t>
                  </w:r>
                </w:p>
              </w:tc>
            </w:tr>
            <w:tr w:rsidR="00BC07F0">
              <w:trPr>
                <w:trHeight w:val="397"/>
                <w:jc w:val="center"/>
              </w:trPr>
              <w:tc>
                <w:tcPr>
                  <w:tcW w:w="485" w:type="dxa"/>
                  <w:vMerge/>
                  <w:vAlign w:val="center"/>
                </w:tcPr>
                <w:p w:rsidR="00BC07F0" w:rsidRDefault="00BC07F0">
                  <w:pPr>
                    <w:pStyle w:val="a7"/>
                    <w:rPr>
                      <w:rFonts w:hint="default"/>
                    </w:rPr>
                  </w:pPr>
                </w:p>
              </w:tc>
              <w:tc>
                <w:tcPr>
                  <w:tcW w:w="1950" w:type="dxa"/>
                  <w:vAlign w:val="center"/>
                </w:tcPr>
                <w:p w:rsidR="00BC07F0" w:rsidRDefault="00073EFB">
                  <w:pPr>
                    <w:pStyle w:val="a7"/>
                    <w:rPr>
                      <w:rFonts w:hint="default"/>
                    </w:rPr>
                  </w:pPr>
                  <w:r>
                    <w:t>固体废弃物处置</w:t>
                  </w:r>
                </w:p>
              </w:tc>
              <w:tc>
                <w:tcPr>
                  <w:tcW w:w="4860" w:type="dxa"/>
                  <w:vAlign w:val="center"/>
                </w:tcPr>
                <w:p w:rsidR="00BC07F0" w:rsidRDefault="00073EFB">
                  <w:pPr>
                    <w:pStyle w:val="a7"/>
                    <w:rPr>
                      <w:rFonts w:hint="default"/>
                    </w:rPr>
                  </w:pPr>
                  <w:r>
                    <w:t>沿途设置垃圾桶，统一交由环卫部门处理。</w:t>
                  </w:r>
                </w:p>
              </w:tc>
              <w:tc>
                <w:tcPr>
                  <w:tcW w:w="1795" w:type="dxa"/>
                  <w:vAlign w:val="center"/>
                </w:tcPr>
                <w:p w:rsidR="00BC07F0" w:rsidRDefault="00073EFB">
                  <w:pPr>
                    <w:pStyle w:val="a7"/>
                    <w:rPr>
                      <w:rFonts w:hint="default"/>
                    </w:rPr>
                  </w:pPr>
                  <w:r>
                    <w:t>5</w:t>
                  </w:r>
                </w:p>
              </w:tc>
            </w:tr>
            <w:tr w:rsidR="00BC07F0">
              <w:trPr>
                <w:trHeight w:val="397"/>
                <w:jc w:val="center"/>
              </w:trPr>
              <w:tc>
                <w:tcPr>
                  <w:tcW w:w="7295" w:type="dxa"/>
                  <w:gridSpan w:val="3"/>
                  <w:vAlign w:val="center"/>
                </w:tcPr>
                <w:p w:rsidR="00BC07F0" w:rsidRDefault="00073EFB">
                  <w:pPr>
                    <w:pStyle w:val="a7"/>
                    <w:rPr>
                      <w:rFonts w:hint="default"/>
                    </w:rPr>
                  </w:pPr>
                  <w:r>
                    <w:t>合计</w:t>
                  </w:r>
                </w:p>
              </w:tc>
              <w:tc>
                <w:tcPr>
                  <w:tcW w:w="1795" w:type="dxa"/>
                  <w:vAlign w:val="center"/>
                </w:tcPr>
                <w:p w:rsidR="00BC07F0" w:rsidRDefault="00073EFB">
                  <w:pPr>
                    <w:pStyle w:val="a7"/>
                    <w:rPr>
                      <w:rFonts w:hint="default"/>
                    </w:rPr>
                  </w:pPr>
                  <w:r>
                    <w:t>154</w:t>
                  </w:r>
                </w:p>
              </w:tc>
            </w:tr>
          </w:tbl>
          <w:p w:rsidR="00BC07F0" w:rsidRDefault="00BC07F0">
            <w:pPr>
              <w:pStyle w:val="a7"/>
              <w:rPr>
                <w:rFonts w:hint="default"/>
                <w:sz w:val="24"/>
                <w:szCs w:val="24"/>
              </w:rPr>
            </w:pPr>
          </w:p>
        </w:tc>
      </w:tr>
    </w:tbl>
    <w:p w:rsidR="00BC07F0" w:rsidRDefault="00BC07F0" w:rsidP="00C55F5E">
      <w:pPr>
        <w:ind w:firstLine="480"/>
        <w:sectPr w:rsidR="00BC07F0">
          <w:pgSz w:w="11907" w:h="16840"/>
          <w:pgMar w:top="1440" w:right="1080" w:bottom="1440" w:left="1080" w:header="851" w:footer="1077" w:gutter="0"/>
          <w:cols w:space="720"/>
          <w:docGrid w:linePitch="312"/>
        </w:sectPr>
      </w:pPr>
    </w:p>
    <w:p w:rsidR="00BC07F0" w:rsidRDefault="00073EFB">
      <w:pPr>
        <w:pStyle w:val="1"/>
      </w:pPr>
      <w:bookmarkStart w:id="30" w:name="_Toc2759"/>
      <w:bookmarkStart w:id="31" w:name="_Toc7487"/>
      <w:bookmarkStart w:id="32" w:name="_Toc5375"/>
      <w:bookmarkStart w:id="33" w:name="_Toc27625"/>
      <w:r>
        <w:rPr>
          <w:rFonts w:hint="eastAsia"/>
        </w:rPr>
        <w:lastRenderedPageBreak/>
        <w:t>六、生态环境保护措施监督检查清单</w:t>
      </w:r>
      <w:bookmarkEnd w:id="30"/>
      <w:bookmarkEnd w:id="31"/>
      <w:bookmarkEnd w:id="32"/>
      <w:bookmarkEnd w:id="33"/>
    </w:p>
    <w:tbl>
      <w:tblPr>
        <w:tblW w:w="494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320"/>
        <w:gridCol w:w="3316"/>
        <w:gridCol w:w="1365"/>
        <w:gridCol w:w="2400"/>
        <w:gridCol w:w="1459"/>
      </w:tblGrid>
      <w:tr w:rsidR="00BC07F0">
        <w:trPr>
          <w:trHeight w:val="397"/>
          <w:jc w:val="center"/>
        </w:trPr>
        <w:tc>
          <w:tcPr>
            <w:tcW w:w="669" w:type="pct"/>
            <w:vMerge w:val="restart"/>
            <w:tcBorders>
              <w:tl2br w:val="single" w:sz="4" w:space="0" w:color="auto"/>
            </w:tcBorders>
          </w:tcPr>
          <w:p w:rsidR="00BC07F0" w:rsidRDefault="00073EFB">
            <w:pPr>
              <w:pStyle w:val="a7"/>
              <w:rPr>
                <w:rFonts w:hint="default"/>
              </w:rPr>
            </w:pPr>
            <w:bookmarkStart w:id="34" w:name="_Toc31396"/>
            <w:r>
              <w:t>内容</w:t>
            </w:r>
            <w:bookmarkEnd w:id="34"/>
          </w:p>
          <w:p w:rsidR="00BC07F0" w:rsidRDefault="00BC07F0">
            <w:pPr>
              <w:pStyle w:val="a7"/>
              <w:rPr>
                <w:rFonts w:hint="default"/>
              </w:rPr>
            </w:pPr>
            <w:bookmarkStart w:id="35" w:name="_Toc28146"/>
          </w:p>
          <w:p w:rsidR="00BC07F0" w:rsidRDefault="00BC07F0">
            <w:pPr>
              <w:pStyle w:val="a7"/>
              <w:rPr>
                <w:rFonts w:hint="default"/>
              </w:rPr>
            </w:pPr>
          </w:p>
          <w:p w:rsidR="00BC07F0" w:rsidRDefault="00073EFB">
            <w:pPr>
              <w:pStyle w:val="a7"/>
              <w:rPr>
                <w:rFonts w:hint="default"/>
              </w:rPr>
            </w:pPr>
            <w:r>
              <w:t>要素</w:t>
            </w:r>
            <w:bookmarkEnd w:id="35"/>
          </w:p>
        </w:tc>
        <w:tc>
          <w:tcPr>
            <w:tcW w:w="2372" w:type="pct"/>
            <w:gridSpan w:val="2"/>
            <w:vAlign w:val="center"/>
          </w:tcPr>
          <w:p w:rsidR="00BC07F0" w:rsidRDefault="00073EFB">
            <w:pPr>
              <w:pStyle w:val="a7"/>
              <w:rPr>
                <w:rFonts w:hint="default"/>
              </w:rPr>
            </w:pPr>
            <w:bookmarkStart w:id="36" w:name="_Toc393"/>
            <w:r>
              <w:t>施工期</w:t>
            </w:r>
            <w:bookmarkEnd w:id="36"/>
          </w:p>
        </w:tc>
        <w:tc>
          <w:tcPr>
            <w:tcW w:w="1957" w:type="pct"/>
            <w:gridSpan w:val="2"/>
            <w:vAlign w:val="center"/>
          </w:tcPr>
          <w:p w:rsidR="00BC07F0" w:rsidRDefault="00073EFB">
            <w:pPr>
              <w:pStyle w:val="a7"/>
              <w:rPr>
                <w:rFonts w:hint="default"/>
              </w:rPr>
            </w:pPr>
            <w:bookmarkStart w:id="37" w:name="_Toc4271"/>
            <w:r>
              <w:t>运营期</w:t>
            </w:r>
            <w:bookmarkEnd w:id="37"/>
          </w:p>
        </w:tc>
      </w:tr>
      <w:tr w:rsidR="00BC07F0">
        <w:trPr>
          <w:trHeight w:val="397"/>
          <w:jc w:val="center"/>
        </w:trPr>
        <w:tc>
          <w:tcPr>
            <w:tcW w:w="669" w:type="pct"/>
            <w:vMerge/>
          </w:tcPr>
          <w:p w:rsidR="00BC07F0" w:rsidRDefault="00BC07F0">
            <w:pPr>
              <w:pStyle w:val="a7"/>
              <w:rPr>
                <w:rFonts w:hint="default"/>
              </w:rPr>
            </w:pPr>
          </w:p>
        </w:tc>
        <w:tc>
          <w:tcPr>
            <w:tcW w:w="1680" w:type="pct"/>
            <w:vAlign w:val="center"/>
          </w:tcPr>
          <w:p w:rsidR="00BC07F0" w:rsidRDefault="00073EFB">
            <w:pPr>
              <w:pStyle w:val="a7"/>
              <w:rPr>
                <w:rFonts w:hint="default"/>
              </w:rPr>
            </w:pPr>
            <w:bookmarkStart w:id="38" w:name="_Toc3629"/>
            <w:r>
              <w:t>环境保护措施</w:t>
            </w:r>
            <w:bookmarkEnd w:id="38"/>
          </w:p>
        </w:tc>
        <w:tc>
          <w:tcPr>
            <w:tcW w:w="691" w:type="pct"/>
            <w:vAlign w:val="center"/>
          </w:tcPr>
          <w:p w:rsidR="00BC07F0" w:rsidRDefault="00073EFB">
            <w:pPr>
              <w:pStyle w:val="a7"/>
              <w:rPr>
                <w:rFonts w:hint="default"/>
              </w:rPr>
            </w:pPr>
            <w:bookmarkStart w:id="39" w:name="_Toc15056"/>
            <w:r>
              <w:t>验收要求</w:t>
            </w:r>
            <w:bookmarkEnd w:id="39"/>
          </w:p>
        </w:tc>
        <w:tc>
          <w:tcPr>
            <w:tcW w:w="1217" w:type="pct"/>
            <w:vAlign w:val="center"/>
          </w:tcPr>
          <w:p w:rsidR="00BC07F0" w:rsidRDefault="00073EFB">
            <w:pPr>
              <w:pStyle w:val="a7"/>
              <w:rPr>
                <w:rFonts w:hint="default"/>
              </w:rPr>
            </w:pPr>
            <w:bookmarkStart w:id="40" w:name="_Toc5054"/>
            <w:r>
              <w:t>环境保护措施</w:t>
            </w:r>
            <w:bookmarkEnd w:id="40"/>
          </w:p>
        </w:tc>
        <w:tc>
          <w:tcPr>
            <w:tcW w:w="740" w:type="pct"/>
            <w:vAlign w:val="center"/>
          </w:tcPr>
          <w:p w:rsidR="00BC07F0" w:rsidRDefault="00073EFB">
            <w:pPr>
              <w:pStyle w:val="a7"/>
              <w:rPr>
                <w:rFonts w:hint="default"/>
              </w:rPr>
            </w:pPr>
            <w:bookmarkStart w:id="41" w:name="_Toc16866"/>
            <w:r>
              <w:t>验收要求</w:t>
            </w:r>
            <w:bookmarkEnd w:id="41"/>
          </w:p>
        </w:tc>
      </w:tr>
      <w:tr w:rsidR="00BC07F0">
        <w:trPr>
          <w:trHeight w:val="397"/>
          <w:jc w:val="center"/>
        </w:trPr>
        <w:tc>
          <w:tcPr>
            <w:tcW w:w="669" w:type="pct"/>
            <w:vAlign w:val="center"/>
          </w:tcPr>
          <w:p w:rsidR="00BC07F0" w:rsidRDefault="00073EFB">
            <w:pPr>
              <w:pStyle w:val="a7"/>
              <w:rPr>
                <w:rFonts w:hint="default"/>
              </w:rPr>
            </w:pPr>
            <w:r>
              <w:t>陆生生态</w:t>
            </w:r>
          </w:p>
        </w:tc>
        <w:tc>
          <w:tcPr>
            <w:tcW w:w="1680" w:type="pct"/>
            <w:vAlign w:val="center"/>
          </w:tcPr>
          <w:p w:rsidR="00BC07F0" w:rsidRDefault="00073EFB">
            <w:pPr>
              <w:pStyle w:val="a7"/>
              <w:rPr>
                <w:rFonts w:hint="default"/>
              </w:rPr>
            </w:pPr>
            <w:r>
              <w:t>施工前进行陆生植物的全面调查，合理优化施工场地的布置；加强施工管理与监理，严格控制施工范围，采取科学施工方式，尽量减少对陆生植被和野生动物生境的破坏</w:t>
            </w:r>
            <w:r>
              <w:t>。</w:t>
            </w:r>
            <w:r>
              <w:t>工程所需砂石料应采用购买方式获取，严禁随意在江段和岸坡取砂石；严禁随意砍伐工程附近区域的树木或破坏植被；禁止非法捕猎野生动物和鸟类：护岸开挖前先将表面约</w:t>
            </w:r>
            <w:r>
              <w:t>30cm</w:t>
            </w:r>
            <w:r>
              <w:t>的表层土剥离，集中堆放在护岸工程后方，并采取临时保护措施防止养分流失，表土周边利用袋装土临时拦挡，开挖结束后，拆除临时拦挡，将表土均匀平铺于护岸工程后方表面及顶部，并进行碾压</w:t>
            </w:r>
            <w:r>
              <w:t>。</w:t>
            </w:r>
          </w:p>
        </w:tc>
        <w:tc>
          <w:tcPr>
            <w:tcW w:w="691" w:type="pct"/>
            <w:vAlign w:val="center"/>
          </w:tcPr>
          <w:p w:rsidR="00BC07F0" w:rsidRDefault="00073EFB">
            <w:pPr>
              <w:pStyle w:val="a7"/>
              <w:rPr>
                <w:rFonts w:hint="default"/>
              </w:rPr>
            </w:pPr>
            <w:r>
              <w:t>/</w:t>
            </w:r>
          </w:p>
        </w:tc>
        <w:tc>
          <w:tcPr>
            <w:tcW w:w="1217" w:type="pct"/>
            <w:vAlign w:val="center"/>
          </w:tcPr>
          <w:p w:rsidR="00BC07F0" w:rsidRDefault="00073EFB">
            <w:pPr>
              <w:pStyle w:val="a7"/>
              <w:rPr>
                <w:rFonts w:hint="default"/>
              </w:rPr>
            </w:pPr>
            <w:r>
              <w:t>沿线的美化和植物种植</w:t>
            </w:r>
            <w:r>
              <w:t>应选择乡土植物；强化沿线绿化苗木的管理和养护。</w:t>
            </w:r>
          </w:p>
        </w:tc>
        <w:tc>
          <w:tcPr>
            <w:tcW w:w="740" w:type="pct"/>
            <w:vAlign w:val="center"/>
          </w:tcPr>
          <w:p w:rsidR="00BC07F0" w:rsidRDefault="00073EFB">
            <w:pPr>
              <w:pStyle w:val="a7"/>
              <w:rPr>
                <w:rFonts w:hint="default"/>
              </w:rPr>
            </w:pPr>
            <w:r>
              <w:t>/</w:t>
            </w:r>
          </w:p>
        </w:tc>
      </w:tr>
      <w:tr w:rsidR="00BC07F0">
        <w:trPr>
          <w:trHeight w:val="397"/>
          <w:jc w:val="center"/>
        </w:trPr>
        <w:tc>
          <w:tcPr>
            <w:tcW w:w="669" w:type="pct"/>
            <w:vAlign w:val="center"/>
          </w:tcPr>
          <w:p w:rsidR="00BC07F0" w:rsidRDefault="00073EFB">
            <w:pPr>
              <w:pStyle w:val="a7"/>
              <w:rPr>
                <w:rFonts w:hint="default"/>
              </w:rPr>
            </w:pPr>
            <w:r>
              <w:t>水生生态</w:t>
            </w:r>
          </w:p>
        </w:tc>
        <w:tc>
          <w:tcPr>
            <w:tcW w:w="1680" w:type="pct"/>
            <w:vAlign w:val="center"/>
          </w:tcPr>
          <w:p w:rsidR="00BC07F0" w:rsidRDefault="00073EFB">
            <w:pPr>
              <w:pStyle w:val="a7"/>
              <w:rPr>
                <w:rFonts w:hint="default"/>
              </w:rPr>
            </w:pPr>
            <w:r>
              <w:t>进一步优化施工进度和施工工序，合理安排施工时段，工程按照一个枯水期完成安排，如果由于特殊情况不能完成施工应在下一个枯水期施工。</w:t>
            </w:r>
            <w:r>
              <w:t>加强环境监测与管理，制定</w:t>
            </w:r>
            <w:r>
              <w:t>生态修复措施</w:t>
            </w:r>
            <w:r>
              <w:t>。</w:t>
            </w:r>
          </w:p>
        </w:tc>
        <w:tc>
          <w:tcPr>
            <w:tcW w:w="691" w:type="pct"/>
            <w:vAlign w:val="center"/>
          </w:tcPr>
          <w:p w:rsidR="00BC07F0" w:rsidRDefault="00073EFB">
            <w:pPr>
              <w:pStyle w:val="a7"/>
              <w:rPr>
                <w:rFonts w:hint="default"/>
              </w:rPr>
            </w:pPr>
            <w:r>
              <w:t>/</w:t>
            </w:r>
          </w:p>
        </w:tc>
        <w:tc>
          <w:tcPr>
            <w:tcW w:w="1217" w:type="pct"/>
            <w:vAlign w:val="center"/>
          </w:tcPr>
          <w:p w:rsidR="00BC07F0" w:rsidRDefault="00073EFB">
            <w:pPr>
              <w:pStyle w:val="a7"/>
              <w:rPr>
                <w:rFonts w:hint="default"/>
              </w:rPr>
            </w:pPr>
            <w:r>
              <w:t>/</w:t>
            </w:r>
          </w:p>
        </w:tc>
        <w:tc>
          <w:tcPr>
            <w:tcW w:w="740" w:type="pct"/>
            <w:vAlign w:val="center"/>
          </w:tcPr>
          <w:p w:rsidR="00BC07F0" w:rsidRDefault="00073EFB">
            <w:pPr>
              <w:pStyle w:val="a7"/>
              <w:rPr>
                <w:rFonts w:hint="default"/>
              </w:rPr>
            </w:pPr>
            <w:r>
              <w:t>/</w:t>
            </w:r>
          </w:p>
        </w:tc>
      </w:tr>
      <w:tr w:rsidR="00BC07F0">
        <w:trPr>
          <w:trHeight w:val="397"/>
          <w:jc w:val="center"/>
        </w:trPr>
        <w:tc>
          <w:tcPr>
            <w:tcW w:w="669" w:type="pct"/>
            <w:vAlign w:val="center"/>
          </w:tcPr>
          <w:p w:rsidR="00BC07F0" w:rsidRDefault="00073EFB">
            <w:pPr>
              <w:pStyle w:val="a7"/>
              <w:rPr>
                <w:rFonts w:hint="default"/>
              </w:rPr>
            </w:pPr>
            <w:r>
              <w:t>地表水环境</w:t>
            </w:r>
          </w:p>
        </w:tc>
        <w:tc>
          <w:tcPr>
            <w:tcW w:w="1680" w:type="pct"/>
            <w:vAlign w:val="center"/>
          </w:tcPr>
          <w:p w:rsidR="00BC07F0" w:rsidRDefault="00073EFB">
            <w:pPr>
              <w:pStyle w:val="a7"/>
              <w:rPr>
                <w:rFonts w:hint="default"/>
              </w:rPr>
            </w:pPr>
            <w:r>
              <w:t>施工生产废水经过截水沟、沉淀池处理后回用，严禁施工废水直接排放。</w:t>
            </w:r>
          </w:p>
        </w:tc>
        <w:tc>
          <w:tcPr>
            <w:tcW w:w="691" w:type="pct"/>
            <w:vAlign w:val="center"/>
          </w:tcPr>
          <w:p w:rsidR="00BC07F0" w:rsidRDefault="00073EFB">
            <w:pPr>
              <w:pStyle w:val="a7"/>
              <w:rPr>
                <w:rFonts w:hint="default"/>
              </w:rPr>
            </w:pPr>
            <w:r>
              <w:t>/</w:t>
            </w:r>
          </w:p>
        </w:tc>
        <w:tc>
          <w:tcPr>
            <w:tcW w:w="1217" w:type="pct"/>
            <w:vAlign w:val="center"/>
          </w:tcPr>
          <w:p w:rsidR="00BC07F0" w:rsidRDefault="00073EFB">
            <w:pPr>
              <w:pStyle w:val="a7"/>
              <w:rPr>
                <w:rFonts w:hint="default"/>
              </w:rPr>
            </w:pPr>
            <w:r>
              <w:t>沿线设置雨水收集系统，定期检查公路雨水排水系统。</w:t>
            </w:r>
          </w:p>
        </w:tc>
        <w:tc>
          <w:tcPr>
            <w:tcW w:w="740" w:type="pct"/>
            <w:vAlign w:val="center"/>
          </w:tcPr>
          <w:p w:rsidR="00BC07F0" w:rsidRDefault="00073EFB">
            <w:pPr>
              <w:pStyle w:val="a7"/>
              <w:rPr>
                <w:rFonts w:hint="default"/>
              </w:rPr>
            </w:pPr>
            <w:r>
              <w:t>/</w:t>
            </w:r>
          </w:p>
        </w:tc>
      </w:tr>
      <w:tr w:rsidR="00BC07F0">
        <w:trPr>
          <w:trHeight w:val="397"/>
          <w:jc w:val="center"/>
        </w:trPr>
        <w:tc>
          <w:tcPr>
            <w:tcW w:w="669" w:type="pct"/>
            <w:vAlign w:val="center"/>
          </w:tcPr>
          <w:p w:rsidR="00BC07F0" w:rsidRDefault="00073EFB">
            <w:pPr>
              <w:pStyle w:val="a7"/>
              <w:rPr>
                <w:rFonts w:hint="default"/>
              </w:rPr>
            </w:pPr>
            <w:r>
              <w:t>地下水及土壤环境</w:t>
            </w:r>
          </w:p>
        </w:tc>
        <w:tc>
          <w:tcPr>
            <w:tcW w:w="1680" w:type="pct"/>
            <w:vAlign w:val="center"/>
          </w:tcPr>
          <w:p w:rsidR="00BC07F0" w:rsidRDefault="00073EFB">
            <w:pPr>
              <w:pStyle w:val="a7"/>
              <w:rPr>
                <w:rFonts w:hint="default"/>
              </w:rPr>
            </w:pPr>
            <w:r>
              <w:t>/</w:t>
            </w:r>
          </w:p>
        </w:tc>
        <w:tc>
          <w:tcPr>
            <w:tcW w:w="691" w:type="pct"/>
            <w:vAlign w:val="center"/>
          </w:tcPr>
          <w:p w:rsidR="00BC07F0" w:rsidRDefault="00073EFB">
            <w:pPr>
              <w:pStyle w:val="a7"/>
              <w:rPr>
                <w:rFonts w:hint="default"/>
              </w:rPr>
            </w:pPr>
            <w:r>
              <w:t>/</w:t>
            </w:r>
          </w:p>
        </w:tc>
        <w:tc>
          <w:tcPr>
            <w:tcW w:w="1217" w:type="pct"/>
            <w:vAlign w:val="center"/>
          </w:tcPr>
          <w:p w:rsidR="00BC07F0" w:rsidRDefault="00073EFB">
            <w:pPr>
              <w:pStyle w:val="a7"/>
              <w:rPr>
                <w:rFonts w:hint="default"/>
              </w:rPr>
            </w:pPr>
            <w:r>
              <w:t>/</w:t>
            </w:r>
          </w:p>
        </w:tc>
        <w:tc>
          <w:tcPr>
            <w:tcW w:w="740" w:type="pct"/>
            <w:vAlign w:val="center"/>
          </w:tcPr>
          <w:p w:rsidR="00BC07F0" w:rsidRDefault="00073EFB">
            <w:pPr>
              <w:pStyle w:val="a7"/>
              <w:rPr>
                <w:rFonts w:hint="default"/>
              </w:rPr>
            </w:pPr>
            <w:r>
              <w:t>/</w:t>
            </w:r>
          </w:p>
        </w:tc>
      </w:tr>
      <w:tr w:rsidR="00BC07F0">
        <w:trPr>
          <w:trHeight w:val="397"/>
          <w:jc w:val="center"/>
        </w:trPr>
        <w:tc>
          <w:tcPr>
            <w:tcW w:w="669" w:type="pct"/>
            <w:vAlign w:val="center"/>
          </w:tcPr>
          <w:p w:rsidR="00BC07F0" w:rsidRDefault="00073EFB">
            <w:pPr>
              <w:pStyle w:val="a7"/>
              <w:rPr>
                <w:rFonts w:hint="default"/>
              </w:rPr>
            </w:pPr>
            <w:r>
              <w:t>声环境</w:t>
            </w:r>
          </w:p>
        </w:tc>
        <w:tc>
          <w:tcPr>
            <w:tcW w:w="1680" w:type="pct"/>
            <w:vAlign w:val="center"/>
          </w:tcPr>
          <w:p w:rsidR="00BC07F0" w:rsidRDefault="00073EFB">
            <w:pPr>
              <w:pStyle w:val="a7"/>
              <w:rPr>
                <w:rFonts w:hint="default"/>
              </w:rPr>
            </w:pPr>
            <w:r>
              <w:t>选用低噪声施工设备，并加强设备的维护保养；合理安排施工时间，加强施工管理；设置施工围挡和减速、禁鸣标志。</w:t>
            </w:r>
          </w:p>
        </w:tc>
        <w:tc>
          <w:tcPr>
            <w:tcW w:w="691" w:type="pct"/>
            <w:vAlign w:val="center"/>
          </w:tcPr>
          <w:p w:rsidR="00BC07F0" w:rsidRDefault="00073EFB">
            <w:pPr>
              <w:pStyle w:val="a7"/>
              <w:rPr>
                <w:rFonts w:hint="default"/>
              </w:rPr>
            </w:pPr>
            <w:r>
              <w:t>《建筑施工场界环境噪声排放标准》（</w:t>
            </w:r>
            <w:r>
              <w:t>GB12523-2011</w:t>
            </w:r>
            <w:r>
              <w:t>）</w:t>
            </w:r>
          </w:p>
        </w:tc>
        <w:tc>
          <w:tcPr>
            <w:tcW w:w="1217" w:type="pct"/>
            <w:vAlign w:val="center"/>
          </w:tcPr>
          <w:p w:rsidR="00BC07F0" w:rsidRDefault="00073EFB">
            <w:pPr>
              <w:pStyle w:val="a7"/>
              <w:rPr>
                <w:rFonts w:hint="default"/>
              </w:rPr>
            </w:pPr>
            <w:r>
              <w:t>合理布置绿化带，加强路面维护、交通管理，设置禁鸣、限速等标志。</w:t>
            </w:r>
          </w:p>
        </w:tc>
        <w:tc>
          <w:tcPr>
            <w:tcW w:w="740" w:type="pct"/>
            <w:vAlign w:val="center"/>
          </w:tcPr>
          <w:p w:rsidR="00BC07F0" w:rsidRDefault="00073EFB">
            <w:pPr>
              <w:pStyle w:val="a7"/>
              <w:rPr>
                <w:rFonts w:hint="default"/>
              </w:rPr>
            </w:pPr>
            <w:r>
              <w:t>《声环境质量标准》（</w:t>
            </w:r>
            <w:r>
              <w:t>GB3096-2008</w:t>
            </w:r>
            <w:r>
              <w:t>）</w:t>
            </w:r>
          </w:p>
        </w:tc>
      </w:tr>
      <w:tr w:rsidR="00BC07F0">
        <w:trPr>
          <w:trHeight w:val="397"/>
          <w:jc w:val="center"/>
        </w:trPr>
        <w:tc>
          <w:tcPr>
            <w:tcW w:w="669" w:type="pct"/>
            <w:vAlign w:val="center"/>
          </w:tcPr>
          <w:p w:rsidR="00BC07F0" w:rsidRDefault="00073EFB">
            <w:pPr>
              <w:pStyle w:val="a7"/>
              <w:rPr>
                <w:rFonts w:hint="default"/>
              </w:rPr>
            </w:pPr>
            <w:r>
              <w:t>振动</w:t>
            </w:r>
          </w:p>
        </w:tc>
        <w:tc>
          <w:tcPr>
            <w:tcW w:w="1680" w:type="pct"/>
            <w:vAlign w:val="center"/>
          </w:tcPr>
          <w:p w:rsidR="00BC07F0" w:rsidRDefault="00073EFB">
            <w:pPr>
              <w:pStyle w:val="a7"/>
              <w:rPr>
                <w:rFonts w:hint="default"/>
              </w:rPr>
            </w:pPr>
            <w:r>
              <w:t>/</w:t>
            </w:r>
          </w:p>
        </w:tc>
        <w:tc>
          <w:tcPr>
            <w:tcW w:w="691" w:type="pct"/>
            <w:vAlign w:val="center"/>
          </w:tcPr>
          <w:p w:rsidR="00BC07F0" w:rsidRDefault="00073EFB">
            <w:pPr>
              <w:pStyle w:val="a7"/>
              <w:rPr>
                <w:rFonts w:hint="default"/>
              </w:rPr>
            </w:pPr>
            <w:r>
              <w:t>/</w:t>
            </w:r>
          </w:p>
        </w:tc>
        <w:tc>
          <w:tcPr>
            <w:tcW w:w="1217" w:type="pct"/>
            <w:vAlign w:val="center"/>
          </w:tcPr>
          <w:p w:rsidR="00BC07F0" w:rsidRDefault="00073EFB">
            <w:pPr>
              <w:pStyle w:val="a7"/>
              <w:rPr>
                <w:rFonts w:hint="default"/>
              </w:rPr>
            </w:pPr>
            <w:r>
              <w:t>/</w:t>
            </w:r>
          </w:p>
        </w:tc>
        <w:tc>
          <w:tcPr>
            <w:tcW w:w="740" w:type="pct"/>
            <w:vAlign w:val="center"/>
          </w:tcPr>
          <w:p w:rsidR="00BC07F0" w:rsidRDefault="00073EFB">
            <w:pPr>
              <w:pStyle w:val="a7"/>
              <w:rPr>
                <w:rFonts w:hint="default"/>
              </w:rPr>
            </w:pPr>
            <w:r>
              <w:t>/</w:t>
            </w:r>
          </w:p>
        </w:tc>
      </w:tr>
      <w:tr w:rsidR="00BC07F0">
        <w:trPr>
          <w:trHeight w:val="397"/>
          <w:jc w:val="center"/>
        </w:trPr>
        <w:tc>
          <w:tcPr>
            <w:tcW w:w="669" w:type="pct"/>
            <w:vAlign w:val="center"/>
          </w:tcPr>
          <w:p w:rsidR="00BC07F0" w:rsidRDefault="00073EFB">
            <w:pPr>
              <w:pStyle w:val="a7"/>
              <w:rPr>
                <w:rFonts w:hint="default"/>
              </w:rPr>
            </w:pPr>
            <w:r>
              <w:t>大气环境</w:t>
            </w:r>
          </w:p>
        </w:tc>
        <w:tc>
          <w:tcPr>
            <w:tcW w:w="1680" w:type="pct"/>
            <w:vAlign w:val="center"/>
          </w:tcPr>
          <w:p w:rsidR="00BC07F0" w:rsidRDefault="00073EFB">
            <w:pPr>
              <w:pStyle w:val="a7"/>
              <w:rPr>
                <w:rFonts w:hint="default"/>
              </w:rPr>
            </w:pPr>
            <w:r>
              <w:t>参照执行新修订的的《衡阳市施工工地扬尘管理规范》，施工工地扬尘“</w:t>
            </w:r>
            <w:r>
              <w:t>8</w:t>
            </w:r>
            <w:r>
              <w:t>个</w:t>
            </w:r>
            <w:r>
              <w:t>100%</w:t>
            </w:r>
            <w:r>
              <w:t>”防治措施，</w:t>
            </w:r>
            <w:r>
              <w:t>工程建设现场要设置洒水喷淋设备等降尘设施</w:t>
            </w:r>
            <w:r>
              <w:t>，</w:t>
            </w:r>
            <w:r>
              <w:t>设置</w:t>
            </w:r>
            <w:r>
              <w:t>施工围挡</w:t>
            </w:r>
            <w:r>
              <w:t>，</w:t>
            </w:r>
            <w:r>
              <w:t>场地硬化</w:t>
            </w:r>
            <w:r>
              <w:t>，</w:t>
            </w:r>
            <w:r>
              <w:t>进出</w:t>
            </w:r>
            <w:r>
              <w:t>车辆冲洗</w:t>
            </w:r>
            <w:r>
              <w:t>，</w:t>
            </w:r>
            <w:r>
              <w:t>建筑材料应按规定要求分类堆放，设置标牌</w:t>
            </w:r>
            <w:r>
              <w:t>，</w:t>
            </w:r>
            <w:r>
              <w:t>临时堆放场应当采取围挡、覆盖等防尘措施</w:t>
            </w:r>
            <w:r>
              <w:t>，</w:t>
            </w:r>
            <w:r>
              <w:t>加强设备维护保养</w:t>
            </w:r>
            <w:r>
              <w:t>。</w:t>
            </w:r>
          </w:p>
        </w:tc>
        <w:tc>
          <w:tcPr>
            <w:tcW w:w="691" w:type="pct"/>
            <w:vAlign w:val="center"/>
          </w:tcPr>
          <w:p w:rsidR="00BC07F0" w:rsidRDefault="00073EFB">
            <w:pPr>
              <w:pStyle w:val="a7"/>
              <w:rPr>
                <w:rFonts w:hint="default"/>
              </w:rPr>
            </w:pPr>
            <w:r>
              <w:t>《大气污染物综合排放标准》（</w:t>
            </w:r>
            <w:r>
              <w:t>GB16297-1996</w:t>
            </w:r>
            <w:r>
              <w:t>）表</w:t>
            </w:r>
            <w:r>
              <w:t>2</w:t>
            </w:r>
            <w:r>
              <w:t>标准限值</w:t>
            </w:r>
          </w:p>
        </w:tc>
        <w:tc>
          <w:tcPr>
            <w:tcW w:w="1217" w:type="pct"/>
            <w:vAlign w:val="center"/>
          </w:tcPr>
          <w:p w:rsidR="00BC07F0" w:rsidRDefault="00073EFB">
            <w:pPr>
              <w:pStyle w:val="a7"/>
              <w:rPr>
                <w:rFonts w:hint="default"/>
              </w:rPr>
            </w:pPr>
            <w:r>
              <w:t>加强管理，加强绿化，定期洒水、养护，汽车尾气排放达标方可上路。</w:t>
            </w:r>
          </w:p>
        </w:tc>
        <w:tc>
          <w:tcPr>
            <w:tcW w:w="740" w:type="pct"/>
            <w:vAlign w:val="center"/>
          </w:tcPr>
          <w:p w:rsidR="00BC07F0" w:rsidRDefault="00073EFB">
            <w:pPr>
              <w:pStyle w:val="a7"/>
              <w:rPr>
                <w:rFonts w:hint="default"/>
              </w:rPr>
            </w:pPr>
            <w:r>
              <w:t>《大气污染物综合排放标准》（</w:t>
            </w:r>
            <w:r>
              <w:t>GB16297-1996</w:t>
            </w:r>
            <w:r>
              <w:t>）表</w:t>
            </w:r>
            <w:r>
              <w:t>2</w:t>
            </w:r>
            <w:r>
              <w:t>标准限值</w:t>
            </w:r>
          </w:p>
        </w:tc>
      </w:tr>
      <w:tr w:rsidR="00BC07F0">
        <w:trPr>
          <w:trHeight w:val="397"/>
          <w:jc w:val="center"/>
        </w:trPr>
        <w:tc>
          <w:tcPr>
            <w:tcW w:w="669" w:type="pct"/>
            <w:vAlign w:val="center"/>
          </w:tcPr>
          <w:p w:rsidR="00BC07F0" w:rsidRDefault="00073EFB">
            <w:pPr>
              <w:pStyle w:val="a7"/>
              <w:rPr>
                <w:rFonts w:hint="default"/>
              </w:rPr>
            </w:pPr>
            <w:r>
              <w:lastRenderedPageBreak/>
              <w:t>固体废物</w:t>
            </w:r>
          </w:p>
        </w:tc>
        <w:tc>
          <w:tcPr>
            <w:tcW w:w="1680" w:type="pct"/>
            <w:vAlign w:val="center"/>
          </w:tcPr>
          <w:p w:rsidR="00BC07F0" w:rsidRDefault="00073EFB">
            <w:pPr>
              <w:pStyle w:val="a7"/>
              <w:rPr>
                <w:rFonts w:hint="default"/>
              </w:rPr>
            </w:pPr>
            <w:r>
              <w:t>表土清除和开挖产生的土石方</w:t>
            </w:r>
            <w:r>
              <w:t>堆场暂存后全部回填。</w:t>
            </w:r>
            <w:r>
              <w:t>生活垃圾</w:t>
            </w:r>
            <w:r>
              <w:t>分类</w:t>
            </w:r>
            <w:r>
              <w:t>收集后交由环卫部门清运处置</w:t>
            </w:r>
            <w:r>
              <w:t>。</w:t>
            </w:r>
            <w:r>
              <w:t>河道疏浚污泥作为生态护岸、人工湿地、植被种植的覆土，做到项目内部平衡，无弃方产生</w:t>
            </w:r>
            <w:r>
              <w:t>，</w:t>
            </w:r>
            <w:r>
              <w:t>淤泥堆放在蒸湘南路以西，幸福河以</w:t>
            </w:r>
            <w:r>
              <w:t>东。</w:t>
            </w:r>
          </w:p>
        </w:tc>
        <w:tc>
          <w:tcPr>
            <w:tcW w:w="691" w:type="pct"/>
            <w:vAlign w:val="center"/>
          </w:tcPr>
          <w:p w:rsidR="00BC07F0" w:rsidRDefault="00073EFB">
            <w:pPr>
              <w:pStyle w:val="a7"/>
              <w:rPr>
                <w:rFonts w:hint="default"/>
              </w:rPr>
            </w:pPr>
            <w:r>
              <w:t>合理处置，不产生二次污染</w:t>
            </w:r>
          </w:p>
        </w:tc>
        <w:tc>
          <w:tcPr>
            <w:tcW w:w="1217" w:type="pct"/>
            <w:vAlign w:val="center"/>
          </w:tcPr>
          <w:p w:rsidR="00BC07F0" w:rsidRDefault="00073EFB">
            <w:pPr>
              <w:pStyle w:val="a7"/>
              <w:rPr>
                <w:rFonts w:hint="default"/>
              </w:rPr>
            </w:pPr>
            <w:r>
              <w:t>生活垃圾交由环卫部门统一处理</w:t>
            </w:r>
          </w:p>
        </w:tc>
        <w:tc>
          <w:tcPr>
            <w:tcW w:w="740" w:type="pct"/>
            <w:vAlign w:val="center"/>
          </w:tcPr>
          <w:p w:rsidR="00BC07F0" w:rsidRDefault="00073EFB">
            <w:pPr>
              <w:pStyle w:val="a7"/>
              <w:rPr>
                <w:rFonts w:hint="default"/>
              </w:rPr>
            </w:pPr>
            <w:r>
              <w:t>不产生二次污染</w:t>
            </w:r>
          </w:p>
        </w:tc>
      </w:tr>
      <w:tr w:rsidR="00BC07F0">
        <w:trPr>
          <w:trHeight w:val="397"/>
          <w:jc w:val="center"/>
        </w:trPr>
        <w:tc>
          <w:tcPr>
            <w:tcW w:w="669" w:type="pct"/>
            <w:vAlign w:val="center"/>
          </w:tcPr>
          <w:p w:rsidR="00BC07F0" w:rsidRDefault="00073EFB">
            <w:pPr>
              <w:pStyle w:val="a7"/>
              <w:rPr>
                <w:rFonts w:hint="default"/>
              </w:rPr>
            </w:pPr>
            <w:r>
              <w:t>电磁环境</w:t>
            </w:r>
          </w:p>
        </w:tc>
        <w:tc>
          <w:tcPr>
            <w:tcW w:w="1680" w:type="pct"/>
            <w:vAlign w:val="center"/>
          </w:tcPr>
          <w:p w:rsidR="00BC07F0" w:rsidRDefault="00073EFB">
            <w:pPr>
              <w:pStyle w:val="a7"/>
              <w:rPr>
                <w:rFonts w:hint="default"/>
              </w:rPr>
            </w:pPr>
            <w:r>
              <w:t>/</w:t>
            </w:r>
          </w:p>
        </w:tc>
        <w:tc>
          <w:tcPr>
            <w:tcW w:w="691" w:type="pct"/>
            <w:vAlign w:val="center"/>
          </w:tcPr>
          <w:p w:rsidR="00BC07F0" w:rsidRDefault="00073EFB">
            <w:pPr>
              <w:pStyle w:val="a7"/>
              <w:rPr>
                <w:rFonts w:hint="default"/>
              </w:rPr>
            </w:pPr>
            <w:r>
              <w:t>/</w:t>
            </w:r>
          </w:p>
        </w:tc>
        <w:tc>
          <w:tcPr>
            <w:tcW w:w="1217" w:type="pct"/>
            <w:vAlign w:val="center"/>
          </w:tcPr>
          <w:p w:rsidR="00BC07F0" w:rsidRDefault="00073EFB">
            <w:pPr>
              <w:pStyle w:val="a7"/>
              <w:rPr>
                <w:rFonts w:hint="default"/>
              </w:rPr>
            </w:pPr>
            <w:r>
              <w:t>/</w:t>
            </w:r>
          </w:p>
        </w:tc>
        <w:tc>
          <w:tcPr>
            <w:tcW w:w="740" w:type="pct"/>
            <w:vAlign w:val="center"/>
          </w:tcPr>
          <w:p w:rsidR="00BC07F0" w:rsidRDefault="00073EFB">
            <w:pPr>
              <w:pStyle w:val="a7"/>
              <w:rPr>
                <w:rFonts w:hint="default"/>
              </w:rPr>
            </w:pPr>
            <w:r>
              <w:t>/</w:t>
            </w:r>
          </w:p>
        </w:tc>
      </w:tr>
      <w:tr w:rsidR="00BC07F0">
        <w:trPr>
          <w:trHeight w:val="397"/>
          <w:jc w:val="center"/>
        </w:trPr>
        <w:tc>
          <w:tcPr>
            <w:tcW w:w="669" w:type="pct"/>
            <w:vAlign w:val="center"/>
          </w:tcPr>
          <w:p w:rsidR="00BC07F0" w:rsidRDefault="00073EFB">
            <w:pPr>
              <w:pStyle w:val="a7"/>
              <w:rPr>
                <w:rFonts w:hint="default"/>
              </w:rPr>
            </w:pPr>
            <w:r>
              <w:t>环境风险</w:t>
            </w:r>
          </w:p>
        </w:tc>
        <w:tc>
          <w:tcPr>
            <w:tcW w:w="1680" w:type="pct"/>
            <w:vAlign w:val="center"/>
          </w:tcPr>
          <w:p w:rsidR="00BC07F0" w:rsidRDefault="00073EFB">
            <w:pPr>
              <w:pStyle w:val="a7"/>
              <w:rPr>
                <w:rFonts w:hint="default"/>
              </w:rPr>
            </w:pPr>
            <w:r>
              <w:t>汽车运输易燃易爆品产生火灾</w:t>
            </w:r>
          </w:p>
        </w:tc>
        <w:tc>
          <w:tcPr>
            <w:tcW w:w="691" w:type="pct"/>
            <w:vAlign w:val="center"/>
          </w:tcPr>
          <w:p w:rsidR="00BC07F0" w:rsidRDefault="00073EFB">
            <w:pPr>
              <w:pStyle w:val="a7"/>
              <w:rPr>
                <w:rFonts w:hint="default"/>
              </w:rPr>
            </w:pPr>
            <w:r>
              <w:t>/</w:t>
            </w:r>
          </w:p>
        </w:tc>
        <w:tc>
          <w:tcPr>
            <w:tcW w:w="1217" w:type="pct"/>
            <w:vAlign w:val="center"/>
          </w:tcPr>
          <w:p w:rsidR="00BC07F0" w:rsidRDefault="00073EFB">
            <w:pPr>
              <w:pStyle w:val="a7"/>
              <w:rPr>
                <w:rFonts w:hint="default"/>
              </w:rPr>
            </w:pPr>
            <w:r>
              <w:t>设置警示牌和路面径流收集系统。</w:t>
            </w:r>
          </w:p>
        </w:tc>
        <w:tc>
          <w:tcPr>
            <w:tcW w:w="740" w:type="pct"/>
            <w:vAlign w:val="center"/>
          </w:tcPr>
          <w:p w:rsidR="00BC07F0" w:rsidRDefault="00073EFB">
            <w:pPr>
              <w:pStyle w:val="a7"/>
              <w:rPr>
                <w:rFonts w:hint="default"/>
              </w:rPr>
            </w:pPr>
            <w:r>
              <w:t>/</w:t>
            </w:r>
          </w:p>
        </w:tc>
      </w:tr>
      <w:tr w:rsidR="00BC07F0">
        <w:trPr>
          <w:trHeight w:val="397"/>
          <w:jc w:val="center"/>
        </w:trPr>
        <w:tc>
          <w:tcPr>
            <w:tcW w:w="669" w:type="pct"/>
            <w:vAlign w:val="center"/>
          </w:tcPr>
          <w:p w:rsidR="00BC07F0" w:rsidRDefault="00073EFB">
            <w:pPr>
              <w:pStyle w:val="a7"/>
              <w:rPr>
                <w:rFonts w:hint="default"/>
              </w:rPr>
            </w:pPr>
            <w:r>
              <w:t>环境监测</w:t>
            </w:r>
          </w:p>
        </w:tc>
        <w:tc>
          <w:tcPr>
            <w:tcW w:w="1680" w:type="pct"/>
            <w:vAlign w:val="center"/>
          </w:tcPr>
          <w:p w:rsidR="00BC07F0" w:rsidRDefault="00073EFB">
            <w:pPr>
              <w:pStyle w:val="a7"/>
              <w:rPr>
                <w:rFonts w:hint="default"/>
              </w:rPr>
            </w:pPr>
            <w:r>
              <w:t>废气、噪声</w:t>
            </w:r>
          </w:p>
        </w:tc>
        <w:tc>
          <w:tcPr>
            <w:tcW w:w="691" w:type="pct"/>
            <w:vAlign w:val="center"/>
          </w:tcPr>
          <w:p w:rsidR="00BC07F0" w:rsidRDefault="00073EFB">
            <w:pPr>
              <w:pStyle w:val="a7"/>
              <w:rPr>
                <w:rFonts w:hint="default"/>
              </w:rPr>
            </w:pPr>
            <w:r>
              <w:t>《大气污染物综合排放标准》（</w:t>
            </w:r>
            <w:r>
              <w:t>GB16297-1996</w:t>
            </w:r>
            <w:r>
              <w:t>）表</w:t>
            </w:r>
            <w:r>
              <w:t>2</w:t>
            </w:r>
            <w:r>
              <w:t>标准限值、</w:t>
            </w:r>
            <w:r>
              <w:t>《建筑施工场界环境噪声排放标准》（</w:t>
            </w:r>
            <w:r>
              <w:t>GB12523-2011</w:t>
            </w:r>
            <w:r>
              <w:t>）</w:t>
            </w:r>
          </w:p>
        </w:tc>
        <w:tc>
          <w:tcPr>
            <w:tcW w:w="1217" w:type="pct"/>
            <w:vAlign w:val="center"/>
          </w:tcPr>
          <w:p w:rsidR="00BC07F0" w:rsidRDefault="00073EFB">
            <w:pPr>
              <w:pStyle w:val="a7"/>
              <w:rPr>
                <w:rFonts w:hint="default"/>
              </w:rPr>
            </w:pPr>
            <w:r>
              <w:t>大气环境、声环境</w:t>
            </w:r>
          </w:p>
        </w:tc>
        <w:tc>
          <w:tcPr>
            <w:tcW w:w="740" w:type="pct"/>
            <w:vAlign w:val="center"/>
          </w:tcPr>
          <w:p w:rsidR="00BC07F0" w:rsidRDefault="00073EFB">
            <w:pPr>
              <w:pStyle w:val="a7"/>
              <w:rPr>
                <w:rFonts w:hint="default"/>
              </w:rPr>
            </w:pPr>
            <w:r>
              <w:t>《大气污染物综合排放标准》（</w:t>
            </w:r>
            <w:r>
              <w:t>GB16297-1996</w:t>
            </w:r>
            <w:r>
              <w:t>）表</w:t>
            </w:r>
            <w:r>
              <w:t>2</w:t>
            </w:r>
            <w:r>
              <w:t>标准限值、</w:t>
            </w:r>
            <w:r>
              <w:t>《声环境质量标准》（</w:t>
            </w:r>
            <w:r>
              <w:t>GB3096-2008</w:t>
            </w:r>
            <w:r>
              <w:t>）</w:t>
            </w:r>
          </w:p>
        </w:tc>
      </w:tr>
      <w:tr w:rsidR="00BC07F0">
        <w:trPr>
          <w:trHeight w:val="397"/>
          <w:jc w:val="center"/>
        </w:trPr>
        <w:tc>
          <w:tcPr>
            <w:tcW w:w="669" w:type="pct"/>
            <w:vAlign w:val="center"/>
          </w:tcPr>
          <w:p w:rsidR="00BC07F0" w:rsidRDefault="00073EFB">
            <w:pPr>
              <w:pStyle w:val="a7"/>
              <w:rPr>
                <w:rFonts w:hint="default"/>
              </w:rPr>
            </w:pPr>
            <w:r>
              <w:t>其他</w:t>
            </w:r>
          </w:p>
        </w:tc>
        <w:tc>
          <w:tcPr>
            <w:tcW w:w="1680" w:type="pct"/>
            <w:vAlign w:val="center"/>
          </w:tcPr>
          <w:p w:rsidR="00BC07F0" w:rsidRDefault="00073EFB">
            <w:pPr>
              <w:pStyle w:val="a7"/>
              <w:rPr>
                <w:rFonts w:hint="default"/>
              </w:rPr>
            </w:pPr>
            <w:r>
              <w:t>/</w:t>
            </w:r>
          </w:p>
        </w:tc>
        <w:tc>
          <w:tcPr>
            <w:tcW w:w="691" w:type="pct"/>
            <w:vAlign w:val="center"/>
          </w:tcPr>
          <w:p w:rsidR="00BC07F0" w:rsidRDefault="00073EFB">
            <w:pPr>
              <w:pStyle w:val="a7"/>
              <w:rPr>
                <w:rFonts w:hint="default"/>
              </w:rPr>
            </w:pPr>
            <w:r>
              <w:t>/</w:t>
            </w:r>
          </w:p>
        </w:tc>
        <w:tc>
          <w:tcPr>
            <w:tcW w:w="1217" w:type="pct"/>
            <w:vAlign w:val="center"/>
          </w:tcPr>
          <w:p w:rsidR="00BC07F0" w:rsidRDefault="00073EFB">
            <w:pPr>
              <w:pStyle w:val="a7"/>
              <w:rPr>
                <w:rFonts w:hint="default"/>
              </w:rPr>
            </w:pPr>
            <w:r>
              <w:t>/</w:t>
            </w:r>
          </w:p>
        </w:tc>
        <w:tc>
          <w:tcPr>
            <w:tcW w:w="740" w:type="pct"/>
            <w:vAlign w:val="center"/>
          </w:tcPr>
          <w:p w:rsidR="00BC07F0" w:rsidRDefault="00073EFB">
            <w:pPr>
              <w:pStyle w:val="a7"/>
              <w:rPr>
                <w:rFonts w:hint="default"/>
              </w:rPr>
            </w:pPr>
            <w:r>
              <w:t>/</w:t>
            </w:r>
          </w:p>
        </w:tc>
      </w:tr>
    </w:tbl>
    <w:p w:rsidR="00BC07F0" w:rsidRDefault="00BC07F0">
      <w:pPr>
        <w:pStyle w:val="a7"/>
        <w:rPr>
          <w:rFonts w:hint="default"/>
        </w:rPr>
      </w:pPr>
    </w:p>
    <w:p w:rsidR="00BC07F0" w:rsidRDefault="00073EFB">
      <w:pPr>
        <w:pStyle w:val="a7"/>
        <w:rPr>
          <w:rFonts w:ascii="黑体" w:eastAsia="黑体" w:hAnsi="黑体" w:hint="default"/>
          <w:snapToGrid w:val="0"/>
          <w:szCs w:val="30"/>
        </w:rPr>
      </w:pPr>
      <w:r>
        <w:br w:type="page"/>
      </w:r>
    </w:p>
    <w:p w:rsidR="00BC07F0" w:rsidRDefault="00073EFB">
      <w:pPr>
        <w:pStyle w:val="1"/>
      </w:pPr>
      <w:bookmarkStart w:id="42" w:name="_Toc20563"/>
      <w:bookmarkStart w:id="43" w:name="_Toc29636"/>
      <w:bookmarkStart w:id="44" w:name="_Toc8069"/>
      <w:bookmarkStart w:id="45" w:name="_Toc18701"/>
      <w:r>
        <w:rPr>
          <w:rFonts w:hint="eastAsia"/>
        </w:rPr>
        <w:lastRenderedPageBreak/>
        <w:t>七、结论</w:t>
      </w:r>
      <w:bookmarkEnd w:id="42"/>
      <w:bookmarkEnd w:id="43"/>
      <w:bookmarkEnd w:id="44"/>
      <w:bookmarkEnd w:id="45"/>
    </w:p>
    <w:tbl>
      <w:tblPr>
        <w:tblW w:w="495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862"/>
      </w:tblGrid>
      <w:tr w:rsidR="00BC07F0">
        <w:trPr>
          <w:trHeight w:val="454"/>
          <w:jc w:val="center"/>
        </w:trPr>
        <w:tc>
          <w:tcPr>
            <w:tcW w:w="9289" w:type="dxa"/>
            <w:vAlign w:val="center"/>
          </w:tcPr>
          <w:p w:rsidR="00BC07F0" w:rsidRDefault="00073EFB" w:rsidP="00C55F5E">
            <w:pPr>
              <w:ind w:firstLine="480"/>
            </w:pPr>
            <w:r>
              <w:rPr>
                <w:rFonts w:hint="eastAsia"/>
              </w:rPr>
              <w:t>衡阳市湘江南岸水环境水安全治理工程实施十分必要，工程的建设符合国家产业政策，符合地区水利事业发展规划，实施后具有良好的环境效益和社会效益，可使充分发挥其流域防洪功能，提高平时蓄水量和水资源利用率，改善项目生态环境，促进当地经济社会的持续发展</w:t>
            </w:r>
            <w:r>
              <w:rPr>
                <w:rFonts w:hint="eastAsia"/>
              </w:rPr>
              <w:t>，</w:t>
            </w:r>
            <w:r>
              <w:rPr>
                <w:rFonts w:hint="eastAsia"/>
              </w:rPr>
              <w:t>对周边环境有一定的不利影响，建设单位在严格落实本次评价提出的各项污染治理措施和生态保护措施的情况下，进一步优化施工方案，加强施工期环境管理工作，可有效减轻施工期对周边环境的不利影响，工程在取得衡阳市水利局、发展和改革局、农业农村局、自然资源局、生态环境局分局下发的相关</w:t>
            </w:r>
            <w:r>
              <w:rPr>
                <w:rFonts w:hint="eastAsia"/>
              </w:rPr>
              <w:t>批复后</w:t>
            </w:r>
            <w:r>
              <w:rPr>
                <w:rFonts w:hint="eastAsia"/>
              </w:rPr>
              <w:t>，</w:t>
            </w:r>
            <w:r>
              <w:rPr>
                <w:rFonts w:hint="eastAsia"/>
              </w:rPr>
              <w:t>本次环评从环境保护的角度分析，项目建设可行。</w:t>
            </w: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adjustRightInd w:val="0"/>
              <w:snapToGrid w:val="0"/>
              <w:ind w:firstLine="480"/>
              <w:rPr>
                <w:rFonts w:ascii="宋体" w:hAnsi="宋体" w:cs="宋体"/>
                <w:szCs w:val="21"/>
              </w:rPr>
            </w:pPr>
          </w:p>
        </w:tc>
      </w:tr>
    </w:tbl>
    <w:p w:rsidR="00BC07F0" w:rsidRDefault="00BC07F0">
      <w:pPr>
        <w:pStyle w:val="a7"/>
        <w:rPr>
          <w:rFonts w:hint="default"/>
        </w:rPr>
        <w:sectPr w:rsidR="00BC07F0">
          <w:pgSz w:w="11906" w:h="16838"/>
          <w:pgMar w:top="1440" w:right="1080" w:bottom="1440" w:left="1080" w:header="851" w:footer="992" w:gutter="0"/>
          <w:cols w:space="425"/>
          <w:docGrid w:type="lines" w:linePitch="312"/>
        </w:sectPr>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073EFB">
      <w:pPr>
        <w:tabs>
          <w:tab w:val="left" w:pos="602"/>
        </w:tabs>
        <w:autoSpaceDE w:val="0"/>
        <w:autoSpaceDN w:val="0"/>
        <w:spacing w:before="44"/>
        <w:ind w:right="136" w:firstLineChars="0" w:firstLine="0"/>
        <w:jc w:val="center"/>
        <w:outlineLvl w:val="0"/>
        <w:rPr>
          <w:rFonts w:ascii="仿宋" w:eastAsia="仿宋" w:hAnsi="仿宋" w:cs="仿宋"/>
          <w:b/>
          <w:kern w:val="0"/>
          <w:sz w:val="48"/>
          <w:szCs w:val="48"/>
          <w:lang w:val="zh-CN" w:bidi="zh-CN"/>
        </w:rPr>
      </w:pPr>
      <w:bookmarkStart w:id="46" w:name="_Toc15300"/>
      <w:r>
        <w:rPr>
          <w:rFonts w:ascii="仿宋" w:eastAsia="仿宋" w:hAnsi="仿宋" w:cs="仿宋" w:hint="eastAsia"/>
          <w:b/>
          <w:kern w:val="0"/>
          <w:sz w:val="48"/>
          <w:szCs w:val="48"/>
          <w:lang w:val="zh-CN" w:bidi="zh-CN"/>
        </w:rPr>
        <w:t>衡阳市湘江南岸水环境水安全治理工程</w:t>
      </w:r>
      <w:bookmarkEnd w:id="46"/>
    </w:p>
    <w:p w:rsidR="00BC07F0" w:rsidRDefault="00073EFB">
      <w:pPr>
        <w:tabs>
          <w:tab w:val="left" w:pos="602"/>
        </w:tabs>
        <w:autoSpaceDE w:val="0"/>
        <w:autoSpaceDN w:val="0"/>
        <w:spacing w:before="44"/>
        <w:ind w:right="136" w:firstLineChars="0" w:firstLine="0"/>
        <w:jc w:val="center"/>
        <w:outlineLvl w:val="0"/>
        <w:rPr>
          <w:rFonts w:ascii="仿宋" w:eastAsia="仿宋" w:hAnsi="仿宋" w:cs="仿宋"/>
          <w:b/>
          <w:kern w:val="0"/>
          <w:sz w:val="48"/>
          <w:szCs w:val="48"/>
          <w:lang w:bidi="zh-CN"/>
        </w:rPr>
      </w:pPr>
      <w:bookmarkStart w:id="47" w:name="_Toc29199"/>
      <w:r>
        <w:rPr>
          <w:rFonts w:ascii="仿宋" w:eastAsia="仿宋" w:hAnsi="仿宋" w:cs="仿宋" w:hint="eastAsia"/>
          <w:b/>
          <w:kern w:val="0"/>
          <w:sz w:val="48"/>
          <w:szCs w:val="48"/>
          <w:lang w:val="zh-CN" w:bidi="zh-CN"/>
        </w:rPr>
        <w:t>声环境影响专项评价</w:t>
      </w:r>
      <w:bookmarkEnd w:id="47"/>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073EFB">
      <w:pPr>
        <w:ind w:firstLineChars="0" w:firstLine="0"/>
        <w:jc w:val="center"/>
        <w:rPr>
          <w:rFonts w:ascii="仿宋" w:eastAsia="仿宋" w:hAnsi="仿宋" w:cs="仿宋"/>
          <w:sz w:val="28"/>
          <w:szCs w:val="28"/>
          <w:u w:val="single"/>
        </w:rPr>
      </w:pPr>
      <w:r>
        <w:rPr>
          <w:rFonts w:ascii="仿宋" w:eastAsia="仿宋" w:hAnsi="仿宋" w:cs="仿宋" w:hint="eastAsia"/>
          <w:sz w:val="28"/>
          <w:szCs w:val="28"/>
        </w:rPr>
        <w:t>建设单位（盖章）：</w:t>
      </w:r>
      <w:r>
        <w:rPr>
          <w:rFonts w:ascii="仿宋" w:eastAsia="仿宋" w:hAnsi="仿宋" w:cs="仿宋" w:hint="eastAsia"/>
          <w:sz w:val="28"/>
          <w:szCs w:val="28"/>
          <w:u w:val="single"/>
        </w:rPr>
        <w:t>衡阳市白沙片区整体城镇化建设投资有限公司</w:t>
      </w:r>
    </w:p>
    <w:p w:rsidR="00BC07F0" w:rsidRDefault="00073EFB">
      <w:pPr>
        <w:ind w:firstLineChars="300" w:firstLine="840"/>
        <w:rPr>
          <w:rFonts w:ascii="仿宋" w:eastAsia="仿宋" w:hAnsi="仿宋" w:cs="仿宋"/>
          <w:sz w:val="28"/>
          <w:szCs w:val="28"/>
          <w:u w:val="single"/>
        </w:rPr>
      </w:pPr>
      <w:r>
        <w:rPr>
          <w:rFonts w:ascii="仿宋" w:eastAsia="仿宋" w:hAnsi="仿宋" w:cs="仿宋" w:hint="eastAsia"/>
          <w:sz w:val="28"/>
          <w:szCs w:val="28"/>
        </w:rPr>
        <w:t>编制日期：</w:t>
      </w:r>
      <w:r>
        <w:rPr>
          <w:rFonts w:ascii="仿宋" w:eastAsia="仿宋" w:hAnsi="仿宋" w:cs="仿宋" w:hint="eastAsia"/>
          <w:sz w:val="28"/>
          <w:szCs w:val="28"/>
          <w:u w:val="single"/>
        </w:rPr>
        <w:t xml:space="preserve">                   </w:t>
      </w:r>
      <w:r>
        <w:rPr>
          <w:rFonts w:ascii="仿宋" w:eastAsia="仿宋" w:hAnsi="仿宋" w:cs="仿宋" w:hint="eastAsia"/>
          <w:sz w:val="28"/>
          <w:szCs w:val="28"/>
          <w:u w:val="single"/>
        </w:rPr>
        <w:t>2023</w:t>
      </w:r>
      <w:r>
        <w:rPr>
          <w:rFonts w:ascii="仿宋" w:eastAsia="仿宋" w:hAnsi="仿宋" w:cs="仿宋" w:hint="eastAsia"/>
          <w:sz w:val="28"/>
          <w:szCs w:val="28"/>
          <w:u w:val="single"/>
        </w:rPr>
        <w:t>年</w:t>
      </w:r>
      <w:r>
        <w:rPr>
          <w:rFonts w:ascii="仿宋" w:eastAsia="仿宋" w:hAnsi="仿宋" w:cs="仿宋" w:hint="eastAsia"/>
          <w:sz w:val="28"/>
          <w:szCs w:val="28"/>
          <w:u w:val="single"/>
        </w:rPr>
        <w:t>5</w:t>
      </w:r>
      <w:r>
        <w:rPr>
          <w:rFonts w:ascii="仿宋" w:eastAsia="仿宋" w:hAnsi="仿宋" w:cs="仿宋" w:hint="eastAsia"/>
          <w:sz w:val="28"/>
          <w:szCs w:val="28"/>
          <w:u w:val="single"/>
        </w:rPr>
        <w:t>月</w:t>
      </w:r>
      <w:r>
        <w:rPr>
          <w:rFonts w:ascii="仿宋" w:eastAsia="仿宋" w:hAnsi="仿宋" w:cs="仿宋" w:hint="eastAsia"/>
          <w:sz w:val="28"/>
          <w:szCs w:val="28"/>
          <w:u w:val="single"/>
        </w:rPr>
        <w:t xml:space="preserve">                  </w:t>
      </w:r>
    </w:p>
    <w:p w:rsidR="00BC07F0" w:rsidRDefault="00BC07F0" w:rsidP="00C55F5E">
      <w:pPr>
        <w:ind w:firstLine="562"/>
        <w:jc w:val="center"/>
        <w:outlineLvl w:val="0"/>
        <w:rPr>
          <w:rFonts w:ascii="仿宋" w:eastAsia="仿宋" w:hAnsi="仿宋" w:cs="仿宋"/>
          <w:b/>
          <w:bCs/>
          <w:sz w:val="28"/>
          <w:szCs w:val="28"/>
          <w:u w:val="single"/>
        </w:rPr>
        <w:sectPr w:rsidR="00BC07F0">
          <w:footerReference w:type="default" r:id="rId38"/>
          <w:pgSz w:w="11906" w:h="16838"/>
          <w:pgMar w:top="1440" w:right="1080" w:bottom="1440" w:left="1080" w:header="567" w:footer="567" w:gutter="0"/>
          <w:cols w:space="720"/>
          <w:docGrid w:linePitch="312"/>
        </w:sectPr>
      </w:pPr>
    </w:p>
    <w:p w:rsidR="00BC07F0" w:rsidRDefault="00073EFB">
      <w:pPr>
        <w:pStyle w:val="1"/>
      </w:pPr>
      <w:bookmarkStart w:id="48" w:name="_Toc23878"/>
      <w:bookmarkStart w:id="49" w:name="_Toc17064"/>
      <w:bookmarkStart w:id="50" w:name="_Toc15953"/>
      <w:r>
        <w:lastRenderedPageBreak/>
        <w:t>1</w:t>
      </w:r>
      <w:bookmarkStart w:id="51" w:name="1总论"/>
      <w:bookmarkStart w:id="52" w:name="bookmark0"/>
      <w:bookmarkEnd w:id="51"/>
      <w:bookmarkEnd w:id="52"/>
      <w:r>
        <w:t>总论</w:t>
      </w:r>
      <w:bookmarkEnd w:id="48"/>
      <w:bookmarkEnd w:id="49"/>
      <w:bookmarkEnd w:id="50"/>
    </w:p>
    <w:p w:rsidR="00BC07F0" w:rsidRDefault="00073EFB" w:rsidP="00C55F5E">
      <w:pPr>
        <w:pStyle w:val="2"/>
        <w:ind w:firstLine="482"/>
      </w:pPr>
      <w:bookmarkStart w:id="53" w:name="_Toc8492"/>
      <w:bookmarkStart w:id="54" w:name="_Toc14670"/>
      <w:r>
        <w:t>1.1</w:t>
      </w:r>
      <w:bookmarkStart w:id="55" w:name="bookmark1"/>
      <w:bookmarkStart w:id="56" w:name="1.1编制依据"/>
      <w:bookmarkEnd w:id="55"/>
      <w:bookmarkEnd w:id="56"/>
      <w:r>
        <w:t>编制依据</w:t>
      </w:r>
      <w:bookmarkEnd w:id="53"/>
      <w:bookmarkEnd w:id="54"/>
    </w:p>
    <w:p w:rsidR="00BC07F0" w:rsidRDefault="00073EFB" w:rsidP="00C55F5E">
      <w:pPr>
        <w:pStyle w:val="3"/>
        <w:ind w:firstLine="482"/>
      </w:pPr>
      <w:bookmarkStart w:id="57" w:name="1.1.1国家法律法规"/>
      <w:bookmarkStart w:id="58" w:name="bookmark2"/>
      <w:bookmarkStart w:id="59" w:name="_Toc9922"/>
      <w:bookmarkEnd w:id="57"/>
      <w:bookmarkEnd w:id="58"/>
      <w:r>
        <w:rPr>
          <w:rFonts w:hint="eastAsia"/>
        </w:rPr>
        <w:t>1.1.1</w:t>
      </w:r>
      <w:r>
        <w:rPr>
          <w:rFonts w:hint="eastAsia"/>
        </w:rPr>
        <w:t>国家法律法规</w:t>
      </w:r>
      <w:bookmarkEnd w:id="59"/>
    </w:p>
    <w:p w:rsidR="00BC07F0" w:rsidRDefault="00073EFB" w:rsidP="00C55F5E">
      <w:pPr>
        <w:ind w:firstLine="480"/>
      </w:pPr>
      <w:r>
        <w:t>(1)</w:t>
      </w:r>
      <w:r>
        <w:t>《中华人民共和国环境保护法》（</w:t>
      </w:r>
      <w:r>
        <w:t>2014</w:t>
      </w:r>
      <w:r>
        <w:t>修订）</w:t>
      </w:r>
      <w:r>
        <w:rPr>
          <w:rFonts w:hint="eastAsia"/>
        </w:rPr>
        <w:t>，</w:t>
      </w:r>
      <w:r>
        <w:rPr>
          <w:rFonts w:hint="eastAsia"/>
        </w:rPr>
        <w:t>2015</w:t>
      </w:r>
      <w:r>
        <w:rPr>
          <w:rFonts w:hint="eastAsia"/>
        </w:rPr>
        <w:t>年</w:t>
      </w:r>
      <w:r>
        <w:rPr>
          <w:rFonts w:hint="eastAsia"/>
        </w:rPr>
        <w:t>1</w:t>
      </w:r>
      <w:r>
        <w:rPr>
          <w:rFonts w:hint="eastAsia"/>
        </w:rPr>
        <w:t>月</w:t>
      </w:r>
      <w:r>
        <w:rPr>
          <w:rFonts w:hint="eastAsia"/>
        </w:rPr>
        <w:t>1</w:t>
      </w:r>
      <w:r>
        <w:rPr>
          <w:rFonts w:hint="eastAsia"/>
        </w:rPr>
        <w:t>日</w:t>
      </w:r>
      <w:r>
        <w:t>；</w:t>
      </w:r>
    </w:p>
    <w:p w:rsidR="00BC07F0" w:rsidRDefault="00073EFB" w:rsidP="00C55F5E">
      <w:pPr>
        <w:ind w:firstLine="480"/>
      </w:pPr>
      <w:r>
        <w:t>(2)</w:t>
      </w:r>
      <w:r>
        <w:rPr>
          <w:rFonts w:hint="eastAsia"/>
        </w:rPr>
        <w:t>《中华人民共和国环境噪声污染防治法》，</w:t>
      </w:r>
      <w:r>
        <w:rPr>
          <w:rFonts w:hint="eastAsia"/>
        </w:rPr>
        <w:t>2022</w:t>
      </w:r>
      <w:r>
        <w:rPr>
          <w:rFonts w:hint="eastAsia"/>
        </w:rPr>
        <w:t>年</w:t>
      </w:r>
      <w:r>
        <w:rPr>
          <w:rFonts w:hint="eastAsia"/>
        </w:rPr>
        <w:t>6</w:t>
      </w:r>
      <w:r>
        <w:rPr>
          <w:rFonts w:hint="eastAsia"/>
        </w:rPr>
        <w:t>月</w:t>
      </w:r>
      <w:r>
        <w:rPr>
          <w:rFonts w:hint="eastAsia"/>
        </w:rPr>
        <w:t>5</w:t>
      </w:r>
      <w:r>
        <w:rPr>
          <w:rFonts w:hint="eastAsia"/>
        </w:rPr>
        <w:t>日起施行；</w:t>
      </w:r>
    </w:p>
    <w:p w:rsidR="00BC07F0" w:rsidRDefault="00073EFB" w:rsidP="00C55F5E">
      <w:pPr>
        <w:ind w:firstLine="480"/>
      </w:pPr>
      <w:r>
        <w:t>(3)</w:t>
      </w:r>
      <w:r>
        <w:t>《中华人民共和国道路交通安全法实施条例》国务院令第</w:t>
      </w:r>
      <w:r>
        <w:t>405</w:t>
      </w:r>
      <w:r>
        <w:t>号，</w:t>
      </w:r>
      <w:r>
        <w:t>2004.5.1</w:t>
      </w:r>
      <w:r>
        <w:rPr>
          <w:rFonts w:hint="eastAsia"/>
        </w:rPr>
        <w:t>；</w:t>
      </w:r>
    </w:p>
    <w:p w:rsidR="00BC07F0" w:rsidRDefault="00073EFB" w:rsidP="00C55F5E">
      <w:pPr>
        <w:ind w:firstLine="480"/>
      </w:pPr>
      <w:r>
        <w:t>(4)</w:t>
      </w:r>
      <w:r>
        <w:t>《中华人民共和国道路运输条例》国务院令第</w:t>
      </w:r>
      <w:r>
        <w:t>406</w:t>
      </w:r>
      <w:r>
        <w:t>号，</w:t>
      </w:r>
      <w:r>
        <w:t>2004.7.1</w:t>
      </w:r>
      <w:r>
        <w:t>；</w:t>
      </w:r>
    </w:p>
    <w:p w:rsidR="00BC07F0" w:rsidRDefault="00073EFB" w:rsidP="00C55F5E">
      <w:pPr>
        <w:ind w:firstLine="480"/>
      </w:pPr>
      <w:r>
        <w:t>(5)</w:t>
      </w:r>
      <w:r>
        <w:t>《中华人民共和国公路管理条例》国务院令第</w:t>
      </w:r>
      <w:r>
        <w:t>543</w:t>
      </w:r>
      <w:r>
        <w:t>号，</w:t>
      </w:r>
      <w:r>
        <w:t>2009.1.1</w:t>
      </w:r>
      <w:r>
        <w:t>；</w:t>
      </w:r>
    </w:p>
    <w:p w:rsidR="00BC07F0" w:rsidRDefault="00073EFB" w:rsidP="00C55F5E">
      <w:pPr>
        <w:ind w:firstLine="480"/>
      </w:pPr>
      <w:r>
        <w:t>(6)</w:t>
      </w:r>
      <w:r>
        <w:t>《公路安全保护条例》国务院令第</w:t>
      </w:r>
      <w:r>
        <w:t>593</w:t>
      </w:r>
      <w:r>
        <w:t>号，</w:t>
      </w:r>
      <w:r>
        <w:t>2011.7.1</w:t>
      </w:r>
      <w:r>
        <w:rPr>
          <w:rFonts w:hint="eastAsia"/>
        </w:rPr>
        <w:t>；</w:t>
      </w:r>
    </w:p>
    <w:p w:rsidR="00BC07F0" w:rsidRDefault="00073EFB" w:rsidP="00C55F5E">
      <w:pPr>
        <w:ind w:firstLine="480"/>
      </w:pPr>
      <w:r>
        <w:t>(7)</w:t>
      </w:r>
      <w:r>
        <w:t>《关于公路、铁路（轻轨）等建设</w:t>
      </w:r>
      <w:r>
        <w:t>项目环境影响评价中环境噪声有关问题的通知》环发〔</w:t>
      </w:r>
      <w:r>
        <w:t>2003</w:t>
      </w:r>
      <w:r>
        <w:t>〕</w:t>
      </w:r>
      <w:r>
        <w:t>94</w:t>
      </w:r>
      <w:r>
        <w:t>号</w:t>
      </w:r>
      <w:r>
        <w:rPr>
          <w:rFonts w:hint="eastAsia"/>
        </w:rPr>
        <w:t>；</w:t>
      </w:r>
    </w:p>
    <w:p w:rsidR="00BC07F0" w:rsidRDefault="00073EFB" w:rsidP="00C55F5E">
      <w:pPr>
        <w:ind w:firstLine="480"/>
      </w:pPr>
      <w:r>
        <w:t>(8)</w:t>
      </w:r>
      <w:r>
        <w:t>《关于加强公路规划和建设环境影响评价工作的通知》（环发</w:t>
      </w:r>
      <w:r>
        <w:t>[2007]184</w:t>
      </w:r>
      <w:r>
        <w:t>号）；</w:t>
      </w:r>
    </w:p>
    <w:p w:rsidR="00BC07F0" w:rsidRDefault="00073EFB" w:rsidP="00C55F5E">
      <w:pPr>
        <w:ind w:firstLine="480"/>
      </w:pPr>
      <w:r>
        <w:t>(9)</w:t>
      </w:r>
      <w:r>
        <w:t>）《国务院关于修改</w:t>
      </w:r>
      <w:r>
        <w:t>&lt;</w:t>
      </w:r>
      <w:r>
        <w:t>建设项目环境保护管理条例</w:t>
      </w:r>
      <w:r>
        <w:t>&gt;</w:t>
      </w:r>
      <w:r>
        <w:t>的决定》（国务院令第</w:t>
      </w:r>
      <w:r>
        <w:t>682</w:t>
      </w:r>
      <w:r>
        <w:t>号，</w:t>
      </w:r>
      <w:r>
        <w:t>2017</w:t>
      </w:r>
      <w:r>
        <w:t>年</w:t>
      </w:r>
      <w:r>
        <w:t>10</w:t>
      </w:r>
      <w:r>
        <w:t>月</w:t>
      </w:r>
      <w:r>
        <w:t>1</w:t>
      </w:r>
      <w:r>
        <w:t>日起施行）</w:t>
      </w:r>
      <w:r>
        <w:rPr>
          <w:rFonts w:hint="eastAsia"/>
        </w:rPr>
        <w:t>；</w:t>
      </w:r>
    </w:p>
    <w:p w:rsidR="00BC07F0" w:rsidRDefault="00073EFB" w:rsidP="00C55F5E">
      <w:pPr>
        <w:ind w:firstLine="480"/>
      </w:pPr>
      <w:r>
        <w:t>(1</w:t>
      </w:r>
      <w:r>
        <w:rPr>
          <w:rFonts w:hint="eastAsia"/>
        </w:rPr>
        <w:t>0</w:t>
      </w:r>
      <w:r>
        <w:t>)</w:t>
      </w:r>
      <w:r>
        <w:t>《关于加强城市建设项目环境影响评价监督管理工作的通知》（环办</w:t>
      </w:r>
      <w:r>
        <w:t>[2008]70</w:t>
      </w:r>
      <w:r>
        <w:t>号）</w:t>
      </w:r>
      <w:r>
        <w:rPr>
          <w:rFonts w:hint="eastAsia"/>
        </w:rPr>
        <w:t>；</w:t>
      </w:r>
    </w:p>
    <w:p w:rsidR="00BC07F0" w:rsidRDefault="00073EFB" w:rsidP="00C55F5E">
      <w:pPr>
        <w:ind w:firstLine="480"/>
      </w:pPr>
      <w:r>
        <w:t>(1</w:t>
      </w:r>
      <w:r>
        <w:rPr>
          <w:rFonts w:hint="eastAsia"/>
        </w:rPr>
        <w:t>1</w:t>
      </w:r>
      <w:r>
        <w:t>)</w:t>
      </w:r>
      <w:r>
        <w:t>环境保护部《关于发布</w:t>
      </w:r>
      <w:r>
        <w:t>&lt;</w:t>
      </w:r>
      <w:r>
        <w:t>地面交通噪声污染防治技术政策</w:t>
      </w:r>
      <w:r>
        <w:t>&gt;</w:t>
      </w:r>
      <w:r>
        <w:t>的通知》（环发〔</w:t>
      </w:r>
      <w:r>
        <w:t>2010</w:t>
      </w:r>
      <w:r>
        <w:t>〕</w:t>
      </w:r>
      <w:r>
        <w:t>7</w:t>
      </w:r>
      <w:r>
        <w:t>号）；</w:t>
      </w:r>
    </w:p>
    <w:p w:rsidR="00BC07F0" w:rsidRDefault="00073EFB" w:rsidP="00C55F5E">
      <w:pPr>
        <w:ind w:firstLine="480"/>
      </w:pPr>
      <w:r>
        <w:rPr>
          <w:rFonts w:hint="eastAsia"/>
        </w:rPr>
        <w:t>(12)</w:t>
      </w:r>
      <w:r>
        <w:t>《关于加强道路规划和建设环境影响评价工作的通知》（环发</w:t>
      </w:r>
      <w:r>
        <w:t>[2007]184</w:t>
      </w:r>
      <w:r>
        <w:t>号）</w:t>
      </w:r>
      <w:r>
        <w:rPr>
          <w:rFonts w:hint="eastAsia"/>
        </w:rPr>
        <w:t>。</w:t>
      </w:r>
    </w:p>
    <w:p w:rsidR="00BC07F0" w:rsidRDefault="00073EFB" w:rsidP="00C55F5E">
      <w:pPr>
        <w:pStyle w:val="3"/>
        <w:ind w:firstLine="482"/>
      </w:pPr>
      <w:bookmarkStart w:id="60" w:name="bookmark4"/>
      <w:bookmarkStart w:id="61" w:name="1.1.3技术导则与规范"/>
      <w:bookmarkStart w:id="62" w:name="_Toc30523"/>
      <w:bookmarkEnd w:id="60"/>
      <w:bookmarkEnd w:id="61"/>
      <w:r>
        <w:rPr>
          <w:rFonts w:hint="eastAsia"/>
        </w:rPr>
        <w:t>1.1.2</w:t>
      </w:r>
      <w:r>
        <w:rPr>
          <w:rFonts w:hint="eastAsia"/>
        </w:rPr>
        <w:t>技术导则与规范</w:t>
      </w:r>
      <w:bookmarkEnd w:id="62"/>
    </w:p>
    <w:p w:rsidR="00BC07F0" w:rsidRDefault="00073EFB" w:rsidP="00C55F5E">
      <w:pPr>
        <w:ind w:firstLine="480"/>
      </w:pPr>
      <w:r>
        <w:t>(1)</w:t>
      </w:r>
      <w:r>
        <w:rPr>
          <w:rFonts w:hint="eastAsia"/>
        </w:rPr>
        <w:t>《建设项目环境影响评价技术导则总纲》（</w:t>
      </w:r>
      <w:r>
        <w:t>HJ2.1-2016</w:t>
      </w:r>
      <w:r>
        <w:rPr>
          <w:rFonts w:hint="eastAsia"/>
        </w:rPr>
        <w:t>）；</w:t>
      </w:r>
    </w:p>
    <w:p w:rsidR="00BC07F0" w:rsidRDefault="00073EFB" w:rsidP="00C55F5E">
      <w:pPr>
        <w:ind w:firstLine="480"/>
      </w:pPr>
      <w:r>
        <w:t>(2)</w:t>
      </w:r>
      <w:r>
        <w:rPr>
          <w:rFonts w:hint="eastAsia"/>
        </w:rPr>
        <w:t>《环境影响评价技术导则声环境》（</w:t>
      </w:r>
      <w:r>
        <w:t>HJ2.4-</w:t>
      </w:r>
      <w:r>
        <w:rPr>
          <w:rFonts w:hint="eastAsia"/>
        </w:rPr>
        <w:t>2021</w:t>
      </w:r>
      <w:r>
        <w:rPr>
          <w:rFonts w:hint="eastAsia"/>
        </w:rPr>
        <w:t>）；</w:t>
      </w:r>
    </w:p>
    <w:p w:rsidR="00BC07F0" w:rsidRDefault="00073EFB" w:rsidP="00C55F5E">
      <w:pPr>
        <w:ind w:firstLine="480"/>
      </w:pPr>
      <w:r>
        <w:t>(3)</w:t>
      </w:r>
      <w:r>
        <w:rPr>
          <w:rFonts w:hint="eastAsia"/>
        </w:rPr>
        <w:t>《声环境功能区划分技术规范》（</w:t>
      </w:r>
      <w:r>
        <w:t>GB/T15190-2014</w:t>
      </w:r>
      <w:r>
        <w:rPr>
          <w:rFonts w:hint="eastAsia"/>
        </w:rPr>
        <w:t>）；</w:t>
      </w:r>
    </w:p>
    <w:p w:rsidR="00BC07F0" w:rsidRDefault="00073EFB" w:rsidP="00C55F5E">
      <w:pPr>
        <w:ind w:firstLine="480"/>
      </w:pPr>
      <w:r>
        <w:t>(4)</w:t>
      </w:r>
      <w:r>
        <w:rPr>
          <w:rFonts w:hint="eastAsia"/>
        </w:rPr>
        <w:t>《公路建设项目环境影响评价规范》（</w:t>
      </w:r>
      <w:r>
        <w:t>JTGB03-2006</w:t>
      </w:r>
      <w:r>
        <w:rPr>
          <w:rFonts w:hint="eastAsia"/>
        </w:rPr>
        <w:t>）；</w:t>
      </w:r>
    </w:p>
    <w:p w:rsidR="00BC07F0" w:rsidRDefault="00073EFB" w:rsidP="00C55F5E">
      <w:pPr>
        <w:ind w:firstLine="480"/>
      </w:pPr>
      <w:r>
        <w:t>(5)</w:t>
      </w:r>
      <w:r>
        <w:rPr>
          <w:rFonts w:hint="eastAsia"/>
        </w:rPr>
        <w:t>《公路环境保护设计规范》（</w:t>
      </w:r>
      <w:r>
        <w:t>JTGB04-2010</w:t>
      </w:r>
      <w:r>
        <w:rPr>
          <w:rFonts w:hint="eastAsia"/>
        </w:rPr>
        <w:t>）；</w:t>
      </w:r>
    </w:p>
    <w:p w:rsidR="00BC07F0" w:rsidRDefault="00073EFB" w:rsidP="00C55F5E">
      <w:pPr>
        <w:ind w:firstLine="480"/>
      </w:pPr>
      <w:r>
        <w:t>(6)</w:t>
      </w:r>
      <w:r>
        <w:rPr>
          <w:rFonts w:hint="eastAsia"/>
        </w:rPr>
        <w:t>《民用建筑隔声设计规范》（</w:t>
      </w:r>
      <w:r>
        <w:t>GB50118-2010</w:t>
      </w:r>
      <w:r>
        <w:rPr>
          <w:rFonts w:hint="eastAsia"/>
        </w:rPr>
        <w:t>）；</w:t>
      </w:r>
    </w:p>
    <w:p w:rsidR="00BC07F0" w:rsidRDefault="00073EFB" w:rsidP="00C55F5E">
      <w:pPr>
        <w:ind w:firstLine="480"/>
      </w:pPr>
      <w:r>
        <w:t>(7)</w:t>
      </w:r>
      <w:r>
        <w:rPr>
          <w:rFonts w:hint="eastAsia"/>
        </w:rPr>
        <w:t>《声屏障声学设计和测量规范》（</w:t>
      </w:r>
      <w:r>
        <w:t>HJ/T90</w:t>
      </w:r>
      <w:r>
        <w:rPr>
          <w:rFonts w:hint="eastAsia"/>
        </w:rPr>
        <w:t>－</w:t>
      </w:r>
      <w:r>
        <w:t>2004</w:t>
      </w:r>
      <w:r>
        <w:rPr>
          <w:rFonts w:hint="eastAsia"/>
        </w:rPr>
        <w:t>）；</w:t>
      </w:r>
    </w:p>
    <w:p w:rsidR="00BC07F0" w:rsidRDefault="00073EFB" w:rsidP="00C55F5E">
      <w:pPr>
        <w:ind w:firstLine="480"/>
      </w:pPr>
      <w:r>
        <w:lastRenderedPageBreak/>
        <w:t>(8)</w:t>
      </w:r>
      <w:r>
        <w:rPr>
          <w:rFonts w:hint="eastAsia"/>
        </w:rPr>
        <w:t>《环境噪声与振动控制工程技术导则》（</w:t>
      </w:r>
      <w:r>
        <w:t>HJ2034-2013</w:t>
      </w:r>
      <w:r>
        <w:rPr>
          <w:rFonts w:hint="eastAsia"/>
        </w:rPr>
        <w:t>）；</w:t>
      </w:r>
    </w:p>
    <w:p w:rsidR="00BC07F0" w:rsidRDefault="00073EFB" w:rsidP="00C55F5E">
      <w:pPr>
        <w:ind w:firstLine="480"/>
      </w:pPr>
      <w:r>
        <w:t>(9)</w:t>
      </w:r>
      <w:r>
        <w:rPr>
          <w:rFonts w:hint="eastAsia"/>
        </w:rPr>
        <w:t>《地面交通噪声污染防治技术政策》（环发</w:t>
      </w:r>
      <w:r>
        <w:t>[2010]7</w:t>
      </w:r>
      <w:r>
        <w:rPr>
          <w:rFonts w:hint="eastAsia"/>
        </w:rPr>
        <w:t>号）。</w:t>
      </w:r>
    </w:p>
    <w:p w:rsidR="00BC07F0" w:rsidRDefault="00073EFB" w:rsidP="00C55F5E">
      <w:pPr>
        <w:pStyle w:val="3"/>
        <w:ind w:firstLine="482"/>
      </w:pPr>
      <w:bookmarkStart w:id="63" w:name="_Toc24336"/>
      <w:r>
        <w:t>1.1.</w:t>
      </w:r>
      <w:r>
        <w:rPr>
          <w:rFonts w:hint="eastAsia"/>
        </w:rPr>
        <w:t>3</w:t>
      </w:r>
      <w:bookmarkStart w:id="64" w:name="bookmark5"/>
      <w:bookmarkStart w:id="65" w:name="1.1.4项目相关技术资料"/>
      <w:bookmarkEnd w:id="64"/>
      <w:bookmarkEnd w:id="65"/>
      <w:r>
        <w:rPr>
          <w:rFonts w:hint="eastAsia"/>
        </w:rPr>
        <w:t>项目相关技术资料</w:t>
      </w:r>
      <w:bookmarkEnd w:id="63"/>
    </w:p>
    <w:p w:rsidR="00BC07F0" w:rsidRDefault="00073EFB" w:rsidP="00C55F5E">
      <w:pPr>
        <w:ind w:firstLine="480"/>
      </w:pPr>
      <w:r>
        <w:t>(1)</w:t>
      </w:r>
      <w:r>
        <w:rPr>
          <w:rFonts w:hint="eastAsia"/>
        </w:rPr>
        <w:t>项目可行性研究报告；</w:t>
      </w:r>
    </w:p>
    <w:p w:rsidR="00BC07F0" w:rsidRDefault="00073EFB" w:rsidP="00C55F5E">
      <w:pPr>
        <w:ind w:firstLine="480"/>
      </w:pPr>
      <w:r>
        <w:t>(2)</w:t>
      </w:r>
      <w:r>
        <w:rPr>
          <w:rFonts w:hint="eastAsia"/>
        </w:rPr>
        <w:t>项目初步设计方案；</w:t>
      </w:r>
    </w:p>
    <w:p w:rsidR="00BC07F0" w:rsidRDefault="00073EFB" w:rsidP="00C55F5E">
      <w:pPr>
        <w:ind w:firstLine="480"/>
      </w:pPr>
      <w:r>
        <w:rPr>
          <w:rFonts w:hint="eastAsia"/>
        </w:rPr>
        <w:t>(3)</w:t>
      </w:r>
      <w:r>
        <w:rPr>
          <w:rFonts w:hint="eastAsia"/>
        </w:rPr>
        <w:t>项目建设单位提供的其他相关资料。</w:t>
      </w:r>
    </w:p>
    <w:p w:rsidR="00BC07F0" w:rsidRDefault="00073EFB" w:rsidP="00C55F5E">
      <w:pPr>
        <w:pStyle w:val="2"/>
        <w:ind w:firstLine="482"/>
      </w:pPr>
      <w:bookmarkStart w:id="66" w:name="_Toc30509"/>
      <w:bookmarkStart w:id="67" w:name="_Toc25857"/>
      <w:r>
        <w:t>1.</w:t>
      </w:r>
      <w:r>
        <w:rPr>
          <w:rFonts w:hint="eastAsia"/>
        </w:rPr>
        <w:t>2</w:t>
      </w:r>
      <w:bookmarkStart w:id="68" w:name="bookmark7"/>
      <w:bookmarkStart w:id="69" w:name="1.3评价标准"/>
      <w:bookmarkEnd w:id="68"/>
      <w:bookmarkEnd w:id="69"/>
      <w:r>
        <w:rPr>
          <w:rFonts w:hint="eastAsia"/>
        </w:rPr>
        <w:t>评价标准</w:t>
      </w:r>
      <w:bookmarkEnd w:id="66"/>
      <w:bookmarkEnd w:id="67"/>
    </w:p>
    <w:p w:rsidR="00BC07F0" w:rsidRDefault="00073EFB" w:rsidP="00C55F5E">
      <w:pPr>
        <w:pStyle w:val="3"/>
        <w:ind w:firstLine="482"/>
      </w:pPr>
      <w:r>
        <w:t>1.</w:t>
      </w:r>
      <w:r>
        <w:rPr>
          <w:rFonts w:hint="eastAsia"/>
        </w:rPr>
        <w:t>2</w:t>
      </w:r>
      <w:r>
        <w:t>.1</w:t>
      </w:r>
      <w:bookmarkStart w:id="70" w:name="bookmark8"/>
      <w:bookmarkStart w:id="71" w:name="1.3.1声环境质量标准"/>
      <w:bookmarkEnd w:id="70"/>
      <w:bookmarkEnd w:id="71"/>
      <w:r>
        <w:rPr>
          <w:rFonts w:hint="eastAsia"/>
        </w:rPr>
        <w:t>声环境质量标准</w:t>
      </w:r>
    </w:p>
    <w:p w:rsidR="00BC07F0" w:rsidRDefault="00073EFB" w:rsidP="00C55F5E">
      <w:pPr>
        <w:ind w:firstLine="480"/>
      </w:pPr>
      <w:r>
        <w:rPr>
          <w:rFonts w:hint="eastAsia"/>
        </w:rPr>
        <w:t>①当临街建筑高于三层楼房以上（含三层）时，将临街建筑面向道路（包含高速公路、城市快速路、城市主干路、城市次干路）一侧至道路边界线（道路红线）的区域定为</w:t>
      </w:r>
      <w:r>
        <w:rPr>
          <w:rFonts w:hint="eastAsia"/>
        </w:rPr>
        <w:t>4a</w:t>
      </w:r>
      <w:r>
        <w:rPr>
          <w:rFonts w:hint="eastAsia"/>
        </w:rPr>
        <w:t>类声环境功能区。②若临街建筑以低于三层楼房的建筑（含开阔地）为主，线路（包含高速公路、城市快速路、城市主干路、城市次干路）边界线外</w:t>
      </w:r>
      <w:r>
        <w:rPr>
          <w:rFonts w:hint="eastAsia"/>
        </w:rPr>
        <w:t>40m</w:t>
      </w:r>
      <w:r>
        <w:rPr>
          <w:rFonts w:hint="eastAsia"/>
        </w:rPr>
        <w:t>以内区域执行《声环境质量标准》（</w:t>
      </w:r>
      <w:r>
        <w:rPr>
          <w:rFonts w:hint="eastAsia"/>
        </w:rPr>
        <w:t>GB3096-2008</w:t>
      </w:r>
      <w:r>
        <w:rPr>
          <w:rFonts w:hint="eastAsia"/>
        </w:rPr>
        <w:t>）</w:t>
      </w:r>
      <w:r>
        <w:rPr>
          <w:rFonts w:hint="eastAsia"/>
        </w:rPr>
        <w:t>4a</w:t>
      </w:r>
      <w:r>
        <w:rPr>
          <w:rFonts w:hint="eastAsia"/>
        </w:rPr>
        <w:t>类标准；</w:t>
      </w:r>
      <w:r>
        <w:rPr>
          <w:rFonts w:hint="eastAsia"/>
        </w:rPr>
        <w:t>40m</w:t>
      </w:r>
      <w:r>
        <w:rPr>
          <w:rFonts w:hint="eastAsia"/>
        </w:rPr>
        <w:t>以外区域执行Ⅱ类标准。</w:t>
      </w:r>
    </w:p>
    <w:p w:rsidR="00BC07F0" w:rsidRDefault="00073EFB">
      <w:pPr>
        <w:pStyle w:val="a7"/>
        <w:rPr>
          <w:rFonts w:hint="default"/>
          <w:b/>
          <w:bCs/>
        </w:rPr>
      </w:pPr>
      <w:r>
        <w:rPr>
          <w:b/>
          <w:bCs/>
        </w:rPr>
        <w:t>表</w:t>
      </w:r>
      <w:r>
        <w:rPr>
          <w:b/>
          <w:bCs/>
        </w:rPr>
        <w:t>1-1</w:t>
      </w:r>
      <w:r>
        <w:rPr>
          <w:b/>
          <w:bCs/>
        </w:rPr>
        <w:t>声环境质量标准单位：</w:t>
      </w:r>
      <w:r>
        <w:rPr>
          <w:b/>
          <w:bCs/>
        </w:rPr>
        <w:t>dB</w:t>
      </w:r>
      <w:r>
        <w:rPr>
          <w:b/>
          <w:bCs/>
        </w:rPr>
        <w:t>（</w:t>
      </w:r>
      <w:r>
        <w:rPr>
          <w:b/>
          <w:bCs/>
        </w:rPr>
        <w:t>A</w:t>
      </w:r>
      <w:r>
        <w:rPr>
          <w:b/>
          <w:bCs/>
        </w:rPr>
        <w:t>）</w:t>
      </w:r>
    </w:p>
    <w:tbl>
      <w:tblPr>
        <w:tblW w:w="4950" w:type="pct"/>
        <w:tblInd w:w="210" w:type="dxa"/>
        <w:tblLayout w:type="fixed"/>
        <w:tblLook w:val="04A0"/>
      </w:tblPr>
      <w:tblGrid>
        <w:gridCol w:w="2064"/>
        <w:gridCol w:w="795"/>
        <w:gridCol w:w="750"/>
        <w:gridCol w:w="4828"/>
      </w:tblGrid>
      <w:tr w:rsidR="00BC07F0">
        <w:trPr>
          <w:trHeight w:val="397"/>
        </w:trPr>
        <w:tc>
          <w:tcPr>
            <w:tcW w:w="2064" w:type="dxa"/>
            <w:vMerge w:val="restar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声环境功能区类别</w:t>
            </w:r>
          </w:p>
        </w:tc>
        <w:tc>
          <w:tcPr>
            <w:tcW w:w="1545" w:type="dxa"/>
            <w:gridSpan w:val="2"/>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时段</w:t>
            </w:r>
          </w:p>
        </w:tc>
        <w:tc>
          <w:tcPr>
            <w:tcW w:w="4828" w:type="dxa"/>
            <w:vMerge w:val="restar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本项目评价范围内适用区域</w:t>
            </w:r>
          </w:p>
        </w:tc>
      </w:tr>
      <w:tr w:rsidR="00BC07F0">
        <w:trPr>
          <w:trHeight w:val="397"/>
        </w:trPr>
        <w:tc>
          <w:tcPr>
            <w:tcW w:w="2064" w:type="dxa"/>
            <w:vMerge/>
            <w:tcBorders>
              <w:top w:val="single" w:sz="4" w:space="0" w:color="000000"/>
              <w:left w:val="single" w:sz="4" w:space="0" w:color="000000"/>
              <w:bottom w:val="single" w:sz="4" w:space="0" w:color="000000"/>
              <w:right w:val="single" w:sz="4" w:space="0" w:color="000000"/>
            </w:tcBorders>
            <w:vAlign w:val="center"/>
          </w:tcPr>
          <w:p w:rsidR="00BC07F0" w:rsidRDefault="00BC07F0">
            <w:pPr>
              <w:pStyle w:val="a7"/>
              <w:rPr>
                <w:rFonts w:hint="default"/>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昼间</w:t>
            </w:r>
          </w:p>
        </w:tc>
        <w:tc>
          <w:tcPr>
            <w:tcW w:w="750" w:type="dxa"/>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夜间</w:t>
            </w:r>
          </w:p>
        </w:tc>
        <w:tc>
          <w:tcPr>
            <w:tcW w:w="4828" w:type="dxa"/>
            <w:vMerge/>
            <w:tcBorders>
              <w:top w:val="single" w:sz="4" w:space="0" w:color="000000"/>
              <w:left w:val="single" w:sz="4" w:space="0" w:color="000000"/>
              <w:bottom w:val="single" w:sz="4" w:space="0" w:color="000000"/>
              <w:right w:val="single" w:sz="4" w:space="0" w:color="000000"/>
            </w:tcBorders>
            <w:vAlign w:val="center"/>
          </w:tcPr>
          <w:p w:rsidR="00BC07F0" w:rsidRDefault="00BC07F0">
            <w:pPr>
              <w:pStyle w:val="a7"/>
              <w:rPr>
                <w:rFonts w:hint="default"/>
              </w:rPr>
            </w:pPr>
          </w:p>
        </w:tc>
      </w:tr>
      <w:tr w:rsidR="00BC07F0">
        <w:trPr>
          <w:trHeight w:val="397"/>
        </w:trPr>
        <w:tc>
          <w:tcPr>
            <w:tcW w:w="2064" w:type="dxa"/>
            <w:vMerge w:val="restart"/>
            <w:tcBorders>
              <w:top w:val="single" w:sz="4" w:space="0" w:color="000000"/>
              <w:left w:val="single" w:sz="4" w:space="0" w:color="000000"/>
              <w:right w:val="single" w:sz="4" w:space="0" w:color="000000"/>
            </w:tcBorders>
            <w:vAlign w:val="center"/>
          </w:tcPr>
          <w:p w:rsidR="00BC07F0" w:rsidRDefault="00073EFB">
            <w:pPr>
              <w:pStyle w:val="a7"/>
              <w:rPr>
                <w:rFonts w:hint="default"/>
              </w:rPr>
            </w:pPr>
            <w:r>
              <w:t>《声环境质量标准》</w:t>
            </w:r>
          </w:p>
          <w:p w:rsidR="00BC07F0" w:rsidRDefault="00073EFB">
            <w:pPr>
              <w:pStyle w:val="a7"/>
              <w:rPr>
                <w:rFonts w:hint="default"/>
              </w:rPr>
            </w:pPr>
            <w:r>
              <w:t>(GB3096-2008)</w:t>
            </w:r>
            <w:r>
              <w:t>2</w:t>
            </w:r>
            <w:r>
              <w:t>类</w:t>
            </w:r>
          </w:p>
        </w:tc>
        <w:tc>
          <w:tcPr>
            <w:tcW w:w="795" w:type="dxa"/>
            <w:vMerge w:val="restart"/>
            <w:tcBorders>
              <w:top w:val="single" w:sz="4" w:space="0" w:color="000000"/>
              <w:left w:val="single" w:sz="4" w:space="0" w:color="000000"/>
              <w:right w:val="single" w:sz="4" w:space="0" w:color="000000"/>
            </w:tcBorders>
            <w:vAlign w:val="center"/>
          </w:tcPr>
          <w:p w:rsidR="00BC07F0" w:rsidRDefault="00073EFB">
            <w:pPr>
              <w:pStyle w:val="a7"/>
              <w:rPr>
                <w:rFonts w:hint="default"/>
              </w:rPr>
            </w:pPr>
            <w:r>
              <w:t>60</w:t>
            </w:r>
          </w:p>
        </w:tc>
        <w:tc>
          <w:tcPr>
            <w:tcW w:w="750" w:type="dxa"/>
            <w:vMerge w:val="restart"/>
            <w:tcBorders>
              <w:top w:val="single" w:sz="4" w:space="0" w:color="000000"/>
              <w:left w:val="single" w:sz="4" w:space="0" w:color="000000"/>
              <w:right w:val="single" w:sz="4" w:space="0" w:color="000000"/>
            </w:tcBorders>
            <w:vAlign w:val="center"/>
          </w:tcPr>
          <w:p w:rsidR="00BC07F0" w:rsidRDefault="00073EFB">
            <w:pPr>
              <w:pStyle w:val="a7"/>
              <w:rPr>
                <w:rFonts w:hint="default"/>
              </w:rPr>
            </w:pPr>
            <w:r>
              <w:t>50</w:t>
            </w:r>
          </w:p>
        </w:tc>
        <w:tc>
          <w:tcPr>
            <w:tcW w:w="4828" w:type="dxa"/>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公路</w:t>
            </w:r>
            <w:r>
              <w:t>红线两侧</w:t>
            </w:r>
            <w:r>
              <w:t>40</w:t>
            </w:r>
            <w:r>
              <w:t>m</w:t>
            </w:r>
            <w:r>
              <w:t>以外的区域</w:t>
            </w:r>
            <w:r>
              <w:t>（低于三层楼房的建筑为主的区域）</w:t>
            </w:r>
          </w:p>
        </w:tc>
      </w:tr>
      <w:tr w:rsidR="00BC07F0">
        <w:trPr>
          <w:trHeight w:val="397"/>
        </w:trPr>
        <w:tc>
          <w:tcPr>
            <w:tcW w:w="2064" w:type="dxa"/>
            <w:vMerge/>
            <w:tcBorders>
              <w:left w:val="single" w:sz="4" w:space="0" w:color="000000"/>
              <w:bottom w:val="single" w:sz="4" w:space="0" w:color="000000"/>
              <w:right w:val="single" w:sz="4" w:space="0" w:color="000000"/>
            </w:tcBorders>
            <w:vAlign w:val="center"/>
          </w:tcPr>
          <w:p w:rsidR="00BC07F0" w:rsidRDefault="00BC07F0">
            <w:pPr>
              <w:pStyle w:val="a7"/>
              <w:rPr>
                <w:rFonts w:hint="default"/>
              </w:rPr>
            </w:pPr>
          </w:p>
        </w:tc>
        <w:tc>
          <w:tcPr>
            <w:tcW w:w="795" w:type="dxa"/>
            <w:vMerge/>
            <w:tcBorders>
              <w:left w:val="single" w:sz="4" w:space="0" w:color="000000"/>
              <w:bottom w:val="single" w:sz="4" w:space="0" w:color="000000"/>
              <w:right w:val="single" w:sz="4" w:space="0" w:color="000000"/>
            </w:tcBorders>
            <w:vAlign w:val="center"/>
          </w:tcPr>
          <w:p w:rsidR="00BC07F0" w:rsidRDefault="00BC07F0">
            <w:pPr>
              <w:pStyle w:val="a7"/>
              <w:rPr>
                <w:rFonts w:hint="default"/>
              </w:rPr>
            </w:pPr>
          </w:p>
        </w:tc>
        <w:tc>
          <w:tcPr>
            <w:tcW w:w="750" w:type="dxa"/>
            <w:vMerge/>
            <w:tcBorders>
              <w:left w:val="single" w:sz="4" w:space="0" w:color="000000"/>
              <w:bottom w:val="single" w:sz="4" w:space="0" w:color="000000"/>
              <w:right w:val="single" w:sz="4" w:space="0" w:color="000000"/>
            </w:tcBorders>
            <w:vAlign w:val="center"/>
          </w:tcPr>
          <w:p w:rsidR="00BC07F0" w:rsidRDefault="00BC07F0">
            <w:pPr>
              <w:pStyle w:val="a7"/>
              <w:rPr>
                <w:rFonts w:hint="default"/>
              </w:rPr>
            </w:pPr>
          </w:p>
        </w:tc>
        <w:tc>
          <w:tcPr>
            <w:tcW w:w="4828" w:type="dxa"/>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除临街建筑面向道路一侧至道路边界线（道路红线）的区域（临街建筑高于三层楼房及以上）</w:t>
            </w:r>
          </w:p>
        </w:tc>
      </w:tr>
      <w:tr w:rsidR="00BC07F0">
        <w:trPr>
          <w:trHeight w:val="397"/>
        </w:trPr>
        <w:tc>
          <w:tcPr>
            <w:tcW w:w="2064" w:type="dxa"/>
            <w:vMerge w:val="restart"/>
            <w:tcBorders>
              <w:top w:val="single" w:sz="4" w:space="0" w:color="000000"/>
              <w:left w:val="single" w:sz="4" w:space="0" w:color="000000"/>
              <w:right w:val="single" w:sz="4" w:space="0" w:color="000000"/>
            </w:tcBorders>
            <w:vAlign w:val="center"/>
          </w:tcPr>
          <w:p w:rsidR="00BC07F0" w:rsidRDefault="00073EFB">
            <w:pPr>
              <w:pStyle w:val="a7"/>
              <w:rPr>
                <w:rFonts w:hint="default"/>
              </w:rPr>
            </w:pPr>
            <w:r>
              <w:t>《声环境质量标准》</w:t>
            </w:r>
          </w:p>
          <w:p w:rsidR="00BC07F0" w:rsidRDefault="00073EFB">
            <w:pPr>
              <w:pStyle w:val="a7"/>
              <w:rPr>
                <w:rFonts w:hint="default"/>
              </w:rPr>
            </w:pPr>
            <w:r>
              <w:t>(GB3096-2008)4a</w:t>
            </w:r>
            <w:r>
              <w:t>类</w:t>
            </w:r>
          </w:p>
        </w:tc>
        <w:tc>
          <w:tcPr>
            <w:tcW w:w="795" w:type="dxa"/>
            <w:vMerge w:val="restart"/>
            <w:tcBorders>
              <w:top w:val="single" w:sz="4" w:space="0" w:color="000000"/>
              <w:left w:val="single" w:sz="4" w:space="0" w:color="000000"/>
              <w:right w:val="single" w:sz="4" w:space="0" w:color="000000"/>
            </w:tcBorders>
            <w:vAlign w:val="center"/>
          </w:tcPr>
          <w:p w:rsidR="00BC07F0" w:rsidRDefault="00073EFB">
            <w:pPr>
              <w:pStyle w:val="a7"/>
              <w:rPr>
                <w:rFonts w:hint="default"/>
              </w:rPr>
            </w:pPr>
            <w:r>
              <w:t>70</w:t>
            </w:r>
          </w:p>
        </w:tc>
        <w:tc>
          <w:tcPr>
            <w:tcW w:w="750" w:type="dxa"/>
            <w:vMerge w:val="restart"/>
            <w:tcBorders>
              <w:top w:val="single" w:sz="4" w:space="0" w:color="000000"/>
              <w:left w:val="single" w:sz="4" w:space="0" w:color="000000"/>
              <w:right w:val="single" w:sz="4" w:space="0" w:color="000000"/>
            </w:tcBorders>
            <w:vAlign w:val="center"/>
          </w:tcPr>
          <w:p w:rsidR="00BC07F0" w:rsidRDefault="00073EFB">
            <w:pPr>
              <w:pStyle w:val="a7"/>
              <w:rPr>
                <w:rFonts w:hint="default"/>
              </w:rPr>
            </w:pPr>
            <w:r>
              <w:t>55</w:t>
            </w:r>
          </w:p>
        </w:tc>
        <w:tc>
          <w:tcPr>
            <w:tcW w:w="4828" w:type="dxa"/>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线路边界线外</w:t>
            </w:r>
            <w:r>
              <w:t>40</w:t>
            </w:r>
            <w:r>
              <w:t>m</w:t>
            </w:r>
            <w:r>
              <w:t>以内区域（低于三层楼房的建筑为主的区域）</w:t>
            </w:r>
          </w:p>
        </w:tc>
      </w:tr>
      <w:tr w:rsidR="00BC07F0">
        <w:trPr>
          <w:trHeight w:val="397"/>
        </w:trPr>
        <w:tc>
          <w:tcPr>
            <w:tcW w:w="2064" w:type="dxa"/>
            <w:vMerge/>
            <w:tcBorders>
              <w:left w:val="single" w:sz="4" w:space="0" w:color="000000"/>
              <w:bottom w:val="single" w:sz="4" w:space="0" w:color="000000"/>
              <w:right w:val="single" w:sz="4" w:space="0" w:color="000000"/>
            </w:tcBorders>
            <w:vAlign w:val="center"/>
          </w:tcPr>
          <w:p w:rsidR="00BC07F0" w:rsidRDefault="00BC07F0">
            <w:pPr>
              <w:pStyle w:val="a7"/>
              <w:rPr>
                <w:rFonts w:hint="default"/>
              </w:rPr>
            </w:pPr>
          </w:p>
        </w:tc>
        <w:tc>
          <w:tcPr>
            <w:tcW w:w="795" w:type="dxa"/>
            <w:vMerge/>
            <w:tcBorders>
              <w:left w:val="single" w:sz="4" w:space="0" w:color="000000"/>
              <w:bottom w:val="single" w:sz="4" w:space="0" w:color="000000"/>
              <w:right w:val="single" w:sz="4" w:space="0" w:color="000000"/>
            </w:tcBorders>
            <w:vAlign w:val="center"/>
          </w:tcPr>
          <w:p w:rsidR="00BC07F0" w:rsidRDefault="00BC07F0">
            <w:pPr>
              <w:pStyle w:val="a7"/>
              <w:rPr>
                <w:rFonts w:hint="default"/>
              </w:rPr>
            </w:pPr>
          </w:p>
        </w:tc>
        <w:tc>
          <w:tcPr>
            <w:tcW w:w="750" w:type="dxa"/>
            <w:vMerge/>
            <w:tcBorders>
              <w:left w:val="single" w:sz="4" w:space="0" w:color="000000"/>
              <w:bottom w:val="single" w:sz="4" w:space="0" w:color="000000"/>
              <w:right w:val="single" w:sz="4" w:space="0" w:color="000000"/>
            </w:tcBorders>
            <w:vAlign w:val="center"/>
          </w:tcPr>
          <w:p w:rsidR="00BC07F0" w:rsidRDefault="00BC07F0">
            <w:pPr>
              <w:pStyle w:val="a7"/>
              <w:rPr>
                <w:rFonts w:hint="default"/>
              </w:rPr>
            </w:pPr>
          </w:p>
        </w:tc>
        <w:tc>
          <w:tcPr>
            <w:tcW w:w="4828" w:type="dxa"/>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临街建筑面向道路一侧至道路边界线（道路红线）的区域（临街建筑高于三层楼房及以上）</w:t>
            </w:r>
          </w:p>
        </w:tc>
      </w:tr>
    </w:tbl>
    <w:p w:rsidR="00BC07F0" w:rsidRDefault="00073EFB" w:rsidP="00C55F5E">
      <w:pPr>
        <w:pStyle w:val="3"/>
        <w:ind w:firstLine="482"/>
      </w:pPr>
      <w:r>
        <w:t>1.</w:t>
      </w:r>
      <w:r>
        <w:rPr>
          <w:rFonts w:hint="eastAsia"/>
        </w:rPr>
        <w:t>2</w:t>
      </w:r>
      <w:r>
        <w:t>.2</w:t>
      </w:r>
      <w:bookmarkStart w:id="72" w:name="1.3.2噪声控制标准"/>
      <w:bookmarkStart w:id="73" w:name="bookmark9"/>
      <w:bookmarkEnd w:id="72"/>
      <w:bookmarkEnd w:id="73"/>
      <w:r>
        <w:rPr>
          <w:rFonts w:hint="eastAsia"/>
        </w:rPr>
        <w:t>噪声控制标准</w:t>
      </w:r>
    </w:p>
    <w:p w:rsidR="00BC07F0" w:rsidRDefault="00073EFB" w:rsidP="00C55F5E">
      <w:pPr>
        <w:ind w:firstLine="480"/>
      </w:pPr>
      <w:r>
        <w:t>1</w:t>
      </w:r>
      <w:r>
        <w:rPr>
          <w:rFonts w:hint="eastAsia"/>
        </w:rPr>
        <w:t>、施工期噪声</w:t>
      </w:r>
    </w:p>
    <w:p w:rsidR="00BC07F0" w:rsidRDefault="00073EFB" w:rsidP="00C55F5E">
      <w:pPr>
        <w:ind w:firstLine="480"/>
      </w:pPr>
      <w:r>
        <w:rPr>
          <w:rFonts w:hint="eastAsia"/>
        </w:rPr>
        <w:t>本项目施工期噪声污染排放执行《建筑施工场界环境噪声排放标准》</w:t>
      </w:r>
      <w:r>
        <w:t>(GB12523-2011)</w:t>
      </w:r>
      <w:r>
        <w:rPr>
          <w:rFonts w:hint="eastAsia"/>
        </w:rPr>
        <w:t>（场界昼间</w:t>
      </w:r>
      <w:r>
        <w:t>≤70dB</w:t>
      </w:r>
      <w:r>
        <w:rPr>
          <w:rFonts w:hint="eastAsia"/>
        </w:rPr>
        <w:t>，场界夜间</w:t>
      </w:r>
      <w:r>
        <w:t>≤55dB</w:t>
      </w:r>
      <w:r>
        <w:rPr>
          <w:rFonts w:hint="eastAsia"/>
        </w:rPr>
        <w:t>），详见表</w:t>
      </w:r>
      <w:r>
        <w:rPr>
          <w:rFonts w:hint="eastAsia"/>
        </w:rPr>
        <w:t>1-2</w:t>
      </w:r>
      <w:r>
        <w:rPr>
          <w:rFonts w:hint="eastAsia"/>
        </w:rPr>
        <w:t>。</w:t>
      </w:r>
    </w:p>
    <w:p w:rsidR="00BC07F0" w:rsidRDefault="00073EFB">
      <w:pPr>
        <w:pStyle w:val="a7"/>
        <w:rPr>
          <w:rFonts w:hint="default"/>
          <w:b/>
          <w:bCs/>
        </w:rPr>
      </w:pPr>
      <w:bookmarkStart w:id="74" w:name="表1.3-2_建筑施工场界环境噪声排放标准__单位：dB"/>
      <w:bookmarkEnd w:id="74"/>
      <w:r>
        <w:rPr>
          <w:b/>
          <w:bCs/>
        </w:rPr>
        <w:t>表</w:t>
      </w:r>
      <w:r>
        <w:rPr>
          <w:b/>
          <w:bCs/>
        </w:rPr>
        <w:t>1-2</w:t>
      </w:r>
      <w:r>
        <w:rPr>
          <w:b/>
          <w:bCs/>
        </w:rPr>
        <w:t>建筑施工场界环境噪声排放标准</w:t>
      </w:r>
      <w:r>
        <w:rPr>
          <w:b/>
          <w:bCs/>
        </w:rPr>
        <w:tab/>
      </w:r>
      <w:r>
        <w:rPr>
          <w:b/>
          <w:bCs/>
        </w:rPr>
        <w:t>单位：</w:t>
      </w:r>
      <w:r>
        <w:rPr>
          <w:b/>
          <w:bCs/>
        </w:rPr>
        <w:t>dB</w:t>
      </w:r>
    </w:p>
    <w:tbl>
      <w:tblPr>
        <w:tblW w:w="5000" w:type="pct"/>
        <w:tblInd w:w="215" w:type="dxa"/>
        <w:tblLayout w:type="fixed"/>
        <w:tblLook w:val="04A0"/>
      </w:tblPr>
      <w:tblGrid>
        <w:gridCol w:w="2840"/>
        <w:gridCol w:w="2841"/>
        <w:gridCol w:w="2841"/>
      </w:tblGrid>
      <w:tr w:rsidR="00BC07F0">
        <w:trPr>
          <w:trHeight w:hRule="exact" w:val="408"/>
        </w:trPr>
        <w:tc>
          <w:tcPr>
            <w:tcW w:w="2841" w:type="dxa"/>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施工阶段</w:t>
            </w:r>
          </w:p>
        </w:tc>
        <w:tc>
          <w:tcPr>
            <w:tcW w:w="2841" w:type="dxa"/>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具体时间</w:t>
            </w:r>
          </w:p>
        </w:tc>
        <w:tc>
          <w:tcPr>
            <w:tcW w:w="2841" w:type="dxa"/>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标准值</w:t>
            </w:r>
          </w:p>
        </w:tc>
      </w:tr>
      <w:tr w:rsidR="00BC07F0">
        <w:trPr>
          <w:trHeight w:hRule="exact" w:val="408"/>
        </w:trPr>
        <w:tc>
          <w:tcPr>
            <w:tcW w:w="2841" w:type="dxa"/>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昼间</w:t>
            </w:r>
          </w:p>
        </w:tc>
        <w:tc>
          <w:tcPr>
            <w:tcW w:w="2841" w:type="dxa"/>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6</w:t>
            </w:r>
            <w:r>
              <w:t>：</w:t>
            </w:r>
            <w:r>
              <w:t>00~22</w:t>
            </w:r>
            <w:r>
              <w:t>：</w:t>
            </w:r>
            <w:r>
              <w:t>00</w:t>
            </w:r>
          </w:p>
        </w:tc>
        <w:tc>
          <w:tcPr>
            <w:tcW w:w="2841" w:type="dxa"/>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70</w:t>
            </w:r>
          </w:p>
        </w:tc>
      </w:tr>
      <w:tr w:rsidR="00BC07F0">
        <w:trPr>
          <w:trHeight w:hRule="exact" w:val="408"/>
        </w:trPr>
        <w:tc>
          <w:tcPr>
            <w:tcW w:w="2841" w:type="dxa"/>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夜间</w:t>
            </w:r>
          </w:p>
        </w:tc>
        <w:tc>
          <w:tcPr>
            <w:tcW w:w="2841" w:type="dxa"/>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22</w:t>
            </w:r>
            <w:r>
              <w:t>：</w:t>
            </w:r>
            <w:r>
              <w:t>00~</w:t>
            </w:r>
            <w:r>
              <w:t>次日</w:t>
            </w:r>
            <w:r>
              <w:t>6</w:t>
            </w:r>
            <w:r>
              <w:t>：</w:t>
            </w:r>
            <w:r>
              <w:t>00</w:t>
            </w:r>
          </w:p>
        </w:tc>
        <w:tc>
          <w:tcPr>
            <w:tcW w:w="2841" w:type="dxa"/>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t>55</w:t>
            </w:r>
          </w:p>
        </w:tc>
      </w:tr>
      <w:tr w:rsidR="00BC07F0">
        <w:trPr>
          <w:trHeight w:hRule="exact" w:val="408"/>
        </w:trPr>
        <w:tc>
          <w:tcPr>
            <w:tcW w:w="8523" w:type="dxa"/>
            <w:gridSpan w:val="3"/>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jc w:val="left"/>
              <w:rPr>
                <w:rFonts w:hint="default"/>
              </w:rPr>
            </w:pPr>
            <w:r>
              <w:t>注：夜间最大声级超过限值的幅度不得高于</w:t>
            </w:r>
            <w:r>
              <w:t>15dB</w:t>
            </w:r>
          </w:p>
        </w:tc>
      </w:tr>
    </w:tbl>
    <w:p w:rsidR="00BC07F0" w:rsidRDefault="00073EFB" w:rsidP="00C55F5E">
      <w:pPr>
        <w:ind w:firstLine="480"/>
      </w:pPr>
      <w:r>
        <w:rPr>
          <w:rFonts w:hint="eastAsia"/>
        </w:rPr>
        <w:t>2</w:t>
      </w:r>
      <w:r>
        <w:rPr>
          <w:rFonts w:hint="eastAsia"/>
        </w:rPr>
        <w:t>、营运期噪声</w:t>
      </w:r>
    </w:p>
    <w:p w:rsidR="00BC07F0" w:rsidRDefault="00073EFB" w:rsidP="00C55F5E">
      <w:pPr>
        <w:ind w:firstLine="480"/>
      </w:pPr>
      <w:r>
        <w:rPr>
          <w:rFonts w:hint="eastAsia"/>
        </w:rPr>
        <w:lastRenderedPageBreak/>
        <w:t>本项目属于声环境功能</w:t>
      </w:r>
      <w:r>
        <w:rPr>
          <w:rFonts w:hint="eastAsia"/>
        </w:rPr>
        <w:t>2</w:t>
      </w:r>
      <w:r>
        <w:rPr>
          <w:rFonts w:hint="eastAsia"/>
        </w:rPr>
        <w:t>、</w:t>
      </w:r>
      <w:r>
        <w:rPr>
          <w:rFonts w:hint="eastAsia"/>
        </w:rPr>
        <w:t>4a</w:t>
      </w:r>
      <w:r>
        <w:rPr>
          <w:rFonts w:hint="eastAsia"/>
        </w:rPr>
        <w:t>类声功能区，执行《声环境质量标准》</w:t>
      </w:r>
      <w:r>
        <w:t>(GB3096-2008)</w:t>
      </w:r>
      <w:r>
        <w:rPr>
          <w:rFonts w:hint="eastAsia"/>
        </w:rPr>
        <w:t>2</w:t>
      </w:r>
      <w:r>
        <w:rPr>
          <w:rFonts w:hint="eastAsia"/>
        </w:rPr>
        <w:t>、</w:t>
      </w:r>
      <w:r>
        <w:t>4a</w:t>
      </w:r>
      <w:r>
        <w:rPr>
          <w:rFonts w:hint="eastAsia"/>
        </w:rPr>
        <w:t>类标准，具体执行情况见上表</w:t>
      </w:r>
      <w:r>
        <w:rPr>
          <w:rFonts w:hint="eastAsia"/>
        </w:rPr>
        <w:t>1-1</w:t>
      </w:r>
      <w:r>
        <w:rPr>
          <w:rFonts w:hint="eastAsia"/>
        </w:rPr>
        <w:t>。</w:t>
      </w:r>
    </w:p>
    <w:p w:rsidR="00BC07F0" w:rsidRDefault="00073EFB" w:rsidP="00C55F5E">
      <w:pPr>
        <w:pStyle w:val="2"/>
        <w:ind w:firstLine="482"/>
      </w:pPr>
      <w:bookmarkStart w:id="75" w:name="_Toc8903"/>
      <w:bookmarkStart w:id="76" w:name="_Toc32595"/>
      <w:r>
        <w:t>1.</w:t>
      </w:r>
      <w:r>
        <w:rPr>
          <w:rFonts w:hint="eastAsia"/>
        </w:rPr>
        <w:t>3</w:t>
      </w:r>
      <w:bookmarkStart w:id="77" w:name="bookmark10"/>
      <w:bookmarkStart w:id="78" w:name="1.4评价工作等级与范围"/>
      <w:bookmarkEnd w:id="77"/>
      <w:bookmarkEnd w:id="78"/>
      <w:r>
        <w:rPr>
          <w:rFonts w:hint="eastAsia"/>
        </w:rPr>
        <w:t>评价等级、评价范围</w:t>
      </w:r>
      <w:bookmarkEnd w:id="75"/>
      <w:r>
        <w:rPr>
          <w:rFonts w:hint="eastAsia"/>
        </w:rPr>
        <w:t>、评价时段、评价方法与评价重点</w:t>
      </w:r>
      <w:bookmarkEnd w:id="76"/>
    </w:p>
    <w:p w:rsidR="00BC07F0" w:rsidRDefault="00073EFB" w:rsidP="00C55F5E">
      <w:pPr>
        <w:pStyle w:val="3"/>
        <w:ind w:firstLine="482"/>
      </w:pPr>
      <w:bookmarkStart w:id="79" w:name="_Toc16031"/>
      <w:r>
        <w:t>1.</w:t>
      </w:r>
      <w:r>
        <w:rPr>
          <w:rFonts w:hint="eastAsia"/>
        </w:rPr>
        <w:t>3</w:t>
      </w:r>
      <w:r>
        <w:t>.1</w:t>
      </w:r>
      <w:bookmarkStart w:id="80" w:name="bookmark11"/>
      <w:bookmarkStart w:id="81" w:name="1.4.1声环境评价等级"/>
      <w:bookmarkEnd w:id="80"/>
      <w:bookmarkEnd w:id="81"/>
      <w:r>
        <w:rPr>
          <w:rFonts w:hint="eastAsia"/>
        </w:rPr>
        <w:t>声环境评价等级</w:t>
      </w:r>
      <w:bookmarkEnd w:id="79"/>
    </w:p>
    <w:p w:rsidR="00BC07F0" w:rsidRDefault="00073EFB" w:rsidP="00C55F5E">
      <w:pPr>
        <w:ind w:firstLine="480"/>
      </w:pPr>
      <w:r>
        <w:rPr>
          <w:rFonts w:hint="eastAsia"/>
        </w:rPr>
        <w:t>本项目建成后运营期对环境的影响主要是交通噪声的影响。项目道路设计车速均为</w:t>
      </w:r>
      <w:r>
        <w:rPr>
          <w:rFonts w:hint="eastAsia"/>
        </w:rPr>
        <w:t>60km/h</w:t>
      </w:r>
      <w:r>
        <w:rPr>
          <w:rFonts w:hint="eastAsia"/>
        </w:rPr>
        <w:t>，主要采用沥青混凝土路面。本项目所经过的声环境功能区为</w:t>
      </w:r>
      <w:r>
        <w:t>GB3096</w:t>
      </w:r>
      <w:r>
        <w:rPr>
          <w:rFonts w:hint="eastAsia"/>
        </w:rPr>
        <w:t>规定的</w:t>
      </w:r>
      <w:r>
        <w:rPr>
          <w:rFonts w:hint="eastAsia"/>
        </w:rPr>
        <w:t>2</w:t>
      </w:r>
      <w:r>
        <w:rPr>
          <w:rFonts w:hint="eastAsia"/>
        </w:rPr>
        <w:t>类区，或建设项目建设前后评价范围内声环境保护目标噪声级增量达</w:t>
      </w:r>
      <w:r>
        <w:rPr>
          <w:rFonts w:hint="eastAsia"/>
        </w:rPr>
        <w:t>3dB</w:t>
      </w:r>
      <w:r>
        <w:rPr>
          <w:rFonts w:hint="eastAsia"/>
        </w:rPr>
        <w:t>（</w:t>
      </w:r>
      <w:r>
        <w:rPr>
          <w:rFonts w:hint="eastAsia"/>
        </w:rPr>
        <w:t>A</w:t>
      </w:r>
      <w:r>
        <w:rPr>
          <w:rFonts w:hint="eastAsia"/>
        </w:rPr>
        <w:t>）</w:t>
      </w:r>
      <w:r>
        <w:rPr>
          <w:rFonts w:hint="eastAsia"/>
        </w:rPr>
        <w:t>~5dB</w:t>
      </w:r>
      <w:r>
        <w:rPr>
          <w:rFonts w:hint="eastAsia"/>
        </w:rPr>
        <w:t>（</w:t>
      </w:r>
      <w:r>
        <w:rPr>
          <w:rFonts w:hint="eastAsia"/>
        </w:rPr>
        <w:t>A</w:t>
      </w:r>
      <w:r>
        <w:rPr>
          <w:rFonts w:hint="eastAsia"/>
        </w:rPr>
        <w:t>），或受噪声影响人口数量增加较多时，按二级评价。根据《环境影响评价技术导则</w:t>
      </w:r>
      <w:r>
        <w:t>-</w:t>
      </w:r>
      <w:r>
        <w:rPr>
          <w:rFonts w:hint="eastAsia"/>
        </w:rPr>
        <w:t>声环境》（</w:t>
      </w:r>
      <w:r>
        <w:t>HJ2.4-20</w:t>
      </w:r>
      <w:r>
        <w:rPr>
          <w:rFonts w:hint="eastAsia"/>
        </w:rPr>
        <w:t>21</w:t>
      </w:r>
      <w:r>
        <w:rPr>
          <w:rFonts w:hint="eastAsia"/>
        </w:rPr>
        <w:t>）中评价工作分级的规定，确定本次声环境影响评价工作等级为二级。声环境评价工作等级判定结果见表</w:t>
      </w:r>
      <w:r>
        <w:rPr>
          <w:rFonts w:hint="eastAsia"/>
        </w:rPr>
        <w:t>1-3</w:t>
      </w:r>
      <w:r>
        <w:rPr>
          <w:rFonts w:hint="eastAsia"/>
        </w:rPr>
        <w:t>。</w:t>
      </w:r>
    </w:p>
    <w:p w:rsidR="00BC07F0" w:rsidRDefault="00073EFB">
      <w:pPr>
        <w:pStyle w:val="a7"/>
        <w:rPr>
          <w:rFonts w:hint="default"/>
          <w:b/>
          <w:bCs/>
        </w:rPr>
      </w:pPr>
      <w:r>
        <w:rPr>
          <w:b/>
          <w:bCs/>
        </w:rPr>
        <w:t>表</w:t>
      </w:r>
      <w:r>
        <w:rPr>
          <w:b/>
          <w:bCs/>
        </w:rPr>
        <w:t>1-3</w:t>
      </w:r>
      <w:r>
        <w:rPr>
          <w:b/>
          <w:bCs/>
        </w:rPr>
        <w:t>声环境评价工作等级判定</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2"/>
        <w:gridCol w:w="4225"/>
      </w:tblGrid>
      <w:tr w:rsidR="00BC07F0">
        <w:trPr>
          <w:trHeight w:val="397"/>
        </w:trPr>
        <w:tc>
          <w:tcPr>
            <w:tcW w:w="4261" w:type="dxa"/>
            <w:vAlign w:val="center"/>
          </w:tcPr>
          <w:p w:rsidR="00BC07F0" w:rsidRDefault="00073EFB">
            <w:pPr>
              <w:pStyle w:val="a7"/>
              <w:rPr>
                <w:rFonts w:hint="default"/>
              </w:rPr>
            </w:pPr>
            <w:r>
              <w:t>项目</w:t>
            </w:r>
          </w:p>
        </w:tc>
        <w:tc>
          <w:tcPr>
            <w:tcW w:w="4261" w:type="dxa"/>
            <w:vAlign w:val="center"/>
          </w:tcPr>
          <w:p w:rsidR="00BC07F0" w:rsidRDefault="00073EFB">
            <w:pPr>
              <w:pStyle w:val="a7"/>
              <w:rPr>
                <w:rFonts w:hint="default"/>
              </w:rPr>
            </w:pPr>
            <w:r>
              <w:t>内容</w:t>
            </w:r>
          </w:p>
        </w:tc>
      </w:tr>
      <w:tr w:rsidR="00BC07F0">
        <w:trPr>
          <w:trHeight w:val="397"/>
        </w:trPr>
        <w:tc>
          <w:tcPr>
            <w:tcW w:w="4261" w:type="dxa"/>
            <w:vAlign w:val="center"/>
          </w:tcPr>
          <w:p w:rsidR="00BC07F0" w:rsidRDefault="00073EFB">
            <w:pPr>
              <w:pStyle w:val="a7"/>
              <w:rPr>
                <w:rFonts w:hint="default"/>
              </w:rPr>
            </w:pPr>
            <w:r>
              <w:t>周围环境适用标准</w:t>
            </w:r>
          </w:p>
        </w:tc>
        <w:tc>
          <w:tcPr>
            <w:tcW w:w="4261" w:type="dxa"/>
            <w:vAlign w:val="center"/>
          </w:tcPr>
          <w:p w:rsidR="00BC07F0" w:rsidRDefault="00073EFB">
            <w:pPr>
              <w:pStyle w:val="a7"/>
              <w:rPr>
                <w:rFonts w:hint="default"/>
              </w:rPr>
            </w:pPr>
            <w:r>
              <w:t>GB3096-2008</w:t>
            </w:r>
            <w:r>
              <w:t>中的</w:t>
            </w:r>
            <w:r>
              <w:t>2</w:t>
            </w:r>
            <w:r>
              <w:t>类</w:t>
            </w:r>
          </w:p>
        </w:tc>
      </w:tr>
      <w:tr w:rsidR="00BC07F0">
        <w:trPr>
          <w:trHeight w:val="397"/>
        </w:trPr>
        <w:tc>
          <w:tcPr>
            <w:tcW w:w="4261" w:type="dxa"/>
            <w:vAlign w:val="center"/>
          </w:tcPr>
          <w:p w:rsidR="00BC07F0" w:rsidRDefault="00073EFB">
            <w:pPr>
              <w:pStyle w:val="a7"/>
              <w:rPr>
                <w:rFonts w:hint="default"/>
              </w:rPr>
            </w:pPr>
            <w:r>
              <w:t>周围环境受项目运行噪声增加量</w:t>
            </w:r>
          </w:p>
        </w:tc>
        <w:tc>
          <w:tcPr>
            <w:tcW w:w="4261" w:type="dxa"/>
            <w:vAlign w:val="center"/>
          </w:tcPr>
          <w:p w:rsidR="00BC07F0" w:rsidRDefault="00073EFB">
            <w:pPr>
              <w:pStyle w:val="a7"/>
              <w:rPr>
                <w:rFonts w:hint="default"/>
              </w:rPr>
            </w:pPr>
            <w:r>
              <w:t>3~5dB</w:t>
            </w:r>
            <w:r>
              <w:t>（</w:t>
            </w:r>
            <w:r>
              <w:t>A</w:t>
            </w:r>
            <w:r>
              <w:t>）</w:t>
            </w:r>
          </w:p>
        </w:tc>
      </w:tr>
      <w:tr w:rsidR="00BC07F0">
        <w:trPr>
          <w:trHeight w:val="397"/>
        </w:trPr>
        <w:tc>
          <w:tcPr>
            <w:tcW w:w="4261" w:type="dxa"/>
            <w:vAlign w:val="center"/>
          </w:tcPr>
          <w:p w:rsidR="00BC07F0" w:rsidRDefault="00073EFB">
            <w:pPr>
              <w:pStyle w:val="a7"/>
              <w:rPr>
                <w:rFonts w:hint="default"/>
              </w:rPr>
            </w:pPr>
            <w:r>
              <w:t>受影响人口数量变化情况</w:t>
            </w:r>
          </w:p>
        </w:tc>
        <w:tc>
          <w:tcPr>
            <w:tcW w:w="4261" w:type="dxa"/>
            <w:vAlign w:val="center"/>
          </w:tcPr>
          <w:p w:rsidR="00BC07F0" w:rsidRDefault="00073EFB">
            <w:pPr>
              <w:pStyle w:val="a7"/>
              <w:rPr>
                <w:rFonts w:hint="default"/>
              </w:rPr>
            </w:pPr>
            <w:r>
              <w:t>增加较多</w:t>
            </w:r>
          </w:p>
        </w:tc>
      </w:tr>
      <w:tr w:rsidR="00BC07F0">
        <w:trPr>
          <w:trHeight w:val="397"/>
        </w:trPr>
        <w:tc>
          <w:tcPr>
            <w:tcW w:w="4261" w:type="dxa"/>
            <w:vAlign w:val="center"/>
          </w:tcPr>
          <w:p w:rsidR="00BC07F0" w:rsidRDefault="00073EFB">
            <w:pPr>
              <w:pStyle w:val="a7"/>
              <w:rPr>
                <w:rFonts w:hint="default"/>
              </w:rPr>
            </w:pPr>
            <w:r>
              <w:t>评价工作等级</w:t>
            </w:r>
          </w:p>
        </w:tc>
        <w:tc>
          <w:tcPr>
            <w:tcW w:w="4261" w:type="dxa"/>
            <w:vAlign w:val="center"/>
          </w:tcPr>
          <w:p w:rsidR="00BC07F0" w:rsidRDefault="00073EFB">
            <w:pPr>
              <w:pStyle w:val="a7"/>
              <w:rPr>
                <w:rFonts w:hint="default"/>
              </w:rPr>
            </w:pPr>
            <w:r>
              <w:t>二级</w:t>
            </w:r>
          </w:p>
        </w:tc>
      </w:tr>
    </w:tbl>
    <w:p w:rsidR="00BC07F0" w:rsidRDefault="00073EFB" w:rsidP="00C55F5E">
      <w:pPr>
        <w:pStyle w:val="3"/>
        <w:ind w:firstLine="482"/>
      </w:pPr>
      <w:bookmarkStart w:id="82" w:name="_Toc24039"/>
      <w:r>
        <w:t>1.</w:t>
      </w:r>
      <w:r>
        <w:rPr>
          <w:rFonts w:hint="eastAsia"/>
        </w:rPr>
        <w:t>3.</w:t>
      </w:r>
      <w:r>
        <w:t>2</w:t>
      </w:r>
      <w:bookmarkStart w:id="83" w:name="1.4.2评价工作范围"/>
      <w:bookmarkStart w:id="84" w:name="bookmark12"/>
      <w:bookmarkEnd w:id="83"/>
      <w:bookmarkEnd w:id="84"/>
      <w:r>
        <w:rPr>
          <w:rFonts w:hint="eastAsia"/>
        </w:rPr>
        <w:t>评价工作范围</w:t>
      </w:r>
      <w:bookmarkEnd w:id="82"/>
    </w:p>
    <w:p w:rsidR="00BC07F0" w:rsidRDefault="00073EFB">
      <w:pPr>
        <w:ind w:firstLine="480"/>
        <w:rPr>
          <w:color w:val="000000"/>
        </w:rPr>
      </w:pPr>
      <w:r>
        <w:rPr>
          <w:rFonts w:hint="eastAsia"/>
          <w:color w:val="000000"/>
        </w:rPr>
        <w:t>根据《环境影响评级技术导则声环境》（</w:t>
      </w:r>
      <w:r>
        <w:rPr>
          <w:rFonts w:hint="eastAsia"/>
          <w:color w:val="000000"/>
        </w:rPr>
        <w:t>HJ2.4-2021</w:t>
      </w:r>
      <w:r>
        <w:rPr>
          <w:rFonts w:hint="eastAsia"/>
          <w:color w:val="000000"/>
        </w:rPr>
        <w:t>）对建设项目声环境影响评价范围的确定原则，确定本项目声环境影响评价范围为道路中心线外两侧</w:t>
      </w:r>
      <w:r>
        <w:rPr>
          <w:rFonts w:hint="eastAsia"/>
          <w:color w:val="000000"/>
        </w:rPr>
        <w:t>200m</w:t>
      </w:r>
      <w:r>
        <w:rPr>
          <w:rFonts w:hint="eastAsia"/>
          <w:color w:val="000000"/>
        </w:rPr>
        <w:t>范围内。</w:t>
      </w:r>
    </w:p>
    <w:p w:rsidR="00BC07F0" w:rsidRDefault="00073EFB" w:rsidP="00C55F5E">
      <w:pPr>
        <w:pStyle w:val="3"/>
        <w:ind w:firstLine="482"/>
      </w:pPr>
      <w:bookmarkStart w:id="85" w:name="_Toc4281"/>
      <w:r>
        <w:t>1.</w:t>
      </w:r>
      <w:r>
        <w:rPr>
          <w:rFonts w:hint="eastAsia"/>
        </w:rPr>
        <w:t>3</w:t>
      </w:r>
      <w:r>
        <w:t>.3</w:t>
      </w:r>
      <w:bookmarkStart w:id="86" w:name="bookmark13"/>
      <w:bookmarkStart w:id="87" w:name="1.4.3评价时段"/>
      <w:bookmarkEnd w:id="86"/>
      <w:bookmarkEnd w:id="87"/>
      <w:r>
        <w:rPr>
          <w:rFonts w:hint="eastAsia"/>
        </w:rPr>
        <w:t>评价时段</w:t>
      </w:r>
      <w:bookmarkEnd w:id="85"/>
    </w:p>
    <w:p w:rsidR="00BC07F0" w:rsidRDefault="00073EFB" w:rsidP="00C55F5E">
      <w:pPr>
        <w:ind w:firstLine="480"/>
      </w:pPr>
      <w:r>
        <w:rPr>
          <w:rFonts w:hint="eastAsia"/>
        </w:rPr>
        <w:t>本项目评价时段包括施工期和运营期。根据本项目建设计划，拟于</w:t>
      </w:r>
      <w:r>
        <w:rPr>
          <w:rFonts w:hint="eastAsia"/>
        </w:rPr>
        <w:t>202</w:t>
      </w:r>
      <w:r>
        <w:rPr>
          <w:rFonts w:hint="eastAsia"/>
        </w:rPr>
        <w:t>3</w:t>
      </w:r>
      <w:r>
        <w:rPr>
          <w:rFonts w:hint="eastAsia"/>
        </w:rPr>
        <w:t>年</w:t>
      </w:r>
      <w:r>
        <w:rPr>
          <w:rFonts w:hint="eastAsia"/>
        </w:rPr>
        <w:t>1</w:t>
      </w:r>
      <w:r>
        <w:rPr>
          <w:rFonts w:hint="eastAsia"/>
        </w:rPr>
        <w:t>1</w:t>
      </w:r>
      <w:r>
        <w:rPr>
          <w:rFonts w:hint="eastAsia"/>
        </w:rPr>
        <w:t>月份开工建设，</w:t>
      </w:r>
      <w:r>
        <w:rPr>
          <w:rFonts w:hint="eastAsia"/>
        </w:rPr>
        <w:t>202</w:t>
      </w:r>
      <w:r>
        <w:rPr>
          <w:rFonts w:hint="eastAsia"/>
        </w:rPr>
        <w:t>4</w:t>
      </w:r>
      <w:r>
        <w:rPr>
          <w:rFonts w:hint="eastAsia"/>
        </w:rPr>
        <w:t>年</w:t>
      </w:r>
      <w:r>
        <w:rPr>
          <w:rFonts w:hint="eastAsia"/>
        </w:rPr>
        <w:t>1</w:t>
      </w:r>
      <w:r>
        <w:rPr>
          <w:rFonts w:hint="eastAsia"/>
        </w:rPr>
        <w:t>1</w:t>
      </w:r>
      <w:r>
        <w:rPr>
          <w:rFonts w:hint="eastAsia"/>
        </w:rPr>
        <w:t>月份建成通车，总工期</w:t>
      </w:r>
      <w:r>
        <w:rPr>
          <w:rFonts w:hint="eastAsia"/>
        </w:rPr>
        <w:t>12</w:t>
      </w:r>
      <w:r>
        <w:rPr>
          <w:rFonts w:hint="eastAsia"/>
        </w:rPr>
        <w:t>个月。运营期评价年份按工程竣工后运营的近期、中期和远期计，分别为</w:t>
      </w:r>
      <w:r>
        <w:rPr>
          <w:rFonts w:hint="eastAsia"/>
        </w:rPr>
        <w:t>202</w:t>
      </w:r>
      <w:r>
        <w:rPr>
          <w:rFonts w:hint="eastAsia"/>
        </w:rPr>
        <w:t>5</w:t>
      </w:r>
      <w:r>
        <w:rPr>
          <w:rFonts w:hint="eastAsia"/>
        </w:rPr>
        <w:t>年、</w:t>
      </w:r>
      <w:r>
        <w:rPr>
          <w:rFonts w:hint="eastAsia"/>
        </w:rPr>
        <w:t>202</w:t>
      </w:r>
      <w:r>
        <w:rPr>
          <w:rFonts w:hint="eastAsia"/>
        </w:rPr>
        <w:t>7</w:t>
      </w:r>
      <w:r>
        <w:rPr>
          <w:rFonts w:hint="eastAsia"/>
        </w:rPr>
        <w:t>年、</w:t>
      </w:r>
      <w:r>
        <w:rPr>
          <w:rFonts w:hint="eastAsia"/>
        </w:rPr>
        <w:t>203</w:t>
      </w:r>
      <w:r>
        <w:rPr>
          <w:rFonts w:hint="eastAsia"/>
        </w:rPr>
        <w:t>2</w:t>
      </w:r>
      <w:r>
        <w:rPr>
          <w:rFonts w:hint="eastAsia"/>
        </w:rPr>
        <w:t>年。</w:t>
      </w:r>
    </w:p>
    <w:p w:rsidR="00BC07F0" w:rsidRDefault="00073EFB" w:rsidP="00C55F5E">
      <w:pPr>
        <w:pStyle w:val="3"/>
        <w:ind w:firstLine="482"/>
      </w:pPr>
      <w:bookmarkStart w:id="88" w:name="_Toc3507"/>
      <w:r>
        <w:t>1.</w:t>
      </w:r>
      <w:r>
        <w:rPr>
          <w:rFonts w:hint="eastAsia"/>
        </w:rPr>
        <w:t>3</w:t>
      </w:r>
      <w:r>
        <w:t>.</w:t>
      </w:r>
      <w:r>
        <w:rPr>
          <w:rFonts w:hint="eastAsia"/>
        </w:rPr>
        <w:t>4</w:t>
      </w:r>
      <w:r>
        <w:rPr>
          <w:rFonts w:hint="eastAsia"/>
        </w:rPr>
        <w:t>评价方法</w:t>
      </w:r>
      <w:bookmarkEnd w:id="88"/>
    </w:p>
    <w:p w:rsidR="00BC07F0" w:rsidRDefault="00073EFB" w:rsidP="00C55F5E">
      <w:pPr>
        <w:ind w:firstLine="480"/>
      </w:pPr>
      <w:r>
        <w:rPr>
          <w:rFonts w:hint="eastAsia"/>
        </w:rPr>
        <w:t>交通噪声影响分析采取定量分析方法，交通噪声预测模式选用《环境影响评价技术导则声环境》（</w:t>
      </w:r>
      <w:r>
        <w:rPr>
          <w:rFonts w:hint="eastAsia"/>
        </w:rPr>
        <w:t>HJ2.4-2021</w:t>
      </w:r>
      <w:r>
        <w:rPr>
          <w:rFonts w:hint="eastAsia"/>
        </w:rPr>
        <w:t>）中的公路预测模式。</w:t>
      </w:r>
    </w:p>
    <w:p w:rsidR="00BC07F0" w:rsidRDefault="00073EFB" w:rsidP="00C55F5E">
      <w:pPr>
        <w:pStyle w:val="2"/>
        <w:ind w:firstLine="482"/>
      </w:pPr>
      <w:bookmarkStart w:id="89" w:name="_Toc16423"/>
      <w:bookmarkStart w:id="90" w:name="_Toc20547"/>
      <w:r>
        <w:t>1.</w:t>
      </w:r>
      <w:r>
        <w:rPr>
          <w:rFonts w:hint="eastAsia"/>
        </w:rPr>
        <w:t>4</w:t>
      </w:r>
      <w:bookmarkStart w:id="91" w:name="1.5评价重点"/>
      <w:bookmarkStart w:id="92" w:name="bookmark14"/>
      <w:bookmarkEnd w:id="91"/>
      <w:bookmarkEnd w:id="92"/>
      <w:r>
        <w:rPr>
          <w:rFonts w:hint="eastAsia"/>
        </w:rPr>
        <w:t>评价重点</w:t>
      </w:r>
      <w:bookmarkEnd w:id="89"/>
      <w:bookmarkEnd w:id="90"/>
    </w:p>
    <w:p w:rsidR="00BC07F0" w:rsidRDefault="00073EFB" w:rsidP="00C55F5E">
      <w:pPr>
        <w:ind w:firstLine="480"/>
      </w:pPr>
      <w:r>
        <w:rPr>
          <w:rFonts w:hint="eastAsia"/>
        </w:rPr>
        <w:t>根据项目特点及沿线的自然、社会环境特征，确定本项目的声环境影响评价重点为：</w:t>
      </w:r>
    </w:p>
    <w:p w:rsidR="00BC07F0" w:rsidRDefault="00073EFB" w:rsidP="00C55F5E">
      <w:pPr>
        <w:ind w:firstLine="480"/>
      </w:pPr>
      <w:r>
        <w:rPr>
          <w:rFonts w:hint="eastAsia"/>
        </w:rPr>
        <w:lastRenderedPageBreak/>
        <w:t>（</w:t>
      </w:r>
      <w:r>
        <w:t>1</w:t>
      </w:r>
      <w:r>
        <w:rPr>
          <w:rFonts w:hint="eastAsia"/>
        </w:rPr>
        <w:t>）施工期及营运期工程分析及污染源分析及污染防治措施；</w:t>
      </w:r>
    </w:p>
    <w:p w:rsidR="00BC07F0" w:rsidRDefault="00073EFB" w:rsidP="00C55F5E">
      <w:pPr>
        <w:ind w:firstLine="480"/>
      </w:pPr>
      <w:r>
        <w:rPr>
          <w:rFonts w:hint="eastAsia"/>
        </w:rPr>
        <w:t>（</w:t>
      </w:r>
      <w:r>
        <w:t>2</w:t>
      </w:r>
      <w:r>
        <w:rPr>
          <w:rFonts w:hint="eastAsia"/>
        </w:rPr>
        <w:t>）营运期声环境影响评价；</w:t>
      </w:r>
    </w:p>
    <w:p w:rsidR="00BC07F0" w:rsidRDefault="00073EFB" w:rsidP="00C55F5E">
      <w:pPr>
        <w:ind w:firstLine="480"/>
      </w:pPr>
      <w:r>
        <w:rPr>
          <w:rFonts w:hint="eastAsia"/>
        </w:rPr>
        <w:t>（</w:t>
      </w:r>
      <w:r>
        <w:t>3</w:t>
      </w:r>
      <w:r>
        <w:rPr>
          <w:rFonts w:hint="eastAsia"/>
        </w:rPr>
        <w:t>）施工期及营运期环境污染防治措施与对策。</w:t>
      </w:r>
    </w:p>
    <w:p w:rsidR="00BC07F0" w:rsidRDefault="00073EFB" w:rsidP="00C55F5E">
      <w:pPr>
        <w:pStyle w:val="2"/>
        <w:ind w:firstLine="482"/>
      </w:pPr>
      <w:bookmarkStart w:id="93" w:name="_Toc22304"/>
      <w:bookmarkStart w:id="94" w:name="_Toc12175"/>
      <w:r>
        <w:t>1.</w:t>
      </w:r>
      <w:bookmarkStart w:id="95" w:name="bookmark15"/>
      <w:bookmarkStart w:id="96" w:name="1.6环境保护目标与敏感点"/>
      <w:bookmarkEnd w:id="95"/>
      <w:bookmarkEnd w:id="96"/>
      <w:r>
        <w:rPr>
          <w:rFonts w:hint="eastAsia"/>
        </w:rPr>
        <w:t>5</w:t>
      </w:r>
      <w:r>
        <w:rPr>
          <w:rFonts w:hint="eastAsia"/>
        </w:rPr>
        <w:t>声环境</w:t>
      </w:r>
      <w:r>
        <w:rPr>
          <w:rFonts w:hint="eastAsia"/>
        </w:rPr>
        <w:t>保护目标</w:t>
      </w:r>
      <w:bookmarkEnd w:id="93"/>
      <w:bookmarkEnd w:id="94"/>
    </w:p>
    <w:p w:rsidR="00BC07F0" w:rsidRDefault="00073EFB" w:rsidP="00C55F5E">
      <w:pPr>
        <w:ind w:firstLine="480"/>
      </w:pPr>
      <w:r>
        <w:t>环保目标主要为道路红线两侧</w:t>
      </w:r>
      <w:r>
        <w:rPr>
          <w:rFonts w:hint="eastAsia"/>
        </w:rPr>
        <w:t>0</w:t>
      </w:r>
      <w:r>
        <w:t>~200m</w:t>
      </w:r>
      <w:r>
        <w:t>范围内的居民，并以第一排建筑情况为主。</w:t>
      </w:r>
      <w:r>
        <w:rPr>
          <w:rFonts w:hint="eastAsia"/>
        </w:rPr>
        <w:t>本项目声环境保护目标具体情况详见表</w:t>
      </w:r>
      <w:r>
        <w:rPr>
          <w:rFonts w:hint="eastAsia"/>
        </w:rPr>
        <w:t>1-4</w:t>
      </w:r>
      <w:r>
        <w:rPr>
          <w:rFonts w:hint="eastAsia"/>
        </w:rPr>
        <w:t>。</w:t>
      </w:r>
      <w:bookmarkStart w:id="97" w:name="本次项目仅对现状云城东路进行下沉改造，改造前后评价范围内敏感点不变，从北往南依次"/>
      <w:bookmarkEnd w:id="97"/>
    </w:p>
    <w:p w:rsidR="00BC07F0" w:rsidRDefault="00073EFB">
      <w:pPr>
        <w:pStyle w:val="a7"/>
        <w:rPr>
          <w:rFonts w:hint="default"/>
          <w:b/>
          <w:bCs/>
        </w:rPr>
      </w:pPr>
      <w:r>
        <w:rPr>
          <w:b/>
          <w:bCs/>
        </w:rPr>
        <w:t>表</w:t>
      </w:r>
      <w:r>
        <w:rPr>
          <w:b/>
          <w:bCs/>
        </w:rPr>
        <w:t>1-4</w:t>
      </w:r>
      <w:r>
        <w:rPr>
          <w:b/>
          <w:bCs/>
        </w:rPr>
        <w:t>项目声环境保护目标</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
        <w:gridCol w:w="1090"/>
        <w:gridCol w:w="948"/>
        <w:gridCol w:w="821"/>
        <w:gridCol w:w="832"/>
        <w:gridCol w:w="927"/>
        <w:gridCol w:w="785"/>
        <w:gridCol w:w="870"/>
        <w:gridCol w:w="800"/>
        <w:gridCol w:w="885"/>
      </w:tblGrid>
      <w:tr w:rsidR="00BC07F0">
        <w:trPr>
          <w:trHeight w:val="397"/>
          <w:jc w:val="center"/>
        </w:trPr>
        <w:tc>
          <w:tcPr>
            <w:tcW w:w="674" w:type="dxa"/>
            <w:vMerge w:val="restart"/>
            <w:vAlign w:val="center"/>
          </w:tcPr>
          <w:p w:rsidR="00BC07F0" w:rsidRDefault="00073EFB">
            <w:pPr>
              <w:pStyle w:val="a7"/>
              <w:rPr>
                <w:rFonts w:hint="default"/>
              </w:rPr>
            </w:pPr>
            <w:r>
              <w:t>序号</w:t>
            </w:r>
          </w:p>
        </w:tc>
        <w:tc>
          <w:tcPr>
            <w:tcW w:w="1771" w:type="dxa"/>
            <w:vMerge w:val="restart"/>
            <w:vAlign w:val="center"/>
          </w:tcPr>
          <w:p w:rsidR="00BC07F0" w:rsidRDefault="00073EFB">
            <w:pPr>
              <w:pStyle w:val="a7"/>
              <w:rPr>
                <w:rFonts w:hint="default"/>
              </w:rPr>
            </w:pPr>
            <w:r>
              <w:t>声环境保护目标名称</w:t>
            </w:r>
          </w:p>
        </w:tc>
        <w:tc>
          <w:tcPr>
            <w:tcW w:w="1516" w:type="dxa"/>
            <w:vMerge w:val="restart"/>
            <w:vAlign w:val="center"/>
          </w:tcPr>
          <w:p w:rsidR="00BC07F0" w:rsidRDefault="00073EFB">
            <w:pPr>
              <w:pStyle w:val="a7"/>
              <w:rPr>
                <w:rFonts w:hint="default"/>
              </w:rPr>
            </w:pPr>
            <w:r>
              <w:t>所在路段</w:t>
            </w:r>
          </w:p>
        </w:tc>
        <w:tc>
          <w:tcPr>
            <w:tcW w:w="1288" w:type="dxa"/>
            <w:vMerge w:val="restart"/>
            <w:vAlign w:val="center"/>
          </w:tcPr>
          <w:p w:rsidR="00BC07F0" w:rsidRDefault="00073EFB">
            <w:pPr>
              <w:pStyle w:val="a7"/>
              <w:rPr>
                <w:rFonts w:hint="default"/>
              </w:rPr>
            </w:pPr>
            <w:r>
              <w:t>线路形式</w:t>
            </w:r>
          </w:p>
        </w:tc>
        <w:tc>
          <w:tcPr>
            <w:tcW w:w="1307" w:type="dxa"/>
            <w:vMerge w:val="restart"/>
            <w:vAlign w:val="center"/>
          </w:tcPr>
          <w:p w:rsidR="00BC07F0" w:rsidRDefault="00073EFB">
            <w:pPr>
              <w:pStyle w:val="a7"/>
              <w:rPr>
                <w:rFonts w:hint="default"/>
              </w:rPr>
            </w:pPr>
            <w:r>
              <w:t>方位</w:t>
            </w:r>
          </w:p>
        </w:tc>
        <w:tc>
          <w:tcPr>
            <w:tcW w:w="1478" w:type="dxa"/>
            <w:vMerge w:val="restart"/>
            <w:vAlign w:val="center"/>
          </w:tcPr>
          <w:p w:rsidR="00BC07F0" w:rsidRDefault="00073EFB">
            <w:pPr>
              <w:pStyle w:val="a7"/>
              <w:rPr>
                <w:rFonts w:hint="default"/>
              </w:rPr>
            </w:pPr>
            <w:r>
              <w:t>声环境保护目标预测点与路面高差</w:t>
            </w:r>
            <w:r>
              <w:t>/m</w:t>
            </w:r>
          </w:p>
        </w:tc>
        <w:tc>
          <w:tcPr>
            <w:tcW w:w="1223" w:type="dxa"/>
            <w:vMerge w:val="restart"/>
            <w:vAlign w:val="center"/>
          </w:tcPr>
          <w:p w:rsidR="00BC07F0" w:rsidRDefault="00073EFB">
            <w:pPr>
              <w:pStyle w:val="a7"/>
              <w:rPr>
                <w:rFonts w:hint="default"/>
              </w:rPr>
            </w:pPr>
            <w:r>
              <w:t>距道路边界（红线）距离</w:t>
            </w:r>
            <w:r>
              <w:t>/m</w:t>
            </w:r>
          </w:p>
        </w:tc>
        <w:tc>
          <w:tcPr>
            <w:tcW w:w="1376" w:type="dxa"/>
            <w:vMerge w:val="restart"/>
            <w:vAlign w:val="center"/>
          </w:tcPr>
          <w:p w:rsidR="00BC07F0" w:rsidRDefault="00073EFB">
            <w:pPr>
              <w:pStyle w:val="a7"/>
              <w:rPr>
                <w:rFonts w:hint="default"/>
              </w:rPr>
            </w:pPr>
            <w:r>
              <w:t>距道路中心线距离</w:t>
            </w:r>
            <w:r>
              <w:t>/m</w:t>
            </w:r>
          </w:p>
        </w:tc>
        <w:tc>
          <w:tcPr>
            <w:tcW w:w="2653" w:type="dxa"/>
            <w:gridSpan w:val="2"/>
            <w:vAlign w:val="center"/>
          </w:tcPr>
          <w:p w:rsidR="00BC07F0" w:rsidRDefault="00073EFB">
            <w:pPr>
              <w:pStyle w:val="a7"/>
              <w:rPr>
                <w:rFonts w:hint="default"/>
              </w:rPr>
            </w:pPr>
            <w:r>
              <w:t>区域声环境功能区划</w:t>
            </w:r>
          </w:p>
        </w:tc>
      </w:tr>
      <w:tr w:rsidR="00BC07F0">
        <w:trPr>
          <w:trHeight w:val="397"/>
          <w:jc w:val="center"/>
        </w:trPr>
        <w:tc>
          <w:tcPr>
            <w:tcW w:w="674" w:type="dxa"/>
            <w:vMerge/>
            <w:vAlign w:val="center"/>
          </w:tcPr>
          <w:p w:rsidR="00BC07F0" w:rsidRDefault="00BC07F0">
            <w:pPr>
              <w:pStyle w:val="a7"/>
              <w:rPr>
                <w:rFonts w:hint="default"/>
              </w:rPr>
            </w:pPr>
          </w:p>
        </w:tc>
        <w:tc>
          <w:tcPr>
            <w:tcW w:w="1771" w:type="dxa"/>
            <w:vMerge/>
            <w:vAlign w:val="center"/>
          </w:tcPr>
          <w:p w:rsidR="00BC07F0" w:rsidRDefault="00BC07F0">
            <w:pPr>
              <w:pStyle w:val="a7"/>
              <w:rPr>
                <w:rFonts w:hint="default"/>
              </w:rPr>
            </w:pPr>
          </w:p>
        </w:tc>
        <w:tc>
          <w:tcPr>
            <w:tcW w:w="1516" w:type="dxa"/>
            <w:vMerge/>
            <w:vAlign w:val="center"/>
          </w:tcPr>
          <w:p w:rsidR="00BC07F0" w:rsidRDefault="00BC07F0">
            <w:pPr>
              <w:pStyle w:val="a7"/>
              <w:rPr>
                <w:rFonts w:hint="default"/>
              </w:rPr>
            </w:pPr>
          </w:p>
        </w:tc>
        <w:tc>
          <w:tcPr>
            <w:tcW w:w="1288" w:type="dxa"/>
            <w:vMerge/>
            <w:vAlign w:val="center"/>
          </w:tcPr>
          <w:p w:rsidR="00BC07F0" w:rsidRDefault="00BC07F0">
            <w:pPr>
              <w:pStyle w:val="a7"/>
              <w:rPr>
                <w:rFonts w:hint="default"/>
              </w:rPr>
            </w:pPr>
          </w:p>
        </w:tc>
        <w:tc>
          <w:tcPr>
            <w:tcW w:w="1307" w:type="dxa"/>
            <w:vMerge/>
            <w:vAlign w:val="center"/>
          </w:tcPr>
          <w:p w:rsidR="00BC07F0" w:rsidRDefault="00BC07F0">
            <w:pPr>
              <w:pStyle w:val="a7"/>
              <w:rPr>
                <w:rFonts w:hint="default"/>
              </w:rPr>
            </w:pPr>
          </w:p>
        </w:tc>
        <w:tc>
          <w:tcPr>
            <w:tcW w:w="1478" w:type="dxa"/>
            <w:vMerge/>
            <w:vAlign w:val="center"/>
          </w:tcPr>
          <w:p w:rsidR="00BC07F0" w:rsidRDefault="00BC07F0">
            <w:pPr>
              <w:pStyle w:val="a7"/>
              <w:rPr>
                <w:rFonts w:hint="default"/>
              </w:rPr>
            </w:pPr>
          </w:p>
        </w:tc>
        <w:tc>
          <w:tcPr>
            <w:tcW w:w="1223" w:type="dxa"/>
            <w:vMerge/>
            <w:vAlign w:val="center"/>
          </w:tcPr>
          <w:p w:rsidR="00BC07F0" w:rsidRDefault="00BC07F0">
            <w:pPr>
              <w:pStyle w:val="a7"/>
              <w:rPr>
                <w:rFonts w:hint="default"/>
              </w:rPr>
            </w:pPr>
          </w:p>
        </w:tc>
        <w:tc>
          <w:tcPr>
            <w:tcW w:w="1376" w:type="dxa"/>
            <w:vMerge/>
            <w:vAlign w:val="center"/>
          </w:tcPr>
          <w:p w:rsidR="00BC07F0" w:rsidRDefault="00BC07F0">
            <w:pPr>
              <w:pStyle w:val="a7"/>
              <w:rPr>
                <w:rFonts w:hint="default"/>
              </w:rPr>
            </w:pPr>
          </w:p>
        </w:tc>
        <w:tc>
          <w:tcPr>
            <w:tcW w:w="1250" w:type="dxa"/>
            <w:vAlign w:val="center"/>
          </w:tcPr>
          <w:p w:rsidR="00BC07F0" w:rsidRDefault="00073EFB">
            <w:pPr>
              <w:pStyle w:val="a7"/>
              <w:rPr>
                <w:rFonts w:hint="default"/>
              </w:rPr>
            </w:pPr>
            <w:r>
              <w:t>2</w:t>
            </w:r>
            <w:r>
              <w:t>类</w:t>
            </w:r>
          </w:p>
        </w:tc>
        <w:tc>
          <w:tcPr>
            <w:tcW w:w="1403" w:type="dxa"/>
            <w:vAlign w:val="center"/>
          </w:tcPr>
          <w:p w:rsidR="00BC07F0" w:rsidRDefault="00073EFB">
            <w:pPr>
              <w:pStyle w:val="a7"/>
              <w:rPr>
                <w:rFonts w:hint="default"/>
              </w:rPr>
            </w:pPr>
            <w:r>
              <w:t>4</w:t>
            </w:r>
            <w:r>
              <w:t>a</w:t>
            </w:r>
            <w:r>
              <w:t>类</w:t>
            </w:r>
          </w:p>
        </w:tc>
      </w:tr>
      <w:tr w:rsidR="00BC07F0">
        <w:trPr>
          <w:trHeight w:val="397"/>
          <w:jc w:val="center"/>
        </w:trPr>
        <w:tc>
          <w:tcPr>
            <w:tcW w:w="674" w:type="dxa"/>
            <w:vAlign w:val="center"/>
          </w:tcPr>
          <w:p w:rsidR="00BC07F0" w:rsidRDefault="00073EFB">
            <w:pPr>
              <w:pStyle w:val="a7"/>
              <w:rPr>
                <w:rFonts w:hint="default"/>
              </w:rPr>
            </w:pPr>
            <w:r>
              <w:t>1</w:t>
            </w:r>
          </w:p>
        </w:tc>
        <w:tc>
          <w:tcPr>
            <w:tcW w:w="1771" w:type="dxa"/>
            <w:vAlign w:val="center"/>
          </w:tcPr>
          <w:p w:rsidR="00BC07F0" w:rsidRDefault="00073EFB">
            <w:pPr>
              <w:pStyle w:val="a7"/>
              <w:rPr>
                <w:rFonts w:hint="default"/>
              </w:rPr>
            </w:pPr>
            <w:r>
              <w:t>白沙洲安置房</w:t>
            </w:r>
          </w:p>
        </w:tc>
        <w:tc>
          <w:tcPr>
            <w:tcW w:w="1516" w:type="dxa"/>
            <w:vMerge w:val="restart"/>
            <w:vAlign w:val="center"/>
          </w:tcPr>
          <w:p w:rsidR="00BC07F0" w:rsidRDefault="00073EFB">
            <w:pPr>
              <w:pStyle w:val="a7"/>
              <w:rPr>
                <w:rFonts w:hint="default"/>
              </w:rPr>
            </w:pPr>
            <w:r>
              <w:t>湘江南路（白沙大道——前进路）</w:t>
            </w:r>
          </w:p>
        </w:tc>
        <w:tc>
          <w:tcPr>
            <w:tcW w:w="1288" w:type="dxa"/>
            <w:vAlign w:val="center"/>
          </w:tcPr>
          <w:p w:rsidR="00BC07F0" w:rsidRDefault="00073EFB">
            <w:pPr>
              <w:pStyle w:val="a7"/>
              <w:rPr>
                <w:rFonts w:hint="default"/>
              </w:rPr>
            </w:pPr>
            <w:r>
              <w:t>沥青</w:t>
            </w:r>
          </w:p>
        </w:tc>
        <w:tc>
          <w:tcPr>
            <w:tcW w:w="1307" w:type="dxa"/>
            <w:vAlign w:val="center"/>
          </w:tcPr>
          <w:p w:rsidR="00BC07F0" w:rsidRDefault="00073EFB">
            <w:pPr>
              <w:pStyle w:val="a7"/>
              <w:rPr>
                <w:rFonts w:hint="default"/>
              </w:rPr>
            </w:pPr>
            <w:r>
              <w:t>W</w:t>
            </w:r>
          </w:p>
        </w:tc>
        <w:tc>
          <w:tcPr>
            <w:tcW w:w="1478" w:type="dxa"/>
            <w:vAlign w:val="center"/>
          </w:tcPr>
          <w:p w:rsidR="00BC07F0" w:rsidRDefault="00073EFB">
            <w:pPr>
              <w:pStyle w:val="a7"/>
              <w:rPr>
                <w:rFonts w:hint="default"/>
              </w:rPr>
            </w:pPr>
            <w:r>
              <w:t>1</w:t>
            </w:r>
          </w:p>
        </w:tc>
        <w:tc>
          <w:tcPr>
            <w:tcW w:w="1223" w:type="dxa"/>
            <w:vAlign w:val="center"/>
          </w:tcPr>
          <w:p w:rsidR="00BC07F0" w:rsidRDefault="00073EFB">
            <w:pPr>
              <w:pStyle w:val="a7"/>
              <w:rPr>
                <w:rFonts w:hint="default"/>
              </w:rPr>
            </w:pPr>
            <w:r>
              <w:t>14</w:t>
            </w:r>
          </w:p>
        </w:tc>
        <w:tc>
          <w:tcPr>
            <w:tcW w:w="1376" w:type="dxa"/>
            <w:vAlign w:val="center"/>
          </w:tcPr>
          <w:p w:rsidR="00BC07F0" w:rsidRDefault="00073EFB">
            <w:pPr>
              <w:pStyle w:val="a7"/>
              <w:rPr>
                <w:rFonts w:hint="default"/>
              </w:rPr>
            </w:pPr>
            <w:r>
              <w:t>41.5</w:t>
            </w:r>
          </w:p>
        </w:tc>
        <w:tc>
          <w:tcPr>
            <w:tcW w:w="1250" w:type="dxa"/>
            <w:vAlign w:val="center"/>
          </w:tcPr>
          <w:p w:rsidR="00BC07F0" w:rsidRDefault="00073EFB">
            <w:pPr>
              <w:pStyle w:val="a7"/>
              <w:rPr>
                <w:rFonts w:hint="default"/>
              </w:rPr>
            </w:pPr>
            <w:r>
              <w:t>/</w:t>
            </w:r>
          </w:p>
        </w:tc>
        <w:tc>
          <w:tcPr>
            <w:tcW w:w="1403" w:type="dxa"/>
            <w:vAlign w:val="center"/>
          </w:tcPr>
          <w:p w:rsidR="00BC07F0" w:rsidRDefault="00073EFB">
            <w:pPr>
              <w:pStyle w:val="a7"/>
              <w:rPr>
                <w:rFonts w:hint="default"/>
              </w:rPr>
            </w:pPr>
            <w:r>
              <w:t>约</w:t>
            </w:r>
            <w:r>
              <w:t>560</w:t>
            </w:r>
            <w:r>
              <w:t>户</w:t>
            </w:r>
          </w:p>
        </w:tc>
      </w:tr>
      <w:tr w:rsidR="00BC07F0">
        <w:trPr>
          <w:trHeight w:val="397"/>
          <w:jc w:val="center"/>
        </w:trPr>
        <w:tc>
          <w:tcPr>
            <w:tcW w:w="674" w:type="dxa"/>
            <w:vAlign w:val="center"/>
          </w:tcPr>
          <w:p w:rsidR="00BC07F0" w:rsidRDefault="00073EFB">
            <w:pPr>
              <w:pStyle w:val="a7"/>
              <w:rPr>
                <w:rFonts w:hint="default"/>
              </w:rPr>
            </w:pPr>
            <w:r>
              <w:t>2</w:t>
            </w:r>
          </w:p>
        </w:tc>
        <w:tc>
          <w:tcPr>
            <w:tcW w:w="1771" w:type="dxa"/>
            <w:vAlign w:val="center"/>
          </w:tcPr>
          <w:p w:rsidR="00BC07F0" w:rsidRDefault="00073EFB">
            <w:pPr>
              <w:pStyle w:val="a7"/>
              <w:rPr>
                <w:rFonts w:hint="default"/>
              </w:rPr>
            </w:pPr>
            <w:r>
              <w:t>白沙村居民自建房</w:t>
            </w:r>
          </w:p>
        </w:tc>
        <w:tc>
          <w:tcPr>
            <w:tcW w:w="1516" w:type="dxa"/>
            <w:vMerge/>
            <w:vAlign w:val="center"/>
          </w:tcPr>
          <w:p w:rsidR="00BC07F0" w:rsidRDefault="00BC07F0">
            <w:pPr>
              <w:pStyle w:val="a7"/>
              <w:rPr>
                <w:rFonts w:hint="default"/>
              </w:rPr>
            </w:pPr>
          </w:p>
        </w:tc>
        <w:tc>
          <w:tcPr>
            <w:tcW w:w="1288" w:type="dxa"/>
            <w:vAlign w:val="center"/>
          </w:tcPr>
          <w:p w:rsidR="00BC07F0" w:rsidRDefault="00073EFB">
            <w:pPr>
              <w:pStyle w:val="a7"/>
              <w:rPr>
                <w:rFonts w:hint="default"/>
              </w:rPr>
            </w:pPr>
            <w:r>
              <w:t>沥青</w:t>
            </w:r>
          </w:p>
        </w:tc>
        <w:tc>
          <w:tcPr>
            <w:tcW w:w="1307" w:type="dxa"/>
            <w:vAlign w:val="center"/>
          </w:tcPr>
          <w:p w:rsidR="00BC07F0" w:rsidRDefault="00073EFB">
            <w:pPr>
              <w:pStyle w:val="a7"/>
              <w:rPr>
                <w:rFonts w:hint="default"/>
              </w:rPr>
            </w:pPr>
            <w:r>
              <w:t>W</w:t>
            </w:r>
          </w:p>
        </w:tc>
        <w:tc>
          <w:tcPr>
            <w:tcW w:w="1478" w:type="dxa"/>
            <w:vAlign w:val="center"/>
          </w:tcPr>
          <w:p w:rsidR="00BC07F0" w:rsidRDefault="00073EFB">
            <w:pPr>
              <w:pStyle w:val="a7"/>
              <w:rPr>
                <w:rFonts w:hint="default"/>
              </w:rPr>
            </w:pPr>
            <w:r>
              <w:t>1.2</w:t>
            </w:r>
          </w:p>
        </w:tc>
        <w:tc>
          <w:tcPr>
            <w:tcW w:w="1223" w:type="dxa"/>
            <w:vAlign w:val="center"/>
          </w:tcPr>
          <w:p w:rsidR="00BC07F0" w:rsidRDefault="00073EFB">
            <w:pPr>
              <w:pStyle w:val="a7"/>
              <w:rPr>
                <w:rFonts w:hint="default"/>
              </w:rPr>
            </w:pPr>
            <w:r>
              <w:t>68</w:t>
            </w:r>
          </w:p>
        </w:tc>
        <w:tc>
          <w:tcPr>
            <w:tcW w:w="1376" w:type="dxa"/>
            <w:vAlign w:val="center"/>
          </w:tcPr>
          <w:p w:rsidR="00BC07F0" w:rsidRDefault="00073EFB">
            <w:pPr>
              <w:pStyle w:val="a7"/>
              <w:rPr>
                <w:rFonts w:hint="default"/>
              </w:rPr>
            </w:pPr>
            <w:r>
              <w:t>95.5</w:t>
            </w:r>
          </w:p>
        </w:tc>
        <w:tc>
          <w:tcPr>
            <w:tcW w:w="1250" w:type="dxa"/>
            <w:vAlign w:val="center"/>
          </w:tcPr>
          <w:p w:rsidR="00BC07F0" w:rsidRDefault="00073EFB">
            <w:pPr>
              <w:pStyle w:val="a7"/>
              <w:rPr>
                <w:rFonts w:hint="default"/>
              </w:rPr>
            </w:pPr>
            <w:r>
              <w:t>约</w:t>
            </w:r>
            <w:r>
              <w:t>376</w:t>
            </w:r>
            <w:r>
              <w:t>户</w:t>
            </w:r>
          </w:p>
        </w:tc>
        <w:tc>
          <w:tcPr>
            <w:tcW w:w="1403" w:type="dxa"/>
            <w:vAlign w:val="center"/>
          </w:tcPr>
          <w:p w:rsidR="00BC07F0" w:rsidRDefault="00073EFB">
            <w:pPr>
              <w:pStyle w:val="a7"/>
              <w:rPr>
                <w:rFonts w:hint="default"/>
              </w:rPr>
            </w:pPr>
            <w:r>
              <w:t>约</w:t>
            </w:r>
            <w:r>
              <w:t>464</w:t>
            </w:r>
            <w:r>
              <w:t>（临</w:t>
            </w:r>
            <w:r>
              <w:t>路</w:t>
            </w:r>
            <w:r>
              <w:t>第一排房屋）</w:t>
            </w:r>
          </w:p>
        </w:tc>
      </w:tr>
      <w:tr w:rsidR="00BC07F0">
        <w:trPr>
          <w:trHeight w:val="397"/>
          <w:jc w:val="center"/>
        </w:trPr>
        <w:tc>
          <w:tcPr>
            <w:tcW w:w="674" w:type="dxa"/>
            <w:vAlign w:val="center"/>
          </w:tcPr>
          <w:p w:rsidR="00BC07F0" w:rsidRDefault="00073EFB">
            <w:pPr>
              <w:pStyle w:val="a7"/>
              <w:rPr>
                <w:rFonts w:hint="default"/>
              </w:rPr>
            </w:pPr>
            <w:r>
              <w:t>3</w:t>
            </w:r>
          </w:p>
        </w:tc>
        <w:tc>
          <w:tcPr>
            <w:tcW w:w="1771" w:type="dxa"/>
            <w:vAlign w:val="center"/>
          </w:tcPr>
          <w:p w:rsidR="00BC07F0" w:rsidRDefault="00073EFB">
            <w:pPr>
              <w:pStyle w:val="a7"/>
              <w:rPr>
                <w:rFonts w:hint="default"/>
              </w:rPr>
            </w:pPr>
            <w:r>
              <w:t>东洲岛安置房</w:t>
            </w:r>
          </w:p>
        </w:tc>
        <w:tc>
          <w:tcPr>
            <w:tcW w:w="1516" w:type="dxa"/>
            <w:vAlign w:val="center"/>
          </w:tcPr>
          <w:p w:rsidR="00BC07F0" w:rsidRDefault="00073EFB">
            <w:pPr>
              <w:pStyle w:val="a7"/>
              <w:rPr>
                <w:rFonts w:hint="default"/>
              </w:rPr>
            </w:pPr>
            <w:r>
              <w:t>前进路</w:t>
            </w:r>
          </w:p>
        </w:tc>
        <w:tc>
          <w:tcPr>
            <w:tcW w:w="1288" w:type="dxa"/>
            <w:vAlign w:val="center"/>
          </w:tcPr>
          <w:p w:rsidR="00BC07F0" w:rsidRDefault="00073EFB">
            <w:pPr>
              <w:pStyle w:val="a7"/>
              <w:rPr>
                <w:rFonts w:hint="default"/>
              </w:rPr>
            </w:pPr>
            <w:r>
              <w:t>沥青</w:t>
            </w:r>
          </w:p>
        </w:tc>
        <w:tc>
          <w:tcPr>
            <w:tcW w:w="1307" w:type="dxa"/>
            <w:vAlign w:val="center"/>
          </w:tcPr>
          <w:p w:rsidR="00BC07F0" w:rsidRDefault="00073EFB">
            <w:pPr>
              <w:pStyle w:val="a7"/>
              <w:rPr>
                <w:rFonts w:hint="default"/>
              </w:rPr>
            </w:pPr>
            <w:r>
              <w:t>N</w:t>
            </w:r>
          </w:p>
        </w:tc>
        <w:tc>
          <w:tcPr>
            <w:tcW w:w="1478" w:type="dxa"/>
            <w:vAlign w:val="center"/>
          </w:tcPr>
          <w:p w:rsidR="00BC07F0" w:rsidRDefault="00073EFB">
            <w:pPr>
              <w:pStyle w:val="a7"/>
              <w:rPr>
                <w:rFonts w:hint="default"/>
              </w:rPr>
            </w:pPr>
            <w:r>
              <w:t>1.5</w:t>
            </w:r>
          </w:p>
        </w:tc>
        <w:tc>
          <w:tcPr>
            <w:tcW w:w="1223" w:type="dxa"/>
            <w:vAlign w:val="center"/>
          </w:tcPr>
          <w:p w:rsidR="00BC07F0" w:rsidRDefault="00073EFB">
            <w:pPr>
              <w:pStyle w:val="a7"/>
              <w:rPr>
                <w:rFonts w:hint="default"/>
              </w:rPr>
            </w:pPr>
            <w:r>
              <w:t>43</w:t>
            </w:r>
          </w:p>
        </w:tc>
        <w:tc>
          <w:tcPr>
            <w:tcW w:w="1376" w:type="dxa"/>
            <w:vAlign w:val="center"/>
          </w:tcPr>
          <w:p w:rsidR="00BC07F0" w:rsidRDefault="00073EFB">
            <w:pPr>
              <w:pStyle w:val="a7"/>
              <w:rPr>
                <w:rFonts w:hint="default"/>
              </w:rPr>
            </w:pPr>
            <w:r>
              <w:t>70.5</w:t>
            </w:r>
          </w:p>
        </w:tc>
        <w:tc>
          <w:tcPr>
            <w:tcW w:w="1250" w:type="dxa"/>
            <w:vAlign w:val="center"/>
          </w:tcPr>
          <w:p w:rsidR="00BC07F0" w:rsidRDefault="00073EFB">
            <w:pPr>
              <w:pStyle w:val="a7"/>
              <w:rPr>
                <w:rFonts w:hint="default"/>
              </w:rPr>
            </w:pPr>
            <w:r>
              <w:t>/</w:t>
            </w:r>
          </w:p>
        </w:tc>
        <w:tc>
          <w:tcPr>
            <w:tcW w:w="1403" w:type="dxa"/>
            <w:vAlign w:val="center"/>
          </w:tcPr>
          <w:p w:rsidR="00BC07F0" w:rsidRDefault="00073EFB">
            <w:pPr>
              <w:pStyle w:val="a7"/>
              <w:rPr>
                <w:rFonts w:hint="default"/>
              </w:rPr>
            </w:pPr>
            <w:r>
              <w:t>约</w:t>
            </w:r>
            <w:r>
              <w:t>400</w:t>
            </w:r>
            <w:r>
              <w:t>户</w:t>
            </w:r>
          </w:p>
        </w:tc>
      </w:tr>
      <w:tr w:rsidR="00BC07F0">
        <w:trPr>
          <w:trHeight w:val="397"/>
          <w:jc w:val="center"/>
        </w:trPr>
        <w:tc>
          <w:tcPr>
            <w:tcW w:w="674" w:type="dxa"/>
            <w:vAlign w:val="center"/>
          </w:tcPr>
          <w:p w:rsidR="00BC07F0" w:rsidRDefault="00073EFB">
            <w:pPr>
              <w:pStyle w:val="a7"/>
              <w:rPr>
                <w:rFonts w:hint="default"/>
              </w:rPr>
            </w:pPr>
            <w:r>
              <w:t>4</w:t>
            </w:r>
          </w:p>
        </w:tc>
        <w:tc>
          <w:tcPr>
            <w:tcW w:w="1771" w:type="dxa"/>
            <w:vAlign w:val="center"/>
          </w:tcPr>
          <w:p w:rsidR="00BC07F0" w:rsidRDefault="00073EFB">
            <w:pPr>
              <w:pStyle w:val="a7"/>
              <w:rPr>
                <w:rFonts w:hint="default"/>
              </w:rPr>
            </w:pPr>
            <w:r>
              <w:t>湘江村居民自建房</w:t>
            </w:r>
          </w:p>
        </w:tc>
        <w:tc>
          <w:tcPr>
            <w:tcW w:w="1516" w:type="dxa"/>
            <w:vAlign w:val="center"/>
          </w:tcPr>
          <w:p w:rsidR="00BC07F0" w:rsidRDefault="00073EFB">
            <w:pPr>
              <w:pStyle w:val="a7"/>
              <w:rPr>
                <w:rFonts w:hint="default"/>
              </w:rPr>
            </w:pPr>
            <w:r>
              <w:t>酃白路</w:t>
            </w:r>
          </w:p>
        </w:tc>
        <w:tc>
          <w:tcPr>
            <w:tcW w:w="1288" w:type="dxa"/>
            <w:vAlign w:val="center"/>
          </w:tcPr>
          <w:p w:rsidR="00BC07F0" w:rsidRDefault="00073EFB">
            <w:pPr>
              <w:pStyle w:val="a7"/>
              <w:rPr>
                <w:rFonts w:hint="default"/>
              </w:rPr>
            </w:pPr>
            <w:r>
              <w:t>沥青</w:t>
            </w:r>
          </w:p>
        </w:tc>
        <w:tc>
          <w:tcPr>
            <w:tcW w:w="1307" w:type="dxa"/>
            <w:vAlign w:val="center"/>
          </w:tcPr>
          <w:p w:rsidR="00BC07F0" w:rsidRDefault="00073EFB">
            <w:pPr>
              <w:pStyle w:val="a7"/>
              <w:rPr>
                <w:rFonts w:hint="default"/>
              </w:rPr>
            </w:pPr>
            <w:r>
              <w:t>W</w:t>
            </w:r>
          </w:p>
        </w:tc>
        <w:tc>
          <w:tcPr>
            <w:tcW w:w="1478" w:type="dxa"/>
            <w:vAlign w:val="center"/>
          </w:tcPr>
          <w:p w:rsidR="00BC07F0" w:rsidRDefault="00073EFB">
            <w:pPr>
              <w:pStyle w:val="a7"/>
              <w:rPr>
                <w:rFonts w:hint="default"/>
              </w:rPr>
            </w:pPr>
            <w:r>
              <w:t>1.5</w:t>
            </w:r>
          </w:p>
        </w:tc>
        <w:tc>
          <w:tcPr>
            <w:tcW w:w="1223" w:type="dxa"/>
            <w:vAlign w:val="center"/>
          </w:tcPr>
          <w:p w:rsidR="00BC07F0" w:rsidRDefault="00073EFB">
            <w:pPr>
              <w:pStyle w:val="a7"/>
              <w:rPr>
                <w:rFonts w:hint="default"/>
              </w:rPr>
            </w:pPr>
            <w:r>
              <w:t>85</w:t>
            </w:r>
          </w:p>
        </w:tc>
        <w:tc>
          <w:tcPr>
            <w:tcW w:w="1376" w:type="dxa"/>
            <w:vAlign w:val="center"/>
          </w:tcPr>
          <w:p w:rsidR="00BC07F0" w:rsidRDefault="00073EFB">
            <w:pPr>
              <w:pStyle w:val="a7"/>
              <w:rPr>
                <w:rFonts w:hint="default"/>
              </w:rPr>
            </w:pPr>
            <w:r>
              <w:t>112.5</w:t>
            </w:r>
          </w:p>
        </w:tc>
        <w:tc>
          <w:tcPr>
            <w:tcW w:w="1250" w:type="dxa"/>
            <w:vAlign w:val="center"/>
          </w:tcPr>
          <w:p w:rsidR="00BC07F0" w:rsidRDefault="00073EFB">
            <w:pPr>
              <w:pStyle w:val="a7"/>
              <w:rPr>
                <w:rFonts w:hint="default"/>
              </w:rPr>
            </w:pPr>
            <w:r>
              <w:t>约</w:t>
            </w:r>
            <w:r>
              <w:t>1380</w:t>
            </w:r>
            <w:r>
              <w:t>户</w:t>
            </w:r>
          </w:p>
        </w:tc>
        <w:tc>
          <w:tcPr>
            <w:tcW w:w="1403" w:type="dxa"/>
            <w:vAlign w:val="center"/>
          </w:tcPr>
          <w:p w:rsidR="00BC07F0" w:rsidRDefault="00073EFB">
            <w:pPr>
              <w:pStyle w:val="a7"/>
              <w:rPr>
                <w:rFonts w:hint="default"/>
              </w:rPr>
            </w:pPr>
            <w:r>
              <w:t>/</w:t>
            </w:r>
          </w:p>
        </w:tc>
      </w:tr>
    </w:tbl>
    <w:p w:rsidR="00BC07F0" w:rsidRDefault="00BC07F0" w:rsidP="00C55F5E">
      <w:pPr>
        <w:ind w:firstLine="480"/>
      </w:pPr>
    </w:p>
    <w:p w:rsidR="00BC07F0" w:rsidRDefault="00BC07F0" w:rsidP="00C55F5E">
      <w:pPr>
        <w:ind w:firstLine="480"/>
        <w:sectPr w:rsidR="00BC07F0">
          <w:footerReference w:type="default" r:id="rId39"/>
          <w:pgSz w:w="11906" w:h="16838"/>
          <w:pgMar w:top="1440" w:right="1800" w:bottom="1440" w:left="1800" w:header="567" w:footer="567" w:gutter="0"/>
          <w:cols w:space="720"/>
          <w:docGrid w:linePitch="312"/>
        </w:sectPr>
      </w:pPr>
    </w:p>
    <w:p w:rsidR="00BC07F0" w:rsidRDefault="00BC07F0" w:rsidP="00C55F5E">
      <w:pPr>
        <w:ind w:firstLine="480"/>
        <w:rPr>
          <w:color w:val="FF0000"/>
          <w:u w:val="single"/>
        </w:rPr>
      </w:pPr>
    </w:p>
    <w:p w:rsidR="00BC07F0" w:rsidRDefault="00073EFB">
      <w:pPr>
        <w:pStyle w:val="1"/>
      </w:pPr>
      <w:bookmarkStart w:id="98" w:name="_Toc18825"/>
      <w:bookmarkStart w:id="99" w:name="_Toc1082"/>
      <w:r>
        <w:t>2</w:t>
      </w:r>
      <w:bookmarkStart w:id="100" w:name="bookmark16"/>
      <w:bookmarkStart w:id="101" w:name="2工程分析"/>
      <w:bookmarkEnd w:id="100"/>
      <w:bookmarkEnd w:id="101"/>
      <w:r>
        <w:rPr>
          <w:rFonts w:hint="eastAsia"/>
        </w:rPr>
        <w:t>工程分析</w:t>
      </w:r>
      <w:bookmarkEnd w:id="98"/>
      <w:bookmarkEnd w:id="99"/>
    </w:p>
    <w:p w:rsidR="00BC07F0" w:rsidRDefault="00073EFB" w:rsidP="00C55F5E">
      <w:pPr>
        <w:pStyle w:val="2"/>
        <w:ind w:firstLine="482"/>
      </w:pPr>
      <w:bookmarkStart w:id="102" w:name="_Toc14334"/>
      <w:bookmarkStart w:id="103" w:name="_Toc29702"/>
      <w:r>
        <w:t>2.1</w:t>
      </w:r>
      <w:r>
        <w:rPr>
          <w:rFonts w:hint="eastAsia"/>
        </w:rPr>
        <w:t>建设项目概况</w:t>
      </w:r>
      <w:bookmarkEnd w:id="102"/>
      <w:bookmarkEnd w:id="103"/>
    </w:p>
    <w:p w:rsidR="00BC07F0" w:rsidRDefault="00073EFB" w:rsidP="00C55F5E">
      <w:pPr>
        <w:pStyle w:val="3"/>
        <w:ind w:firstLine="482"/>
      </w:pPr>
      <w:bookmarkStart w:id="104" w:name="_Toc30742"/>
      <w:r>
        <w:t>2.1.1</w:t>
      </w:r>
      <w:r>
        <w:rPr>
          <w:rFonts w:hint="eastAsia"/>
        </w:rPr>
        <w:t>项目基本情况</w:t>
      </w:r>
      <w:bookmarkEnd w:id="104"/>
    </w:p>
    <w:p w:rsidR="00BC07F0" w:rsidRDefault="00073EFB" w:rsidP="00C55F5E">
      <w:pPr>
        <w:ind w:firstLine="480"/>
      </w:pPr>
      <w:r>
        <w:rPr>
          <w:rFonts w:hint="eastAsia"/>
        </w:rPr>
        <w:t>项目名称：</w:t>
      </w:r>
      <w:r>
        <w:rPr>
          <w:rFonts w:hint="eastAsia"/>
        </w:rPr>
        <w:t>衡阳市湘江南岸水环境水安全治理工程</w:t>
      </w:r>
    </w:p>
    <w:p w:rsidR="00BC07F0" w:rsidRDefault="00073EFB" w:rsidP="00C55F5E">
      <w:pPr>
        <w:ind w:firstLine="480"/>
      </w:pPr>
      <w:r>
        <w:rPr>
          <w:rFonts w:hint="eastAsia"/>
        </w:rPr>
        <w:t>建设性质：新建</w:t>
      </w:r>
    </w:p>
    <w:p w:rsidR="00BC07F0" w:rsidRDefault="00073EFB" w:rsidP="00C55F5E">
      <w:pPr>
        <w:ind w:firstLine="480"/>
      </w:pPr>
      <w:r>
        <w:rPr>
          <w:rFonts w:hint="eastAsia"/>
        </w:rPr>
        <w:t>建设地点：</w:t>
      </w:r>
      <w:r>
        <w:rPr>
          <w:rFonts w:hint="eastAsia"/>
        </w:rPr>
        <w:t>①</w:t>
      </w:r>
      <w:r>
        <w:rPr>
          <w:rFonts w:hint="eastAsia"/>
        </w:rPr>
        <w:t>湘江南路（白沙大道——前进路）西起白沙大道，与现状湘江路相接，向南与前进路相接。道路总长</w:t>
      </w:r>
      <w:r>
        <w:rPr>
          <w:rFonts w:hint="eastAsia"/>
        </w:rPr>
        <w:t>2.887km</w:t>
      </w:r>
      <w:r>
        <w:rPr>
          <w:rFonts w:hint="eastAsia"/>
        </w:rPr>
        <w:t>，等级为城市次干道</w:t>
      </w:r>
      <w:r>
        <w:rPr>
          <w:rFonts w:hint="eastAsia"/>
        </w:rPr>
        <w:t>；</w:t>
      </w:r>
      <w:r>
        <w:rPr>
          <w:rFonts w:hint="eastAsia"/>
        </w:rPr>
        <w:t>②酃白路北起湘江南路，向南接规划前进路，与现状输变电科技产业园段酃白路顺接，道路总长</w:t>
      </w:r>
      <w:r>
        <w:rPr>
          <w:rFonts w:hint="eastAsia"/>
        </w:rPr>
        <w:t>1.564km</w:t>
      </w:r>
      <w:r>
        <w:rPr>
          <w:rFonts w:hint="eastAsia"/>
        </w:rPr>
        <w:t>，等级为城市主干路；③前进路起于白沙大道，从西至东经冲塘路、新衡路、酃白路、白田东路，最后到达湘江南路，道路总长</w:t>
      </w:r>
      <w:r>
        <w:rPr>
          <w:rFonts w:hint="eastAsia"/>
        </w:rPr>
        <w:t>1.47km</w:t>
      </w:r>
      <w:r>
        <w:rPr>
          <w:rFonts w:hint="eastAsia"/>
        </w:rPr>
        <w:t>，等级为城市次干道。</w:t>
      </w:r>
    </w:p>
    <w:p w:rsidR="00BC07F0" w:rsidRDefault="00073EFB" w:rsidP="00C55F5E">
      <w:pPr>
        <w:ind w:firstLine="480"/>
      </w:pPr>
      <w:r>
        <w:rPr>
          <w:rFonts w:hint="eastAsia"/>
        </w:rPr>
        <w:t>建设工期：本项目拟于</w:t>
      </w:r>
      <w:r>
        <w:t>202</w:t>
      </w:r>
      <w:r>
        <w:rPr>
          <w:rFonts w:hint="eastAsia"/>
        </w:rPr>
        <w:t>3</w:t>
      </w:r>
      <w:r>
        <w:rPr>
          <w:rFonts w:hint="eastAsia"/>
        </w:rPr>
        <w:t>年</w:t>
      </w:r>
      <w:r>
        <w:rPr>
          <w:rFonts w:hint="eastAsia"/>
        </w:rPr>
        <w:t>11</w:t>
      </w:r>
      <w:r>
        <w:rPr>
          <w:rFonts w:hint="eastAsia"/>
        </w:rPr>
        <w:t>月开工，自取得合法开工手续起</w:t>
      </w:r>
      <w:r>
        <w:rPr>
          <w:rFonts w:hint="eastAsia"/>
        </w:rPr>
        <w:t>12</w:t>
      </w:r>
      <w:r>
        <w:rPr>
          <w:rFonts w:hint="eastAsia"/>
        </w:rPr>
        <w:t>个月内完成项目施工。</w:t>
      </w:r>
    </w:p>
    <w:p w:rsidR="00BC07F0" w:rsidRDefault="00073EFB" w:rsidP="00C55F5E">
      <w:pPr>
        <w:pStyle w:val="3"/>
        <w:ind w:firstLine="482"/>
      </w:pPr>
      <w:bookmarkStart w:id="105" w:name="_Toc5014"/>
      <w:r>
        <w:t>2.1.2</w:t>
      </w:r>
      <w:r>
        <w:rPr>
          <w:rFonts w:hint="eastAsia"/>
        </w:rPr>
        <w:t>预测交通量</w:t>
      </w:r>
      <w:bookmarkEnd w:id="105"/>
    </w:p>
    <w:p w:rsidR="00BC07F0" w:rsidRDefault="00073EFB" w:rsidP="00C55F5E">
      <w:pPr>
        <w:ind w:firstLine="480"/>
      </w:pPr>
      <w:r>
        <w:rPr>
          <w:rFonts w:hint="eastAsia"/>
        </w:rPr>
        <w:t>1</w:t>
      </w:r>
      <w:r>
        <w:rPr>
          <w:rFonts w:hint="eastAsia"/>
        </w:rPr>
        <w:t>、</w:t>
      </w:r>
      <w:r>
        <w:t>车型构成</w:t>
      </w:r>
    </w:p>
    <w:p w:rsidR="00BC07F0" w:rsidRDefault="00073EFB" w:rsidP="00C55F5E">
      <w:pPr>
        <w:ind w:firstLine="480"/>
      </w:pPr>
      <w:r>
        <w:t>根据《公路建设项目环境</w:t>
      </w:r>
      <w:r>
        <w:t>影响评价规范》（</w:t>
      </w:r>
      <w:r>
        <w:t>JTGB03-2006</w:t>
      </w:r>
      <w:r>
        <w:t>）的要求，将汽车车型分为大、中、小三种，车型分类标准见表</w:t>
      </w:r>
      <w:r>
        <w:rPr>
          <w:rFonts w:hint="eastAsia"/>
        </w:rPr>
        <w:t>2-1</w:t>
      </w:r>
      <w:r>
        <w:t>。</w:t>
      </w:r>
    </w:p>
    <w:p w:rsidR="00BC07F0" w:rsidRDefault="00073EFB">
      <w:pPr>
        <w:pStyle w:val="a7"/>
        <w:rPr>
          <w:rFonts w:hint="default"/>
          <w:b/>
          <w:bCs/>
        </w:rPr>
      </w:pPr>
      <w:r>
        <w:rPr>
          <w:b/>
          <w:bCs/>
        </w:rPr>
        <w:t>表</w:t>
      </w:r>
      <w:r>
        <w:rPr>
          <w:b/>
          <w:bCs/>
        </w:rPr>
        <w:t>2-1</w:t>
      </w:r>
      <w:r>
        <w:rPr>
          <w:b/>
          <w:bCs/>
        </w:rPr>
        <w:t>车型分类标准</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4"/>
        <w:gridCol w:w="1831"/>
        <w:gridCol w:w="4632"/>
      </w:tblGrid>
      <w:tr w:rsidR="00BC07F0">
        <w:trPr>
          <w:trHeight w:val="397"/>
          <w:jc w:val="center"/>
        </w:trPr>
        <w:tc>
          <w:tcPr>
            <w:tcW w:w="1974" w:type="dxa"/>
            <w:vAlign w:val="center"/>
          </w:tcPr>
          <w:p w:rsidR="00BC07F0" w:rsidRDefault="00073EFB">
            <w:pPr>
              <w:pStyle w:val="a7"/>
              <w:rPr>
                <w:rFonts w:hint="default"/>
              </w:rPr>
            </w:pPr>
            <w:r>
              <w:t>车型</w:t>
            </w:r>
          </w:p>
        </w:tc>
        <w:tc>
          <w:tcPr>
            <w:tcW w:w="1831" w:type="dxa"/>
            <w:vAlign w:val="center"/>
          </w:tcPr>
          <w:p w:rsidR="00BC07F0" w:rsidRDefault="00073EFB">
            <w:pPr>
              <w:pStyle w:val="a7"/>
              <w:rPr>
                <w:rFonts w:hint="default"/>
              </w:rPr>
            </w:pPr>
            <w:r>
              <w:t>汽车总质量</w:t>
            </w:r>
          </w:p>
        </w:tc>
        <w:tc>
          <w:tcPr>
            <w:tcW w:w="4632" w:type="dxa"/>
            <w:vAlign w:val="center"/>
          </w:tcPr>
          <w:p w:rsidR="00BC07F0" w:rsidRDefault="00073EFB">
            <w:pPr>
              <w:pStyle w:val="a7"/>
              <w:rPr>
                <w:rFonts w:hint="default"/>
              </w:rPr>
            </w:pPr>
            <w:r>
              <w:t>主要汽车类型</w:t>
            </w:r>
          </w:p>
        </w:tc>
      </w:tr>
      <w:tr w:rsidR="00BC07F0">
        <w:trPr>
          <w:trHeight w:val="397"/>
          <w:jc w:val="center"/>
        </w:trPr>
        <w:tc>
          <w:tcPr>
            <w:tcW w:w="1974" w:type="dxa"/>
            <w:vAlign w:val="center"/>
          </w:tcPr>
          <w:p w:rsidR="00BC07F0" w:rsidRDefault="00073EFB">
            <w:pPr>
              <w:pStyle w:val="a7"/>
              <w:rPr>
                <w:rFonts w:hint="default"/>
              </w:rPr>
            </w:pPr>
            <w:r>
              <w:t>小型车（</w:t>
            </w:r>
            <w:r>
              <w:t>s</w:t>
            </w:r>
            <w:r>
              <w:t>）</w:t>
            </w:r>
          </w:p>
        </w:tc>
        <w:tc>
          <w:tcPr>
            <w:tcW w:w="1831" w:type="dxa"/>
            <w:vAlign w:val="center"/>
          </w:tcPr>
          <w:p w:rsidR="00BC07F0" w:rsidRDefault="00073EFB">
            <w:pPr>
              <w:pStyle w:val="a7"/>
              <w:rPr>
                <w:rFonts w:hint="default"/>
              </w:rPr>
            </w:pPr>
            <w:r>
              <w:t>3.5t</w:t>
            </w:r>
            <w:r>
              <w:t>以下</w:t>
            </w:r>
          </w:p>
        </w:tc>
        <w:tc>
          <w:tcPr>
            <w:tcW w:w="4632" w:type="dxa"/>
            <w:vAlign w:val="center"/>
          </w:tcPr>
          <w:p w:rsidR="00BC07F0" w:rsidRDefault="00073EFB">
            <w:pPr>
              <w:pStyle w:val="a7"/>
              <w:rPr>
                <w:rFonts w:hint="default"/>
              </w:rPr>
            </w:pPr>
            <w:r>
              <w:t>7</w:t>
            </w:r>
            <w:r>
              <w:t>座以下中小型客车、小型货车、轿车</w:t>
            </w:r>
          </w:p>
        </w:tc>
      </w:tr>
      <w:tr w:rsidR="00BC07F0">
        <w:trPr>
          <w:trHeight w:val="397"/>
          <w:jc w:val="center"/>
        </w:trPr>
        <w:tc>
          <w:tcPr>
            <w:tcW w:w="1974" w:type="dxa"/>
            <w:vAlign w:val="center"/>
          </w:tcPr>
          <w:p w:rsidR="00BC07F0" w:rsidRDefault="00073EFB">
            <w:pPr>
              <w:pStyle w:val="a7"/>
              <w:rPr>
                <w:rFonts w:hint="default"/>
              </w:rPr>
            </w:pPr>
            <w:r>
              <w:t>中型车（</w:t>
            </w:r>
            <w:r>
              <w:t>m</w:t>
            </w:r>
            <w:r>
              <w:t>）</w:t>
            </w:r>
          </w:p>
        </w:tc>
        <w:tc>
          <w:tcPr>
            <w:tcW w:w="1831" w:type="dxa"/>
            <w:vAlign w:val="center"/>
          </w:tcPr>
          <w:p w:rsidR="00BC07F0" w:rsidRDefault="00073EFB">
            <w:pPr>
              <w:pStyle w:val="a7"/>
              <w:rPr>
                <w:rFonts w:hint="default"/>
              </w:rPr>
            </w:pPr>
            <w:r>
              <w:t>3.5t</w:t>
            </w:r>
            <w:r>
              <w:t>以上～</w:t>
            </w:r>
            <w:r>
              <w:t>12t</w:t>
            </w:r>
          </w:p>
        </w:tc>
        <w:tc>
          <w:tcPr>
            <w:tcW w:w="4632" w:type="dxa"/>
            <w:vAlign w:val="center"/>
          </w:tcPr>
          <w:p w:rsidR="00BC07F0" w:rsidRDefault="00073EFB">
            <w:pPr>
              <w:pStyle w:val="a7"/>
              <w:rPr>
                <w:rFonts w:hint="default"/>
              </w:rPr>
            </w:pPr>
            <w:r>
              <w:t>农用三轮车、四轮车、中型客车、中型货车</w:t>
            </w:r>
          </w:p>
        </w:tc>
      </w:tr>
      <w:tr w:rsidR="00BC07F0">
        <w:trPr>
          <w:trHeight w:val="397"/>
          <w:jc w:val="center"/>
        </w:trPr>
        <w:tc>
          <w:tcPr>
            <w:tcW w:w="1974" w:type="dxa"/>
            <w:vAlign w:val="center"/>
          </w:tcPr>
          <w:p w:rsidR="00BC07F0" w:rsidRDefault="00073EFB">
            <w:pPr>
              <w:pStyle w:val="a7"/>
              <w:rPr>
                <w:rFonts w:hint="default"/>
              </w:rPr>
            </w:pPr>
            <w:r>
              <w:t>大型车（</w:t>
            </w:r>
            <w:r>
              <w:t>L</w:t>
            </w:r>
            <w:r>
              <w:t>）</w:t>
            </w:r>
          </w:p>
        </w:tc>
        <w:tc>
          <w:tcPr>
            <w:tcW w:w="1831" w:type="dxa"/>
            <w:vAlign w:val="center"/>
          </w:tcPr>
          <w:p w:rsidR="00BC07F0" w:rsidRDefault="00073EFB">
            <w:pPr>
              <w:pStyle w:val="a7"/>
              <w:rPr>
                <w:rFonts w:hint="default"/>
              </w:rPr>
            </w:pPr>
            <w:r>
              <w:t>12t</w:t>
            </w:r>
            <w:r>
              <w:t>以上</w:t>
            </w:r>
          </w:p>
        </w:tc>
        <w:tc>
          <w:tcPr>
            <w:tcW w:w="4632" w:type="dxa"/>
            <w:vAlign w:val="center"/>
          </w:tcPr>
          <w:p w:rsidR="00BC07F0" w:rsidRDefault="00073EFB">
            <w:pPr>
              <w:pStyle w:val="a7"/>
              <w:rPr>
                <w:rFonts w:hint="default"/>
              </w:rPr>
            </w:pPr>
            <w:r>
              <w:t>大客</w:t>
            </w:r>
            <w:r>
              <w:t>车</w:t>
            </w:r>
            <w:r>
              <w:t>、大货车、集装箱车、拖挂车、工程车等</w:t>
            </w:r>
          </w:p>
        </w:tc>
      </w:tr>
    </w:tbl>
    <w:p w:rsidR="00BC07F0" w:rsidRDefault="00073EFB" w:rsidP="00C55F5E">
      <w:pPr>
        <w:ind w:firstLine="480"/>
      </w:pPr>
      <w:r>
        <w:rPr>
          <w:rFonts w:hint="eastAsia"/>
        </w:rPr>
        <w:t>2</w:t>
      </w:r>
      <w:r>
        <w:rPr>
          <w:rFonts w:hint="eastAsia"/>
        </w:rPr>
        <w:t>、</w:t>
      </w:r>
      <w:r>
        <w:t>交通量预测</w:t>
      </w:r>
    </w:p>
    <w:p w:rsidR="00BC07F0" w:rsidRDefault="00073EFB" w:rsidP="00C55F5E">
      <w:pPr>
        <w:ind w:firstLine="480"/>
      </w:pPr>
      <w:r>
        <w:rPr>
          <w:rFonts w:hint="eastAsia"/>
        </w:rPr>
        <w:t>根据项目可行性研究报告以及项目所在区域的实际交通情况，选择分析年</w:t>
      </w:r>
      <w:r>
        <w:rPr>
          <w:rFonts w:hint="eastAsia"/>
        </w:rPr>
        <w:t>202</w:t>
      </w:r>
      <w:r>
        <w:rPr>
          <w:rFonts w:hint="eastAsia"/>
        </w:rPr>
        <w:t>5</w:t>
      </w:r>
      <w:r>
        <w:rPr>
          <w:rFonts w:hint="eastAsia"/>
        </w:rPr>
        <w:t>年、</w:t>
      </w:r>
      <w:r>
        <w:rPr>
          <w:rFonts w:hint="eastAsia"/>
        </w:rPr>
        <w:t>202</w:t>
      </w:r>
      <w:r>
        <w:rPr>
          <w:rFonts w:hint="eastAsia"/>
        </w:rPr>
        <w:t>7</w:t>
      </w:r>
      <w:r>
        <w:rPr>
          <w:rFonts w:hint="eastAsia"/>
        </w:rPr>
        <w:t>年、</w:t>
      </w:r>
      <w:r>
        <w:rPr>
          <w:rFonts w:hint="eastAsia"/>
        </w:rPr>
        <w:t>203</w:t>
      </w:r>
      <w:r>
        <w:rPr>
          <w:rFonts w:hint="eastAsia"/>
        </w:rPr>
        <w:t>2</w:t>
      </w:r>
      <w:r>
        <w:rPr>
          <w:rFonts w:hint="eastAsia"/>
        </w:rPr>
        <w:t>年三个特征年进行预测分析</w:t>
      </w:r>
      <w:r>
        <w:rPr>
          <w:rFonts w:hint="eastAsia"/>
        </w:rPr>
        <w:t>，</w:t>
      </w:r>
      <w:r>
        <w:rPr>
          <w:rFonts w:hint="eastAsia"/>
        </w:rPr>
        <w:t>根据项目可行性研究报告交通量预测结果详见表</w:t>
      </w:r>
      <w:r>
        <w:rPr>
          <w:rFonts w:hint="eastAsia"/>
        </w:rPr>
        <w:t>2-2</w:t>
      </w:r>
      <w:r>
        <w:rPr>
          <w:rFonts w:hint="eastAsia"/>
        </w:rPr>
        <w:t>。</w:t>
      </w:r>
    </w:p>
    <w:p w:rsidR="00BC07F0" w:rsidRDefault="00073EFB">
      <w:pPr>
        <w:pStyle w:val="a7"/>
        <w:rPr>
          <w:rFonts w:hint="default"/>
          <w:b/>
          <w:bCs/>
        </w:rPr>
      </w:pPr>
      <w:r>
        <w:rPr>
          <w:b/>
          <w:bCs/>
        </w:rPr>
        <w:t>表</w:t>
      </w:r>
      <w:r>
        <w:rPr>
          <w:b/>
          <w:bCs/>
        </w:rPr>
        <w:t>2-2</w:t>
      </w:r>
      <w:r>
        <w:rPr>
          <w:b/>
          <w:bCs/>
        </w:rPr>
        <w:t>项目交通量预测表（</w:t>
      </w:r>
      <w:r>
        <w:rPr>
          <w:b/>
          <w:bCs/>
        </w:rPr>
        <w:t>pcu/d</w:t>
      </w:r>
      <w:r>
        <w:rPr>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6"/>
        <w:gridCol w:w="1469"/>
        <w:gridCol w:w="1410"/>
        <w:gridCol w:w="1377"/>
      </w:tblGrid>
      <w:tr w:rsidR="00BC07F0">
        <w:trPr>
          <w:trHeight w:val="454"/>
          <w:jc w:val="center"/>
        </w:trPr>
        <w:tc>
          <w:tcPr>
            <w:tcW w:w="2503" w:type="pct"/>
            <w:vAlign w:val="center"/>
          </w:tcPr>
          <w:p w:rsidR="00BC07F0" w:rsidRDefault="00073EFB">
            <w:pPr>
              <w:pStyle w:val="a7"/>
              <w:rPr>
                <w:rFonts w:hint="default"/>
              </w:rPr>
            </w:pPr>
            <w:r>
              <w:t>特征年</w:t>
            </w:r>
          </w:p>
        </w:tc>
        <w:tc>
          <w:tcPr>
            <w:tcW w:w="862" w:type="pct"/>
            <w:vAlign w:val="center"/>
          </w:tcPr>
          <w:p w:rsidR="00BC07F0" w:rsidRDefault="00073EFB">
            <w:pPr>
              <w:pStyle w:val="a7"/>
              <w:rPr>
                <w:rFonts w:hint="default"/>
              </w:rPr>
            </w:pPr>
            <w:r>
              <w:t>202</w:t>
            </w:r>
            <w:r>
              <w:t>5</w:t>
            </w:r>
          </w:p>
        </w:tc>
        <w:tc>
          <w:tcPr>
            <w:tcW w:w="827" w:type="pct"/>
            <w:vAlign w:val="center"/>
          </w:tcPr>
          <w:p w:rsidR="00BC07F0" w:rsidRDefault="00073EFB">
            <w:pPr>
              <w:pStyle w:val="a7"/>
              <w:rPr>
                <w:rFonts w:hint="default"/>
              </w:rPr>
            </w:pPr>
            <w:r>
              <w:t>202</w:t>
            </w:r>
            <w:r>
              <w:t>7</w:t>
            </w:r>
          </w:p>
        </w:tc>
        <w:tc>
          <w:tcPr>
            <w:tcW w:w="806" w:type="pct"/>
            <w:vAlign w:val="center"/>
          </w:tcPr>
          <w:p w:rsidR="00BC07F0" w:rsidRDefault="00073EFB">
            <w:pPr>
              <w:pStyle w:val="a7"/>
              <w:rPr>
                <w:rFonts w:hint="default"/>
              </w:rPr>
            </w:pPr>
            <w:r>
              <w:t>203</w:t>
            </w:r>
            <w:r>
              <w:t>2</w:t>
            </w:r>
          </w:p>
        </w:tc>
      </w:tr>
      <w:tr w:rsidR="00BC07F0">
        <w:trPr>
          <w:trHeight w:val="454"/>
          <w:jc w:val="center"/>
        </w:trPr>
        <w:tc>
          <w:tcPr>
            <w:tcW w:w="2503" w:type="pct"/>
            <w:vAlign w:val="center"/>
          </w:tcPr>
          <w:p w:rsidR="00BC07F0" w:rsidRDefault="00073EFB">
            <w:pPr>
              <w:pStyle w:val="a7"/>
              <w:rPr>
                <w:rFonts w:hint="default"/>
              </w:rPr>
            </w:pPr>
            <w:r>
              <w:t>湘江南路（白沙大道——前进路）</w:t>
            </w:r>
            <w:r>
              <w:t>交通量</w:t>
            </w:r>
          </w:p>
          <w:p w:rsidR="00BC07F0" w:rsidRDefault="00073EFB">
            <w:pPr>
              <w:pStyle w:val="a7"/>
              <w:rPr>
                <w:rFonts w:hint="default"/>
              </w:rPr>
            </w:pPr>
            <w:r>
              <w:t>（标准小客车当量：</w:t>
            </w:r>
            <w:r>
              <w:t>puc/d</w:t>
            </w:r>
            <w:r>
              <w:t>）</w:t>
            </w:r>
          </w:p>
        </w:tc>
        <w:tc>
          <w:tcPr>
            <w:tcW w:w="862" w:type="pct"/>
            <w:vAlign w:val="center"/>
          </w:tcPr>
          <w:p w:rsidR="00BC07F0" w:rsidRDefault="00073EFB">
            <w:pPr>
              <w:pStyle w:val="a7"/>
              <w:rPr>
                <w:rFonts w:hint="default"/>
              </w:rPr>
            </w:pPr>
            <w:r>
              <w:t>1660</w:t>
            </w:r>
          </w:p>
        </w:tc>
        <w:tc>
          <w:tcPr>
            <w:tcW w:w="827" w:type="pct"/>
            <w:vAlign w:val="center"/>
          </w:tcPr>
          <w:p w:rsidR="00BC07F0" w:rsidRDefault="00073EFB">
            <w:pPr>
              <w:pStyle w:val="a7"/>
              <w:rPr>
                <w:rFonts w:hint="default"/>
              </w:rPr>
            </w:pPr>
            <w:r>
              <w:t>2146</w:t>
            </w:r>
          </w:p>
        </w:tc>
        <w:tc>
          <w:tcPr>
            <w:tcW w:w="806" w:type="pct"/>
            <w:vAlign w:val="center"/>
          </w:tcPr>
          <w:p w:rsidR="00BC07F0" w:rsidRDefault="00073EFB">
            <w:pPr>
              <w:pStyle w:val="a7"/>
              <w:rPr>
                <w:rFonts w:hint="default"/>
              </w:rPr>
            </w:pPr>
            <w:r>
              <w:t>2718</w:t>
            </w:r>
          </w:p>
        </w:tc>
      </w:tr>
      <w:tr w:rsidR="00BC07F0">
        <w:trPr>
          <w:trHeight w:val="454"/>
          <w:jc w:val="center"/>
        </w:trPr>
        <w:tc>
          <w:tcPr>
            <w:tcW w:w="2503" w:type="pct"/>
            <w:vAlign w:val="center"/>
          </w:tcPr>
          <w:p w:rsidR="00BC07F0" w:rsidRDefault="00073EFB">
            <w:pPr>
              <w:pStyle w:val="a7"/>
              <w:rPr>
                <w:rFonts w:hint="default"/>
              </w:rPr>
            </w:pPr>
            <w:r>
              <w:lastRenderedPageBreak/>
              <w:t>酃白路</w:t>
            </w:r>
            <w:r>
              <w:t>交通量</w:t>
            </w:r>
          </w:p>
          <w:p w:rsidR="00BC07F0" w:rsidRDefault="00073EFB">
            <w:pPr>
              <w:pStyle w:val="a7"/>
              <w:rPr>
                <w:rFonts w:hint="default"/>
              </w:rPr>
            </w:pPr>
            <w:r>
              <w:t>（标准小客车当量：</w:t>
            </w:r>
            <w:r>
              <w:t>puc/d</w:t>
            </w:r>
            <w:r>
              <w:t>）</w:t>
            </w:r>
          </w:p>
        </w:tc>
        <w:tc>
          <w:tcPr>
            <w:tcW w:w="1470" w:type="dxa"/>
            <w:vAlign w:val="center"/>
          </w:tcPr>
          <w:p w:rsidR="00BC07F0" w:rsidRDefault="00073EFB">
            <w:pPr>
              <w:pStyle w:val="a7"/>
              <w:rPr>
                <w:rFonts w:hint="default"/>
              </w:rPr>
            </w:pPr>
            <w:r>
              <w:t>1675</w:t>
            </w:r>
          </w:p>
        </w:tc>
        <w:tc>
          <w:tcPr>
            <w:tcW w:w="1410" w:type="dxa"/>
            <w:vAlign w:val="center"/>
          </w:tcPr>
          <w:p w:rsidR="00BC07F0" w:rsidRDefault="00073EFB">
            <w:pPr>
              <w:pStyle w:val="a7"/>
              <w:rPr>
                <w:rFonts w:hint="default"/>
              </w:rPr>
            </w:pPr>
            <w:r>
              <w:t>2171</w:t>
            </w:r>
          </w:p>
        </w:tc>
        <w:tc>
          <w:tcPr>
            <w:tcW w:w="1375" w:type="dxa"/>
            <w:vAlign w:val="center"/>
          </w:tcPr>
          <w:p w:rsidR="00BC07F0" w:rsidRDefault="00073EFB">
            <w:pPr>
              <w:pStyle w:val="a7"/>
              <w:rPr>
                <w:rFonts w:hint="default"/>
              </w:rPr>
            </w:pPr>
            <w:r>
              <w:t>2984</w:t>
            </w:r>
          </w:p>
        </w:tc>
      </w:tr>
      <w:tr w:rsidR="00BC07F0">
        <w:trPr>
          <w:trHeight w:val="454"/>
          <w:jc w:val="center"/>
        </w:trPr>
        <w:tc>
          <w:tcPr>
            <w:tcW w:w="2503" w:type="pct"/>
            <w:vAlign w:val="center"/>
          </w:tcPr>
          <w:p w:rsidR="00BC07F0" w:rsidRDefault="00073EFB">
            <w:pPr>
              <w:pStyle w:val="a7"/>
              <w:rPr>
                <w:rFonts w:hint="default"/>
              </w:rPr>
            </w:pPr>
            <w:r>
              <w:t>前进路</w:t>
            </w:r>
            <w:r>
              <w:t>交通量</w:t>
            </w:r>
          </w:p>
          <w:p w:rsidR="00BC07F0" w:rsidRDefault="00073EFB">
            <w:pPr>
              <w:pStyle w:val="a7"/>
              <w:rPr>
                <w:rFonts w:hint="default"/>
              </w:rPr>
            </w:pPr>
            <w:r>
              <w:t>（标准小客车当量：</w:t>
            </w:r>
            <w:r>
              <w:t>puc/d</w:t>
            </w:r>
            <w:r>
              <w:t>）</w:t>
            </w:r>
          </w:p>
        </w:tc>
        <w:tc>
          <w:tcPr>
            <w:tcW w:w="862" w:type="pct"/>
            <w:vAlign w:val="center"/>
          </w:tcPr>
          <w:p w:rsidR="00BC07F0" w:rsidRDefault="00073EFB">
            <w:pPr>
              <w:pStyle w:val="a7"/>
              <w:rPr>
                <w:rFonts w:hint="default"/>
              </w:rPr>
            </w:pPr>
            <w:r>
              <w:t>1</w:t>
            </w:r>
            <w:r>
              <w:t>509</w:t>
            </w:r>
          </w:p>
        </w:tc>
        <w:tc>
          <w:tcPr>
            <w:tcW w:w="827" w:type="pct"/>
            <w:vAlign w:val="center"/>
          </w:tcPr>
          <w:p w:rsidR="00BC07F0" w:rsidRDefault="00073EFB">
            <w:pPr>
              <w:pStyle w:val="a7"/>
              <w:rPr>
                <w:rFonts w:hint="default"/>
              </w:rPr>
            </w:pPr>
            <w:r>
              <w:t>1610</w:t>
            </w:r>
          </w:p>
        </w:tc>
        <w:tc>
          <w:tcPr>
            <w:tcW w:w="806" w:type="pct"/>
            <w:vAlign w:val="center"/>
          </w:tcPr>
          <w:p w:rsidR="00BC07F0" w:rsidRDefault="00073EFB">
            <w:pPr>
              <w:pStyle w:val="a7"/>
              <w:rPr>
                <w:rFonts w:hint="default"/>
              </w:rPr>
            </w:pPr>
            <w:r>
              <w:t>2013</w:t>
            </w:r>
          </w:p>
        </w:tc>
      </w:tr>
      <w:tr w:rsidR="00BC07F0">
        <w:trPr>
          <w:trHeight w:val="454"/>
          <w:jc w:val="center"/>
        </w:trPr>
        <w:tc>
          <w:tcPr>
            <w:tcW w:w="5000" w:type="pct"/>
            <w:gridSpan w:val="4"/>
            <w:vAlign w:val="center"/>
          </w:tcPr>
          <w:p w:rsidR="00BC07F0" w:rsidRDefault="00073EFB">
            <w:pPr>
              <w:pStyle w:val="a7"/>
              <w:rPr>
                <w:rFonts w:hint="default"/>
              </w:rPr>
            </w:pPr>
            <w:r>
              <w:t>车辆转换系数：小型车</w:t>
            </w:r>
            <w:r>
              <w:t>1.0</w:t>
            </w:r>
            <w:r>
              <w:t>、中型车</w:t>
            </w:r>
            <w:r>
              <w:t>1.5</w:t>
            </w:r>
            <w:r>
              <w:t>、大型车</w:t>
            </w:r>
            <w:r>
              <w:t>2.0</w:t>
            </w:r>
          </w:p>
        </w:tc>
      </w:tr>
    </w:tbl>
    <w:p w:rsidR="00BC07F0" w:rsidRDefault="00073EFB" w:rsidP="00C55F5E">
      <w:pPr>
        <w:ind w:firstLine="480"/>
      </w:pPr>
      <w:r>
        <w:rPr>
          <w:rFonts w:hint="eastAsia"/>
        </w:rPr>
        <w:t>根据实际调查</w:t>
      </w:r>
      <w:r>
        <w:rPr>
          <w:rFonts w:hint="eastAsia"/>
        </w:rPr>
        <w:t>衡阳</w:t>
      </w:r>
      <w:r>
        <w:rPr>
          <w:rFonts w:hint="eastAsia"/>
        </w:rPr>
        <w:t>市多条道路高峰小时车流量出现在</w:t>
      </w:r>
      <w:r>
        <w:rPr>
          <w:rFonts w:hint="eastAsia"/>
        </w:rPr>
        <w:t>16-17</w:t>
      </w:r>
      <w:r>
        <w:rPr>
          <w:rFonts w:hint="eastAsia"/>
        </w:rPr>
        <w:t>时，约占总车流量的</w:t>
      </w:r>
      <w:r>
        <w:rPr>
          <w:rFonts w:hint="eastAsia"/>
        </w:rPr>
        <w:t>10%</w:t>
      </w:r>
      <w:r>
        <w:rPr>
          <w:rFonts w:hint="eastAsia"/>
        </w:rPr>
        <w:t>。道路的车型比例按小型车：中型车：大型车</w:t>
      </w:r>
      <w:r>
        <w:rPr>
          <w:rFonts w:hint="eastAsia"/>
        </w:rPr>
        <w:t>=6</w:t>
      </w:r>
      <w:r>
        <w:rPr>
          <w:rFonts w:hint="eastAsia"/>
        </w:rPr>
        <w:t>：</w:t>
      </w:r>
      <w:r>
        <w:rPr>
          <w:rFonts w:hint="eastAsia"/>
        </w:rPr>
        <w:t>3</w:t>
      </w:r>
      <w:r>
        <w:rPr>
          <w:rFonts w:hint="eastAsia"/>
        </w:rPr>
        <w:t>：</w:t>
      </w:r>
      <w:r>
        <w:rPr>
          <w:rFonts w:hint="eastAsia"/>
        </w:rPr>
        <w:t>1</w:t>
      </w:r>
      <w:r>
        <w:rPr>
          <w:rFonts w:hint="eastAsia"/>
        </w:rPr>
        <w:t>计，日均昼夜交通比例约为</w:t>
      </w:r>
      <w:r>
        <w:rPr>
          <w:rFonts w:hint="eastAsia"/>
        </w:rPr>
        <w:t>4</w:t>
      </w:r>
      <w:r>
        <w:rPr>
          <w:rFonts w:hint="eastAsia"/>
        </w:rPr>
        <w:t>：</w:t>
      </w:r>
      <w:r>
        <w:rPr>
          <w:rFonts w:hint="eastAsia"/>
        </w:rPr>
        <w:t>1</w:t>
      </w:r>
      <w:r>
        <w:rPr>
          <w:rFonts w:hint="eastAsia"/>
        </w:rPr>
        <w:t>（昼间</w:t>
      </w:r>
      <w:r>
        <w:t>06</w:t>
      </w:r>
      <w:r>
        <w:t>：</w:t>
      </w:r>
      <w:r>
        <w:t>00~22</w:t>
      </w:r>
      <w:r>
        <w:t>：</w:t>
      </w:r>
      <w:r>
        <w:t>00</w:t>
      </w:r>
      <w:r>
        <w:rPr>
          <w:rFonts w:hint="eastAsia"/>
        </w:rPr>
        <w:t>，夜间</w:t>
      </w:r>
      <w:r>
        <w:rPr>
          <w:rFonts w:hint="eastAsia"/>
        </w:rPr>
        <w:t>22</w:t>
      </w:r>
      <w:r>
        <w:rPr>
          <w:rFonts w:hint="eastAsia"/>
        </w:rPr>
        <w:t>：</w:t>
      </w:r>
      <w:r>
        <w:rPr>
          <w:rFonts w:hint="eastAsia"/>
        </w:rPr>
        <w:t>00~</w:t>
      </w:r>
      <w:r>
        <w:rPr>
          <w:rFonts w:hint="eastAsia"/>
        </w:rPr>
        <w:t>次日</w:t>
      </w:r>
      <w:r>
        <w:rPr>
          <w:rFonts w:hint="eastAsia"/>
        </w:rPr>
        <w:t>6</w:t>
      </w:r>
      <w:r>
        <w:rPr>
          <w:rFonts w:hint="eastAsia"/>
        </w:rPr>
        <w:t>：</w:t>
      </w:r>
      <w:r>
        <w:rPr>
          <w:rFonts w:hint="eastAsia"/>
        </w:rPr>
        <w:t>00</w:t>
      </w:r>
      <w:r>
        <w:rPr>
          <w:rFonts w:hint="eastAsia"/>
        </w:rPr>
        <w:t>）则道路实际交通量见表</w:t>
      </w:r>
      <w:r>
        <w:rPr>
          <w:rFonts w:hint="eastAsia"/>
        </w:rPr>
        <w:t>2-3</w:t>
      </w:r>
      <w:r>
        <w:rPr>
          <w:rFonts w:hint="eastAsia"/>
        </w:rPr>
        <w:t>。</w:t>
      </w:r>
    </w:p>
    <w:p w:rsidR="00BC07F0" w:rsidRDefault="00073EFB">
      <w:pPr>
        <w:pStyle w:val="a7"/>
        <w:rPr>
          <w:rFonts w:hint="default"/>
          <w:b/>
          <w:bCs/>
        </w:rPr>
      </w:pPr>
      <w:r>
        <w:rPr>
          <w:b/>
          <w:bCs/>
        </w:rPr>
        <w:t>表</w:t>
      </w:r>
      <w:r>
        <w:rPr>
          <w:b/>
          <w:bCs/>
        </w:rPr>
        <w:t>2-3</w:t>
      </w:r>
      <w:r>
        <w:rPr>
          <w:b/>
          <w:bCs/>
        </w:rPr>
        <w:t>项目昼夜平均交通量预测表</w:t>
      </w:r>
      <w:r>
        <w:rPr>
          <w:b/>
          <w:bCs/>
        </w:rPr>
        <w:t>单位：辆</w:t>
      </w:r>
      <w:r>
        <w:rPr>
          <w:b/>
          <w:bCs/>
        </w:rPr>
        <w:t>/h</w:t>
      </w:r>
    </w:p>
    <w:tbl>
      <w:tblPr>
        <w:tblW w:w="4950" w:type="pct"/>
        <w:tblInd w:w="91" w:type="dxa"/>
        <w:tblLook w:val="04A0"/>
      </w:tblPr>
      <w:tblGrid>
        <w:gridCol w:w="855"/>
        <w:gridCol w:w="855"/>
        <w:gridCol w:w="868"/>
        <w:gridCol w:w="867"/>
        <w:gridCol w:w="762"/>
        <w:gridCol w:w="867"/>
        <w:gridCol w:w="867"/>
        <w:gridCol w:w="867"/>
        <w:gridCol w:w="762"/>
        <w:gridCol w:w="867"/>
      </w:tblGrid>
      <w:tr w:rsidR="00BC07F0">
        <w:trPr>
          <w:trHeight w:val="397"/>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bookmarkStart w:id="106" w:name="_Toc10895"/>
            <w:bookmarkStart w:id="107" w:name="_Toc9198"/>
            <w:r>
              <w:t>道路名称</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预测年</w:t>
            </w:r>
          </w:p>
        </w:tc>
        <w:tc>
          <w:tcPr>
            <w:tcW w:w="4755"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昼间平均小时车流量</w:t>
            </w:r>
          </w:p>
        </w:tc>
        <w:tc>
          <w:tcPr>
            <w:tcW w:w="4755"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夜间平均小时车流量</w:t>
            </w:r>
          </w:p>
        </w:tc>
      </w:tr>
      <w:tr w:rsidR="00BC07F0">
        <w:trPr>
          <w:trHeight w:val="397"/>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小型车</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中型车</w:t>
            </w:r>
          </w:p>
        </w:tc>
        <w:tc>
          <w:tcPr>
            <w:tcW w:w="11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大型车</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合计</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小型车</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中型车</w:t>
            </w:r>
          </w:p>
        </w:tc>
        <w:tc>
          <w:tcPr>
            <w:tcW w:w="11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大型车</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合计</w:t>
            </w:r>
          </w:p>
        </w:tc>
      </w:tr>
      <w:tr w:rsidR="00BC07F0">
        <w:trPr>
          <w:trHeight w:val="397"/>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湘江南路（白沙大道——前进路）</w:t>
            </w: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2025</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132</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66</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22</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220</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66</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22</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11</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99</w:t>
            </w:r>
          </w:p>
        </w:tc>
      </w:tr>
      <w:tr w:rsidR="00BC07F0">
        <w:trPr>
          <w:trHeight w:val="397"/>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2027</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386</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193</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64</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643</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193</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96</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32</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321</w:t>
            </w:r>
          </w:p>
        </w:tc>
      </w:tr>
      <w:tr w:rsidR="00BC07F0">
        <w:trPr>
          <w:trHeight w:val="397"/>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2032</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483</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242</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81</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806</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242</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121</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40</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403</w:t>
            </w:r>
          </w:p>
        </w:tc>
      </w:tr>
      <w:tr w:rsidR="00BC07F0">
        <w:trPr>
          <w:trHeight w:val="397"/>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道路名称</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预测年</w:t>
            </w:r>
          </w:p>
        </w:tc>
        <w:tc>
          <w:tcPr>
            <w:tcW w:w="4755" w:type="dxa"/>
            <w:gridSpan w:val="4"/>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昼间平均小时车流量</w:t>
            </w:r>
          </w:p>
        </w:tc>
        <w:tc>
          <w:tcPr>
            <w:tcW w:w="4755" w:type="dxa"/>
            <w:gridSpan w:val="4"/>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夜间平均小时车流量</w:t>
            </w:r>
          </w:p>
        </w:tc>
      </w:tr>
      <w:tr w:rsidR="00BC07F0">
        <w:trPr>
          <w:trHeight w:val="397"/>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小型车</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中型车</w:t>
            </w:r>
          </w:p>
        </w:tc>
        <w:tc>
          <w:tcPr>
            <w:tcW w:w="11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大型车</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合计</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小型车</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中型车</w:t>
            </w:r>
          </w:p>
        </w:tc>
        <w:tc>
          <w:tcPr>
            <w:tcW w:w="11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大型车</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合计</w:t>
            </w:r>
          </w:p>
        </w:tc>
      </w:tr>
      <w:tr w:rsidR="00BC07F0">
        <w:trPr>
          <w:trHeight w:val="397"/>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酃白路</w:t>
            </w: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2025</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121</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55</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11</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209</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55</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11</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8</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88</w:t>
            </w:r>
          </w:p>
        </w:tc>
      </w:tr>
      <w:tr w:rsidR="00BC07F0">
        <w:trPr>
          <w:trHeight w:val="397"/>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2027</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375</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182</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53</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632</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182</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85</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21</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310</w:t>
            </w:r>
          </w:p>
        </w:tc>
      </w:tr>
      <w:tr w:rsidR="00BC07F0">
        <w:trPr>
          <w:trHeight w:val="397"/>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2032</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472</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231</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70</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795</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231</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110</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29</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392</w:t>
            </w:r>
          </w:p>
        </w:tc>
      </w:tr>
      <w:tr w:rsidR="00BC07F0">
        <w:trPr>
          <w:trHeight w:val="397"/>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道路名称</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预测年</w:t>
            </w:r>
          </w:p>
        </w:tc>
        <w:tc>
          <w:tcPr>
            <w:tcW w:w="4755" w:type="dxa"/>
            <w:gridSpan w:val="4"/>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昼间平均小时车流量</w:t>
            </w:r>
          </w:p>
        </w:tc>
        <w:tc>
          <w:tcPr>
            <w:tcW w:w="4755" w:type="dxa"/>
            <w:gridSpan w:val="4"/>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夜间平均小时车流量</w:t>
            </w:r>
          </w:p>
        </w:tc>
      </w:tr>
      <w:tr w:rsidR="00BC07F0">
        <w:trPr>
          <w:trHeight w:val="397"/>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小型车</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中型车</w:t>
            </w:r>
          </w:p>
        </w:tc>
        <w:tc>
          <w:tcPr>
            <w:tcW w:w="11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大型车</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合计</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小型车</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中型车</w:t>
            </w:r>
          </w:p>
        </w:tc>
        <w:tc>
          <w:tcPr>
            <w:tcW w:w="11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大型车</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合计</w:t>
            </w:r>
          </w:p>
        </w:tc>
      </w:tr>
      <w:tr w:rsidR="00BC07F0">
        <w:trPr>
          <w:trHeight w:val="397"/>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前进路</w:t>
            </w: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2025</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123</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57</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13</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211</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57</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13</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90</w:t>
            </w:r>
          </w:p>
        </w:tc>
      </w:tr>
      <w:tr w:rsidR="00BC07F0">
        <w:trPr>
          <w:trHeight w:val="397"/>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2027</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377</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184</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55</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634</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184</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87</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23</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312</w:t>
            </w:r>
          </w:p>
        </w:tc>
      </w:tr>
      <w:tr w:rsidR="00BC07F0">
        <w:trPr>
          <w:trHeight w:val="397"/>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2032</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474</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233</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72</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797</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233</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112</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31</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394</w:t>
            </w:r>
          </w:p>
        </w:tc>
      </w:tr>
    </w:tbl>
    <w:p w:rsidR="00BC07F0" w:rsidRDefault="00BC07F0">
      <w:pPr>
        <w:pStyle w:val="a7"/>
        <w:rPr>
          <w:rFonts w:hint="default"/>
        </w:rPr>
      </w:pPr>
    </w:p>
    <w:p w:rsidR="00BC07F0" w:rsidRDefault="00073EFB" w:rsidP="00C55F5E">
      <w:pPr>
        <w:pStyle w:val="2"/>
        <w:ind w:firstLine="482"/>
      </w:pPr>
      <w:r>
        <w:t>2.2</w:t>
      </w:r>
      <w:r>
        <w:rPr>
          <w:rFonts w:hint="eastAsia"/>
        </w:rPr>
        <w:t>噪声源强分析</w:t>
      </w:r>
      <w:bookmarkEnd w:id="106"/>
      <w:bookmarkEnd w:id="107"/>
    </w:p>
    <w:p w:rsidR="00BC07F0" w:rsidRDefault="00073EFB" w:rsidP="00C55F5E">
      <w:pPr>
        <w:pStyle w:val="3"/>
        <w:ind w:firstLine="482"/>
      </w:pPr>
      <w:bookmarkStart w:id="108" w:name="_Toc10189"/>
      <w:r>
        <w:t>2.2.1</w:t>
      </w:r>
      <w:r>
        <w:rPr>
          <w:rFonts w:hint="eastAsia"/>
        </w:rPr>
        <w:t>施工期噪声源强分析</w:t>
      </w:r>
      <w:bookmarkEnd w:id="108"/>
    </w:p>
    <w:p w:rsidR="00BC07F0" w:rsidRDefault="00073EFB" w:rsidP="00C55F5E">
      <w:pPr>
        <w:ind w:firstLine="480"/>
      </w:pPr>
      <w:r>
        <w:rPr>
          <w:rFonts w:hint="eastAsia"/>
        </w:rPr>
        <w:t>本项目施工期间噪声主要来源于施工机械和运输车辆辐射噪声，道路施工期间，作业机械品种较多，主要有沥青摊铺机、压路机、装载机、推土机等。根据调查国内目前常用的筑路机械以及常用机械的实测资料，其污染源强分别见表</w:t>
      </w:r>
      <w:r>
        <w:rPr>
          <w:rFonts w:hint="eastAsia"/>
        </w:rPr>
        <w:t>2-4</w:t>
      </w:r>
      <w:r>
        <w:rPr>
          <w:rFonts w:hint="eastAsia"/>
        </w:rPr>
        <w:t>。</w:t>
      </w:r>
    </w:p>
    <w:p w:rsidR="00BC07F0" w:rsidRDefault="00073EFB">
      <w:pPr>
        <w:pStyle w:val="a7"/>
        <w:rPr>
          <w:rFonts w:hint="default"/>
          <w:b/>
          <w:bCs/>
        </w:rPr>
      </w:pPr>
      <w:r>
        <w:rPr>
          <w:b/>
          <w:bCs/>
        </w:rPr>
        <w:t>表</w:t>
      </w:r>
      <w:r>
        <w:rPr>
          <w:b/>
          <w:bCs/>
        </w:rPr>
        <w:t>2-</w:t>
      </w:r>
      <w:r>
        <w:rPr>
          <w:b/>
          <w:bCs/>
        </w:rPr>
        <w:t>4</w:t>
      </w:r>
      <w:r>
        <w:rPr>
          <w:b/>
          <w:bCs/>
        </w:rPr>
        <w:t>典型施工机械设备的噪声值单位：</w:t>
      </w:r>
      <w:r>
        <w:rPr>
          <w:b/>
          <w:bCs/>
        </w:rPr>
        <w:t>dB</w:t>
      </w:r>
      <w:r>
        <w:rPr>
          <w:b/>
          <w:bCs/>
        </w:rPr>
        <w:t>（</w:t>
      </w:r>
      <w:r>
        <w:rPr>
          <w:b/>
          <w:bCs/>
        </w:rPr>
        <w:t>A</w:t>
      </w:r>
      <w:r>
        <w:rPr>
          <w:b/>
          <w:bCs/>
        </w:rPr>
        <w:t>）</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9"/>
        <w:gridCol w:w="2348"/>
        <w:gridCol w:w="2569"/>
        <w:gridCol w:w="1871"/>
      </w:tblGrid>
      <w:tr w:rsidR="00BC07F0">
        <w:trPr>
          <w:trHeight w:val="397"/>
          <w:jc w:val="center"/>
        </w:trPr>
        <w:tc>
          <w:tcPr>
            <w:tcW w:w="1462" w:type="dxa"/>
            <w:vAlign w:val="center"/>
          </w:tcPr>
          <w:p w:rsidR="00BC07F0" w:rsidRDefault="00073EFB">
            <w:pPr>
              <w:pStyle w:val="a7"/>
              <w:rPr>
                <w:rFonts w:hint="default"/>
              </w:rPr>
            </w:pPr>
            <w:r>
              <w:lastRenderedPageBreak/>
              <w:t>序号</w:t>
            </w:r>
          </w:p>
        </w:tc>
        <w:tc>
          <w:tcPr>
            <w:tcW w:w="2082" w:type="dxa"/>
            <w:vAlign w:val="center"/>
          </w:tcPr>
          <w:p w:rsidR="00BC07F0" w:rsidRDefault="00073EFB">
            <w:pPr>
              <w:pStyle w:val="a7"/>
              <w:rPr>
                <w:rFonts w:hint="default"/>
              </w:rPr>
            </w:pPr>
            <w:r>
              <w:t>机械类型</w:t>
            </w:r>
          </w:p>
        </w:tc>
        <w:tc>
          <w:tcPr>
            <w:tcW w:w="2278" w:type="dxa"/>
            <w:vAlign w:val="center"/>
          </w:tcPr>
          <w:p w:rsidR="00BC07F0" w:rsidRDefault="00073EFB">
            <w:pPr>
              <w:pStyle w:val="a7"/>
              <w:rPr>
                <w:rFonts w:hint="default"/>
              </w:rPr>
            </w:pPr>
            <w:r>
              <w:t>测点距施工机械距离</w:t>
            </w:r>
          </w:p>
        </w:tc>
        <w:tc>
          <w:tcPr>
            <w:tcW w:w="1659" w:type="dxa"/>
            <w:vAlign w:val="center"/>
          </w:tcPr>
          <w:p w:rsidR="00BC07F0" w:rsidRDefault="00073EFB">
            <w:pPr>
              <w:pStyle w:val="a7"/>
              <w:rPr>
                <w:rFonts w:hint="default"/>
              </w:rPr>
            </w:pPr>
            <w:r>
              <w:t>最大声级</w:t>
            </w:r>
          </w:p>
        </w:tc>
      </w:tr>
      <w:tr w:rsidR="00BC07F0">
        <w:trPr>
          <w:trHeight w:val="397"/>
          <w:jc w:val="center"/>
        </w:trPr>
        <w:tc>
          <w:tcPr>
            <w:tcW w:w="1462" w:type="dxa"/>
            <w:vAlign w:val="center"/>
          </w:tcPr>
          <w:p w:rsidR="00BC07F0" w:rsidRDefault="00073EFB">
            <w:pPr>
              <w:pStyle w:val="a7"/>
              <w:rPr>
                <w:rFonts w:hint="default"/>
              </w:rPr>
            </w:pPr>
            <w:r>
              <w:t>1</w:t>
            </w:r>
          </w:p>
        </w:tc>
        <w:tc>
          <w:tcPr>
            <w:tcW w:w="2082" w:type="dxa"/>
            <w:vAlign w:val="center"/>
          </w:tcPr>
          <w:p w:rsidR="00BC07F0" w:rsidRDefault="00073EFB">
            <w:pPr>
              <w:pStyle w:val="a7"/>
              <w:rPr>
                <w:rFonts w:hint="default"/>
              </w:rPr>
            </w:pPr>
            <w:r>
              <w:t>装载机</w:t>
            </w:r>
          </w:p>
        </w:tc>
        <w:tc>
          <w:tcPr>
            <w:tcW w:w="2278" w:type="dxa"/>
            <w:vAlign w:val="center"/>
          </w:tcPr>
          <w:p w:rsidR="00BC07F0" w:rsidRDefault="00073EFB">
            <w:pPr>
              <w:pStyle w:val="a7"/>
              <w:rPr>
                <w:rFonts w:hint="default"/>
              </w:rPr>
            </w:pPr>
            <w:r>
              <w:t>5m</w:t>
            </w:r>
          </w:p>
        </w:tc>
        <w:tc>
          <w:tcPr>
            <w:tcW w:w="1659" w:type="dxa"/>
            <w:vAlign w:val="center"/>
          </w:tcPr>
          <w:p w:rsidR="00BC07F0" w:rsidRDefault="00073EFB">
            <w:pPr>
              <w:pStyle w:val="a7"/>
              <w:rPr>
                <w:rFonts w:hint="default"/>
              </w:rPr>
            </w:pPr>
            <w:r>
              <w:t>95</w:t>
            </w:r>
          </w:p>
        </w:tc>
      </w:tr>
      <w:tr w:rsidR="00BC07F0">
        <w:trPr>
          <w:trHeight w:val="397"/>
          <w:jc w:val="center"/>
        </w:trPr>
        <w:tc>
          <w:tcPr>
            <w:tcW w:w="1462" w:type="dxa"/>
            <w:vAlign w:val="center"/>
          </w:tcPr>
          <w:p w:rsidR="00BC07F0" w:rsidRDefault="00073EFB">
            <w:pPr>
              <w:pStyle w:val="a7"/>
              <w:rPr>
                <w:rFonts w:hint="default"/>
              </w:rPr>
            </w:pPr>
            <w:r>
              <w:t>2</w:t>
            </w:r>
          </w:p>
        </w:tc>
        <w:tc>
          <w:tcPr>
            <w:tcW w:w="2082" w:type="dxa"/>
            <w:vAlign w:val="center"/>
          </w:tcPr>
          <w:p w:rsidR="00BC07F0" w:rsidRDefault="00073EFB">
            <w:pPr>
              <w:pStyle w:val="a7"/>
              <w:rPr>
                <w:rFonts w:hint="default"/>
              </w:rPr>
            </w:pPr>
            <w:r>
              <w:t>平地机</w:t>
            </w:r>
          </w:p>
        </w:tc>
        <w:tc>
          <w:tcPr>
            <w:tcW w:w="2278" w:type="dxa"/>
            <w:vAlign w:val="center"/>
          </w:tcPr>
          <w:p w:rsidR="00BC07F0" w:rsidRDefault="00073EFB">
            <w:pPr>
              <w:pStyle w:val="a7"/>
              <w:rPr>
                <w:rFonts w:hint="default"/>
              </w:rPr>
            </w:pPr>
            <w:r>
              <w:t>5m</w:t>
            </w:r>
          </w:p>
        </w:tc>
        <w:tc>
          <w:tcPr>
            <w:tcW w:w="1659" w:type="dxa"/>
            <w:vAlign w:val="center"/>
          </w:tcPr>
          <w:p w:rsidR="00BC07F0" w:rsidRDefault="00073EFB">
            <w:pPr>
              <w:pStyle w:val="a7"/>
              <w:rPr>
                <w:rFonts w:hint="default"/>
              </w:rPr>
            </w:pPr>
            <w:r>
              <w:t>90</w:t>
            </w:r>
          </w:p>
        </w:tc>
      </w:tr>
      <w:tr w:rsidR="00BC07F0">
        <w:trPr>
          <w:trHeight w:val="397"/>
          <w:jc w:val="center"/>
        </w:trPr>
        <w:tc>
          <w:tcPr>
            <w:tcW w:w="1462" w:type="dxa"/>
            <w:vAlign w:val="center"/>
          </w:tcPr>
          <w:p w:rsidR="00BC07F0" w:rsidRDefault="00073EFB">
            <w:pPr>
              <w:pStyle w:val="a7"/>
              <w:rPr>
                <w:rFonts w:hint="default"/>
              </w:rPr>
            </w:pPr>
            <w:r>
              <w:t>3</w:t>
            </w:r>
          </w:p>
        </w:tc>
        <w:tc>
          <w:tcPr>
            <w:tcW w:w="2082" w:type="dxa"/>
            <w:vAlign w:val="center"/>
          </w:tcPr>
          <w:p w:rsidR="00BC07F0" w:rsidRDefault="00073EFB">
            <w:pPr>
              <w:pStyle w:val="a7"/>
              <w:rPr>
                <w:rFonts w:hint="default"/>
              </w:rPr>
            </w:pPr>
            <w:r>
              <w:t>振动式压路机</w:t>
            </w:r>
          </w:p>
        </w:tc>
        <w:tc>
          <w:tcPr>
            <w:tcW w:w="2278" w:type="dxa"/>
            <w:vAlign w:val="center"/>
          </w:tcPr>
          <w:p w:rsidR="00BC07F0" w:rsidRDefault="00073EFB">
            <w:pPr>
              <w:pStyle w:val="a7"/>
              <w:rPr>
                <w:rFonts w:hint="default"/>
              </w:rPr>
            </w:pPr>
            <w:r>
              <w:t>5m</w:t>
            </w:r>
          </w:p>
        </w:tc>
        <w:tc>
          <w:tcPr>
            <w:tcW w:w="0" w:type="auto"/>
            <w:vAlign w:val="center"/>
          </w:tcPr>
          <w:p w:rsidR="00BC07F0" w:rsidRDefault="00073EFB">
            <w:pPr>
              <w:pStyle w:val="a7"/>
              <w:rPr>
                <w:rFonts w:hint="default"/>
              </w:rPr>
            </w:pPr>
            <w:r>
              <w:t>85</w:t>
            </w:r>
          </w:p>
        </w:tc>
      </w:tr>
      <w:tr w:rsidR="00BC07F0">
        <w:trPr>
          <w:trHeight w:val="397"/>
          <w:jc w:val="center"/>
        </w:trPr>
        <w:tc>
          <w:tcPr>
            <w:tcW w:w="1462" w:type="dxa"/>
            <w:vAlign w:val="center"/>
          </w:tcPr>
          <w:p w:rsidR="00BC07F0" w:rsidRDefault="00073EFB">
            <w:pPr>
              <w:pStyle w:val="a7"/>
              <w:rPr>
                <w:rFonts w:hint="default"/>
              </w:rPr>
            </w:pPr>
            <w:r>
              <w:t>4</w:t>
            </w:r>
          </w:p>
        </w:tc>
        <w:tc>
          <w:tcPr>
            <w:tcW w:w="2082" w:type="dxa"/>
            <w:vAlign w:val="center"/>
          </w:tcPr>
          <w:p w:rsidR="00BC07F0" w:rsidRDefault="00073EFB">
            <w:pPr>
              <w:pStyle w:val="a7"/>
              <w:rPr>
                <w:rFonts w:hint="default"/>
              </w:rPr>
            </w:pPr>
            <w:r>
              <w:t>三轮压路机</w:t>
            </w:r>
          </w:p>
        </w:tc>
        <w:tc>
          <w:tcPr>
            <w:tcW w:w="2278" w:type="dxa"/>
            <w:vAlign w:val="center"/>
          </w:tcPr>
          <w:p w:rsidR="00BC07F0" w:rsidRDefault="00073EFB">
            <w:pPr>
              <w:pStyle w:val="a7"/>
              <w:rPr>
                <w:rFonts w:hint="default"/>
              </w:rPr>
            </w:pPr>
            <w:r>
              <w:t>5m</w:t>
            </w:r>
          </w:p>
        </w:tc>
        <w:tc>
          <w:tcPr>
            <w:tcW w:w="0" w:type="auto"/>
            <w:vAlign w:val="center"/>
          </w:tcPr>
          <w:p w:rsidR="00BC07F0" w:rsidRDefault="00073EFB">
            <w:pPr>
              <w:pStyle w:val="a7"/>
              <w:rPr>
                <w:rFonts w:hint="default"/>
              </w:rPr>
            </w:pPr>
            <w:r>
              <w:t>81</w:t>
            </w:r>
          </w:p>
        </w:tc>
      </w:tr>
      <w:tr w:rsidR="00BC07F0">
        <w:trPr>
          <w:trHeight w:val="397"/>
          <w:jc w:val="center"/>
        </w:trPr>
        <w:tc>
          <w:tcPr>
            <w:tcW w:w="1462" w:type="dxa"/>
            <w:vAlign w:val="center"/>
          </w:tcPr>
          <w:p w:rsidR="00BC07F0" w:rsidRDefault="00073EFB">
            <w:pPr>
              <w:pStyle w:val="a7"/>
              <w:rPr>
                <w:rFonts w:hint="default"/>
              </w:rPr>
            </w:pPr>
            <w:r>
              <w:t>5</w:t>
            </w:r>
          </w:p>
        </w:tc>
        <w:tc>
          <w:tcPr>
            <w:tcW w:w="2082" w:type="dxa"/>
            <w:vAlign w:val="center"/>
          </w:tcPr>
          <w:p w:rsidR="00BC07F0" w:rsidRDefault="00073EFB">
            <w:pPr>
              <w:pStyle w:val="a7"/>
              <w:rPr>
                <w:rFonts w:hint="default"/>
              </w:rPr>
            </w:pPr>
            <w:r>
              <w:t>双轮双振压路机</w:t>
            </w:r>
          </w:p>
        </w:tc>
        <w:tc>
          <w:tcPr>
            <w:tcW w:w="2278" w:type="dxa"/>
            <w:vAlign w:val="center"/>
          </w:tcPr>
          <w:p w:rsidR="00BC07F0" w:rsidRDefault="00073EFB">
            <w:pPr>
              <w:pStyle w:val="a7"/>
              <w:rPr>
                <w:rFonts w:hint="default"/>
              </w:rPr>
            </w:pPr>
            <w:r>
              <w:t>5m</w:t>
            </w:r>
          </w:p>
        </w:tc>
        <w:tc>
          <w:tcPr>
            <w:tcW w:w="0" w:type="auto"/>
            <w:vAlign w:val="center"/>
          </w:tcPr>
          <w:p w:rsidR="00BC07F0" w:rsidRDefault="00073EFB">
            <w:pPr>
              <w:pStyle w:val="a7"/>
              <w:rPr>
                <w:rFonts w:hint="default"/>
              </w:rPr>
            </w:pPr>
            <w:r>
              <w:t>81</w:t>
            </w:r>
          </w:p>
        </w:tc>
      </w:tr>
      <w:tr w:rsidR="00BC07F0">
        <w:trPr>
          <w:trHeight w:val="397"/>
          <w:jc w:val="center"/>
        </w:trPr>
        <w:tc>
          <w:tcPr>
            <w:tcW w:w="1462" w:type="dxa"/>
            <w:vAlign w:val="center"/>
          </w:tcPr>
          <w:p w:rsidR="00BC07F0" w:rsidRDefault="00073EFB">
            <w:pPr>
              <w:pStyle w:val="a7"/>
              <w:rPr>
                <w:rFonts w:hint="default"/>
              </w:rPr>
            </w:pPr>
            <w:r>
              <w:t>6</w:t>
            </w:r>
          </w:p>
        </w:tc>
        <w:tc>
          <w:tcPr>
            <w:tcW w:w="2082" w:type="dxa"/>
            <w:vAlign w:val="center"/>
          </w:tcPr>
          <w:p w:rsidR="00BC07F0" w:rsidRDefault="00073EFB">
            <w:pPr>
              <w:pStyle w:val="a7"/>
              <w:rPr>
                <w:rFonts w:hint="default"/>
              </w:rPr>
            </w:pPr>
            <w:r>
              <w:t>液压</w:t>
            </w:r>
            <w:r>
              <w:t>挖掘机</w:t>
            </w:r>
          </w:p>
        </w:tc>
        <w:tc>
          <w:tcPr>
            <w:tcW w:w="2278" w:type="dxa"/>
            <w:vAlign w:val="center"/>
          </w:tcPr>
          <w:p w:rsidR="00BC07F0" w:rsidRDefault="00073EFB">
            <w:pPr>
              <w:pStyle w:val="a7"/>
              <w:rPr>
                <w:rFonts w:hint="default"/>
              </w:rPr>
            </w:pPr>
            <w:r>
              <w:t>5m</w:t>
            </w:r>
          </w:p>
        </w:tc>
        <w:tc>
          <w:tcPr>
            <w:tcW w:w="0" w:type="auto"/>
            <w:vAlign w:val="center"/>
          </w:tcPr>
          <w:p w:rsidR="00BC07F0" w:rsidRDefault="00073EFB">
            <w:pPr>
              <w:pStyle w:val="a7"/>
              <w:rPr>
                <w:rFonts w:hint="default"/>
              </w:rPr>
            </w:pPr>
            <w:r>
              <w:t>85</w:t>
            </w:r>
          </w:p>
        </w:tc>
      </w:tr>
      <w:tr w:rsidR="00BC07F0">
        <w:trPr>
          <w:trHeight w:val="397"/>
          <w:jc w:val="center"/>
        </w:trPr>
        <w:tc>
          <w:tcPr>
            <w:tcW w:w="1462" w:type="dxa"/>
            <w:vAlign w:val="center"/>
          </w:tcPr>
          <w:p w:rsidR="00BC07F0" w:rsidRDefault="00073EFB">
            <w:pPr>
              <w:pStyle w:val="a7"/>
              <w:rPr>
                <w:rFonts w:hint="default"/>
              </w:rPr>
            </w:pPr>
            <w:r>
              <w:t>7</w:t>
            </w:r>
          </w:p>
        </w:tc>
        <w:tc>
          <w:tcPr>
            <w:tcW w:w="2082" w:type="dxa"/>
            <w:vAlign w:val="center"/>
          </w:tcPr>
          <w:p w:rsidR="00BC07F0" w:rsidRDefault="00073EFB">
            <w:pPr>
              <w:pStyle w:val="a7"/>
              <w:rPr>
                <w:rFonts w:hint="default"/>
              </w:rPr>
            </w:pPr>
            <w:r>
              <w:t>摊铺机</w:t>
            </w:r>
          </w:p>
        </w:tc>
        <w:tc>
          <w:tcPr>
            <w:tcW w:w="2278" w:type="dxa"/>
            <w:vAlign w:val="center"/>
          </w:tcPr>
          <w:p w:rsidR="00BC07F0" w:rsidRDefault="00073EFB">
            <w:pPr>
              <w:pStyle w:val="a7"/>
              <w:rPr>
                <w:rFonts w:hint="default"/>
              </w:rPr>
            </w:pPr>
            <w:r>
              <w:t>5m</w:t>
            </w:r>
          </w:p>
        </w:tc>
        <w:tc>
          <w:tcPr>
            <w:tcW w:w="0" w:type="auto"/>
            <w:vAlign w:val="center"/>
          </w:tcPr>
          <w:p w:rsidR="00BC07F0" w:rsidRDefault="00073EFB">
            <w:pPr>
              <w:pStyle w:val="a7"/>
              <w:rPr>
                <w:rFonts w:hint="default"/>
              </w:rPr>
            </w:pPr>
            <w:r>
              <w:t>88</w:t>
            </w:r>
          </w:p>
        </w:tc>
      </w:tr>
      <w:tr w:rsidR="00BC07F0">
        <w:trPr>
          <w:trHeight w:val="397"/>
          <w:jc w:val="center"/>
        </w:trPr>
        <w:tc>
          <w:tcPr>
            <w:tcW w:w="1462" w:type="dxa"/>
            <w:vAlign w:val="center"/>
          </w:tcPr>
          <w:p w:rsidR="00BC07F0" w:rsidRDefault="00073EFB">
            <w:pPr>
              <w:pStyle w:val="a7"/>
              <w:rPr>
                <w:rFonts w:hint="default"/>
              </w:rPr>
            </w:pPr>
            <w:r>
              <w:t>8</w:t>
            </w:r>
          </w:p>
        </w:tc>
        <w:tc>
          <w:tcPr>
            <w:tcW w:w="2082" w:type="dxa"/>
            <w:vAlign w:val="center"/>
          </w:tcPr>
          <w:p w:rsidR="00BC07F0" w:rsidRDefault="00073EFB">
            <w:pPr>
              <w:pStyle w:val="a7"/>
              <w:rPr>
                <w:rFonts w:hint="default"/>
              </w:rPr>
            </w:pPr>
            <w:r>
              <w:t>推土机</w:t>
            </w:r>
          </w:p>
        </w:tc>
        <w:tc>
          <w:tcPr>
            <w:tcW w:w="2278" w:type="dxa"/>
            <w:vAlign w:val="center"/>
          </w:tcPr>
          <w:p w:rsidR="00BC07F0" w:rsidRDefault="00073EFB">
            <w:pPr>
              <w:pStyle w:val="a7"/>
              <w:rPr>
                <w:rFonts w:hint="default"/>
              </w:rPr>
            </w:pPr>
            <w:r>
              <w:t>5m</w:t>
            </w:r>
          </w:p>
        </w:tc>
        <w:tc>
          <w:tcPr>
            <w:tcW w:w="0" w:type="auto"/>
            <w:vAlign w:val="center"/>
          </w:tcPr>
          <w:p w:rsidR="00BC07F0" w:rsidRDefault="00073EFB">
            <w:pPr>
              <w:pStyle w:val="a7"/>
              <w:rPr>
                <w:rFonts w:hint="default"/>
              </w:rPr>
            </w:pPr>
            <w:r>
              <w:t>88</w:t>
            </w:r>
          </w:p>
        </w:tc>
      </w:tr>
      <w:tr w:rsidR="00BC07F0">
        <w:trPr>
          <w:trHeight w:val="397"/>
          <w:jc w:val="center"/>
        </w:trPr>
        <w:tc>
          <w:tcPr>
            <w:tcW w:w="1462" w:type="dxa"/>
            <w:vAlign w:val="center"/>
          </w:tcPr>
          <w:p w:rsidR="00BC07F0" w:rsidRDefault="00073EFB">
            <w:pPr>
              <w:pStyle w:val="a7"/>
              <w:rPr>
                <w:rFonts w:hint="default"/>
              </w:rPr>
            </w:pPr>
            <w:r>
              <w:t>9</w:t>
            </w:r>
          </w:p>
        </w:tc>
        <w:tc>
          <w:tcPr>
            <w:tcW w:w="2082" w:type="dxa"/>
            <w:vAlign w:val="center"/>
          </w:tcPr>
          <w:p w:rsidR="00BC07F0" w:rsidRDefault="00073EFB">
            <w:pPr>
              <w:pStyle w:val="a7"/>
              <w:rPr>
                <w:rFonts w:hint="default"/>
              </w:rPr>
            </w:pPr>
            <w:r>
              <w:t>轮胎式液压挖掘机</w:t>
            </w:r>
          </w:p>
        </w:tc>
        <w:tc>
          <w:tcPr>
            <w:tcW w:w="2278" w:type="dxa"/>
            <w:vAlign w:val="center"/>
          </w:tcPr>
          <w:p w:rsidR="00BC07F0" w:rsidRDefault="00073EFB">
            <w:pPr>
              <w:pStyle w:val="a7"/>
              <w:rPr>
                <w:rFonts w:hint="default"/>
              </w:rPr>
            </w:pPr>
            <w:r>
              <w:t>5m</w:t>
            </w:r>
          </w:p>
        </w:tc>
        <w:tc>
          <w:tcPr>
            <w:tcW w:w="0" w:type="auto"/>
            <w:vAlign w:val="center"/>
          </w:tcPr>
          <w:p w:rsidR="00BC07F0" w:rsidRDefault="00073EFB">
            <w:pPr>
              <w:pStyle w:val="a7"/>
              <w:rPr>
                <w:rFonts w:hint="default"/>
              </w:rPr>
            </w:pPr>
            <w:r>
              <w:t>84</w:t>
            </w:r>
          </w:p>
        </w:tc>
      </w:tr>
      <w:tr w:rsidR="00BC07F0">
        <w:trPr>
          <w:trHeight w:val="397"/>
          <w:jc w:val="center"/>
        </w:trPr>
        <w:tc>
          <w:tcPr>
            <w:tcW w:w="1462" w:type="dxa"/>
            <w:vAlign w:val="center"/>
          </w:tcPr>
          <w:p w:rsidR="00BC07F0" w:rsidRDefault="00073EFB">
            <w:pPr>
              <w:pStyle w:val="a7"/>
              <w:rPr>
                <w:rFonts w:hint="default"/>
              </w:rPr>
            </w:pPr>
            <w:r>
              <w:t>10</w:t>
            </w:r>
          </w:p>
        </w:tc>
        <w:tc>
          <w:tcPr>
            <w:tcW w:w="2082" w:type="dxa"/>
            <w:vAlign w:val="center"/>
          </w:tcPr>
          <w:p w:rsidR="00BC07F0" w:rsidRDefault="00073EFB">
            <w:pPr>
              <w:pStyle w:val="a7"/>
              <w:rPr>
                <w:rFonts w:hint="default"/>
              </w:rPr>
            </w:pPr>
            <w:r>
              <w:t>振捣机</w:t>
            </w:r>
          </w:p>
        </w:tc>
        <w:tc>
          <w:tcPr>
            <w:tcW w:w="2278" w:type="dxa"/>
            <w:vAlign w:val="center"/>
          </w:tcPr>
          <w:p w:rsidR="00BC07F0" w:rsidRDefault="00073EFB">
            <w:pPr>
              <w:pStyle w:val="a7"/>
              <w:rPr>
                <w:rFonts w:hint="default"/>
              </w:rPr>
            </w:pPr>
            <w:r>
              <w:t>5m</w:t>
            </w:r>
          </w:p>
        </w:tc>
        <w:tc>
          <w:tcPr>
            <w:tcW w:w="0" w:type="auto"/>
            <w:vAlign w:val="center"/>
          </w:tcPr>
          <w:p w:rsidR="00BC07F0" w:rsidRDefault="00073EFB">
            <w:pPr>
              <w:pStyle w:val="a7"/>
              <w:rPr>
                <w:rFonts w:hint="default"/>
              </w:rPr>
            </w:pPr>
            <w:r>
              <w:t>84</w:t>
            </w:r>
          </w:p>
        </w:tc>
      </w:tr>
      <w:tr w:rsidR="00BC07F0">
        <w:trPr>
          <w:trHeight w:val="397"/>
          <w:jc w:val="center"/>
        </w:trPr>
        <w:tc>
          <w:tcPr>
            <w:tcW w:w="1462" w:type="dxa"/>
            <w:vAlign w:val="center"/>
          </w:tcPr>
          <w:p w:rsidR="00BC07F0" w:rsidRDefault="00073EFB">
            <w:pPr>
              <w:pStyle w:val="a7"/>
              <w:rPr>
                <w:rFonts w:hint="default"/>
              </w:rPr>
            </w:pPr>
            <w:r>
              <w:t>11</w:t>
            </w:r>
          </w:p>
        </w:tc>
        <w:tc>
          <w:tcPr>
            <w:tcW w:w="2082" w:type="dxa"/>
            <w:vAlign w:val="center"/>
          </w:tcPr>
          <w:p w:rsidR="00BC07F0" w:rsidRDefault="00073EFB">
            <w:pPr>
              <w:pStyle w:val="a7"/>
              <w:rPr>
                <w:rFonts w:hint="default"/>
              </w:rPr>
            </w:pPr>
            <w:r>
              <w:t>切割机</w:t>
            </w:r>
          </w:p>
        </w:tc>
        <w:tc>
          <w:tcPr>
            <w:tcW w:w="2278" w:type="dxa"/>
            <w:vAlign w:val="center"/>
          </w:tcPr>
          <w:p w:rsidR="00BC07F0" w:rsidRDefault="00073EFB">
            <w:pPr>
              <w:pStyle w:val="a7"/>
              <w:rPr>
                <w:rFonts w:hint="default"/>
              </w:rPr>
            </w:pPr>
            <w:r>
              <w:t>5m</w:t>
            </w:r>
          </w:p>
        </w:tc>
        <w:tc>
          <w:tcPr>
            <w:tcW w:w="0" w:type="auto"/>
            <w:vAlign w:val="center"/>
          </w:tcPr>
          <w:p w:rsidR="00BC07F0" w:rsidRDefault="00073EFB">
            <w:pPr>
              <w:pStyle w:val="a7"/>
              <w:rPr>
                <w:rFonts w:hint="default"/>
              </w:rPr>
            </w:pPr>
            <w:r>
              <w:t>85</w:t>
            </w:r>
          </w:p>
        </w:tc>
      </w:tr>
    </w:tbl>
    <w:p w:rsidR="00BC07F0" w:rsidRDefault="00073EFB" w:rsidP="00C55F5E">
      <w:pPr>
        <w:pStyle w:val="3"/>
        <w:ind w:firstLine="482"/>
      </w:pPr>
      <w:bookmarkStart w:id="109" w:name="_Toc9518"/>
      <w:r>
        <w:t>2.2.2</w:t>
      </w:r>
      <w:r>
        <w:rPr>
          <w:rFonts w:hint="eastAsia"/>
        </w:rPr>
        <w:t>营运期噪声源强分析</w:t>
      </w:r>
      <w:bookmarkEnd w:id="109"/>
    </w:p>
    <w:p w:rsidR="00BC07F0" w:rsidRDefault="00073EFB" w:rsidP="00C55F5E">
      <w:pPr>
        <w:ind w:firstLine="480"/>
      </w:pPr>
      <w:r>
        <w:rPr>
          <w:rFonts w:hint="eastAsia"/>
        </w:rPr>
        <w:t>交通噪声跟车流量和车速有关，本项目设计速度为</w:t>
      </w:r>
      <w:r>
        <w:rPr>
          <w:rFonts w:hint="eastAsia"/>
        </w:rPr>
        <w:t>60km/h</w:t>
      </w:r>
      <w:r>
        <w:rPr>
          <w:rFonts w:hint="eastAsia"/>
        </w:rPr>
        <w:t>。</w:t>
      </w:r>
    </w:p>
    <w:p w:rsidR="00BC07F0" w:rsidRDefault="00073EFB" w:rsidP="00C55F5E">
      <w:pPr>
        <w:ind w:firstLine="480"/>
      </w:pPr>
      <w:r>
        <w:rPr>
          <w:rFonts w:hint="eastAsia"/>
        </w:rPr>
        <w:t>①在道路上行驶的机动车辆噪声源为非稳态源。营运后，车辆的发动机、冷却系统、传动系统等部件均会产生噪声。另外，行驶中引起的气流湍动、排气系统、轮胎与路面的摩擦等也会产生噪声。</w:t>
      </w:r>
    </w:p>
    <w:p w:rsidR="00BC07F0" w:rsidRDefault="00073EFB" w:rsidP="00C55F5E">
      <w:pPr>
        <w:ind w:firstLine="480"/>
      </w:pPr>
      <w:r>
        <w:rPr>
          <w:rFonts w:hint="eastAsia"/>
        </w:rPr>
        <w:t>②由于道路路面平整度等原因而使高速行驶的汽车产生整车噪声。</w:t>
      </w:r>
    </w:p>
    <w:p w:rsidR="00BC07F0" w:rsidRDefault="00073EFB" w:rsidP="00C55F5E">
      <w:pPr>
        <w:ind w:firstLine="480"/>
      </w:pPr>
      <w:r>
        <w:rPr>
          <w:rFonts w:hint="eastAsia"/>
        </w:rPr>
        <w:t>③营运期交通量的增大会提高道路沿线昼夜的交通噪声。</w:t>
      </w:r>
    </w:p>
    <w:p w:rsidR="00BC07F0" w:rsidRDefault="00073EFB" w:rsidP="00C55F5E">
      <w:pPr>
        <w:ind w:firstLine="480"/>
      </w:pPr>
      <w:r>
        <w:rPr>
          <w:rFonts w:hint="eastAsia"/>
        </w:rPr>
        <w:t>单车噪声源强分析：</w:t>
      </w:r>
    </w:p>
    <w:p w:rsidR="00BC07F0" w:rsidRDefault="00073EFB" w:rsidP="00C55F5E">
      <w:pPr>
        <w:ind w:firstLine="480"/>
      </w:pPr>
      <w:r>
        <w:rPr>
          <w:rFonts w:hint="eastAsia"/>
        </w:rPr>
        <w:t>本项目各个预测年各型车的车速和单车行驶辐射噪声级计算如下。</w:t>
      </w:r>
    </w:p>
    <w:p w:rsidR="00BC07F0" w:rsidRDefault="00073EFB" w:rsidP="00C55F5E">
      <w:pPr>
        <w:ind w:firstLine="480"/>
      </w:pPr>
      <w:r>
        <w:rPr>
          <w:rFonts w:hint="eastAsia"/>
        </w:rPr>
        <w:t>车速计算</w:t>
      </w:r>
    </w:p>
    <w:p w:rsidR="00BC07F0" w:rsidRDefault="00BC07F0" w:rsidP="00C55F5E">
      <w:pPr>
        <w:ind w:firstLine="480"/>
        <w:jc w:val="center"/>
      </w:pPr>
      <w:r w:rsidRPr="00BC07F0">
        <w:rPr>
          <w:color w:val="000000"/>
          <w:szCs w:val="20"/>
          <w:lang/>
        </w:rPr>
        <w:object w:dxaOrig="2600" w:dyaOrig="680">
          <v:shape id="_x0000_i1026" type="#_x0000_t75" style="width:127.45pt;height:33.15pt" o:ole="">
            <v:imagedata r:id="rId40" o:title=""/>
          </v:shape>
          <o:OLEObject Type="Embed" ProgID="Equations" ShapeID="_x0000_i1026" DrawAspect="Content" ObjectID="_1746346130" r:id="rId41"/>
        </w:object>
      </w:r>
    </w:p>
    <w:p w:rsidR="00BC07F0" w:rsidRDefault="00BC07F0" w:rsidP="00C55F5E">
      <w:pPr>
        <w:ind w:firstLine="480"/>
        <w:jc w:val="center"/>
      </w:pPr>
      <w:r w:rsidRPr="00BC07F0">
        <w:rPr>
          <w:kern w:val="0"/>
          <w:lang w:val="zh-CN"/>
        </w:rPr>
        <w:object w:dxaOrig="2244" w:dyaOrig="361">
          <v:shape id="_x0000_i1027" type="#_x0000_t75" style="width:112pt;height:17.7pt" o:ole="">
            <v:imagedata r:id="rId42" o:title=""/>
          </v:shape>
          <o:OLEObject Type="Embed" ProgID="Equations" ShapeID="_x0000_i1027" DrawAspect="Content" ObjectID="_1746346131" r:id="rId43"/>
        </w:object>
      </w:r>
    </w:p>
    <w:p w:rsidR="00BC07F0" w:rsidRDefault="00073EFB">
      <w:pPr>
        <w:ind w:firstLine="480"/>
      </w:pPr>
      <w:r>
        <w:rPr>
          <w:rFonts w:hint="eastAsia"/>
        </w:rPr>
        <w:t>式中：</w:t>
      </w:r>
    </w:p>
    <w:p w:rsidR="00BC07F0" w:rsidRDefault="00073EFB">
      <w:pPr>
        <w:ind w:firstLine="480"/>
      </w:pPr>
      <w:r>
        <w:t>Vi——</w:t>
      </w:r>
      <w:r>
        <w:t>第</w:t>
      </w:r>
      <w:r>
        <w:t>i</w:t>
      </w:r>
      <w:r>
        <w:t>种车型车辆的预测车速，</w:t>
      </w:r>
      <w:r>
        <w:t>km/h</w:t>
      </w:r>
      <w:r>
        <w:t>；当设计车速小于</w:t>
      </w:r>
      <w:r>
        <w:t>120km/h</w:t>
      </w:r>
      <w:r>
        <w:t>时，该型车预测车速按比例降低；</w:t>
      </w:r>
    </w:p>
    <w:p w:rsidR="00BC07F0" w:rsidRDefault="00073EFB">
      <w:pPr>
        <w:ind w:firstLine="480"/>
      </w:pPr>
      <w:r>
        <w:t>Ui——</w:t>
      </w:r>
      <w:r>
        <w:t>该车型当量车速；</w:t>
      </w:r>
    </w:p>
    <w:p w:rsidR="00BC07F0" w:rsidRDefault="00073EFB">
      <w:pPr>
        <w:ind w:firstLine="480"/>
      </w:pPr>
      <w:r>
        <w:t>η</w:t>
      </w:r>
      <w:r>
        <w:rPr>
          <w:vertAlign w:val="subscript"/>
        </w:rPr>
        <w:t>i</w:t>
      </w:r>
      <w:r>
        <w:t>——</w:t>
      </w:r>
      <w:r>
        <w:t>该车型的车型比；</w:t>
      </w:r>
    </w:p>
    <w:p w:rsidR="00BC07F0" w:rsidRDefault="00073EFB">
      <w:pPr>
        <w:ind w:firstLine="480"/>
      </w:pPr>
      <w:r>
        <w:t>vol——</w:t>
      </w:r>
      <w:r>
        <w:t>单车道车流量，辆</w:t>
      </w:r>
      <w:r>
        <w:t>/h</w:t>
      </w:r>
      <w:r>
        <w:t>；</w:t>
      </w:r>
    </w:p>
    <w:p w:rsidR="00BC07F0" w:rsidRDefault="00073EFB">
      <w:pPr>
        <w:ind w:firstLine="480"/>
      </w:pPr>
      <w:r>
        <w:lastRenderedPageBreak/>
        <w:t>m</w:t>
      </w:r>
      <w:r>
        <w:rPr>
          <w:vertAlign w:val="subscript"/>
        </w:rPr>
        <w:t>i</w:t>
      </w:r>
      <w:r>
        <w:t>——</w:t>
      </w:r>
      <w:r>
        <w:t>其他两种车型的加权系数。</w:t>
      </w:r>
    </w:p>
    <w:p w:rsidR="00BC07F0" w:rsidRDefault="00073EFB">
      <w:pPr>
        <w:ind w:firstLine="480"/>
      </w:pPr>
      <w:r>
        <w:rPr>
          <w:rFonts w:hint="eastAsia"/>
        </w:rPr>
        <w:t>k1</w:t>
      </w:r>
      <w:r>
        <w:rPr>
          <w:rFonts w:hint="eastAsia"/>
        </w:rPr>
        <w:t>、</w:t>
      </w:r>
      <w:r>
        <w:rPr>
          <w:rFonts w:hint="eastAsia"/>
        </w:rPr>
        <w:t>k2</w:t>
      </w:r>
      <w:r>
        <w:rPr>
          <w:rFonts w:hint="eastAsia"/>
        </w:rPr>
        <w:t>、</w:t>
      </w:r>
      <w:r>
        <w:rPr>
          <w:rFonts w:hint="eastAsia"/>
        </w:rPr>
        <w:t>k3</w:t>
      </w:r>
      <w:r>
        <w:rPr>
          <w:rFonts w:hint="eastAsia"/>
        </w:rPr>
        <w:t>、</w:t>
      </w:r>
      <w:r>
        <w:rPr>
          <w:rFonts w:hint="eastAsia"/>
        </w:rPr>
        <w:t>k4</w:t>
      </w:r>
      <w:r>
        <w:rPr>
          <w:rFonts w:hint="eastAsia"/>
        </w:rPr>
        <w:t>分别为系数。</w:t>
      </w:r>
    </w:p>
    <w:p w:rsidR="00BC07F0" w:rsidRDefault="00073EFB">
      <w:pPr>
        <w:pStyle w:val="a7"/>
        <w:rPr>
          <w:rFonts w:hint="default"/>
          <w:b/>
          <w:bCs/>
        </w:rPr>
      </w:pPr>
      <w:r>
        <w:rPr>
          <w:b/>
          <w:bCs/>
        </w:rPr>
        <w:t>表</w:t>
      </w:r>
      <w:r>
        <w:rPr>
          <w:b/>
          <w:bCs/>
        </w:rPr>
        <w:t>2-5</w:t>
      </w:r>
      <w:r>
        <w:rPr>
          <w:b/>
          <w:bCs/>
        </w:rPr>
        <w:t>车速计算公式系数一览表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2"/>
        <w:gridCol w:w="1410"/>
        <w:gridCol w:w="1402"/>
        <w:gridCol w:w="1419"/>
        <w:gridCol w:w="1408"/>
        <w:gridCol w:w="1406"/>
      </w:tblGrid>
      <w:tr w:rsidR="00BC07F0">
        <w:trPr>
          <w:trHeight w:val="397"/>
          <w:jc w:val="center"/>
        </w:trPr>
        <w:tc>
          <w:tcPr>
            <w:tcW w:w="1420" w:type="dxa"/>
            <w:vAlign w:val="center"/>
          </w:tcPr>
          <w:p w:rsidR="00BC07F0" w:rsidRDefault="00073EFB">
            <w:pPr>
              <w:pStyle w:val="a7"/>
              <w:rPr>
                <w:rFonts w:hint="default"/>
              </w:rPr>
            </w:pPr>
            <w:r>
              <w:t>车型</w:t>
            </w:r>
          </w:p>
        </w:tc>
        <w:tc>
          <w:tcPr>
            <w:tcW w:w="1420" w:type="dxa"/>
            <w:vAlign w:val="center"/>
          </w:tcPr>
          <w:p w:rsidR="00BC07F0" w:rsidRDefault="00073EFB">
            <w:pPr>
              <w:pStyle w:val="a7"/>
              <w:rPr>
                <w:rFonts w:hint="default"/>
              </w:rPr>
            </w:pPr>
            <w:r>
              <w:t>k1</w:t>
            </w:r>
          </w:p>
        </w:tc>
        <w:tc>
          <w:tcPr>
            <w:tcW w:w="1420" w:type="dxa"/>
            <w:vAlign w:val="center"/>
          </w:tcPr>
          <w:p w:rsidR="00BC07F0" w:rsidRDefault="00073EFB">
            <w:pPr>
              <w:pStyle w:val="a7"/>
              <w:rPr>
                <w:rFonts w:hint="default"/>
              </w:rPr>
            </w:pPr>
            <w:r>
              <w:t>k2</w:t>
            </w:r>
          </w:p>
        </w:tc>
        <w:tc>
          <w:tcPr>
            <w:tcW w:w="1420" w:type="dxa"/>
            <w:vAlign w:val="center"/>
          </w:tcPr>
          <w:p w:rsidR="00BC07F0" w:rsidRDefault="00073EFB">
            <w:pPr>
              <w:pStyle w:val="a7"/>
              <w:rPr>
                <w:rFonts w:hint="default"/>
              </w:rPr>
            </w:pPr>
            <w:r>
              <w:t>k3</w:t>
            </w:r>
          </w:p>
        </w:tc>
        <w:tc>
          <w:tcPr>
            <w:tcW w:w="1421" w:type="dxa"/>
            <w:vAlign w:val="center"/>
          </w:tcPr>
          <w:p w:rsidR="00BC07F0" w:rsidRDefault="00073EFB">
            <w:pPr>
              <w:pStyle w:val="a7"/>
              <w:rPr>
                <w:rFonts w:hint="default"/>
              </w:rPr>
            </w:pPr>
            <w:r>
              <w:t>k4</w:t>
            </w:r>
          </w:p>
        </w:tc>
        <w:tc>
          <w:tcPr>
            <w:tcW w:w="1421" w:type="dxa"/>
            <w:vAlign w:val="center"/>
          </w:tcPr>
          <w:p w:rsidR="00BC07F0" w:rsidRDefault="00073EFB">
            <w:pPr>
              <w:pStyle w:val="a7"/>
              <w:rPr>
                <w:rFonts w:hint="default"/>
              </w:rPr>
            </w:pPr>
            <w:r>
              <w:t>mi</w:t>
            </w:r>
          </w:p>
        </w:tc>
      </w:tr>
      <w:tr w:rsidR="00BC07F0">
        <w:trPr>
          <w:trHeight w:val="397"/>
          <w:jc w:val="center"/>
        </w:trPr>
        <w:tc>
          <w:tcPr>
            <w:tcW w:w="1420" w:type="dxa"/>
            <w:vAlign w:val="center"/>
          </w:tcPr>
          <w:p w:rsidR="00BC07F0" w:rsidRDefault="00073EFB">
            <w:pPr>
              <w:pStyle w:val="a7"/>
              <w:rPr>
                <w:rFonts w:hint="default"/>
              </w:rPr>
            </w:pPr>
            <w:r>
              <w:t>小型车</w:t>
            </w:r>
          </w:p>
        </w:tc>
        <w:tc>
          <w:tcPr>
            <w:tcW w:w="1420" w:type="dxa"/>
            <w:vAlign w:val="center"/>
          </w:tcPr>
          <w:p w:rsidR="00BC07F0" w:rsidRDefault="00073EFB">
            <w:pPr>
              <w:pStyle w:val="a7"/>
              <w:rPr>
                <w:rFonts w:hint="default"/>
              </w:rPr>
            </w:pPr>
            <w:r>
              <w:t>-0.061748</w:t>
            </w:r>
          </w:p>
        </w:tc>
        <w:tc>
          <w:tcPr>
            <w:tcW w:w="1420" w:type="dxa"/>
            <w:vAlign w:val="center"/>
          </w:tcPr>
          <w:p w:rsidR="00BC07F0" w:rsidRDefault="00073EFB">
            <w:pPr>
              <w:pStyle w:val="a7"/>
              <w:rPr>
                <w:rFonts w:hint="default"/>
              </w:rPr>
            </w:pPr>
            <w:r>
              <w:t>149.65</w:t>
            </w:r>
          </w:p>
        </w:tc>
        <w:tc>
          <w:tcPr>
            <w:tcW w:w="1420" w:type="dxa"/>
            <w:vAlign w:val="center"/>
          </w:tcPr>
          <w:p w:rsidR="00BC07F0" w:rsidRDefault="00073EFB">
            <w:pPr>
              <w:pStyle w:val="a7"/>
              <w:rPr>
                <w:rFonts w:hint="default"/>
              </w:rPr>
            </w:pPr>
            <w:r>
              <w:t>-0.000023696</w:t>
            </w:r>
          </w:p>
        </w:tc>
        <w:tc>
          <w:tcPr>
            <w:tcW w:w="1421" w:type="dxa"/>
            <w:vAlign w:val="center"/>
          </w:tcPr>
          <w:p w:rsidR="00BC07F0" w:rsidRDefault="00073EFB">
            <w:pPr>
              <w:pStyle w:val="a7"/>
              <w:rPr>
                <w:rFonts w:hint="default"/>
              </w:rPr>
            </w:pPr>
            <w:r>
              <w:t>-0.02099</w:t>
            </w:r>
          </w:p>
        </w:tc>
        <w:tc>
          <w:tcPr>
            <w:tcW w:w="1421" w:type="dxa"/>
            <w:vAlign w:val="center"/>
          </w:tcPr>
          <w:p w:rsidR="00BC07F0" w:rsidRDefault="00073EFB">
            <w:pPr>
              <w:pStyle w:val="a7"/>
              <w:rPr>
                <w:rFonts w:hint="default"/>
              </w:rPr>
            </w:pPr>
            <w:r>
              <w:t>1.2102</w:t>
            </w:r>
          </w:p>
        </w:tc>
      </w:tr>
      <w:tr w:rsidR="00BC07F0">
        <w:trPr>
          <w:trHeight w:val="397"/>
          <w:jc w:val="center"/>
        </w:trPr>
        <w:tc>
          <w:tcPr>
            <w:tcW w:w="1420" w:type="dxa"/>
            <w:vAlign w:val="center"/>
          </w:tcPr>
          <w:p w:rsidR="00BC07F0" w:rsidRDefault="00073EFB">
            <w:pPr>
              <w:pStyle w:val="a7"/>
              <w:rPr>
                <w:rFonts w:hint="default"/>
              </w:rPr>
            </w:pPr>
            <w:r>
              <w:t>中型车</w:t>
            </w:r>
          </w:p>
        </w:tc>
        <w:tc>
          <w:tcPr>
            <w:tcW w:w="1420" w:type="dxa"/>
            <w:vAlign w:val="center"/>
          </w:tcPr>
          <w:p w:rsidR="00BC07F0" w:rsidRDefault="00073EFB">
            <w:pPr>
              <w:pStyle w:val="a7"/>
              <w:rPr>
                <w:rFonts w:hint="default"/>
              </w:rPr>
            </w:pPr>
            <w:r>
              <w:t>-0.057537</w:t>
            </w:r>
          </w:p>
        </w:tc>
        <w:tc>
          <w:tcPr>
            <w:tcW w:w="1420" w:type="dxa"/>
            <w:vAlign w:val="center"/>
          </w:tcPr>
          <w:p w:rsidR="00BC07F0" w:rsidRDefault="00073EFB">
            <w:pPr>
              <w:pStyle w:val="a7"/>
              <w:rPr>
                <w:rFonts w:hint="default"/>
              </w:rPr>
            </w:pPr>
            <w:r>
              <w:t>149.38</w:t>
            </w:r>
          </w:p>
        </w:tc>
        <w:tc>
          <w:tcPr>
            <w:tcW w:w="1420" w:type="dxa"/>
            <w:vAlign w:val="center"/>
          </w:tcPr>
          <w:p w:rsidR="00BC07F0" w:rsidRDefault="00073EFB">
            <w:pPr>
              <w:pStyle w:val="a7"/>
              <w:rPr>
                <w:rFonts w:hint="default"/>
              </w:rPr>
            </w:pPr>
            <w:r>
              <w:t>-0.000016390</w:t>
            </w:r>
          </w:p>
        </w:tc>
        <w:tc>
          <w:tcPr>
            <w:tcW w:w="1421" w:type="dxa"/>
            <w:vAlign w:val="center"/>
          </w:tcPr>
          <w:p w:rsidR="00BC07F0" w:rsidRDefault="00073EFB">
            <w:pPr>
              <w:pStyle w:val="a7"/>
              <w:rPr>
                <w:rFonts w:hint="default"/>
              </w:rPr>
            </w:pPr>
            <w:r>
              <w:t>-0.01245</w:t>
            </w:r>
          </w:p>
        </w:tc>
        <w:tc>
          <w:tcPr>
            <w:tcW w:w="1421" w:type="dxa"/>
            <w:vAlign w:val="center"/>
          </w:tcPr>
          <w:p w:rsidR="00BC07F0" w:rsidRDefault="00073EFB">
            <w:pPr>
              <w:pStyle w:val="a7"/>
              <w:rPr>
                <w:rFonts w:hint="default"/>
              </w:rPr>
            </w:pPr>
            <w:r>
              <w:t>0.8044</w:t>
            </w:r>
          </w:p>
        </w:tc>
      </w:tr>
      <w:tr w:rsidR="00BC07F0">
        <w:trPr>
          <w:trHeight w:val="397"/>
          <w:jc w:val="center"/>
        </w:trPr>
        <w:tc>
          <w:tcPr>
            <w:tcW w:w="1420" w:type="dxa"/>
            <w:vAlign w:val="center"/>
          </w:tcPr>
          <w:p w:rsidR="00BC07F0" w:rsidRDefault="00073EFB">
            <w:pPr>
              <w:pStyle w:val="a7"/>
              <w:rPr>
                <w:rFonts w:hint="default"/>
              </w:rPr>
            </w:pPr>
            <w:r>
              <w:t>大型车</w:t>
            </w:r>
          </w:p>
        </w:tc>
        <w:tc>
          <w:tcPr>
            <w:tcW w:w="1420" w:type="dxa"/>
            <w:vAlign w:val="center"/>
          </w:tcPr>
          <w:p w:rsidR="00BC07F0" w:rsidRDefault="00073EFB">
            <w:pPr>
              <w:pStyle w:val="a7"/>
              <w:rPr>
                <w:rFonts w:hint="default"/>
              </w:rPr>
            </w:pPr>
            <w:r>
              <w:t>-0.051900</w:t>
            </w:r>
          </w:p>
        </w:tc>
        <w:tc>
          <w:tcPr>
            <w:tcW w:w="1420" w:type="dxa"/>
            <w:vAlign w:val="center"/>
          </w:tcPr>
          <w:p w:rsidR="00BC07F0" w:rsidRDefault="00073EFB">
            <w:pPr>
              <w:pStyle w:val="a7"/>
              <w:rPr>
                <w:rFonts w:hint="default"/>
              </w:rPr>
            </w:pPr>
            <w:r>
              <w:t>149.39</w:t>
            </w:r>
          </w:p>
        </w:tc>
        <w:tc>
          <w:tcPr>
            <w:tcW w:w="1420" w:type="dxa"/>
            <w:vAlign w:val="center"/>
          </w:tcPr>
          <w:p w:rsidR="00BC07F0" w:rsidRDefault="00073EFB">
            <w:pPr>
              <w:pStyle w:val="a7"/>
              <w:rPr>
                <w:rFonts w:hint="default"/>
              </w:rPr>
            </w:pPr>
            <w:r>
              <w:t>-0.000014202</w:t>
            </w:r>
          </w:p>
        </w:tc>
        <w:tc>
          <w:tcPr>
            <w:tcW w:w="1421" w:type="dxa"/>
            <w:vAlign w:val="center"/>
          </w:tcPr>
          <w:p w:rsidR="00BC07F0" w:rsidRDefault="00073EFB">
            <w:pPr>
              <w:pStyle w:val="a7"/>
              <w:rPr>
                <w:rFonts w:hint="default"/>
              </w:rPr>
            </w:pPr>
            <w:r>
              <w:t>-0.01254</w:t>
            </w:r>
          </w:p>
        </w:tc>
        <w:tc>
          <w:tcPr>
            <w:tcW w:w="1421" w:type="dxa"/>
            <w:vAlign w:val="center"/>
          </w:tcPr>
          <w:p w:rsidR="00BC07F0" w:rsidRDefault="00073EFB">
            <w:pPr>
              <w:pStyle w:val="a7"/>
              <w:rPr>
                <w:rFonts w:hint="default"/>
              </w:rPr>
            </w:pPr>
            <w:r>
              <w:t>0.70957</w:t>
            </w:r>
          </w:p>
        </w:tc>
      </w:tr>
    </w:tbl>
    <w:p w:rsidR="00BC07F0" w:rsidRDefault="00073EFB" w:rsidP="00C55F5E">
      <w:pPr>
        <w:ind w:firstLine="480"/>
      </w:pPr>
      <w:r>
        <w:rPr>
          <w:rFonts w:hint="eastAsia"/>
        </w:rPr>
        <w:t>根据上述公式计算各预测年各型车昼、夜小时平均车速，计算结果见表</w:t>
      </w:r>
      <w:r>
        <w:rPr>
          <w:rFonts w:hint="eastAsia"/>
        </w:rPr>
        <w:t>2-6</w:t>
      </w:r>
      <w:r>
        <w:rPr>
          <w:rFonts w:hint="eastAsia"/>
        </w:rPr>
        <w:t>。</w:t>
      </w:r>
    </w:p>
    <w:p w:rsidR="00BC07F0" w:rsidRDefault="00073EFB">
      <w:pPr>
        <w:pStyle w:val="a7"/>
        <w:rPr>
          <w:rFonts w:hint="default"/>
          <w:b/>
          <w:bCs/>
        </w:rPr>
      </w:pPr>
      <w:r>
        <w:rPr>
          <w:b/>
          <w:bCs/>
        </w:rPr>
        <w:t>表</w:t>
      </w:r>
      <w:r>
        <w:rPr>
          <w:b/>
          <w:bCs/>
        </w:rPr>
        <w:t>2-6</w:t>
      </w:r>
      <w:r>
        <w:rPr>
          <w:b/>
          <w:bCs/>
        </w:rPr>
        <w:t>各机动车辆的平均行驶速度估算结果单位</w:t>
      </w:r>
      <w:r>
        <w:rPr>
          <w:b/>
          <w:bCs/>
        </w:rPr>
        <w:t>km/h</w:t>
      </w:r>
    </w:p>
    <w:tbl>
      <w:tblPr>
        <w:tblW w:w="4950" w:type="pct"/>
        <w:tblInd w:w="91" w:type="dxa"/>
        <w:tblLook w:val="04A0"/>
      </w:tblPr>
      <w:tblGrid>
        <w:gridCol w:w="989"/>
        <w:gridCol w:w="944"/>
        <w:gridCol w:w="1084"/>
        <w:gridCol w:w="1084"/>
        <w:gridCol w:w="1084"/>
        <w:gridCol w:w="1084"/>
        <w:gridCol w:w="1084"/>
        <w:gridCol w:w="1084"/>
      </w:tblGrid>
      <w:tr w:rsidR="00BC07F0">
        <w:trPr>
          <w:trHeight w:val="397"/>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车道类型</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车型</w:t>
            </w:r>
          </w:p>
        </w:tc>
        <w:tc>
          <w:tcPr>
            <w:tcW w:w="243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2023</w:t>
            </w:r>
            <w:r>
              <w:t>年</w:t>
            </w:r>
          </w:p>
        </w:tc>
        <w:tc>
          <w:tcPr>
            <w:tcW w:w="243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2027</w:t>
            </w:r>
            <w:r>
              <w:t>年</w:t>
            </w:r>
          </w:p>
        </w:tc>
        <w:tc>
          <w:tcPr>
            <w:tcW w:w="243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2032</w:t>
            </w:r>
            <w:r>
              <w:t>年</w:t>
            </w:r>
          </w:p>
        </w:tc>
      </w:tr>
      <w:tr w:rsidR="00BC07F0">
        <w:trPr>
          <w:trHeight w:val="397"/>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r>
      <w:tr w:rsidR="00BC07F0">
        <w:trPr>
          <w:trHeight w:val="397"/>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湘江南路（白沙大道——前进路）主干道</w:t>
            </w: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小型车</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49.9</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50.6</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45.7</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49.1</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43.7</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48.3</w:t>
            </w:r>
          </w:p>
        </w:tc>
      </w:tr>
      <w:tr w:rsidR="00BC07F0">
        <w:trPr>
          <w:trHeight w:val="397"/>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中型车</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35.7</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35</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37</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36.1</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37.2</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35.9</w:t>
            </w:r>
          </w:p>
        </w:tc>
      </w:tr>
      <w:tr w:rsidR="00BC07F0">
        <w:trPr>
          <w:trHeight w:val="397"/>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大型车</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35.1</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35</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35.6</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35.3</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35.8</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35.3</w:t>
            </w:r>
          </w:p>
        </w:tc>
      </w:tr>
      <w:tr w:rsidR="00BC07F0">
        <w:trPr>
          <w:trHeight w:val="397"/>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车道类型</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车型</w:t>
            </w:r>
          </w:p>
        </w:tc>
        <w:tc>
          <w:tcPr>
            <w:tcW w:w="243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2023</w:t>
            </w:r>
            <w:r>
              <w:t>年</w:t>
            </w:r>
          </w:p>
        </w:tc>
        <w:tc>
          <w:tcPr>
            <w:tcW w:w="243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2027</w:t>
            </w:r>
            <w:r>
              <w:t>年</w:t>
            </w:r>
          </w:p>
        </w:tc>
        <w:tc>
          <w:tcPr>
            <w:tcW w:w="243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2032</w:t>
            </w:r>
            <w:r>
              <w:t>年</w:t>
            </w:r>
          </w:p>
        </w:tc>
      </w:tr>
      <w:tr w:rsidR="00BC07F0">
        <w:trPr>
          <w:trHeight w:val="397"/>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r>
      <w:tr w:rsidR="00BC07F0">
        <w:trPr>
          <w:trHeight w:val="397"/>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酃白路</w:t>
            </w: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小型车</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49.6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50.3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45.4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48.8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43.4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48.0 </w:t>
            </w:r>
          </w:p>
        </w:tc>
      </w:tr>
      <w:tr w:rsidR="00BC07F0">
        <w:trPr>
          <w:trHeight w:val="397"/>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中型车</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35.3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34.6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36.6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35.7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36.8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35.5 </w:t>
            </w:r>
          </w:p>
        </w:tc>
      </w:tr>
      <w:tr w:rsidR="00BC07F0">
        <w:trPr>
          <w:trHeight w:val="397"/>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大型车</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34.7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34.6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35.2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34.9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35.4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34.9 </w:t>
            </w:r>
          </w:p>
        </w:tc>
      </w:tr>
      <w:tr w:rsidR="00BC07F0">
        <w:trPr>
          <w:trHeight w:val="397"/>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车道类型</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车型</w:t>
            </w:r>
          </w:p>
        </w:tc>
        <w:tc>
          <w:tcPr>
            <w:tcW w:w="243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2023</w:t>
            </w:r>
            <w:r>
              <w:t>年</w:t>
            </w:r>
          </w:p>
        </w:tc>
        <w:tc>
          <w:tcPr>
            <w:tcW w:w="243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2027</w:t>
            </w:r>
            <w:r>
              <w:t>年</w:t>
            </w:r>
          </w:p>
        </w:tc>
        <w:tc>
          <w:tcPr>
            <w:tcW w:w="243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2032</w:t>
            </w:r>
            <w:r>
              <w:t>年</w:t>
            </w:r>
          </w:p>
        </w:tc>
      </w:tr>
      <w:tr w:rsidR="00BC07F0">
        <w:trPr>
          <w:trHeight w:val="397"/>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2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r>
      <w:tr w:rsidR="00BC07F0">
        <w:trPr>
          <w:trHeight w:val="397"/>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前进路</w:t>
            </w: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小型车</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49.3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50.0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45.1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48.5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43.1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47.7 </w:t>
            </w:r>
          </w:p>
        </w:tc>
      </w:tr>
      <w:tr w:rsidR="00BC07F0">
        <w:trPr>
          <w:trHeight w:val="397"/>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中型车</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34.8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34.1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36.1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35.2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36.3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35.0 </w:t>
            </w:r>
          </w:p>
        </w:tc>
      </w:tr>
      <w:tr w:rsidR="00BC07F0">
        <w:trPr>
          <w:trHeight w:val="397"/>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大型车</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34.4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34.3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34.9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34.6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35.1 </w:t>
            </w:r>
          </w:p>
        </w:tc>
        <w:tc>
          <w:tcPr>
            <w:tcW w:w="121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34.6 </w:t>
            </w:r>
          </w:p>
        </w:tc>
      </w:tr>
    </w:tbl>
    <w:p w:rsidR="00BC07F0" w:rsidRDefault="00073EFB">
      <w:pPr>
        <w:ind w:firstLine="480"/>
        <w:rPr>
          <w:rFonts w:cs="Times New Roman"/>
        </w:rPr>
      </w:pPr>
      <w:r>
        <w:rPr>
          <w:rFonts w:cs="Times New Roman"/>
        </w:rPr>
        <w:t>单车行驶辐射噪声级（</w:t>
      </w:r>
      <w:r>
        <w:rPr>
          <w:rFonts w:cs="Times New Roman"/>
        </w:rPr>
        <w:t>Loi</w:t>
      </w:r>
      <w:r>
        <w:rPr>
          <w:rFonts w:cs="Times New Roman"/>
        </w:rPr>
        <w:t>）计算</w:t>
      </w:r>
    </w:p>
    <w:p w:rsidR="00BC07F0" w:rsidRDefault="00073EFB">
      <w:pPr>
        <w:ind w:firstLine="480"/>
        <w:rPr>
          <w:rFonts w:cs="Times New Roman"/>
        </w:rPr>
      </w:pPr>
      <w:r>
        <w:rPr>
          <w:rFonts w:cs="Times New Roman"/>
        </w:rPr>
        <w:t>第</w:t>
      </w:r>
      <w:r>
        <w:rPr>
          <w:rFonts w:cs="Times New Roman"/>
        </w:rPr>
        <w:t>i</w:t>
      </w:r>
      <w:r>
        <w:rPr>
          <w:rFonts w:cs="Times New Roman"/>
        </w:rPr>
        <w:t>种车型车辆在参照点（</w:t>
      </w:r>
      <w:r>
        <w:rPr>
          <w:rFonts w:cs="Times New Roman"/>
        </w:rPr>
        <w:t>7.5m</w:t>
      </w:r>
      <w:r>
        <w:rPr>
          <w:rFonts w:cs="Times New Roman"/>
        </w:rPr>
        <w:t>处）的平均辐射噪声级</w:t>
      </w:r>
      <w:r>
        <w:rPr>
          <w:rFonts w:cs="Times New Roman"/>
        </w:rPr>
        <w:t>Loi</w:t>
      </w:r>
      <w:r>
        <w:rPr>
          <w:rFonts w:cs="Times New Roman"/>
        </w:rPr>
        <w:t>按下式计算：</w:t>
      </w:r>
    </w:p>
    <w:p w:rsidR="00BC07F0" w:rsidRDefault="00073EFB">
      <w:pPr>
        <w:ind w:firstLine="480"/>
        <w:rPr>
          <w:rFonts w:eastAsia="仿宋" w:cs="Times New Roman"/>
        </w:rPr>
      </w:pPr>
      <w:r>
        <w:rPr>
          <w:rFonts w:cs="Times New Roman"/>
        </w:rPr>
        <w:t>小型车</w:t>
      </w:r>
      <w:r>
        <w:rPr>
          <w:rFonts w:eastAsia="仿宋" w:cs="Times New Roman"/>
        </w:rPr>
        <w:t>：</w:t>
      </w:r>
      <w:r>
        <w:rPr>
          <w:rFonts w:eastAsia="仿宋" w:cs="Times New Roman"/>
        </w:rPr>
        <w:t>L</w:t>
      </w:r>
      <w:r>
        <w:rPr>
          <w:rFonts w:eastAsia="仿宋" w:cs="Times New Roman"/>
          <w:vertAlign w:val="subscript"/>
        </w:rPr>
        <w:t>oS</w:t>
      </w:r>
      <w:r>
        <w:rPr>
          <w:rFonts w:eastAsia="仿宋" w:cs="Times New Roman"/>
        </w:rPr>
        <w:t>=12.6+34.73lgV</w:t>
      </w:r>
      <w:r>
        <w:rPr>
          <w:rFonts w:eastAsia="仿宋" w:cs="Times New Roman"/>
          <w:vertAlign w:val="subscript"/>
        </w:rPr>
        <w:t>S</w:t>
      </w:r>
      <w:r>
        <w:rPr>
          <w:rFonts w:eastAsia="仿宋" w:cs="Times New Roman"/>
        </w:rPr>
        <w:t>+△L</w:t>
      </w:r>
      <w:r>
        <w:rPr>
          <w:rFonts w:eastAsia="仿宋" w:cs="Times New Roman"/>
        </w:rPr>
        <w:t>路面</w:t>
      </w:r>
    </w:p>
    <w:p w:rsidR="00BC07F0" w:rsidRDefault="00073EFB">
      <w:pPr>
        <w:ind w:firstLine="480"/>
        <w:rPr>
          <w:rFonts w:eastAsia="仿宋"/>
        </w:rPr>
      </w:pPr>
      <w:r>
        <w:t>中型车</w:t>
      </w:r>
      <w:r>
        <w:rPr>
          <w:rFonts w:eastAsia="仿宋"/>
        </w:rPr>
        <w:t>：</w:t>
      </w:r>
      <w:r>
        <w:rPr>
          <w:rFonts w:eastAsia="仿宋"/>
        </w:rPr>
        <w:t>L</w:t>
      </w:r>
      <w:r>
        <w:rPr>
          <w:rFonts w:eastAsia="仿宋"/>
          <w:vertAlign w:val="subscript"/>
        </w:rPr>
        <w:t>o</w:t>
      </w:r>
      <w:r>
        <w:rPr>
          <w:rFonts w:eastAsia="仿宋" w:hint="eastAsia"/>
          <w:vertAlign w:val="subscript"/>
        </w:rPr>
        <w:t>M</w:t>
      </w:r>
      <w:r>
        <w:rPr>
          <w:rFonts w:eastAsia="仿宋"/>
        </w:rPr>
        <w:t>=8.8+40.48lgV</w:t>
      </w:r>
      <w:r>
        <w:rPr>
          <w:rFonts w:eastAsia="仿宋"/>
          <w:vertAlign w:val="subscript"/>
        </w:rPr>
        <w:t>M</w:t>
      </w:r>
      <w:r>
        <w:rPr>
          <w:rFonts w:eastAsia="仿宋"/>
        </w:rPr>
        <w:t>+△L</w:t>
      </w:r>
      <w:r>
        <w:rPr>
          <w:rFonts w:eastAsia="仿宋"/>
        </w:rPr>
        <w:t>纵坡</w:t>
      </w:r>
    </w:p>
    <w:p w:rsidR="00BC07F0" w:rsidRDefault="00073EFB">
      <w:pPr>
        <w:ind w:firstLine="480"/>
      </w:pPr>
      <w:r>
        <w:rPr>
          <w:rFonts w:hint="eastAsia"/>
        </w:rPr>
        <w:t>大型车：</w:t>
      </w:r>
      <w:r>
        <w:rPr>
          <w:rFonts w:hint="eastAsia"/>
        </w:rPr>
        <w:t>L</w:t>
      </w:r>
      <w:r>
        <w:rPr>
          <w:rFonts w:hint="eastAsia"/>
          <w:vertAlign w:val="subscript"/>
        </w:rPr>
        <w:t>oL</w:t>
      </w:r>
      <w:r>
        <w:rPr>
          <w:rFonts w:hint="eastAsia"/>
        </w:rPr>
        <w:t>=22.0+36.32lgV</w:t>
      </w:r>
      <w:r>
        <w:rPr>
          <w:rFonts w:hint="eastAsia"/>
          <w:vertAlign w:val="subscript"/>
        </w:rPr>
        <w:t>L</w:t>
      </w:r>
      <w:r>
        <w:rPr>
          <w:rFonts w:hint="eastAsia"/>
        </w:rPr>
        <w:t>+</w:t>
      </w:r>
      <w:r>
        <w:rPr>
          <w:rFonts w:eastAsia="仿宋"/>
        </w:rPr>
        <w:t>△L</w:t>
      </w:r>
      <w:r>
        <w:rPr>
          <w:rFonts w:eastAsia="仿宋"/>
        </w:rPr>
        <w:t>纵坡</w:t>
      </w:r>
    </w:p>
    <w:p w:rsidR="00BC07F0" w:rsidRDefault="00073EFB">
      <w:pPr>
        <w:ind w:firstLine="480"/>
      </w:pPr>
      <w:r>
        <w:rPr>
          <w:rFonts w:hint="eastAsia"/>
        </w:rPr>
        <w:t>式中：</w:t>
      </w:r>
    </w:p>
    <w:p w:rsidR="00BC07F0" w:rsidRDefault="00073EFB">
      <w:pPr>
        <w:ind w:firstLine="480"/>
      </w:pPr>
      <w:r>
        <w:t>L</w:t>
      </w:r>
      <w:r>
        <w:rPr>
          <w:vertAlign w:val="subscript"/>
        </w:rPr>
        <w:t>oL</w:t>
      </w:r>
      <w:r>
        <w:t>、</w:t>
      </w:r>
      <w:r>
        <w:t>L</w:t>
      </w:r>
      <w:r>
        <w:rPr>
          <w:vertAlign w:val="subscript"/>
        </w:rPr>
        <w:t>oM</w:t>
      </w:r>
      <w:r>
        <w:t>、</w:t>
      </w:r>
      <w:r>
        <w:t>L</w:t>
      </w:r>
      <w:r>
        <w:rPr>
          <w:vertAlign w:val="subscript"/>
        </w:rPr>
        <w:t>oS</w:t>
      </w:r>
      <w:r>
        <w:t>——</w:t>
      </w:r>
      <w:r>
        <w:t>分别表示大、中、小型车的平均辐射声级，</w:t>
      </w:r>
      <w:r>
        <w:t>dB</w:t>
      </w:r>
      <w:r>
        <w:t>（</w:t>
      </w:r>
      <w:r>
        <w:t>A</w:t>
      </w:r>
      <w:r>
        <w:t>）；</w:t>
      </w:r>
    </w:p>
    <w:p w:rsidR="00BC07F0" w:rsidRDefault="00073EFB">
      <w:pPr>
        <w:ind w:firstLine="480"/>
      </w:pPr>
      <w:r>
        <w:t>V</w:t>
      </w:r>
      <w:r>
        <w:rPr>
          <w:vertAlign w:val="subscript"/>
        </w:rPr>
        <w:t>L</w:t>
      </w:r>
      <w:r>
        <w:t>、</w:t>
      </w:r>
      <w:r>
        <w:t>V</w:t>
      </w:r>
      <w:r>
        <w:rPr>
          <w:vertAlign w:val="subscript"/>
        </w:rPr>
        <w:t>M</w:t>
      </w:r>
      <w:r>
        <w:t>、</w:t>
      </w:r>
      <w:r>
        <w:t>V</w:t>
      </w:r>
      <w:r>
        <w:rPr>
          <w:vertAlign w:val="subscript"/>
        </w:rPr>
        <w:t>S</w:t>
      </w:r>
      <w:r>
        <w:t>——</w:t>
      </w:r>
      <w:r>
        <w:t>分别表示大、中、小型车的平均行驶速度，</w:t>
      </w:r>
      <w:r>
        <w:t>km/h</w:t>
      </w:r>
      <w:r>
        <w:t>；</w:t>
      </w:r>
    </w:p>
    <w:p w:rsidR="00BC07F0" w:rsidRDefault="00073EFB">
      <w:pPr>
        <w:ind w:firstLine="480"/>
      </w:pPr>
      <w:r>
        <w:lastRenderedPageBreak/>
        <w:t>根据以上模式计算</w:t>
      </w:r>
      <w:r>
        <w:rPr>
          <w:rFonts w:hint="eastAsia"/>
        </w:rPr>
        <w:t>各预测年各车型单车行驶辐射噪声级（</w:t>
      </w:r>
      <w:r>
        <w:rPr>
          <w:rFonts w:hint="eastAsia"/>
        </w:rPr>
        <w:t>L</w:t>
      </w:r>
      <w:r>
        <w:rPr>
          <w:rFonts w:hint="eastAsia"/>
          <w:vertAlign w:val="subscript"/>
        </w:rPr>
        <w:t>oi</w:t>
      </w:r>
      <w:r>
        <w:rPr>
          <w:rFonts w:hint="eastAsia"/>
        </w:rPr>
        <w:t>），计算结果见表</w:t>
      </w:r>
      <w:r>
        <w:rPr>
          <w:rFonts w:hint="eastAsia"/>
        </w:rPr>
        <w:t>2-7</w:t>
      </w:r>
      <w:r>
        <w:rPr>
          <w:rFonts w:hint="eastAsia"/>
        </w:rPr>
        <w:t>。</w:t>
      </w:r>
    </w:p>
    <w:p w:rsidR="00BC07F0" w:rsidRDefault="00073EFB">
      <w:pPr>
        <w:pStyle w:val="a7"/>
        <w:rPr>
          <w:rFonts w:hint="default"/>
          <w:b/>
          <w:bCs/>
        </w:rPr>
      </w:pPr>
      <w:r>
        <w:rPr>
          <w:b/>
          <w:bCs/>
        </w:rPr>
        <w:t>表</w:t>
      </w:r>
      <w:r>
        <w:rPr>
          <w:b/>
          <w:bCs/>
        </w:rPr>
        <w:t>2-7</w:t>
      </w:r>
      <w:r>
        <w:rPr>
          <w:b/>
          <w:bCs/>
        </w:rPr>
        <w:t>各车型单车行驶辐射噪声级计算结果单位：</w:t>
      </w:r>
      <w:r>
        <w:rPr>
          <w:b/>
          <w:bCs/>
        </w:rPr>
        <w:t>dB</w:t>
      </w:r>
      <w:r>
        <w:rPr>
          <w:b/>
          <w:bCs/>
        </w:rPr>
        <w:t>（</w:t>
      </w:r>
      <w:r>
        <w:rPr>
          <w:b/>
          <w:bCs/>
        </w:rPr>
        <w:t>A</w:t>
      </w:r>
      <w:r>
        <w:rPr>
          <w:b/>
          <w:bCs/>
        </w:rPr>
        <w:t>）</w:t>
      </w:r>
    </w:p>
    <w:tbl>
      <w:tblPr>
        <w:tblW w:w="4950" w:type="pct"/>
        <w:jc w:val="center"/>
        <w:tblLook w:val="04A0"/>
      </w:tblPr>
      <w:tblGrid>
        <w:gridCol w:w="942"/>
        <w:gridCol w:w="877"/>
        <w:gridCol w:w="1103"/>
        <w:gridCol w:w="1103"/>
        <w:gridCol w:w="1103"/>
        <w:gridCol w:w="1103"/>
        <w:gridCol w:w="1103"/>
        <w:gridCol w:w="1103"/>
      </w:tblGrid>
      <w:tr w:rsidR="00BC07F0">
        <w:trPr>
          <w:trHeight w:val="397"/>
          <w:jc w:val="center"/>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车道类型</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车型</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2023</w:t>
            </w:r>
            <w:r>
              <w:t>年</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2027</w:t>
            </w:r>
            <w:r>
              <w:t>年</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2032</w:t>
            </w:r>
            <w:r>
              <w:t>年</w:t>
            </w:r>
          </w:p>
        </w:tc>
      </w:tr>
      <w:tr w:rsidR="00BC07F0">
        <w:trPr>
          <w:trHeight w:val="397"/>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3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3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3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r>
      <w:tr w:rsidR="00BC07F0">
        <w:trPr>
          <w:trHeight w:val="397"/>
          <w:jc w:val="center"/>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湘江南路（白沙大道——前进路）主干道</w:t>
            </w: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小型车</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71.6</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67.2</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71.7</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68.1</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72.2</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68.4</w:t>
            </w:r>
          </w:p>
        </w:tc>
      </w:tr>
      <w:tr w:rsidR="00BC07F0">
        <w:trPr>
          <w:trHeight w:val="397"/>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中型车</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71.7</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67.8</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71.8</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67.9</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72.3</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69.4</w:t>
            </w:r>
          </w:p>
        </w:tc>
      </w:tr>
      <w:tr w:rsidR="00BC07F0">
        <w:trPr>
          <w:trHeight w:val="397"/>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大型车</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78.1</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72.1</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78.3</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72.3</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78.4</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72.4</w:t>
            </w:r>
          </w:p>
        </w:tc>
      </w:tr>
      <w:tr w:rsidR="00BC07F0">
        <w:trPr>
          <w:trHeight w:val="397"/>
          <w:jc w:val="center"/>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车道类型</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车型</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2023</w:t>
            </w:r>
            <w:r>
              <w:t>年</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2027</w:t>
            </w:r>
            <w:r>
              <w:t>年</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2032</w:t>
            </w:r>
            <w:r>
              <w:t>年</w:t>
            </w:r>
          </w:p>
        </w:tc>
      </w:tr>
      <w:tr w:rsidR="00BC07F0">
        <w:trPr>
          <w:trHeight w:val="397"/>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3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3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3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r>
      <w:tr w:rsidR="00BC07F0">
        <w:trPr>
          <w:trHeight w:val="397"/>
          <w:jc w:val="center"/>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酃白路</w:t>
            </w: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小型车</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70.9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66.5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71.0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67.4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71.5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67.7 </w:t>
            </w:r>
          </w:p>
        </w:tc>
      </w:tr>
      <w:tr w:rsidR="00BC07F0">
        <w:trPr>
          <w:trHeight w:val="397"/>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中型车</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71.1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67.2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71.2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67.3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71.7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68.8 </w:t>
            </w:r>
          </w:p>
        </w:tc>
      </w:tr>
      <w:tr w:rsidR="00BC07F0">
        <w:trPr>
          <w:trHeight w:val="397"/>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大型车</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77.1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71.1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77.3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71.3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77.4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71.4 </w:t>
            </w:r>
          </w:p>
        </w:tc>
      </w:tr>
      <w:tr w:rsidR="00BC07F0">
        <w:trPr>
          <w:trHeight w:val="397"/>
          <w:jc w:val="center"/>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车道类型</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车型</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2023</w:t>
            </w:r>
            <w:r>
              <w:t>年</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2027</w:t>
            </w:r>
            <w:r>
              <w:t>年</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2032</w:t>
            </w:r>
            <w:r>
              <w:t>年</w:t>
            </w:r>
          </w:p>
        </w:tc>
      </w:tr>
      <w:tr w:rsidR="00BC07F0">
        <w:trPr>
          <w:trHeight w:val="397"/>
          <w:jc w:val="center"/>
        </w:trPr>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3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3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3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r>
      <w:tr w:rsidR="00BC07F0">
        <w:trPr>
          <w:trHeight w:val="397"/>
          <w:jc w:val="center"/>
        </w:trPr>
        <w:tc>
          <w:tcPr>
            <w:tcW w:w="108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前进路</w:t>
            </w: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小型车</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70.5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66.1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70.6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67.0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71.1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67.3 </w:t>
            </w:r>
          </w:p>
        </w:tc>
      </w:tr>
      <w:tr w:rsidR="00BC07F0">
        <w:trPr>
          <w:trHeight w:val="397"/>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中型车</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70.4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66.5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70.5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66.6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71.0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68.1 </w:t>
            </w:r>
          </w:p>
        </w:tc>
      </w:tr>
      <w:tr w:rsidR="00BC07F0">
        <w:trPr>
          <w:trHeight w:val="397"/>
          <w:jc w:val="center"/>
        </w:trPr>
        <w:tc>
          <w:tcPr>
            <w:tcW w:w="108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08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大型车</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76.5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70.5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76.7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70.7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76.8 </w:t>
            </w:r>
          </w:p>
        </w:tc>
        <w:tc>
          <w:tcPr>
            <w:tcW w:w="133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 xml:space="preserve">70.8 </w:t>
            </w:r>
          </w:p>
        </w:tc>
      </w:tr>
    </w:tbl>
    <w:p w:rsidR="00BC07F0" w:rsidRDefault="00BC07F0">
      <w:pPr>
        <w:pStyle w:val="a7"/>
        <w:rPr>
          <w:rFonts w:hint="default"/>
        </w:rPr>
      </w:pPr>
    </w:p>
    <w:p w:rsidR="00BC07F0" w:rsidRDefault="00BC07F0">
      <w:pPr>
        <w:pStyle w:val="a7"/>
        <w:rPr>
          <w:rFonts w:hint="default"/>
        </w:rPr>
      </w:pPr>
    </w:p>
    <w:p w:rsidR="00BC07F0" w:rsidRDefault="00BC07F0">
      <w:pPr>
        <w:pStyle w:val="a7"/>
        <w:rPr>
          <w:rFonts w:hint="default"/>
        </w:rPr>
        <w:sectPr w:rsidR="00BC07F0">
          <w:pgSz w:w="11906" w:h="16838"/>
          <w:pgMar w:top="1440" w:right="1800" w:bottom="1440" w:left="1800" w:header="851" w:footer="1077" w:gutter="0"/>
          <w:cols w:space="720"/>
          <w:docGrid w:linePitch="312"/>
        </w:sectPr>
      </w:pPr>
    </w:p>
    <w:p w:rsidR="00BC07F0" w:rsidRDefault="00073EFB">
      <w:pPr>
        <w:pStyle w:val="1"/>
      </w:pPr>
      <w:bookmarkStart w:id="110" w:name="_Toc23298"/>
      <w:bookmarkStart w:id="111" w:name="_Toc12923"/>
      <w:bookmarkStart w:id="112" w:name="_Toc14902"/>
      <w:r>
        <w:lastRenderedPageBreak/>
        <w:t>3</w:t>
      </w:r>
      <w:r>
        <w:rPr>
          <w:rFonts w:hint="eastAsia"/>
        </w:rPr>
        <w:t>声环境现状调查与评价</w:t>
      </w:r>
      <w:bookmarkEnd w:id="110"/>
      <w:bookmarkEnd w:id="111"/>
      <w:bookmarkEnd w:id="112"/>
    </w:p>
    <w:p w:rsidR="00BC07F0" w:rsidRDefault="00073EFB" w:rsidP="00C55F5E">
      <w:pPr>
        <w:pStyle w:val="2"/>
        <w:ind w:firstLine="482"/>
      </w:pPr>
      <w:bookmarkStart w:id="113" w:name="_Toc24448"/>
      <w:bookmarkStart w:id="114" w:name="_Toc5327"/>
      <w:r>
        <w:t>3.</w:t>
      </w:r>
      <w:r>
        <w:rPr>
          <w:rFonts w:hint="eastAsia"/>
        </w:rPr>
        <w:t>1</w:t>
      </w:r>
      <w:r>
        <w:rPr>
          <w:rFonts w:hint="eastAsia"/>
        </w:rPr>
        <w:t>监测因子</w:t>
      </w:r>
      <w:bookmarkEnd w:id="113"/>
      <w:r>
        <w:rPr>
          <w:rFonts w:hint="eastAsia"/>
        </w:rPr>
        <w:t>与测量方法</w:t>
      </w:r>
      <w:bookmarkEnd w:id="114"/>
    </w:p>
    <w:p w:rsidR="00BC07F0" w:rsidRDefault="00073EFB" w:rsidP="00C55F5E">
      <w:pPr>
        <w:ind w:firstLine="480"/>
      </w:pPr>
      <w:r>
        <w:rPr>
          <w:rFonts w:hint="eastAsia"/>
        </w:rPr>
        <w:t>声环境现状监测因子为等效连续</w:t>
      </w:r>
      <w:r>
        <w:rPr>
          <w:rFonts w:hint="eastAsia"/>
        </w:rPr>
        <w:t>A</w:t>
      </w:r>
      <w:r>
        <w:rPr>
          <w:rFonts w:hint="eastAsia"/>
        </w:rPr>
        <w:t>声级，按照《声环境质量标准》（</w:t>
      </w:r>
      <w:r>
        <w:rPr>
          <w:rFonts w:hint="eastAsia"/>
        </w:rPr>
        <w:t>GB3096-2008</w:t>
      </w:r>
      <w:r>
        <w:rPr>
          <w:rFonts w:hint="eastAsia"/>
        </w:rPr>
        <w:t>）规定的方法和要求进行。</w:t>
      </w:r>
    </w:p>
    <w:p w:rsidR="00BC07F0" w:rsidRDefault="00073EFB" w:rsidP="00C55F5E">
      <w:pPr>
        <w:pStyle w:val="2"/>
        <w:ind w:firstLine="482"/>
      </w:pPr>
      <w:bookmarkStart w:id="115" w:name="_Toc26108"/>
      <w:bookmarkStart w:id="116" w:name="_Toc8362"/>
      <w:bookmarkStart w:id="117" w:name="_Toc1016"/>
      <w:r>
        <w:t>3.</w:t>
      </w:r>
      <w:r>
        <w:rPr>
          <w:rFonts w:hint="eastAsia"/>
        </w:rPr>
        <w:t>2</w:t>
      </w:r>
      <w:r>
        <w:rPr>
          <w:rFonts w:hint="eastAsia"/>
        </w:rPr>
        <w:t>监测布点</w:t>
      </w:r>
      <w:bookmarkEnd w:id="115"/>
      <w:bookmarkEnd w:id="116"/>
    </w:p>
    <w:p w:rsidR="00BC07F0" w:rsidRDefault="00073EFB" w:rsidP="00C55F5E">
      <w:pPr>
        <w:ind w:firstLine="480"/>
      </w:pPr>
      <w:r>
        <w:t>本项目为流动性线声源，为评价项目所在区域声环境质量现状，本评价根据沿线声污染源调查结果以及各敏感点的位置特点和声环境背景，按照《环境影响评价技术导则声环境》（</w:t>
      </w:r>
      <w:r>
        <w:t>HJ2.4-</w:t>
      </w:r>
      <w:r>
        <w:rPr>
          <w:rFonts w:hint="eastAsia"/>
        </w:rPr>
        <w:t>2021</w:t>
      </w:r>
      <w:r>
        <w:t>）中的有关规定，对评价范围内的</w:t>
      </w:r>
      <w:r>
        <w:rPr>
          <w:rFonts w:hint="eastAsia"/>
        </w:rPr>
        <w:t>居民点</w:t>
      </w:r>
      <w:r>
        <w:t>选取代表性监测进行声环境质量现状监测，同时，前后排敏感点均设置垂向监测布点，设置的前后排监测布点可满足对沿线全部敏感点预测的需要。</w:t>
      </w:r>
    </w:p>
    <w:p w:rsidR="00BC07F0" w:rsidRDefault="00073EFB" w:rsidP="00C55F5E">
      <w:pPr>
        <w:ind w:firstLine="480"/>
      </w:pPr>
      <w:r>
        <w:t>由于各敏感点选取的代表性楼层的住户入户时间难以协调，因此本评价在符合技术导则要求的前提下，按照实际可协调入户的代表性楼层进行监测，监测布点情况详见下表</w:t>
      </w:r>
      <w:r>
        <w:rPr>
          <w:rFonts w:hint="eastAsia"/>
        </w:rPr>
        <w:t>3-1</w:t>
      </w:r>
      <w:r>
        <w:t>。</w:t>
      </w:r>
    </w:p>
    <w:p w:rsidR="00BC07F0" w:rsidRDefault="00073EFB">
      <w:pPr>
        <w:pStyle w:val="a7"/>
        <w:rPr>
          <w:rFonts w:hint="default"/>
          <w:b/>
          <w:bCs/>
        </w:rPr>
      </w:pPr>
      <w:r>
        <w:rPr>
          <w:b/>
          <w:bCs/>
        </w:rPr>
        <w:t>表</w:t>
      </w:r>
      <w:r>
        <w:rPr>
          <w:b/>
          <w:bCs/>
        </w:rPr>
        <w:t>3-1</w:t>
      </w:r>
      <w:r>
        <w:rPr>
          <w:b/>
          <w:bCs/>
        </w:rPr>
        <w:t>监测点位一览表</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0"/>
        <w:gridCol w:w="5147"/>
      </w:tblGrid>
      <w:tr w:rsidR="00BC07F0">
        <w:trPr>
          <w:trHeight w:val="397"/>
        </w:trPr>
        <w:tc>
          <w:tcPr>
            <w:tcW w:w="3290" w:type="dxa"/>
            <w:vAlign w:val="center"/>
          </w:tcPr>
          <w:p w:rsidR="00BC07F0" w:rsidRDefault="00073EFB">
            <w:pPr>
              <w:pStyle w:val="a7"/>
              <w:rPr>
                <w:rFonts w:hint="default"/>
              </w:rPr>
            </w:pPr>
            <w:r>
              <w:t>检测项目</w:t>
            </w:r>
          </w:p>
        </w:tc>
        <w:tc>
          <w:tcPr>
            <w:tcW w:w="5147" w:type="dxa"/>
            <w:vAlign w:val="center"/>
          </w:tcPr>
          <w:p w:rsidR="00BC07F0" w:rsidRDefault="00073EFB">
            <w:pPr>
              <w:pStyle w:val="a7"/>
              <w:rPr>
                <w:rFonts w:hint="default"/>
              </w:rPr>
            </w:pPr>
            <w:r>
              <w:t>采样点位</w:t>
            </w:r>
          </w:p>
        </w:tc>
      </w:tr>
      <w:tr w:rsidR="00BC07F0">
        <w:trPr>
          <w:trHeight w:val="397"/>
        </w:trPr>
        <w:tc>
          <w:tcPr>
            <w:tcW w:w="3290" w:type="dxa"/>
            <w:vMerge w:val="restart"/>
            <w:vAlign w:val="center"/>
          </w:tcPr>
          <w:p w:rsidR="00BC07F0" w:rsidRDefault="00073EFB">
            <w:pPr>
              <w:pStyle w:val="a7"/>
              <w:rPr>
                <w:rFonts w:hint="default"/>
              </w:rPr>
            </w:pPr>
            <w:r>
              <w:t>环境噪声</w:t>
            </w:r>
            <w:r>
              <w:t>Leq(A)</w:t>
            </w:r>
          </w:p>
        </w:tc>
        <w:tc>
          <w:tcPr>
            <w:tcW w:w="5147" w:type="dxa"/>
            <w:vAlign w:val="center"/>
          </w:tcPr>
          <w:p w:rsidR="00BC07F0" w:rsidRDefault="00073EFB">
            <w:pPr>
              <w:pStyle w:val="a7"/>
              <w:rPr>
                <w:rFonts w:hint="default"/>
              </w:rPr>
            </w:pPr>
            <w:r>
              <w:t>白沙洲安置房</w:t>
            </w:r>
            <w:r>
              <w:t>△</w:t>
            </w:r>
            <w:r>
              <w:t>N</w:t>
            </w:r>
            <w:r>
              <w:t>1</w:t>
            </w:r>
          </w:p>
        </w:tc>
      </w:tr>
      <w:tr w:rsidR="00BC07F0">
        <w:trPr>
          <w:trHeight w:val="397"/>
        </w:trPr>
        <w:tc>
          <w:tcPr>
            <w:tcW w:w="3290" w:type="dxa"/>
            <w:vMerge/>
            <w:vAlign w:val="center"/>
          </w:tcPr>
          <w:p w:rsidR="00BC07F0" w:rsidRDefault="00BC07F0">
            <w:pPr>
              <w:pStyle w:val="a7"/>
              <w:rPr>
                <w:rFonts w:hint="default"/>
              </w:rPr>
            </w:pPr>
          </w:p>
        </w:tc>
        <w:tc>
          <w:tcPr>
            <w:tcW w:w="5147" w:type="dxa"/>
            <w:vAlign w:val="center"/>
          </w:tcPr>
          <w:p w:rsidR="00BC07F0" w:rsidRDefault="00073EFB">
            <w:pPr>
              <w:pStyle w:val="a7"/>
              <w:rPr>
                <w:rFonts w:hint="default"/>
              </w:rPr>
            </w:pPr>
            <w:r>
              <w:t>白沙村居民自建房</w:t>
            </w:r>
            <w:r>
              <w:t>△</w:t>
            </w:r>
            <w:r>
              <w:t>N</w:t>
            </w:r>
            <w:r>
              <w:t>2</w:t>
            </w:r>
          </w:p>
        </w:tc>
      </w:tr>
      <w:tr w:rsidR="00BC07F0">
        <w:trPr>
          <w:trHeight w:val="397"/>
        </w:trPr>
        <w:tc>
          <w:tcPr>
            <w:tcW w:w="3290" w:type="dxa"/>
            <w:vMerge/>
            <w:vAlign w:val="center"/>
          </w:tcPr>
          <w:p w:rsidR="00BC07F0" w:rsidRDefault="00BC07F0">
            <w:pPr>
              <w:pStyle w:val="a7"/>
              <w:rPr>
                <w:rFonts w:hint="default"/>
              </w:rPr>
            </w:pPr>
          </w:p>
        </w:tc>
        <w:tc>
          <w:tcPr>
            <w:tcW w:w="5147" w:type="dxa"/>
            <w:vAlign w:val="center"/>
          </w:tcPr>
          <w:p w:rsidR="00BC07F0" w:rsidRDefault="00073EFB">
            <w:pPr>
              <w:pStyle w:val="a7"/>
              <w:rPr>
                <w:rFonts w:hint="default"/>
              </w:rPr>
            </w:pPr>
            <w:r>
              <w:t>东洲岛安置房</w:t>
            </w:r>
            <w:r>
              <w:t>△</w:t>
            </w:r>
            <w:r>
              <w:t>N</w:t>
            </w:r>
            <w:r>
              <w:t>3</w:t>
            </w:r>
          </w:p>
        </w:tc>
      </w:tr>
      <w:tr w:rsidR="00BC07F0">
        <w:trPr>
          <w:trHeight w:val="397"/>
        </w:trPr>
        <w:tc>
          <w:tcPr>
            <w:tcW w:w="3290" w:type="dxa"/>
            <w:vMerge/>
            <w:vAlign w:val="center"/>
          </w:tcPr>
          <w:p w:rsidR="00BC07F0" w:rsidRDefault="00BC07F0">
            <w:pPr>
              <w:pStyle w:val="a7"/>
              <w:rPr>
                <w:rFonts w:hint="default"/>
              </w:rPr>
            </w:pPr>
          </w:p>
        </w:tc>
        <w:tc>
          <w:tcPr>
            <w:tcW w:w="5147" w:type="dxa"/>
            <w:vAlign w:val="center"/>
          </w:tcPr>
          <w:p w:rsidR="00BC07F0" w:rsidRDefault="00073EFB">
            <w:pPr>
              <w:pStyle w:val="a7"/>
              <w:rPr>
                <w:rFonts w:hint="default"/>
              </w:rPr>
            </w:pPr>
            <w:r>
              <w:t>湘江村居民自建房</w:t>
            </w:r>
            <w:r>
              <w:t>△</w:t>
            </w:r>
            <w:r>
              <w:t>N</w:t>
            </w:r>
            <w:r>
              <w:t>4</w:t>
            </w:r>
          </w:p>
        </w:tc>
      </w:tr>
    </w:tbl>
    <w:p w:rsidR="00BC07F0" w:rsidRDefault="00073EFB" w:rsidP="00C55F5E">
      <w:pPr>
        <w:pStyle w:val="2"/>
        <w:ind w:firstLine="482"/>
      </w:pPr>
      <w:bookmarkStart w:id="118" w:name="_Toc1384"/>
      <w:r>
        <w:t>3.</w:t>
      </w:r>
      <w:r>
        <w:rPr>
          <w:rFonts w:hint="eastAsia"/>
        </w:rPr>
        <w:t>3</w:t>
      </w:r>
      <w:r>
        <w:rPr>
          <w:rFonts w:hint="eastAsia"/>
        </w:rPr>
        <w:t>监测时间与频率</w:t>
      </w:r>
      <w:bookmarkEnd w:id="117"/>
      <w:bookmarkEnd w:id="118"/>
    </w:p>
    <w:p w:rsidR="00BC07F0" w:rsidRDefault="00073EFB" w:rsidP="00C55F5E">
      <w:pPr>
        <w:ind w:firstLine="480"/>
      </w:pPr>
      <w:r>
        <w:rPr>
          <w:rFonts w:hint="eastAsia"/>
        </w:rPr>
        <w:t>2021</w:t>
      </w:r>
      <w:r>
        <w:rPr>
          <w:rFonts w:hint="eastAsia"/>
        </w:rPr>
        <w:t>年</w:t>
      </w:r>
      <w:r>
        <w:rPr>
          <w:rFonts w:hint="eastAsia"/>
        </w:rPr>
        <w:t>5</w:t>
      </w:r>
      <w:r>
        <w:rPr>
          <w:rFonts w:hint="eastAsia"/>
        </w:rPr>
        <w:t>月</w:t>
      </w:r>
      <w:r>
        <w:rPr>
          <w:rFonts w:hint="eastAsia"/>
        </w:rPr>
        <w:t>20</w:t>
      </w:r>
      <w:r>
        <w:rPr>
          <w:rFonts w:hint="eastAsia"/>
        </w:rPr>
        <w:t>日由</w:t>
      </w:r>
      <w:r>
        <w:rPr>
          <w:rFonts w:hint="eastAsia"/>
        </w:rPr>
        <w:t>检测公司</w:t>
      </w:r>
      <w:r>
        <w:rPr>
          <w:rFonts w:hint="eastAsia"/>
        </w:rPr>
        <w:t>对表</w:t>
      </w:r>
      <w:r>
        <w:rPr>
          <w:rFonts w:hint="eastAsia"/>
        </w:rPr>
        <w:t>3-1</w:t>
      </w:r>
      <w:r>
        <w:rPr>
          <w:rFonts w:hint="eastAsia"/>
        </w:rPr>
        <w:t>敏感点进行了监测，监测项目为昼间等效</w:t>
      </w:r>
      <w:r>
        <w:rPr>
          <w:rFonts w:hint="eastAsia"/>
        </w:rPr>
        <w:t>A</w:t>
      </w:r>
      <w:r>
        <w:rPr>
          <w:rFonts w:hint="eastAsia"/>
        </w:rPr>
        <w:t>声级（</w:t>
      </w:r>
      <w:r>
        <w:rPr>
          <w:rFonts w:hint="eastAsia"/>
        </w:rPr>
        <w:t>Ld</w:t>
      </w:r>
      <w:r>
        <w:rPr>
          <w:rFonts w:hint="eastAsia"/>
        </w:rPr>
        <w:t>）、夜间等效</w:t>
      </w:r>
      <w:r>
        <w:rPr>
          <w:rFonts w:hint="eastAsia"/>
        </w:rPr>
        <w:t>A</w:t>
      </w:r>
      <w:r>
        <w:rPr>
          <w:rFonts w:hint="eastAsia"/>
        </w:rPr>
        <w:t>声级（</w:t>
      </w:r>
      <w:r>
        <w:rPr>
          <w:rFonts w:hint="eastAsia"/>
        </w:rPr>
        <w:t>Ln</w:t>
      </w:r>
      <w:r>
        <w:rPr>
          <w:rFonts w:hint="eastAsia"/>
        </w:rPr>
        <w:t>）。昼、夜各测量不低于平均运行密度的</w:t>
      </w:r>
      <w:r>
        <w:rPr>
          <w:rFonts w:hint="eastAsia"/>
        </w:rPr>
        <w:t>20min</w:t>
      </w:r>
      <w:r>
        <w:rPr>
          <w:rFonts w:hint="eastAsia"/>
        </w:rPr>
        <w:t>，</w:t>
      </w:r>
      <w:r>
        <w:rPr>
          <w:rFonts w:hint="eastAsia"/>
        </w:rPr>
        <w:t>检测</w:t>
      </w:r>
      <w:r>
        <w:rPr>
          <w:rFonts w:hint="eastAsia"/>
        </w:rPr>
        <w:t>1</w:t>
      </w:r>
      <w:r>
        <w:rPr>
          <w:rFonts w:hint="eastAsia"/>
        </w:rPr>
        <w:t>天</w:t>
      </w:r>
      <w:r>
        <w:rPr>
          <w:rFonts w:hint="eastAsia"/>
        </w:rPr>
        <w:t>的</w:t>
      </w:r>
      <w:r>
        <w:rPr>
          <w:rFonts w:hint="eastAsia"/>
        </w:rPr>
        <w:t>昼夜</w:t>
      </w:r>
      <w:r>
        <w:rPr>
          <w:rFonts w:hint="eastAsia"/>
        </w:rPr>
        <w:t>噪声值</w:t>
      </w:r>
      <w:r>
        <w:t>。</w:t>
      </w:r>
      <w:bookmarkStart w:id="119" w:name="_Toc22166"/>
    </w:p>
    <w:p w:rsidR="00BC07F0" w:rsidRDefault="00073EFB" w:rsidP="00C55F5E">
      <w:pPr>
        <w:pStyle w:val="2"/>
        <w:ind w:firstLine="482"/>
      </w:pPr>
      <w:bookmarkStart w:id="120" w:name="_Toc567"/>
      <w:r>
        <w:rPr>
          <w:rFonts w:hint="eastAsia"/>
        </w:rPr>
        <w:t>3.4</w:t>
      </w:r>
      <w:r>
        <w:rPr>
          <w:rFonts w:hint="eastAsia"/>
        </w:rPr>
        <w:t>评价标准</w:t>
      </w:r>
      <w:bookmarkEnd w:id="120"/>
    </w:p>
    <w:p w:rsidR="00BC07F0" w:rsidRDefault="00073EFB" w:rsidP="00C55F5E">
      <w:pPr>
        <w:ind w:firstLine="480"/>
      </w:pPr>
      <w:r>
        <w:t>项目执行《声环境质量标准》</w:t>
      </w:r>
      <w:r>
        <w:t>(GB3096-2008)</w:t>
      </w:r>
      <w:r>
        <w:rPr>
          <w:rFonts w:hint="eastAsia"/>
        </w:rPr>
        <w:t>2</w:t>
      </w:r>
      <w:r>
        <w:rPr>
          <w:rFonts w:hint="eastAsia"/>
        </w:rPr>
        <w:t>类标准限值，具体标准见表</w:t>
      </w:r>
      <w:r>
        <w:rPr>
          <w:rFonts w:hint="eastAsia"/>
        </w:rPr>
        <w:t>3-2</w:t>
      </w:r>
      <w:r>
        <w:rPr>
          <w:rFonts w:hint="eastAsia"/>
        </w:rPr>
        <w:t>。</w:t>
      </w:r>
    </w:p>
    <w:p w:rsidR="00BC07F0" w:rsidRDefault="00073EFB">
      <w:pPr>
        <w:pStyle w:val="a7"/>
        <w:rPr>
          <w:rFonts w:hint="default"/>
          <w:b/>
          <w:bCs/>
        </w:rPr>
      </w:pPr>
      <w:r>
        <w:rPr>
          <w:b/>
          <w:bCs/>
        </w:rPr>
        <w:t>表</w:t>
      </w:r>
      <w:r>
        <w:rPr>
          <w:b/>
          <w:bCs/>
        </w:rPr>
        <w:t>3-2</w:t>
      </w:r>
      <w:r>
        <w:rPr>
          <w:b/>
          <w:bCs/>
        </w:rPr>
        <w:t>声环境质量标准</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1"/>
        <w:gridCol w:w="2813"/>
        <w:gridCol w:w="2813"/>
      </w:tblGrid>
      <w:tr w:rsidR="00BC07F0">
        <w:trPr>
          <w:trHeight w:val="397"/>
          <w:jc w:val="center"/>
        </w:trPr>
        <w:tc>
          <w:tcPr>
            <w:tcW w:w="2840" w:type="dxa"/>
            <w:vMerge w:val="restart"/>
            <w:vAlign w:val="center"/>
          </w:tcPr>
          <w:p w:rsidR="00BC07F0" w:rsidRDefault="00073EFB">
            <w:pPr>
              <w:pStyle w:val="a7"/>
              <w:rPr>
                <w:rFonts w:hint="default"/>
              </w:rPr>
            </w:pPr>
            <w:r>
              <w:t>声环境功能区类别</w:t>
            </w:r>
          </w:p>
        </w:tc>
        <w:tc>
          <w:tcPr>
            <w:tcW w:w="5682" w:type="dxa"/>
            <w:gridSpan w:val="2"/>
            <w:vAlign w:val="center"/>
          </w:tcPr>
          <w:p w:rsidR="00BC07F0" w:rsidRDefault="00073EFB">
            <w:pPr>
              <w:pStyle w:val="a7"/>
              <w:rPr>
                <w:rFonts w:hint="default"/>
              </w:rPr>
            </w:pPr>
            <w:r>
              <w:t>环境噪声限值</w:t>
            </w:r>
          </w:p>
        </w:tc>
      </w:tr>
      <w:tr w:rsidR="00BC07F0">
        <w:trPr>
          <w:trHeight w:val="397"/>
          <w:jc w:val="center"/>
        </w:trPr>
        <w:tc>
          <w:tcPr>
            <w:tcW w:w="2840" w:type="dxa"/>
            <w:vMerge/>
            <w:vAlign w:val="center"/>
          </w:tcPr>
          <w:p w:rsidR="00BC07F0" w:rsidRDefault="00BC07F0">
            <w:pPr>
              <w:pStyle w:val="a7"/>
              <w:rPr>
                <w:rFonts w:hint="default"/>
              </w:rPr>
            </w:pPr>
          </w:p>
        </w:tc>
        <w:tc>
          <w:tcPr>
            <w:tcW w:w="2841" w:type="dxa"/>
            <w:vAlign w:val="center"/>
          </w:tcPr>
          <w:p w:rsidR="00BC07F0" w:rsidRDefault="00073EFB">
            <w:pPr>
              <w:pStyle w:val="a7"/>
              <w:rPr>
                <w:rFonts w:hint="default"/>
              </w:rPr>
            </w:pPr>
            <w:r>
              <w:t>昼间</w:t>
            </w:r>
          </w:p>
        </w:tc>
        <w:tc>
          <w:tcPr>
            <w:tcW w:w="2841" w:type="dxa"/>
            <w:vAlign w:val="center"/>
          </w:tcPr>
          <w:p w:rsidR="00BC07F0" w:rsidRDefault="00073EFB">
            <w:pPr>
              <w:pStyle w:val="a7"/>
              <w:rPr>
                <w:rFonts w:hint="default"/>
              </w:rPr>
            </w:pPr>
            <w:r>
              <w:t>夜间</w:t>
            </w:r>
          </w:p>
        </w:tc>
      </w:tr>
      <w:tr w:rsidR="00BC07F0">
        <w:trPr>
          <w:trHeight w:val="397"/>
          <w:jc w:val="center"/>
        </w:trPr>
        <w:tc>
          <w:tcPr>
            <w:tcW w:w="2840" w:type="dxa"/>
            <w:vAlign w:val="center"/>
          </w:tcPr>
          <w:p w:rsidR="00BC07F0" w:rsidRDefault="00073EFB">
            <w:pPr>
              <w:pStyle w:val="a7"/>
              <w:rPr>
                <w:rFonts w:hint="default"/>
              </w:rPr>
            </w:pPr>
            <w:r>
              <w:t>2</w:t>
            </w:r>
            <w:r>
              <w:t>类</w:t>
            </w:r>
          </w:p>
        </w:tc>
        <w:tc>
          <w:tcPr>
            <w:tcW w:w="2841" w:type="dxa"/>
            <w:vAlign w:val="center"/>
          </w:tcPr>
          <w:p w:rsidR="00BC07F0" w:rsidRDefault="00073EFB">
            <w:pPr>
              <w:pStyle w:val="a7"/>
              <w:rPr>
                <w:rFonts w:hint="default"/>
              </w:rPr>
            </w:pPr>
            <w:r>
              <w:t>60</w:t>
            </w:r>
          </w:p>
        </w:tc>
        <w:tc>
          <w:tcPr>
            <w:tcW w:w="2841" w:type="dxa"/>
            <w:vAlign w:val="center"/>
          </w:tcPr>
          <w:p w:rsidR="00BC07F0" w:rsidRDefault="00073EFB">
            <w:pPr>
              <w:pStyle w:val="a7"/>
              <w:rPr>
                <w:rFonts w:hint="default"/>
              </w:rPr>
            </w:pPr>
            <w:r>
              <w:t>50</w:t>
            </w:r>
          </w:p>
        </w:tc>
      </w:tr>
    </w:tbl>
    <w:p w:rsidR="00BC07F0" w:rsidRDefault="00073EFB" w:rsidP="00C55F5E">
      <w:pPr>
        <w:pStyle w:val="2"/>
        <w:ind w:firstLine="482"/>
      </w:pPr>
      <w:bookmarkStart w:id="121" w:name="_Toc32449"/>
      <w:r>
        <w:lastRenderedPageBreak/>
        <w:t>3.5</w:t>
      </w:r>
      <w:r>
        <w:rPr>
          <w:rFonts w:hint="eastAsia"/>
        </w:rPr>
        <w:t>监测结果</w:t>
      </w:r>
      <w:bookmarkEnd w:id="119"/>
      <w:bookmarkEnd w:id="121"/>
    </w:p>
    <w:p w:rsidR="00BC07F0" w:rsidRDefault="00073EFB" w:rsidP="00C55F5E">
      <w:pPr>
        <w:ind w:firstLine="480"/>
      </w:pPr>
      <w:r>
        <w:rPr>
          <w:rFonts w:hint="eastAsia"/>
        </w:rPr>
        <w:t>衡阳市白沙片区整体城镇化建设投资有限公司</w:t>
      </w:r>
      <w:r>
        <w:rPr>
          <w:rFonts w:hint="eastAsia"/>
        </w:rPr>
        <w:t>委托了湖南宏润检测有限公司进行了监测，采样时间为</w:t>
      </w:r>
      <w:r>
        <w:t>202</w:t>
      </w:r>
      <w:r>
        <w:rPr>
          <w:rFonts w:hint="eastAsia"/>
        </w:rPr>
        <w:t>2</w:t>
      </w:r>
      <w:r>
        <w:t>年</w:t>
      </w:r>
      <w:r>
        <w:rPr>
          <w:rFonts w:hint="eastAsia"/>
        </w:rPr>
        <w:t>8</w:t>
      </w:r>
      <w:r>
        <w:t>月</w:t>
      </w:r>
      <w:r>
        <w:t>2</w:t>
      </w:r>
      <w:r>
        <w:rPr>
          <w:rFonts w:hint="eastAsia"/>
        </w:rPr>
        <w:t>5</w:t>
      </w:r>
      <w:r>
        <w:t>日</w:t>
      </w:r>
      <w:r>
        <w:t>~2</w:t>
      </w:r>
      <w:r>
        <w:rPr>
          <w:rFonts w:hint="eastAsia"/>
        </w:rPr>
        <w:t>6</w:t>
      </w:r>
      <w:r>
        <w:t>日</w:t>
      </w:r>
      <w:r>
        <w:rPr>
          <w:rFonts w:hint="eastAsia"/>
        </w:rPr>
        <w:t>。各监测点执行标准及现状监测结果见表</w:t>
      </w:r>
      <w:r>
        <w:rPr>
          <w:rFonts w:hint="eastAsia"/>
        </w:rPr>
        <w:t>3-3</w:t>
      </w:r>
      <w:r>
        <w:rPr>
          <w:rFonts w:hint="eastAsia"/>
        </w:rPr>
        <w:t>。</w:t>
      </w:r>
    </w:p>
    <w:p w:rsidR="00BC07F0" w:rsidRDefault="00073EFB">
      <w:pPr>
        <w:pStyle w:val="a7"/>
        <w:rPr>
          <w:rFonts w:hint="default"/>
          <w:b/>
          <w:bCs/>
        </w:rPr>
      </w:pPr>
      <w:r>
        <w:rPr>
          <w:b/>
          <w:bCs/>
        </w:rPr>
        <w:t>表</w:t>
      </w:r>
      <w:r>
        <w:rPr>
          <w:b/>
          <w:bCs/>
        </w:rPr>
        <w:t>3-3</w:t>
      </w:r>
      <w:r>
        <w:rPr>
          <w:b/>
          <w:bCs/>
        </w:rPr>
        <w:t>声环境质量监测结果</w:t>
      </w:r>
      <w:r>
        <w:rPr>
          <w:b/>
          <w:bCs/>
        </w:rPr>
        <w:t>一览表</w:t>
      </w:r>
      <w:r>
        <w:rPr>
          <w:b/>
          <w:bCs/>
        </w:rPr>
        <w:t>单位：</w:t>
      </w:r>
      <w:r>
        <w:rPr>
          <w:b/>
          <w:bCs/>
        </w:rPr>
        <w:t>dB(A)</w:t>
      </w:r>
    </w:p>
    <w:tbl>
      <w:tblPr>
        <w:tblStyle w:val="a6"/>
        <w:tblW w:w="4950" w:type="pct"/>
        <w:jc w:val="center"/>
        <w:tblLayout w:type="fixed"/>
        <w:tblLook w:val="04A0"/>
      </w:tblPr>
      <w:tblGrid>
        <w:gridCol w:w="3974"/>
        <w:gridCol w:w="1151"/>
        <w:gridCol w:w="1230"/>
        <w:gridCol w:w="1035"/>
        <w:gridCol w:w="1047"/>
      </w:tblGrid>
      <w:tr w:rsidR="00BC07F0">
        <w:trPr>
          <w:trHeight w:val="397"/>
          <w:jc w:val="center"/>
        </w:trPr>
        <w:tc>
          <w:tcPr>
            <w:tcW w:w="3974" w:type="dxa"/>
            <w:vMerge w:val="restart"/>
            <w:vAlign w:val="center"/>
          </w:tcPr>
          <w:p w:rsidR="00BC07F0" w:rsidRDefault="00073EFB">
            <w:pPr>
              <w:pStyle w:val="a7"/>
              <w:rPr>
                <w:rFonts w:hint="default"/>
              </w:rPr>
            </w:pPr>
            <w:r>
              <w:t>检测点位</w:t>
            </w:r>
          </w:p>
        </w:tc>
        <w:tc>
          <w:tcPr>
            <w:tcW w:w="2381" w:type="dxa"/>
            <w:gridSpan w:val="2"/>
            <w:vAlign w:val="center"/>
          </w:tcPr>
          <w:p w:rsidR="00BC07F0" w:rsidRDefault="00073EFB">
            <w:pPr>
              <w:pStyle w:val="a7"/>
              <w:rPr>
                <w:rFonts w:hint="default"/>
              </w:rPr>
            </w:pPr>
            <w:r>
              <w:t>检测结果</w:t>
            </w:r>
          </w:p>
        </w:tc>
        <w:tc>
          <w:tcPr>
            <w:tcW w:w="2082" w:type="dxa"/>
            <w:gridSpan w:val="2"/>
            <w:vAlign w:val="center"/>
          </w:tcPr>
          <w:p w:rsidR="00BC07F0" w:rsidRDefault="00073EFB">
            <w:pPr>
              <w:pStyle w:val="a7"/>
              <w:rPr>
                <w:rFonts w:hint="default"/>
              </w:rPr>
            </w:pPr>
            <w:r>
              <w:t>标准限值</w:t>
            </w:r>
          </w:p>
        </w:tc>
      </w:tr>
      <w:tr w:rsidR="00BC07F0">
        <w:trPr>
          <w:trHeight w:val="397"/>
          <w:jc w:val="center"/>
        </w:trPr>
        <w:tc>
          <w:tcPr>
            <w:tcW w:w="3974" w:type="dxa"/>
            <w:vMerge/>
            <w:vAlign w:val="center"/>
          </w:tcPr>
          <w:p w:rsidR="00BC07F0" w:rsidRDefault="00BC07F0">
            <w:pPr>
              <w:pStyle w:val="a7"/>
              <w:rPr>
                <w:rFonts w:hint="default"/>
              </w:rPr>
            </w:pPr>
          </w:p>
        </w:tc>
        <w:tc>
          <w:tcPr>
            <w:tcW w:w="1151" w:type="dxa"/>
            <w:vAlign w:val="center"/>
          </w:tcPr>
          <w:p w:rsidR="00BC07F0" w:rsidRDefault="00073EFB">
            <w:pPr>
              <w:pStyle w:val="a7"/>
              <w:rPr>
                <w:rFonts w:hint="default"/>
              </w:rPr>
            </w:pPr>
            <w:r>
              <w:t>昼间</w:t>
            </w:r>
          </w:p>
        </w:tc>
        <w:tc>
          <w:tcPr>
            <w:tcW w:w="1230" w:type="dxa"/>
            <w:vAlign w:val="center"/>
          </w:tcPr>
          <w:p w:rsidR="00BC07F0" w:rsidRDefault="00073EFB">
            <w:pPr>
              <w:pStyle w:val="a7"/>
              <w:rPr>
                <w:rFonts w:hint="default"/>
              </w:rPr>
            </w:pPr>
            <w:r>
              <w:t>夜间</w:t>
            </w:r>
          </w:p>
        </w:tc>
        <w:tc>
          <w:tcPr>
            <w:tcW w:w="1035" w:type="dxa"/>
            <w:vAlign w:val="center"/>
          </w:tcPr>
          <w:p w:rsidR="00BC07F0" w:rsidRDefault="00073EFB">
            <w:pPr>
              <w:pStyle w:val="a7"/>
              <w:rPr>
                <w:rFonts w:hint="default"/>
              </w:rPr>
            </w:pPr>
            <w:r>
              <w:t>昼间</w:t>
            </w:r>
          </w:p>
        </w:tc>
        <w:tc>
          <w:tcPr>
            <w:tcW w:w="1047" w:type="dxa"/>
            <w:vAlign w:val="center"/>
          </w:tcPr>
          <w:p w:rsidR="00BC07F0" w:rsidRDefault="00073EFB">
            <w:pPr>
              <w:pStyle w:val="a7"/>
              <w:rPr>
                <w:rFonts w:hint="default"/>
              </w:rPr>
            </w:pPr>
            <w:r>
              <w:t>夜间</w:t>
            </w:r>
          </w:p>
        </w:tc>
      </w:tr>
      <w:tr w:rsidR="00BC07F0">
        <w:trPr>
          <w:trHeight w:val="397"/>
          <w:jc w:val="center"/>
        </w:trPr>
        <w:tc>
          <w:tcPr>
            <w:tcW w:w="3974" w:type="dxa"/>
            <w:vAlign w:val="center"/>
          </w:tcPr>
          <w:p w:rsidR="00BC07F0" w:rsidRDefault="00073EFB">
            <w:pPr>
              <w:pStyle w:val="a7"/>
              <w:rPr>
                <w:rFonts w:hint="default"/>
              </w:rPr>
            </w:pPr>
            <w:r>
              <w:t>白沙洲安置房</w:t>
            </w:r>
            <w:r>
              <w:t>△</w:t>
            </w:r>
            <w:r>
              <w:t>N</w:t>
            </w:r>
            <w:r>
              <w:t>1</w:t>
            </w:r>
          </w:p>
        </w:tc>
        <w:tc>
          <w:tcPr>
            <w:tcW w:w="1151" w:type="dxa"/>
            <w:vAlign w:val="center"/>
          </w:tcPr>
          <w:p w:rsidR="00BC07F0" w:rsidRDefault="00073EFB">
            <w:pPr>
              <w:pStyle w:val="a7"/>
              <w:rPr>
                <w:rFonts w:hint="default"/>
              </w:rPr>
            </w:pPr>
            <w:r>
              <w:t>51.1</w:t>
            </w:r>
          </w:p>
        </w:tc>
        <w:tc>
          <w:tcPr>
            <w:tcW w:w="1230" w:type="dxa"/>
            <w:vAlign w:val="center"/>
          </w:tcPr>
          <w:p w:rsidR="00BC07F0" w:rsidRDefault="00073EFB">
            <w:pPr>
              <w:pStyle w:val="a7"/>
              <w:rPr>
                <w:rFonts w:hint="default"/>
              </w:rPr>
            </w:pPr>
            <w:r>
              <w:t>41.0</w:t>
            </w:r>
          </w:p>
        </w:tc>
        <w:tc>
          <w:tcPr>
            <w:tcW w:w="1035" w:type="dxa"/>
            <w:vAlign w:val="center"/>
          </w:tcPr>
          <w:p w:rsidR="00BC07F0" w:rsidRDefault="00073EFB">
            <w:pPr>
              <w:pStyle w:val="a7"/>
              <w:rPr>
                <w:rFonts w:hint="default"/>
              </w:rPr>
            </w:pPr>
            <w:r>
              <w:t>60</w:t>
            </w:r>
          </w:p>
        </w:tc>
        <w:tc>
          <w:tcPr>
            <w:tcW w:w="1047" w:type="dxa"/>
            <w:vAlign w:val="center"/>
          </w:tcPr>
          <w:p w:rsidR="00BC07F0" w:rsidRDefault="00073EFB">
            <w:pPr>
              <w:pStyle w:val="a7"/>
              <w:rPr>
                <w:rFonts w:hint="default"/>
              </w:rPr>
            </w:pPr>
            <w:r>
              <w:t>50</w:t>
            </w:r>
          </w:p>
        </w:tc>
      </w:tr>
      <w:tr w:rsidR="00BC07F0">
        <w:trPr>
          <w:trHeight w:val="397"/>
          <w:jc w:val="center"/>
        </w:trPr>
        <w:tc>
          <w:tcPr>
            <w:tcW w:w="3974" w:type="dxa"/>
            <w:vAlign w:val="center"/>
          </w:tcPr>
          <w:p w:rsidR="00BC07F0" w:rsidRDefault="00073EFB">
            <w:pPr>
              <w:pStyle w:val="a7"/>
              <w:rPr>
                <w:rFonts w:hint="default"/>
              </w:rPr>
            </w:pPr>
            <w:r>
              <w:t>白沙村居民自建房</w:t>
            </w:r>
            <w:r>
              <w:t>△</w:t>
            </w:r>
            <w:r>
              <w:t>N</w:t>
            </w:r>
            <w:r>
              <w:t>2</w:t>
            </w:r>
          </w:p>
        </w:tc>
        <w:tc>
          <w:tcPr>
            <w:tcW w:w="1151" w:type="dxa"/>
            <w:vAlign w:val="center"/>
          </w:tcPr>
          <w:p w:rsidR="00BC07F0" w:rsidRDefault="00073EFB">
            <w:pPr>
              <w:pStyle w:val="a7"/>
              <w:rPr>
                <w:rFonts w:hint="default"/>
              </w:rPr>
            </w:pPr>
            <w:r>
              <w:t>50.9</w:t>
            </w:r>
          </w:p>
        </w:tc>
        <w:tc>
          <w:tcPr>
            <w:tcW w:w="1230" w:type="dxa"/>
            <w:vAlign w:val="center"/>
          </w:tcPr>
          <w:p w:rsidR="00BC07F0" w:rsidRDefault="00073EFB">
            <w:pPr>
              <w:pStyle w:val="a7"/>
              <w:rPr>
                <w:rFonts w:hint="default"/>
              </w:rPr>
            </w:pPr>
            <w:r>
              <w:t>41.1</w:t>
            </w:r>
          </w:p>
        </w:tc>
        <w:tc>
          <w:tcPr>
            <w:tcW w:w="1035" w:type="dxa"/>
            <w:vAlign w:val="center"/>
          </w:tcPr>
          <w:p w:rsidR="00BC07F0" w:rsidRDefault="00073EFB">
            <w:pPr>
              <w:pStyle w:val="a7"/>
              <w:rPr>
                <w:rFonts w:hint="default"/>
              </w:rPr>
            </w:pPr>
            <w:r>
              <w:t>60</w:t>
            </w:r>
          </w:p>
        </w:tc>
        <w:tc>
          <w:tcPr>
            <w:tcW w:w="1047" w:type="dxa"/>
            <w:vAlign w:val="center"/>
          </w:tcPr>
          <w:p w:rsidR="00BC07F0" w:rsidRDefault="00073EFB">
            <w:pPr>
              <w:pStyle w:val="a7"/>
              <w:rPr>
                <w:rFonts w:hint="default"/>
              </w:rPr>
            </w:pPr>
            <w:r>
              <w:t>50</w:t>
            </w:r>
          </w:p>
        </w:tc>
      </w:tr>
      <w:tr w:rsidR="00BC07F0">
        <w:trPr>
          <w:trHeight w:val="397"/>
          <w:jc w:val="center"/>
        </w:trPr>
        <w:tc>
          <w:tcPr>
            <w:tcW w:w="3974" w:type="dxa"/>
            <w:vAlign w:val="center"/>
          </w:tcPr>
          <w:p w:rsidR="00BC07F0" w:rsidRDefault="00073EFB">
            <w:pPr>
              <w:pStyle w:val="a7"/>
              <w:rPr>
                <w:rFonts w:hint="default"/>
              </w:rPr>
            </w:pPr>
            <w:r>
              <w:t>东洲岛安置房</w:t>
            </w:r>
            <w:r>
              <w:t>△</w:t>
            </w:r>
            <w:r>
              <w:t>N</w:t>
            </w:r>
            <w:r>
              <w:t>3</w:t>
            </w:r>
          </w:p>
        </w:tc>
        <w:tc>
          <w:tcPr>
            <w:tcW w:w="1151" w:type="dxa"/>
            <w:vAlign w:val="center"/>
          </w:tcPr>
          <w:p w:rsidR="00BC07F0" w:rsidRDefault="00073EFB">
            <w:pPr>
              <w:pStyle w:val="a7"/>
              <w:rPr>
                <w:rFonts w:hint="default"/>
              </w:rPr>
            </w:pPr>
            <w:r>
              <w:t>50.1</w:t>
            </w:r>
          </w:p>
        </w:tc>
        <w:tc>
          <w:tcPr>
            <w:tcW w:w="1230" w:type="dxa"/>
            <w:vAlign w:val="center"/>
          </w:tcPr>
          <w:p w:rsidR="00BC07F0" w:rsidRDefault="00073EFB">
            <w:pPr>
              <w:pStyle w:val="a7"/>
              <w:rPr>
                <w:rFonts w:hint="default"/>
              </w:rPr>
            </w:pPr>
            <w:r>
              <w:t>41.0</w:t>
            </w:r>
          </w:p>
        </w:tc>
        <w:tc>
          <w:tcPr>
            <w:tcW w:w="1035" w:type="dxa"/>
            <w:vAlign w:val="center"/>
          </w:tcPr>
          <w:p w:rsidR="00BC07F0" w:rsidRDefault="00073EFB">
            <w:pPr>
              <w:pStyle w:val="a7"/>
              <w:rPr>
                <w:rFonts w:hint="default"/>
              </w:rPr>
            </w:pPr>
            <w:r>
              <w:t>60</w:t>
            </w:r>
          </w:p>
        </w:tc>
        <w:tc>
          <w:tcPr>
            <w:tcW w:w="1047" w:type="dxa"/>
            <w:vAlign w:val="center"/>
          </w:tcPr>
          <w:p w:rsidR="00BC07F0" w:rsidRDefault="00073EFB">
            <w:pPr>
              <w:pStyle w:val="a7"/>
              <w:rPr>
                <w:rFonts w:hint="default"/>
              </w:rPr>
            </w:pPr>
            <w:r>
              <w:t>50</w:t>
            </w:r>
          </w:p>
        </w:tc>
      </w:tr>
      <w:tr w:rsidR="00BC07F0">
        <w:trPr>
          <w:trHeight w:val="397"/>
          <w:jc w:val="center"/>
        </w:trPr>
        <w:tc>
          <w:tcPr>
            <w:tcW w:w="3974" w:type="dxa"/>
            <w:vAlign w:val="center"/>
          </w:tcPr>
          <w:p w:rsidR="00BC07F0" w:rsidRDefault="00073EFB">
            <w:pPr>
              <w:pStyle w:val="a7"/>
              <w:rPr>
                <w:rFonts w:hint="default"/>
              </w:rPr>
            </w:pPr>
            <w:r>
              <w:t>湘江村居民自建房</w:t>
            </w:r>
            <w:r>
              <w:t>△</w:t>
            </w:r>
            <w:r>
              <w:t>N</w:t>
            </w:r>
            <w:r>
              <w:t>4</w:t>
            </w:r>
          </w:p>
        </w:tc>
        <w:tc>
          <w:tcPr>
            <w:tcW w:w="1151" w:type="dxa"/>
            <w:vAlign w:val="center"/>
          </w:tcPr>
          <w:p w:rsidR="00BC07F0" w:rsidRDefault="00073EFB">
            <w:pPr>
              <w:pStyle w:val="a7"/>
              <w:rPr>
                <w:rFonts w:hint="default"/>
              </w:rPr>
            </w:pPr>
            <w:r>
              <w:t>51.1</w:t>
            </w:r>
          </w:p>
        </w:tc>
        <w:tc>
          <w:tcPr>
            <w:tcW w:w="1230" w:type="dxa"/>
            <w:vAlign w:val="center"/>
          </w:tcPr>
          <w:p w:rsidR="00BC07F0" w:rsidRDefault="00073EFB">
            <w:pPr>
              <w:pStyle w:val="a7"/>
              <w:rPr>
                <w:rFonts w:hint="default"/>
              </w:rPr>
            </w:pPr>
            <w:r>
              <w:t>41.2</w:t>
            </w:r>
          </w:p>
        </w:tc>
        <w:tc>
          <w:tcPr>
            <w:tcW w:w="1035" w:type="dxa"/>
            <w:vAlign w:val="center"/>
          </w:tcPr>
          <w:p w:rsidR="00BC07F0" w:rsidRDefault="00073EFB">
            <w:pPr>
              <w:pStyle w:val="a7"/>
              <w:rPr>
                <w:rFonts w:hint="default"/>
              </w:rPr>
            </w:pPr>
            <w:r>
              <w:t>60</w:t>
            </w:r>
          </w:p>
        </w:tc>
        <w:tc>
          <w:tcPr>
            <w:tcW w:w="1047" w:type="dxa"/>
            <w:vAlign w:val="center"/>
          </w:tcPr>
          <w:p w:rsidR="00BC07F0" w:rsidRDefault="00073EFB">
            <w:pPr>
              <w:pStyle w:val="a7"/>
              <w:rPr>
                <w:rFonts w:hint="default"/>
              </w:rPr>
            </w:pPr>
            <w:r>
              <w:t>50</w:t>
            </w:r>
          </w:p>
        </w:tc>
      </w:tr>
    </w:tbl>
    <w:p w:rsidR="00BC07F0" w:rsidRDefault="00073EFB" w:rsidP="00C55F5E">
      <w:pPr>
        <w:ind w:firstLine="480"/>
      </w:pPr>
      <w:r>
        <w:rPr>
          <w:rFonts w:hint="eastAsia"/>
        </w:rPr>
        <w:t>从监测结果与评价标准对比可知及，项目沿线敏感点噪声监测值均能满足《声环境质量标准》（</w:t>
      </w:r>
      <w:r>
        <w:rPr>
          <w:rFonts w:hint="eastAsia"/>
        </w:rPr>
        <w:t>GB3096-2008</w:t>
      </w:r>
      <w:r>
        <w:rPr>
          <w:rFonts w:hint="eastAsia"/>
        </w:rPr>
        <w:t>）</w:t>
      </w:r>
      <w:r>
        <w:rPr>
          <w:rFonts w:hint="eastAsia"/>
        </w:rPr>
        <w:t>2</w:t>
      </w:r>
      <w:r>
        <w:rPr>
          <w:rFonts w:hint="eastAsia"/>
        </w:rPr>
        <w:t>类标准限值项目所在区域声环境良好。</w:t>
      </w:r>
    </w:p>
    <w:p w:rsidR="00BC07F0" w:rsidRDefault="00073EFB" w:rsidP="00C55F5E">
      <w:pPr>
        <w:pStyle w:val="2"/>
        <w:ind w:firstLine="482"/>
      </w:pPr>
      <w:bookmarkStart w:id="122" w:name="_Toc25521"/>
      <w:bookmarkStart w:id="123" w:name="_Toc22128"/>
      <w:r>
        <w:t>3.</w:t>
      </w:r>
      <w:r>
        <w:rPr>
          <w:rFonts w:hint="eastAsia"/>
        </w:rPr>
        <w:t>6</w:t>
      </w:r>
      <w:r>
        <w:rPr>
          <w:rFonts w:hint="eastAsia"/>
        </w:rPr>
        <w:t>声环境现状调查结论</w:t>
      </w:r>
      <w:bookmarkEnd w:id="122"/>
      <w:bookmarkEnd w:id="123"/>
    </w:p>
    <w:p w:rsidR="00BC07F0" w:rsidRDefault="00073EFB" w:rsidP="00C55F5E">
      <w:pPr>
        <w:ind w:firstLine="480"/>
      </w:pPr>
      <w:r>
        <w:rPr>
          <w:rFonts w:hint="eastAsia"/>
        </w:rPr>
        <w:t>根据监测结果和现场调查分析可知，各监测点昼夜间声环境质量达到《声环境质量标准》（</w:t>
      </w:r>
      <w:r>
        <w:rPr>
          <w:rFonts w:hint="eastAsia"/>
        </w:rPr>
        <w:t>GB3096-2008</w:t>
      </w:r>
      <w:r>
        <w:rPr>
          <w:rFonts w:hint="eastAsia"/>
        </w:rPr>
        <w:t>）中</w:t>
      </w:r>
      <w:r>
        <w:rPr>
          <w:rFonts w:hint="eastAsia"/>
        </w:rPr>
        <w:t>2</w:t>
      </w:r>
      <w:r>
        <w:rPr>
          <w:rFonts w:hint="eastAsia"/>
        </w:rPr>
        <w:t>类标准，本项目所在区域声环境质量现状相对较好。</w:t>
      </w:r>
    </w:p>
    <w:p w:rsidR="00BC07F0" w:rsidRDefault="00BC07F0" w:rsidP="00C55F5E">
      <w:pPr>
        <w:ind w:firstLine="480"/>
        <w:sectPr w:rsidR="00BC07F0">
          <w:pgSz w:w="11906" w:h="16838"/>
          <w:pgMar w:top="1440" w:right="1800" w:bottom="1440" w:left="1800" w:header="851" w:footer="1077" w:gutter="0"/>
          <w:cols w:space="720"/>
          <w:docGrid w:linePitch="312"/>
        </w:sectPr>
      </w:pPr>
    </w:p>
    <w:p w:rsidR="00BC07F0" w:rsidRDefault="00073EFB">
      <w:pPr>
        <w:pStyle w:val="1"/>
      </w:pPr>
      <w:bookmarkStart w:id="124" w:name="_Toc19177"/>
      <w:bookmarkStart w:id="125" w:name="_Toc2085"/>
      <w:bookmarkStart w:id="126" w:name="_Toc20342"/>
      <w:r>
        <w:lastRenderedPageBreak/>
        <w:t>4</w:t>
      </w:r>
      <w:r>
        <w:rPr>
          <w:rFonts w:hint="eastAsia"/>
        </w:rPr>
        <w:t>声环境影响预测与评价</w:t>
      </w:r>
      <w:bookmarkEnd w:id="124"/>
      <w:bookmarkEnd w:id="125"/>
      <w:bookmarkEnd w:id="126"/>
    </w:p>
    <w:p w:rsidR="00BC07F0" w:rsidRDefault="00073EFB" w:rsidP="00C55F5E">
      <w:pPr>
        <w:pStyle w:val="2"/>
        <w:ind w:firstLine="482"/>
        <w:rPr>
          <w:color w:val="000000"/>
        </w:rPr>
      </w:pPr>
      <w:bookmarkStart w:id="127" w:name="_Toc7064"/>
      <w:bookmarkStart w:id="128" w:name="_Toc8731"/>
      <w:r>
        <w:rPr>
          <w:color w:val="000000"/>
        </w:rPr>
        <w:t>4.1</w:t>
      </w:r>
      <w:r>
        <w:rPr>
          <w:rFonts w:hint="eastAsia"/>
          <w:color w:val="000000"/>
        </w:rPr>
        <w:t>施工期声环境影响预测与评价</w:t>
      </w:r>
      <w:bookmarkEnd w:id="127"/>
      <w:bookmarkEnd w:id="128"/>
    </w:p>
    <w:p w:rsidR="00BC07F0" w:rsidRDefault="00073EFB" w:rsidP="00C55F5E">
      <w:pPr>
        <w:pStyle w:val="3"/>
        <w:ind w:firstLine="482"/>
      </w:pPr>
      <w:bookmarkStart w:id="129" w:name="_Toc18725"/>
      <w:r>
        <w:t>4.1.1</w:t>
      </w:r>
      <w:r>
        <w:rPr>
          <w:rFonts w:hint="eastAsia"/>
        </w:rPr>
        <w:t>各施工阶段噪声源分析</w:t>
      </w:r>
      <w:bookmarkEnd w:id="129"/>
    </w:p>
    <w:p w:rsidR="00BC07F0" w:rsidRDefault="00073EFB" w:rsidP="00C55F5E">
      <w:pPr>
        <w:ind w:firstLine="480"/>
      </w:pPr>
      <w:r>
        <w:rPr>
          <w:rFonts w:hint="eastAsia"/>
        </w:rPr>
        <w:t>根据道路施工特点，施工过程可分为基础施工、路面施工、交通工程施工三个阶段，各阶段主要施工内容和施工机械为：</w:t>
      </w:r>
    </w:p>
    <w:p w:rsidR="00BC07F0" w:rsidRDefault="00073EFB" w:rsidP="00C55F5E">
      <w:pPr>
        <w:ind w:firstLine="480"/>
      </w:pPr>
      <w:r>
        <w:rPr>
          <w:rFonts w:hint="eastAsia"/>
        </w:rPr>
        <w:t>（</w:t>
      </w:r>
      <w:r>
        <w:t>1</w:t>
      </w:r>
      <w:r>
        <w:rPr>
          <w:rFonts w:hint="eastAsia"/>
        </w:rPr>
        <w:t>）基础施工：此工序为道路耗时最长、所用施工机械最多、噪声最强的阶段，该阶段主要包括处理地基、路基平整、挖填土方、逐层压实路面等施工内容，同时包括大量运输物料车辆进出施工现场。该阶段需用的施工机械包括装载机、振动式压路机、推土机、平地机、挖掘机等。</w:t>
      </w:r>
    </w:p>
    <w:p w:rsidR="00BC07F0" w:rsidRDefault="00073EFB" w:rsidP="00C55F5E">
      <w:pPr>
        <w:ind w:firstLine="480"/>
      </w:pPr>
      <w:r>
        <w:rPr>
          <w:rFonts w:hint="eastAsia"/>
        </w:rPr>
        <w:t>（</w:t>
      </w:r>
      <w:r>
        <w:t>2</w:t>
      </w:r>
      <w:r>
        <w:rPr>
          <w:rFonts w:hint="eastAsia"/>
        </w:rPr>
        <w:t>）路面施工：此工序继路基施工结束后开展，主要是对全线摊铺混凝土。该阶段需使用的机械为摊铺机、压路机等机械，根据国内对公路施工期进行的噪声监测，该阶段</w:t>
      </w:r>
      <w:r>
        <w:rPr>
          <w:rFonts w:hint="eastAsia"/>
        </w:rPr>
        <w:t>公路施工噪声相对路基施工段较小，距路边</w:t>
      </w:r>
      <w:r>
        <w:t>5</w:t>
      </w:r>
      <w:r>
        <w:rPr>
          <w:rFonts w:hint="eastAsia"/>
        </w:rPr>
        <w:t>5</w:t>
      </w:r>
      <w:r>
        <w:t>m</w:t>
      </w:r>
      <w:r>
        <w:rPr>
          <w:rFonts w:hint="eastAsia"/>
        </w:rPr>
        <w:t>外敏感点受到的影响甚小。</w:t>
      </w:r>
    </w:p>
    <w:p w:rsidR="00BC07F0" w:rsidRDefault="00073EFB" w:rsidP="00C55F5E">
      <w:pPr>
        <w:ind w:firstLine="480"/>
      </w:pPr>
      <w:r>
        <w:rPr>
          <w:rFonts w:hint="eastAsia"/>
        </w:rPr>
        <w:t>（</w:t>
      </w:r>
      <w:r>
        <w:t>3</w:t>
      </w:r>
      <w:r>
        <w:rPr>
          <w:rFonts w:hint="eastAsia"/>
        </w:rPr>
        <w:t>）交通工程施工：此工序主要是对道路的交通通讯设施进行安装、标志标线进行完善。该工序基本不用大型施工机械，因此噪声影响微小。</w:t>
      </w:r>
    </w:p>
    <w:p w:rsidR="00BC07F0" w:rsidRDefault="00073EFB" w:rsidP="00C55F5E">
      <w:pPr>
        <w:ind w:firstLine="480"/>
      </w:pPr>
      <w:r>
        <w:rPr>
          <w:rFonts w:hint="eastAsia"/>
        </w:rPr>
        <w:t>综上所述，道路基础施工阶段是噪声影响最大的阶段，施工过程中各种施工机械对沿线声环境产生较为严重的影响。此外，在基础施工过程中，还伴有建筑材料运输车辆所带来的辐射噪声，不可避免会对沿线敏感点产生一定影响。</w:t>
      </w:r>
    </w:p>
    <w:p w:rsidR="00BC07F0" w:rsidRDefault="00073EFB" w:rsidP="00C55F5E">
      <w:pPr>
        <w:pStyle w:val="3"/>
        <w:ind w:firstLine="482"/>
      </w:pPr>
      <w:bookmarkStart w:id="130" w:name="_Toc5273"/>
      <w:r>
        <w:t>4.1.2</w:t>
      </w:r>
      <w:r>
        <w:rPr>
          <w:rFonts w:hint="eastAsia"/>
        </w:rPr>
        <w:t>施工期噪声影响分析</w:t>
      </w:r>
      <w:bookmarkEnd w:id="130"/>
    </w:p>
    <w:p w:rsidR="00BC07F0" w:rsidRDefault="00073EFB" w:rsidP="00C55F5E">
      <w:pPr>
        <w:ind w:firstLine="480"/>
      </w:pPr>
      <w:r>
        <w:t>1</w:t>
      </w:r>
      <w:r>
        <w:rPr>
          <w:rFonts w:hint="eastAsia"/>
        </w:rPr>
        <w:t>、预测模式</w:t>
      </w:r>
    </w:p>
    <w:p w:rsidR="00BC07F0" w:rsidRDefault="00073EFB">
      <w:pPr>
        <w:widowControl/>
        <w:ind w:firstLine="480"/>
        <w:rPr>
          <w:color w:val="FF0000"/>
          <w:u w:val="single"/>
        </w:rPr>
      </w:pPr>
      <w:r>
        <w:rPr>
          <w:rFonts w:ascii="宋体" w:hAnsi="宋体" w:cs="宋体" w:hint="eastAsia"/>
          <w:color w:val="000000"/>
          <w:kern w:val="0"/>
          <w:lang/>
        </w:rPr>
        <w:t>本项目施工机械产生的噪声可以近似作为点声源处理，根据点声源随距离的</w:t>
      </w:r>
      <w:r>
        <w:rPr>
          <w:rFonts w:ascii="宋体" w:hAnsi="宋体" w:cs="宋体" w:hint="eastAsia"/>
          <w:color w:val="000000"/>
          <w:kern w:val="0"/>
          <w:lang/>
        </w:rPr>
        <w:t>衰减模式，可估算其施工期间离噪声源不同距离处的噪声值，点声源预测模式为：</w:t>
      </w:r>
    </w:p>
    <w:p w:rsidR="00BC07F0" w:rsidRDefault="00BC07F0">
      <w:pPr>
        <w:ind w:firstLine="480"/>
        <w:jc w:val="center"/>
        <w:rPr>
          <w:color w:val="FF0000"/>
          <w:u w:val="single"/>
        </w:rPr>
      </w:pPr>
      <w:r w:rsidRPr="00BC07F0">
        <w:rPr>
          <w:rFonts w:hint="eastAsia"/>
          <w:color w:val="000000"/>
          <w:position w:val="-30"/>
        </w:rPr>
        <w:object w:dxaOrig="2480" w:dyaOrig="700">
          <v:shape id="_x0000_i1028" type="#_x0000_t75" style="width:153.7pt;height:36.55pt" o:ole="">
            <v:imagedata r:id="rId44" o:title=""/>
          </v:shape>
          <o:OLEObject Type="Embed" ProgID="Equations" ShapeID="_x0000_i1028" DrawAspect="Content" ObjectID="_1746346132" r:id="rId45"/>
        </w:object>
      </w:r>
    </w:p>
    <w:p w:rsidR="00BC07F0" w:rsidRDefault="00073EFB">
      <w:pPr>
        <w:widowControl/>
        <w:ind w:firstLine="480"/>
        <w:rPr>
          <w:rFonts w:ascii="宋体" w:hAnsi="宋体" w:cs="宋体"/>
          <w:color w:val="000000"/>
          <w:kern w:val="0"/>
          <w:lang/>
        </w:rPr>
      </w:pPr>
      <w:r>
        <w:rPr>
          <w:rFonts w:ascii="宋体" w:hAnsi="宋体" w:cs="宋体" w:hint="eastAsia"/>
          <w:color w:val="000000"/>
          <w:kern w:val="0"/>
          <w:lang/>
        </w:rPr>
        <w:t>式中：</w:t>
      </w:r>
    </w:p>
    <w:p w:rsidR="00BC07F0" w:rsidRDefault="00073EFB">
      <w:pPr>
        <w:widowControl/>
        <w:ind w:firstLine="480"/>
        <w:rPr>
          <w:color w:val="000000"/>
          <w:kern w:val="0"/>
          <w:lang/>
        </w:rPr>
      </w:pPr>
      <w:r>
        <w:rPr>
          <w:color w:val="000000"/>
          <w:kern w:val="0"/>
          <w:lang/>
        </w:rPr>
        <w:t>L</w:t>
      </w:r>
      <w:r>
        <w:rPr>
          <w:color w:val="000000"/>
          <w:kern w:val="0"/>
          <w:vertAlign w:val="subscript"/>
          <w:lang/>
        </w:rPr>
        <w:t>2</w:t>
      </w:r>
      <w:r>
        <w:rPr>
          <w:color w:val="000000"/>
          <w:kern w:val="0"/>
          <w:lang/>
        </w:rPr>
        <w:t>——</w:t>
      </w:r>
      <w:r>
        <w:rPr>
          <w:rFonts w:hint="eastAsia"/>
          <w:color w:val="000000"/>
          <w:kern w:val="0"/>
          <w:lang/>
        </w:rPr>
        <w:t>预测点处声压级，</w:t>
      </w:r>
      <w:r>
        <w:rPr>
          <w:rFonts w:hint="eastAsia"/>
          <w:color w:val="000000"/>
          <w:kern w:val="0"/>
          <w:lang/>
        </w:rPr>
        <w:t>dB</w:t>
      </w:r>
      <w:r>
        <w:rPr>
          <w:rFonts w:hint="eastAsia"/>
          <w:color w:val="000000"/>
          <w:kern w:val="0"/>
          <w:lang/>
        </w:rPr>
        <w:t>；</w:t>
      </w:r>
    </w:p>
    <w:p w:rsidR="00BC07F0" w:rsidRDefault="00073EFB">
      <w:pPr>
        <w:widowControl/>
        <w:ind w:firstLine="480"/>
        <w:rPr>
          <w:color w:val="000000"/>
          <w:kern w:val="0"/>
          <w:lang/>
        </w:rPr>
      </w:pPr>
      <w:r>
        <w:rPr>
          <w:rFonts w:hint="eastAsia"/>
          <w:color w:val="000000"/>
          <w:kern w:val="0"/>
          <w:lang/>
        </w:rPr>
        <w:t>L</w:t>
      </w:r>
      <w:r>
        <w:rPr>
          <w:rFonts w:hint="eastAsia"/>
          <w:color w:val="000000"/>
          <w:kern w:val="0"/>
          <w:vertAlign w:val="subscript"/>
          <w:lang/>
        </w:rPr>
        <w:t>1</w:t>
      </w:r>
      <w:r>
        <w:rPr>
          <w:color w:val="000000"/>
          <w:kern w:val="0"/>
          <w:lang/>
        </w:rPr>
        <w:t>——</w:t>
      </w:r>
      <w:r>
        <w:rPr>
          <w:rFonts w:hint="eastAsia"/>
          <w:color w:val="000000"/>
          <w:kern w:val="0"/>
          <w:lang/>
        </w:rPr>
        <w:t>距施工噪声源</w:t>
      </w:r>
      <w:r>
        <w:rPr>
          <w:rFonts w:hint="eastAsia"/>
          <w:color w:val="000000"/>
          <w:kern w:val="0"/>
          <w:lang/>
        </w:rPr>
        <w:t>r</w:t>
      </w:r>
      <w:r>
        <w:rPr>
          <w:rFonts w:hint="eastAsia"/>
          <w:color w:val="000000"/>
          <w:kern w:val="0"/>
          <w:vertAlign w:val="subscript"/>
          <w:lang/>
        </w:rPr>
        <w:t>1</w:t>
      </w:r>
      <w:r>
        <w:rPr>
          <w:rFonts w:hint="eastAsia"/>
          <w:color w:val="000000"/>
          <w:kern w:val="0"/>
          <w:lang/>
        </w:rPr>
        <w:t>处的声压级，</w:t>
      </w:r>
      <w:r>
        <w:rPr>
          <w:rFonts w:hint="eastAsia"/>
          <w:color w:val="000000"/>
          <w:kern w:val="0"/>
          <w:lang/>
        </w:rPr>
        <w:t>dB</w:t>
      </w:r>
      <w:r>
        <w:rPr>
          <w:rFonts w:hint="eastAsia"/>
          <w:color w:val="000000"/>
          <w:kern w:val="0"/>
          <w:lang/>
        </w:rPr>
        <w:t>；</w:t>
      </w:r>
    </w:p>
    <w:p w:rsidR="00BC07F0" w:rsidRDefault="00073EFB">
      <w:pPr>
        <w:widowControl/>
        <w:ind w:firstLine="480"/>
        <w:rPr>
          <w:color w:val="000000"/>
          <w:kern w:val="0"/>
          <w:lang/>
        </w:rPr>
      </w:pPr>
      <w:r>
        <w:rPr>
          <w:rFonts w:hint="eastAsia"/>
          <w:color w:val="000000"/>
          <w:kern w:val="0"/>
          <w:lang/>
        </w:rPr>
        <w:t>r</w:t>
      </w:r>
      <w:r>
        <w:rPr>
          <w:rFonts w:hint="eastAsia"/>
          <w:color w:val="000000"/>
          <w:kern w:val="0"/>
          <w:vertAlign w:val="subscript"/>
          <w:lang/>
        </w:rPr>
        <w:t>1</w:t>
      </w:r>
      <w:r>
        <w:rPr>
          <w:color w:val="000000"/>
          <w:kern w:val="0"/>
          <w:lang/>
        </w:rPr>
        <w:t>——</w:t>
      </w:r>
      <w:r>
        <w:rPr>
          <w:rFonts w:hint="eastAsia"/>
          <w:color w:val="000000"/>
          <w:kern w:val="0"/>
          <w:lang/>
        </w:rPr>
        <w:t>预测点距声源的距离，</w:t>
      </w:r>
      <w:r>
        <w:rPr>
          <w:rFonts w:hint="eastAsia"/>
          <w:color w:val="000000"/>
          <w:kern w:val="0"/>
          <w:lang/>
        </w:rPr>
        <w:t>m</w:t>
      </w:r>
      <w:r>
        <w:rPr>
          <w:rFonts w:hint="eastAsia"/>
          <w:color w:val="000000"/>
          <w:kern w:val="0"/>
          <w:lang/>
        </w:rPr>
        <w:t>；</w:t>
      </w:r>
    </w:p>
    <w:p w:rsidR="00BC07F0" w:rsidRDefault="00073EFB">
      <w:pPr>
        <w:widowControl/>
        <w:ind w:firstLine="480"/>
        <w:rPr>
          <w:color w:val="000000"/>
          <w:kern w:val="0"/>
          <w:lang/>
        </w:rPr>
      </w:pPr>
      <w:r>
        <w:rPr>
          <w:rFonts w:hint="eastAsia"/>
          <w:color w:val="000000"/>
          <w:kern w:val="0"/>
          <w:lang/>
        </w:rPr>
        <w:t>r</w:t>
      </w:r>
      <w:r>
        <w:rPr>
          <w:rFonts w:hint="eastAsia"/>
          <w:color w:val="000000"/>
          <w:kern w:val="0"/>
          <w:vertAlign w:val="subscript"/>
          <w:lang/>
        </w:rPr>
        <w:t>2</w:t>
      </w:r>
      <w:r>
        <w:rPr>
          <w:color w:val="000000"/>
          <w:kern w:val="0"/>
          <w:lang/>
        </w:rPr>
        <w:t>——</w:t>
      </w:r>
      <w:r>
        <w:rPr>
          <w:rFonts w:hint="eastAsia"/>
          <w:color w:val="000000"/>
          <w:kern w:val="0"/>
          <w:lang/>
        </w:rPr>
        <w:t>参考点距声源的距离，</w:t>
      </w:r>
      <w:r>
        <w:rPr>
          <w:rFonts w:hint="eastAsia"/>
          <w:color w:val="000000"/>
          <w:kern w:val="0"/>
          <w:lang/>
        </w:rPr>
        <w:t>m</w:t>
      </w:r>
      <w:r>
        <w:rPr>
          <w:rFonts w:hint="eastAsia"/>
          <w:color w:val="000000"/>
          <w:kern w:val="0"/>
          <w:lang/>
        </w:rPr>
        <w:t>；</w:t>
      </w:r>
    </w:p>
    <w:p w:rsidR="00BC07F0" w:rsidRDefault="00073EFB">
      <w:pPr>
        <w:widowControl/>
        <w:ind w:firstLine="480"/>
        <w:rPr>
          <w:rFonts w:ascii="宋体" w:hAnsi="宋体" w:cs="宋体"/>
          <w:color w:val="000000"/>
          <w:kern w:val="0"/>
          <w:lang/>
        </w:rPr>
      </w:pPr>
      <w:r>
        <w:rPr>
          <w:rFonts w:hint="eastAsia"/>
          <w:color w:val="000000"/>
          <w:kern w:val="0"/>
          <w:lang/>
        </w:rPr>
        <w:lastRenderedPageBreak/>
        <w:t>△</w:t>
      </w:r>
      <w:r>
        <w:rPr>
          <w:rFonts w:hint="eastAsia"/>
          <w:color w:val="000000"/>
          <w:kern w:val="0"/>
          <w:lang/>
        </w:rPr>
        <w:t>L</w:t>
      </w:r>
      <w:r>
        <w:rPr>
          <w:color w:val="000000"/>
          <w:kern w:val="0"/>
          <w:lang/>
        </w:rPr>
        <w:t>——</w:t>
      </w:r>
      <w:r>
        <w:rPr>
          <w:rFonts w:hint="eastAsia"/>
          <w:color w:val="000000"/>
          <w:kern w:val="0"/>
          <w:lang/>
        </w:rPr>
        <w:t>各种因素引起的衰减量（包括连声屏障、空气吸收等引起的衰减量），</w:t>
      </w:r>
      <w:r>
        <w:rPr>
          <w:rFonts w:hint="eastAsia"/>
          <w:color w:val="000000"/>
          <w:kern w:val="0"/>
          <w:lang/>
        </w:rPr>
        <w:t>dB</w:t>
      </w:r>
      <w:r>
        <w:rPr>
          <w:rFonts w:hint="eastAsia"/>
          <w:color w:val="000000"/>
          <w:kern w:val="0"/>
          <w:lang/>
        </w:rPr>
        <w:t>。</w:t>
      </w:r>
    </w:p>
    <w:p w:rsidR="00BC07F0" w:rsidRDefault="00073EFB">
      <w:pPr>
        <w:widowControl/>
        <w:ind w:firstLine="482"/>
        <w:rPr>
          <w:b/>
          <w:bCs/>
          <w:color w:val="000000"/>
          <w:kern w:val="0"/>
          <w:lang/>
        </w:rPr>
      </w:pPr>
      <w:r>
        <w:rPr>
          <w:b/>
          <w:bCs/>
          <w:color w:val="000000"/>
          <w:kern w:val="0"/>
          <w:lang/>
        </w:rPr>
        <w:t>2</w:t>
      </w:r>
      <w:r>
        <w:rPr>
          <w:rFonts w:hint="eastAsia"/>
          <w:b/>
          <w:bCs/>
          <w:color w:val="000000"/>
          <w:kern w:val="0"/>
          <w:lang/>
        </w:rPr>
        <w:t>、预测结果</w:t>
      </w:r>
    </w:p>
    <w:p w:rsidR="00BC07F0" w:rsidRDefault="00073EFB">
      <w:pPr>
        <w:widowControl/>
        <w:ind w:firstLine="480"/>
        <w:rPr>
          <w:color w:val="000000"/>
          <w:kern w:val="0"/>
          <w:lang/>
        </w:rPr>
      </w:pPr>
      <w:r>
        <w:rPr>
          <w:color w:val="000000"/>
          <w:kern w:val="0"/>
          <w:lang/>
        </w:rPr>
        <w:t>利用点声源预测模式，可预测施工期间主要噪声源随距离的衰减变化情况，不同施工机械在不同距离处的噪声预测具体结果详见表</w:t>
      </w:r>
      <w:r>
        <w:rPr>
          <w:color w:val="000000"/>
          <w:kern w:val="0"/>
          <w:lang/>
        </w:rPr>
        <w:t>4-1</w:t>
      </w:r>
      <w:r>
        <w:rPr>
          <w:color w:val="000000"/>
          <w:kern w:val="0"/>
          <w:lang/>
        </w:rPr>
        <w:t>。</w:t>
      </w:r>
    </w:p>
    <w:p w:rsidR="00BC07F0" w:rsidRDefault="00073EFB">
      <w:pPr>
        <w:pStyle w:val="a7"/>
        <w:rPr>
          <w:rFonts w:hint="default"/>
          <w:b/>
          <w:bCs/>
        </w:rPr>
      </w:pPr>
      <w:r>
        <w:rPr>
          <w:b/>
          <w:bCs/>
        </w:rPr>
        <w:t>表</w:t>
      </w:r>
      <w:r>
        <w:rPr>
          <w:b/>
          <w:bCs/>
        </w:rPr>
        <w:t>4-1</w:t>
      </w:r>
      <w:r>
        <w:rPr>
          <w:b/>
          <w:bCs/>
        </w:rPr>
        <w:t>典型施工机械设备</w:t>
      </w:r>
      <w:r>
        <w:rPr>
          <w:b/>
          <w:bCs/>
        </w:rPr>
        <w:t>噪声衰减变化情况</w:t>
      </w:r>
      <w:r>
        <w:rPr>
          <w:b/>
          <w:bCs/>
        </w:rPr>
        <w:t>单位：</w:t>
      </w:r>
      <w:r>
        <w:rPr>
          <w:b/>
          <w:bCs/>
        </w:rPr>
        <w:t>dB</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tblPr>
      <w:tblGrid>
        <w:gridCol w:w="1185"/>
        <w:gridCol w:w="783"/>
        <w:gridCol w:w="783"/>
        <w:gridCol w:w="783"/>
        <w:gridCol w:w="783"/>
        <w:gridCol w:w="783"/>
        <w:gridCol w:w="782"/>
        <w:gridCol w:w="782"/>
        <w:gridCol w:w="782"/>
        <w:gridCol w:w="787"/>
      </w:tblGrid>
      <w:tr w:rsidR="00BC07F0">
        <w:trPr>
          <w:trHeight w:val="397"/>
          <w:jc w:val="center"/>
        </w:trPr>
        <w:tc>
          <w:tcPr>
            <w:tcW w:w="719" w:type="pct"/>
            <w:tcBorders>
              <w:right w:val="single" w:sz="4" w:space="0" w:color="auto"/>
            </w:tcBorders>
            <w:vAlign w:val="center"/>
          </w:tcPr>
          <w:p w:rsidR="00BC07F0" w:rsidRDefault="00073EFB">
            <w:pPr>
              <w:pStyle w:val="a7"/>
              <w:rPr>
                <w:rFonts w:hint="default"/>
              </w:rPr>
            </w:pPr>
            <w:r>
              <w:t>机械类型</w:t>
            </w:r>
          </w:p>
        </w:tc>
        <w:tc>
          <w:tcPr>
            <w:tcW w:w="475" w:type="pct"/>
            <w:vAlign w:val="center"/>
          </w:tcPr>
          <w:p w:rsidR="00BC07F0" w:rsidRDefault="00073EFB">
            <w:pPr>
              <w:pStyle w:val="a7"/>
              <w:rPr>
                <w:rFonts w:hint="default"/>
              </w:rPr>
            </w:pPr>
            <w:r>
              <w:t>5m</w:t>
            </w:r>
          </w:p>
        </w:tc>
        <w:tc>
          <w:tcPr>
            <w:tcW w:w="475" w:type="pct"/>
            <w:vAlign w:val="center"/>
          </w:tcPr>
          <w:p w:rsidR="00BC07F0" w:rsidRDefault="00073EFB">
            <w:pPr>
              <w:pStyle w:val="a7"/>
              <w:rPr>
                <w:rFonts w:hint="default"/>
              </w:rPr>
            </w:pPr>
            <w:r>
              <w:t>10m</w:t>
            </w:r>
          </w:p>
        </w:tc>
        <w:tc>
          <w:tcPr>
            <w:tcW w:w="475" w:type="pct"/>
            <w:vAlign w:val="center"/>
          </w:tcPr>
          <w:p w:rsidR="00BC07F0" w:rsidRDefault="00073EFB">
            <w:pPr>
              <w:pStyle w:val="a7"/>
              <w:rPr>
                <w:rFonts w:hint="default"/>
              </w:rPr>
            </w:pPr>
            <w:r>
              <w:t>20m</w:t>
            </w:r>
          </w:p>
        </w:tc>
        <w:tc>
          <w:tcPr>
            <w:tcW w:w="475" w:type="pct"/>
            <w:vAlign w:val="center"/>
          </w:tcPr>
          <w:p w:rsidR="00BC07F0" w:rsidRDefault="00073EFB">
            <w:pPr>
              <w:pStyle w:val="a7"/>
              <w:rPr>
                <w:rFonts w:hint="default"/>
              </w:rPr>
            </w:pPr>
            <w:r>
              <w:t>40m</w:t>
            </w:r>
          </w:p>
        </w:tc>
        <w:tc>
          <w:tcPr>
            <w:tcW w:w="475" w:type="pct"/>
            <w:vAlign w:val="center"/>
          </w:tcPr>
          <w:p w:rsidR="00BC07F0" w:rsidRDefault="00073EFB">
            <w:pPr>
              <w:pStyle w:val="a7"/>
              <w:rPr>
                <w:rFonts w:hint="default"/>
              </w:rPr>
            </w:pPr>
            <w:r>
              <w:t>60m</w:t>
            </w:r>
          </w:p>
        </w:tc>
        <w:tc>
          <w:tcPr>
            <w:tcW w:w="475" w:type="pct"/>
            <w:vAlign w:val="center"/>
          </w:tcPr>
          <w:p w:rsidR="00BC07F0" w:rsidRDefault="00073EFB">
            <w:pPr>
              <w:pStyle w:val="a7"/>
              <w:rPr>
                <w:rFonts w:hint="default"/>
              </w:rPr>
            </w:pPr>
            <w:r>
              <w:t>80m</w:t>
            </w:r>
          </w:p>
        </w:tc>
        <w:tc>
          <w:tcPr>
            <w:tcW w:w="475" w:type="pct"/>
            <w:vAlign w:val="center"/>
          </w:tcPr>
          <w:p w:rsidR="00BC07F0" w:rsidRDefault="00073EFB">
            <w:pPr>
              <w:pStyle w:val="a7"/>
              <w:rPr>
                <w:rFonts w:hint="default"/>
              </w:rPr>
            </w:pPr>
            <w:r>
              <w:t>100m</w:t>
            </w:r>
          </w:p>
        </w:tc>
        <w:tc>
          <w:tcPr>
            <w:tcW w:w="475" w:type="pct"/>
            <w:vAlign w:val="center"/>
          </w:tcPr>
          <w:p w:rsidR="00BC07F0" w:rsidRDefault="00073EFB">
            <w:pPr>
              <w:pStyle w:val="a7"/>
              <w:rPr>
                <w:rFonts w:hint="default"/>
              </w:rPr>
            </w:pPr>
            <w:r>
              <w:t>150m</w:t>
            </w:r>
          </w:p>
        </w:tc>
        <w:tc>
          <w:tcPr>
            <w:tcW w:w="478" w:type="pct"/>
            <w:vAlign w:val="center"/>
          </w:tcPr>
          <w:p w:rsidR="00BC07F0" w:rsidRDefault="00073EFB">
            <w:pPr>
              <w:pStyle w:val="a7"/>
              <w:rPr>
                <w:rFonts w:hint="default"/>
              </w:rPr>
            </w:pPr>
            <w:r>
              <w:t>200m</w:t>
            </w:r>
          </w:p>
        </w:tc>
      </w:tr>
      <w:tr w:rsidR="00BC07F0">
        <w:trPr>
          <w:trHeight w:val="397"/>
          <w:jc w:val="center"/>
        </w:trPr>
        <w:tc>
          <w:tcPr>
            <w:tcW w:w="719" w:type="pct"/>
            <w:tcBorders>
              <w:right w:val="single" w:sz="4" w:space="0" w:color="auto"/>
            </w:tcBorders>
            <w:vAlign w:val="center"/>
          </w:tcPr>
          <w:p w:rsidR="00BC07F0" w:rsidRDefault="00073EFB">
            <w:pPr>
              <w:pStyle w:val="a7"/>
              <w:rPr>
                <w:rFonts w:hint="default"/>
              </w:rPr>
            </w:pPr>
            <w:r>
              <w:t>装载机</w:t>
            </w:r>
          </w:p>
        </w:tc>
        <w:tc>
          <w:tcPr>
            <w:tcW w:w="475" w:type="pct"/>
            <w:vAlign w:val="center"/>
          </w:tcPr>
          <w:p w:rsidR="00BC07F0" w:rsidRDefault="00073EFB">
            <w:pPr>
              <w:pStyle w:val="a7"/>
              <w:rPr>
                <w:rFonts w:hint="default"/>
              </w:rPr>
            </w:pPr>
            <w:r>
              <w:t>95</w:t>
            </w:r>
          </w:p>
        </w:tc>
        <w:tc>
          <w:tcPr>
            <w:tcW w:w="475" w:type="pct"/>
            <w:vAlign w:val="center"/>
          </w:tcPr>
          <w:p w:rsidR="00BC07F0" w:rsidRDefault="00073EFB">
            <w:pPr>
              <w:pStyle w:val="a7"/>
              <w:rPr>
                <w:rFonts w:hint="default"/>
              </w:rPr>
            </w:pPr>
            <w:r>
              <w:t>88.98</w:t>
            </w:r>
          </w:p>
        </w:tc>
        <w:tc>
          <w:tcPr>
            <w:tcW w:w="475" w:type="pct"/>
            <w:vAlign w:val="center"/>
          </w:tcPr>
          <w:p w:rsidR="00BC07F0" w:rsidRDefault="00073EFB">
            <w:pPr>
              <w:pStyle w:val="a7"/>
              <w:rPr>
                <w:rFonts w:hint="default"/>
              </w:rPr>
            </w:pPr>
            <w:r>
              <w:t>82.96</w:t>
            </w:r>
          </w:p>
        </w:tc>
        <w:tc>
          <w:tcPr>
            <w:tcW w:w="475" w:type="pct"/>
            <w:vAlign w:val="center"/>
          </w:tcPr>
          <w:p w:rsidR="00BC07F0" w:rsidRDefault="00073EFB">
            <w:pPr>
              <w:pStyle w:val="a7"/>
              <w:rPr>
                <w:rFonts w:hint="default"/>
              </w:rPr>
            </w:pPr>
            <w:r>
              <w:t>76.94</w:t>
            </w:r>
          </w:p>
        </w:tc>
        <w:tc>
          <w:tcPr>
            <w:tcW w:w="475" w:type="pct"/>
            <w:vAlign w:val="center"/>
          </w:tcPr>
          <w:p w:rsidR="00BC07F0" w:rsidRDefault="00073EFB">
            <w:pPr>
              <w:pStyle w:val="a7"/>
              <w:rPr>
                <w:rFonts w:hint="default"/>
              </w:rPr>
            </w:pPr>
            <w:r>
              <w:t>73.42</w:t>
            </w:r>
          </w:p>
        </w:tc>
        <w:tc>
          <w:tcPr>
            <w:tcW w:w="475" w:type="pct"/>
            <w:vAlign w:val="center"/>
          </w:tcPr>
          <w:p w:rsidR="00BC07F0" w:rsidRDefault="00073EFB">
            <w:pPr>
              <w:pStyle w:val="a7"/>
              <w:rPr>
                <w:rFonts w:hint="default"/>
              </w:rPr>
            </w:pPr>
            <w:r>
              <w:t>70.92</w:t>
            </w:r>
          </w:p>
        </w:tc>
        <w:tc>
          <w:tcPr>
            <w:tcW w:w="475" w:type="pct"/>
            <w:vAlign w:val="center"/>
          </w:tcPr>
          <w:p w:rsidR="00BC07F0" w:rsidRDefault="00073EFB">
            <w:pPr>
              <w:pStyle w:val="a7"/>
              <w:rPr>
                <w:rFonts w:hint="default"/>
              </w:rPr>
            </w:pPr>
            <w:r>
              <w:t>68.98</w:t>
            </w:r>
          </w:p>
        </w:tc>
        <w:tc>
          <w:tcPr>
            <w:tcW w:w="475" w:type="pct"/>
            <w:vAlign w:val="center"/>
          </w:tcPr>
          <w:p w:rsidR="00BC07F0" w:rsidRDefault="00073EFB">
            <w:pPr>
              <w:pStyle w:val="a7"/>
              <w:rPr>
                <w:rFonts w:hint="default"/>
              </w:rPr>
            </w:pPr>
            <w:r>
              <w:t>65.46</w:t>
            </w:r>
          </w:p>
        </w:tc>
        <w:tc>
          <w:tcPr>
            <w:tcW w:w="478" w:type="pct"/>
            <w:vAlign w:val="center"/>
          </w:tcPr>
          <w:p w:rsidR="00BC07F0" w:rsidRDefault="00073EFB">
            <w:pPr>
              <w:pStyle w:val="a7"/>
              <w:rPr>
                <w:rFonts w:hint="default"/>
              </w:rPr>
            </w:pPr>
            <w:r>
              <w:t>62.96</w:t>
            </w:r>
          </w:p>
        </w:tc>
      </w:tr>
      <w:tr w:rsidR="00BC07F0">
        <w:trPr>
          <w:trHeight w:val="397"/>
          <w:jc w:val="center"/>
        </w:trPr>
        <w:tc>
          <w:tcPr>
            <w:tcW w:w="719" w:type="pct"/>
            <w:tcBorders>
              <w:right w:val="single" w:sz="4" w:space="0" w:color="auto"/>
            </w:tcBorders>
            <w:vAlign w:val="center"/>
          </w:tcPr>
          <w:p w:rsidR="00BC07F0" w:rsidRDefault="00073EFB">
            <w:pPr>
              <w:pStyle w:val="a7"/>
              <w:rPr>
                <w:rFonts w:hint="default"/>
              </w:rPr>
            </w:pPr>
            <w:r>
              <w:t>平地机</w:t>
            </w:r>
          </w:p>
        </w:tc>
        <w:tc>
          <w:tcPr>
            <w:tcW w:w="475" w:type="pct"/>
            <w:vAlign w:val="center"/>
          </w:tcPr>
          <w:p w:rsidR="00BC07F0" w:rsidRDefault="00073EFB">
            <w:pPr>
              <w:pStyle w:val="a7"/>
              <w:rPr>
                <w:rFonts w:hint="default"/>
              </w:rPr>
            </w:pPr>
            <w:r>
              <w:t>90</w:t>
            </w:r>
          </w:p>
        </w:tc>
        <w:tc>
          <w:tcPr>
            <w:tcW w:w="475" w:type="pct"/>
            <w:vAlign w:val="center"/>
          </w:tcPr>
          <w:p w:rsidR="00BC07F0" w:rsidRDefault="00073EFB">
            <w:pPr>
              <w:pStyle w:val="a7"/>
              <w:rPr>
                <w:rFonts w:hint="default"/>
              </w:rPr>
            </w:pPr>
            <w:r>
              <w:t>83.98</w:t>
            </w:r>
          </w:p>
        </w:tc>
        <w:tc>
          <w:tcPr>
            <w:tcW w:w="475" w:type="pct"/>
            <w:vAlign w:val="center"/>
          </w:tcPr>
          <w:p w:rsidR="00BC07F0" w:rsidRDefault="00073EFB">
            <w:pPr>
              <w:pStyle w:val="a7"/>
              <w:rPr>
                <w:rFonts w:hint="default"/>
              </w:rPr>
            </w:pPr>
            <w:r>
              <w:t>77.96</w:t>
            </w:r>
          </w:p>
        </w:tc>
        <w:tc>
          <w:tcPr>
            <w:tcW w:w="475" w:type="pct"/>
            <w:vAlign w:val="center"/>
          </w:tcPr>
          <w:p w:rsidR="00BC07F0" w:rsidRDefault="00073EFB">
            <w:pPr>
              <w:pStyle w:val="a7"/>
              <w:rPr>
                <w:rFonts w:hint="default"/>
              </w:rPr>
            </w:pPr>
            <w:r>
              <w:t>71.94</w:t>
            </w:r>
          </w:p>
        </w:tc>
        <w:tc>
          <w:tcPr>
            <w:tcW w:w="475" w:type="pct"/>
            <w:vAlign w:val="center"/>
          </w:tcPr>
          <w:p w:rsidR="00BC07F0" w:rsidRDefault="00073EFB">
            <w:pPr>
              <w:pStyle w:val="a7"/>
              <w:rPr>
                <w:rFonts w:hint="default"/>
              </w:rPr>
            </w:pPr>
            <w:r>
              <w:t>68.42</w:t>
            </w:r>
          </w:p>
        </w:tc>
        <w:tc>
          <w:tcPr>
            <w:tcW w:w="475" w:type="pct"/>
            <w:vAlign w:val="center"/>
          </w:tcPr>
          <w:p w:rsidR="00BC07F0" w:rsidRDefault="00073EFB">
            <w:pPr>
              <w:pStyle w:val="a7"/>
              <w:rPr>
                <w:rFonts w:hint="default"/>
              </w:rPr>
            </w:pPr>
            <w:r>
              <w:t>65.92</w:t>
            </w:r>
          </w:p>
        </w:tc>
        <w:tc>
          <w:tcPr>
            <w:tcW w:w="475" w:type="pct"/>
            <w:vAlign w:val="center"/>
          </w:tcPr>
          <w:p w:rsidR="00BC07F0" w:rsidRDefault="00073EFB">
            <w:pPr>
              <w:pStyle w:val="a7"/>
              <w:rPr>
                <w:rFonts w:hint="default"/>
              </w:rPr>
            </w:pPr>
            <w:r>
              <w:t>63.98</w:t>
            </w:r>
          </w:p>
        </w:tc>
        <w:tc>
          <w:tcPr>
            <w:tcW w:w="475" w:type="pct"/>
            <w:vAlign w:val="center"/>
          </w:tcPr>
          <w:p w:rsidR="00BC07F0" w:rsidRDefault="00073EFB">
            <w:pPr>
              <w:pStyle w:val="a7"/>
              <w:rPr>
                <w:rFonts w:hint="default"/>
              </w:rPr>
            </w:pPr>
            <w:r>
              <w:t>60.46</w:t>
            </w:r>
          </w:p>
        </w:tc>
        <w:tc>
          <w:tcPr>
            <w:tcW w:w="478" w:type="pct"/>
            <w:vAlign w:val="center"/>
          </w:tcPr>
          <w:p w:rsidR="00BC07F0" w:rsidRDefault="00073EFB">
            <w:pPr>
              <w:pStyle w:val="a7"/>
              <w:rPr>
                <w:rFonts w:hint="default"/>
              </w:rPr>
            </w:pPr>
            <w:r>
              <w:t>57.96</w:t>
            </w:r>
          </w:p>
        </w:tc>
      </w:tr>
      <w:tr w:rsidR="00BC07F0">
        <w:trPr>
          <w:trHeight w:val="397"/>
          <w:jc w:val="center"/>
        </w:trPr>
        <w:tc>
          <w:tcPr>
            <w:tcW w:w="719" w:type="pct"/>
            <w:tcBorders>
              <w:right w:val="single" w:sz="4" w:space="0" w:color="auto"/>
            </w:tcBorders>
            <w:vAlign w:val="center"/>
          </w:tcPr>
          <w:p w:rsidR="00BC07F0" w:rsidRDefault="00073EFB">
            <w:pPr>
              <w:pStyle w:val="a7"/>
              <w:rPr>
                <w:rFonts w:hint="default"/>
              </w:rPr>
            </w:pPr>
            <w:r>
              <w:t>振动式压路机</w:t>
            </w:r>
          </w:p>
        </w:tc>
        <w:tc>
          <w:tcPr>
            <w:tcW w:w="475" w:type="pct"/>
            <w:vAlign w:val="center"/>
          </w:tcPr>
          <w:p w:rsidR="00BC07F0" w:rsidRDefault="00073EFB">
            <w:pPr>
              <w:pStyle w:val="a7"/>
              <w:rPr>
                <w:rFonts w:hint="default"/>
              </w:rPr>
            </w:pPr>
            <w:r>
              <w:t>85</w:t>
            </w:r>
          </w:p>
        </w:tc>
        <w:tc>
          <w:tcPr>
            <w:tcW w:w="475" w:type="pct"/>
            <w:vAlign w:val="center"/>
          </w:tcPr>
          <w:p w:rsidR="00BC07F0" w:rsidRDefault="00073EFB">
            <w:pPr>
              <w:pStyle w:val="a7"/>
              <w:rPr>
                <w:rFonts w:hint="default"/>
              </w:rPr>
            </w:pPr>
            <w:r>
              <w:t>78.98</w:t>
            </w:r>
          </w:p>
        </w:tc>
        <w:tc>
          <w:tcPr>
            <w:tcW w:w="475" w:type="pct"/>
            <w:vAlign w:val="center"/>
          </w:tcPr>
          <w:p w:rsidR="00BC07F0" w:rsidRDefault="00073EFB">
            <w:pPr>
              <w:pStyle w:val="a7"/>
              <w:rPr>
                <w:rFonts w:hint="default"/>
              </w:rPr>
            </w:pPr>
            <w:r>
              <w:t>72.96</w:t>
            </w:r>
          </w:p>
        </w:tc>
        <w:tc>
          <w:tcPr>
            <w:tcW w:w="475" w:type="pct"/>
            <w:vAlign w:val="center"/>
          </w:tcPr>
          <w:p w:rsidR="00BC07F0" w:rsidRDefault="00073EFB">
            <w:pPr>
              <w:pStyle w:val="a7"/>
              <w:rPr>
                <w:rFonts w:hint="default"/>
              </w:rPr>
            </w:pPr>
            <w:r>
              <w:t>66.94</w:t>
            </w:r>
          </w:p>
        </w:tc>
        <w:tc>
          <w:tcPr>
            <w:tcW w:w="475" w:type="pct"/>
            <w:vAlign w:val="center"/>
          </w:tcPr>
          <w:p w:rsidR="00BC07F0" w:rsidRDefault="00073EFB">
            <w:pPr>
              <w:pStyle w:val="a7"/>
              <w:rPr>
                <w:rFonts w:hint="default"/>
              </w:rPr>
            </w:pPr>
            <w:r>
              <w:t>63.42</w:t>
            </w:r>
          </w:p>
        </w:tc>
        <w:tc>
          <w:tcPr>
            <w:tcW w:w="475" w:type="pct"/>
            <w:vAlign w:val="center"/>
          </w:tcPr>
          <w:p w:rsidR="00BC07F0" w:rsidRDefault="00073EFB">
            <w:pPr>
              <w:pStyle w:val="a7"/>
              <w:rPr>
                <w:rFonts w:hint="default"/>
              </w:rPr>
            </w:pPr>
            <w:r>
              <w:t>60.92</w:t>
            </w:r>
          </w:p>
        </w:tc>
        <w:tc>
          <w:tcPr>
            <w:tcW w:w="475" w:type="pct"/>
            <w:vAlign w:val="center"/>
          </w:tcPr>
          <w:p w:rsidR="00BC07F0" w:rsidRDefault="00073EFB">
            <w:pPr>
              <w:pStyle w:val="a7"/>
              <w:rPr>
                <w:rFonts w:hint="default"/>
              </w:rPr>
            </w:pPr>
            <w:r>
              <w:t>58.98</w:t>
            </w:r>
          </w:p>
        </w:tc>
        <w:tc>
          <w:tcPr>
            <w:tcW w:w="475" w:type="pct"/>
            <w:vAlign w:val="center"/>
          </w:tcPr>
          <w:p w:rsidR="00BC07F0" w:rsidRDefault="00073EFB">
            <w:pPr>
              <w:pStyle w:val="a7"/>
              <w:rPr>
                <w:rFonts w:hint="default"/>
              </w:rPr>
            </w:pPr>
            <w:r>
              <w:t>55.46</w:t>
            </w:r>
          </w:p>
        </w:tc>
        <w:tc>
          <w:tcPr>
            <w:tcW w:w="478" w:type="pct"/>
            <w:vAlign w:val="center"/>
          </w:tcPr>
          <w:p w:rsidR="00BC07F0" w:rsidRDefault="00073EFB">
            <w:pPr>
              <w:pStyle w:val="a7"/>
              <w:rPr>
                <w:rFonts w:hint="default"/>
              </w:rPr>
            </w:pPr>
            <w:r>
              <w:t>52.96</w:t>
            </w:r>
          </w:p>
        </w:tc>
      </w:tr>
      <w:tr w:rsidR="00BC07F0">
        <w:trPr>
          <w:trHeight w:val="397"/>
          <w:jc w:val="center"/>
        </w:trPr>
        <w:tc>
          <w:tcPr>
            <w:tcW w:w="719" w:type="pct"/>
            <w:tcBorders>
              <w:right w:val="single" w:sz="4" w:space="0" w:color="auto"/>
            </w:tcBorders>
            <w:vAlign w:val="center"/>
          </w:tcPr>
          <w:p w:rsidR="00BC07F0" w:rsidRDefault="00073EFB">
            <w:pPr>
              <w:pStyle w:val="a7"/>
              <w:rPr>
                <w:rFonts w:hint="default"/>
              </w:rPr>
            </w:pPr>
            <w:r>
              <w:t>三轮压路机</w:t>
            </w:r>
          </w:p>
        </w:tc>
        <w:tc>
          <w:tcPr>
            <w:tcW w:w="475" w:type="pct"/>
            <w:vAlign w:val="center"/>
          </w:tcPr>
          <w:p w:rsidR="00BC07F0" w:rsidRDefault="00073EFB">
            <w:pPr>
              <w:pStyle w:val="a7"/>
              <w:rPr>
                <w:rFonts w:hint="default"/>
              </w:rPr>
            </w:pPr>
            <w:r>
              <w:t>81</w:t>
            </w:r>
          </w:p>
        </w:tc>
        <w:tc>
          <w:tcPr>
            <w:tcW w:w="475" w:type="pct"/>
            <w:vAlign w:val="center"/>
          </w:tcPr>
          <w:p w:rsidR="00BC07F0" w:rsidRDefault="00073EFB">
            <w:pPr>
              <w:pStyle w:val="a7"/>
              <w:rPr>
                <w:rFonts w:hint="default"/>
              </w:rPr>
            </w:pPr>
            <w:r>
              <w:t>74.98</w:t>
            </w:r>
          </w:p>
        </w:tc>
        <w:tc>
          <w:tcPr>
            <w:tcW w:w="475" w:type="pct"/>
            <w:vAlign w:val="center"/>
          </w:tcPr>
          <w:p w:rsidR="00BC07F0" w:rsidRDefault="00073EFB">
            <w:pPr>
              <w:pStyle w:val="a7"/>
              <w:rPr>
                <w:rFonts w:hint="default"/>
              </w:rPr>
            </w:pPr>
            <w:r>
              <w:t>68.96</w:t>
            </w:r>
          </w:p>
        </w:tc>
        <w:tc>
          <w:tcPr>
            <w:tcW w:w="475" w:type="pct"/>
            <w:vAlign w:val="center"/>
          </w:tcPr>
          <w:p w:rsidR="00BC07F0" w:rsidRDefault="00073EFB">
            <w:pPr>
              <w:pStyle w:val="a7"/>
              <w:rPr>
                <w:rFonts w:hint="default"/>
              </w:rPr>
            </w:pPr>
            <w:r>
              <w:t>62.94</w:t>
            </w:r>
          </w:p>
        </w:tc>
        <w:tc>
          <w:tcPr>
            <w:tcW w:w="475" w:type="pct"/>
            <w:vAlign w:val="center"/>
          </w:tcPr>
          <w:p w:rsidR="00BC07F0" w:rsidRDefault="00073EFB">
            <w:pPr>
              <w:pStyle w:val="a7"/>
              <w:rPr>
                <w:rFonts w:hint="default"/>
              </w:rPr>
            </w:pPr>
            <w:r>
              <w:t>59.42</w:t>
            </w:r>
          </w:p>
        </w:tc>
        <w:tc>
          <w:tcPr>
            <w:tcW w:w="475" w:type="pct"/>
            <w:vAlign w:val="center"/>
          </w:tcPr>
          <w:p w:rsidR="00BC07F0" w:rsidRDefault="00073EFB">
            <w:pPr>
              <w:pStyle w:val="a7"/>
              <w:rPr>
                <w:rFonts w:hint="default"/>
              </w:rPr>
            </w:pPr>
            <w:r>
              <w:t>56.92</w:t>
            </w:r>
          </w:p>
        </w:tc>
        <w:tc>
          <w:tcPr>
            <w:tcW w:w="475" w:type="pct"/>
            <w:vAlign w:val="center"/>
          </w:tcPr>
          <w:p w:rsidR="00BC07F0" w:rsidRDefault="00073EFB">
            <w:pPr>
              <w:pStyle w:val="a7"/>
              <w:rPr>
                <w:rFonts w:hint="default"/>
              </w:rPr>
            </w:pPr>
            <w:r>
              <w:t>54.98</w:t>
            </w:r>
          </w:p>
        </w:tc>
        <w:tc>
          <w:tcPr>
            <w:tcW w:w="475" w:type="pct"/>
            <w:vAlign w:val="center"/>
          </w:tcPr>
          <w:p w:rsidR="00BC07F0" w:rsidRDefault="00073EFB">
            <w:pPr>
              <w:pStyle w:val="a7"/>
              <w:rPr>
                <w:rFonts w:hint="default"/>
              </w:rPr>
            </w:pPr>
            <w:r>
              <w:t>51.46</w:t>
            </w:r>
          </w:p>
        </w:tc>
        <w:tc>
          <w:tcPr>
            <w:tcW w:w="478" w:type="pct"/>
            <w:vAlign w:val="center"/>
          </w:tcPr>
          <w:p w:rsidR="00BC07F0" w:rsidRDefault="00073EFB">
            <w:pPr>
              <w:pStyle w:val="a7"/>
              <w:rPr>
                <w:rFonts w:hint="default"/>
              </w:rPr>
            </w:pPr>
            <w:r>
              <w:t>48.96</w:t>
            </w:r>
          </w:p>
        </w:tc>
      </w:tr>
      <w:tr w:rsidR="00BC07F0">
        <w:trPr>
          <w:trHeight w:val="397"/>
          <w:jc w:val="center"/>
        </w:trPr>
        <w:tc>
          <w:tcPr>
            <w:tcW w:w="719" w:type="pct"/>
            <w:tcBorders>
              <w:right w:val="single" w:sz="4" w:space="0" w:color="auto"/>
            </w:tcBorders>
            <w:vAlign w:val="center"/>
          </w:tcPr>
          <w:p w:rsidR="00BC07F0" w:rsidRDefault="00073EFB">
            <w:pPr>
              <w:pStyle w:val="a7"/>
              <w:rPr>
                <w:rFonts w:hint="default"/>
              </w:rPr>
            </w:pPr>
            <w:r>
              <w:t>双轮双振压路机</w:t>
            </w:r>
          </w:p>
        </w:tc>
        <w:tc>
          <w:tcPr>
            <w:tcW w:w="475" w:type="pct"/>
            <w:vAlign w:val="center"/>
          </w:tcPr>
          <w:p w:rsidR="00BC07F0" w:rsidRDefault="00073EFB">
            <w:pPr>
              <w:pStyle w:val="a7"/>
              <w:rPr>
                <w:rFonts w:hint="default"/>
              </w:rPr>
            </w:pPr>
            <w:r>
              <w:t>81</w:t>
            </w:r>
          </w:p>
        </w:tc>
        <w:tc>
          <w:tcPr>
            <w:tcW w:w="475" w:type="pct"/>
            <w:vAlign w:val="center"/>
          </w:tcPr>
          <w:p w:rsidR="00BC07F0" w:rsidRDefault="00073EFB">
            <w:pPr>
              <w:pStyle w:val="a7"/>
              <w:rPr>
                <w:rFonts w:hint="default"/>
              </w:rPr>
            </w:pPr>
            <w:r>
              <w:t>74.98</w:t>
            </w:r>
          </w:p>
        </w:tc>
        <w:tc>
          <w:tcPr>
            <w:tcW w:w="475" w:type="pct"/>
            <w:vAlign w:val="center"/>
          </w:tcPr>
          <w:p w:rsidR="00BC07F0" w:rsidRDefault="00073EFB">
            <w:pPr>
              <w:pStyle w:val="a7"/>
              <w:rPr>
                <w:rFonts w:hint="default"/>
              </w:rPr>
            </w:pPr>
            <w:r>
              <w:t>68.96</w:t>
            </w:r>
          </w:p>
        </w:tc>
        <w:tc>
          <w:tcPr>
            <w:tcW w:w="475" w:type="pct"/>
            <w:vAlign w:val="center"/>
          </w:tcPr>
          <w:p w:rsidR="00BC07F0" w:rsidRDefault="00073EFB">
            <w:pPr>
              <w:pStyle w:val="a7"/>
              <w:rPr>
                <w:rFonts w:hint="default"/>
              </w:rPr>
            </w:pPr>
            <w:r>
              <w:t>62.94</w:t>
            </w:r>
          </w:p>
        </w:tc>
        <w:tc>
          <w:tcPr>
            <w:tcW w:w="475" w:type="pct"/>
            <w:vAlign w:val="center"/>
          </w:tcPr>
          <w:p w:rsidR="00BC07F0" w:rsidRDefault="00073EFB">
            <w:pPr>
              <w:pStyle w:val="a7"/>
              <w:rPr>
                <w:rFonts w:hint="default"/>
              </w:rPr>
            </w:pPr>
            <w:r>
              <w:t>59.42</w:t>
            </w:r>
          </w:p>
        </w:tc>
        <w:tc>
          <w:tcPr>
            <w:tcW w:w="475" w:type="pct"/>
            <w:vAlign w:val="center"/>
          </w:tcPr>
          <w:p w:rsidR="00BC07F0" w:rsidRDefault="00073EFB">
            <w:pPr>
              <w:pStyle w:val="a7"/>
              <w:rPr>
                <w:rFonts w:hint="default"/>
              </w:rPr>
            </w:pPr>
            <w:r>
              <w:t>56.92</w:t>
            </w:r>
          </w:p>
        </w:tc>
        <w:tc>
          <w:tcPr>
            <w:tcW w:w="475" w:type="pct"/>
            <w:vAlign w:val="center"/>
          </w:tcPr>
          <w:p w:rsidR="00BC07F0" w:rsidRDefault="00073EFB">
            <w:pPr>
              <w:pStyle w:val="a7"/>
              <w:rPr>
                <w:rFonts w:hint="default"/>
              </w:rPr>
            </w:pPr>
            <w:r>
              <w:t>54.98</w:t>
            </w:r>
          </w:p>
        </w:tc>
        <w:tc>
          <w:tcPr>
            <w:tcW w:w="475" w:type="pct"/>
            <w:vAlign w:val="center"/>
          </w:tcPr>
          <w:p w:rsidR="00BC07F0" w:rsidRDefault="00073EFB">
            <w:pPr>
              <w:pStyle w:val="a7"/>
              <w:rPr>
                <w:rFonts w:hint="default"/>
              </w:rPr>
            </w:pPr>
            <w:r>
              <w:t>51.46</w:t>
            </w:r>
          </w:p>
        </w:tc>
        <w:tc>
          <w:tcPr>
            <w:tcW w:w="478" w:type="pct"/>
            <w:vAlign w:val="center"/>
          </w:tcPr>
          <w:p w:rsidR="00BC07F0" w:rsidRDefault="00073EFB">
            <w:pPr>
              <w:pStyle w:val="a7"/>
              <w:rPr>
                <w:rFonts w:hint="default"/>
              </w:rPr>
            </w:pPr>
            <w:r>
              <w:t>48.96</w:t>
            </w:r>
          </w:p>
        </w:tc>
      </w:tr>
      <w:tr w:rsidR="00BC07F0">
        <w:trPr>
          <w:trHeight w:val="397"/>
          <w:jc w:val="center"/>
        </w:trPr>
        <w:tc>
          <w:tcPr>
            <w:tcW w:w="719" w:type="pct"/>
            <w:tcBorders>
              <w:right w:val="single" w:sz="4" w:space="0" w:color="auto"/>
            </w:tcBorders>
            <w:vAlign w:val="center"/>
          </w:tcPr>
          <w:p w:rsidR="00BC07F0" w:rsidRDefault="00073EFB">
            <w:pPr>
              <w:pStyle w:val="a7"/>
              <w:rPr>
                <w:rFonts w:hint="default"/>
              </w:rPr>
            </w:pPr>
            <w:r>
              <w:t>液压</w:t>
            </w:r>
            <w:r>
              <w:t>挖掘机</w:t>
            </w:r>
          </w:p>
        </w:tc>
        <w:tc>
          <w:tcPr>
            <w:tcW w:w="475" w:type="pct"/>
            <w:vAlign w:val="center"/>
          </w:tcPr>
          <w:p w:rsidR="00BC07F0" w:rsidRDefault="00073EFB">
            <w:pPr>
              <w:pStyle w:val="a7"/>
              <w:rPr>
                <w:rFonts w:hint="default"/>
              </w:rPr>
            </w:pPr>
            <w:r>
              <w:t>85</w:t>
            </w:r>
          </w:p>
        </w:tc>
        <w:tc>
          <w:tcPr>
            <w:tcW w:w="475" w:type="pct"/>
            <w:vAlign w:val="center"/>
          </w:tcPr>
          <w:p w:rsidR="00BC07F0" w:rsidRDefault="00073EFB">
            <w:pPr>
              <w:pStyle w:val="a7"/>
              <w:rPr>
                <w:rFonts w:hint="default"/>
              </w:rPr>
            </w:pPr>
            <w:r>
              <w:t>78.98</w:t>
            </w:r>
          </w:p>
        </w:tc>
        <w:tc>
          <w:tcPr>
            <w:tcW w:w="475" w:type="pct"/>
            <w:vAlign w:val="center"/>
          </w:tcPr>
          <w:p w:rsidR="00BC07F0" w:rsidRDefault="00073EFB">
            <w:pPr>
              <w:pStyle w:val="a7"/>
              <w:rPr>
                <w:rFonts w:hint="default"/>
              </w:rPr>
            </w:pPr>
            <w:r>
              <w:t>72.96</w:t>
            </w:r>
          </w:p>
        </w:tc>
        <w:tc>
          <w:tcPr>
            <w:tcW w:w="475" w:type="pct"/>
            <w:vAlign w:val="center"/>
          </w:tcPr>
          <w:p w:rsidR="00BC07F0" w:rsidRDefault="00073EFB">
            <w:pPr>
              <w:pStyle w:val="a7"/>
              <w:rPr>
                <w:rFonts w:hint="default"/>
              </w:rPr>
            </w:pPr>
            <w:r>
              <w:t>66.94</w:t>
            </w:r>
          </w:p>
        </w:tc>
        <w:tc>
          <w:tcPr>
            <w:tcW w:w="475" w:type="pct"/>
            <w:vAlign w:val="center"/>
          </w:tcPr>
          <w:p w:rsidR="00BC07F0" w:rsidRDefault="00073EFB">
            <w:pPr>
              <w:pStyle w:val="a7"/>
              <w:rPr>
                <w:rFonts w:hint="default"/>
              </w:rPr>
            </w:pPr>
            <w:r>
              <w:t>63.42</w:t>
            </w:r>
          </w:p>
        </w:tc>
        <w:tc>
          <w:tcPr>
            <w:tcW w:w="475" w:type="pct"/>
            <w:vAlign w:val="center"/>
          </w:tcPr>
          <w:p w:rsidR="00BC07F0" w:rsidRDefault="00073EFB">
            <w:pPr>
              <w:pStyle w:val="a7"/>
              <w:rPr>
                <w:rFonts w:hint="default"/>
              </w:rPr>
            </w:pPr>
            <w:r>
              <w:t>60.92</w:t>
            </w:r>
          </w:p>
        </w:tc>
        <w:tc>
          <w:tcPr>
            <w:tcW w:w="475" w:type="pct"/>
            <w:vAlign w:val="center"/>
          </w:tcPr>
          <w:p w:rsidR="00BC07F0" w:rsidRDefault="00073EFB">
            <w:pPr>
              <w:pStyle w:val="a7"/>
              <w:rPr>
                <w:rFonts w:hint="default"/>
              </w:rPr>
            </w:pPr>
            <w:r>
              <w:t>58.98</w:t>
            </w:r>
          </w:p>
        </w:tc>
        <w:tc>
          <w:tcPr>
            <w:tcW w:w="475" w:type="pct"/>
            <w:vAlign w:val="center"/>
          </w:tcPr>
          <w:p w:rsidR="00BC07F0" w:rsidRDefault="00073EFB">
            <w:pPr>
              <w:pStyle w:val="a7"/>
              <w:rPr>
                <w:rFonts w:hint="default"/>
              </w:rPr>
            </w:pPr>
            <w:r>
              <w:t>55.46</w:t>
            </w:r>
          </w:p>
        </w:tc>
        <w:tc>
          <w:tcPr>
            <w:tcW w:w="478" w:type="pct"/>
            <w:vAlign w:val="center"/>
          </w:tcPr>
          <w:p w:rsidR="00BC07F0" w:rsidRDefault="00073EFB">
            <w:pPr>
              <w:pStyle w:val="a7"/>
              <w:rPr>
                <w:rFonts w:hint="default"/>
              </w:rPr>
            </w:pPr>
            <w:r>
              <w:t>52.96</w:t>
            </w:r>
          </w:p>
        </w:tc>
      </w:tr>
      <w:tr w:rsidR="00BC07F0">
        <w:trPr>
          <w:trHeight w:val="397"/>
          <w:jc w:val="center"/>
        </w:trPr>
        <w:tc>
          <w:tcPr>
            <w:tcW w:w="719" w:type="pct"/>
            <w:tcBorders>
              <w:right w:val="single" w:sz="4" w:space="0" w:color="auto"/>
            </w:tcBorders>
            <w:vAlign w:val="center"/>
          </w:tcPr>
          <w:p w:rsidR="00BC07F0" w:rsidRDefault="00073EFB">
            <w:pPr>
              <w:pStyle w:val="a7"/>
              <w:rPr>
                <w:rFonts w:hint="default"/>
              </w:rPr>
            </w:pPr>
            <w:r>
              <w:t>摊铺机</w:t>
            </w:r>
          </w:p>
        </w:tc>
        <w:tc>
          <w:tcPr>
            <w:tcW w:w="475" w:type="pct"/>
            <w:vAlign w:val="center"/>
          </w:tcPr>
          <w:p w:rsidR="00BC07F0" w:rsidRDefault="00073EFB">
            <w:pPr>
              <w:pStyle w:val="a7"/>
              <w:rPr>
                <w:rFonts w:hint="default"/>
              </w:rPr>
            </w:pPr>
            <w:r>
              <w:t>88</w:t>
            </w:r>
          </w:p>
        </w:tc>
        <w:tc>
          <w:tcPr>
            <w:tcW w:w="475" w:type="pct"/>
            <w:vAlign w:val="center"/>
          </w:tcPr>
          <w:p w:rsidR="00BC07F0" w:rsidRDefault="00073EFB">
            <w:pPr>
              <w:pStyle w:val="a7"/>
              <w:rPr>
                <w:rFonts w:hint="default"/>
              </w:rPr>
            </w:pPr>
            <w:r>
              <w:t>81.98</w:t>
            </w:r>
          </w:p>
        </w:tc>
        <w:tc>
          <w:tcPr>
            <w:tcW w:w="475" w:type="pct"/>
            <w:vAlign w:val="center"/>
          </w:tcPr>
          <w:p w:rsidR="00BC07F0" w:rsidRDefault="00073EFB">
            <w:pPr>
              <w:pStyle w:val="a7"/>
              <w:rPr>
                <w:rFonts w:hint="default"/>
              </w:rPr>
            </w:pPr>
            <w:r>
              <w:t>75.96</w:t>
            </w:r>
          </w:p>
        </w:tc>
        <w:tc>
          <w:tcPr>
            <w:tcW w:w="475" w:type="pct"/>
            <w:vAlign w:val="center"/>
          </w:tcPr>
          <w:p w:rsidR="00BC07F0" w:rsidRDefault="00073EFB">
            <w:pPr>
              <w:pStyle w:val="a7"/>
              <w:rPr>
                <w:rFonts w:hint="default"/>
              </w:rPr>
            </w:pPr>
            <w:r>
              <w:t>69.94</w:t>
            </w:r>
          </w:p>
        </w:tc>
        <w:tc>
          <w:tcPr>
            <w:tcW w:w="475" w:type="pct"/>
            <w:vAlign w:val="center"/>
          </w:tcPr>
          <w:p w:rsidR="00BC07F0" w:rsidRDefault="00073EFB">
            <w:pPr>
              <w:pStyle w:val="a7"/>
              <w:rPr>
                <w:rFonts w:hint="default"/>
              </w:rPr>
            </w:pPr>
            <w:r>
              <w:t>66.42</w:t>
            </w:r>
          </w:p>
        </w:tc>
        <w:tc>
          <w:tcPr>
            <w:tcW w:w="475" w:type="pct"/>
            <w:vAlign w:val="center"/>
          </w:tcPr>
          <w:p w:rsidR="00BC07F0" w:rsidRDefault="00073EFB">
            <w:pPr>
              <w:pStyle w:val="a7"/>
              <w:rPr>
                <w:rFonts w:hint="default"/>
              </w:rPr>
            </w:pPr>
            <w:r>
              <w:t>63.92</w:t>
            </w:r>
          </w:p>
        </w:tc>
        <w:tc>
          <w:tcPr>
            <w:tcW w:w="475" w:type="pct"/>
            <w:vAlign w:val="center"/>
          </w:tcPr>
          <w:p w:rsidR="00BC07F0" w:rsidRDefault="00073EFB">
            <w:pPr>
              <w:pStyle w:val="a7"/>
              <w:rPr>
                <w:rFonts w:hint="default"/>
              </w:rPr>
            </w:pPr>
            <w:r>
              <w:t>61.98</w:t>
            </w:r>
          </w:p>
        </w:tc>
        <w:tc>
          <w:tcPr>
            <w:tcW w:w="475" w:type="pct"/>
            <w:vAlign w:val="center"/>
          </w:tcPr>
          <w:p w:rsidR="00BC07F0" w:rsidRDefault="00073EFB">
            <w:pPr>
              <w:pStyle w:val="a7"/>
              <w:rPr>
                <w:rFonts w:hint="default"/>
              </w:rPr>
            </w:pPr>
            <w:r>
              <w:t>58.46</w:t>
            </w:r>
          </w:p>
        </w:tc>
        <w:tc>
          <w:tcPr>
            <w:tcW w:w="478" w:type="pct"/>
            <w:vAlign w:val="center"/>
          </w:tcPr>
          <w:p w:rsidR="00BC07F0" w:rsidRDefault="00073EFB">
            <w:pPr>
              <w:pStyle w:val="a7"/>
              <w:rPr>
                <w:rFonts w:hint="default"/>
              </w:rPr>
            </w:pPr>
            <w:r>
              <w:t>55.96</w:t>
            </w:r>
          </w:p>
        </w:tc>
      </w:tr>
      <w:tr w:rsidR="00BC07F0">
        <w:trPr>
          <w:trHeight w:val="397"/>
          <w:jc w:val="center"/>
        </w:trPr>
        <w:tc>
          <w:tcPr>
            <w:tcW w:w="719" w:type="pct"/>
            <w:tcBorders>
              <w:right w:val="single" w:sz="4" w:space="0" w:color="auto"/>
            </w:tcBorders>
            <w:vAlign w:val="center"/>
          </w:tcPr>
          <w:p w:rsidR="00BC07F0" w:rsidRDefault="00073EFB">
            <w:pPr>
              <w:pStyle w:val="a7"/>
              <w:rPr>
                <w:rFonts w:hint="default"/>
              </w:rPr>
            </w:pPr>
            <w:r>
              <w:t>推土机</w:t>
            </w:r>
          </w:p>
        </w:tc>
        <w:tc>
          <w:tcPr>
            <w:tcW w:w="475" w:type="pct"/>
            <w:vAlign w:val="center"/>
          </w:tcPr>
          <w:p w:rsidR="00BC07F0" w:rsidRDefault="00073EFB">
            <w:pPr>
              <w:pStyle w:val="a7"/>
              <w:rPr>
                <w:rFonts w:hint="default"/>
              </w:rPr>
            </w:pPr>
            <w:r>
              <w:t>88</w:t>
            </w:r>
          </w:p>
        </w:tc>
        <w:tc>
          <w:tcPr>
            <w:tcW w:w="475" w:type="pct"/>
            <w:vAlign w:val="center"/>
          </w:tcPr>
          <w:p w:rsidR="00BC07F0" w:rsidRDefault="00073EFB">
            <w:pPr>
              <w:pStyle w:val="a7"/>
              <w:rPr>
                <w:rFonts w:hint="default"/>
              </w:rPr>
            </w:pPr>
            <w:r>
              <w:t>81.98</w:t>
            </w:r>
          </w:p>
        </w:tc>
        <w:tc>
          <w:tcPr>
            <w:tcW w:w="475" w:type="pct"/>
            <w:vAlign w:val="center"/>
          </w:tcPr>
          <w:p w:rsidR="00BC07F0" w:rsidRDefault="00073EFB">
            <w:pPr>
              <w:pStyle w:val="a7"/>
              <w:rPr>
                <w:rFonts w:hint="default"/>
              </w:rPr>
            </w:pPr>
            <w:r>
              <w:t>75.96</w:t>
            </w:r>
          </w:p>
        </w:tc>
        <w:tc>
          <w:tcPr>
            <w:tcW w:w="475" w:type="pct"/>
            <w:vAlign w:val="center"/>
          </w:tcPr>
          <w:p w:rsidR="00BC07F0" w:rsidRDefault="00073EFB">
            <w:pPr>
              <w:pStyle w:val="a7"/>
              <w:rPr>
                <w:rFonts w:hint="default"/>
              </w:rPr>
            </w:pPr>
            <w:r>
              <w:t>69.94</w:t>
            </w:r>
          </w:p>
        </w:tc>
        <w:tc>
          <w:tcPr>
            <w:tcW w:w="475" w:type="pct"/>
            <w:vAlign w:val="center"/>
          </w:tcPr>
          <w:p w:rsidR="00BC07F0" w:rsidRDefault="00073EFB">
            <w:pPr>
              <w:pStyle w:val="a7"/>
              <w:rPr>
                <w:rFonts w:hint="default"/>
              </w:rPr>
            </w:pPr>
            <w:r>
              <w:t>66.42</w:t>
            </w:r>
          </w:p>
        </w:tc>
        <w:tc>
          <w:tcPr>
            <w:tcW w:w="475" w:type="pct"/>
            <w:vAlign w:val="center"/>
          </w:tcPr>
          <w:p w:rsidR="00BC07F0" w:rsidRDefault="00073EFB">
            <w:pPr>
              <w:pStyle w:val="a7"/>
              <w:rPr>
                <w:rFonts w:hint="default"/>
              </w:rPr>
            </w:pPr>
            <w:r>
              <w:t>63.92</w:t>
            </w:r>
          </w:p>
        </w:tc>
        <w:tc>
          <w:tcPr>
            <w:tcW w:w="475" w:type="pct"/>
            <w:vAlign w:val="center"/>
          </w:tcPr>
          <w:p w:rsidR="00BC07F0" w:rsidRDefault="00073EFB">
            <w:pPr>
              <w:pStyle w:val="a7"/>
              <w:rPr>
                <w:rFonts w:hint="default"/>
              </w:rPr>
            </w:pPr>
            <w:r>
              <w:t>61.98</w:t>
            </w:r>
          </w:p>
        </w:tc>
        <w:tc>
          <w:tcPr>
            <w:tcW w:w="475" w:type="pct"/>
            <w:vAlign w:val="center"/>
          </w:tcPr>
          <w:p w:rsidR="00BC07F0" w:rsidRDefault="00073EFB">
            <w:pPr>
              <w:pStyle w:val="a7"/>
              <w:rPr>
                <w:rFonts w:hint="default"/>
              </w:rPr>
            </w:pPr>
            <w:r>
              <w:t>58.46</w:t>
            </w:r>
          </w:p>
        </w:tc>
        <w:tc>
          <w:tcPr>
            <w:tcW w:w="478" w:type="pct"/>
            <w:vAlign w:val="center"/>
          </w:tcPr>
          <w:p w:rsidR="00BC07F0" w:rsidRDefault="00073EFB">
            <w:pPr>
              <w:pStyle w:val="a7"/>
              <w:rPr>
                <w:rFonts w:hint="default"/>
              </w:rPr>
            </w:pPr>
            <w:r>
              <w:t>55.96</w:t>
            </w:r>
          </w:p>
        </w:tc>
      </w:tr>
      <w:tr w:rsidR="00BC07F0">
        <w:trPr>
          <w:trHeight w:val="397"/>
          <w:jc w:val="center"/>
        </w:trPr>
        <w:tc>
          <w:tcPr>
            <w:tcW w:w="719" w:type="pct"/>
            <w:tcBorders>
              <w:right w:val="single" w:sz="4" w:space="0" w:color="auto"/>
            </w:tcBorders>
            <w:vAlign w:val="center"/>
          </w:tcPr>
          <w:p w:rsidR="00BC07F0" w:rsidRDefault="00073EFB">
            <w:pPr>
              <w:pStyle w:val="a7"/>
              <w:rPr>
                <w:rFonts w:hint="default"/>
              </w:rPr>
            </w:pPr>
            <w:r>
              <w:t>轮胎式液压挖掘机</w:t>
            </w:r>
          </w:p>
        </w:tc>
        <w:tc>
          <w:tcPr>
            <w:tcW w:w="475" w:type="pct"/>
            <w:vAlign w:val="center"/>
          </w:tcPr>
          <w:p w:rsidR="00BC07F0" w:rsidRDefault="00073EFB">
            <w:pPr>
              <w:pStyle w:val="a7"/>
              <w:rPr>
                <w:rFonts w:hint="default"/>
              </w:rPr>
            </w:pPr>
            <w:r>
              <w:t>84</w:t>
            </w:r>
          </w:p>
        </w:tc>
        <w:tc>
          <w:tcPr>
            <w:tcW w:w="475" w:type="pct"/>
            <w:vAlign w:val="center"/>
          </w:tcPr>
          <w:p w:rsidR="00BC07F0" w:rsidRDefault="00073EFB">
            <w:pPr>
              <w:pStyle w:val="a7"/>
              <w:rPr>
                <w:rFonts w:hint="default"/>
              </w:rPr>
            </w:pPr>
            <w:r>
              <w:t>77.98</w:t>
            </w:r>
          </w:p>
        </w:tc>
        <w:tc>
          <w:tcPr>
            <w:tcW w:w="475" w:type="pct"/>
            <w:vAlign w:val="center"/>
          </w:tcPr>
          <w:p w:rsidR="00BC07F0" w:rsidRDefault="00073EFB">
            <w:pPr>
              <w:pStyle w:val="a7"/>
              <w:rPr>
                <w:rFonts w:hint="default"/>
              </w:rPr>
            </w:pPr>
            <w:r>
              <w:t>71.96</w:t>
            </w:r>
          </w:p>
        </w:tc>
        <w:tc>
          <w:tcPr>
            <w:tcW w:w="475" w:type="pct"/>
            <w:vAlign w:val="center"/>
          </w:tcPr>
          <w:p w:rsidR="00BC07F0" w:rsidRDefault="00073EFB">
            <w:pPr>
              <w:pStyle w:val="a7"/>
              <w:rPr>
                <w:rFonts w:hint="default"/>
              </w:rPr>
            </w:pPr>
            <w:r>
              <w:t>65.94</w:t>
            </w:r>
          </w:p>
        </w:tc>
        <w:tc>
          <w:tcPr>
            <w:tcW w:w="475" w:type="pct"/>
            <w:vAlign w:val="center"/>
          </w:tcPr>
          <w:p w:rsidR="00BC07F0" w:rsidRDefault="00073EFB">
            <w:pPr>
              <w:pStyle w:val="a7"/>
              <w:rPr>
                <w:rFonts w:hint="default"/>
              </w:rPr>
            </w:pPr>
            <w:r>
              <w:t>62.42</w:t>
            </w:r>
          </w:p>
        </w:tc>
        <w:tc>
          <w:tcPr>
            <w:tcW w:w="475" w:type="pct"/>
            <w:vAlign w:val="center"/>
          </w:tcPr>
          <w:p w:rsidR="00BC07F0" w:rsidRDefault="00073EFB">
            <w:pPr>
              <w:pStyle w:val="a7"/>
              <w:rPr>
                <w:rFonts w:hint="default"/>
              </w:rPr>
            </w:pPr>
            <w:r>
              <w:t>59.92</w:t>
            </w:r>
          </w:p>
        </w:tc>
        <w:tc>
          <w:tcPr>
            <w:tcW w:w="475" w:type="pct"/>
            <w:vAlign w:val="center"/>
          </w:tcPr>
          <w:p w:rsidR="00BC07F0" w:rsidRDefault="00073EFB">
            <w:pPr>
              <w:pStyle w:val="a7"/>
              <w:rPr>
                <w:rFonts w:hint="default"/>
              </w:rPr>
            </w:pPr>
            <w:r>
              <w:t>57.98</w:t>
            </w:r>
          </w:p>
        </w:tc>
        <w:tc>
          <w:tcPr>
            <w:tcW w:w="475" w:type="pct"/>
            <w:vAlign w:val="center"/>
          </w:tcPr>
          <w:p w:rsidR="00BC07F0" w:rsidRDefault="00073EFB">
            <w:pPr>
              <w:pStyle w:val="a7"/>
              <w:rPr>
                <w:rFonts w:hint="default"/>
              </w:rPr>
            </w:pPr>
            <w:r>
              <w:t>54.46</w:t>
            </w:r>
          </w:p>
        </w:tc>
        <w:tc>
          <w:tcPr>
            <w:tcW w:w="478" w:type="pct"/>
            <w:vAlign w:val="center"/>
          </w:tcPr>
          <w:p w:rsidR="00BC07F0" w:rsidRDefault="00073EFB">
            <w:pPr>
              <w:pStyle w:val="a7"/>
              <w:rPr>
                <w:rFonts w:hint="default"/>
              </w:rPr>
            </w:pPr>
            <w:r>
              <w:t>51.96</w:t>
            </w:r>
          </w:p>
        </w:tc>
      </w:tr>
      <w:tr w:rsidR="00BC07F0">
        <w:trPr>
          <w:trHeight w:val="397"/>
          <w:jc w:val="center"/>
        </w:trPr>
        <w:tc>
          <w:tcPr>
            <w:tcW w:w="719" w:type="pct"/>
            <w:tcBorders>
              <w:right w:val="single" w:sz="4" w:space="0" w:color="auto"/>
            </w:tcBorders>
            <w:vAlign w:val="center"/>
          </w:tcPr>
          <w:p w:rsidR="00BC07F0" w:rsidRDefault="00073EFB">
            <w:pPr>
              <w:pStyle w:val="a7"/>
              <w:rPr>
                <w:rFonts w:hint="default"/>
              </w:rPr>
            </w:pPr>
            <w:r>
              <w:t>振捣机</w:t>
            </w:r>
          </w:p>
        </w:tc>
        <w:tc>
          <w:tcPr>
            <w:tcW w:w="475" w:type="pct"/>
            <w:vAlign w:val="center"/>
          </w:tcPr>
          <w:p w:rsidR="00BC07F0" w:rsidRDefault="00073EFB">
            <w:pPr>
              <w:pStyle w:val="a7"/>
              <w:rPr>
                <w:rFonts w:hint="default"/>
              </w:rPr>
            </w:pPr>
            <w:r>
              <w:t>84</w:t>
            </w:r>
          </w:p>
        </w:tc>
        <w:tc>
          <w:tcPr>
            <w:tcW w:w="475" w:type="pct"/>
            <w:vAlign w:val="center"/>
          </w:tcPr>
          <w:p w:rsidR="00BC07F0" w:rsidRDefault="00073EFB">
            <w:pPr>
              <w:pStyle w:val="a7"/>
              <w:rPr>
                <w:rFonts w:hint="default"/>
              </w:rPr>
            </w:pPr>
            <w:r>
              <w:t>77.98</w:t>
            </w:r>
          </w:p>
        </w:tc>
        <w:tc>
          <w:tcPr>
            <w:tcW w:w="475" w:type="pct"/>
            <w:vAlign w:val="center"/>
          </w:tcPr>
          <w:p w:rsidR="00BC07F0" w:rsidRDefault="00073EFB">
            <w:pPr>
              <w:pStyle w:val="a7"/>
              <w:rPr>
                <w:rFonts w:hint="default"/>
              </w:rPr>
            </w:pPr>
            <w:r>
              <w:t>71.96</w:t>
            </w:r>
          </w:p>
        </w:tc>
        <w:tc>
          <w:tcPr>
            <w:tcW w:w="475" w:type="pct"/>
            <w:vAlign w:val="center"/>
          </w:tcPr>
          <w:p w:rsidR="00BC07F0" w:rsidRDefault="00073EFB">
            <w:pPr>
              <w:pStyle w:val="a7"/>
              <w:rPr>
                <w:rFonts w:hint="default"/>
              </w:rPr>
            </w:pPr>
            <w:r>
              <w:t>65.94</w:t>
            </w:r>
          </w:p>
        </w:tc>
        <w:tc>
          <w:tcPr>
            <w:tcW w:w="475" w:type="pct"/>
            <w:vAlign w:val="center"/>
          </w:tcPr>
          <w:p w:rsidR="00BC07F0" w:rsidRDefault="00073EFB">
            <w:pPr>
              <w:pStyle w:val="a7"/>
              <w:rPr>
                <w:rFonts w:hint="default"/>
              </w:rPr>
            </w:pPr>
            <w:r>
              <w:t>62.42</w:t>
            </w:r>
          </w:p>
        </w:tc>
        <w:tc>
          <w:tcPr>
            <w:tcW w:w="475" w:type="pct"/>
            <w:vAlign w:val="center"/>
          </w:tcPr>
          <w:p w:rsidR="00BC07F0" w:rsidRDefault="00073EFB">
            <w:pPr>
              <w:pStyle w:val="a7"/>
              <w:rPr>
                <w:rFonts w:hint="default"/>
              </w:rPr>
            </w:pPr>
            <w:r>
              <w:t>59.92</w:t>
            </w:r>
          </w:p>
        </w:tc>
        <w:tc>
          <w:tcPr>
            <w:tcW w:w="475" w:type="pct"/>
            <w:vAlign w:val="center"/>
          </w:tcPr>
          <w:p w:rsidR="00BC07F0" w:rsidRDefault="00073EFB">
            <w:pPr>
              <w:pStyle w:val="a7"/>
              <w:rPr>
                <w:rFonts w:hint="default"/>
              </w:rPr>
            </w:pPr>
            <w:r>
              <w:t>57.98</w:t>
            </w:r>
          </w:p>
        </w:tc>
        <w:tc>
          <w:tcPr>
            <w:tcW w:w="475" w:type="pct"/>
            <w:vAlign w:val="center"/>
          </w:tcPr>
          <w:p w:rsidR="00BC07F0" w:rsidRDefault="00073EFB">
            <w:pPr>
              <w:pStyle w:val="a7"/>
              <w:rPr>
                <w:rFonts w:hint="default"/>
              </w:rPr>
            </w:pPr>
            <w:r>
              <w:t>54.46</w:t>
            </w:r>
          </w:p>
        </w:tc>
        <w:tc>
          <w:tcPr>
            <w:tcW w:w="478" w:type="pct"/>
            <w:vAlign w:val="center"/>
          </w:tcPr>
          <w:p w:rsidR="00BC07F0" w:rsidRDefault="00073EFB">
            <w:pPr>
              <w:pStyle w:val="a7"/>
              <w:rPr>
                <w:rFonts w:hint="default"/>
              </w:rPr>
            </w:pPr>
            <w:r>
              <w:t>51.96</w:t>
            </w:r>
          </w:p>
        </w:tc>
      </w:tr>
      <w:tr w:rsidR="00BC07F0">
        <w:trPr>
          <w:trHeight w:val="397"/>
          <w:jc w:val="center"/>
        </w:trPr>
        <w:tc>
          <w:tcPr>
            <w:tcW w:w="719" w:type="pct"/>
            <w:tcBorders>
              <w:right w:val="single" w:sz="4" w:space="0" w:color="auto"/>
            </w:tcBorders>
            <w:vAlign w:val="center"/>
          </w:tcPr>
          <w:p w:rsidR="00BC07F0" w:rsidRDefault="00073EFB">
            <w:pPr>
              <w:pStyle w:val="a7"/>
              <w:rPr>
                <w:rFonts w:hint="default"/>
              </w:rPr>
            </w:pPr>
            <w:r>
              <w:t>切割机</w:t>
            </w:r>
          </w:p>
        </w:tc>
        <w:tc>
          <w:tcPr>
            <w:tcW w:w="475" w:type="pct"/>
            <w:vAlign w:val="center"/>
          </w:tcPr>
          <w:p w:rsidR="00BC07F0" w:rsidRDefault="00073EFB">
            <w:pPr>
              <w:pStyle w:val="a7"/>
              <w:rPr>
                <w:rFonts w:hint="default"/>
              </w:rPr>
            </w:pPr>
            <w:r>
              <w:t>85</w:t>
            </w:r>
          </w:p>
        </w:tc>
        <w:tc>
          <w:tcPr>
            <w:tcW w:w="475" w:type="pct"/>
            <w:vAlign w:val="center"/>
          </w:tcPr>
          <w:p w:rsidR="00BC07F0" w:rsidRDefault="00073EFB">
            <w:pPr>
              <w:pStyle w:val="a7"/>
              <w:rPr>
                <w:rFonts w:hint="default"/>
              </w:rPr>
            </w:pPr>
            <w:r>
              <w:t>78.98</w:t>
            </w:r>
          </w:p>
        </w:tc>
        <w:tc>
          <w:tcPr>
            <w:tcW w:w="475" w:type="pct"/>
            <w:vAlign w:val="center"/>
          </w:tcPr>
          <w:p w:rsidR="00BC07F0" w:rsidRDefault="00073EFB">
            <w:pPr>
              <w:pStyle w:val="a7"/>
              <w:rPr>
                <w:rFonts w:hint="default"/>
              </w:rPr>
            </w:pPr>
            <w:r>
              <w:t>72.96</w:t>
            </w:r>
          </w:p>
        </w:tc>
        <w:tc>
          <w:tcPr>
            <w:tcW w:w="475" w:type="pct"/>
            <w:vAlign w:val="center"/>
          </w:tcPr>
          <w:p w:rsidR="00BC07F0" w:rsidRDefault="00073EFB">
            <w:pPr>
              <w:pStyle w:val="a7"/>
              <w:rPr>
                <w:rFonts w:hint="default"/>
              </w:rPr>
            </w:pPr>
            <w:r>
              <w:t>66.94</w:t>
            </w:r>
          </w:p>
        </w:tc>
        <w:tc>
          <w:tcPr>
            <w:tcW w:w="475" w:type="pct"/>
            <w:vAlign w:val="center"/>
          </w:tcPr>
          <w:p w:rsidR="00BC07F0" w:rsidRDefault="00073EFB">
            <w:pPr>
              <w:pStyle w:val="a7"/>
              <w:rPr>
                <w:rFonts w:hint="default"/>
              </w:rPr>
            </w:pPr>
            <w:r>
              <w:t>63.42</w:t>
            </w:r>
          </w:p>
        </w:tc>
        <w:tc>
          <w:tcPr>
            <w:tcW w:w="475" w:type="pct"/>
            <w:vAlign w:val="center"/>
          </w:tcPr>
          <w:p w:rsidR="00BC07F0" w:rsidRDefault="00073EFB">
            <w:pPr>
              <w:pStyle w:val="a7"/>
              <w:rPr>
                <w:rFonts w:hint="default"/>
              </w:rPr>
            </w:pPr>
            <w:r>
              <w:t>60.92</w:t>
            </w:r>
          </w:p>
        </w:tc>
        <w:tc>
          <w:tcPr>
            <w:tcW w:w="475" w:type="pct"/>
            <w:vAlign w:val="center"/>
          </w:tcPr>
          <w:p w:rsidR="00BC07F0" w:rsidRDefault="00073EFB">
            <w:pPr>
              <w:pStyle w:val="a7"/>
              <w:rPr>
                <w:rFonts w:hint="default"/>
              </w:rPr>
            </w:pPr>
            <w:r>
              <w:t>58.98</w:t>
            </w:r>
          </w:p>
        </w:tc>
        <w:tc>
          <w:tcPr>
            <w:tcW w:w="475" w:type="pct"/>
            <w:vAlign w:val="center"/>
          </w:tcPr>
          <w:p w:rsidR="00BC07F0" w:rsidRDefault="00073EFB">
            <w:pPr>
              <w:pStyle w:val="a7"/>
              <w:rPr>
                <w:rFonts w:hint="default"/>
              </w:rPr>
            </w:pPr>
            <w:r>
              <w:t>55.46</w:t>
            </w:r>
          </w:p>
        </w:tc>
        <w:tc>
          <w:tcPr>
            <w:tcW w:w="478" w:type="pct"/>
            <w:vAlign w:val="center"/>
          </w:tcPr>
          <w:p w:rsidR="00BC07F0" w:rsidRDefault="00073EFB">
            <w:pPr>
              <w:pStyle w:val="a7"/>
              <w:rPr>
                <w:rFonts w:hint="default"/>
              </w:rPr>
            </w:pPr>
            <w:r>
              <w:t>52.96</w:t>
            </w:r>
          </w:p>
        </w:tc>
      </w:tr>
    </w:tbl>
    <w:p w:rsidR="00BC07F0" w:rsidRDefault="00073EFB" w:rsidP="00C55F5E">
      <w:pPr>
        <w:ind w:firstLine="480"/>
      </w:pPr>
      <w:r>
        <w:rPr>
          <w:rFonts w:hint="eastAsia"/>
        </w:rPr>
        <w:t>施工过程中一般情况下是多种机械同时施工，仅有一种机械在运行的情况较少，而且不同施工阶段，使用的施工机械也不尽相同，多台机械同时作业时，声级通过叠加而相应增加，并具有无规则、不连续、暂时性等特点，根据相关资料提供的不同施工阶段，多台机械同时施工作业时的场界平均噪声值见表</w:t>
      </w:r>
      <w:r>
        <w:rPr>
          <w:rFonts w:hint="eastAsia"/>
        </w:rPr>
        <w:t>4-2</w:t>
      </w:r>
      <w:r>
        <w:rPr>
          <w:rFonts w:hint="eastAsia"/>
        </w:rPr>
        <w:t>。</w:t>
      </w:r>
    </w:p>
    <w:p w:rsidR="00BC07F0" w:rsidRDefault="00073EFB">
      <w:pPr>
        <w:pStyle w:val="a7"/>
        <w:rPr>
          <w:rFonts w:hint="default"/>
          <w:b/>
          <w:bCs/>
        </w:rPr>
      </w:pPr>
      <w:r>
        <w:rPr>
          <w:b/>
          <w:bCs/>
        </w:rPr>
        <w:t>表</w:t>
      </w:r>
      <w:r>
        <w:rPr>
          <w:b/>
          <w:bCs/>
        </w:rPr>
        <w:t>4-2</w:t>
      </w:r>
      <w:r>
        <w:rPr>
          <w:b/>
          <w:bCs/>
        </w:rPr>
        <w:t>多台设备同时运转到达不同距离的总声压级单位：</w:t>
      </w:r>
      <w:r>
        <w:rPr>
          <w:b/>
          <w:bCs/>
        </w:rPr>
        <w:t>dB</w:t>
      </w:r>
      <w:r>
        <w:rPr>
          <w:b/>
          <w:bCs/>
        </w:rPr>
        <w:t>（</w:t>
      </w:r>
      <w:r>
        <w:rPr>
          <w:b/>
          <w:bCs/>
        </w:rPr>
        <w:t>A</w:t>
      </w:r>
      <w:r>
        <w:rPr>
          <w:b/>
          <w:bCs/>
        </w:rPr>
        <w:t>）</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tblPr>
      <w:tblGrid>
        <w:gridCol w:w="1188"/>
        <w:gridCol w:w="783"/>
        <w:gridCol w:w="783"/>
        <w:gridCol w:w="782"/>
        <w:gridCol w:w="782"/>
        <w:gridCol w:w="782"/>
        <w:gridCol w:w="782"/>
        <w:gridCol w:w="782"/>
        <w:gridCol w:w="782"/>
        <w:gridCol w:w="787"/>
      </w:tblGrid>
      <w:tr w:rsidR="00BC07F0">
        <w:trPr>
          <w:trHeight w:val="397"/>
          <w:jc w:val="center"/>
        </w:trPr>
        <w:tc>
          <w:tcPr>
            <w:tcW w:w="721" w:type="pct"/>
            <w:tcBorders>
              <w:right w:val="single" w:sz="4" w:space="0" w:color="auto"/>
            </w:tcBorders>
            <w:vAlign w:val="center"/>
          </w:tcPr>
          <w:p w:rsidR="00BC07F0" w:rsidRDefault="00073EFB">
            <w:pPr>
              <w:pStyle w:val="a7"/>
              <w:rPr>
                <w:rFonts w:hint="default"/>
              </w:rPr>
            </w:pPr>
            <w:r>
              <w:t>施工阶段</w:t>
            </w:r>
          </w:p>
        </w:tc>
        <w:tc>
          <w:tcPr>
            <w:tcW w:w="475" w:type="pct"/>
            <w:vAlign w:val="center"/>
          </w:tcPr>
          <w:p w:rsidR="00BC07F0" w:rsidRDefault="00073EFB">
            <w:pPr>
              <w:pStyle w:val="a7"/>
              <w:rPr>
                <w:rFonts w:hint="default"/>
              </w:rPr>
            </w:pPr>
            <w:r>
              <w:t>5m</w:t>
            </w:r>
          </w:p>
        </w:tc>
        <w:tc>
          <w:tcPr>
            <w:tcW w:w="475" w:type="pct"/>
            <w:vAlign w:val="center"/>
          </w:tcPr>
          <w:p w:rsidR="00BC07F0" w:rsidRDefault="00073EFB">
            <w:pPr>
              <w:pStyle w:val="a7"/>
              <w:rPr>
                <w:rFonts w:hint="default"/>
              </w:rPr>
            </w:pPr>
            <w:r>
              <w:t>10m</w:t>
            </w:r>
          </w:p>
        </w:tc>
        <w:tc>
          <w:tcPr>
            <w:tcW w:w="475" w:type="pct"/>
            <w:vAlign w:val="center"/>
          </w:tcPr>
          <w:p w:rsidR="00BC07F0" w:rsidRDefault="00073EFB">
            <w:pPr>
              <w:pStyle w:val="a7"/>
              <w:rPr>
                <w:rFonts w:hint="default"/>
              </w:rPr>
            </w:pPr>
            <w:r>
              <w:t>20m</w:t>
            </w:r>
          </w:p>
        </w:tc>
        <w:tc>
          <w:tcPr>
            <w:tcW w:w="475" w:type="pct"/>
            <w:vAlign w:val="center"/>
          </w:tcPr>
          <w:p w:rsidR="00BC07F0" w:rsidRDefault="00073EFB">
            <w:pPr>
              <w:pStyle w:val="a7"/>
              <w:rPr>
                <w:rFonts w:hint="default"/>
              </w:rPr>
            </w:pPr>
            <w:r>
              <w:t>40m</w:t>
            </w:r>
          </w:p>
        </w:tc>
        <w:tc>
          <w:tcPr>
            <w:tcW w:w="475" w:type="pct"/>
            <w:vAlign w:val="center"/>
          </w:tcPr>
          <w:p w:rsidR="00BC07F0" w:rsidRDefault="00073EFB">
            <w:pPr>
              <w:pStyle w:val="a7"/>
              <w:rPr>
                <w:rFonts w:hint="default"/>
              </w:rPr>
            </w:pPr>
            <w:r>
              <w:t>60m</w:t>
            </w:r>
          </w:p>
        </w:tc>
        <w:tc>
          <w:tcPr>
            <w:tcW w:w="475" w:type="pct"/>
            <w:vAlign w:val="center"/>
          </w:tcPr>
          <w:p w:rsidR="00BC07F0" w:rsidRDefault="00073EFB">
            <w:pPr>
              <w:pStyle w:val="a7"/>
              <w:rPr>
                <w:rFonts w:hint="default"/>
              </w:rPr>
            </w:pPr>
            <w:r>
              <w:t>80m</w:t>
            </w:r>
          </w:p>
        </w:tc>
        <w:tc>
          <w:tcPr>
            <w:tcW w:w="475" w:type="pct"/>
            <w:vAlign w:val="center"/>
          </w:tcPr>
          <w:p w:rsidR="00BC07F0" w:rsidRDefault="00073EFB">
            <w:pPr>
              <w:pStyle w:val="a7"/>
              <w:rPr>
                <w:rFonts w:hint="default"/>
              </w:rPr>
            </w:pPr>
            <w:r>
              <w:t>100m</w:t>
            </w:r>
          </w:p>
        </w:tc>
        <w:tc>
          <w:tcPr>
            <w:tcW w:w="475" w:type="pct"/>
            <w:vAlign w:val="center"/>
          </w:tcPr>
          <w:p w:rsidR="00BC07F0" w:rsidRDefault="00073EFB">
            <w:pPr>
              <w:pStyle w:val="a7"/>
              <w:rPr>
                <w:rFonts w:hint="default"/>
              </w:rPr>
            </w:pPr>
            <w:r>
              <w:t>150m</w:t>
            </w:r>
          </w:p>
        </w:tc>
        <w:tc>
          <w:tcPr>
            <w:tcW w:w="478" w:type="pct"/>
            <w:vAlign w:val="center"/>
          </w:tcPr>
          <w:p w:rsidR="00BC07F0" w:rsidRDefault="00073EFB">
            <w:pPr>
              <w:pStyle w:val="a7"/>
              <w:rPr>
                <w:rFonts w:hint="default"/>
              </w:rPr>
            </w:pPr>
            <w:r>
              <w:t>200m</w:t>
            </w:r>
          </w:p>
        </w:tc>
      </w:tr>
      <w:tr w:rsidR="00BC07F0">
        <w:trPr>
          <w:trHeight w:val="397"/>
          <w:jc w:val="center"/>
        </w:trPr>
        <w:tc>
          <w:tcPr>
            <w:tcW w:w="721" w:type="pct"/>
            <w:tcBorders>
              <w:right w:val="single" w:sz="4" w:space="0" w:color="auto"/>
            </w:tcBorders>
            <w:vAlign w:val="center"/>
          </w:tcPr>
          <w:p w:rsidR="00BC07F0" w:rsidRDefault="00073EFB">
            <w:pPr>
              <w:pStyle w:val="a7"/>
              <w:rPr>
                <w:rFonts w:hint="default"/>
              </w:rPr>
            </w:pPr>
            <w:r>
              <w:t>基础施工</w:t>
            </w:r>
          </w:p>
        </w:tc>
        <w:tc>
          <w:tcPr>
            <w:tcW w:w="475" w:type="pct"/>
            <w:vAlign w:val="center"/>
          </w:tcPr>
          <w:p w:rsidR="00BC07F0" w:rsidRDefault="00073EFB">
            <w:pPr>
              <w:pStyle w:val="a7"/>
              <w:rPr>
                <w:rFonts w:hint="default"/>
              </w:rPr>
            </w:pPr>
            <w:r>
              <w:t>97.44</w:t>
            </w:r>
          </w:p>
        </w:tc>
        <w:tc>
          <w:tcPr>
            <w:tcW w:w="475" w:type="pct"/>
            <w:vAlign w:val="center"/>
          </w:tcPr>
          <w:p w:rsidR="00BC07F0" w:rsidRDefault="00073EFB">
            <w:pPr>
              <w:pStyle w:val="a7"/>
              <w:rPr>
                <w:rFonts w:hint="default"/>
              </w:rPr>
            </w:pPr>
            <w:r>
              <w:t>91.42</w:t>
            </w:r>
          </w:p>
        </w:tc>
        <w:tc>
          <w:tcPr>
            <w:tcW w:w="475" w:type="pct"/>
            <w:vAlign w:val="center"/>
          </w:tcPr>
          <w:p w:rsidR="00BC07F0" w:rsidRDefault="00073EFB">
            <w:pPr>
              <w:pStyle w:val="a7"/>
              <w:rPr>
                <w:rFonts w:hint="default"/>
              </w:rPr>
            </w:pPr>
            <w:r>
              <w:t>85.4</w:t>
            </w:r>
          </w:p>
        </w:tc>
        <w:tc>
          <w:tcPr>
            <w:tcW w:w="475" w:type="pct"/>
            <w:vAlign w:val="center"/>
          </w:tcPr>
          <w:p w:rsidR="00BC07F0" w:rsidRDefault="00073EFB">
            <w:pPr>
              <w:pStyle w:val="a7"/>
              <w:rPr>
                <w:rFonts w:hint="default"/>
              </w:rPr>
            </w:pPr>
            <w:r>
              <w:t>79.38</w:t>
            </w:r>
          </w:p>
        </w:tc>
        <w:tc>
          <w:tcPr>
            <w:tcW w:w="475" w:type="pct"/>
            <w:vAlign w:val="center"/>
          </w:tcPr>
          <w:p w:rsidR="00BC07F0" w:rsidRDefault="00073EFB">
            <w:pPr>
              <w:pStyle w:val="a7"/>
              <w:rPr>
                <w:rFonts w:hint="default"/>
              </w:rPr>
            </w:pPr>
            <w:r>
              <w:t>75.87</w:t>
            </w:r>
          </w:p>
        </w:tc>
        <w:tc>
          <w:tcPr>
            <w:tcW w:w="475" w:type="pct"/>
            <w:vAlign w:val="center"/>
          </w:tcPr>
          <w:p w:rsidR="00BC07F0" w:rsidRDefault="00073EFB">
            <w:pPr>
              <w:pStyle w:val="a7"/>
              <w:rPr>
                <w:rFonts w:hint="default"/>
              </w:rPr>
            </w:pPr>
            <w:r>
              <w:t>73.36</w:t>
            </w:r>
          </w:p>
        </w:tc>
        <w:tc>
          <w:tcPr>
            <w:tcW w:w="475" w:type="pct"/>
            <w:vAlign w:val="center"/>
          </w:tcPr>
          <w:p w:rsidR="00BC07F0" w:rsidRDefault="00073EFB">
            <w:pPr>
              <w:pStyle w:val="a7"/>
              <w:rPr>
                <w:rFonts w:hint="default"/>
              </w:rPr>
            </w:pPr>
            <w:r>
              <w:t>71.42</w:t>
            </w:r>
          </w:p>
        </w:tc>
        <w:tc>
          <w:tcPr>
            <w:tcW w:w="475" w:type="pct"/>
            <w:vAlign w:val="center"/>
          </w:tcPr>
          <w:p w:rsidR="00BC07F0" w:rsidRDefault="00073EFB">
            <w:pPr>
              <w:pStyle w:val="a7"/>
              <w:rPr>
                <w:rFonts w:hint="default"/>
              </w:rPr>
            </w:pPr>
            <w:r>
              <w:t>67.9</w:t>
            </w:r>
          </w:p>
        </w:tc>
        <w:tc>
          <w:tcPr>
            <w:tcW w:w="478" w:type="pct"/>
            <w:vAlign w:val="center"/>
          </w:tcPr>
          <w:p w:rsidR="00BC07F0" w:rsidRDefault="00073EFB">
            <w:pPr>
              <w:pStyle w:val="a7"/>
              <w:rPr>
                <w:rFonts w:hint="default"/>
              </w:rPr>
            </w:pPr>
            <w:r>
              <w:t>65.4</w:t>
            </w:r>
          </w:p>
        </w:tc>
      </w:tr>
      <w:tr w:rsidR="00BC07F0">
        <w:trPr>
          <w:trHeight w:val="397"/>
          <w:jc w:val="center"/>
        </w:trPr>
        <w:tc>
          <w:tcPr>
            <w:tcW w:w="721" w:type="pct"/>
            <w:tcBorders>
              <w:right w:val="single" w:sz="4" w:space="0" w:color="auto"/>
            </w:tcBorders>
            <w:vAlign w:val="center"/>
          </w:tcPr>
          <w:p w:rsidR="00BC07F0" w:rsidRDefault="00073EFB">
            <w:pPr>
              <w:pStyle w:val="a7"/>
              <w:rPr>
                <w:rFonts w:hint="default"/>
              </w:rPr>
            </w:pPr>
            <w:r>
              <w:t>路面施工</w:t>
            </w:r>
          </w:p>
        </w:tc>
        <w:tc>
          <w:tcPr>
            <w:tcW w:w="475" w:type="pct"/>
            <w:vAlign w:val="center"/>
          </w:tcPr>
          <w:p w:rsidR="00BC07F0" w:rsidRDefault="00073EFB">
            <w:pPr>
              <w:pStyle w:val="a7"/>
              <w:rPr>
                <w:rFonts w:hint="default"/>
              </w:rPr>
            </w:pPr>
            <w:r>
              <w:t>91.97</w:t>
            </w:r>
          </w:p>
        </w:tc>
        <w:tc>
          <w:tcPr>
            <w:tcW w:w="475" w:type="pct"/>
            <w:vAlign w:val="center"/>
          </w:tcPr>
          <w:p w:rsidR="00BC07F0" w:rsidRDefault="00073EFB">
            <w:pPr>
              <w:pStyle w:val="a7"/>
              <w:rPr>
                <w:rFonts w:hint="default"/>
              </w:rPr>
            </w:pPr>
            <w:r>
              <w:t>85.95</w:t>
            </w:r>
          </w:p>
        </w:tc>
        <w:tc>
          <w:tcPr>
            <w:tcW w:w="475" w:type="pct"/>
            <w:vAlign w:val="center"/>
          </w:tcPr>
          <w:p w:rsidR="00BC07F0" w:rsidRDefault="00073EFB">
            <w:pPr>
              <w:pStyle w:val="a7"/>
              <w:rPr>
                <w:rFonts w:hint="default"/>
              </w:rPr>
            </w:pPr>
            <w:r>
              <w:t>79.93</w:t>
            </w:r>
          </w:p>
        </w:tc>
        <w:tc>
          <w:tcPr>
            <w:tcW w:w="475" w:type="pct"/>
            <w:vAlign w:val="center"/>
          </w:tcPr>
          <w:p w:rsidR="00BC07F0" w:rsidRDefault="00073EFB">
            <w:pPr>
              <w:pStyle w:val="a7"/>
              <w:rPr>
                <w:rFonts w:hint="default"/>
              </w:rPr>
            </w:pPr>
            <w:r>
              <w:t>73.91</w:t>
            </w:r>
          </w:p>
        </w:tc>
        <w:tc>
          <w:tcPr>
            <w:tcW w:w="475" w:type="pct"/>
            <w:vAlign w:val="center"/>
          </w:tcPr>
          <w:p w:rsidR="00BC07F0" w:rsidRDefault="00073EFB">
            <w:pPr>
              <w:pStyle w:val="a7"/>
              <w:rPr>
                <w:rFonts w:hint="default"/>
              </w:rPr>
            </w:pPr>
            <w:r>
              <w:t>70.39</w:t>
            </w:r>
          </w:p>
        </w:tc>
        <w:tc>
          <w:tcPr>
            <w:tcW w:w="475" w:type="pct"/>
            <w:vAlign w:val="center"/>
          </w:tcPr>
          <w:p w:rsidR="00BC07F0" w:rsidRDefault="00073EFB">
            <w:pPr>
              <w:pStyle w:val="a7"/>
              <w:rPr>
                <w:rFonts w:hint="default"/>
              </w:rPr>
            </w:pPr>
            <w:r>
              <w:t>67.89</w:t>
            </w:r>
          </w:p>
        </w:tc>
        <w:tc>
          <w:tcPr>
            <w:tcW w:w="475" w:type="pct"/>
            <w:vAlign w:val="center"/>
          </w:tcPr>
          <w:p w:rsidR="00BC07F0" w:rsidRDefault="00073EFB">
            <w:pPr>
              <w:pStyle w:val="a7"/>
              <w:rPr>
                <w:rFonts w:hint="default"/>
              </w:rPr>
            </w:pPr>
            <w:r>
              <w:t>65.95</w:t>
            </w:r>
          </w:p>
        </w:tc>
        <w:tc>
          <w:tcPr>
            <w:tcW w:w="475" w:type="pct"/>
            <w:vAlign w:val="center"/>
          </w:tcPr>
          <w:p w:rsidR="00BC07F0" w:rsidRDefault="00073EFB">
            <w:pPr>
              <w:pStyle w:val="a7"/>
              <w:rPr>
                <w:rFonts w:hint="default"/>
              </w:rPr>
            </w:pPr>
            <w:r>
              <w:t>62.43</w:t>
            </w:r>
          </w:p>
        </w:tc>
        <w:tc>
          <w:tcPr>
            <w:tcW w:w="478" w:type="pct"/>
            <w:vAlign w:val="center"/>
          </w:tcPr>
          <w:p w:rsidR="00BC07F0" w:rsidRDefault="00073EFB">
            <w:pPr>
              <w:pStyle w:val="a7"/>
              <w:rPr>
                <w:rFonts w:hint="default"/>
              </w:rPr>
            </w:pPr>
            <w:r>
              <w:t>59.93</w:t>
            </w:r>
          </w:p>
        </w:tc>
      </w:tr>
      <w:tr w:rsidR="00BC07F0">
        <w:trPr>
          <w:trHeight w:val="397"/>
          <w:jc w:val="center"/>
        </w:trPr>
        <w:tc>
          <w:tcPr>
            <w:tcW w:w="721" w:type="pct"/>
            <w:tcBorders>
              <w:right w:val="single" w:sz="4" w:space="0" w:color="auto"/>
            </w:tcBorders>
            <w:vAlign w:val="center"/>
          </w:tcPr>
          <w:p w:rsidR="00BC07F0" w:rsidRDefault="00073EFB">
            <w:pPr>
              <w:pStyle w:val="a7"/>
              <w:rPr>
                <w:rFonts w:hint="default"/>
              </w:rPr>
            </w:pPr>
            <w:r>
              <w:t>交通施工</w:t>
            </w:r>
          </w:p>
        </w:tc>
        <w:tc>
          <w:tcPr>
            <w:tcW w:w="475" w:type="pct"/>
            <w:vAlign w:val="center"/>
          </w:tcPr>
          <w:p w:rsidR="00BC07F0" w:rsidRDefault="00073EFB">
            <w:pPr>
              <w:pStyle w:val="a7"/>
              <w:rPr>
                <w:rFonts w:hint="default"/>
              </w:rPr>
            </w:pPr>
            <w:r>
              <w:t>/</w:t>
            </w:r>
          </w:p>
        </w:tc>
        <w:tc>
          <w:tcPr>
            <w:tcW w:w="475" w:type="pct"/>
            <w:vAlign w:val="center"/>
          </w:tcPr>
          <w:p w:rsidR="00BC07F0" w:rsidRDefault="00073EFB">
            <w:pPr>
              <w:pStyle w:val="a7"/>
              <w:rPr>
                <w:rFonts w:hint="default"/>
              </w:rPr>
            </w:pPr>
            <w:r>
              <w:t>/</w:t>
            </w:r>
          </w:p>
        </w:tc>
        <w:tc>
          <w:tcPr>
            <w:tcW w:w="475" w:type="pct"/>
            <w:vAlign w:val="center"/>
          </w:tcPr>
          <w:p w:rsidR="00BC07F0" w:rsidRDefault="00073EFB">
            <w:pPr>
              <w:pStyle w:val="a7"/>
              <w:rPr>
                <w:rFonts w:hint="default"/>
              </w:rPr>
            </w:pPr>
            <w:r>
              <w:t>/</w:t>
            </w:r>
          </w:p>
        </w:tc>
        <w:tc>
          <w:tcPr>
            <w:tcW w:w="475" w:type="pct"/>
            <w:vAlign w:val="center"/>
          </w:tcPr>
          <w:p w:rsidR="00BC07F0" w:rsidRDefault="00073EFB">
            <w:pPr>
              <w:pStyle w:val="a7"/>
              <w:rPr>
                <w:rFonts w:hint="default"/>
              </w:rPr>
            </w:pPr>
            <w:r>
              <w:t>/</w:t>
            </w:r>
          </w:p>
        </w:tc>
        <w:tc>
          <w:tcPr>
            <w:tcW w:w="475" w:type="pct"/>
            <w:vAlign w:val="center"/>
          </w:tcPr>
          <w:p w:rsidR="00BC07F0" w:rsidRDefault="00073EFB">
            <w:pPr>
              <w:pStyle w:val="a7"/>
              <w:rPr>
                <w:rFonts w:hint="default"/>
              </w:rPr>
            </w:pPr>
            <w:r>
              <w:t>/</w:t>
            </w:r>
          </w:p>
        </w:tc>
        <w:tc>
          <w:tcPr>
            <w:tcW w:w="475" w:type="pct"/>
            <w:vAlign w:val="center"/>
          </w:tcPr>
          <w:p w:rsidR="00BC07F0" w:rsidRDefault="00073EFB">
            <w:pPr>
              <w:pStyle w:val="a7"/>
              <w:rPr>
                <w:rFonts w:hint="default"/>
              </w:rPr>
            </w:pPr>
            <w:r>
              <w:t>/</w:t>
            </w:r>
          </w:p>
        </w:tc>
        <w:tc>
          <w:tcPr>
            <w:tcW w:w="475" w:type="pct"/>
            <w:vAlign w:val="center"/>
          </w:tcPr>
          <w:p w:rsidR="00BC07F0" w:rsidRDefault="00073EFB">
            <w:pPr>
              <w:pStyle w:val="a7"/>
              <w:rPr>
                <w:rFonts w:hint="default"/>
              </w:rPr>
            </w:pPr>
            <w:r>
              <w:t>/</w:t>
            </w:r>
          </w:p>
        </w:tc>
        <w:tc>
          <w:tcPr>
            <w:tcW w:w="475" w:type="pct"/>
            <w:vAlign w:val="center"/>
          </w:tcPr>
          <w:p w:rsidR="00BC07F0" w:rsidRDefault="00073EFB">
            <w:pPr>
              <w:pStyle w:val="a7"/>
              <w:rPr>
                <w:rFonts w:hint="default"/>
              </w:rPr>
            </w:pPr>
            <w:r>
              <w:t>/</w:t>
            </w:r>
          </w:p>
        </w:tc>
        <w:tc>
          <w:tcPr>
            <w:tcW w:w="478" w:type="pct"/>
            <w:vAlign w:val="center"/>
          </w:tcPr>
          <w:p w:rsidR="00BC07F0" w:rsidRDefault="00073EFB">
            <w:pPr>
              <w:pStyle w:val="a7"/>
              <w:rPr>
                <w:rFonts w:hint="default"/>
              </w:rPr>
            </w:pPr>
            <w:r>
              <w:t>/</w:t>
            </w:r>
          </w:p>
        </w:tc>
      </w:tr>
    </w:tbl>
    <w:p w:rsidR="00BC07F0" w:rsidRDefault="00073EFB" w:rsidP="00C55F5E">
      <w:pPr>
        <w:ind w:firstLine="480"/>
      </w:pPr>
      <w:r>
        <w:rPr>
          <w:rFonts w:hint="eastAsia"/>
        </w:rPr>
        <w:t>结果分析：</w:t>
      </w:r>
    </w:p>
    <w:p w:rsidR="00BC07F0" w:rsidRDefault="00073EFB" w:rsidP="00C55F5E">
      <w:pPr>
        <w:ind w:firstLine="480"/>
      </w:pPr>
      <w:r>
        <w:rPr>
          <w:rFonts w:hint="eastAsia"/>
        </w:rPr>
        <w:t>（</w:t>
      </w:r>
      <w:r>
        <w:rPr>
          <w:rFonts w:hint="eastAsia"/>
        </w:rPr>
        <w:t>1</w:t>
      </w:r>
      <w:r>
        <w:rPr>
          <w:rFonts w:hint="eastAsia"/>
        </w:rPr>
        <w:t>）根据预测结果，单机械施工噪声最大的为装载机，其昼间噪声最大在距声源</w:t>
      </w:r>
      <w:r>
        <w:rPr>
          <w:rFonts w:hint="eastAsia"/>
        </w:rPr>
        <w:t>85m</w:t>
      </w:r>
      <w:r>
        <w:rPr>
          <w:rFonts w:hint="eastAsia"/>
        </w:rPr>
        <w:t>以外可以符合《建筑施工场界环境噪声排放标准》（</w:t>
      </w:r>
      <w:r>
        <w:rPr>
          <w:rFonts w:hint="eastAsia"/>
        </w:rPr>
        <w:t>GB12523-2011</w:t>
      </w:r>
      <w:r>
        <w:rPr>
          <w:rFonts w:hint="eastAsia"/>
        </w:rPr>
        <w:t>）标准限值（</w:t>
      </w:r>
      <w:r>
        <w:t>≤</w:t>
      </w:r>
      <w:r>
        <w:rPr>
          <w:rFonts w:hint="eastAsia"/>
        </w:rPr>
        <w:t>70dB</w:t>
      </w:r>
      <w:r>
        <w:rPr>
          <w:rFonts w:hint="eastAsia"/>
        </w:rPr>
        <w:t>（</w:t>
      </w:r>
      <w:r>
        <w:rPr>
          <w:rFonts w:hint="eastAsia"/>
        </w:rPr>
        <w:t>A</w:t>
      </w:r>
      <w:r>
        <w:rPr>
          <w:rFonts w:hint="eastAsia"/>
        </w:rPr>
        <w:t>）），夜间最大在距声源</w:t>
      </w:r>
      <w:r>
        <w:rPr>
          <w:rFonts w:hint="eastAsia"/>
        </w:rPr>
        <w:t>500m</w:t>
      </w:r>
      <w:r>
        <w:rPr>
          <w:rFonts w:hint="eastAsia"/>
        </w:rPr>
        <w:t>以外可以符合《建筑施工</w:t>
      </w:r>
      <w:r>
        <w:rPr>
          <w:rFonts w:hint="eastAsia"/>
        </w:rPr>
        <w:lastRenderedPageBreak/>
        <w:t>场界环境噪声排放标准》（</w:t>
      </w:r>
      <w:r>
        <w:rPr>
          <w:rFonts w:hint="eastAsia"/>
        </w:rPr>
        <w:t>GB12523-2011</w:t>
      </w:r>
      <w:r>
        <w:rPr>
          <w:rFonts w:hint="eastAsia"/>
        </w:rPr>
        <w:t>）标准限值（</w:t>
      </w:r>
      <w:r>
        <w:t>≤</w:t>
      </w:r>
      <w:r>
        <w:rPr>
          <w:rFonts w:hint="eastAsia"/>
        </w:rPr>
        <w:t>55dB</w:t>
      </w:r>
      <w:r>
        <w:rPr>
          <w:rFonts w:hint="eastAsia"/>
        </w:rPr>
        <w:t>（</w:t>
      </w:r>
      <w:r>
        <w:rPr>
          <w:rFonts w:hint="eastAsia"/>
        </w:rPr>
        <w:t>A</w:t>
      </w:r>
      <w:r>
        <w:rPr>
          <w:rFonts w:hint="eastAsia"/>
        </w:rPr>
        <w:t>））。</w:t>
      </w:r>
    </w:p>
    <w:p w:rsidR="00BC07F0" w:rsidRDefault="00073EFB" w:rsidP="00C55F5E">
      <w:pPr>
        <w:ind w:firstLine="480"/>
      </w:pPr>
      <w:r>
        <w:rPr>
          <w:rFonts w:hint="eastAsia"/>
        </w:rPr>
        <w:t>（</w:t>
      </w:r>
      <w:r>
        <w:rPr>
          <w:rFonts w:hint="eastAsia"/>
        </w:rPr>
        <w:t>2</w:t>
      </w:r>
      <w:r>
        <w:rPr>
          <w:rFonts w:hint="eastAsia"/>
        </w:rPr>
        <w:t>）考虑多种施工机械同时作业，基础施工阶段昼间噪声在距声源</w:t>
      </w:r>
      <w:r>
        <w:rPr>
          <w:rFonts w:hint="eastAsia"/>
        </w:rPr>
        <w:t>120m</w:t>
      </w:r>
      <w:r>
        <w:rPr>
          <w:rFonts w:hint="eastAsia"/>
        </w:rPr>
        <w:t>以外可符合《建筑施工场界环境噪声排放标准》（</w:t>
      </w:r>
      <w:r>
        <w:rPr>
          <w:rFonts w:hint="eastAsia"/>
        </w:rPr>
        <w:t>GB12523-2011</w:t>
      </w:r>
      <w:r>
        <w:rPr>
          <w:rFonts w:hint="eastAsia"/>
        </w:rPr>
        <w:t>）标准限值（</w:t>
      </w:r>
      <w:r>
        <w:t>≤</w:t>
      </w:r>
      <w:r>
        <w:rPr>
          <w:rFonts w:hint="eastAsia"/>
        </w:rPr>
        <w:t>70dB</w:t>
      </w:r>
      <w:r>
        <w:rPr>
          <w:rFonts w:hint="eastAsia"/>
        </w:rPr>
        <w:t>（</w:t>
      </w:r>
      <w:r>
        <w:rPr>
          <w:rFonts w:hint="eastAsia"/>
        </w:rPr>
        <w:t>A</w:t>
      </w:r>
      <w:r>
        <w:rPr>
          <w:rFonts w:hint="eastAsia"/>
        </w:rPr>
        <w:t>）），夜间最大在距声源</w:t>
      </w:r>
      <w:r>
        <w:rPr>
          <w:rFonts w:hint="eastAsia"/>
        </w:rPr>
        <w:t>675m</w:t>
      </w:r>
      <w:r>
        <w:rPr>
          <w:rFonts w:hint="eastAsia"/>
        </w:rPr>
        <w:t>以外可以符合《建筑施工场界环境噪声排放标准》（</w:t>
      </w:r>
      <w:r>
        <w:rPr>
          <w:rFonts w:hint="eastAsia"/>
        </w:rPr>
        <w:t>GB12523-2011</w:t>
      </w:r>
      <w:r>
        <w:rPr>
          <w:rFonts w:hint="eastAsia"/>
        </w:rPr>
        <w:t>）标准限值（</w:t>
      </w:r>
      <w:r>
        <w:t>≤</w:t>
      </w:r>
      <w:r>
        <w:rPr>
          <w:rFonts w:hint="eastAsia"/>
        </w:rPr>
        <w:t>55dB</w:t>
      </w:r>
      <w:r>
        <w:rPr>
          <w:rFonts w:hint="eastAsia"/>
        </w:rPr>
        <w:t>（</w:t>
      </w:r>
      <w:r>
        <w:rPr>
          <w:rFonts w:hint="eastAsia"/>
        </w:rPr>
        <w:t>A</w:t>
      </w:r>
      <w:r>
        <w:rPr>
          <w:rFonts w:hint="eastAsia"/>
        </w:rPr>
        <w:t>））。</w:t>
      </w:r>
    </w:p>
    <w:p w:rsidR="00BC07F0" w:rsidRDefault="00073EFB" w:rsidP="00C55F5E">
      <w:pPr>
        <w:ind w:firstLine="480"/>
      </w:pPr>
      <w:r>
        <w:rPr>
          <w:rFonts w:hint="eastAsia"/>
        </w:rPr>
        <w:t>（</w:t>
      </w:r>
      <w:r>
        <w:rPr>
          <w:rFonts w:hint="eastAsia"/>
        </w:rPr>
        <w:t>3</w:t>
      </w:r>
      <w:r>
        <w:rPr>
          <w:rFonts w:hint="eastAsia"/>
        </w:rPr>
        <w:t>）本项目距中心路线</w:t>
      </w:r>
      <w:r>
        <w:rPr>
          <w:rFonts w:hint="eastAsia"/>
        </w:rPr>
        <w:t>200m</w:t>
      </w:r>
      <w:r>
        <w:rPr>
          <w:rFonts w:hint="eastAsia"/>
        </w:rPr>
        <w:t>范围内分布有居民点等声环境敏感点，道路施工期的施工噪声将会对其造成不同程度的干扰影响，尤其是夜间施工噪声产生的影响更大。因此，施工单位由于其他因素必须在夜间进行施工时</w:t>
      </w:r>
      <w:r>
        <w:rPr>
          <w:rFonts w:hint="eastAsia"/>
        </w:rPr>
        <w:t>，应向</w:t>
      </w:r>
      <w:r>
        <w:rPr>
          <w:rFonts w:hint="eastAsia"/>
        </w:rPr>
        <w:t>衡阳</w:t>
      </w:r>
      <w:r>
        <w:rPr>
          <w:rFonts w:hint="eastAsia"/>
        </w:rPr>
        <w:t>市</w:t>
      </w:r>
      <w:r>
        <w:rPr>
          <w:rFonts w:hint="eastAsia"/>
        </w:rPr>
        <w:t>相关职能部门</w:t>
      </w:r>
      <w:r>
        <w:rPr>
          <w:rFonts w:hint="eastAsia"/>
        </w:rPr>
        <w:t>报批后，以告示的形式告知当地居民，并对施工现场采取临时围挡屏障等降噪措施，以减小夜间施工噪声对周围环境的影响。</w:t>
      </w:r>
    </w:p>
    <w:p w:rsidR="00BC07F0" w:rsidRDefault="00073EFB">
      <w:pPr>
        <w:widowControl/>
        <w:ind w:firstLine="482"/>
        <w:rPr>
          <w:color w:val="000000"/>
        </w:rPr>
      </w:pPr>
      <w:r>
        <w:rPr>
          <w:b/>
          <w:bCs/>
          <w:color w:val="000000"/>
          <w:kern w:val="0"/>
          <w:lang/>
        </w:rPr>
        <w:t>3</w:t>
      </w:r>
      <w:r>
        <w:rPr>
          <w:b/>
          <w:bCs/>
          <w:color w:val="000000"/>
          <w:kern w:val="0"/>
          <w:lang/>
        </w:rPr>
        <w:t>、施工期噪声污染防治措施</w:t>
      </w:r>
    </w:p>
    <w:p w:rsidR="00BC07F0" w:rsidRDefault="00073EFB" w:rsidP="00C55F5E">
      <w:pPr>
        <w:ind w:firstLine="480"/>
      </w:pPr>
      <w:r>
        <w:t>由于本项目与沿线敏感点距离较近，在不同施工阶段主要施工机械运行且未采取任何降噪措施的情况下，各施工阶段噪声影响比较大。沿线敏感点距离道路边界线较近，在未采取任何降噪措施的情况下，各施工阶段的噪声对环境敏感点声环境的影响较大。因此在施工期必须采取防噪措施，以减少施工噪声对敏感点的影响。</w:t>
      </w:r>
    </w:p>
    <w:p w:rsidR="00BC07F0" w:rsidRDefault="00073EFB" w:rsidP="00C55F5E">
      <w:pPr>
        <w:ind w:firstLine="480"/>
      </w:pPr>
      <w:r>
        <w:t>通过预测结果可知，项目施工期间部分施工设备所产生的噪声超过《建</w:t>
      </w:r>
      <w:r>
        <w:t>筑施工场界环境噪声排放标准》要求，为减小其噪声对周围环境的影响。建议建设单位从以下几方面着手，采取适当措施来减轻其噪声影响：</w:t>
      </w:r>
    </w:p>
    <w:p w:rsidR="00BC07F0" w:rsidRDefault="00073EFB" w:rsidP="00C55F5E">
      <w:pPr>
        <w:ind w:firstLine="480"/>
      </w:pPr>
      <w:r>
        <w:t>（</w:t>
      </w:r>
      <w:r>
        <w:t>1</w:t>
      </w:r>
      <w:r>
        <w:t>）施工场界设置不低于</w:t>
      </w:r>
      <w:r>
        <w:rPr>
          <w:rFonts w:hint="eastAsia"/>
        </w:rPr>
        <w:t>1.8</w:t>
      </w:r>
      <w:r>
        <w:t>m</w:t>
      </w:r>
      <w:r>
        <w:t>的围挡，一定程度上减少噪声对周边敏感点的不良影响。</w:t>
      </w:r>
    </w:p>
    <w:p w:rsidR="00BC07F0" w:rsidRDefault="00073EFB" w:rsidP="00C55F5E">
      <w:pPr>
        <w:ind w:firstLine="480"/>
      </w:pPr>
      <w:r>
        <w:t>（</w:t>
      </w:r>
      <w:r>
        <w:t>2</w:t>
      </w:r>
      <w:r>
        <w:t>）控制施工时间，项目位于居民较集中的路段，为保证居民夜间休息，施工安排在昼间</w:t>
      </w:r>
      <w:r>
        <w:t>6</w:t>
      </w:r>
      <w:r>
        <w:t>：</w:t>
      </w:r>
      <w:r>
        <w:t>00</w:t>
      </w:r>
      <w:r>
        <w:t>～</w:t>
      </w:r>
      <w:r>
        <w:t>12</w:t>
      </w:r>
      <w:r>
        <w:t>：</w:t>
      </w:r>
      <w:r>
        <w:t>00</w:t>
      </w:r>
      <w:r>
        <w:t>、</w:t>
      </w:r>
      <w:r>
        <w:t>14</w:t>
      </w:r>
      <w:r>
        <w:t>：</w:t>
      </w:r>
      <w:r>
        <w:t>00</w:t>
      </w:r>
      <w:r>
        <w:t>～</w:t>
      </w:r>
      <w:r>
        <w:t>22</w:t>
      </w:r>
      <w:r>
        <w:t>：</w:t>
      </w:r>
      <w:r>
        <w:t>00</w:t>
      </w:r>
      <w:r>
        <w:t>期间进行，中午及夜间休息时间禁止施工；若由于工程需要，确实要进行夜间连续施工的，在取得相应主管部门的批准后，通过现场公告等方式告知</w:t>
      </w:r>
      <w:r>
        <w:rPr>
          <w:rFonts w:hint="eastAsia"/>
        </w:rPr>
        <w:t>当地居民</w:t>
      </w:r>
      <w:r>
        <w:t>，同时加快项目的施工建设，尽可能缩短施工</w:t>
      </w:r>
      <w:r>
        <w:t>期，减小对以上敏感点的影响。</w:t>
      </w:r>
    </w:p>
    <w:p w:rsidR="00BC07F0" w:rsidRDefault="00073EFB" w:rsidP="00C55F5E">
      <w:pPr>
        <w:ind w:firstLine="480"/>
      </w:pPr>
      <w:r>
        <w:t>（</w:t>
      </w:r>
      <w:r>
        <w:t>3</w:t>
      </w:r>
      <w:r>
        <w:t>）尽量采用符合国家有关标准的低噪声的施工机械和运输车辆，振动较大的固定机械设备应加装减振机座，同时应注意对设备的养护和正确操作，尽量使筑路机械的噪声维持在最低声级水平。对强噪声施工机械采取临时性的噪声隔挡措施。高噪声的重型施工设备在以上环境敏感目标处限制使用。</w:t>
      </w:r>
    </w:p>
    <w:p w:rsidR="00BC07F0" w:rsidRDefault="00073EFB" w:rsidP="00C55F5E">
      <w:pPr>
        <w:ind w:firstLine="480"/>
      </w:pPr>
      <w:r>
        <w:lastRenderedPageBreak/>
        <w:t>（</w:t>
      </w:r>
      <w:r>
        <w:rPr>
          <w:rFonts w:hint="eastAsia"/>
        </w:rPr>
        <w:t>4</w:t>
      </w:r>
      <w:r>
        <w:t>）在施工中做到定点定时的监测，一旦发现环境敏感目标附近的噪声值超标，就应该尽快采取设置声屏障、木质隔声板等必要的防护措施，尽可能的降低施工噪声对环境的影响。</w:t>
      </w:r>
    </w:p>
    <w:p w:rsidR="00BC07F0" w:rsidRDefault="00073EFB" w:rsidP="00C55F5E">
      <w:pPr>
        <w:ind w:firstLine="480"/>
      </w:pPr>
      <w:r>
        <w:t>（</w:t>
      </w:r>
      <w:r>
        <w:rPr>
          <w:rFonts w:hint="eastAsia"/>
        </w:rPr>
        <w:t>5</w:t>
      </w:r>
      <w:r>
        <w:t>）使用预拌混凝土，不在现场进行混凝土的搅拌。</w:t>
      </w:r>
    </w:p>
    <w:p w:rsidR="00BC07F0" w:rsidRDefault="00073EFB" w:rsidP="00C55F5E">
      <w:pPr>
        <w:ind w:firstLine="480"/>
      </w:pPr>
      <w:r>
        <w:t>（</w:t>
      </w:r>
      <w:r>
        <w:rPr>
          <w:rFonts w:hint="eastAsia"/>
        </w:rPr>
        <w:t>6</w:t>
      </w:r>
      <w:r>
        <w:t>）加强对运输车辆的管理，按规定组织车辆运输，合理规定运输通道。</w:t>
      </w:r>
    </w:p>
    <w:p w:rsidR="00BC07F0" w:rsidRDefault="00073EFB" w:rsidP="00C55F5E">
      <w:pPr>
        <w:ind w:firstLine="480"/>
      </w:pPr>
      <w:r>
        <w:t>（</w:t>
      </w:r>
      <w:r>
        <w:rPr>
          <w:rFonts w:hint="eastAsia"/>
        </w:rPr>
        <w:t>7</w:t>
      </w:r>
      <w:r>
        <w:t>）筑路机械施工的噪声具有突发、无规则、不连续、高强度等特点。据调查和类比分析，施工现场噪声有时超出</w:t>
      </w:r>
      <w:r>
        <w:t>4</w:t>
      </w:r>
      <w:r>
        <w:t>类噪声标准，一般可采取施工方法变动措施加以缓解。如噪声源强大的作业可放在昼间或对各种施工机械操作时间作适当调整。施工期间的材料运输、敲击等作为施工活动的声源，要求承包商通过文明施工，加强有效管理加以缓解。昼间施工在必要时设置移动声屏障等环保措施。</w:t>
      </w:r>
    </w:p>
    <w:p w:rsidR="00BC07F0" w:rsidRDefault="00073EFB" w:rsidP="00C55F5E">
      <w:pPr>
        <w:ind w:firstLine="480"/>
      </w:pPr>
      <w:r>
        <w:t>本项目施工期在采取上述治理及控制措施后，各类机械设备的施工噪声能从影响程度、影响时间及影响强度等</w:t>
      </w:r>
      <w:r>
        <w:t>方面得以一定程度的削减，由于道路施工作业难以做到全封闭施工，因此本项目的建设施工仍将对周围环境造成一定的不利影响，但噪声属无残留污染，施工结束噪声污染也随之结束，周围声环境即可恢复至现状水平。因此建设单位和施工单位应对施工期的噪声污染防治引起重视，落实控制措施，尽可能将该影响控制在最低水平。</w:t>
      </w:r>
    </w:p>
    <w:p w:rsidR="00BC07F0" w:rsidRDefault="00073EFB" w:rsidP="00C55F5E">
      <w:pPr>
        <w:pStyle w:val="2"/>
        <w:ind w:firstLine="482"/>
      </w:pPr>
      <w:bookmarkStart w:id="131" w:name="_Toc23858"/>
      <w:bookmarkStart w:id="132" w:name="_Toc28352"/>
      <w:r>
        <w:t>4.2</w:t>
      </w:r>
      <w:r>
        <w:rPr>
          <w:rFonts w:hint="eastAsia"/>
        </w:rPr>
        <w:t>运营期声环境影响预测与评价</w:t>
      </w:r>
      <w:bookmarkEnd w:id="131"/>
      <w:bookmarkEnd w:id="132"/>
    </w:p>
    <w:p w:rsidR="00BC07F0" w:rsidRDefault="00073EFB">
      <w:pPr>
        <w:widowControl/>
        <w:ind w:firstLine="480"/>
        <w:rPr>
          <w:color w:val="000000"/>
          <w:kern w:val="0"/>
          <w:lang/>
        </w:rPr>
      </w:pPr>
      <w:r>
        <w:rPr>
          <w:rFonts w:hint="eastAsia"/>
          <w:color w:val="000000"/>
          <w:kern w:val="0"/>
          <w:lang/>
        </w:rPr>
        <w:t>湘江南路（白沙大道——前进路）</w:t>
      </w:r>
      <w:r>
        <w:rPr>
          <w:rFonts w:hint="eastAsia"/>
          <w:color w:val="000000"/>
          <w:kern w:val="0"/>
          <w:lang/>
        </w:rPr>
        <w:t>道路进入运营期后，对声环境的影响主要来自车辆行使产生的交通噪声，对噪声总体辐射水平的影响作出预测和评价，有助于制定合理的降噪措施，同时为沿线规划提供环保依</w:t>
      </w:r>
      <w:r>
        <w:rPr>
          <w:rFonts w:hint="eastAsia"/>
          <w:color w:val="000000"/>
          <w:kern w:val="0"/>
          <w:lang/>
        </w:rPr>
        <w:t>据。</w:t>
      </w:r>
    </w:p>
    <w:p w:rsidR="00BC07F0" w:rsidRDefault="00073EFB" w:rsidP="00C55F5E">
      <w:pPr>
        <w:pStyle w:val="3"/>
        <w:ind w:firstLine="482"/>
      </w:pPr>
      <w:bookmarkStart w:id="133" w:name="_Toc31863"/>
      <w:r>
        <w:t>4.2.1</w:t>
      </w:r>
      <w:r>
        <w:rPr>
          <w:rFonts w:hint="eastAsia"/>
        </w:rPr>
        <w:t>预测思路</w:t>
      </w:r>
      <w:bookmarkEnd w:id="133"/>
    </w:p>
    <w:p w:rsidR="00BC07F0" w:rsidRDefault="00073EFB" w:rsidP="00C55F5E">
      <w:pPr>
        <w:ind w:firstLine="480"/>
      </w:pPr>
      <w:r>
        <w:rPr>
          <w:rFonts w:hint="eastAsia"/>
        </w:rPr>
        <w:t>本项目为</w:t>
      </w:r>
      <w:r>
        <w:rPr>
          <w:rFonts w:hint="eastAsia"/>
        </w:rPr>
        <w:t>城市主干路建设</w:t>
      </w:r>
      <w:r>
        <w:rPr>
          <w:rFonts w:hint="eastAsia"/>
        </w:rPr>
        <w:t>项目，道路两侧敏感点受沿线现状道路的交通噪声影响较大，现状监测时背景值受现状相交道路影响较大。本评价采用</w:t>
      </w:r>
      <w:r>
        <w:rPr>
          <w:rFonts w:hint="eastAsia"/>
        </w:rPr>
        <w:t>道路建设</w:t>
      </w:r>
      <w:r>
        <w:rPr>
          <w:rFonts w:hint="eastAsia"/>
        </w:rPr>
        <w:t>后近期、中期、远期车流量进行噪声预测，以敏感点所受的噪声贡献值与背景噪声值叠加后的预测值作为评价量。</w:t>
      </w:r>
    </w:p>
    <w:p w:rsidR="00BC07F0" w:rsidRDefault="00073EFB" w:rsidP="00C55F5E">
      <w:pPr>
        <w:pStyle w:val="3"/>
        <w:ind w:firstLine="482"/>
      </w:pPr>
      <w:bookmarkStart w:id="134" w:name="_Toc1451"/>
      <w:r>
        <w:t>4.2.2</w:t>
      </w:r>
      <w:r>
        <w:rPr>
          <w:rFonts w:hint="eastAsia"/>
        </w:rPr>
        <w:t>预测内容</w:t>
      </w:r>
      <w:bookmarkEnd w:id="134"/>
    </w:p>
    <w:p w:rsidR="00BC07F0" w:rsidRDefault="00073EFB" w:rsidP="00C55F5E">
      <w:pPr>
        <w:ind w:firstLine="480"/>
      </w:pPr>
      <w:r>
        <w:rPr>
          <w:rFonts w:hint="eastAsia"/>
        </w:rPr>
        <w:t>根据《环境影响评价技术导则</w:t>
      </w:r>
      <w:r>
        <w:t>—</w:t>
      </w:r>
      <w:r>
        <w:rPr>
          <w:rFonts w:hint="eastAsia"/>
        </w:rPr>
        <w:t>声环境》（</w:t>
      </w:r>
      <w:r>
        <w:t>HJ2.4-20</w:t>
      </w:r>
      <w:r>
        <w:rPr>
          <w:rFonts w:hint="eastAsia"/>
        </w:rPr>
        <w:t>21</w:t>
      </w:r>
      <w:r>
        <w:rPr>
          <w:rFonts w:hint="eastAsia"/>
        </w:rPr>
        <w:t>）</w:t>
      </w:r>
      <w:r>
        <w:rPr>
          <w:rFonts w:hint="eastAsia"/>
        </w:rPr>
        <w:t>8.5</w:t>
      </w:r>
      <w:r>
        <w:rPr>
          <w:rFonts w:hint="eastAsia"/>
        </w:rPr>
        <w:t>，预测运营期各预测点的贡献值、预测值、预测值与现状噪声值的差值；按贡献值绘制代表性路段的等声级线图，分析敏感目标所受噪声影响的程度，确定噪声影响的范围；给</w:t>
      </w:r>
      <w:r>
        <w:rPr>
          <w:rFonts w:hint="eastAsia"/>
        </w:rPr>
        <w:lastRenderedPageBreak/>
        <w:t>出满足相应</w:t>
      </w:r>
      <w:r>
        <w:rPr>
          <w:rFonts w:hint="eastAsia"/>
        </w:rPr>
        <w:t>声功能区标准要求的距离。</w:t>
      </w:r>
    </w:p>
    <w:p w:rsidR="00BC07F0" w:rsidRDefault="00073EFB" w:rsidP="00C55F5E">
      <w:pPr>
        <w:pStyle w:val="3"/>
        <w:ind w:firstLine="482"/>
      </w:pPr>
      <w:bookmarkStart w:id="135" w:name="_Toc32373"/>
      <w:r>
        <w:rPr>
          <w:rFonts w:hint="eastAsia"/>
        </w:rPr>
        <w:t>4.2.3</w:t>
      </w:r>
      <w:r>
        <w:rPr>
          <w:rFonts w:hint="eastAsia"/>
        </w:rPr>
        <w:t>运营期噪声影响预测</w:t>
      </w:r>
      <w:bookmarkEnd w:id="135"/>
    </w:p>
    <w:p w:rsidR="00BC07F0" w:rsidRDefault="00073EFB" w:rsidP="00C55F5E">
      <w:pPr>
        <w:ind w:firstLine="480"/>
      </w:pPr>
      <w:r>
        <w:rPr>
          <w:rFonts w:hint="eastAsia"/>
        </w:rPr>
        <w:t>1</w:t>
      </w:r>
      <w:r>
        <w:rPr>
          <w:rFonts w:hint="eastAsia"/>
        </w:rPr>
        <w:t>、预测模式</w:t>
      </w:r>
    </w:p>
    <w:p w:rsidR="00BC07F0" w:rsidRDefault="00073EFB" w:rsidP="00C55F5E">
      <w:pPr>
        <w:ind w:firstLine="480"/>
      </w:pPr>
      <w:r>
        <w:rPr>
          <w:rFonts w:hint="eastAsia"/>
        </w:rPr>
        <w:t>根据本项目特点、沿线环境特征及工程设计的交通量等因素，选用《环境影响评价技术导则声环境》（</w:t>
      </w:r>
      <w:r>
        <w:rPr>
          <w:rFonts w:hint="eastAsia"/>
        </w:rPr>
        <w:t>HJ2.4</w:t>
      </w:r>
      <w:r>
        <w:rPr>
          <w:rFonts w:hint="eastAsia"/>
        </w:rPr>
        <w:t>—</w:t>
      </w:r>
      <w:r>
        <w:rPr>
          <w:rFonts w:hint="eastAsia"/>
        </w:rPr>
        <w:t>2021</w:t>
      </w:r>
      <w:r>
        <w:rPr>
          <w:rFonts w:hint="eastAsia"/>
        </w:rPr>
        <w:t>）中附录</w:t>
      </w:r>
      <w:r>
        <w:rPr>
          <w:rFonts w:hint="eastAsia"/>
        </w:rPr>
        <w:t>B</w:t>
      </w:r>
      <w:r>
        <w:rPr>
          <w:rFonts w:hint="eastAsia"/>
        </w:rPr>
        <w:t>中</w:t>
      </w:r>
      <w:r>
        <w:rPr>
          <w:rFonts w:hint="eastAsia"/>
        </w:rPr>
        <w:t>B.2.1.2</w:t>
      </w:r>
      <w:r>
        <w:rPr>
          <w:rFonts w:hint="eastAsia"/>
        </w:rPr>
        <w:t>推荐的“公路（道路）交通运输噪声预测模式”。部分参数的计算参照《公路建设项目环境影响评价规范（试行）》（</w:t>
      </w:r>
      <w:r>
        <w:rPr>
          <w:rFonts w:hint="eastAsia"/>
        </w:rPr>
        <w:t>JTGB03-2006</w:t>
      </w:r>
      <w:r>
        <w:rPr>
          <w:rFonts w:hint="eastAsia"/>
        </w:rPr>
        <w:t>）推荐的计算方式进行。</w:t>
      </w:r>
    </w:p>
    <w:p w:rsidR="00BC07F0" w:rsidRDefault="00073EFB" w:rsidP="00C55F5E">
      <w:pPr>
        <w:ind w:firstLine="480"/>
      </w:pPr>
      <w:r>
        <w:rPr>
          <w:rFonts w:hint="eastAsia"/>
        </w:rPr>
        <w:t>（</w:t>
      </w:r>
      <w:r>
        <w:rPr>
          <w:rFonts w:hint="eastAsia"/>
        </w:rPr>
        <w:t>1</w:t>
      </w:r>
      <w:r>
        <w:rPr>
          <w:rFonts w:hint="eastAsia"/>
        </w:rPr>
        <w:t>）基本预测模型</w:t>
      </w:r>
    </w:p>
    <w:p w:rsidR="00BC07F0" w:rsidRDefault="00073EFB" w:rsidP="00C55F5E">
      <w:pPr>
        <w:ind w:firstLine="480"/>
      </w:pPr>
      <w:r>
        <w:rPr>
          <w:rFonts w:hint="eastAsia"/>
        </w:rPr>
        <w:t>1</w:t>
      </w:r>
      <w:r>
        <w:rPr>
          <w:rFonts w:hint="eastAsia"/>
        </w:rPr>
        <w:t>）第</w:t>
      </w:r>
      <w:r>
        <w:rPr>
          <w:rFonts w:hint="eastAsia"/>
        </w:rPr>
        <w:t>i</w:t>
      </w:r>
      <w:r>
        <w:rPr>
          <w:rFonts w:hint="eastAsia"/>
        </w:rPr>
        <w:t>类车等效声级的预测密室</w:t>
      </w:r>
    </w:p>
    <w:p w:rsidR="00BC07F0" w:rsidRDefault="00BC07F0" w:rsidP="00C55F5E">
      <w:pPr>
        <w:widowControl/>
        <w:ind w:firstLine="480"/>
        <w:jc w:val="center"/>
        <w:rPr>
          <w:color w:val="000000"/>
          <w:kern w:val="0"/>
          <w:lang/>
        </w:rPr>
      </w:pPr>
      <w:r w:rsidRPr="00BC07F0">
        <w:rPr>
          <w:rFonts w:hint="eastAsia"/>
          <w:color w:val="000000"/>
          <w:kern w:val="0"/>
          <w:position w:val="-30"/>
          <w:lang/>
        </w:rPr>
        <w:object w:dxaOrig="6500" w:dyaOrig="700">
          <v:shape id="_x0000_i1029" type="#_x0000_t75" style="width:325.15pt;height:34.85pt" o:ole="">
            <v:imagedata r:id="rId46" o:title=""/>
          </v:shape>
          <o:OLEObject Type="Embed" ProgID="Equations" ShapeID="_x0000_i1029" DrawAspect="Content" ObjectID="_1746346133" r:id="rId47"/>
        </w:object>
      </w:r>
    </w:p>
    <w:p w:rsidR="00BC07F0" w:rsidRDefault="00073EFB">
      <w:pPr>
        <w:widowControl/>
        <w:ind w:firstLine="480"/>
        <w:rPr>
          <w:color w:val="000000"/>
          <w:kern w:val="0"/>
          <w:lang/>
        </w:rPr>
      </w:pPr>
      <w:r>
        <w:rPr>
          <w:rFonts w:hint="eastAsia"/>
          <w:color w:val="000000"/>
          <w:kern w:val="0"/>
          <w:lang/>
        </w:rPr>
        <w:t>式中：</w:t>
      </w:r>
    </w:p>
    <w:p w:rsidR="00BC07F0" w:rsidRDefault="00073EFB">
      <w:pPr>
        <w:widowControl/>
        <w:ind w:firstLine="480"/>
        <w:rPr>
          <w:color w:val="000000"/>
          <w:kern w:val="0"/>
          <w:lang/>
        </w:rPr>
      </w:pPr>
      <w:r>
        <w:rPr>
          <w:rFonts w:hint="eastAsia"/>
          <w:color w:val="000000"/>
          <w:kern w:val="0"/>
          <w:lang/>
        </w:rPr>
        <w:t>L</w:t>
      </w:r>
      <w:r>
        <w:rPr>
          <w:rFonts w:hint="eastAsia"/>
          <w:color w:val="000000"/>
          <w:kern w:val="0"/>
          <w:vertAlign w:val="subscript"/>
          <w:lang/>
        </w:rPr>
        <w:t>eq</w:t>
      </w:r>
      <w:r>
        <w:rPr>
          <w:rFonts w:hint="eastAsia"/>
          <w:color w:val="000000"/>
          <w:kern w:val="0"/>
          <w:lang/>
        </w:rPr>
        <w:t>(h)</w:t>
      </w:r>
      <w:r>
        <w:rPr>
          <w:rFonts w:hint="eastAsia"/>
          <w:color w:val="000000"/>
          <w:kern w:val="0"/>
          <w:vertAlign w:val="subscript"/>
          <w:lang/>
        </w:rPr>
        <w:t>i</w:t>
      </w:r>
      <w:r>
        <w:rPr>
          <w:color w:val="000000"/>
          <w:kern w:val="0"/>
          <w:lang/>
        </w:rPr>
        <w:t>——</w:t>
      </w:r>
      <w:r>
        <w:rPr>
          <w:rFonts w:hint="eastAsia"/>
          <w:color w:val="000000"/>
          <w:kern w:val="0"/>
          <w:lang/>
        </w:rPr>
        <w:t>第</w:t>
      </w:r>
      <w:r>
        <w:rPr>
          <w:rFonts w:hint="eastAsia"/>
          <w:color w:val="000000"/>
          <w:kern w:val="0"/>
          <w:lang/>
        </w:rPr>
        <w:t>i</w:t>
      </w:r>
      <w:r>
        <w:rPr>
          <w:rFonts w:hint="eastAsia"/>
          <w:color w:val="000000"/>
          <w:kern w:val="0"/>
          <w:lang/>
        </w:rPr>
        <w:t>类车的小时等效声级，</w:t>
      </w:r>
      <w:r>
        <w:rPr>
          <w:rFonts w:hint="eastAsia"/>
          <w:color w:val="000000"/>
          <w:kern w:val="0"/>
          <w:lang/>
        </w:rPr>
        <w:t>dB</w:t>
      </w:r>
      <w:r>
        <w:rPr>
          <w:rFonts w:hint="eastAsia"/>
          <w:color w:val="000000"/>
          <w:kern w:val="0"/>
          <w:lang/>
        </w:rPr>
        <w:t>（</w:t>
      </w:r>
      <w:r>
        <w:rPr>
          <w:rFonts w:hint="eastAsia"/>
          <w:color w:val="000000"/>
          <w:kern w:val="0"/>
          <w:lang/>
        </w:rPr>
        <w:t>A</w:t>
      </w:r>
      <w:r>
        <w:rPr>
          <w:rFonts w:hint="eastAsia"/>
          <w:color w:val="000000"/>
          <w:kern w:val="0"/>
          <w:lang/>
        </w:rPr>
        <w:t>）；</w:t>
      </w:r>
    </w:p>
    <w:p w:rsidR="00BC07F0" w:rsidRDefault="00BC07F0" w:rsidP="00C55F5E">
      <w:pPr>
        <w:widowControl/>
        <w:ind w:firstLine="480"/>
        <w:rPr>
          <w:color w:val="000000"/>
          <w:kern w:val="0"/>
          <w:lang/>
        </w:rPr>
      </w:pPr>
      <w:r w:rsidRPr="00BC07F0">
        <w:rPr>
          <w:rFonts w:hint="eastAsia"/>
          <w:spacing w:val="4"/>
        </w:rPr>
        <w:object w:dxaOrig="644" w:dyaOrig="403">
          <v:shape id="_x0000_i1030" type="#_x0000_t75" style="width:32pt;height:20pt" o:ole="">
            <v:imagedata r:id="rId48" o:title=""/>
          </v:shape>
          <o:OLEObject Type="Embed" ProgID="Equations" ShapeID="_x0000_i1030" DrawAspect="Content" ObjectID="_1746346134" r:id="rId49"/>
        </w:object>
      </w:r>
      <w:r w:rsidR="00073EFB">
        <w:rPr>
          <w:color w:val="000000"/>
          <w:kern w:val="0"/>
          <w:lang/>
        </w:rPr>
        <w:t>——</w:t>
      </w:r>
      <w:r w:rsidR="00073EFB">
        <w:rPr>
          <w:rFonts w:hint="eastAsia"/>
          <w:color w:val="000000"/>
          <w:kern w:val="0"/>
          <w:lang/>
        </w:rPr>
        <w:t>第</w:t>
      </w:r>
      <w:r w:rsidR="00073EFB">
        <w:rPr>
          <w:rFonts w:hint="eastAsia"/>
          <w:color w:val="000000"/>
          <w:kern w:val="0"/>
          <w:lang/>
        </w:rPr>
        <w:t>i</w:t>
      </w:r>
      <w:r w:rsidR="00073EFB">
        <w:rPr>
          <w:rFonts w:hint="eastAsia"/>
          <w:color w:val="000000"/>
          <w:kern w:val="0"/>
          <w:lang/>
        </w:rPr>
        <w:t>类车速度为</w:t>
      </w:r>
      <w:r w:rsidR="00073EFB">
        <w:rPr>
          <w:rFonts w:hint="eastAsia"/>
          <w:color w:val="000000"/>
          <w:kern w:val="0"/>
          <w:lang/>
        </w:rPr>
        <w:t>Vi</w:t>
      </w:r>
      <w:r w:rsidR="00073EFB">
        <w:rPr>
          <w:rFonts w:hint="eastAsia"/>
          <w:color w:val="000000"/>
          <w:kern w:val="0"/>
          <w:lang/>
        </w:rPr>
        <w:t>，</w:t>
      </w:r>
      <w:r w:rsidR="00073EFB">
        <w:rPr>
          <w:rFonts w:hint="eastAsia"/>
          <w:color w:val="000000"/>
          <w:kern w:val="0"/>
          <w:lang/>
        </w:rPr>
        <w:t>km/h</w:t>
      </w:r>
      <w:r w:rsidR="00073EFB">
        <w:rPr>
          <w:rFonts w:hint="eastAsia"/>
          <w:color w:val="000000"/>
          <w:kern w:val="0"/>
          <w:lang/>
        </w:rPr>
        <w:t>；水平距离为</w:t>
      </w:r>
      <w:r w:rsidR="00073EFB">
        <w:rPr>
          <w:rFonts w:hint="eastAsia"/>
          <w:color w:val="000000"/>
          <w:kern w:val="0"/>
          <w:lang/>
        </w:rPr>
        <w:t>7.5m</w:t>
      </w:r>
      <w:r w:rsidR="00073EFB">
        <w:rPr>
          <w:rFonts w:hint="eastAsia"/>
          <w:color w:val="000000"/>
          <w:kern w:val="0"/>
          <w:lang/>
        </w:rPr>
        <w:t>处的能量平均</w:t>
      </w:r>
      <w:r w:rsidR="00073EFB">
        <w:rPr>
          <w:rFonts w:hint="eastAsia"/>
          <w:color w:val="000000"/>
          <w:kern w:val="0"/>
          <w:lang/>
        </w:rPr>
        <w:t>A</w:t>
      </w:r>
      <w:r w:rsidR="00073EFB">
        <w:rPr>
          <w:rFonts w:hint="eastAsia"/>
          <w:color w:val="000000"/>
          <w:kern w:val="0"/>
          <w:lang/>
        </w:rPr>
        <w:t>声级，</w:t>
      </w:r>
      <w:r w:rsidR="00073EFB">
        <w:rPr>
          <w:rFonts w:hint="eastAsia"/>
          <w:color w:val="000000"/>
          <w:kern w:val="0"/>
          <w:lang/>
        </w:rPr>
        <w:t>dB(A)</w:t>
      </w:r>
      <w:r w:rsidR="00073EFB">
        <w:rPr>
          <w:rFonts w:hint="eastAsia"/>
          <w:color w:val="000000"/>
          <w:kern w:val="0"/>
          <w:lang/>
        </w:rPr>
        <w:t>；</w:t>
      </w:r>
    </w:p>
    <w:p w:rsidR="00BC07F0" w:rsidRDefault="00073EFB">
      <w:pPr>
        <w:widowControl/>
        <w:ind w:firstLine="480"/>
        <w:rPr>
          <w:color w:val="000000"/>
          <w:kern w:val="0"/>
          <w:lang/>
        </w:rPr>
      </w:pPr>
      <w:r>
        <w:rPr>
          <w:rFonts w:hint="eastAsia"/>
          <w:color w:val="000000"/>
          <w:kern w:val="0"/>
          <w:lang/>
        </w:rPr>
        <w:t>N</w:t>
      </w:r>
      <w:r>
        <w:rPr>
          <w:rFonts w:hint="eastAsia"/>
          <w:color w:val="000000"/>
          <w:kern w:val="0"/>
          <w:vertAlign w:val="subscript"/>
          <w:lang/>
        </w:rPr>
        <w:t>i</w:t>
      </w:r>
      <w:r>
        <w:rPr>
          <w:color w:val="000000"/>
          <w:kern w:val="0"/>
          <w:lang/>
        </w:rPr>
        <w:t>——</w:t>
      </w:r>
      <w:r>
        <w:rPr>
          <w:rFonts w:hint="eastAsia"/>
          <w:color w:val="000000"/>
          <w:kern w:val="0"/>
          <w:lang/>
        </w:rPr>
        <w:t>昼间、夜间通过某个预测点的第</w:t>
      </w:r>
      <w:r>
        <w:rPr>
          <w:rFonts w:hint="eastAsia"/>
          <w:color w:val="000000"/>
          <w:kern w:val="0"/>
          <w:lang/>
        </w:rPr>
        <w:t>I</w:t>
      </w:r>
      <w:r>
        <w:rPr>
          <w:rFonts w:hint="eastAsia"/>
          <w:color w:val="000000"/>
          <w:kern w:val="0"/>
          <w:lang/>
        </w:rPr>
        <w:t>类车平均小时车流量，辆</w:t>
      </w:r>
      <w:r>
        <w:rPr>
          <w:rFonts w:hint="eastAsia"/>
          <w:color w:val="000000"/>
          <w:kern w:val="0"/>
          <w:lang/>
        </w:rPr>
        <w:t>/h</w:t>
      </w:r>
      <w:r>
        <w:rPr>
          <w:rFonts w:hint="eastAsia"/>
          <w:color w:val="000000"/>
          <w:kern w:val="0"/>
          <w:lang/>
        </w:rPr>
        <w:t>；</w:t>
      </w:r>
    </w:p>
    <w:p w:rsidR="00BC07F0" w:rsidRDefault="00073EFB">
      <w:pPr>
        <w:widowControl/>
        <w:ind w:firstLine="480"/>
        <w:rPr>
          <w:color w:val="000000"/>
          <w:kern w:val="0"/>
          <w:lang/>
        </w:rPr>
      </w:pPr>
      <w:r>
        <w:rPr>
          <w:rFonts w:hint="eastAsia"/>
          <w:color w:val="000000"/>
          <w:kern w:val="0"/>
          <w:lang/>
        </w:rPr>
        <w:t>V</w:t>
      </w:r>
      <w:r>
        <w:rPr>
          <w:rFonts w:hint="eastAsia"/>
          <w:color w:val="000000"/>
          <w:kern w:val="0"/>
          <w:vertAlign w:val="subscript"/>
          <w:lang/>
        </w:rPr>
        <w:t>i</w:t>
      </w:r>
      <w:r>
        <w:rPr>
          <w:rFonts w:hint="eastAsia"/>
          <w:color w:val="000000"/>
          <w:kern w:val="0"/>
          <w:lang/>
        </w:rPr>
        <w:t>——第</w:t>
      </w:r>
      <w:r>
        <w:rPr>
          <w:rFonts w:hint="eastAsia"/>
          <w:color w:val="000000"/>
          <w:kern w:val="0"/>
          <w:lang/>
        </w:rPr>
        <w:t>I</w:t>
      </w:r>
      <w:r>
        <w:rPr>
          <w:rFonts w:hint="eastAsia"/>
          <w:color w:val="000000"/>
          <w:kern w:val="0"/>
          <w:lang/>
        </w:rPr>
        <w:t>类车平均车速，</w:t>
      </w:r>
      <w:r>
        <w:rPr>
          <w:rFonts w:hint="eastAsia"/>
          <w:color w:val="000000"/>
          <w:kern w:val="0"/>
          <w:lang/>
        </w:rPr>
        <w:t>km/h</w:t>
      </w:r>
      <w:r>
        <w:rPr>
          <w:rFonts w:hint="eastAsia"/>
          <w:color w:val="000000"/>
          <w:kern w:val="0"/>
          <w:lang/>
        </w:rPr>
        <w:t>；</w:t>
      </w:r>
    </w:p>
    <w:p w:rsidR="00BC07F0" w:rsidRDefault="00073EFB">
      <w:pPr>
        <w:widowControl/>
        <w:ind w:firstLine="480"/>
        <w:rPr>
          <w:color w:val="000000"/>
          <w:kern w:val="0"/>
          <w:lang/>
        </w:rPr>
      </w:pPr>
      <w:r>
        <w:rPr>
          <w:rFonts w:hint="eastAsia"/>
          <w:color w:val="000000"/>
          <w:kern w:val="0"/>
          <w:lang/>
        </w:rPr>
        <w:t>T</w:t>
      </w:r>
      <w:r>
        <w:rPr>
          <w:rFonts w:hint="eastAsia"/>
          <w:color w:val="000000"/>
          <w:kern w:val="0"/>
          <w:lang/>
        </w:rPr>
        <w:t>——计算等效声级的时间，</w:t>
      </w:r>
      <w:r>
        <w:rPr>
          <w:rFonts w:hint="eastAsia"/>
          <w:color w:val="000000"/>
          <w:kern w:val="0"/>
          <w:lang/>
        </w:rPr>
        <w:t>1h</w:t>
      </w:r>
      <w:r>
        <w:rPr>
          <w:rFonts w:hint="eastAsia"/>
          <w:color w:val="000000"/>
          <w:kern w:val="0"/>
          <w:lang/>
        </w:rPr>
        <w:t>；</w:t>
      </w:r>
    </w:p>
    <w:p w:rsidR="00BC07F0" w:rsidRDefault="00073EFB">
      <w:pPr>
        <w:widowControl/>
        <w:ind w:firstLine="480"/>
        <w:rPr>
          <w:color w:val="000000"/>
          <w:kern w:val="0"/>
          <w:lang/>
        </w:rPr>
      </w:pPr>
      <w:r>
        <w:rPr>
          <w:rFonts w:ascii="宋体" w:hAnsi="宋体" w:cs="宋体" w:hint="eastAsia"/>
          <w:color w:val="000000"/>
          <w:kern w:val="0"/>
          <w:lang/>
        </w:rPr>
        <w:t>△</w:t>
      </w:r>
      <w:r>
        <w:rPr>
          <w:rFonts w:hint="eastAsia"/>
          <w:color w:val="000000"/>
          <w:kern w:val="0"/>
          <w:lang/>
        </w:rPr>
        <w:t>L</w:t>
      </w:r>
      <w:r>
        <w:rPr>
          <w:rFonts w:hint="eastAsia"/>
          <w:color w:val="000000"/>
          <w:kern w:val="0"/>
          <w:lang/>
        </w:rPr>
        <w:t>——距离衰减量，</w:t>
      </w:r>
      <w:r>
        <w:rPr>
          <w:rFonts w:hint="eastAsia"/>
          <w:color w:val="000000"/>
          <w:kern w:val="0"/>
          <w:lang/>
        </w:rPr>
        <w:t>dB</w:t>
      </w:r>
      <w:r>
        <w:rPr>
          <w:rFonts w:hint="eastAsia"/>
          <w:color w:val="000000"/>
          <w:kern w:val="0"/>
          <w:lang/>
        </w:rPr>
        <w:t>（</w:t>
      </w:r>
      <w:r>
        <w:rPr>
          <w:rFonts w:hint="eastAsia"/>
          <w:color w:val="000000"/>
          <w:kern w:val="0"/>
          <w:lang/>
        </w:rPr>
        <w:t>A</w:t>
      </w:r>
      <w:r>
        <w:rPr>
          <w:rFonts w:hint="eastAsia"/>
          <w:color w:val="000000"/>
          <w:kern w:val="0"/>
          <w:lang/>
        </w:rPr>
        <w:t>），小时车流量大于等于</w:t>
      </w:r>
      <w:r>
        <w:rPr>
          <w:rFonts w:hint="eastAsia"/>
          <w:color w:val="000000"/>
          <w:kern w:val="0"/>
          <w:lang/>
        </w:rPr>
        <w:t>300</w:t>
      </w:r>
      <w:r>
        <w:rPr>
          <w:rFonts w:hint="eastAsia"/>
          <w:color w:val="000000"/>
          <w:kern w:val="0"/>
          <w:lang/>
        </w:rPr>
        <w:t>辆</w:t>
      </w:r>
      <w:r>
        <w:rPr>
          <w:rFonts w:hint="eastAsia"/>
          <w:color w:val="000000"/>
          <w:kern w:val="0"/>
          <w:lang/>
        </w:rPr>
        <w:t>/</w:t>
      </w:r>
      <w:r>
        <w:rPr>
          <w:rFonts w:hint="eastAsia"/>
          <w:color w:val="000000"/>
          <w:kern w:val="0"/>
          <w:lang/>
        </w:rPr>
        <w:t>小时：</w:t>
      </w:r>
      <w:r>
        <w:rPr>
          <w:rFonts w:ascii="宋体" w:hAnsi="宋体" w:cs="宋体" w:hint="eastAsia"/>
          <w:color w:val="000000"/>
          <w:kern w:val="0"/>
          <w:lang/>
        </w:rPr>
        <w:t>△</w:t>
      </w:r>
      <w:r>
        <w:rPr>
          <w:rFonts w:hint="eastAsia"/>
          <w:color w:val="000000"/>
          <w:kern w:val="0"/>
          <w:lang/>
        </w:rPr>
        <w:t>L</w:t>
      </w:r>
      <w:r>
        <w:rPr>
          <w:rFonts w:hint="eastAsia"/>
          <w:color w:val="000000"/>
          <w:kern w:val="0"/>
          <w:vertAlign w:val="subscript"/>
          <w:lang/>
        </w:rPr>
        <w:t>距离</w:t>
      </w:r>
      <w:r>
        <w:rPr>
          <w:rFonts w:hint="eastAsia"/>
          <w:color w:val="000000"/>
          <w:kern w:val="0"/>
          <w:lang/>
        </w:rPr>
        <w:t>=10lg</w:t>
      </w:r>
      <w:r>
        <w:rPr>
          <w:rFonts w:hint="eastAsia"/>
          <w:color w:val="000000"/>
          <w:kern w:val="0"/>
          <w:lang/>
        </w:rPr>
        <w:t>（</w:t>
      </w:r>
      <w:r>
        <w:rPr>
          <w:rFonts w:hint="eastAsia"/>
          <w:color w:val="000000"/>
          <w:kern w:val="0"/>
          <w:lang/>
        </w:rPr>
        <w:t>7.5/r</w:t>
      </w:r>
      <w:r>
        <w:rPr>
          <w:rFonts w:hint="eastAsia"/>
          <w:color w:val="000000"/>
          <w:kern w:val="0"/>
          <w:lang/>
        </w:rPr>
        <w:t>），小时车流量小于</w:t>
      </w:r>
      <w:r>
        <w:rPr>
          <w:rFonts w:hint="eastAsia"/>
          <w:color w:val="000000"/>
          <w:kern w:val="0"/>
          <w:lang/>
        </w:rPr>
        <w:t>300</w:t>
      </w:r>
      <w:r>
        <w:rPr>
          <w:rFonts w:hint="eastAsia"/>
          <w:color w:val="000000"/>
          <w:kern w:val="0"/>
          <w:lang/>
        </w:rPr>
        <w:t>辆</w:t>
      </w:r>
      <w:r>
        <w:rPr>
          <w:rFonts w:hint="eastAsia"/>
          <w:color w:val="000000"/>
          <w:kern w:val="0"/>
          <w:lang/>
        </w:rPr>
        <w:t>/</w:t>
      </w:r>
      <w:r>
        <w:rPr>
          <w:rFonts w:hint="eastAsia"/>
          <w:color w:val="000000"/>
          <w:kern w:val="0"/>
          <w:lang/>
        </w:rPr>
        <w:t>小时：</w:t>
      </w:r>
      <w:r>
        <w:rPr>
          <w:rFonts w:ascii="宋体" w:hAnsi="宋体" w:cs="宋体" w:hint="eastAsia"/>
          <w:color w:val="000000"/>
          <w:kern w:val="0"/>
          <w:lang/>
        </w:rPr>
        <w:t>△</w:t>
      </w:r>
      <w:r>
        <w:rPr>
          <w:rFonts w:hint="eastAsia"/>
          <w:color w:val="000000"/>
          <w:kern w:val="0"/>
          <w:lang/>
        </w:rPr>
        <w:t>L</w:t>
      </w:r>
      <w:r>
        <w:rPr>
          <w:rFonts w:hint="eastAsia"/>
          <w:color w:val="000000"/>
          <w:kern w:val="0"/>
          <w:vertAlign w:val="subscript"/>
          <w:lang/>
        </w:rPr>
        <w:t>距离</w:t>
      </w:r>
      <w:r>
        <w:rPr>
          <w:rFonts w:hint="eastAsia"/>
          <w:color w:val="000000"/>
          <w:kern w:val="0"/>
          <w:lang/>
        </w:rPr>
        <w:t>=15lg</w:t>
      </w:r>
      <w:r>
        <w:rPr>
          <w:rFonts w:hint="eastAsia"/>
          <w:color w:val="000000"/>
          <w:kern w:val="0"/>
          <w:lang/>
        </w:rPr>
        <w:t>（</w:t>
      </w:r>
      <w:r>
        <w:rPr>
          <w:rFonts w:hint="eastAsia"/>
          <w:color w:val="000000"/>
          <w:kern w:val="0"/>
          <w:lang/>
        </w:rPr>
        <w:t>7.5/r</w:t>
      </w:r>
      <w:r>
        <w:rPr>
          <w:rFonts w:hint="eastAsia"/>
          <w:color w:val="000000"/>
          <w:kern w:val="0"/>
          <w:lang/>
        </w:rPr>
        <w:t>）；</w:t>
      </w:r>
    </w:p>
    <w:p w:rsidR="00BC07F0" w:rsidRDefault="00073EFB">
      <w:pPr>
        <w:widowControl/>
        <w:ind w:firstLine="480"/>
        <w:rPr>
          <w:color w:val="000000"/>
          <w:kern w:val="0"/>
          <w:lang/>
        </w:rPr>
      </w:pPr>
      <w:r>
        <w:rPr>
          <w:rFonts w:hint="eastAsia"/>
          <w:color w:val="000000"/>
          <w:kern w:val="0"/>
          <w:lang/>
        </w:rPr>
        <w:t>r</w:t>
      </w:r>
      <w:r>
        <w:rPr>
          <w:color w:val="000000"/>
          <w:kern w:val="0"/>
          <w:lang/>
        </w:rPr>
        <w:t>——</w:t>
      </w:r>
      <w:r>
        <w:rPr>
          <w:rFonts w:hint="eastAsia"/>
          <w:color w:val="000000"/>
          <w:kern w:val="0"/>
          <w:lang/>
        </w:rPr>
        <w:t>从车道中心线到预测点的距离，</w:t>
      </w:r>
      <w:r>
        <w:rPr>
          <w:rFonts w:hint="eastAsia"/>
          <w:color w:val="000000"/>
          <w:kern w:val="0"/>
          <w:lang/>
        </w:rPr>
        <w:t>m</w:t>
      </w:r>
      <w:r>
        <w:rPr>
          <w:rFonts w:hint="eastAsia"/>
          <w:color w:val="000000"/>
          <w:kern w:val="0"/>
          <w:lang/>
        </w:rPr>
        <w:t>；</w:t>
      </w:r>
      <w:r>
        <w:rPr>
          <w:rFonts w:hint="eastAsia"/>
          <w:color w:val="000000"/>
          <w:kern w:val="0"/>
          <w:lang/>
        </w:rPr>
        <w:t>适用于</w:t>
      </w:r>
      <w:r>
        <w:rPr>
          <w:rFonts w:hint="eastAsia"/>
          <w:color w:val="000000"/>
          <w:kern w:val="0"/>
          <w:lang/>
        </w:rPr>
        <w:t>r</w:t>
      </w:r>
      <w:r>
        <w:rPr>
          <w:rFonts w:hint="eastAsia"/>
          <w:color w:val="000000"/>
          <w:kern w:val="0"/>
          <w:lang/>
        </w:rPr>
        <w:t>＞</w:t>
      </w:r>
      <w:r>
        <w:rPr>
          <w:rFonts w:hint="eastAsia"/>
          <w:color w:val="000000"/>
          <w:kern w:val="0"/>
          <w:lang/>
        </w:rPr>
        <w:t>7.5m</w:t>
      </w:r>
      <w:r>
        <w:rPr>
          <w:rFonts w:hint="eastAsia"/>
          <w:color w:val="000000"/>
          <w:kern w:val="0"/>
          <w:lang/>
        </w:rPr>
        <w:t>预测点的噪声预测；</w:t>
      </w:r>
    </w:p>
    <w:p w:rsidR="00BC07F0" w:rsidRDefault="00073EFB">
      <w:pPr>
        <w:widowControl/>
        <w:ind w:firstLine="480"/>
        <w:rPr>
          <w:rFonts w:ascii="宋体" w:hAnsi="宋体" w:cs="宋体"/>
          <w:color w:val="000000"/>
          <w:kern w:val="0"/>
          <w:lang/>
        </w:rPr>
      </w:pPr>
      <w:r>
        <w:rPr>
          <w:color w:val="000000"/>
          <w:kern w:val="0"/>
          <w:lang/>
        </w:rPr>
        <w:t>Ψ</w:t>
      </w:r>
      <w:r>
        <w:rPr>
          <w:color w:val="000000"/>
          <w:kern w:val="0"/>
          <w:vertAlign w:val="subscript"/>
          <w:lang/>
        </w:rPr>
        <w:t>1</w:t>
      </w:r>
      <w:r>
        <w:rPr>
          <w:color w:val="000000"/>
          <w:kern w:val="0"/>
          <w:lang/>
        </w:rPr>
        <w:t>、</w:t>
      </w:r>
      <w:r>
        <w:rPr>
          <w:color w:val="000000"/>
          <w:kern w:val="0"/>
          <w:lang/>
        </w:rPr>
        <w:t>Ψ</w:t>
      </w:r>
      <w:r>
        <w:rPr>
          <w:color w:val="000000"/>
          <w:kern w:val="0"/>
          <w:vertAlign w:val="subscript"/>
          <w:lang/>
        </w:rPr>
        <w:t>2</w:t>
      </w:r>
      <w:r>
        <w:rPr>
          <w:color w:val="000000"/>
          <w:kern w:val="0"/>
          <w:lang/>
        </w:rPr>
        <w:t>——</w:t>
      </w:r>
      <w:r>
        <w:rPr>
          <w:color w:val="000000"/>
          <w:kern w:val="0"/>
          <w:lang/>
        </w:rPr>
        <w:t>预测点到有限长路段两端的张角，弧度，见图</w:t>
      </w:r>
      <w:r>
        <w:rPr>
          <w:rFonts w:hint="eastAsia"/>
          <w:color w:val="000000"/>
          <w:kern w:val="0"/>
          <w:lang/>
        </w:rPr>
        <w:t>4</w:t>
      </w:r>
      <w:r>
        <w:rPr>
          <w:color w:val="000000"/>
          <w:kern w:val="0"/>
          <w:lang/>
        </w:rPr>
        <w:t>-1</w:t>
      </w:r>
      <w:r>
        <w:rPr>
          <w:color w:val="000000"/>
          <w:kern w:val="0"/>
          <w:lang/>
        </w:rPr>
        <w:t>所示；</w:t>
      </w:r>
    </w:p>
    <w:p w:rsidR="00BC07F0" w:rsidRDefault="00073EFB" w:rsidP="00C55F5E">
      <w:pPr>
        <w:widowControl/>
        <w:ind w:firstLine="480"/>
        <w:jc w:val="center"/>
        <w:rPr>
          <w:color w:val="000000"/>
          <w:kern w:val="0"/>
          <w:lang/>
        </w:rPr>
      </w:pPr>
      <w:r>
        <w:rPr>
          <w:noProof/>
          <w:color w:val="FF0000"/>
        </w:rPr>
        <w:drawing>
          <wp:inline distT="0" distB="0" distL="114300" distR="114300">
            <wp:extent cx="2421890" cy="1054100"/>
            <wp:effectExtent l="0" t="0" r="16510" b="1270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50" cstate="print"/>
                    <a:srcRect t="13725"/>
                    <a:stretch>
                      <a:fillRect/>
                    </a:stretch>
                  </pic:blipFill>
                  <pic:spPr>
                    <a:xfrm>
                      <a:off x="0" y="0"/>
                      <a:ext cx="2421890" cy="1054100"/>
                    </a:xfrm>
                    <a:prstGeom prst="rect">
                      <a:avLst/>
                    </a:prstGeom>
                    <a:noFill/>
                    <a:ln>
                      <a:noFill/>
                    </a:ln>
                  </pic:spPr>
                </pic:pic>
              </a:graphicData>
            </a:graphic>
          </wp:inline>
        </w:drawing>
      </w:r>
    </w:p>
    <w:p w:rsidR="00BC07F0" w:rsidRDefault="00073EFB">
      <w:pPr>
        <w:pStyle w:val="a7"/>
        <w:rPr>
          <w:rFonts w:hint="default"/>
          <w:b/>
          <w:bCs/>
        </w:rPr>
      </w:pPr>
      <w:r>
        <w:rPr>
          <w:b/>
          <w:bCs/>
        </w:rPr>
        <w:t>图</w:t>
      </w:r>
      <w:r>
        <w:rPr>
          <w:b/>
          <w:bCs/>
        </w:rPr>
        <w:t>4-1</w:t>
      </w:r>
      <w:r>
        <w:rPr>
          <w:b/>
          <w:bCs/>
        </w:rPr>
        <w:t>影响路段的修正函数，</w:t>
      </w:r>
      <w:r>
        <w:rPr>
          <w:b/>
          <w:bCs/>
        </w:rPr>
        <w:t>A~B</w:t>
      </w:r>
      <w:r>
        <w:rPr>
          <w:b/>
          <w:bCs/>
        </w:rPr>
        <w:t>为路段，</w:t>
      </w:r>
      <w:r>
        <w:rPr>
          <w:b/>
          <w:bCs/>
        </w:rPr>
        <w:t>P</w:t>
      </w:r>
      <w:r>
        <w:rPr>
          <w:b/>
          <w:bCs/>
        </w:rPr>
        <w:t>为预测点</w:t>
      </w:r>
    </w:p>
    <w:p w:rsidR="00BC07F0" w:rsidRDefault="00073EFB" w:rsidP="00C55F5E">
      <w:pPr>
        <w:ind w:firstLine="480"/>
        <w:jc w:val="both"/>
      </w:pPr>
      <w:r>
        <w:rPr>
          <w:rFonts w:hint="eastAsia"/>
        </w:rPr>
        <w:t>由其他因素引起的修正量（△</w:t>
      </w:r>
      <w:r>
        <w:rPr>
          <w:rFonts w:hint="eastAsia"/>
        </w:rPr>
        <w:t>L1</w:t>
      </w:r>
      <w:r>
        <w:rPr>
          <w:rFonts w:hint="eastAsia"/>
        </w:rPr>
        <w:t>）可按下列公式计算：</w:t>
      </w:r>
    </w:p>
    <w:p w:rsidR="00BC07F0" w:rsidRDefault="00073EFB">
      <w:pPr>
        <w:widowControl/>
        <w:ind w:firstLine="480"/>
        <w:rPr>
          <w:color w:val="000000"/>
          <w:kern w:val="0"/>
          <w:vertAlign w:val="subscript"/>
          <w:lang/>
        </w:rPr>
      </w:pPr>
      <w:r>
        <w:rPr>
          <w:color w:val="000000"/>
          <w:kern w:val="0"/>
          <w:lang/>
        </w:rPr>
        <w:t>△L=△L</w:t>
      </w:r>
      <w:r>
        <w:rPr>
          <w:color w:val="000000"/>
          <w:kern w:val="0"/>
          <w:vertAlign w:val="subscript"/>
          <w:lang/>
        </w:rPr>
        <w:t>1</w:t>
      </w:r>
      <w:r>
        <w:rPr>
          <w:color w:val="000000"/>
          <w:kern w:val="0"/>
          <w:lang/>
        </w:rPr>
        <w:t>-△L</w:t>
      </w:r>
      <w:r>
        <w:rPr>
          <w:color w:val="000000"/>
          <w:kern w:val="0"/>
          <w:vertAlign w:val="subscript"/>
          <w:lang/>
        </w:rPr>
        <w:t>2</w:t>
      </w:r>
      <w:r>
        <w:rPr>
          <w:color w:val="000000"/>
          <w:kern w:val="0"/>
          <w:lang/>
        </w:rPr>
        <w:t>+△L</w:t>
      </w:r>
      <w:r>
        <w:rPr>
          <w:color w:val="000000"/>
          <w:kern w:val="0"/>
          <w:vertAlign w:val="subscript"/>
          <w:lang/>
        </w:rPr>
        <w:t>3</w:t>
      </w:r>
    </w:p>
    <w:p w:rsidR="00BC07F0" w:rsidRDefault="00073EFB">
      <w:pPr>
        <w:widowControl/>
        <w:ind w:firstLine="480"/>
        <w:rPr>
          <w:color w:val="000000"/>
          <w:kern w:val="0"/>
          <w:vertAlign w:val="subscript"/>
          <w:lang/>
        </w:rPr>
      </w:pPr>
      <w:r>
        <w:rPr>
          <w:color w:val="000000"/>
          <w:kern w:val="0"/>
          <w:lang/>
        </w:rPr>
        <w:t>△L</w:t>
      </w:r>
      <w:r>
        <w:rPr>
          <w:rFonts w:hint="eastAsia"/>
          <w:color w:val="000000"/>
          <w:kern w:val="0"/>
          <w:vertAlign w:val="subscript"/>
          <w:lang/>
        </w:rPr>
        <w:t>1</w:t>
      </w:r>
      <w:r>
        <w:rPr>
          <w:color w:val="000000"/>
          <w:kern w:val="0"/>
          <w:lang/>
        </w:rPr>
        <w:t>=△L</w:t>
      </w:r>
      <w:r>
        <w:rPr>
          <w:rFonts w:hint="eastAsia"/>
          <w:color w:val="000000"/>
          <w:kern w:val="0"/>
          <w:vertAlign w:val="subscript"/>
          <w:lang/>
        </w:rPr>
        <w:t>坡度</w:t>
      </w:r>
      <w:r>
        <w:rPr>
          <w:color w:val="000000"/>
          <w:kern w:val="0"/>
          <w:lang/>
        </w:rPr>
        <w:t>+△L</w:t>
      </w:r>
      <w:r>
        <w:rPr>
          <w:rFonts w:hint="eastAsia"/>
          <w:color w:val="000000"/>
          <w:kern w:val="0"/>
          <w:vertAlign w:val="subscript"/>
          <w:lang/>
        </w:rPr>
        <w:t>路面</w:t>
      </w:r>
    </w:p>
    <w:p w:rsidR="00BC07F0" w:rsidRDefault="00073EFB">
      <w:pPr>
        <w:widowControl/>
        <w:ind w:firstLine="480"/>
        <w:rPr>
          <w:color w:val="000000"/>
          <w:kern w:val="0"/>
          <w:vertAlign w:val="subscript"/>
          <w:lang/>
        </w:rPr>
      </w:pPr>
      <w:r>
        <w:rPr>
          <w:color w:val="000000"/>
          <w:kern w:val="0"/>
          <w:lang/>
        </w:rPr>
        <w:lastRenderedPageBreak/>
        <w:t>△L</w:t>
      </w:r>
      <w:r>
        <w:rPr>
          <w:rFonts w:hint="eastAsia"/>
          <w:color w:val="000000"/>
          <w:kern w:val="0"/>
          <w:vertAlign w:val="subscript"/>
          <w:lang/>
        </w:rPr>
        <w:t>2</w:t>
      </w:r>
      <w:r>
        <w:rPr>
          <w:color w:val="000000"/>
          <w:kern w:val="0"/>
          <w:lang/>
        </w:rPr>
        <w:t>=</w:t>
      </w:r>
      <w:r>
        <w:rPr>
          <w:rFonts w:hint="eastAsia"/>
          <w:color w:val="000000"/>
          <w:kern w:val="0"/>
          <w:lang/>
        </w:rPr>
        <w:t>A</w:t>
      </w:r>
      <w:r>
        <w:rPr>
          <w:rFonts w:hint="eastAsia"/>
          <w:color w:val="000000"/>
          <w:kern w:val="0"/>
          <w:vertAlign w:val="subscript"/>
          <w:lang/>
        </w:rPr>
        <w:t>atm</w:t>
      </w:r>
      <w:r>
        <w:rPr>
          <w:rFonts w:hint="eastAsia"/>
          <w:color w:val="000000"/>
          <w:kern w:val="0"/>
          <w:lang/>
        </w:rPr>
        <w:t>+A</w:t>
      </w:r>
      <w:r>
        <w:rPr>
          <w:rFonts w:hint="eastAsia"/>
          <w:color w:val="000000"/>
          <w:kern w:val="0"/>
          <w:vertAlign w:val="subscript"/>
          <w:lang/>
        </w:rPr>
        <w:t>g</w:t>
      </w:r>
      <w:r>
        <w:rPr>
          <w:rFonts w:hint="eastAsia"/>
          <w:color w:val="000000"/>
          <w:kern w:val="0"/>
          <w:lang/>
        </w:rPr>
        <w:t>+A</w:t>
      </w:r>
      <w:r>
        <w:rPr>
          <w:rFonts w:hint="eastAsia"/>
          <w:color w:val="000000"/>
          <w:kern w:val="0"/>
          <w:vertAlign w:val="subscript"/>
          <w:lang/>
        </w:rPr>
        <w:t>bar</w:t>
      </w:r>
      <w:r>
        <w:rPr>
          <w:rFonts w:hint="eastAsia"/>
          <w:color w:val="000000"/>
          <w:kern w:val="0"/>
          <w:lang/>
        </w:rPr>
        <w:t>+A</w:t>
      </w:r>
      <w:r>
        <w:rPr>
          <w:rFonts w:hint="eastAsia"/>
          <w:color w:val="000000"/>
          <w:kern w:val="0"/>
          <w:vertAlign w:val="subscript"/>
          <w:lang/>
        </w:rPr>
        <w:t>misc</w:t>
      </w:r>
    </w:p>
    <w:p w:rsidR="00BC07F0" w:rsidRDefault="00073EFB">
      <w:pPr>
        <w:widowControl/>
        <w:ind w:firstLine="480"/>
        <w:rPr>
          <w:color w:val="000000"/>
          <w:kern w:val="0"/>
          <w:lang/>
        </w:rPr>
      </w:pPr>
      <w:r>
        <w:rPr>
          <w:rFonts w:hint="eastAsia"/>
          <w:color w:val="000000"/>
          <w:kern w:val="0"/>
          <w:lang/>
        </w:rPr>
        <w:t>式中：</w:t>
      </w:r>
    </w:p>
    <w:p w:rsidR="00BC07F0" w:rsidRDefault="00073EFB">
      <w:pPr>
        <w:widowControl/>
        <w:ind w:firstLine="480"/>
        <w:rPr>
          <w:color w:val="000000"/>
          <w:kern w:val="0"/>
          <w:lang/>
        </w:rPr>
      </w:pPr>
      <w:r>
        <w:rPr>
          <w:color w:val="000000"/>
          <w:kern w:val="0"/>
          <w:lang/>
        </w:rPr>
        <w:t>△L</w:t>
      </w:r>
      <w:r>
        <w:rPr>
          <w:color w:val="000000"/>
          <w:kern w:val="0"/>
          <w:vertAlign w:val="subscript"/>
          <w:lang/>
        </w:rPr>
        <w:t>1</w:t>
      </w:r>
      <w:r>
        <w:rPr>
          <w:color w:val="000000"/>
          <w:kern w:val="0"/>
          <w:lang/>
        </w:rPr>
        <w:t>——</w:t>
      </w:r>
      <w:r>
        <w:rPr>
          <w:color w:val="000000"/>
          <w:kern w:val="0"/>
          <w:lang/>
        </w:rPr>
        <w:t>线路因素引起的修正量，</w:t>
      </w:r>
      <w:r>
        <w:rPr>
          <w:color w:val="000000"/>
          <w:kern w:val="0"/>
          <w:lang/>
        </w:rPr>
        <w:t>dB</w:t>
      </w:r>
      <w:r>
        <w:rPr>
          <w:color w:val="000000"/>
          <w:kern w:val="0"/>
          <w:lang/>
        </w:rPr>
        <w:t>（</w:t>
      </w:r>
      <w:r>
        <w:rPr>
          <w:color w:val="000000"/>
          <w:kern w:val="0"/>
          <w:lang/>
        </w:rPr>
        <w:t>A</w:t>
      </w:r>
      <w:r>
        <w:rPr>
          <w:color w:val="000000"/>
          <w:kern w:val="0"/>
          <w:lang/>
        </w:rPr>
        <w:t>）；</w:t>
      </w:r>
    </w:p>
    <w:p w:rsidR="00BC07F0" w:rsidRDefault="00073EFB">
      <w:pPr>
        <w:widowControl/>
        <w:ind w:firstLine="480"/>
        <w:rPr>
          <w:color w:val="000000"/>
          <w:kern w:val="0"/>
          <w:lang/>
        </w:rPr>
      </w:pPr>
      <w:r>
        <w:rPr>
          <w:color w:val="000000"/>
          <w:kern w:val="0"/>
          <w:lang/>
        </w:rPr>
        <w:t>△L</w:t>
      </w:r>
      <w:r>
        <w:rPr>
          <w:color w:val="000000"/>
          <w:kern w:val="0"/>
          <w:vertAlign w:val="subscript"/>
          <w:lang/>
        </w:rPr>
        <w:t>坡度</w:t>
      </w:r>
      <w:r>
        <w:rPr>
          <w:color w:val="000000"/>
          <w:kern w:val="0"/>
          <w:lang/>
        </w:rPr>
        <w:t>——</w:t>
      </w:r>
      <w:r>
        <w:rPr>
          <w:color w:val="000000"/>
          <w:kern w:val="0"/>
          <w:lang/>
        </w:rPr>
        <w:t>公路纵坡修正量，</w:t>
      </w:r>
      <w:r>
        <w:rPr>
          <w:color w:val="000000"/>
          <w:kern w:val="0"/>
          <w:lang/>
        </w:rPr>
        <w:t>dB</w:t>
      </w:r>
      <w:r>
        <w:rPr>
          <w:color w:val="000000"/>
          <w:kern w:val="0"/>
          <w:lang/>
        </w:rPr>
        <w:t>（</w:t>
      </w:r>
      <w:r>
        <w:rPr>
          <w:color w:val="000000"/>
          <w:kern w:val="0"/>
          <w:lang/>
        </w:rPr>
        <w:t>A</w:t>
      </w:r>
      <w:r>
        <w:rPr>
          <w:color w:val="000000"/>
          <w:kern w:val="0"/>
          <w:lang/>
        </w:rPr>
        <w:t>）；</w:t>
      </w:r>
    </w:p>
    <w:p w:rsidR="00BC07F0" w:rsidRDefault="00073EFB">
      <w:pPr>
        <w:widowControl/>
        <w:ind w:firstLine="480"/>
        <w:rPr>
          <w:color w:val="000000"/>
          <w:kern w:val="0"/>
          <w:lang/>
        </w:rPr>
      </w:pPr>
      <w:r>
        <w:rPr>
          <w:color w:val="000000"/>
          <w:kern w:val="0"/>
          <w:lang/>
        </w:rPr>
        <w:t>△L</w:t>
      </w:r>
      <w:r>
        <w:rPr>
          <w:color w:val="000000"/>
          <w:kern w:val="0"/>
          <w:vertAlign w:val="subscript"/>
          <w:lang/>
        </w:rPr>
        <w:t>路面</w:t>
      </w:r>
      <w:r>
        <w:rPr>
          <w:color w:val="000000"/>
          <w:kern w:val="0"/>
          <w:lang/>
        </w:rPr>
        <w:t>——</w:t>
      </w:r>
      <w:r>
        <w:rPr>
          <w:color w:val="000000"/>
          <w:kern w:val="0"/>
          <w:lang/>
        </w:rPr>
        <w:t>公路路面引起的修正量，</w:t>
      </w:r>
      <w:r>
        <w:rPr>
          <w:color w:val="000000"/>
          <w:kern w:val="0"/>
          <w:lang/>
        </w:rPr>
        <w:t>dB</w:t>
      </w:r>
      <w:r>
        <w:rPr>
          <w:color w:val="000000"/>
          <w:kern w:val="0"/>
          <w:lang/>
        </w:rPr>
        <w:t>（</w:t>
      </w:r>
      <w:r>
        <w:rPr>
          <w:color w:val="000000"/>
          <w:kern w:val="0"/>
          <w:lang/>
        </w:rPr>
        <w:t>A</w:t>
      </w:r>
      <w:r>
        <w:rPr>
          <w:color w:val="000000"/>
          <w:kern w:val="0"/>
          <w:lang/>
        </w:rPr>
        <w:t>）；</w:t>
      </w:r>
    </w:p>
    <w:p w:rsidR="00BC07F0" w:rsidRDefault="00073EFB">
      <w:pPr>
        <w:widowControl/>
        <w:ind w:firstLine="480"/>
        <w:rPr>
          <w:color w:val="000000"/>
          <w:kern w:val="0"/>
          <w:lang/>
        </w:rPr>
      </w:pPr>
      <w:r>
        <w:rPr>
          <w:color w:val="000000"/>
          <w:kern w:val="0"/>
          <w:lang/>
        </w:rPr>
        <w:t>△L</w:t>
      </w:r>
      <w:r>
        <w:rPr>
          <w:color w:val="000000"/>
          <w:kern w:val="0"/>
          <w:vertAlign w:val="subscript"/>
          <w:lang/>
        </w:rPr>
        <w:t>2</w:t>
      </w:r>
      <w:r>
        <w:rPr>
          <w:color w:val="000000"/>
          <w:kern w:val="0"/>
          <w:lang/>
        </w:rPr>
        <w:t>——</w:t>
      </w:r>
      <w:r>
        <w:rPr>
          <w:color w:val="000000"/>
          <w:kern w:val="0"/>
          <w:lang/>
        </w:rPr>
        <w:t>声波传播途径中引起的衰减量，</w:t>
      </w:r>
      <w:r>
        <w:rPr>
          <w:color w:val="000000"/>
          <w:kern w:val="0"/>
          <w:lang/>
        </w:rPr>
        <w:t>dB(A)</w:t>
      </w:r>
      <w:r>
        <w:rPr>
          <w:color w:val="000000"/>
          <w:kern w:val="0"/>
          <w:lang/>
        </w:rPr>
        <w:t>；</w:t>
      </w:r>
    </w:p>
    <w:p w:rsidR="00BC07F0" w:rsidRDefault="00073EFB">
      <w:pPr>
        <w:widowControl/>
        <w:ind w:firstLine="480"/>
        <w:rPr>
          <w:color w:val="000000"/>
          <w:kern w:val="0"/>
          <w:lang/>
        </w:rPr>
      </w:pPr>
      <w:r>
        <w:rPr>
          <w:color w:val="000000"/>
          <w:kern w:val="0"/>
          <w:lang/>
        </w:rPr>
        <w:t>△L</w:t>
      </w:r>
      <w:r>
        <w:rPr>
          <w:color w:val="000000"/>
          <w:kern w:val="0"/>
          <w:vertAlign w:val="subscript"/>
          <w:lang/>
        </w:rPr>
        <w:t>3</w:t>
      </w:r>
      <w:r>
        <w:rPr>
          <w:color w:val="000000"/>
          <w:kern w:val="0"/>
          <w:lang/>
        </w:rPr>
        <w:t>——</w:t>
      </w:r>
      <w:r>
        <w:rPr>
          <w:color w:val="000000"/>
          <w:kern w:val="0"/>
          <w:lang/>
        </w:rPr>
        <w:t>由反射等引起的修正量，</w:t>
      </w:r>
      <w:r>
        <w:rPr>
          <w:color w:val="000000"/>
          <w:kern w:val="0"/>
          <w:lang/>
        </w:rPr>
        <w:t>dB(A)</w:t>
      </w:r>
      <w:r>
        <w:rPr>
          <w:color w:val="000000"/>
          <w:kern w:val="0"/>
          <w:lang/>
        </w:rPr>
        <w:t>。</w:t>
      </w:r>
    </w:p>
    <w:p w:rsidR="00BC07F0" w:rsidRDefault="00073EFB" w:rsidP="00C55F5E">
      <w:pPr>
        <w:ind w:firstLine="480"/>
      </w:pPr>
      <w:r>
        <w:rPr>
          <w:rFonts w:hint="eastAsia"/>
        </w:rPr>
        <w:t>2</w:t>
      </w:r>
      <w:r>
        <w:rPr>
          <w:rFonts w:hint="eastAsia"/>
        </w:rPr>
        <w:t>）总车流等效声级</w:t>
      </w:r>
    </w:p>
    <w:p w:rsidR="00BC07F0" w:rsidRDefault="00BC07F0">
      <w:pPr>
        <w:widowControl/>
        <w:ind w:firstLine="480"/>
        <w:jc w:val="center"/>
        <w:rPr>
          <w:color w:val="000000"/>
          <w:kern w:val="0"/>
          <w:lang/>
        </w:rPr>
      </w:pPr>
      <w:r w:rsidRPr="00BC07F0">
        <w:rPr>
          <w:rFonts w:hint="eastAsia"/>
          <w:color w:val="000000"/>
          <w:kern w:val="0"/>
          <w:position w:val="-14"/>
          <w:lang/>
        </w:rPr>
        <w:object w:dxaOrig="4860" w:dyaOrig="440">
          <v:shape id="_x0000_i1031" type="#_x0000_t75" style="width:242.85pt;height:22.3pt" o:ole="">
            <v:imagedata r:id="rId51" o:title=""/>
          </v:shape>
          <o:OLEObject Type="Embed" ProgID="Equations" ShapeID="_x0000_i1031" DrawAspect="Content" ObjectID="_1746346135" r:id="rId52"/>
        </w:object>
      </w:r>
    </w:p>
    <w:p w:rsidR="00BC07F0" w:rsidRDefault="00073EFB">
      <w:pPr>
        <w:widowControl/>
        <w:ind w:firstLine="480"/>
        <w:rPr>
          <w:color w:val="000000"/>
          <w:kern w:val="0"/>
          <w:lang/>
        </w:rPr>
      </w:pPr>
      <w:r>
        <w:rPr>
          <w:rFonts w:hint="eastAsia"/>
          <w:color w:val="000000"/>
          <w:kern w:val="0"/>
          <w:lang/>
        </w:rPr>
        <w:t>式中：</w:t>
      </w:r>
    </w:p>
    <w:p w:rsidR="00BC07F0" w:rsidRDefault="00073EFB">
      <w:pPr>
        <w:widowControl/>
        <w:ind w:firstLine="480"/>
        <w:rPr>
          <w:color w:val="000000"/>
          <w:kern w:val="0"/>
          <w:lang/>
        </w:rPr>
      </w:pPr>
      <w:r>
        <w:rPr>
          <w:rFonts w:hint="eastAsia"/>
          <w:color w:val="000000"/>
          <w:kern w:val="0"/>
          <w:lang/>
        </w:rPr>
        <w:t>L</w:t>
      </w:r>
      <w:r>
        <w:rPr>
          <w:rFonts w:hint="eastAsia"/>
          <w:color w:val="000000"/>
          <w:kern w:val="0"/>
          <w:vertAlign w:val="subscript"/>
          <w:lang/>
        </w:rPr>
        <w:t>eq</w:t>
      </w:r>
      <w:r>
        <w:rPr>
          <w:rFonts w:hint="eastAsia"/>
          <w:color w:val="000000"/>
          <w:kern w:val="0"/>
          <w:lang/>
        </w:rPr>
        <w:t>——总车流等效声级，</w:t>
      </w:r>
      <w:r>
        <w:rPr>
          <w:rFonts w:hint="eastAsia"/>
          <w:color w:val="000000"/>
          <w:kern w:val="0"/>
          <w:lang/>
        </w:rPr>
        <w:t>dB</w:t>
      </w:r>
      <w:r>
        <w:rPr>
          <w:rFonts w:hint="eastAsia"/>
          <w:color w:val="000000"/>
          <w:kern w:val="0"/>
          <w:lang/>
        </w:rPr>
        <w:t>（</w:t>
      </w:r>
      <w:r>
        <w:rPr>
          <w:rFonts w:hint="eastAsia"/>
          <w:color w:val="000000"/>
          <w:kern w:val="0"/>
          <w:lang/>
        </w:rPr>
        <w:t>A</w:t>
      </w:r>
      <w:r>
        <w:rPr>
          <w:rFonts w:hint="eastAsia"/>
          <w:color w:val="000000"/>
          <w:kern w:val="0"/>
          <w:lang/>
        </w:rPr>
        <w:t>）；</w:t>
      </w:r>
    </w:p>
    <w:p w:rsidR="00BC07F0" w:rsidRDefault="00073EFB">
      <w:pPr>
        <w:widowControl/>
        <w:ind w:firstLine="480"/>
        <w:rPr>
          <w:color w:val="000000"/>
          <w:kern w:val="0"/>
          <w:lang/>
        </w:rPr>
      </w:pPr>
      <w:r>
        <w:rPr>
          <w:rFonts w:hint="eastAsia"/>
          <w:color w:val="000000"/>
          <w:kern w:val="0"/>
          <w:lang/>
        </w:rPr>
        <w:t>L</w:t>
      </w:r>
      <w:r>
        <w:rPr>
          <w:rFonts w:hint="eastAsia"/>
          <w:color w:val="000000"/>
          <w:kern w:val="0"/>
          <w:vertAlign w:val="subscript"/>
          <w:lang/>
        </w:rPr>
        <w:t>eq</w:t>
      </w:r>
      <w:r>
        <w:rPr>
          <w:rFonts w:hint="eastAsia"/>
          <w:color w:val="000000"/>
          <w:kern w:val="0"/>
          <w:lang/>
        </w:rPr>
        <w:t>(h)</w:t>
      </w:r>
      <w:r>
        <w:rPr>
          <w:rFonts w:hint="eastAsia"/>
          <w:color w:val="000000"/>
          <w:kern w:val="0"/>
          <w:lang/>
        </w:rPr>
        <w:t>大、</w:t>
      </w:r>
      <w:r>
        <w:rPr>
          <w:rFonts w:hint="eastAsia"/>
          <w:color w:val="000000"/>
          <w:kern w:val="0"/>
          <w:lang/>
        </w:rPr>
        <w:t>L</w:t>
      </w:r>
      <w:r>
        <w:rPr>
          <w:rFonts w:hint="eastAsia"/>
          <w:color w:val="000000"/>
          <w:kern w:val="0"/>
          <w:vertAlign w:val="subscript"/>
          <w:lang/>
        </w:rPr>
        <w:t>eq</w:t>
      </w:r>
      <w:r>
        <w:rPr>
          <w:rFonts w:hint="eastAsia"/>
          <w:color w:val="000000"/>
          <w:kern w:val="0"/>
          <w:lang/>
        </w:rPr>
        <w:t>(h)</w:t>
      </w:r>
      <w:r>
        <w:rPr>
          <w:rFonts w:hint="eastAsia"/>
          <w:color w:val="000000"/>
          <w:kern w:val="0"/>
          <w:lang/>
        </w:rPr>
        <w:t>中、</w:t>
      </w:r>
      <w:r>
        <w:rPr>
          <w:rFonts w:hint="eastAsia"/>
          <w:color w:val="000000"/>
          <w:kern w:val="0"/>
          <w:lang/>
        </w:rPr>
        <w:t>L</w:t>
      </w:r>
      <w:r>
        <w:rPr>
          <w:rFonts w:hint="eastAsia"/>
          <w:color w:val="000000"/>
          <w:kern w:val="0"/>
          <w:vertAlign w:val="subscript"/>
          <w:lang/>
        </w:rPr>
        <w:t>eq</w:t>
      </w:r>
      <w:r>
        <w:rPr>
          <w:rFonts w:hint="eastAsia"/>
          <w:color w:val="000000"/>
          <w:kern w:val="0"/>
          <w:lang/>
        </w:rPr>
        <w:t>(h)</w:t>
      </w:r>
      <w:r>
        <w:rPr>
          <w:rFonts w:hint="eastAsia"/>
          <w:color w:val="000000"/>
          <w:kern w:val="0"/>
          <w:lang/>
        </w:rPr>
        <w:t>小</w:t>
      </w:r>
      <w:r>
        <w:rPr>
          <w:color w:val="000000"/>
          <w:kern w:val="0"/>
          <w:lang/>
        </w:rPr>
        <w:t>——</w:t>
      </w:r>
      <w:r>
        <w:rPr>
          <w:rFonts w:hint="eastAsia"/>
          <w:color w:val="000000"/>
          <w:kern w:val="0"/>
          <w:lang/>
        </w:rPr>
        <w:t>大、中、小型车的小时等效声级，</w:t>
      </w:r>
      <w:r>
        <w:rPr>
          <w:rFonts w:hint="eastAsia"/>
          <w:color w:val="000000"/>
          <w:kern w:val="0"/>
          <w:lang/>
        </w:rPr>
        <w:t>dB(A)</w:t>
      </w:r>
      <w:r>
        <w:rPr>
          <w:rFonts w:hint="eastAsia"/>
          <w:color w:val="000000"/>
          <w:kern w:val="0"/>
          <w:lang/>
        </w:rPr>
        <w:t>。</w:t>
      </w:r>
    </w:p>
    <w:p w:rsidR="00BC07F0" w:rsidRDefault="00073EFB">
      <w:pPr>
        <w:widowControl/>
        <w:ind w:firstLine="480"/>
        <w:rPr>
          <w:color w:val="000000"/>
          <w:kern w:val="0"/>
          <w:lang/>
        </w:rPr>
      </w:pPr>
      <w:r>
        <w:rPr>
          <w:rFonts w:ascii="宋体" w:hAnsi="宋体" w:cs="宋体" w:hint="eastAsia"/>
          <w:color w:val="000000"/>
          <w:kern w:val="0"/>
          <w:lang/>
        </w:rPr>
        <w:t>3</w:t>
      </w:r>
      <w:r>
        <w:rPr>
          <w:rFonts w:ascii="宋体" w:hAnsi="宋体" w:cs="宋体" w:hint="eastAsia"/>
          <w:color w:val="000000"/>
          <w:kern w:val="0"/>
          <w:lang/>
        </w:rPr>
        <w:t>）敏感点环境噪声预测模式</w:t>
      </w:r>
    </w:p>
    <w:p w:rsidR="00BC07F0" w:rsidRDefault="00BC07F0">
      <w:pPr>
        <w:widowControl/>
        <w:ind w:firstLine="480"/>
        <w:jc w:val="center"/>
        <w:rPr>
          <w:color w:val="000000"/>
          <w:kern w:val="0"/>
          <w:lang/>
        </w:rPr>
      </w:pPr>
      <w:r w:rsidRPr="00BC07F0">
        <w:rPr>
          <w:rFonts w:hint="eastAsia"/>
          <w:color w:val="000000"/>
          <w:kern w:val="0"/>
          <w:position w:val="-14"/>
          <w:lang/>
        </w:rPr>
        <w:object w:dxaOrig="2860" w:dyaOrig="440">
          <v:shape id="_x0000_i1032" type="#_x0000_t75" style="width:142.85pt;height:22.3pt" o:ole="">
            <v:imagedata r:id="rId53" o:title=""/>
          </v:shape>
          <o:OLEObject Type="Embed" ProgID="Equations" ShapeID="_x0000_i1032" DrawAspect="Content" ObjectID="_1746346136" r:id="rId54"/>
        </w:object>
      </w:r>
    </w:p>
    <w:p w:rsidR="00BC07F0" w:rsidRDefault="00073EFB">
      <w:pPr>
        <w:widowControl/>
        <w:ind w:firstLine="480"/>
        <w:rPr>
          <w:color w:val="000000"/>
          <w:kern w:val="0"/>
          <w:lang/>
        </w:rPr>
      </w:pPr>
      <w:r>
        <w:rPr>
          <w:rFonts w:hint="eastAsia"/>
          <w:color w:val="000000"/>
          <w:kern w:val="0"/>
          <w:lang/>
        </w:rPr>
        <w:t>式中：</w:t>
      </w:r>
    </w:p>
    <w:p w:rsidR="00BC07F0" w:rsidRDefault="00073EFB">
      <w:pPr>
        <w:widowControl/>
        <w:ind w:firstLine="480"/>
        <w:rPr>
          <w:color w:val="000000"/>
          <w:kern w:val="0"/>
          <w:lang/>
        </w:rPr>
      </w:pPr>
      <w:r>
        <w:rPr>
          <w:color w:val="000000"/>
          <w:kern w:val="0"/>
          <w:lang/>
        </w:rPr>
        <w:t>L</w:t>
      </w:r>
      <w:r>
        <w:rPr>
          <w:color w:val="000000"/>
          <w:kern w:val="0"/>
          <w:vertAlign w:val="subscript"/>
          <w:lang/>
        </w:rPr>
        <w:t>eq</w:t>
      </w:r>
      <w:r>
        <w:rPr>
          <w:color w:val="000000"/>
          <w:kern w:val="0"/>
          <w:vertAlign w:val="subscript"/>
          <w:lang/>
        </w:rPr>
        <w:t>环</w:t>
      </w:r>
      <w:r>
        <w:rPr>
          <w:color w:val="000000"/>
          <w:kern w:val="0"/>
          <w:lang/>
        </w:rPr>
        <w:t>——</w:t>
      </w:r>
      <w:r>
        <w:rPr>
          <w:rFonts w:hint="eastAsia"/>
          <w:color w:val="000000"/>
          <w:kern w:val="0"/>
          <w:lang/>
        </w:rPr>
        <w:t>预测点的环境噪声值，</w:t>
      </w:r>
      <w:r>
        <w:rPr>
          <w:rFonts w:hint="eastAsia"/>
          <w:color w:val="000000"/>
          <w:kern w:val="0"/>
          <w:lang/>
        </w:rPr>
        <w:t>dB</w:t>
      </w:r>
      <w:r>
        <w:rPr>
          <w:rFonts w:hint="eastAsia"/>
          <w:color w:val="000000"/>
          <w:kern w:val="0"/>
          <w:lang/>
        </w:rPr>
        <w:t>（</w:t>
      </w:r>
      <w:r>
        <w:rPr>
          <w:rFonts w:hint="eastAsia"/>
          <w:color w:val="000000"/>
          <w:kern w:val="0"/>
          <w:lang/>
        </w:rPr>
        <w:t>A</w:t>
      </w:r>
      <w:r>
        <w:rPr>
          <w:rFonts w:hint="eastAsia"/>
          <w:color w:val="000000"/>
          <w:kern w:val="0"/>
          <w:lang/>
        </w:rPr>
        <w:t>）；</w:t>
      </w:r>
    </w:p>
    <w:p w:rsidR="00BC07F0" w:rsidRDefault="00073EFB">
      <w:pPr>
        <w:widowControl/>
        <w:ind w:firstLine="480"/>
        <w:rPr>
          <w:color w:val="000000"/>
          <w:kern w:val="0"/>
          <w:lang/>
        </w:rPr>
      </w:pPr>
      <w:r>
        <w:rPr>
          <w:color w:val="000000"/>
          <w:kern w:val="0"/>
          <w:lang/>
        </w:rPr>
        <w:t>L</w:t>
      </w:r>
      <w:r>
        <w:rPr>
          <w:color w:val="000000"/>
          <w:kern w:val="0"/>
          <w:vertAlign w:val="subscript"/>
          <w:lang/>
        </w:rPr>
        <w:t>eq</w:t>
      </w:r>
      <w:r>
        <w:rPr>
          <w:color w:val="000000"/>
          <w:kern w:val="0"/>
          <w:vertAlign w:val="subscript"/>
          <w:lang/>
        </w:rPr>
        <w:t>交</w:t>
      </w:r>
      <w:r>
        <w:rPr>
          <w:color w:val="000000"/>
          <w:kern w:val="0"/>
          <w:lang/>
        </w:rPr>
        <w:t>——</w:t>
      </w:r>
      <w:r>
        <w:rPr>
          <w:rFonts w:hint="eastAsia"/>
          <w:color w:val="000000"/>
          <w:kern w:val="0"/>
          <w:lang/>
        </w:rPr>
        <w:t>预测点的公路交通噪声值，</w:t>
      </w:r>
      <w:r>
        <w:rPr>
          <w:rFonts w:hint="eastAsia"/>
          <w:color w:val="000000"/>
          <w:kern w:val="0"/>
          <w:lang/>
        </w:rPr>
        <w:t>dB</w:t>
      </w:r>
      <w:r>
        <w:rPr>
          <w:rFonts w:hint="eastAsia"/>
          <w:color w:val="000000"/>
          <w:kern w:val="0"/>
          <w:lang/>
        </w:rPr>
        <w:t>（</w:t>
      </w:r>
      <w:r>
        <w:rPr>
          <w:rFonts w:hint="eastAsia"/>
          <w:color w:val="000000"/>
          <w:kern w:val="0"/>
          <w:lang/>
        </w:rPr>
        <w:t>A</w:t>
      </w:r>
      <w:r>
        <w:rPr>
          <w:rFonts w:hint="eastAsia"/>
          <w:color w:val="000000"/>
          <w:kern w:val="0"/>
          <w:lang/>
        </w:rPr>
        <w:t>）；</w:t>
      </w:r>
    </w:p>
    <w:p w:rsidR="00BC07F0" w:rsidRDefault="00073EFB">
      <w:pPr>
        <w:widowControl/>
        <w:ind w:firstLine="480"/>
        <w:rPr>
          <w:color w:val="000000"/>
          <w:kern w:val="0"/>
          <w:lang/>
        </w:rPr>
      </w:pPr>
      <w:r>
        <w:rPr>
          <w:color w:val="000000"/>
          <w:kern w:val="0"/>
          <w:lang/>
        </w:rPr>
        <w:t>L</w:t>
      </w:r>
      <w:r>
        <w:rPr>
          <w:color w:val="000000"/>
          <w:kern w:val="0"/>
          <w:vertAlign w:val="subscript"/>
          <w:lang/>
        </w:rPr>
        <w:t>eq</w:t>
      </w:r>
      <w:r>
        <w:rPr>
          <w:color w:val="000000"/>
          <w:kern w:val="0"/>
          <w:vertAlign w:val="subscript"/>
          <w:lang/>
        </w:rPr>
        <w:t>背</w:t>
      </w:r>
      <w:r>
        <w:rPr>
          <w:color w:val="000000"/>
          <w:kern w:val="0"/>
          <w:lang/>
        </w:rPr>
        <w:t>——</w:t>
      </w:r>
      <w:r>
        <w:rPr>
          <w:rFonts w:hint="eastAsia"/>
          <w:color w:val="000000"/>
          <w:kern w:val="0"/>
          <w:lang/>
        </w:rPr>
        <w:t>预测点的背景噪声值，</w:t>
      </w:r>
      <w:r>
        <w:rPr>
          <w:rFonts w:hint="eastAsia"/>
          <w:color w:val="000000"/>
          <w:kern w:val="0"/>
          <w:lang/>
        </w:rPr>
        <w:t>dB</w:t>
      </w:r>
      <w:r>
        <w:rPr>
          <w:rFonts w:hint="eastAsia"/>
          <w:color w:val="000000"/>
          <w:kern w:val="0"/>
          <w:lang/>
        </w:rPr>
        <w:t>（</w:t>
      </w:r>
      <w:r>
        <w:rPr>
          <w:rFonts w:hint="eastAsia"/>
          <w:color w:val="000000"/>
          <w:kern w:val="0"/>
          <w:lang/>
        </w:rPr>
        <w:t>A</w:t>
      </w:r>
      <w:r>
        <w:rPr>
          <w:rFonts w:hint="eastAsia"/>
          <w:color w:val="000000"/>
          <w:kern w:val="0"/>
          <w:lang/>
        </w:rPr>
        <w:t>）。</w:t>
      </w:r>
    </w:p>
    <w:p w:rsidR="00BC07F0" w:rsidRDefault="00073EFB">
      <w:pPr>
        <w:widowControl/>
        <w:ind w:firstLine="482"/>
        <w:rPr>
          <w:b/>
          <w:bCs/>
          <w:color w:val="000000"/>
          <w:kern w:val="0"/>
          <w:lang/>
        </w:rPr>
      </w:pPr>
      <w:r>
        <w:rPr>
          <w:rFonts w:hint="eastAsia"/>
          <w:b/>
          <w:bCs/>
          <w:color w:val="000000"/>
          <w:kern w:val="0"/>
          <w:lang/>
        </w:rPr>
        <w:t>2</w:t>
      </w:r>
      <w:r>
        <w:rPr>
          <w:rFonts w:hint="eastAsia"/>
          <w:b/>
          <w:bCs/>
          <w:color w:val="000000"/>
          <w:kern w:val="0"/>
          <w:lang/>
        </w:rPr>
        <w:t>、预测参数</w:t>
      </w:r>
    </w:p>
    <w:p w:rsidR="00BC07F0" w:rsidRDefault="00073EFB">
      <w:pPr>
        <w:widowControl/>
        <w:ind w:firstLine="480"/>
        <w:rPr>
          <w:color w:val="000000"/>
          <w:kern w:val="0"/>
          <w:lang/>
        </w:rPr>
      </w:pPr>
      <w:r>
        <w:rPr>
          <w:color w:val="000000"/>
          <w:kern w:val="0"/>
          <w:lang/>
        </w:rPr>
        <w:t>（</w:t>
      </w:r>
      <w:r>
        <w:rPr>
          <w:color w:val="000000"/>
          <w:kern w:val="0"/>
          <w:lang/>
        </w:rPr>
        <w:t>1</w:t>
      </w:r>
      <w:r>
        <w:rPr>
          <w:color w:val="000000"/>
          <w:kern w:val="0"/>
          <w:lang/>
        </w:rPr>
        <w:t>）车流量、车型比</w:t>
      </w:r>
      <w:r>
        <w:rPr>
          <w:rFonts w:hint="eastAsia"/>
          <w:color w:val="000000"/>
          <w:kern w:val="0"/>
          <w:lang/>
        </w:rPr>
        <w:t>、车速</w:t>
      </w:r>
    </w:p>
    <w:p w:rsidR="00BC07F0" w:rsidRDefault="00073EFB">
      <w:pPr>
        <w:widowControl/>
        <w:ind w:firstLine="480"/>
        <w:rPr>
          <w:color w:val="000000"/>
          <w:kern w:val="0"/>
          <w:lang/>
        </w:rPr>
      </w:pPr>
      <w:r>
        <w:rPr>
          <w:color w:val="000000"/>
          <w:kern w:val="0"/>
          <w:lang/>
        </w:rPr>
        <w:t>根据建设单位提供的相关资料，拟建项目交通预测量情况见</w:t>
      </w:r>
      <w:r>
        <w:rPr>
          <w:color w:val="000000"/>
          <w:kern w:val="0"/>
          <w:lang/>
        </w:rPr>
        <w:t>2.1.2</w:t>
      </w:r>
      <w:r>
        <w:rPr>
          <w:color w:val="000000"/>
          <w:kern w:val="0"/>
          <w:lang/>
        </w:rPr>
        <w:t>章节。</w:t>
      </w:r>
    </w:p>
    <w:p w:rsidR="00BC07F0" w:rsidRDefault="00073EFB">
      <w:pPr>
        <w:widowControl/>
        <w:ind w:firstLine="480"/>
        <w:rPr>
          <w:color w:val="000000"/>
          <w:kern w:val="0"/>
          <w:lang/>
        </w:rPr>
      </w:pPr>
      <w:r>
        <w:rPr>
          <w:color w:val="000000"/>
          <w:kern w:val="0"/>
          <w:lang/>
        </w:rPr>
        <w:t>（</w:t>
      </w:r>
      <w:r>
        <w:rPr>
          <w:color w:val="000000"/>
          <w:kern w:val="0"/>
          <w:lang/>
        </w:rPr>
        <w:t>2</w:t>
      </w:r>
      <w:r>
        <w:rPr>
          <w:color w:val="000000"/>
          <w:kern w:val="0"/>
          <w:lang/>
        </w:rPr>
        <w:t>）线路因素引起的修正量</w:t>
      </w:r>
      <w:r>
        <w:rPr>
          <w:rFonts w:hint="eastAsia"/>
          <w:color w:val="000000"/>
          <w:kern w:val="0"/>
          <w:lang/>
        </w:rPr>
        <w:t>（</w:t>
      </w:r>
      <w:r>
        <w:rPr>
          <w:color w:val="000000"/>
          <w:kern w:val="0"/>
          <w:lang/>
        </w:rPr>
        <w:t>△L</w:t>
      </w:r>
      <w:r>
        <w:rPr>
          <w:color w:val="000000"/>
          <w:kern w:val="0"/>
          <w:vertAlign w:val="subscript"/>
          <w:lang/>
        </w:rPr>
        <w:t>1</w:t>
      </w:r>
      <w:r>
        <w:rPr>
          <w:rFonts w:hint="eastAsia"/>
          <w:color w:val="000000"/>
          <w:kern w:val="0"/>
          <w:lang/>
        </w:rPr>
        <w:t>）</w:t>
      </w:r>
    </w:p>
    <w:p w:rsidR="00BC07F0" w:rsidRDefault="00073EFB">
      <w:pPr>
        <w:widowControl/>
        <w:ind w:firstLine="480"/>
        <w:rPr>
          <w:color w:val="000000"/>
          <w:kern w:val="0"/>
          <w:lang/>
        </w:rPr>
      </w:pPr>
      <w:r>
        <w:rPr>
          <w:rFonts w:hint="eastAsia"/>
          <w:color w:val="000000"/>
          <w:kern w:val="0"/>
          <w:lang/>
        </w:rPr>
        <w:t>1</w:t>
      </w:r>
      <w:r>
        <w:rPr>
          <w:rFonts w:hint="eastAsia"/>
          <w:color w:val="000000"/>
          <w:kern w:val="0"/>
          <w:lang/>
        </w:rPr>
        <w:t>）</w:t>
      </w:r>
      <w:r>
        <w:rPr>
          <w:color w:val="000000"/>
          <w:kern w:val="0"/>
          <w:lang/>
        </w:rPr>
        <w:t>纵坡修正量（</w:t>
      </w:r>
      <w:r>
        <w:rPr>
          <w:color w:val="000000"/>
          <w:kern w:val="0"/>
          <w:lang/>
        </w:rPr>
        <w:t>△L</w:t>
      </w:r>
      <w:r>
        <w:rPr>
          <w:color w:val="000000"/>
          <w:kern w:val="0"/>
          <w:vertAlign w:val="subscript"/>
          <w:lang/>
        </w:rPr>
        <w:t>坡度</w:t>
      </w:r>
      <w:r>
        <w:rPr>
          <w:color w:val="000000"/>
          <w:kern w:val="0"/>
          <w:lang/>
        </w:rPr>
        <w:t>）</w:t>
      </w:r>
    </w:p>
    <w:p w:rsidR="00BC07F0" w:rsidRDefault="00073EFB">
      <w:pPr>
        <w:widowControl/>
        <w:ind w:firstLine="480"/>
        <w:rPr>
          <w:color w:val="000000"/>
          <w:kern w:val="0"/>
          <w:lang/>
        </w:rPr>
      </w:pPr>
      <w:r>
        <w:rPr>
          <w:rFonts w:ascii="宋体" w:hAnsi="宋体" w:cs="宋体" w:hint="eastAsia"/>
          <w:color w:val="000000"/>
          <w:kern w:val="0"/>
          <w:lang/>
        </w:rPr>
        <w:t>道路纵坡修正量</w:t>
      </w:r>
      <w:r>
        <w:rPr>
          <w:color w:val="000000"/>
          <w:kern w:val="0"/>
          <w:lang/>
        </w:rPr>
        <w:t>△L</w:t>
      </w:r>
      <w:r>
        <w:rPr>
          <w:color w:val="000000"/>
          <w:kern w:val="0"/>
          <w:vertAlign w:val="subscript"/>
          <w:lang/>
        </w:rPr>
        <w:t>坡度</w:t>
      </w:r>
      <w:r>
        <w:rPr>
          <w:rFonts w:hint="eastAsia"/>
          <w:color w:val="000000"/>
          <w:kern w:val="0"/>
          <w:lang/>
        </w:rPr>
        <w:t>可按下式计算：</w:t>
      </w:r>
    </w:p>
    <w:p w:rsidR="00BC07F0" w:rsidRDefault="00073EFB">
      <w:pPr>
        <w:widowControl/>
        <w:ind w:firstLine="480"/>
        <w:jc w:val="center"/>
        <w:rPr>
          <w:color w:val="000000"/>
          <w:kern w:val="0"/>
          <w:lang/>
        </w:rPr>
      </w:pPr>
      <w:r>
        <w:rPr>
          <w:rFonts w:hint="eastAsia"/>
          <w:color w:val="000000"/>
          <w:kern w:val="0"/>
          <w:lang/>
        </w:rPr>
        <w:t>大型车：</w:t>
      </w:r>
      <w:r>
        <w:rPr>
          <w:color w:val="000000"/>
          <w:kern w:val="0"/>
          <w:lang/>
        </w:rPr>
        <w:t>△L</w:t>
      </w:r>
      <w:r>
        <w:rPr>
          <w:color w:val="000000"/>
          <w:kern w:val="0"/>
          <w:vertAlign w:val="subscript"/>
          <w:lang/>
        </w:rPr>
        <w:t>坡度</w:t>
      </w:r>
      <w:r>
        <w:rPr>
          <w:rFonts w:hint="eastAsia"/>
          <w:color w:val="000000"/>
          <w:kern w:val="0"/>
          <w:lang/>
        </w:rPr>
        <w:t>=9</w:t>
      </w:r>
      <w:r>
        <w:rPr>
          <w:color w:val="000000"/>
          <w:kern w:val="0"/>
          <w:lang/>
        </w:rPr>
        <w:t>8×βdB</w:t>
      </w:r>
      <w:r>
        <w:rPr>
          <w:color w:val="000000"/>
          <w:kern w:val="0"/>
          <w:lang/>
        </w:rPr>
        <w:t>（</w:t>
      </w:r>
      <w:r>
        <w:rPr>
          <w:color w:val="000000"/>
          <w:kern w:val="0"/>
          <w:lang/>
        </w:rPr>
        <w:t>A</w:t>
      </w:r>
      <w:r>
        <w:rPr>
          <w:color w:val="000000"/>
          <w:kern w:val="0"/>
          <w:lang/>
        </w:rPr>
        <w:t>）</w:t>
      </w:r>
    </w:p>
    <w:p w:rsidR="00BC07F0" w:rsidRDefault="00073EFB">
      <w:pPr>
        <w:widowControl/>
        <w:ind w:firstLine="480"/>
        <w:jc w:val="center"/>
        <w:rPr>
          <w:color w:val="000000"/>
          <w:kern w:val="0"/>
          <w:lang/>
        </w:rPr>
      </w:pPr>
      <w:r>
        <w:rPr>
          <w:color w:val="000000"/>
          <w:kern w:val="0"/>
          <w:lang/>
        </w:rPr>
        <w:t>中型车：</w:t>
      </w:r>
      <w:r>
        <w:rPr>
          <w:color w:val="000000"/>
          <w:kern w:val="0"/>
          <w:lang/>
        </w:rPr>
        <w:t>△L</w:t>
      </w:r>
      <w:r>
        <w:rPr>
          <w:color w:val="000000"/>
          <w:kern w:val="0"/>
          <w:vertAlign w:val="subscript"/>
          <w:lang/>
        </w:rPr>
        <w:t>坡度</w:t>
      </w:r>
      <w:r>
        <w:rPr>
          <w:color w:val="000000"/>
          <w:kern w:val="0"/>
          <w:lang/>
        </w:rPr>
        <w:t>=73×βdB</w:t>
      </w:r>
      <w:r>
        <w:rPr>
          <w:color w:val="000000"/>
          <w:kern w:val="0"/>
          <w:lang/>
        </w:rPr>
        <w:t>（</w:t>
      </w:r>
      <w:r>
        <w:rPr>
          <w:color w:val="000000"/>
          <w:kern w:val="0"/>
          <w:lang/>
        </w:rPr>
        <w:t>A</w:t>
      </w:r>
      <w:r>
        <w:rPr>
          <w:color w:val="000000"/>
          <w:kern w:val="0"/>
          <w:lang/>
        </w:rPr>
        <w:t>）</w:t>
      </w:r>
    </w:p>
    <w:p w:rsidR="00BC07F0" w:rsidRDefault="00073EFB">
      <w:pPr>
        <w:widowControl/>
        <w:ind w:firstLine="480"/>
        <w:jc w:val="center"/>
        <w:rPr>
          <w:color w:val="000000"/>
          <w:kern w:val="0"/>
          <w:lang/>
        </w:rPr>
      </w:pPr>
      <w:r>
        <w:rPr>
          <w:color w:val="000000"/>
          <w:kern w:val="0"/>
          <w:lang/>
        </w:rPr>
        <w:t>小型车：</w:t>
      </w:r>
      <w:r>
        <w:rPr>
          <w:color w:val="000000"/>
          <w:kern w:val="0"/>
          <w:lang/>
        </w:rPr>
        <w:t>△L</w:t>
      </w:r>
      <w:r>
        <w:rPr>
          <w:color w:val="000000"/>
          <w:kern w:val="0"/>
          <w:vertAlign w:val="subscript"/>
          <w:lang/>
        </w:rPr>
        <w:t>坡度</w:t>
      </w:r>
      <w:r>
        <w:rPr>
          <w:color w:val="000000"/>
          <w:kern w:val="0"/>
          <w:lang/>
        </w:rPr>
        <w:t>=50×βdB</w:t>
      </w:r>
      <w:r>
        <w:rPr>
          <w:color w:val="000000"/>
          <w:kern w:val="0"/>
          <w:lang/>
        </w:rPr>
        <w:t>（</w:t>
      </w:r>
      <w:r>
        <w:rPr>
          <w:color w:val="000000"/>
          <w:kern w:val="0"/>
          <w:lang/>
        </w:rPr>
        <w:t>A</w:t>
      </w:r>
      <w:r>
        <w:rPr>
          <w:color w:val="000000"/>
          <w:kern w:val="0"/>
          <w:lang/>
        </w:rPr>
        <w:t>）</w:t>
      </w:r>
    </w:p>
    <w:p w:rsidR="00BC07F0" w:rsidRDefault="00073EFB">
      <w:pPr>
        <w:widowControl/>
        <w:ind w:firstLine="480"/>
        <w:rPr>
          <w:color w:val="000000"/>
          <w:kern w:val="0"/>
          <w:lang/>
        </w:rPr>
      </w:pPr>
      <w:r>
        <w:rPr>
          <w:color w:val="000000"/>
          <w:kern w:val="0"/>
          <w:lang/>
        </w:rPr>
        <w:t>式中：</w:t>
      </w:r>
    </w:p>
    <w:p w:rsidR="00BC07F0" w:rsidRDefault="00073EFB">
      <w:pPr>
        <w:widowControl/>
        <w:ind w:firstLine="480"/>
        <w:rPr>
          <w:color w:val="000000"/>
          <w:kern w:val="0"/>
          <w:lang/>
        </w:rPr>
      </w:pPr>
      <w:r>
        <w:rPr>
          <w:color w:val="000000"/>
          <w:kern w:val="0"/>
          <w:lang/>
        </w:rPr>
        <w:t>△L</w:t>
      </w:r>
      <w:r>
        <w:rPr>
          <w:color w:val="000000"/>
          <w:kern w:val="0"/>
          <w:vertAlign w:val="subscript"/>
          <w:lang/>
        </w:rPr>
        <w:t>坡度</w:t>
      </w:r>
      <w:r>
        <w:rPr>
          <w:color w:val="000000"/>
          <w:kern w:val="0"/>
          <w:lang/>
        </w:rPr>
        <w:t>——</w:t>
      </w:r>
      <w:r>
        <w:rPr>
          <w:color w:val="000000"/>
          <w:kern w:val="0"/>
          <w:lang/>
        </w:rPr>
        <w:t>公路纵坡修正量；</w:t>
      </w:r>
    </w:p>
    <w:p w:rsidR="00BC07F0" w:rsidRDefault="00073EFB">
      <w:pPr>
        <w:widowControl/>
        <w:ind w:firstLine="480"/>
        <w:rPr>
          <w:color w:val="000000"/>
          <w:kern w:val="0"/>
          <w:lang/>
        </w:rPr>
      </w:pPr>
      <w:r>
        <w:rPr>
          <w:color w:val="000000"/>
          <w:kern w:val="0"/>
          <w:lang/>
        </w:rPr>
        <w:lastRenderedPageBreak/>
        <w:t>β——</w:t>
      </w:r>
      <w:r>
        <w:rPr>
          <w:color w:val="000000"/>
          <w:kern w:val="0"/>
          <w:lang/>
        </w:rPr>
        <w:t>公路纵坡坡度，项目平均路面坡度取</w:t>
      </w:r>
      <w:r>
        <w:rPr>
          <w:color w:val="000000"/>
          <w:kern w:val="0"/>
          <w:lang/>
        </w:rPr>
        <w:t>1.5%</w:t>
      </w:r>
      <w:r>
        <w:rPr>
          <w:color w:val="000000"/>
          <w:kern w:val="0"/>
          <w:lang/>
        </w:rPr>
        <w:t>。</w:t>
      </w:r>
    </w:p>
    <w:p w:rsidR="00BC07F0" w:rsidRDefault="00073EFB" w:rsidP="00C55F5E">
      <w:pPr>
        <w:ind w:firstLine="480"/>
      </w:pPr>
      <w:r>
        <w:rPr>
          <w:rFonts w:hint="eastAsia"/>
        </w:rPr>
        <w:t>2</w:t>
      </w:r>
      <w:r>
        <w:rPr>
          <w:rFonts w:hint="eastAsia"/>
        </w:rPr>
        <w:t>）路面修正量（</w:t>
      </w:r>
      <w:r>
        <w:t>△L</w:t>
      </w:r>
      <w:r>
        <w:rPr>
          <w:rFonts w:hint="eastAsia"/>
        </w:rPr>
        <w:t>路面）</w:t>
      </w:r>
    </w:p>
    <w:p w:rsidR="00BC07F0" w:rsidRDefault="00073EFB" w:rsidP="00C55F5E">
      <w:pPr>
        <w:ind w:firstLine="480"/>
      </w:pPr>
      <w:r>
        <w:rPr>
          <w:rFonts w:hint="eastAsia"/>
        </w:rPr>
        <w:t>不同路面噪声修正量见表</w:t>
      </w:r>
      <w:r>
        <w:rPr>
          <w:rFonts w:hint="eastAsia"/>
        </w:rPr>
        <w:t>4-3</w:t>
      </w:r>
      <w:r>
        <w:rPr>
          <w:rFonts w:hint="eastAsia"/>
        </w:rPr>
        <w:t>。</w:t>
      </w:r>
    </w:p>
    <w:p w:rsidR="00BC07F0" w:rsidRDefault="00073EFB">
      <w:pPr>
        <w:pStyle w:val="a7"/>
        <w:rPr>
          <w:rFonts w:hint="default"/>
          <w:b/>
          <w:bCs/>
        </w:rPr>
      </w:pPr>
      <w:r>
        <w:rPr>
          <w:b/>
          <w:bCs/>
        </w:rPr>
        <w:t>表</w:t>
      </w:r>
      <w:r>
        <w:rPr>
          <w:b/>
          <w:bCs/>
        </w:rPr>
        <w:t>4-3</w:t>
      </w:r>
      <w:r>
        <w:rPr>
          <w:b/>
          <w:bCs/>
        </w:rPr>
        <w:t>常见路面噪声修正量</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1"/>
        <w:gridCol w:w="2108"/>
        <w:gridCol w:w="2109"/>
        <w:gridCol w:w="2109"/>
      </w:tblGrid>
      <w:tr w:rsidR="00BC07F0">
        <w:trPr>
          <w:trHeight w:val="397"/>
        </w:trPr>
        <w:tc>
          <w:tcPr>
            <w:tcW w:w="2130" w:type="dxa"/>
            <w:vMerge w:val="restart"/>
            <w:vAlign w:val="center"/>
          </w:tcPr>
          <w:p w:rsidR="00BC07F0" w:rsidRDefault="00073EFB">
            <w:pPr>
              <w:pStyle w:val="a7"/>
              <w:rPr>
                <w:rFonts w:hint="default"/>
              </w:rPr>
            </w:pPr>
            <w:r>
              <w:t>路面类型</w:t>
            </w:r>
          </w:p>
        </w:tc>
        <w:tc>
          <w:tcPr>
            <w:tcW w:w="6392" w:type="dxa"/>
            <w:gridSpan w:val="3"/>
            <w:vAlign w:val="center"/>
          </w:tcPr>
          <w:p w:rsidR="00BC07F0" w:rsidRDefault="00073EFB">
            <w:pPr>
              <w:pStyle w:val="a7"/>
              <w:rPr>
                <w:rFonts w:hint="default"/>
              </w:rPr>
            </w:pPr>
            <w:r>
              <w:t>不同行驶速度修正量</w:t>
            </w:r>
            <w:r>
              <w:t>/</w:t>
            </w:r>
            <w:r>
              <w:t>（</w:t>
            </w:r>
            <w:r>
              <w:t>km/h</w:t>
            </w:r>
            <w:r>
              <w:t>）</w:t>
            </w:r>
          </w:p>
        </w:tc>
      </w:tr>
      <w:tr w:rsidR="00BC07F0">
        <w:trPr>
          <w:trHeight w:val="397"/>
        </w:trPr>
        <w:tc>
          <w:tcPr>
            <w:tcW w:w="2130" w:type="dxa"/>
            <w:vMerge/>
            <w:vAlign w:val="center"/>
          </w:tcPr>
          <w:p w:rsidR="00BC07F0" w:rsidRDefault="00BC07F0">
            <w:pPr>
              <w:pStyle w:val="a7"/>
              <w:rPr>
                <w:rFonts w:hint="default"/>
              </w:rPr>
            </w:pPr>
          </w:p>
        </w:tc>
        <w:tc>
          <w:tcPr>
            <w:tcW w:w="2130" w:type="dxa"/>
            <w:vAlign w:val="center"/>
          </w:tcPr>
          <w:p w:rsidR="00BC07F0" w:rsidRDefault="00073EFB">
            <w:pPr>
              <w:pStyle w:val="a7"/>
              <w:rPr>
                <w:rFonts w:hint="default"/>
              </w:rPr>
            </w:pPr>
            <w:r>
              <w:t>30</w:t>
            </w:r>
          </w:p>
        </w:tc>
        <w:tc>
          <w:tcPr>
            <w:tcW w:w="2131" w:type="dxa"/>
            <w:vAlign w:val="center"/>
          </w:tcPr>
          <w:p w:rsidR="00BC07F0" w:rsidRDefault="00073EFB">
            <w:pPr>
              <w:pStyle w:val="a7"/>
              <w:rPr>
                <w:rFonts w:hint="default"/>
              </w:rPr>
            </w:pPr>
            <w:r>
              <w:t>40</w:t>
            </w:r>
          </w:p>
        </w:tc>
        <w:tc>
          <w:tcPr>
            <w:tcW w:w="2131" w:type="dxa"/>
            <w:vAlign w:val="center"/>
          </w:tcPr>
          <w:p w:rsidR="00BC07F0" w:rsidRDefault="00073EFB">
            <w:pPr>
              <w:pStyle w:val="a7"/>
              <w:rPr>
                <w:rFonts w:hint="default"/>
              </w:rPr>
            </w:pPr>
            <w:r>
              <w:t>≧</w:t>
            </w:r>
            <w:r>
              <w:t>50</w:t>
            </w:r>
          </w:p>
        </w:tc>
      </w:tr>
      <w:tr w:rsidR="00BC07F0">
        <w:trPr>
          <w:trHeight w:val="397"/>
        </w:trPr>
        <w:tc>
          <w:tcPr>
            <w:tcW w:w="2130" w:type="dxa"/>
            <w:vAlign w:val="center"/>
          </w:tcPr>
          <w:p w:rsidR="00BC07F0" w:rsidRDefault="00073EFB">
            <w:pPr>
              <w:pStyle w:val="a7"/>
              <w:rPr>
                <w:rFonts w:hint="default"/>
              </w:rPr>
            </w:pPr>
            <w:r>
              <w:t>沥青混泥土</w:t>
            </w:r>
            <w:r>
              <w:t>/dB</w:t>
            </w:r>
            <w:r>
              <w:t>（</w:t>
            </w:r>
            <w:r>
              <w:t>A</w:t>
            </w:r>
            <w:r>
              <w:t>）</w:t>
            </w:r>
          </w:p>
        </w:tc>
        <w:tc>
          <w:tcPr>
            <w:tcW w:w="2130" w:type="dxa"/>
            <w:vAlign w:val="center"/>
          </w:tcPr>
          <w:p w:rsidR="00BC07F0" w:rsidRDefault="00073EFB">
            <w:pPr>
              <w:pStyle w:val="a7"/>
              <w:rPr>
                <w:rFonts w:hint="default"/>
              </w:rPr>
            </w:pPr>
            <w:r>
              <w:t>0</w:t>
            </w:r>
          </w:p>
        </w:tc>
        <w:tc>
          <w:tcPr>
            <w:tcW w:w="2131" w:type="dxa"/>
            <w:vAlign w:val="center"/>
          </w:tcPr>
          <w:p w:rsidR="00BC07F0" w:rsidRDefault="00073EFB">
            <w:pPr>
              <w:pStyle w:val="a7"/>
              <w:rPr>
                <w:rFonts w:hint="default"/>
              </w:rPr>
            </w:pPr>
            <w:r>
              <w:t>0</w:t>
            </w:r>
          </w:p>
        </w:tc>
        <w:tc>
          <w:tcPr>
            <w:tcW w:w="2131" w:type="dxa"/>
            <w:vAlign w:val="center"/>
          </w:tcPr>
          <w:p w:rsidR="00BC07F0" w:rsidRDefault="00073EFB">
            <w:pPr>
              <w:pStyle w:val="a7"/>
              <w:rPr>
                <w:rFonts w:hint="default"/>
              </w:rPr>
            </w:pPr>
            <w:r>
              <w:t>0</w:t>
            </w:r>
          </w:p>
        </w:tc>
      </w:tr>
      <w:tr w:rsidR="00BC07F0">
        <w:trPr>
          <w:trHeight w:val="397"/>
        </w:trPr>
        <w:tc>
          <w:tcPr>
            <w:tcW w:w="2130" w:type="dxa"/>
            <w:vAlign w:val="center"/>
          </w:tcPr>
          <w:p w:rsidR="00BC07F0" w:rsidRDefault="00073EFB">
            <w:pPr>
              <w:pStyle w:val="a7"/>
              <w:rPr>
                <w:rFonts w:hint="default"/>
              </w:rPr>
            </w:pPr>
            <w:r>
              <w:t>水泥混泥土</w:t>
            </w:r>
            <w:r>
              <w:t>/dB</w:t>
            </w:r>
            <w:r>
              <w:t>（</w:t>
            </w:r>
            <w:r>
              <w:t>A</w:t>
            </w:r>
            <w:r>
              <w:t>）</w:t>
            </w:r>
          </w:p>
        </w:tc>
        <w:tc>
          <w:tcPr>
            <w:tcW w:w="2130" w:type="dxa"/>
            <w:vAlign w:val="center"/>
          </w:tcPr>
          <w:p w:rsidR="00BC07F0" w:rsidRDefault="00073EFB">
            <w:pPr>
              <w:pStyle w:val="a7"/>
              <w:rPr>
                <w:rFonts w:hint="default"/>
              </w:rPr>
            </w:pPr>
            <w:r>
              <w:t>1.0</w:t>
            </w:r>
          </w:p>
        </w:tc>
        <w:tc>
          <w:tcPr>
            <w:tcW w:w="2131" w:type="dxa"/>
            <w:vAlign w:val="center"/>
          </w:tcPr>
          <w:p w:rsidR="00BC07F0" w:rsidRDefault="00073EFB">
            <w:pPr>
              <w:pStyle w:val="a7"/>
              <w:rPr>
                <w:rFonts w:hint="default"/>
              </w:rPr>
            </w:pPr>
            <w:r>
              <w:t>1.5</w:t>
            </w:r>
          </w:p>
        </w:tc>
        <w:tc>
          <w:tcPr>
            <w:tcW w:w="2131" w:type="dxa"/>
            <w:vAlign w:val="center"/>
          </w:tcPr>
          <w:p w:rsidR="00BC07F0" w:rsidRDefault="00073EFB">
            <w:pPr>
              <w:pStyle w:val="a7"/>
              <w:rPr>
                <w:rFonts w:hint="default"/>
              </w:rPr>
            </w:pPr>
            <w:r>
              <w:t>2.0</w:t>
            </w:r>
          </w:p>
        </w:tc>
      </w:tr>
    </w:tbl>
    <w:p w:rsidR="00BC07F0" w:rsidRDefault="00073EFB">
      <w:pPr>
        <w:widowControl/>
        <w:ind w:firstLine="480"/>
        <w:rPr>
          <w:rFonts w:cs="Times New Roman"/>
          <w:color w:val="000000"/>
          <w:kern w:val="0"/>
          <w:lang/>
        </w:rPr>
      </w:pPr>
      <w:r>
        <w:rPr>
          <w:rFonts w:cs="Times New Roman"/>
          <w:color w:val="000000"/>
          <w:kern w:val="0"/>
          <w:lang/>
        </w:rPr>
        <w:t>本项目采用沥青混泥土路面，设计车速为</w:t>
      </w:r>
      <w:r>
        <w:rPr>
          <w:rFonts w:cs="Times New Roman"/>
          <w:color w:val="000000"/>
          <w:kern w:val="0"/>
          <w:lang/>
        </w:rPr>
        <w:t>60km/h</w:t>
      </w:r>
      <w:r>
        <w:rPr>
          <w:rFonts w:cs="Times New Roman" w:hint="eastAsia"/>
          <w:color w:val="000000"/>
          <w:kern w:val="0"/>
          <w:lang/>
        </w:rPr>
        <w:t>，</w:t>
      </w:r>
      <w:r>
        <w:rPr>
          <w:rFonts w:cs="Times New Roman"/>
          <w:color w:val="000000"/>
          <w:kern w:val="0"/>
          <w:lang/>
        </w:rPr>
        <w:t>路面修正量为</w:t>
      </w:r>
      <w:r>
        <w:rPr>
          <w:rFonts w:cs="Times New Roman"/>
          <w:color w:val="000000"/>
          <w:kern w:val="0"/>
          <w:lang/>
        </w:rPr>
        <w:t>0</w:t>
      </w:r>
      <w:r>
        <w:rPr>
          <w:rFonts w:cs="Times New Roman"/>
          <w:color w:val="000000"/>
          <w:kern w:val="0"/>
          <w:lang/>
        </w:rPr>
        <w:t>。</w:t>
      </w:r>
    </w:p>
    <w:p w:rsidR="00BC07F0" w:rsidRDefault="00073EFB">
      <w:pPr>
        <w:widowControl/>
        <w:ind w:firstLine="480"/>
        <w:rPr>
          <w:rFonts w:cs="Times New Roman"/>
          <w:color w:val="000000"/>
          <w:kern w:val="0"/>
          <w:vertAlign w:val="subscript"/>
          <w:lang/>
        </w:rPr>
      </w:pPr>
      <w:r>
        <w:rPr>
          <w:rFonts w:cs="Times New Roman"/>
          <w:color w:val="000000"/>
          <w:kern w:val="0"/>
          <w:lang/>
        </w:rPr>
        <w:t>（</w:t>
      </w:r>
      <w:r>
        <w:rPr>
          <w:rFonts w:cs="Times New Roman"/>
          <w:color w:val="000000"/>
          <w:kern w:val="0"/>
          <w:lang/>
        </w:rPr>
        <w:t>3</w:t>
      </w:r>
      <w:r>
        <w:rPr>
          <w:rFonts w:cs="Times New Roman"/>
          <w:color w:val="000000"/>
          <w:kern w:val="0"/>
          <w:lang/>
        </w:rPr>
        <w:t>）声波传播途径中引起的衰减量（</w:t>
      </w:r>
      <w:r>
        <w:rPr>
          <w:rFonts w:cs="Times New Roman"/>
          <w:color w:val="000000"/>
          <w:kern w:val="0"/>
          <w:lang/>
        </w:rPr>
        <w:t>△L</w:t>
      </w:r>
      <w:r>
        <w:rPr>
          <w:rFonts w:cs="Times New Roman"/>
          <w:color w:val="000000"/>
          <w:kern w:val="0"/>
          <w:vertAlign w:val="subscript"/>
          <w:lang/>
        </w:rPr>
        <w:t>2</w:t>
      </w:r>
      <w:r>
        <w:rPr>
          <w:rFonts w:cs="Times New Roman"/>
          <w:color w:val="000000"/>
          <w:kern w:val="0"/>
          <w:lang/>
        </w:rPr>
        <w:t>）</w:t>
      </w:r>
    </w:p>
    <w:p w:rsidR="00BC07F0" w:rsidRDefault="00073EFB">
      <w:pPr>
        <w:widowControl/>
        <w:ind w:firstLine="480"/>
        <w:rPr>
          <w:rFonts w:cs="Times New Roman"/>
          <w:color w:val="000000"/>
          <w:kern w:val="0"/>
          <w:vertAlign w:val="subscript"/>
          <w:lang/>
        </w:rPr>
      </w:pPr>
      <w:r>
        <w:rPr>
          <w:rFonts w:cs="Times New Roman"/>
          <w:color w:val="000000"/>
          <w:kern w:val="0"/>
          <w:lang/>
        </w:rPr>
        <w:t>1</w:t>
      </w:r>
      <w:r>
        <w:rPr>
          <w:rFonts w:cs="Times New Roman"/>
          <w:color w:val="000000"/>
          <w:kern w:val="0"/>
          <w:lang/>
        </w:rPr>
        <w:t>）大气吸收引起的衰减</w:t>
      </w:r>
      <w:r>
        <w:rPr>
          <w:rFonts w:cs="Times New Roman"/>
          <w:color w:val="000000"/>
          <w:kern w:val="0"/>
          <w:lang/>
        </w:rPr>
        <w:t>A</w:t>
      </w:r>
      <w:r>
        <w:rPr>
          <w:rFonts w:cs="Times New Roman"/>
          <w:color w:val="000000"/>
          <w:kern w:val="0"/>
          <w:vertAlign w:val="subscript"/>
          <w:lang/>
        </w:rPr>
        <w:t>atm</w:t>
      </w:r>
    </w:p>
    <w:p w:rsidR="00BC07F0" w:rsidRDefault="00073EFB">
      <w:pPr>
        <w:widowControl/>
        <w:ind w:firstLine="480"/>
        <w:rPr>
          <w:rFonts w:cs="Times New Roman"/>
          <w:color w:val="000000"/>
          <w:kern w:val="0"/>
          <w:lang/>
        </w:rPr>
      </w:pPr>
      <w:r>
        <w:rPr>
          <w:rFonts w:cs="Times New Roman"/>
          <w:color w:val="000000"/>
          <w:kern w:val="0"/>
          <w:lang/>
        </w:rPr>
        <w:t>大气吸收引起的衰减按下式计算：</w:t>
      </w:r>
    </w:p>
    <w:p w:rsidR="00BC07F0" w:rsidRDefault="00BC07F0">
      <w:pPr>
        <w:widowControl/>
        <w:ind w:firstLine="480"/>
        <w:jc w:val="center"/>
        <w:rPr>
          <w:rFonts w:ascii="宋体" w:hAnsi="宋体" w:cs="宋体"/>
          <w:color w:val="000000"/>
          <w:kern w:val="0"/>
          <w:lang/>
        </w:rPr>
      </w:pPr>
      <w:r w:rsidRPr="00BC07F0">
        <w:rPr>
          <w:rFonts w:ascii="宋体" w:hAnsi="宋体" w:cs="宋体" w:hint="eastAsia"/>
          <w:color w:val="000000"/>
          <w:kern w:val="0"/>
          <w:position w:val="-24"/>
          <w:lang/>
        </w:rPr>
        <w:object w:dxaOrig="1579" w:dyaOrig="620">
          <v:shape id="_x0000_i1033" type="#_x0000_t75" style="width:78.85pt;height:30.85pt" o:ole="">
            <v:imagedata r:id="rId55" o:title=""/>
          </v:shape>
          <o:OLEObject Type="Embed" ProgID="Equations" ShapeID="_x0000_i1033" DrawAspect="Content" ObjectID="_1746346137" r:id="rId56"/>
        </w:object>
      </w:r>
    </w:p>
    <w:p w:rsidR="00BC07F0" w:rsidRDefault="00073EFB">
      <w:pPr>
        <w:widowControl/>
        <w:ind w:firstLine="480"/>
        <w:rPr>
          <w:color w:val="000000"/>
          <w:kern w:val="0"/>
          <w:lang/>
        </w:rPr>
      </w:pPr>
      <w:r>
        <w:rPr>
          <w:color w:val="000000"/>
          <w:kern w:val="0"/>
          <w:lang/>
        </w:rPr>
        <w:t>式中：</w:t>
      </w:r>
    </w:p>
    <w:p w:rsidR="00BC07F0" w:rsidRDefault="00073EFB">
      <w:pPr>
        <w:widowControl/>
        <w:ind w:firstLine="480"/>
        <w:rPr>
          <w:color w:val="000000"/>
          <w:kern w:val="0"/>
          <w:lang/>
        </w:rPr>
      </w:pPr>
      <w:r>
        <w:rPr>
          <w:color w:val="000000"/>
          <w:kern w:val="0"/>
          <w:lang/>
        </w:rPr>
        <w:t>A</w:t>
      </w:r>
      <w:r>
        <w:rPr>
          <w:color w:val="000000"/>
          <w:kern w:val="0"/>
          <w:vertAlign w:val="subscript"/>
          <w:lang/>
        </w:rPr>
        <w:t>atm</w:t>
      </w:r>
      <w:r>
        <w:rPr>
          <w:color w:val="000000"/>
          <w:kern w:val="0"/>
          <w:lang/>
        </w:rPr>
        <w:t>——</w:t>
      </w:r>
      <w:r>
        <w:rPr>
          <w:color w:val="000000"/>
          <w:kern w:val="0"/>
          <w:lang/>
        </w:rPr>
        <w:t>大气吸收衰减量，</w:t>
      </w:r>
      <w:r>
        <w:rPr>
          <w:color w:val="000000"/>
          <w:kern w:val="0"/>
          <w:lang/>
        </w:rPr>
        <w:t>dB</w:t>
      </w:r>
      <w:r>
        <w:rPr>
          <w:color w:val="000000"/>
          <w:kern w:val="0"/>
          <w:lang/>
        </w:rPr>
        <w:t>；</w:t>
      </w:r>
    </w:p>
    <w:p w:rsidR="00BC07F0" w:rsidRDefault="00073EFB">
      <w:pPr>
        <w:widowControl/>
        <w:ind w:firstLine="480"/>
        <w:rPr>
          <w:color w:val="000000"/>
          <w:kern w:val="0"/>
          <w:lang/>
        </w:rPr>
      </w:pPr>
      <w:r>
        <w:rPr>
          <w:color w:val="000000"/>
          <w:kern w:val="0"/>
          <w:lang/>
        </w:rPr>
        <w:t>α——</w:t>
      </w:r>
      <w:r>
        <w:rPr>
          <w:color w:val="000000"/>
          <w:kern w:val="0"/>
          <w:lang/>
        </w:rPr>
        <w:t>与温度、湿度和声波频率的函数，根据建设项目所处区域常年平均气温和湿度选择相应的空气吸收系数</w:t>
      </w:r>
      <w:r>
        <w:rPr>
          <w:rFonts w:hint="eastAsia"/>
          <w:color w:val="000000"/>
          <w:kern w:val="0"/>
          <w:lang/>
        </w:rPr>
        <w:t>（见表</w:t>
      </w:r>
      <w:r>
        <w:rPr>
          <w:rFonts w:hint="eastAsia"/>
          <w:color w:val="000000"/>
          <w:kern w:val="0"/>
          <w:lang/>
        </w:rPr>
        <w:t>4-4</w:t>
      </w:r>
      <w:r>
        <w:rPr>
          <w:rFonts w:hint="eastAsia"/>
          <w:color w:val="000000"/>
          <w:kern w:val="0"/>
          <w:lang/>
        </w:rPr>
        <w:t>），本项目取</w:t>
      </w:r>
      <w:r>
        <w:rPr>
          <w:color w:val="000000"/>
          <w:kern w:val="0"/>
          <w:lang/>
        </w:rPr>
        <w:t>α</w:t>
      </w:r>
      <w:r>
        <w:rPr>
          <w:rFonts w:hint="eastAsia"/>
          <w:color w:val="000000"/>
          <w:kern w:val="0"/>
          <w:lang/>
        </w:rPr>
        <w:t>=2.4dB/km</w:t>
      </w:r>
      <w:r>
        <w:rPr>
          <w:rFonts w:hint="eastAsia"/>
          <w:color w:val="000000"/>
          <w:kern w:val="0"/>
          <w:lang/>
        </w:rPr>
        <w:t>；</w:t>
      </w:r>
    </w:p>
    <w:p w:rsidR="00BC07F0" w:rsidRDefault="00073EFB">
      <w:pPr>
        <w:widowControl/>
        <w:ind w:firstLine="480"/>
        <w:rPr>
          <w:color w:val="000000"/>
          <w:kern w:val="0"/>
          <w:lang/>
        </w:rPr>
      </w:pPr>
      <w:r>
        <w:rPr>
          <w:rFonts w:hint="eastAsia"/>
          <w:color w:val="000000"/>
          <w:kern w:val="0"/>
          <w:lang/>
        </w:rPr>
        <w:t>r</w:t>
      </w:r>
      <w:r>
        <w:rPr>
          <w:color w:val="000000"/>
          <w:kern w:val="0"/>
          <w:lang/>
        </w:rPr>
        <w:t>——</w:t>
      </w:r>
      <w:r>
        <w:rPr>
          <w:rFonts w:hint="eastAsia"/>
          <w:color w:val="000000"/>
          <w:kern w:val="0"/>
          <w:lang/>
        </w:rPr>
        <w:t>预测点距声源的距离；</w:t>
      </w:r>
    </w:p>
    <w:p w:rsidR="00BC07F0" w:rsidRDefault="00073EFB">
      <w:pPr>
        <w:widowControl/>
        <w:ind w:firstLine="480"/>
        <w:rPr>
          <w:color w:val="000000"/>
          <w:kern w:val="0"/>
          <w:lang/>
        </w:rPr>
      </w:pPr>
      <w:r>
        <w:rPr>
          <w:rFonts w:hint="eastAsia"/>
          <w:color w:val="000000"/>
          <w:kern w:val="0"/>
          <w:lang/>
        </w:rPr>
        <w:t>r</w:t>
      </w:r>
      <w:r>
        <w:rPr>
          <w:rFonts w:hint="eastAsia"/>
          <w:color w:val="000000"/>
          <w:kern w:val="0"/>
          <w:vertAlign w:val="subscript"/>
          <w:lang/>
        </w:rPr>
        <w:t>0</w:t>
      </w:r>
      <w:r>
        <w:rPr>
          <w:color w:val="000000"/>
          <w:kern w:val="0"/>
          <w:lang/>
        </w:rPr>
        <w:t>——</w:t>
      </w:r>
      <w:r>
        <w:rPr>
          <w:rFonts w:hint="eastAsia"/>
          <w:color w:val="000000"/>
          <w:kern w:val="0"/>
          <w:lang/>
        </w:rPr>
        <w:t>参考位置距声源的距离。</w:t>
      </w:r>
    </w:p>
    <w:p w:rsidR="00BC07F0" w:rsidRDefault="00073EFB">
      <w:pPr>
        <w:pStyle w:val="a7"/>
        <w:rPr>
          <w:rFonts w:hint="default"/>
          <w:b/>
          <w:bCs/>
        </w:rPr>
      </w:pPr>
      <w:r>
        <w:rPr>
          <w:b/>
          <w:bCs/>
        </w:rPr>
        <w:t>表</w:t>
      </w:r>
      <w:r>
        <w:rPr>
          <w:b/>
          <w:bCs/>
        </w:rPr>
        <w:t>4-4</w:t>
      </w:r>
      <w:r>
        <w:rPr>
          <w:b/>
          <w:bCs/>
        </w:rPr>
        <w:t>倍频带噪声的大气吸收衰减系数</w:t>
      </w:r>
      <w:r>
        <w:rPr>
          <w:b/>
          <w:bCs/>
        </w:rPr>
        <w:t>α</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2"/>
        <w:gridCol w:w="844"/>
        <w:gridCol w:w="841"/>
        <w:gridCol w:w="842"/>
        <w:gridCol w:w="842"/>
        <w:gridCol w:w="842"/>
        <w:gridCol w:w="845"/>
        <w:gridCol w:w="845"/>
        <w:gridCol w:w="846"/>
        <w:gridCol w:w="848"/>
      </w:tblGrid>
      <w:tr w:rsidR="00BC07F0">
        <w:trPr>
          <w:trHeight w:val="397"/>
          <w:jc w:val="center"/>
        </w:trPr>
        <w:tc>
          <w:tcPr>
            <w:tcW w:w="852" w:type="dxa"/>
            <w:vMerge w:val="restart"/>
            <w:vAlign w:val="center"/>
          </w:tcPr>
          <w:p w:rsidR="00BC07F0" w:rsidRDefault="00073EFB">
            <w:pPr>
              <w:pStyle w:val="a7"/>
              <w:rPr>
                <w:rFonts w:hint="default"/>
              </w:rPr>
            </w:pPr>
            <w:r>
              <w:t>温度</w:t>
            </w:r>
            <w:r>
              <w:t>/</w:t>
            </w:r>
            <w:r>
              <w:t>℃</w:t>
            </w:r>
          </w:p>
        </w:tc>
        <w:tc>
          <w:tcPr>
            <w:tcW w:w="852" w:type="dxa"/>
            <w:vMerge w:val="restart"/>
            <w:vAlign w:val="center"/>
          </w:tcPr>
          <w:p w:rsidR="00BC07F0" w:rsidRDefault="00073EFB">
            <w:pPr>
              <w:pStyle w:val="a7"/>
              <w:rPr>
                <w:rFonts w:hint="default"/>
              </w:rPr>
            </w:pPr>
            <w:r>
              <w:t>相对湿度</w:t>
            </w:r>
            <w:r>
              <w:t>%</w:t>
            </w:r>
          </w:p>
        </w:tc>
        <w:tc>
          <w:tcPr>
            <w:tcW w:w="6818" w:type="dxa"/>
            <w:gridSpan w:val="8"/>
            <w:vAlign w:val="center"/>
          </w:tcPr>
          <w:p w:rsidR="00BC07F0" w:rsidRDefault="00073EFB">
            <w:pPr>
              <w:pStyle w:val="a7"/>
              <w:rPr>
                <w:rFonts w:hint="default"/>
              </w:rPr>
            </w:pPr>
            <w:r>
              <w:t>大气吸收衰减吸收</w:t>
            </w:r>
            <w:r>
              <w:t>α</w:t>
            </w:r>
            <w:r>
              <w:t>/</w:t>
            </w:r>
            <w:r>
              <w:t>（</w:t>
            </w:r>
            <w:r>
              <w:t>dB/km</w:t>
            </w:r>
            <w:r>
              <w:t>）</w:t>
            </w:r>
          </w:p>
        </w:tc>
      </w:tr>
      <w:tr w:rsidR="00BC07F0">
        <w:trPr>
          <w:trHeight w:val="397"/>
          <w:jc w:val="center"/>
        </w:trPr>
        <w:tc>
          <w:tcPr>
            <w:tcW w:w="852" w:type="dxa"/>
            <w:vMerge/>
            <w:vAlign w:val="center"/>
          </w:tcPr>
          <w:p w:rsidR="00BC07F0" w:rsidRDefault="00BC07F0">
            <w:pPr>
              <w:pStyle w:val="a7"/>
              <w:rPr>
                <w:rFonts w:hint="default"/>
              </w:rPr>
            </w:pPr>
          </w:p>
        </w:tc>
        <w:tc>
          <w:tcPr>
            <w:tcW w:w="852" w:type="dxa"/>
            <w:vMerge/>
            <w:vAlign w:val="center"/>
          </w:tcPr>
          <w:p w:rsidR="00BC07F0" w:rsidRDefault="00BC07F0">
            <w:pPr>
              <w:pStyle w:val="a7"/>
              <w:rPr>
                <w:rFonts w:hint="default"/>
              </w:rPr>
            </w:pPr>
          </w:p>
        </w:tc>
        <w:tc>
          <w:tcPr>
            <w:tcW w:w="6818" w:type="dxa"/>
            <w:gridSpan w:val="8"/>
            <w:vAlign w:val="center"/>
          </w:tcPr>
          <w:p w:rsidR="00BC07F0" w:rsidRDefault="00073EFB">
            <w:pPr>
              <w:pStyle w:val="a7"/>
              <w:rPr>
                <w:rFonts w:hint="default"/>
              </w:rPr>
            </w:pPr>
            <w:r>
              <w:t>倍频带中心频率</w:t>
            </w:r>
            <w:r>
              <w:t>/Hz</w:t>
            </w:r>
          </w:p>
        </w:tc>
      </w:tr>
      <w:tr w:rsidR="00BC07F0">
        <w:trPr>
          <w:trHeight w:val="397"/>
          <w:jc w:val="center"/>
        </w:trPr>
        <w:tc>
          <w:tcPr>
            <w:tcW w:w="852" w:type="dxa"/>
            <w:vMerge/>
            <w:vAlign w:val="center"/>
          </w:tcPr>
          <w:p w:rsidR="00BC07F0" w:rsidRDefault="00BC07F0">
            <w:pPr>
              <w:pStyle w:val="a7"/>
              <w:rPr>
                <w:rFonts w:hint="default"/>
              </w:rPr>
            </w:pPr>
          </w:p>
        </w:tc>
        <w:tc>
          <w:tcPr>
            <w:tcW w:w="852" w:type="dxa"/>
            <w:vMerge/>
            <w:vAlign w:val="center"/>
          </w:tcPr>
          <w:p w:rsidR="00BC07F0" w:rsidRDefault="00BC07F0">
            <w:pPr>
              <w:pStyle w:val="a7"/>
              <w:rPr>
                <w:rFonts w:hint="default"/>
              </w:rPr>
            </w:pPr>
          </w:p>
        </w:tc>
        <w:tc>
          <w:tcPr>
            <w:tcW w:w="852" w:type="dxa"/>
            <w:vAlign w:val="center"/>
          </w:tcPr>
          <w:p w:rsidR="00BC07F0" w:rsidRDefault="00073EFB">
            <w:pPr>
              <w:pStyle w:val="a7"/>
              <w:rPr>
                <w:rFonts w:hint="default"/>
              </w:rPr>
            </w:pPr>
            <w:r>
              <w:t>63</w:t>
            </w:r>
          </w:p>
        </w:tc>
        <w:tc>
          <w:tcPr>
            <w:tcW w:w="852" w:type="dxa"/>
            <w:vAlign w:val="center"/>
          </w:tcPr>
          <w:p w:rsidR="00BC07F0" w:rsidRDefault="00073EFB">
            <w:pPr>
              <w:pStyle w:val="a7"/>
              <w:rPr>
                <w:rFonts w:hint="default"/>
              </w:rPr>
            </w:pPr>
            <w:r>
              <w:t>125</w:t>
            </w:r>
          </w:p>
        </w:tc>
        <w:tc>
          <w:tcPr>
            <w:tcW w:w="852" w:type="dxa"/>
            <w:vAlign w:val="center"/>
          </w:tcPr>
          <w:p w:rsidR="00BC07F0" w:rsidRDefault="00073EFB">
            <w:pPr>
              <w:pStyle w:val="a7"/>
              <w:rPr>
                <w:rFonts w:hint="default"/>
              </w:rPr>
            </w:pPr>
            <w:r>
              <w:t>250</w:t>
            </w:r>
          </w:p>
        </w:tc>
        <w:tc>
          <w:tcPr>
            <w:tcW w:w="852" w:type="dxa"/>
            <w:vAlign w:val="center"/>
          </w:tcPr>
          <w:p w:rsidR="00BC07F0" w:rsidRDefault="00073EFB">
            <w:pPr>
              <w:pStyle w:val="a7"/>
              <w:rPr>
                <w:rFonts w:hint="default"/>
              </w:rPr>
            </w:pPr>
            <w:r>
              <w:t>500</w:t>
            </w:r>
          </w:p>
        </w:tc>
        <w:tc>
          <w:tcPr>
            <w:tcW w:w="852" w:type="dxa"/>
            <w:vAlign w:val="center"/>
          </w:tcPr>
          <w:p w:rsidR="00BC07F0" w:rsidRDefault="00073EFB">
            <w:pPr>
              <w:pStyle w:val="a7"/>
              <w:rPr>
                <w:rFonts w:hint="default"/>
              </w:rPr>
            </w:pPr>
            <w:r>
              <w:t>1000</w:t>
            </w:r>
          </w:p>
        </w:tc>
        <w:tc>
          <w:tcPr>
            <w:tcW w:w="852" w:type="dxa"/>
            <w:vAlign w:val="center"/>
          </w:tcPr>
          <w:p w:rsidR="00BC07F0" w:rsidRDefault="00073EFB">
            <w:pPr>
              <w:pStyle w:val="a7"/>
              <w:rPr>
                <w:rFonts w:hint="default"/>
              </w:rPr>
            </w:pPr>
            <w:r>
              <w:t>2000</w:t>
            </w:r>
          </w:p>
        </w:tc>
        <w:tc>
          <w:tcPr>
            <w:tcW w:w="853" w:type="dxa"/>
            <w:vAlign w:val="center"/>
          </w:tcPr>
          <w:p w:rsidR="00BC07F0" w:rsidRDefault="00073EFB">
            <w:pPr>
              <w:pStyle w:val="a7"/>
              <w:rPr>
                <w:rFonts w:hint="default"/>
              </w:rPr>
            </w:pPr>
            <w:r>
              <w:t>4000</w:t>
            </w:r>
          </w:p>
        </w:tc>
        <w:tc>
          <w:tcPr>
            <w:tcW w:w="853" w:type="dxa"/>
            <w:vAlign w:val="center"/>
          </w:tcPr>
          <w:p w:rsidR="00BC07F0" w:rsidRDefault="00073EFB">
            <w:pPr>
              <w:pStyle w:val="a7"/>
              <w:rPr>
                <w:rFonts w:hint="default"/>
              </w:rPr>
            </w:pPr>
            <w:r>
              <w:t>8000</w:t>
            </w:r>
          </w:p>
        </w:tc>
      </w:tr>
      <w:tr w:rsidR="00BC07F0">
        <w:trPr>
          <w:trHeight w:val="397"/>
          <w:jc w:val="center"/>
        </w:trPr>
        <w:tc>
          <w:tcPr>
            <w:tcW w:w="852" w:type="dxa"/>
            <w:vAlign w:val="center"/>
          </w:tcPr>
          <w:p w:rsidR="00BC07F0" w:rsidRDefault="00073EFB">
            <w:pPr>
              <w:pStyle w:val="a7"/>
              <w:rPr>
                <w:rFonts w:hint="default"/>
              </w:rPr>
            </w:pPr>
            <w:r>
              <w:t>10</w:t>
            </w:r>
          </w:p>
        </w:tc>
        <w:tc>
          <w:tcPr>
            <w:tcW w:w="852" w:type="dxa"/>
            <w:vAlign w:val="center"/>
          </w:tcPr>
          <w:p w:rsidR="00BC07F0" w:rsidRDefault="00073EFB">
            <w:pPr>
              <w:pStyle w:val="a7"/>
              <w:rPr>
                <w:rFonts w:hint="default"/>
              </w:rPr>
            </w:pPr>
            <w:r>
              <w:t>70</w:t>
            </w:r>
          </w:p>
        </w:tc>
        <w:tc>
          <w:tcPr>
            <w:tcW w:w="852" w:type="dxa"/>
            <w:vAlign w:val="center"/>
          </w:tcPr>
          <w:p w:rsidR="00BC07F0" w:rsidRDefault="00073EFB">
            <w:pPr>
              <w:pStyle w:val="a7"/>
              <w:rPr>
                <w:rFonts w:hint="default"/>
              </w:rPr>
            </w:pPr>
            <w:r>
              <w:t>0.1</w:t>
            </w:r>
          </w:p>
        </w:tc>
        <w:tc>
          <w:tcPr>
            <w:tcW w:w="852" w:type="dxa"/>
            <w:vAlign w:val="center"/>
          </w:tcPr>
          <w:p w:rsidR="00BC07F0" w:rsidRDefault="00073EFB">
            <w:pPr>
              <w:pStyle w:val="a7"/>
              <w:rPr>
                <w:rFonts w:hint="default"/>
              </w:rPr>
            </w:pPr>
            <w:r>
              <w:t>0.4</w:t>
            </w:r>
          </w:p>
        </w:tc>
        <w:tc>
          <w:tcPr>
            <w:tcW w:w="852" w:type="dxa"/>
            <w:vAlign w:val="center"/>
          </w:tcPr>
          <w:p w:rsidR="00BC07F0" w:rsidRDefault="00073EFB">
            <w:pPr>
              <w:pStyle w:val="a7"/>
              <w:rPr>
                <w:rFonts w:hint="default"/>
              </w:rPr>
            </w:pPr>
            <w:r>
              <w:t>1.0</w:t>
            </w:r>
          </w:p>
        </w:tc>
        <w:tc>
          <w:tcPr>
            <w:tcW w:w="852" w:type="dxa"/>
            <w:vAlign w:val="center"/>
          </w:tcPr>
          <w:p w:rsidR="00BC07F0" w:rsidRDefault="00073EFB">
            <w:pPr>
              <w:pStyle w:val="a7"/>
              <w:rPr>
                <w:rFonts w:hint="default"/>
              </w:rPr>
            </w:pPr>
            <w:r>
              <w:t>1.9</w:t>
            </w:r>
          </w:p>
        </w:tc>
        <w:tc>
          <w:tcPr>
            <w:tcW w:w="852" w:type="dxa"/>
            <w:vAlign w:val="center"/>
          </w:tcPr>
          <w:p w:rsidR="00BC07F0" w:rsidRDefault="00073EFB">
            <w:pPr>
              <w:pStyle w:val="a7"/>
              <w:rPr>
                <w:rFonts w:hint="default"/>
              </w:rPr>
            </w:pPr>
            <w:r>
              <w:t>3.7</w:t>
            </w:r>
          </w:p>
        </w:tc>
        <w:tc>
          <w:tcPr>
            <w:tcW w:w="852" w:type="dxa"/>
            <w:vAlign w:val="center"/>
          </w:tcPr>
          <w:p w:rsidR="00BC07F0" w:rsidRDefault="00073EFB">
            <w:pPr>
              <w:pStyle w:val="a7"/>
              <w:rPr>
                <w:rFonts w:hint="default"/>
              </w:rPr>
            </w:pPr>
            <w:r>
              <w:t>9.7</w:t>
            </w:r>
          </w:p>
        </w:tc>
        <w:tc>
          <w:tcPr>
            <w:tcW w:w="853" w:type="dxa"/>
            <w:vAlign w:val="center"/>
          </w:tcPr>
          <w:p w:rsidR="00BC07F0" w:rsidRDefault="00073EFB">
            <w:pPr>
              <w:pStyle w:val="a7"/>
              <w:rPr>
                <w:rFonts w:hint="default"/>
              </w:rPr>
            </w:pPr>
            <w:r>
              <w:t>32.8</w:t>
            </w:r>
          </w:p>
        </w:tc>
        <w:tc>
          <w:tcPr>
            <w:tcW w:w="853" w:type="dxa"/>
            <w:vAlign w:val="center"/>
          </w:tcPr>
          <w:p w:rsidR="00BC07F0" w:rsidRDefault="00073EFB">
            <w:pPr>
              <w:pStyle w:val="a7"/>
              <w:rPr>
                <w:rFonts w:hint="default"/>
              </w:rPr>
            </w:pPr>
            <w:r>
              <w:t>117.0</w:t>
            </w:r>
          </w:p>
        </w:tc>
      </w:tr>
      <w:tr w:rsidR="00BC07F0">
        <w:trPr>
          <w:trHeight w:val="397"/>
          <w:jc w:val="center"/>
        </w:trPr>
        <w:tc>
          <w:tcPr>
            <w:tcW w:w="852" w:type="dxa"/>
            <w:vAlign w:val="center"/>
          </w:tcPr>
          <w:p w:rsidR="00BC07F0" w:rsidRDefault="00073EFB">
            <w:pPr>
              <w:pStyle w:val="a7"/>
              <w:rPr>
                <w:rFonts w:hint="default"/>
              </w:rPr>
            </w:pPr>
            <w:r>
              <w:t>20</w:t>
            </w:r>
          </w:p>
        </w:tc>
        <w:tc>
          <w:tcPr>
            <w:tcW w:w="852" w:type="dxa"/>
            <w:vAlign w:val="center"/>
          </w:tcPr>
          <w:p w:rsidR="00BC07F0" w:rsidRDefault="00073EFB">
            <w:pPr>
              <w:pStyle w:val="a7"/>
              <w:rPr>
                <w:rFonts w:hint="default"/>
              </w:rPr>
            </w:pPr>
            <w:r>
              <w:t>70</w:t>
            </w:r>
          </w:p>
        </w:tc>
        <w:tc>
          <w:tcPr>
            <w:tcW w:w="852" w:type="dxa"/>
            <w:vAlign w:val="center"/>
          </w:tcPr>
          <w:p w:rsidR="00BC07F0" w:rsidRDefault="00073EFB">
            <w:pPr>
              <w:pStyle w:val="a7"/>
              <w:rPr>
                <w:rFonts w:hint="default"/>
              </w:rPr>
            </w:pPr>
            <w:r>
              <w:t>0.1</w:t>
            </w:r>
          </w:p>
        </w:tc>
        <w:tc>
          <w:tcPr>
            <w:tcW w:w="852" w:type="dxa"/>
            <w:vAlign w:val="center"/>
          </w:tcPr>
          <w:p w:rsidR="00BC07F0" w:rsidRDefault="00073EFB">
            <w:pPr>
              <w:pStyle w:val="a7"/>
              <w:rPr>
                <w:rFonts w:hint="default"/>
              </w:rPr>
            </w:pPr>
            <w:r>
              <w:t>0.3</w:t>
            </w:r>
          </w:p>
        </w:tc>
        <w:tc>
          <w:tcPr>
            <w:tcW w:w="852" w:type="dxa"/>
            <w:vAlign w:val="center"/>
          </w:tcPr>
          <w:p w:rsidR="00BC07F0" w:rsidRDefault="00073EFB">
            <w:pPr>
              <w:pStyle w:val="a7"/>
              <w:rPr>
                <w:rFonts w:hint="default"/>
              </w:rPr>
            </w:pPr>
            <w:r>
              <w:t>1.1</w:t>
            </w:r>
          </w:p>
        </w:tc>
        <w:tc>
          <w:tcPr>
            <w:tcW w:w="852" w:type="dxa"/>
            <w:vAlign w:val="center"/>
          </w:tcPr>
          <w:p w:rsidR="00BC07F0" w:rsidRDefault="00073EFB">
            <w:pPr>
              <w:pStyle w:val="a7"/>
              <w:rPr>
                <w:rFonts w:hint="default"/>
              </w:rPr>
            </w:pPr>
            <w:r>
              <w:t>2.8</w:t>
            </w:r>
          </w:p>
        </w:tc>
        <w:tc>
          <w:tcPr>
            <w:tcW w:w="852" w:type="dxa"/>
            <w:vAlign w:val="center"/>
          </w:tcPr>
          <w:p w:rsidR="00BC07F0" w:rsidRDefault="00073EFB">
            <w:pPr>
              <w:pStyle w:val="a7"/>
              <w:rPr>
                <w:rFonts w:hint="default"/>
              </w:rPr>
            </w:pPr>
            <w:r>
              <w:t>5.0</w:t>
            </w:r>
          </w:p>
        </w:tc>
        <w:tc>
          <w:tcPr>
            <w:tcW w:w="852" w:type="dxa"/>
            <w:vAlign w:val="center"/>
          </w:tcPr>
          <w:p w:rsidR="00BC07F0" w:rsidRDefault="00073EFB">
            <w:pPr>
              <w:pStyle w:val="a7"/>
              <w:rPr>
                <w:rFonts w:hint="default"/>
              </w:rPr>
            </w:pPr>
            <w:r>
              <w:t>9.0</w:t>
            </w:r>
          </w:p>
        </w:tc>
        <w:tc>
          <w:tcPr>
            <w:tcW w:w="853" w:type="dxa"/>
            <w:vAlign w:val="center"/>
          </w:tcPr>
          <w:p w:rsidR="00BC07F0" w:rsidRDefault="00073EFB">
            <w:pPr>
              <w:pStyle w:val="a7"/>
              <w:rPr>
                <w:rFonts w:hint="default"/>
              </w:rPr>
            </w:pPr>
            <w:r>
              <w:t>22.9</w:t>
            </w:r>
          </w:p>
        </w:tc>
        <w:tc>
          <w:tcPr>
            <w:tcW w:w="853" w:type="dxa"/>
            <w:vAlign w:val="center"/>
          </w:tcPr>
          <w:p w:rsidR="00BC07F0" w:rsidRDefault="00073EFB">
            <w:pPr>
              <w:pStyle w:val="a7"/>
              <w:rPr>
                <w:rFonts w:hint="default"/>
              </w:rPr>
            </w:pPr>
            <w:r>
              <w:t>76.6</w:t>
            </w:r>
          </w:p>
        </w:tc>
      </w:tr>
      <w:tr w:rsidR="00BC07F0">
        <w:trPr>
          <w:trHeight w:val="397"/>
          <w:jc w:val="center"/>
        </w:trPr>
        <w:tc>
          <w:tcPr>
            <w:tcW w:w="852" w:type="dxa"/>
            <w:vAlign w:val="center"/>
          </w:tcPr>
          <w:p w:rsidR="00BC07F0" w:rsidRDefault="00073EFB">
            <w:pPr>
              <w:pStyle w:val="a7"/>
              <w:rPr>
                <w:rFonts w:hint="default"/>
              </w:rPr>
            </w:pPr>
            <w:r>
              <w:t>30</w:t>
            </w:r>
          </w:p>
        </w:tc>
        <w:tc>
          <w:tcPr>
            <w:tcW w:w="852" w:type="dxa"/>
            <w:vAlign w:val="center"/>
          </w:tcPr>
          <w:p w:rsidR="00BC07F0" w:rsidRDefault="00073EFB">
            <w:pPr>
              <w:pStyle w:val="a7"/>
              <w:rPr>
                <w:rFonts w:hint="default"/>
              </w:rPr>
            </w:pPr>
            <w:r>
              <w:t>70</w:t>
            </w:r>
          </w:p>
        </w:tc>
        <w:tc>
          <w:tcPr>
            <w:tcW w:w="852" w:type="dxa"/>
            <w:vAlign w:val="center"/>
          </w:tcPr>
          <w:p w:rsidR="00BC07F0" w:rsidRDefault="00073EFB">
            <w:pPr>
              <w:pStyle w:val="a7"/>
              <w:rPr>
                <w:rFonts w:hint="default"/>
              </w:rPr>
            </w:pPr>
            <w:r>
              <w:t>0.1</w:t>
            </w:r>
          </w:p>
        </w:tc>
        <w:tc>
          <w:tcPr>
            <w:tcW w:w="852" w:type="dxa"/>
            <w:vAlign w:val="center"/>
          </w:tcPr>
          <w:p w:rsidR="00BC07F0" w:rsidRDefault="00073EFB">
            <w:pPr>
              <w:pStyle w:val="a7"/>
              <w:rPr>
                <w:rFonts w:hint="default"/>
              </w:rPr>
            </w:pPr>
            <w:r>
              <w:t>0.3</w:t>
            </w:r>
          </w:p>
        </w:tc>
        <w:tc>
          <w:tcPr>
            <w:tcW w:w="852" w:type="dxa"/>
            <w:vAlign w:val="center"/>
          </w:tcPr>
          <w:p w:rsidR="00BC07F0" w:rsidRDefault="00073EFB">
            <w:pPr>
              <w:pStyle w:val="a7"/>
              <w:rPr>
                <w:rFonts w:hint="default"/>
              </w:rPr>
            </w:pPr>
            <w:r>
              <w:t>1.0</w:t>
            </w:r>
          </w:p>
        </w:tc>
        <w:tc>
          <w:tcPr>
            <w:tcW w:w="852" w:type="dxa"/>
            <w:vAlign w:val="center"/>
          </w:tcPr>
          <w:p w:rsidR="00BC07F0" w:rsidRDefault="00073EFB">
            <w:pPr>
              <w:pStyle w:val="a7"/>
              <w:rPr>
                <w:rFonts w:hint="default"/>
              </w:rPr>
            </w:pPr>
            <w:r>
              <w:t>3.1</w:t>
            </w:r>
          </w:p>
        </w:tc>
        <w:tc>
          <w:tcPr>
            <w:tcW w:w="852" w:type="dxa"/>
            <w:vAlign w:val="center"/>
          </w:tcPr>
          <w:p w:rsidR="00BC07F0" w:rsidRDefault="00073EFB">
            <w:pPr>
              <w:pStyle w:val="a7"/>
              <w:rPr>
                <w:rFonts w:hint="default"/>
              </w:rPr>
            </w:pPr>
            <w:r>
              <w:t>7.4</w:t>
            </w:r>
          </w:p>
        </w:tc>
        <w:tc>
          <w:tcPr>
            <w:tcW w:w="852" w:type="dxa"/>
            <w:vAlign w:val="center"/>
          </w:tcPr>
          <w:p w:rsidR="00BC07F0" w:rsidRDefault="00073EFB">
            <w:pPr>
              <w:pStyle w:val="a7"/>
              <w:rPr>
                <w:rFonts w:hint="default"/>
              </w:rPr>
            </w:pPr>
            <w:r>
              <w:t>12.7</w:t>
            </w:r>
          </w:p>
        </w:tc>
        <w:tc>
          <w:tcPr>
            <w:tcW w:w="853" w:type="dxa"/>
            <w:vAlign w:val="center"/>
          </w:tcPr>
          <w:p w:rsidR="00BC07F0" w:rsidRDefault="00073EFB">
            <w:pPr>
              <w:pStyle w:val="a7"/>
              <w:rPr>
                <w:rFonts w:hint="default"/>
              </w:rPr>
            </w:pPr>
            <w:r>
              <w:t>23.1</w:t>
            </w:r>
          </w:p>
        </w:tc>
        <w:tc>
          <w:tcPr>
            <w:tcW w:w="853" w:type="dxa"/>
            <w:vAlign w:val="center"/>
          </w:tcPr>
          <w:p w:rsidR="00BC07F0" w:rsidRDefault="00073EFB">
            <w:pPr>
              <w:pStyle w:val="a7"/>
              <w:rPr>
                <w:rFonts w:hint="default"/>
              </w:rPr>
            </w:pPr>
            <w:r>
              <w:t>59.3</w:t>
            </w:r>
          </w:p>
        </w:tc>
      </w:tr>
      <w:tr w:rsidR="00BC07F0">
        <w:trPr>
          <w:trHeight w:val="397"/>
          <w:jc w:val="center"/>
        </w:trPr>
        <w:tc>
          <w:tcPr>
            <w:tcW w:w="852" w:type="dxa"/>
            <w:vAlign w:val="center"/>
          </w:tcPr>
          <w:p w:rsidR="00BC07F0" w:rsidRDefault="00073EFB">
            <w:pPr>
              <w:pStyle w:val="a7"/>
              <w:rPr>
                <w:rFonts w:hint="default"/>
              </w:rPr>
            </w:pPr>
            <w:r>
              <w:t>15</w:t>
            </w:r>
          </w:p>
        </w:tc>
        <w:tc>
          <w:tcPr>
            <w:tcW w:w="852" w:type="dxa"/>
            <w:vAlign w:val="center"/>
          </w:tcPr>
          <w:p w:rsidR="00BC07F0" w:rsidRDefault="00073EFB">
            <w:pPr>
              <w:pStyle w:val="a7"/>
              <w:rPr>
                <w:rFonts w:hint="default"/>
              </w:rPr>
            </w:pPr>
            <w:r>
              <w:t>20</w:t>
            </w:r>
          </w:p>
        </w:tc>
        <w:tc>
          <w:tcPr>
            <w:tcW w:w="852" w:type="dxa"/>
            <w:vAlign w:val="center"/>
          </w:tcPr>
          <w:p w:rsidR="00BC07F0" w:rsidRDefault="00073EFB">
            <w:pPr>
              <w:pStyle w:val="a7"/>
              <w:rPr>
                <w:rFonts w:hint="default"/>
              </w:rPr>
            </w:pPr>
            <w:r>
              <w:t>0.3</w:t>
            </w:r>
          </w:p>
        </w:tc>
        <w:tc>
          <w:tcPr>
            <w:tcW w:w="852" w:type="dxa"/>
            <w:vAlign w:val="center"/>
          </w:tcPr>
          <w:p w:rsidR="00BC07F0" w:rsidRDefault="00073EFB">
            <w:pPr>
              <w:pStyle w:val="a7"/>
              <w:rPr>
                <w:rFonts w:hint="default"/>
              </w:rPr>
            </w:pPr>
            <w:r>
              <w:t>0.6</w:t>
            </w:r>
          </w:p>
        </w:tc>
        <w:tc>
          <w:tcPr>
            <w:tcW w:w="852" w:type="dxa"/>
            <w:vAlign w:val="center"/>
          </w:tcPr>
          <w:p w:rsidR="00BC07F0" w:rsidRDefault="00073EFB">
            <w:pPr>
              <w:pStyle w:val="a7"/>
              <w:rPr>
                <w:rFonts w:hint="default"/>
              </w:rPr>
            </w:pPr>
            <w:r>
              <w:t>1.2</w:t>
            </w:r>
          </w:p>
        </w:tc>
        <w:tc>
          <w:tcPr>
            <w:tcW w:w="852" w:type="dxa"/>
            <w:vAlign w:val="center"/>
          </w:tcPr>
          <w:p w:rsidR="00BC07F0" w:rsidRDefault="00073EFB">
            <w:pPr>
              <w:pStyle w:val="a7"/>
              <w:rPr>
                <w:rFonts w:hint="default"/>
              </w:rPr>
            </w:pPr>
            <w:r>
              <w:t>2.7</w:t>
            </w:r>
          </w:p>
        </w:tc>
        <w:tc>
          <w:tcPr>
            <w:tcW w:w="852" w:type="dxa"/>
            <w:vAlign w:val="center"/>
          </w:tcPr>
          <w:p w:rsidR="00BC07F0" w:rsidRDefault="00073EFB">
            <w:pPr>
              <w:pStyle w:val="a7"/>
              <w:rPr>
                <w:rFonts w:hint="default"/>
              </w:rPr>
            </w:pPr>
            <w:r>
              <w:t>8.2</w:t>
            </w:r>
          </w:p>
        </w:tc>
        <w:tc>
          <w:tcPr>
            <w:tcW w:w="852" w:type="dxa"/>
            <w:vAlign w:val="center"/>
          </w:tcPr>
          <w:p w:rsidR="00BC07F0" w:rsidRDefault="00073EFB">
            <w:pPr>
              <w:pStyle w:val="a7"/>
              <w:rPr>
                <w:rFonts w:hint="default"/>
              </w:rPr>
            </w:pPr>
            <w:r>
              <w:t>28.2</w:t>
            </w:r>
          </w:p>
        </w:tc>
        <w:tc>
          <w:tcPr>
            <w:tcW w:w="853" w:type="dxa"/>
            <w:vAlign w:val="center"/>
          </w:tcPr>
          <w:p w:rsidR="00BC07F0" w:rsidRDefault="00073EFB">
            <w:pPr>
              <w:pStyle w:val="a7"/>
              <w:rPr>
                <w:rFonts w:hint="default"/>
              </w:rPr>
            </w:pPr>
            <w:r>
              <w:t>28.8</w:t>
            </w:r>
          </w:p>
        </w:tc>
        <w:tc>
          <w:tcPr>
            <w:tcW w:w="853" w:type="dxa"/>
            <w:vAlign w:val="center"/>
          </w:tcPr>
          <w:p w:rsidR="00BC07F0" w:rsidRDefault="00073EFB">
            <w:pPr>
              <w:pStyle w:val="a7"/>
              <w:rPr>
                <w:rFonts w:hint="default"/>
              </w:rPr>
            </w:pPr>
            <w:r>
              <w:t>202.0</w:t>
            </w:r>
          </w:p>
        </w:tc>
      </w:tr>
      <w:tr w:rsidR="00BC07F0">
        <w:trPr>
          <w:trHeight w:val="397"/>
          <w:jc w:val="center"/>
        </w:trPr>
        <w:tc>
          <w:tcPr>
            <w:tcW w:w="852" w:type="dxa"/>
            <w:vAlign w:val="center"/>
          </w:tcPr>
          <w:p w:rsidR="00BC07F0" w:rsidRDefault="00073EFB">
            <w:pPr>
              <w:pStyle w:val="a7"/>
              <w:rPr>
                <w:rFonts w:hint="default"/>
              </w:rPr>
            </w:pPr>
            <w:r>
              <w:t>15</w:t>
            </w:r>
          </w:p>
        </w:tc>
        <w:tc>
          <w:tcPr>
            <w:tcW w:w="852" w:type="dxa"/>
            <w:vAlign w:val="center"/>
          </w:tcPr>
          <w:p w:rsidR="00BC07F0" w:rsidRDefault="00073EFB">
            <w:pPr>
              <w:pStyle w:val="a7"/>
              <w:rPr>
                <w:rFonts w:hint="default"/>
              </w:rPr>
            </w:pPr>
            <w:r>
              <w:t>50</w:t>
            </w:r>
          </w:p>
        </w:tc>
        <w:tc>
          <w:tcPr>
            <w:tcW w:w="852" w:type="dxa"/>
            <w:vAlign w:val="center"/>
          </w:tcPr>
          <w:p w:rsidR="00BC07F0" w:rsidRDefault="00073EFB">
            <w:pPr>
              <w:pStyle w:val="a7"/>
              <w:rPr>
                <w:rFonts w:hint="default"/>
              </w:rPr>
            </w:pPr>
            <w:r>
              <w:t>0.1</w:t>
            </w:r>
          </w:p>
        </w:tc>
        <w:tc>
          <w:tcPr>
            <w:tcW w:w="852" w:type="dxa"/>
            <w:vAlign w:val="center"/>
          </w:tcPr>
          <w:p w:rsidR="00BC07F0" w:rsidRDefault="00073EFB">
            <w:pPr>
              <w:pStyle w:val="a7"/>
              <w:rPr>
                <w:rFonts w:hint="default"/>
              </w:rPr>
            </w:pPr>
            <w:r>
              <w:t>0.5</w:t>
            </w:r>
          </w:p>
        </w:tc>
        <w:tc>
          <w:tcPr>
            <w:tcW w:w="852" w:type="dxa"/>
            <w:vAlign w:val="center"/>
          </w:tcPr>
          <w:p w:rsidR="00BC07F0" w:rsidRDefault="00073EFB">
            <w:pPr>
              <w:pStyle w:val="a7"/>
              <w:rPr>
                <w:rFonts w:hint="default"/>
              </w:rPr>
            </w:pPr>
            <w:r>
              <w:t>1.2</w:t>
            </w:r>
          </w:p>
        </w:tc>
        <w:tc>
          <w:tcPr>
            <w:tcW w:w="852" w:type="dxa"/>
            <w:vAlign w:val="center"/>
          </w:tcPr>
          <w:p w:rsidR="00BC07F0" w:rsidRDefault="00073EFB">
            <w:pPr>
              <w:pStyle w:val="a7"/>
              <w:rPr>
                <w:rFonts w:hint="default"/>
              </w:rPr>
            </w:pPr>
            <w:r>
              <w:t>2.2</w:t>
            </w:r>
          </w:p>
        </w:tc>
        <w:tc>
          <w:tcPr>
            <w:tcW w:w="852" w:type="dxa"/>
            <w:vAlign w:val="center"/>
          </w:tcPr>
          <w:p w:rsidR="00BC07F0" w:rsidRDefault="00073EFB">
            <w:pPr>
              <w:pStyle w:val="a7"/>
              <w:rPr>
                <w:rFonts w:hint="default"/>
              </w:rPr>
            </w:pPr>
            <w:r>
              <w:t>4.2</w:t>
            </w:r>
          </w:p>
        </w:tc>
        <w:tc>
          <w:tcPr>
            <w:tcW w:w="852" w:type="dxa"/>
            <w:vAlign w:val="center"/>
          </w:tcPr>
          <w:p w:rsidR="00BC07F0" w:rsidRDefault="00073EFB">
            <w:pPr>
              <w:pStyle w:val="a7"/>
              <w:rPr>
                <w:rFonts w:hint="default"/>
              </w:rPr>
            </w:pPr>
            <w:r>
              <w:t>10.8</w:t>
            </w:r>
          </w:p>
        </w:tc>
        <w:tc>
          <w:tcPr>
            <w:tcW w:w="853" w:type="dxa"/>
            <w:vAlign w:val="center"/>
          </w:tcPr>
          <w:p w:rsidR="00BC07F0" w:rsidRDefault="00073EFB">
            <w:pPr>
              <w:pStyle w:val="a7"/>
              <w:rPr>
                <w:rFonts w:hint="default"/>
              </w:rPr>
            </w:pPr>
            <w:r>
              <w:t>36.2</w:t>
            </w:r>
          </w:p>
        </w:tc>
        <w:tc>
          <w:tcPr>
            <w:tcW w:w="853" w:type="dxa"/>
            <w:vAlign w:val="center"/>
          </w:tcPr>
          <w:p w:rsidR="00BC07F0" w:rsidRDefault="00073EFB">
            <w:pPr>
              <w:pStyle w:val="a7"/>
              <w:rPr>
                <w:rFonts w:hint="default"/>
              </w:rPr>
            </w:pPr>
            <w:r>
              <w:t>129.0</w:t>
            </w:r>
          </w:p>
        </w:tc>
      </w:tr>
      <w:tr w:rsidR="00BC07F0">
        <w:trPr>
          <w:trHeight w:val="397"/>
          <w:jc w:val="center"/>
        </w:trPr>
        <w:tc>
          <w:tcPr>
            <w:tcW w:w="852" w:type="dxa"/>
            <w:vAlign w:val="center"/>
          </w:tcPr>
          <w:p w:rsidR="00BC07F0" w:rsidRDefault="00073EFB">
            <w:pPr>
              <w:pStyle w:val="a7"/>
              <w:rPr>
                <w:rFonts w:hint="default"/>
              </w:rPr>
            </w:pPr>
            <w:r>
              <w:t>15</w:t>
            </w:r>
          </w:p>
        </w:tc>
        <w:tc>
          <w:tcPr>
            <w:tcW w:w="852" w:type="dxa"/>
            <w:vAlign w:val="center"/>
          </w:tcPr>
          <w:p w:rsidR="00BC07F0" w:rsidRDefault="00073EFB">
            <w:pPr>
              <w:pStyle w:val="a7"/>
              <w:rPr>
                <w:rFonts w:hint="default"/>
              </w:rPr>
            </w:pPr>
            <w:r>
              <w:t>80</w:t>
            </w:r>
          </w:p>
        </w:tc>
        <w:tc>
          <w:tcPr>
            <w:tcW w:w="852" w:type="dxa"/>
            <w:vAlign w:val="center"/>
          </w:tcPr>
          <w:p w:rsidR="00BC07F0" w:rsidRDefault="00073EFB">
            <w:pPr>
              <w:pStyle w:val="a7"/>
              <w:rPr>
                <w:rFonts w:hint="default"/>
              </w:rPr>
            </w:pPr>
            <w:r>
              <w:t>0.1</w:t>
            </w:r>
          </w:p>
        </w:tc>
        <w:tc>
          <w:tcPr>
            <w:tcW w:w="852" w:type="dxa"/>
            <w:vAlign w:val="center"/>
          </w:tcPr>
          <w:p w:rsidR="00BC07F0" w:rsidRDefault="00073EFB">
            <w:pPr>
              <w:pStyle w:val="a7"/>
              <w:rPr>
                <w:rFonts w:hint="default"/>
              </w:rPr>
            </w:pPr>
            <w:r>
              <w:t>0.3</w:t>
            </w:r>
          </w:p>
        </w:tc>
        <w:tc>
          <w:tcPr>
            <w:tcW w:w="852" w:type="dxa"/>
            <w:vAlign w:val="center"/>
          </w:tcPr>
          <w:p w:rsidR="00BC07F0" w:rsidRDefault="00073EFB">
            <w:pPr>
              <w:pStyle w:val="a7"/>
              <w:rPr>
                <w:rFonts w:hint="default"/>
              </w:rPr>
            </w:pPr>
            <w:r>
              <w:t>1.1</w:t>
            </w:r>
          </w:p>
        </w:tc>
        <w:tc>
          <w:tcPr>
            <w:tcW w:w="852" w:type="dxa"/>
            <w:vAlign w:val="center"/>
          </w:tcPr>
          <w:p w:rsidR="00BC07F0" w:rsidRDefault="00073EFB">
            <w:pPr>
              <w:pStyle w:val="a7"/>
              <w:rPr>
                <w:rFonts w:hint="default"/>
              </w:rPr>
            </w:pPr>
            <w:r>
              <w:t>2.4</w:t>
            </w:r>
          </w:p>
        </w:tc>
        <w:tc>
          <w:tcPr>
            <w:tcW w:w="852" w:type="dxa"/>
            <w:vAlign w:val="center"/>
          </w:tcPr>
          <w:p w:rsidR="00BC07F0" w:rsidRDefault="00073EFB">
            <w:pPr>
              <w:pStyle w:val="a7"/>
              <w:rPr>
                <w:rFonts w:hint="default"/>
              </w:rPr>
            </w:pPr>
            <w:r>
              <w:t>4.1</w:t>
            </w:r>
          </w:p>
        </w:tc>
        <w:tc>
          <w:tcPr>
            <w:tcW w:w="852" w:type="dxa"/>
            <w:vAlign w:val="center"/>
          </w:tcPr>
          <w:p w:rsidR="00BC07F0" w:rsidRDefault="00073EFB">
            <w:pPr>
              <w:pStyle w:val="a7"/>
              <w:rPr>
                <w:rFonts w:hint="default"/>
              </w:rPr>
            </w:pPr>
            <w:r>
              <w:t>8.3</w:t>
            </w:r>
          </w:p>
        </w:tc>
        <w:tc>
          <w:tcPr>
            <w:tcW w:w="853" w:type="dxa"/>
            <w:vAlign w:val="center"/>
          </w:tcPr>
          <w:p w:rsidR="00BC07F0" w:rsidRDefault="00073EFB">
            <w:pPr>
              <w:pStyle w:val="a7"/>
              <w:rPr>
                <w:rFonts w:hint="default"/>
              </w:rPr>
            </w:pPr>
            <w:r>
              <w:t>23.7</w:t>
            </w:r>
          </w:p>
        </w:tc>
        <w:tc>
          <w:tcPr>
            <w:tcW w:w="853" w:type="dxa"/>
            <w:vAlign w:val="center"/>
          </w:tcPr>
          <w:p w:rsidR="00BC07F0" w:rsidRDefault="00073EFB">
            <w:pPr>
              <w:pStyle w:val="a7"/>
              <w:rPr>
                <w:rFonts w:hint="default"/>
              </w:rPr>
            </w:pPr>
            <w:r>
              <w:t>82.8</w:t>
            </w:r>
          </w:p>
        </w:tc>
      </w:tr>
    </w:tbl>
    <w:p w:rsidR="00BC07F0" w:rsidRDefault="00073EFB">
      <w:pPr>
        <w:widowControl/>
        <w:ind w:firstLine="480"/>
        <w:rPr>
          <w:color w:val="000000"/>
          <w:kern w:val="0"/>
          <w:vertAlign w:val="subscript"/>
          <w:lang/>
        </w:rPr>
      </w:pPr>
      <w:r>
        <w:rPr>
          <w:rFonts w:hint="eastAsia"/>
          <w:color w:val="000000"/>
          <w:kern w:val="0"/>
          <w:lang/>
        </w:rPr>
        <w:t>2</w:t>
      </w:r>
      <w:r>
        <w:rPr>
          <w:rFonts w:hint="eastAsia"/>
          <w:color w:val="000000"/>
          <w:kern w:val="0"/>
          <w:lang/>
        </w:rPr>
        <w:t>）</w:t>
      </w:r>
      <w:r>
        <w:rPr>
          <w:color w:val="000000"/>
          <w:kern w:val="0"/>
          <w:lang/>
        </w:rPr>
        <w:t>地面效应引起的衰减</w:t>
      </w:r>
      <w:r>
        <w:rPr>
          <w:color w:val="000000"/>
          <w:kern w:val="0"/>
          <w:lang/>
        </w:rPr>
        <w:t>A</w:t>
      </w:r>
      <w:r>
        <w:rPr>
          <w:color w:val="000000"/>
          <w:kern w:val="0"/>
          <w:vertAlign w:val="subscript"/>
          <w:lang/>
        </w:rPr>
        <w:t>gr</w:t>
      </w:r>
    </w:p>
    <w:p w:rsidR="00BC07F0" w:rsidRDefault="00073EFB">
      <w:pPr>
        <w:widowControl/>
        <w:ind w:firstLine="480"/>
        <w:rPr>
          <w:color w:val="000000"/>
          <w:kern w:val="0"/>
          <w:lang/>
        </w:rPr>
      </w:pPr>
      <w:r>
        <w:rPr>
          <w:color w:val="000000"/>
          <w:kern w:val="0"/>
          <w:lang/>
        </w:rPr>
        <w:t>地面类型可分为：</w:t>
      </w:r>
    </w:p>
    <w:p w:rsidR="00BC07F0" w:rsidRDefault="00073EFB">
      <w:pPr>
        <w:widowControl/>
        <w:ind w:firstLine="480"/>
        <w:rPr>
          <w:color w:val="000000"/>
          <w:kern w:val="0"/>
          <w:lang/>
        </w:rPr>
      </w:pPr>
      <w:r>
        <w:rPr>
          <w:color w:val="000000"/>
          <w:kern w:val="0"/>
          <w:lang/>
        </w:rPr>
        <w:t>A</w:t>
      </w:r>
      <w:r>
        <w:rPr>
          <w:color w:val="000000"/>
          <w:kern w:val="0"/>
          <w:lang/>
        </w:rPr>
        <w:t>）坚实地面，包括铺筑过的路面、水面、冰面以及夯实地面；</w:t>
      </w:r>
    </w:p>
    <w:p w:rsidR="00BC07F0" w:rsidRDefault="00073EFB">
      <w:pPr>
        <w:widowControl/>
        <w:ind w:firstLine="480"/>
        <w:rPr>
          <w:color w:val="000000"/>
          <w:kern w:val="0"/>
          <w:lang/>
        </w:rPr>
      </w:pPr>
      <w:r>
        <w:rPr>
          <w:color w:val="000000"/>
          <w:kern w:val="0"/>
          <w:lang/>
        </w:rPr>
        <w:lastRenderedPageBreak/>
        <w:t>B</w:t>
      </w:r>
      <w:r>
        <w:rPr>
          <w:color w:val="000000"/>
          <w:kern w:val="0"/>
          <w:lang/>
        </w:rPr>
        <w:t>）疏松地面，包括被草或其他植物覆盖的地面，以及农田等适合于植物生长的地面；</w:t>
      </w:r>
    </w:p>
    <w:p w:rsidR="00BC07F0" w:rsidRDefault="00073EFB">
      <w:pPr>
        <w:widowControl/>
        <w:ind w:firstLine="480"/>
        <w:rPr>
          <w:color w:val="000000"/>
          <w:kern w:val="0"/>
          <w:lang/>
        </w:rPr>
      </w:pPr>
      <w:r>
        <w:rPr>
          <w:color w:val="000000"/>
          <w:kern w:val="0"/>
          <w:lang/>
        </w:rPr>
        <w:t>C</w:t>
      </w:r>
      <w:r>
        <w:rPr>
          <w:color w:val="000000"/>
          <w:kern w:val="0"/>
          <w:lang/>
        </w:rPr>
        <w:t>）混合地面，由坚实地面和疏散地面组成。</w:t>
      </w:r>
    </w:p>
    <w:p w:rsidR="00BC07F0" w:rsidRDefault="00073EFB">
      <w:pPr>
        <w:widowControl/>
        <w:ind w:firstLine="480"/>
        <w:rPr>
          <w:color w:val="000000"/>
          <w:kern w:val="0"/>
          <w:lang/>
        </w:rPr>
      </w:pPr>
      <w:r>
        <w:rPr>
          <w:color w:val="000000"/>
          <w:kern w:val="0"/>
          <w:lang/>
        </w:rPr>
        <w:t>声波掠过疏散地面传播时，或大部分为疏散地面的混合地面，在预测点仅计算</w:t>
      </w:r>
      <w:r>
        <w:rPr>
          <w:color w:val="000000"/>
          <w:kern w:val="0"/>
          <w:lang/>
        </w:rPr>
        <w:t>A</w:t>
      </w:r>
      <w:r>
        <w:rPr>
          <w:color w:val="000000"/>
          <w:kern w:val="0"/>
          <w:lang/>
        </w:rPr>
        <w:t>声级的前提下</w:t>
      </w:r>
      <w:r>
        <w:rPr>
          <w:rFonts w:hint="eastAsia"/>
          <w:color w:val="000000"/>
          <w:kern w:val="0"/>
          <w:lang/>
        </w:rPr>
        <w:t>，地面效应引起的倍频带衰减可按下式计算。</w:t>
      </w:r>
    </w:p>
    <w:p w:rsidR="00BC07F0" w:rsidRDefault="00BC07F0">
      <w:pPr>
        <w:widowControl/>
        <w:ind w:firstLine="480"/>
        <w:jc w:val="center"/>
        <w:rPr>
          <w:rFonts w:ascii="宋体" w:hAnsi="宋体" w:cs="宋体"/>
          <w:color w:val="000000"/>
          <w:kern w:val="0"/>
          <w:lang/>
        </w:rPr>
      </w:pPr>
      <w:r w:rsidRPr="00BC07F0">
        <w:rPr>
          <w:rFonts w:ascii="宋体" w:hAnsi="宋体" w:cs="宋体" w:hint="eastAsia"/>
          <w:color w:val="000000"/>
          <w:kern w:val="0"/>
          <w:position w:val="-24"/>
          <w:lang/>
        </w:rPr>
        <w:object w:dxaOrig="3000" w:dyaOrig="620">
          <v:shape id="_x0000_i1034" type="#_x0000_t75" style="width:150.3pt;height:30.85pt" o:ole="">
            <v:imagedata r:id="rId57" o:title=""/>
          </v:shape>
          <o:OLEObject Type="Embed" ProgID="Equations" ShapeID="_x0000_i1034" DrawAspect="Content" ObjectID="_1746346138" r:id="rId58"/>
        </w:object>
      </w:r>
    </w:p>
    <w:p w:rsidR="00BC07F0" w:rsidRDefault="00073EFB">
      <w:pPr>
        <w:widowControl/>
        <w:ind w:firstLine="480"/>
        <w:rPr>
          <w:rFonts w:ascii="宋体" w:hAnsi="宋体" w:cs="宋体"/>
          <w:color w:val="000000"/>
          <w:kern w:val="0"/>
          <w:lang/>
        </w:rPr>
      </w:pPr>
      <w:r>
        <w:rPr>
          <w:rFonts w:ascii="宋体" w:hAnsi="宋体" w:cs="宋体" w:hint="eastAsia"/>
          <w:color w:val="000000"/>
          <w:kern w:val="0"/>
          <w:lang/>
        </w:rPr>
        <w:t>式中：</w:t>
      </w:r>
    </w:p>
    <w:p w:rsidR="00BC07F0" w:rsidRDefault="00073EFB">
      <w:pPr>
        <w:widowControl/>
        <w:ind w:firstLine="480"/>
        <w:rPr>
          <w:color w:val="000000"/>
          <w:kern w:val="0"/>
          <w:lang/>
        </w:rPr>
      </w:pPr>
      <w:r>
        <w:rPr>
          <w:color w:val="000000"/>
          <w:kern w:val="0"/>
          <w:lang/>
        </w:rPr>
        <w:t>A</w:t>
      </w:r>
      <w:r>
        <w:rPr>
          <w:color w:val="000000"/>
          <w:kern w:val="0"/>
          <w:vertAlign w:val="subscript"/>
          <w:lang/>
        </w:rPr>
        <w:t>gr</w:t>
      </w:r>
      <w:r>
        <w:rPr>
          <w:color w:val="000000"/>
          <w:kern w:val="0"/>
          <w:lang/>
        </w:rPr>
        <w:t>——</w:t>
      </w:r>
      <w:r>
        <w:rPr>
          <w:color w:val="000000"/>
          <w:kern w:val="0"/>
          <w:lang/>
        </w:rPr>
        <w:t>地面效应引起的衰减，</w:t>
      </w:r>
      <w:r>
        <w:rPr>
          <w:color w:val="000000"/>
          <w:kern w:val="0"/>
          <w:lang/>
        </w:rPr>
        <w:t>dB</w:t>
      </w:r>
      <w:r>
        <w:rPr>
          <w:color w:val="000000"/>
          <w:kern w:val="0"/>
          <w:lang/>
        </w:rPr>
        <w:t>；</w:t>
      </w:r>
    </w:p>
    <w:p w:rsidR="00BC07F0" w:rsidRDefault="00073EFB">
      <w:pPr>
        <w:widowControl/>
        <w:ind w:firstLine="480"/>
        <w:rPr>
          <w:color w:val="000000"/>
          <w:kern w:val="0"/>
          <w:lang/>
        </w:rPr>
      </w:pPr>
      <w:r>
        <w:rPr>
          <w:color w:val="000000"/>
          <w:kern w:val="0"/>
          <w:lang/>
        </w:rPr>
        <w:t>r——</w:t>
      </w:r>
      <w:r>
        <w:rPr>
          <w:color w:val="000000"/>
          <w:kern w:val="0"/>
          <w:lang/>
        </w:rPr>
        <w:t>预测点距声源的距离，</w:t>
      </w:r>
      <w:r>
        <w:rPr>
          <w:color w:val="000000"/>
          <w:kern w:val="0"/>
          <w:lang/>
        </w:rPr>
        <w:t>m</w:t>
      </w:r>
      <w:r>
        <w:rPr>
          <w:color w:val="000000"/>
          <w:kern w:val="0"/>
          <w:lang/>
        </w:rPr>
        <w:t>；</w:t>
      </w:r>
    </w:p>
    <w:p w:rsidR="00BC07F0" w:rsidRDefault="00073EFB">
      <w:pPr>
        <w:widowControl/>
        <w:ind w:firstLine="480"/>
        <w:rPr>
          <w:color w:val="000000"/>
          <w:kern w:val="0"/>
          <w:vertAlign w:val="subscript"/>
          <w:lang/>
        </w:rPr>
      </w:pPr>
      <w:r>
        <w:rPr>
          <w:color w:val="000000"/>
          <w:kern w:val="0"/>
          <w:lang/>
        </w:rPr>
        <w:t>h</w:t>
      </w:r>
      <w:r>
        <w:rPr>
          <w:color w:val="000000"/>
          <w:kern w:val="0"/>
          <w:vertAlign w:val="subscript"/>
          <w:lang/>
        </w:rPr>
        <w:t>m</w:t>
      </w:r>
      <w:r>
        <w:rPr>
          <w:color w:val="000000"/>
          <w:kern w:val="0"/>
          <w:lang/>
        </w:rPr>
        <w:t>——</w:t>
      </w:r>
      <w:r>
        <w:rPr>
          <w:color w:val="000000"/>
          <w:kern w:val="0"/>
          <w:lang/>
        </w:rPr>
        <w:t>传播路径的平均离地高度，</w:t>
      </w:r>
      <w:r>
        <w:rPr>
          <w:color w:val="000000"/>
          <w:kern w:val="0"/>
          <w:lang/>
        </w:rPr>
        <w:t>m</w:t>
      </w:r>
      <w:r>
        <w:rPr>
          <w:color w:val="000000"/>
          <w:kern w:val="0"/>
          <w:lang/>
        </w:rPr>
        <w:t>；</w:t>
      </w:r>
      <w:r>
        <w:rPr>
          <w:rFonts w:hint="eastAsia"/>
          <w:color w:val="000000"/>
          <w:kern w:val="0"/>
          <w:lang/>
        </w:rPr>
        <w:t>可按图</w:t>
      </w:r>
      <w:r>
        <w:rPr>
          <w:rFonts w:hint="eastAsia"/>
          <w:color w:val="000000"/>
          <w:kern w:val="0"/>
          <w:lang/>
        </w:rPr>
        <w:t>4-2</w:t>
      </w:r>
      <w:r>
        <w:rPr>
          <w:rFonts w:hint="eastAsia"/>
          <w:color w:val="000000"/>
          <w:kern w:val="0"/>
          <w:lang/>
        </w:rPr>
        <w:t>进行计算，</w:t>
      </w:r>
      <w:r>
        <w:rPr>
          <w:rFonts w:hint="eastAsia"/>
          <w:color w:val="000000"/>
          <w:kern w:val="0"/>
          <w:lang/>
        </w:rPr>
        <w:t>h</w:t>
      </w:r>
      <w:r>
        <w:rPr>
          <w:rFonts w:hint="eastAsia"/>
          <w:color w:val="000000"/>
          <w:kern w:val="0"/>
          <w:vertAlign w:val="subscript"/>
          <w:lang/>
        </w:rPr>
        <w:t>m</w:t>
      </w:r>
      <w:r>
        <w:rPr>
          <w:rFonts w:hint="eastAsia"/>
          <w:color w:val="000000"/>
          <w:kern w:val="0"/>
          <w:lang/>
        </w:rPr>
        <w:t>=F/r</w:t>
      </w:r>
      <w:r>
        <w:rPr>
          <w:rFonts w:hint="eastAsia"/>
          <w:color w:val="000000"/>
          <w:kern w:val="0"/>
          <w:lang/>
        </w:rPr>
        <w:t>；</w:t>
      </w:r>
      <w:r>
        <w:rPr>
          <w:rFonts w:hint="eastAsia"/>
          <w:color w:val="000000"/>
          <w:kern w:val="0"/>
          <w:lang/>
        </w:rPr>
        <w:t>F</w:t>
      </w:r>
      <w:r>
        <w:rPr>
          <w:rFonts w:hint="eastAsia"/>
          <w:color w:val="000000"/>
          <w:kern w:val="0"/>
          <w:lang/>
        </w:rPr>
        <w:t>：面积</w:t>
      </w:r>
      <w:r>
        <w:rPr>
          <w:rFonts w:hint="eastAsia"/>
          <w:color w:val="000000"/>
          <w:kern w:val="0"/>
          <w:lang/>
        </w:rPr>
        <w:t>/m</w:t>
      </w:r>
      <w:r>
        <w:rPr>
          <w:rFonts w:hint="eastAsia"/>
          <w:color w:val="000000"/>
          <w:kern w:val="0"/>
          <w:vertAlign w:val="superscript"/>
          <w:lang/>
        </w:rPr>
        <w:t>2</w:t>
      </w:r>
      <w:r>
        <w:rPr>
          <w:rFonts w:hint="eastAsia"/>
          <w:color w:val="000000"/>
          <w:kern w:val="0"/>
          <w:lang/>
        </w:rPr>
        <w:t>；若</w:t>
      </w:r>
      <w:r>
        <w:rPr>
          <w:rFonts w:hint="eastAsia"/>
          <w:color w:val="000000"/>
          <w:kern w:val="0"/>
          <w:lang/>
        </w:rPr>
        <w:t>A</w:t>
      </w:r>
      <w:r>
        <w:rPr>
          <w:rFonts w:hint="eastAsia"/>
          <w:color w:val="000000"/>
          <w:kern w:val="0"/>
          <w:vertAlign w:val="subscript"/>
          <w:lang/>
        </w:rPr>
        <w:t>gr</w:t>
      </w:r>
      <w:r>
        <w:rPr>
          <w:rFonts w:hint="eastAsia"/>
          <w:color w:val="000000"/>
          <w:kern w:val="0"/>
          <w:lang/>
        </w:rPr>
        <w:t>计算出负值，则</w:t>
      </w:r>
      <w:r>
        <w:rPr>
          <w:rFonts w:hint="eastAsia"/>
          <w:color w:val="000000"/>
          <w:kern w:val="0"/>
          <w:lang/>
        </w:rPr>
        <w:t>A</w:t>
      </w:r>
      <w:r>
        <w:rPr>
          <w:rFonts w:hint="eastAsia"/>
          <w:color w:val="000000"/>
          <w:kern w:val="0"/>
          <w:vertAlign w:val="subscript"/>
          <w:lang/>
        </w:rPr>
        <w:t>gr</w:t>
      </w:r>
      <w:r>
        <w:rPr>
          <w:rFonts w:hint="eastAsia"/>
          <w:color w:val="000000"/>
          <w:kern w:val="0"/>
          <w:lang/>
        </w:rPr>
        <w:t>可用“</w:t>
      </w:r>
      <w:r>
        <w:rPr>
          <w:rFonts w:hint="eastAsia"/>
          <w:color w:val="000000"/>
          <w:kern w:val="0"/>
          <w:lang/>
        </w:rPr>
        <w:t>0</w:t>
      </w:r>
      <w:r>
        <w:rPr>
          <w:rFonts w:hint="eastAsia"/>
          <w:color w:val="000000"/>
          <w:kern w:val="0"/>
          <w:lang/>
        </w:rPr>
        <w:t>”代替。</w:t>
      </w:r>
    </w:p>
    <w:p w:rsidR="00BC07F0" w:rsidRDefault="00073EFB">
      <w:pPr>
        <w:pStyle w:val="a7"/>
        <w:rPr>
          <w:rFonts w:hint="default"/>
        </w:rPr>
      </w:pPr>
      <w:r>
        <w:rPr>
          <w:noProof/>
        </w:rPr>
        <w:drawing>
          <wp:inline distT="0" distB="0" distL="114300" distR="114300">
            <wp:extent cx="4777740" cy="2078990"/>
            <wp:effectExtent l="0" t="0" r="3810" b="1651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59" cstate="print"/>
                    <a:srcRect b="1067"/>
                    <a:stretch>
                      <a:fillRect/>
                    </a:stretch>
                  </pic:blipFill>
                  <pic:spPr>
                    <a:xfrm>
                      <a:off x="0" y="0"/>
                      <a:ext cx="4777740" cy="2078990"/>
                    </a:xfrm>
                    <a:prstGeom prst="rect">
                      <a:avLst/>
                    </a:prstGeom>
                    <a:noFill/>
                    <a:ln>
                      <a:noFill/>
                    </a:ln>
                  </pic:spPr>
                </pic:pic>
              </a:graphicData>
            </a:graphic>
          </wp:inline>
        </w:drawing>
      </w:r>
    </w:p>
    <w:p w:rsidR="00BC07F0" w:rsidRDefault="00073EFB">
      <w:pPr>
        <w:pStyle w:val="a7"/>
        <w:rPr>
          <w:rFonts w:hint="default"/>
          <w:b/>
          <w:bCs/>
        </w:rPr>
      </w:pPr>
      <w:r>
        <w:rPr>
          <w:b/>
          <w:bCs/>
        </w:rPr>
        <w:t>图</w:t>
      </w:r>
      <w:r>
        <w:rPr>
          <w:b/>
          <w:bCs/>
        </w:rPr>
        <w:t>4-2</w:t>
      </w:r>
      <w:r>
        <w:rPr>
          <w:b/>
          <w:bCs/>
        </w:rPr>
        <w:t>估算平均高度</w:t>
      </w:r>
      <w:r>
        <w:rPr>
          <w:b/>
          <w:bCs/>
        </w:rPr>
        <w:t>hm</w:t>
      </w:r>
      <w:r>
        <w:rPr>
          <w:b/>
          <w:bCs/>
        </w:rPr>
        <w:t>的方法</w:t>
      </w:r>
    </w:p>
    <w:p w:rsidR="00BC07F0" w:rsidRDefault="00073EFB">
      <w:pPr>
        <w:widowControl/>
        <w:ind w:firstLine="480"/>
        <w:rPr>
          <w:rFonts w:cs="Times New Roman"/>
          <w:color w:val="000000"/>
          <w:kern w:val="0"/>
          <w:vertAlign w:val="subscript"/>
          <w:lang/>
        </w:rPr>
      </w:pPr>
      <w:r>
        <w:rPr>
          <w:rFonts w:cs="Times New Roman"/>
          <w:color w:val="000000"/>
          <w:kern w:val="0"/>
          <w:lang/>
        </w:rPr>
        <w:t>3</w:t>
      </w:r>
      <w:r>
        <w:rPr>
          <w:rFonts w:cs="Times New Roman"/>
          <w:color w:val="000000"/>
          <w:kern w:val="0"/>
          <w:lang/>
        </w:rPr>
        <w:t>）障碍物屏蔽引起的衰减</w:t>
      </w:r>
      <w:r>
        <w:rPr>
          <w:rFonts w:cs="Times New Roman"/>
          <w:color w:val="000000"/>
          <w:kern w:val="0"/>
          <w:lang/>
        </w:rPr>
        <w:t>A</w:t>
      </w:r>
      <w:r>
        <w:rPr>
          <w:rFonts w:cs="Times New Roman"/>
          <w:color w:val="000000"/>
          <w:kern w:val="0"/>
          <w:vertAlign w:val="subscript"/>
          <w:lang/>
        </w:rPr>
        <w:t>bar</w:t>
      </w:r>
    </w:p>
    <w:p w:rsidR="00BC07F0" w:rsidRDefault="00073EFB">
      <w:pPr>
        <w:widowControl/>
        <w:ind w:firstLine="480"/>
        <w:rPr>
          <w:rFonts w:cs="Times New Roman"/>
          <w:color w:val="000000"/>
          <w:kern w:val="0"/>
          <w:lang/>
        </w:rPr>
      </w:pPr>
      <w:r>
        <w:rPr>
          <w:rFonts w:cs="Times New Roman"/>
          <w:color w:val="000000"/>
          <w:kern w:val="0"/>
          <w:lang/>
        </w:rPr>
        <w:t>位于声源和预测点之间的实体障碍物，如围墙、建筑物、土坡或地堑等声屏障作用，从而引起声能量的较大衰减。在环境影响评价中，可将各种形式的屏障简化为具有一定高度的薄屏障。</w:t>
      </w:r>
    </w:p>
    <w:p w:rsidR="00BC07F0" w:rsidRDefault="00073EFB">
      <w:pPr>
        <w:widowControl/>
        <w:ind w:firstLine="480"/>
        <w:rPr>
          <w:rFonts w:cs="Times New Roman"/>
          <w:color w:val="000000"/>
          <w:kern w:val="0"/>
          <w:lang/>
        </w:rPr>
      </w:pPr>
      <w:r>
        <w:rPr>
          <w:rFonts w:cs="Times New Roman"/>
          <w:color w:val="000000"/>
          <w:kern w:val="0"/>
          <w:lang/>
        </w:rPr>
        <w:t>如图</w:t>
      </w:r>
      <w:r>
        <w:rPr>
          <w:rFonts w:cs="Times New Roman"/>
          <w:color w:val="000000"/>
          <w:kern w:val="0"/>
          <w:lang/>
        </w:rPr>
        <w:t>4-3</w:t>
      </w:r>
      <w:r>
        <w:rPr>
          <w:rFonts w:cs="Times New Roman"/>
          <w:color w:val="000000"/>
          <w:kern w:val="0"/>
          <w:lang/>
        </w:rPr>
        <w:t>所示，</w:t>
      </w:r>
      <w:r>
        <w:rPr>
          <w:rFonts w:cs="Times New Roman"/>
          <w:color w:val="000000"/>
          <w:kern w:val="0"/>
          <w:lang/>
        </w:rPr>
        <w:t>S</w:t>
      </w:r>
      <w:r>
        <w:rPr>
          <w:rFonts w:cs="Times New Roman"/>
          <w:color w:val="000000"/>
          <w:kern w:val="0"/>
          <w:lang/>
        </w:rPr>
        <w:t>、</w:t>
      </w:r>
      <w:r>
        <w:rPr>
          <w:rFonts w:cs="Times New Roman"/>
          <w:color w:val="000000"/>
          <w:kern w:val="0"/>
          <w:lang/>
        </w:rPr>
        <w:t>O</w:t>
      </w:r>
      <w:r>
        <w:rPr>
          <w:rFonts w:cs="Times New Roman"/>
          <w:color w:val="000000"/>
          <w:kern w:val="0"/>
          <w:lang/>
        </w:rPr>
        <w:t>、</w:t>
      </w:r>
      <w:r>
        <w:rPr>
          <w:rFonts w:cs="Times New Roman"/>
          <w:color w:val="000000"/>
          <w:kern w:val="0"/>
          <w:lang/>
        </w:rPr>
        <w:t>P</w:t>
      </w:r>
      <w:r>
        <w:rPr>
          <w:rFonts w:cs="Times New Roman"/>
          <w:color w:val="000000"/>
          <w:kern w:val="0"/>
          <w:lang/>
        </w:rPr>
        <w:t>三点在同一平面内且垂直于地面。</w:t>
      </w:r>
    </w:p>
    <w:p w:rsidR="00BC07F0" w:rsidRDefault="00073EFB">
      <w:pPr>
        <w:widowControl/>
        <w:ind w:firstLine="480"/>
        <w:rPr>
          <w:rFonts w:cs="Times New Roman"/>
          <w:color w:val="000000"/>
          <w:kern w:val="0"/>
          <w:lang/>
        </w:rPr>
      </w:pPr>
      <w:r>
        <w:rPr>
          <w:rFonts w:cs="Times New Roman"/>
          <w:color w:val="000000"/>
          <w:kern w:val="0"/>
          <w:lang/>
        </w:rPr>
        <w:t>定义</w:t>
      </w:r>
      <w:r>
        <w:rPr>
          <w:rFonts w:cs="Times New Roman"/>
          <w:color w:val="000000"/>
          <w:kern w:val="0"/>
          <w:lang/>
        </w:rPr>
        <w:t>δ=SO+OP-SP</w:t>
      </w:r>
      <w:r>
        <w:rPr>
          <w:rFonts w:cs="Times New Roman"/>
          <w:color w:val="000000"/>
          <w:kern w:val="0"/>
          <w:lang/>
        </w:rPr>
        <w:t>为声程差，</w:t>
      </w:r>
      <w:r>
        <w:rPr>
          <w:rFonts w:cs="Times New Roman"/>
          <w:color w:val="000000"/>
          <w:kern w:val="0"/>
          <w:lang/>
        </w:rPr>
        <w:t>N=2δ/λ</w:t>
      </w:r>
      <w:r>
        <w:rPr>
          <w:rFonts w:cs="Times New Roman"/>
          <w:color w:val="000000"/>
          <w:kern w:val="0"/>
          <w:lang/>
        </w:rPr>
        <w:t>为菲涅尔数，其中</w:t>
      </w:r>
      <w:r>
        <w:rPr>
          <w:rFonts w:cs="Times New Roman"/>
          <w:color w:val="000000"/>
          <w:kern w:val="0"/>
          <w:lang/>
        </w:rPr>
        <w:t>λ</w:t>
      </w:r>
      <w:r>
        <w:rPr>
          <w:rFonts w:cs="Times New Roman"/>
          <w:color w:val="000000"/>
          <w:kern w:val="0"/>
          <w:lang/>
        </w:rPr>
        <w:t>为波长。</w:t>
      </w:r>
    </w:p>
    <w:p w:rsidR="00BC07F0" w:rsidRDefault="00073EFB">
      <w:pPr>
        <w:widowControl/>
        <w:ind w:firstLine="480"/>
        <w:rPr>
          <w:rFonts w:cs="Times New Roman"/>
          <w:color w:val="000000"/>
          <w:kern w:val="0"/>
          <w:lang/>
        </w:rPr>
      </w:pPr>
      <w:r>
        <w:rPr>
          <w:rFonts w:cs="Times New Roman"/>
          <w:color w:val="000000"/>
          <w:kern w:val="0"/>
          <w:lang/>
        </w:rPr>
        <w:t>在噪声预测中，声屏障插入损失的计算方法需要根据实际情况作简化处理。</w:t>
      </w:r>
    </w:p>
    <w:p w:rsidR="00BC07F0" w:rsidRDefault="00073EFB">
      <w:pPr>
        <w:widowControl/>
        <w:ind w:firstLine="480"/>
        <w:rPr>
          <w:rFonts w:cs="Times New Roman"/>
          <w:color w:val="000000"/>
          <w:kern w:val="0"/>
          <w:lang/>
        </w:rPr>
      </w:pPr>
      <w:r>
        <w:rPr>
          <w:rFonts w:cs="Times New Roman"/>
          <w:color w:val="000000"/>
          <w:kern w:val="0"/>
          <w:lang/>
        </w:rPr>
        <w:t>屏障衰减</w:t>
      </w:r>
      <w:r>
        <w:rPr>
          <w:rFonts w:cs="Times New Roman"/>
          <w:color w:val="000000"/>
          <w:kern w:val="0"/>
          <w:lang/>
        </w:rPr>
        <w:t>A</w:t>
      </w:r>
      <w:r>
        <w:rPr>
          <w:rFonts w:cs="Times New Roman"/>
          <w:color w:val="000000"/>
          <w:kern w:val="0"/>
          <w:vertAlign w:val="subscript"/>
          <w:lang/>
        </w:rPr>
        <w:t>bar</w:t>
      </w:r>
      <w:r>
        <w:rPr>
          <w:rFonts w:cs="Times New Roman"/>
          <w:color w:val="000000"/>
          <w:kern w:val="0"/>
          <w:lang/>
        </w:rPr>
        <w:t>在单绕射（即薄屏障）情况，衰减最大取值</w:t>
      </w:r>
      <w:r>
        <w:rPr>
          <w:rFonts w:cs="Times New Roman"/>
          <w:color w:val="000000"/>
          <w:kern w:val="0"/>
          <w:lang/>
        </w:rPr>
        <w:t>20dB</w:t>
      </w:r>
      <w:r>
        <w:rPr>
          <w:rFonts w:cs="Times New Roman"/>
          <w:color w:val="000000"/>
          <w:kern w:val="0"/>
          <w:lang/>
        </w:rPr>
        <w:t>，在双绕射（即厚</w:t>
      </w:r>
      <w:r>
        <w:rPr>
          <w:rFonts w:cs="Times New Roman"/>
          <w:color w:val="000000"/>
          <w:kern w:val="0"/>
          <w:lang/>
        </w:rPr>
        <w:t>屏障）情况，衰减最大取值</w:t>
      </w:r>
      <w:r>
        <w:rPr>
          <w:rFonts w:cs="Times New Roman"/>
          <w:color w:val="000000"/>
          <w:kern w:val="0"/>
          <w:lang/>
        </w:rPr>
        <w:t>25dB</w:t>
      </w:r>
      <w:r>
        <w:rPr>
          <w:rFonts w:cs="Times New Roman"/>
          <w:color w:val="000000"/>
          <w:kern w:val="0"/>
          <w:lang/>
        </w:rPr>
        <w:t>。</w:t>
      </w:r>
    </w:p>
    <w:p w:rsidR="00BC07F0" w:rsidRDefault="00073EFB">
      <w:pPr>
        <w:pStyle w:val="a7"/>
        <w:rPr>
          <w:rFonts w:hint="default"/>
          <w:b/>
          <w:bCs/>
        </w:rPr>
      </w:pPr>
      <w:r>
        <w:rPr>
          <w:b/>
          <w:bCs/>
          <w:noProof/>
        </w:rPr>
        <w:lastRenderedPageBreak/>
        <w:drawing>
          <wp:inline distT="0" distB="0" distL="114300" distR="114300">
            <wp:extent cx="3131820" cy="1859280"/>
            <wp:effectExtent l="0" t="0" r="11430" b="762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60" cstate="print"/>
                    <a:srcRect b="23987"/>
                    <a:stretch>
                      <a:fillRect/>
                    </a:stretch>
                  </pic:blipFill>
                  <pic:spPr>
                    <a:xfrm>
                      <a:off x="0" y="0"/>
                      <a:ext cx="3131820" cy="1859280"/>
                    </a:xfrm>
                    <a:prstGeom prst="rect">
                      <a:avLst/>
                    </a:prstGeom>
                    <a:noFill/>
                    <a:ln>
                      <a:noFill/>
                    </a:ln>
                  </pic:spPr>
                </pic:pic>
              </a:graphicData>
            </a:graphic>
          </wp:inline>
        </w:drawing>
      </w:r>
    </w:p>
    <w:p w:rsidR="00BC07F0" w:rsidRDefault="00073EFB">
      <w:pPr>
        <w:pStyle w:val="a7"/>
        <w:rPr>
          <w:rFonts w:hint="default"/>
          <w:b/>
          <w:bCs/>
        </w:rPr>
      </w:pPr>
      <w:r>
        <w:rPr>
          <w:b/>
          <w:bCs/>
        </w:rPr>
        <w:t>图</w:t>
      </w:r>
      <w:r>
        <w:rPr>
          <w:b/>
          <w:bCs/>
        </w:rPr>
        <w:t>4-3</w:t>
      </w:r>
      <w:r>
        <w:rPr>
          <w:b/>
          <w:bCs/>
        </w:rPr>
        <w:t>无线长声屏障示意图</w:t>
      </w:r>
    </w:p>
    <w:p w:rsidR="00BC07F0" w:rsidRDefault="00073EFB" w:rsidP="00C55F5E">
      <w:pPr>
        <w:ind w:firstLine="480"/>
      </w:pPr>
      <w:r>
        <w:t>①</w:t>
      </w:r>
      <w:r>
        <w:rPr>
          <w:rFonts w:hint="eastAsia"/>
        </w:rPr>
        <w:t>无线长声屏障按照下式计算。</w:t>
      </w:r>
    </w:p>
    <w:p w:rsidR="00BC07F0" w:rsidRDefault="00BC07F0">
      <w:pPr>
        <w:widowControl/>
        <w:ind w:firstLine="480"/>
        <w:jc w:val="center"/>
        <w:rPr>
          <w:rFonts w:ascii="宋体" w:hAnsi="宋体" w:cs="宋体"/>
          <w:color w:val="000000"/>
          <w:kern w:val="0"/>
          <w:lang/>
        </w:rPr>
      </w:pPr>
      <w:r w:rsidRPr="00BC07F0">
        <w:rPr>
          <w:rFonts w:ascii="宋体" w:hAnsi="宋体" w:cs="宋体" w:hint="eastAsia"/>
          <w:color w:val="000000"/>
          <w:kern w:val="0"/>
          <w:position w:val="-104"/>
          <w:lang/>
        </w:rPr>
        <w:object w:dxaOrig="3920" w:dyaOrig="2200">
          <v:shape id="_x0000_i1035" type="#_x0000_t75" style="width:196pt;height:110.3pt" o:ole="">
            <v:imagedata r:id="rId61" o:title=""/>
          </v:shape>
          <o:OLEObject Type="Embed" ProgID="Equations" ShapeID="_x0000_i1035" DrawAspect="Content" ObjectID="_1746346139" r:id="rId62"/>
        </w:object>
      </w:r>
    </w:p>
    <w:p w:rsidR="00BC07F0" w:rsidRDefault="00073EFB">
      <w:pPr>
        <w:widowControl/>
        <w:ind w:firstLine="480"/>
        <w:rPr>
          <w:rFonts w:ascii="宋体" w:hAnsi="宋体" w:cs="宋体"/>
          <w:color w:val="000000"/>
          <w:kern w:val="0"/>
          <w:lang/>
        </w:rPr>
      </w:pPr>
      <w:r>
        <w:rPr>
          <w:rFonts w:ascii="宋体" w:hAnsi="宋体" w:cs="宋体" w:hint="eastAsia"/>
          <w:color w:val="000000"/>
          <w:kern w:val="0"/>
          <w:lang/>
        </w:rPr>
        <w:t>式中：</w:t>
      </w:r>
    </w:p>
    <w:p w:rsidR="00BC07F0" w:rsidRDefault="00073EFB">
      <w:pPr>
        <w:widowControl/>
        <w:ind w:firstLine="480"/>
        <w:rPr>
          <w:color w:val="000000"/>
          <w:kern w:val="0"/>
          <w:lang/>
        </w:rPr>
      </w:pPr>
      <w:r>
        <w:rPr>
          <w:color w:val="000000"/>
          <w:kern w:val="0"/>
          <w:lang/>
        </w:rPr>
        <w:t>f——</w:t>
      </w:r>
      <w:r>
        <w:rPr>
          <w:color w:val="000000"/>
          <w:kern w:val="0"/>
          <w:lang/>
        </w:rPr>
        <w:t>声波频率，</w:t>
      </w:r>
      <w:r>
        <w:rPr>
          <w:color w:val="000000"/>
          <w:kern w:val="0"/>
          <w:lang/>
        </w:rPr>
        <w:t>Hz</w:t>
      </w:r>
      <w:r>
        <w:rPr>
          <w:color w:val="000000"/>
          <w:kern w:val="0"/>
          <w:lang/>
        </w:rPr>
        <w:t>，交通噪声取</w:t>
      </w:r>
      <w:r>
        <w:rPr>
          <w:color w:val="000000"/>
          <w:kern w:val="0"/>
          <w:lang/>
        </w:rPr>
        <w:t>f=500Hz</w:t>
      </w:r>
      <w:r>
        <w:rPr>
          <w:color w:val="000000"/>
          <w:kern w:val="0"/>
          <w:lang/>
        </w:rPr>
        <w:t>；</w:t>
      </w:r>
    </w:p>
    <w:p w:rsidR="00BC07F0" w:rsidRDefault="00073EFB">
      <w:pPr>
        <w:widowControl/>
        <w:ind w:firstLine="480"/>
        <w:rPr>
          <w:color w:val="000000"/>
          <w:kern w:val="0"/>
          <w:lang/>
        </w:rPr>
      </w:pPr>
      <w:r>
        <w:rPr>
          <w:color w:val="000000"/>
          <w:kern w:val="0"/>
          <w:lang/>
        </w:rPr>
        <w:t>δ——</w:t>
      </w:r>
      <w:r>
        <w:rPr>
          <w:color w:val="000000"/>
          <w:kern w:val="0"/>
          <w:lang/>
        </w:rPr>
        <w:t>声程差，</w:t>
      </w:r>
      <w:r>
        <w:rPr>
          <w:color w:val="000000"/>
          <w:kern w:val="0"/>
          <w:lang/>
        </w:rPr>
        <w:t>m</w:t>
      </w:r>
      <w:r>
        <w:rPr>
          <w:color w:val="000000"/>
          <w:kern w:val="0"/>
          <w:lang/>
        </w:rPr>
        <w:t>；</w:t>
      </w:r>
    </w:p>
    <w:p w:rsidR="00BC07F0" w:rsidRDefault="00073EFB">
      <w:pPr>
        <w:widowControl/>
        <w:ind w:firstLine="480"/>
        <w:rPr>
          <w:color w:val="000000"/>
          <w:kern w:val="0"/>
          <w:lang/>
        </w:rPr>
      </w:pPr>
      <w:r>
        <w:rPr>
          <w:color w:val="000000"/>
          <w:kern w:val="0"/>
          <w:lang/>
        </w:rPr>
        <w:t>c——</w:t>
      </w:r>
      <w:r>
        <w:rPr>
          <w:color w:val="000000"/>
          <w:kern w:val="0"/>
          <w:lang/>
        </w:rPr>
        <w:t>声速，</w:t>
      </w:r>
      <w:r>
        <w:rPr>
          <w:color w:val="000000"/>
          <w:kern w:val="0"/>
          <w:lang/>
        </w:rPr>
        <w:t>m/s</w:t>
      </w:r>
      <w:r>
        <w:rPr>
          <w:color w:val="000000"/>
          <w:kern w:val="0"/>
          <w:lang/>
        </w:rPr>
        <w:t>。</w:t>
      </w:r>
    </w:p>
    <w:p w:rsidR="00BC07F0" w:rsidRDefault="00073EFB">
      <w:pPr>
        <w:widowControl/>
        <w:ind w:firstLine="480"/>
        <w:rPr>
          <w:color w:val="000000"/>
          <w:kern w:val="0"/>
          <w:lang/>
        </w:rPr>
      </w:pPr>
      <w:r>
        <w:rPr>
          <w:color w:val="000000"/>
          <w:kern w:val="0"/>
          <w:lang/>
        </w:rPr>
        <w:t>在公路建设项目评价中可采用</w:t>
      </w:r>
      <w:r>
        <w:rPr>
          <w:color w:val="000000"/>
          <w:kern w:val="0"/>
          <w:lang/>
        </w:rPr>
        <w:t>500Hz</w:t>
      </w:r>
      <w:r>
        <w:rPr>
          <w:color w:val="000000"/>
          <w:kern w:val="0"/>
          <w:lang/>
        </w:rPr>
        <w:t>频率的声波计算得到的屏障衰减量近似作为</w:t>
      </w:r>
      <w:r>
        <w:rPr>
          <w:color w:val="000000"/>
          <w:kern w:val="0"/>
          <w:lang/>
        </w:rPr>
        <w:t>A</w:t>
      </w:r>
      <w:r>
        <w:rPr>
          <w:color w:val="000000"/>
          <w:kern w:val="0"/>
          <w:lang/>
        </w:rPr>
        <w:t>声级的衰减量。</w:t>
      </w:r>
    </w:p>
    <w:p w:rsidR="00BC07F0" w:rsidRDefault="00073EFB">
      <w:pPr>
        <w:widowControl/>
        <w:ind w:firstLine="480"/>
        <w:rPr>
          <w:color w:val="000000"/>
          <w:kern w:val="0"/>
          <w:lang/>
        </w:rPr>
      </w:pPr>
      <w:r>
        <w:rPr>
          <w:color w:val="000000"/>
          <w:kern w:val="0"/>
          <w:lang/>
        </w:rPr>
        <w:t>在使用上式计算屏障衰减时，当菲涅尔数</w:t>
      </w:r>
      <w:r>
        <w:rPr>
          <w:color w:val="000000"/>
          <w:kern w:val="0"/>
          <w:lang/>
        </w:rPr>
        <w:t>0</w:t>
      </w:r>
      <w:r>
        <w:rPr>
          <w:color w:val="000000"/>
          <w:kern w:val="0"/>
          <w:lang/>
        </w:rPr>
        <w:t>＞</w:t>
      </w:r>
      <w:r>
        <w:rPr>
          <w:color w:val="000000"/>
          <w:kern w:val="0"/>
          <w:lang/>
        </w:rPr>
        <w:t>N</w:t>
      </w:r>
      <w:r>
        <w:rPr>
          <w:color w:val="000000"/>
          <w:kern w:val="0"/>
          <w:lang/>
        </w:rPr>
        <w:t>＞</w:t>
      </w:r>
      <w:r>
        <w:rPr>
          <w:color w:val="000000"/>
          <w:kern w:val="0"/>
          <w:lang/>
        </w:rPr>
        <w:t>-0.2</w:t>
      </w:r>
      <w:r>
        <w:rPr>
          <w:color w:val="000000"/>
          <w:kern w:val="0"/>
          <w:lang/>
        </w:rPr>
        <w:t>时也应计算衰减量，同时保证衰减量为正值，负值时舍弃。</w:t>
      </w:r>
    </w:p>
    <w:p w:rsidR="00BC07F0" w:rsidRDefault="00073EFB">
      <w:pPr>
        <w:widowControl/>
        <w:ind w:firstLine="480"/>
        <w:rPr>
          <w:color w:val="000000"/>
          <w:kern w:val="0"/>
          <w:lang/>
        </w:rPr>
      </w:pPr>
      <w:r>
        <w:rPr>
          <w:color w:val="000000"/>
          <w:kern w:val="0"/>
          <w:lang/>
        </w:rPr>
        <w:t>②</w:t>
      </w:r>
      <w:r>
        <w:rPr>
          <w:rFonts w:hint="eastAsia"/>
          <w:color w:val="000000"/>
          <w:kern w:val="0"/>
          <w:lang/>
        </w:rPr>
        <w:t>有限声长屏障的衰减量</w:t>
      </w:r>
      <w:r>
        <w:rPr>
          <w:rFonts w:hint="eastAsia"/>
          <w:color w:val="000000"/>
          <w:kern w:val="0"/>
          <w:lang/>
        </w:rPr>
        <w:t>A</w:t>
      </w:r>
      <w:r>
        <w:rPr>
          <w:rFonts w:hint="eastAsia"/>
          <w:color w:val="000000"/>
          <w:kern w:val="0"/>
          <w:vertAlign w:val="subscript"/>
          <w:lang/>
        </w:rPr>
        <w:t>bar</w:t>
      </w:r>
      <w:r>
        <w:rPr>
          <w:rFonts w:hint="eastAsia"/>
          <w:color w:val="000000"/>
          <w:kern w:val="0"/>
          <w:lang/>
        </w:rPr>
        <w:t>’可按下式计算。</w:t>
      </w:r>
    </w:p>
    <w:p w:rsidR="00BC07F0" w:rsidRDefault="00BC07F0" w:rsidP="00C55F5E">
      <w:pPr>
        <w:widowControl/>
        <w:ind w:firstLine="480"/>
        <w:jc w:val="center"/>
        <w:rPr>
          <w:rFonts w:ascii="宋体" w:hAnsi="宋体" w:cs="宋体"/>
          <w:color w:val="000000"/>
          <w:kern w:val="0"/>
          <w:lang/>
        </w:rPr>
      </w:pPr>
      <w:r w:rsidRPr="00BC07F0">
        <w:rPr>
          <w:rFonts w:ascii="宋体" w:hAnsi="宋体" w:cs="宋体" w:hint="eastAsia"/>
          <w:color w:val="000000"/>
          <w:kern w:val="0"/>
          <w:position w:val="-24"/>
          <w:lang/>
        </w:rPr>
        <w:object w:dxaOrig="3180" w:dyaOrig="620">
          <v:shape id="_x0000_i1036" type="#_x0000_t75" style="width:158.85pt;height:30.85pt" o:ole="">
            <v:imagedata r:id="rId63" o:title=""/>
          </v:shape>
          <o:OLEObject Type="Embed" ProgID="Equations" ShapeID="_x0000_i1036" DrawAspect="Content" ObjectID="_1746346140" r:id="rId64"/>
        </w:object>
      </w:r>
    </w:p>
    <w:p w:rsidR="00BC07F0" w:rsidRDefault="00073EFB">
      <w:pPr>
        <w:widowControl/>
        <w:ind w:firstLine="480"/>
        <w:rPr>
          <w:rFonts w:ascii="宋体" w:hAnsi="宋体" w:cs="宋体"/>
          <w:color w:val="000000"/>
          <w:kern w:val="0"/>
          <w:lang/>
        </w:rPr>
      </w:pPr>
      <w:r>
        <w:rPr>
          <w:rFonts w:ascii="宋体" w:hAnsi="宋体" w:cs="宋体" w:hint="eastAsia"/>
          <w:color w:val="000000"/>
          <w:kern w:val="0"/>
          <w:lang/>
        </w:rPr>
        <w:t>式中：</w:t>
      </w:r>
    </w:p>
    <w:p w:rsidR="00BC07F0" w:rsidRDefault="00073EFB">
      <w:pPr>
        <w:widowControl/>
        <w:ind w:firstLine="480"/>
        <w:rPr>
          <w:color w:val="000000"/>
          <w:kern w:val="0"/>
          <w:lang/>
        </w:rPr>
      </w:pPr>
      <w:r>
        <w:rPr>
          <w:color w:val="000000"/>
          <w:kern w:val="0"/>
          <w:lang/>
        </w:rPr>
        <w:t>A</w:t>
      </w:r>
      <w:r>
        <w:rPr>
          <w:color w:val="000000"/>
          <w:kern w:val="0"/>
          <w:vertAlign w:val="subscript"/>
          <w:lang/>
        </w:rPr>
        <w:t>bar</w:t>
      </w:r>
      <w:r>
        <w:rPr>
          <w:color w:val="000000"/>
          <w:kern w:val="0"/>
          <w:lang/>
        </w:rPr>
        <w:t>’——</w:t>
      </w:r>
      <w:r>
        <w:rPr>
          <w:color w:val="000000"/>
          <w:kern w:val="0"/>
          <w:lang/>
        </w:rPr>
        <w:t>有限声长屏障引起的衰减，</w:t>
      </w:r>
      <w:r>
        <w:rPr>
          <w:color w:val="000000"/>
          <w:kern w:val="0"/>
          <w:lang/>
        </w:rPr>
        <w:t>dB</w:t>
      </w:r>
      <w:r>
        <w:rPr>
          <w:color w:val="000000"/>
          <w:kern w:val="0"/>
          <w:lang/>
        </w:rPr>
        <w:t>；</w:t>
      </w:r>
    </w:p>
    <w:p w:rsidR="00BC07F0" w:rsidRDefault="00073EFB">
      <w:pPr>
        <w:widowControl/>
        <w:ind w:firstLine="480"/>
        <w:rPr>
          <w:color w:val="000000"/>
          <w:kern w:val="0"/>
          <w:lang/>
        </w:rPr>
      </w:pPr>
      <w:r>
        <w:rPr>
          <w:color w:val="000000"/>
          <w:kern w:val="0"/>
          <w:lang/>
        </w:rPr>
        <w:t>β——</w:t>
      </w:r>
      <w:r>
        <w:rPr>
          <w:color w:val="000000"/>
          <w:kern w:val="0"/>
          <w:lang/>
        </w:rPr>
        <w:t>受声点与声屏障两端连接线的夹角，（</w:t>
      </w:r>
      <w:r>
        <w:rPr>
          <w:color w:val="000000"/>
          <w:kern w:val="0"/>
          <w:lang/>
        </w:rPr>
        <w:t>°</w:t>
      </w:r>
      <w:r>
        <w:rPr>
          <w:color w:val="000000"/>
          <w:kern w:val="0"/>
          <w:lang/>
        </w:rPr>
        <w:t>）；</w:t>
      </w:r>
    </w:p>
    <w:p w:rsidR="00BC07F0" w:rsidRDefault="00073EFB">
      <w:pPr>
        <w:widowControl/>
        <w:ind w:firstLine="480"/>
        <w:rPr>
          <w:color w:val="000000"/>
          <w:kern w:val="0"/>
          <w:lang/>
        </w:rPr>
      </w:pPr>
      <w:r>
        <w:rPr>
          <w:noProof/>
        </w:rPr>
        <w:drawing>
          <wp:inline distT="0" distB="0" distL="114300" distR="114300">
            <wp:extent cx="123825" cy="171450"/>
            <wp:effectExtent l="0" t="0" r="9525" b="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65" cstate="print"/>
                    <a:stretch>
                      <a:fillRect/>
                    </a:stretch>
                  </pic:blipFill>
                  <pic:spPr>
                    <a:xfrm>
                      <a:off x="0" y="0"/>
                      <a:ext cx="123825" cy="171450"/>
                    </a:xfrm>
                    <a:prstGeom prst="rect">
                      <a:avLst/>
                    </a:prstGeom>
                    <a:noFill/>
                    <a:ln>
                      <a:noFill/>
                    </a:ln>
                  </pic:spPr>
                </pic:pic>
              </a:graphicData>
            </a:graphic>
          </wp:inline>
        </w:drawing>
      </w:r>
      <w:r>
        <w:t>——</w:t>
      </w:r>
      <w:r>
        <w:t>受声点与线声源两端连线的夹角，</w:t>
      </w:r>
      <w:r>
        <w:rPr>
          <w:color w:val="000000"/>
          <w:kern w:val="0"/>
          <w:lang/>
        </w:rPr>
        <w:t>（</w:t>
      </w:r>
      <w:r>
        <w:rPr>
          <w:color w:val="000000"/>
          <w:kern w:val="0"/>
          <w:lang/>
        </w:rPr>
        <w:t>°</w:t>
      </w:r>
      <w:r>
        <w:rPr>
          <w:color w:val="000000"/>
          <w:kern w:val="0"/>
          <w:lang/>
        </w:rPr>
        <w:t>）；</w:t>
      </w:r>
    </w:p>
    <w:p w:rsidR="00BC07F0" w:rsidRDefault="00073EFB">
      <w:pPr>
        <w:widowControl/>
        <w:ind w:firstLine="480"/>
        <w:rPr>
          <w:color w:val="000000"/>
          <w:kern w:val="0"/>
          <w:lang/>
        </w:rPr>
      </w:pPr>
      <w:r>
        <w:rPr>
          <w:color w:val="000000"/>
          <w:kern w:val="0"/>
          <w:lang/>
        </w:rPr>
        <w:t>A</w:t>
      </w:r>
      <w:r>
        <w:rPr>
          <w:color w:val="000000"/>
          <w:kern w:val="0"/>
          <w:vertAlign w:val="subscript"/>
          <w:lang/>
        </w:rPr>
        <w:t>bar</w:t>
      </w:r>
      <w:r>
        <w:rPr>
          <w:color w:val="000000"/>
          <w:kern w:val="0"/>
          <w:lang/>
        </w:rPr>
        <w:t>——</w:t>
      </w:r>
      <w:r>
        <w:rPr>
          <w:color w:val="000000"/>
          <w:kern w:val="0"/>
          <w:lang/>
        </w:rPr>
        <w:t>无线声长屏障的衰减量，</w:t>
      </w:r>
      <w:r>
        <w:rPr>
          <w:color w:val="000000"/>
          <w:kern w:val="0"/>
          <w:lang/>
        </w:rPr>
        <w:t>dB</w:t>
      </w:r>
      <w:r>
        <w:rPr>
          <w:color w:val="000000"/>
          <w:kern w:val="0"/>
          <w:lang/>
        </w:rPr>
        <w:t>。</w:t>
      </w:r>
    </w:p>
    <w:p w:rsidR="00BC07F0" w:rsidRDefault="00073EFB">
      <w:pPr>
        <w:pStyle w:val="a7"/>
        <w:rPr>
          <w:rFonts w:hint="default"/>
          <w:b/>
          <w:bCs/>
        </w:rPr>
      </w:pPr>
      <w:r>
        <w:rPr>
          <w:b/>
          <w:bCs/>
          <w:noProof/>
        </w:rPr>
        <w:lastRenderedPageBreak/>
        <w:drawing>
          <wp:inline distT="0" distB="0" distL="114300" distR="114300">
            <wp:extent cx="2486660" cy="1727200"/>
            <wp:effectExtent l="0" t="0" r="8890" b="635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66" cstate="print"/>
                    <a:stretch>
                      <a:fillRect/>
                    </a:stretch>
                  </pic:blipFill>
                  <pic:spPr>
                    <a:xfrm>
                      <a:off x="0" y="0"/>
                      <a:ext cx="2486660" cy="1727200"/>
                    </a:xfrm>
                    <a:prstGeom prst="rect">
                      <a:avLst/>
                    </a:prstGeom>
                    <a:noFill/>
                    <a:ln>
                      <a:noFill/>
                    </a:ln>
                  </pic:spPr>
                </pic:pic>
              </a:graphicData>
            </a:graphic>
          </wp:inline>
        </w:drawing>
      </w:r>
    </w:p>
    <w:p w:rsidR="00BC07F0" w:rsidRDefault="00073EFB">
      <w:pPr>
        <w:pStyle w:val="a7"/>
        <w:rPr>
          <w:rFonts w:hint="default"/>
          <w:b/>
          <w:bCs/>
        </w:rPr>
      </w:pPr>
      <w:r>
        <w:rPr>
          <w:b/>
          <w:bCs/>
        </w:rPr>
        <w:t>图</w:t>
      </w:r>
      <w:r>
        <w:rPr>
          <w:b/>
          <w:bCs/>
        </w:rPr>
        <w:t>4-</w:t>
      </w:r>
      <w:r>
        <w:rPr>
          <w:b/>
          <w:bCs/>
        </w:rPr>
        <w:t>4</w:t>
      </w:r>
      <w:r>
        <w:rPr>
          <w:b/>
          <w:bCs/>
        </w:rPr>
        <w:t>受声点与线声源两端连接线的夹角（遮蔽角）</w:t>
      </w:r>
    </w:p>
    <w:p w:rsidR="00BC07F0" w:rsidRDefault="00073EFB">
      <w:pPr>
        <w:widowControl/>
        <w:ind w:firstLine="480"/>
        <w:rPr>
          <w:color w:val="000000"/>
          <w:kern w:val="0"/>
          <w:vertAlign w:val="subscript"/>
          <w:lang/>
        </w:rPr>
      </w:pPr>
      <w:r>
        <w:rPr>
          <w:color w:val="000000"/>
          <w:kern w:val="0"/>
          <w:lang/>
        </w:rPr>
        <w:t>4</w:t>
      </w:r>
      <w:r>
        <w:rPr>
          <w:color w:val="000000"/>
          <w:kern w:val="0"/>
          <w:lang/>
        </w:rPr>
        <w:t>）</w:t>
      </w:r>
      <w:r>
        <w:rPr>
          <w:rFonts w:hint="eastAsia"/>
          <w:color w:val="000000"/>
          <w:kern w:val="0"/>
          <w:lang/>
        </w:rPr>
        <w:t>其他方面效应引起的衰减</w:t>
      </w:r>
      <w:r>
        <w:rPr>
          <w:rFonts w:hint="eastAsia"/>
          <w:color w:val="000000"/>
          <w:kern w:val="0"/>
          <w:lang/>
        </w:rPr>
        <w:t>A</w:t>
      </w:r>
      <w:r>
        <w:rPr>
          <w:rFonts w:hint="eastAsia"/>
          <w:color w:val="000000"/>
          <w:kern w:val="0"/>
          <w:vertAlign w:val="subscript"/>
          <w:lang/>
        </w:rPr>
        <w:t>misc</w:t>
      </w:r>
    </w:p>
    <w:p w:rsidR="00BC07F0" w:rsidRDefault="00073EFB">
      <w:pPr>
        <w:widowControl/>
        <w:ind w:firstLine="480"/>
        <w:rPr>
          <w:color w:val="000000"/>
          <w:kern w:val="0"/>
          <w:lang/>
        </w:rPr>
      </w:pPr>
      <w:r>
        <w:rPr>
          <w:color w:val="000000"/>
          <w:kern w:val="0"/>
          <w:lang/>
        </w:rPr>
        <w:t>其他衰减包括通过工业场所的衰减；通过房屋群的衰减等。在声环境影响评价中，一般情况下，不考虑自然条件（如风、温度梯度、雾）变化引起的附加修正。</w:t>
      </w:r>
    </w:p>
    <w:p w:rsidR="00BC07F0" w:rsidRDefault="00073EFB">
      <w:pPr>
        <w:widowControl/>
        <w:ind w:firstLine="480"/>
        <w:rPr>
          <w:color w:val="000000"/>
          <w:kern w:val="0"/>
          <w:vertAlign w:val="subscript"/>
          <w:lang/>
        </w:rPr>
      </w:pPr>
      <w:r>
        <w:rPr>
          <w:color w:val="000000"/>
          <w:kern w:val="0"/>
          <w:lang/>
        </w:rPr>
        <w:t>①</w:t>
      </w:r>
      <w:r>
        <w:rPr>
          <w:color w:val="000000"/>
          <w:kern w:val="0"/>
          <w:lang/>
        </w:rPr>
        <w:t>绿化林带引起的衰减</w:t>
      </w:r>
      <w:r>
        <w:rPr>
          <w:color w:val="000000"/>
          <w:kern w:val="0"/>
          <w:lang/>
        </w:rPr>
        <w:t>A</w:t>
      </w:r>
      <w:r>
        <w:rPr>
          <w:color w:val="000000"/>
          <w:kern w:val="0"/>
          <w:vertAlign w:val="subscript"/>
          <w:lang/>
        </w:rPr>
        <w:t>fol</w:t>
      </w:r>
    </w:p>
    <w:p w:rsidR="00BC07F0" w:rsidRDefault="00073EFB">
      <w:pPr>
        <w:widowControl/>
        <w:ind w:firstLine="480"/>
        <w:rPr>
          <w:rFonts w:ascii="宋体" w:hAnsi="宋体" w:cs="宋体"/>
          <w:color w:val="000000"/>
          <w:kern w:val="0"/>
          <w:lang/>
        </w:rPr>
      </w:pPr>
      <w:r>
        <w:rPr>
          <w:rFonts w:ascii="宋体" w:hAnsi="宋体" w:cs="宋体" w:hint="eastAsia"/>
          <w:color w:val="000000"/>
          <w:kern w:val="0"/>
          <w:lang/>
        </w:rPr>
        <w:t>绿化林带的附加衰减与树种、林带结构和密度等因素有关。在声源附近的绿化林带，或在预测点附近的绿化林带，或两者均有的情况都可以使声波衰减。</w:t>
      </w:r>
    </w:p>
    <w:p w:rsidR="00BC07F0" w:rsidRDefault="00073EFB">
      <w:pPr>
        <w:widowControl/>
        <w:ind w:firstLine="480"/>
        <w:rPr>
          <w:color w:val="000000"/>
          <w:kern w:val="0"/>
          <w:lang/>
        </w:rPr>
      </w:pPr>
      <w:r>
        <w:rPr>
          <w:rFonts w:ascii="宋体" w:hAnsi="宋体" w:cs="宋体" w:hint="eastAsia"/>
          <w:color w:val="000000"/>
          <w:kern w:val="0"/>
          <w:lang/>
        </w:rPr>
        <w:t>通过树叶传播造成的噪声衰减随通过树叶传播距离</w:t>
      </w:r>
      <w:r>
        <w:rPr>
          <w:rFonts w:ascii="宋体" w:hAnsi="宋体" w:cs="宋体" w:hint="eastAsia"/>
          <w:color w:val="000000"/>
          <w:kern w:val="0"/>
          <w:lang/>
        </w:rPr>
        <w:t>d</w:t>
      </w:r>
      <w:r>
        <w:rPr>
          <w:rFonts w:ascii="宋体" w:hAnsi="宋体" w:cs="宋体" w:hint="eastAsia"/>
          <w:color w:val="000000"/>
          <w:kern w:val="0"/>
          <w:vertAlign w:val="subscript"/>
          <w:lang/>
        </w:rPr>
        <w:t>f</w:t>
      </w:r>
      <w:r>
        <w:rPr>
          <w:rFonts w:ascii="宋体" w:hAnsi="宋体" w:cs="宋体" w:hint="eastAsia"/>
          <w:color w:val="000000"/>
          <w:kern w:val="0"/>
          <w:lang/>
        </w:rPr>
        <w:t>的增长而增加，根据道路两侧实际情况，本评价不考虑绿化林带引起的衰减。</w:t>
      </w:r>
    </w:p>
    <w:p w:rsidR="00BC07F0" w:rsidRDefault="00073EFB">
      <w:pPr>
        <w:widowControl/>
        <w:ind w:firstLine="480"/>
        <w:rPr>
          <w:color w:val="000000"/>
          <w:kern w:val="0"/>
          <w:vertAlign w:val="subscript"/>
          <w:lang/>
        </w:rPr>
      </w:pPr>
      <w:r>
        <w:rPr>
          <w:color w:val="000000"/>
          <w:kern w:val="0"/>
          <w:lang/>
        </w:rPr>
        <w:t>②</w:t>
      </w:r>
      <w:r>
        <w:rPr>
          <w:rFonts w:hint="eastAsia"/>
          <w:color w:val="000000"/>
          <w:kern w:val="0"/>
          <w:lang/>
        </w:rPr>
        <w:t>建筑群噪声衰减</w:t>
      </w:r>
      <w:r>
        <w:rPr>
          <w:rFonts w:hint="eastAsia"/>
          <w:color w:val="000000"/>
          <w:kern w:val="0"/>
          <w:lang/>
        </w:rPr>
        <w:t>A</w:t>
      </w:r>
      <w:r>
        <w:rPr>
          <w:rFonts w:hint="eastAsia"/>
          <w:color w:val="000000"/>
          <w:kern w:val="0"/>
          <w:vertAlign w:val="subscript"/>
          <w:lang/>
        </w:rPr>
        <w:t>hous</w:t>
      </w:r>
    </w:p>
    <w:p w:rsidR="00BC07F0" w:rsidRDefault="00073EFB">
      <w:pPr>
        <w:widowControl/>
        <w:ind w:firstLine="480"/>
        <w:rPr>
          <w:color w:val="000000"/>
          <w:kern w:val="0"/>
          <w:lang/>
        </w:rPr>
      </w:pPr>
      <w:r>
        <w:rPr>
          <w:rFonts w:hint="eastAsia"/>
          <w:color w:val="000000"/>
          <w:kern w:val="0"/>
          <w:lang/>
        </w:rPr>
        <w:t>建筑群衰减</w:t>
      </w:r>
      <w:r>
        <w:rPr>
          <w:rFonts w:hint="eastAsia"/>
          <w:color w:val="000000"/>
          <w:kern w:val="0"/>
          <w:lang/>
        </w:rPr>
        <w:t>A</w:t>
      </w:r>
      <w:r>
        <w:rPr>
          <w:rFonts w:hint="eastAsia"/>
          <w:color w:val="000000"/>
          <w:kern w:val="0"/>
          <w:vertAlign w:val="subscript"/>
          <w:lang/>
        </w:rPr>
        <w:t>hous</w:t>
      </w:r>
      <w:r>
        <w:rPr>
          <w:rFonts w:hint="eastAsia"/>
          <w:color w:val="000000"/>
          <w:kern w:val="0"/>
          <w:lang/>
        </w:rPr>
        <w:t>不超过</w:t>
      </w:r>
      <w:r>
        <w:rPr>
          <w:rFonts w:hint="eastAsia"/>
          <w:color w:val="000000"/>
          <w:kern w:val="0"/>
          <w:lang/>
        </w:rPr>
        <w:t>10dB</w:t>
      </w:r>
      <w:r>
        <w:rPr>
          <w:rFonts w:hint="eastAsia"/>
          <w:color w:val="000000"/>
          <w:kern w:val="0"/>
          <w:lang/>
        </w:rPr>
        <w:t>时，近似等效连续</w:t>
      </w:r>
      <w:r>
        <w:rPr>
          <w:rFonts w:hint="eastAsia"/>
          <w:color w:val="000000"/>
          <w:kern w:val="0"/>
          <w:lang/>
        </w:rPr>
        <w:t>A</w:t>
      </w:r>
      <w:r>
        <w:rPr>
          <w:rFonts w:hint="eastAsia"/>
          <w:color w:val="000000"/>
          <w:kern w:val="0"/>
          <w:lang/>
        </w:rPr>
        <w:t>声级按下式估。当从受声点可直接观察到线路时，不考虑此项衰减。</w:t>
      </w:r>
    </w:p>
    <w:p w:rsidR="00BC07F0" w:rsidRDefault="00073EFB" w:rsidP="00C55F5E">
      <w:pPr>
        <w:widowControl/>
        <w:ind w:firstLine="480"/>
        <w:jc w:val="center"/>
        <w:rPr>
          <w:color w:val="000000"/>
          <w:kern w:val="0"/>
          <w:lang/>
        </w:rPr>
      </w:pPr>
      <w:r>
        <w:rPr>
          <w:rFonts w:hint="eastAsia"/>
          <w:color w:val="000000"/>
          <w:kern w:val="0"/>
          <w:lang/>
        </w:rPr>
        <w:t>=A</w:t>
      </w:r>
      <w:r>
        <w:rPr>
          <w:rFonts w:hint="eastAsia"/>
          <w:color w:val="000000"/>
          <w:kern w:val="0"/>
          <w:vertAlign w:val="subscript"/>
          <w:lang/>
        </w:rPr>
        <w:t>hous</w:t>
      </w:r>
      <w:r>
        <w:rPr>
          <w:rFonts w:hint="eastAsia"/>
          <w:color w:val="000000"/>
          <w:kern w:val="0"/>
          <w:vertAlign w:val="subscript"/>
          <w:lang/>
        </w:rPr>
        <w:t>，</w:t>
      </w:r>
      <w:r>
        <w:rPr>
          <w:rFonts w:hint="eastAsia"/>
          <w:color w:val="000000"/>
          <w:kern w:val="0"/>
          <w:vertAlign w:val="subscript"/>
          <w:lang/>
        </w:rPr>
        <w:t>1</w:t>
      </w:r>
      <w:r>
        <w:rPr>
          <w:rFonts w:hint="eastAsia"/>
          <w:color w:val="000000"/>
          <w:kern w:val="0"/>
          <w:lang/>
        </w:rPr>
        <w:t>+A</w:t>
      </w:r>
      <w:r>
        <w:rPr>
          <w:rFonts w:hint="eastAsia"/>
          <w:color w:val="000000"/>
          <w:kern w:val="0"/>
          <w:vertAlign w:val="subscript"/>
          <w:lang/>
        </w:rPr>
        <w:t>hous</w:t>
      </w:r>
      <w:r>
        <w:rPr>
          <w:rFonts w:hint="eastAsia"/>
          <w:color w:val="000000"/>
          <w:kern w:val="0"/>
          <w:vertAlign w:val="subscript"/>
          <w:lang/>
        </w:rPr>
        <w:t>，</w:t>
      </w:r>
      <w:r>
        <w:rPr>
          <w:rFonts w:hint="eastAsia"/>
          <w:color w:val="000000"/>
          <w:kern w:val="0"/>
          <w:vertAlign w:val="subscript"/>
          <w:lang/>
        </w:rPr>
        <w:t>2</w:t>
      </w:r>
    </w:p>
    <w:p w:rsidR="00BC07F0" w:rsidRDefault="00073EFB">
      <w:pPr>
        <w:widowControl/>
        <w:ind w:firstLine="480"/>
        <w:rPr>
          <w:color w:val="000000"/>
          <w:kern w:val="0"/>
          <w:lang/>
        </w:rPr>
      </w:pPr>
      <w:r>
        <w:rPr>
          <w:rFonts w:hint="eastAsia"/>
          <w:color w:val="000000"/>
          <w:kern w:val="0"/>
          <w:lang/>
        </w:rPr>
        <w:t>式</w:t>
      </w:r>
      <w:r>
        <w:rPr>
          <w:color w:val="000000"/>
          <w:kern w:val="0"/>
          <w:lang/>
        </w:rPr>
        <w:t>A</w:t>
      </w:r>
      <w:r>
        <w:rPr>
          <w:color w:val="000000"/>
          <w:kern w:val="0"/>
          <w:vertAlign w:val="subscript"/>
          <w:lang/>
        </w:rPr>
        <w:t>hous</w:t>
      </w:r>
      <w:r>
        <w:rPr>
          <w:rFonts w:hint="eastAsia"/>
          <w:color w:val="000000"/>
          <w:kern w:val="0"/>
          <w:vertAlign w:val="subscript"/>
          <w:lang/>
        </w:rPr>
        <w:t>，</w:t>
      </w:r>
      <w:r>
        <w:rPr>
          <w:color w:val="000000"/>
          <w:kern w:val="0"/>
          <w:vertAlign w:val="subscript"/>
          <w:lang/>
        </w:rPr>
        <w:t>1</w:t>
      </w:r>
      <w:r>
        <w:rPr>
          <w:color w:val="000000"/>
          <w:kern w:val="0"/>
          <w:lang/>
        </w:rPr>
        <w:t>按下式计算，单位为</w:t>
      </w:r>
      <w:r>
        <w:rPr>
          <w:color w:val="000000"/>
          <w:kern w:val="0"/>
          <w:lang/>
        </w:rPr>
        <w:t>dB</w:t>
      </w:r>
      <w:r>
        <w:rPr>
          <w:color w:val="000000"/>
          <w:kern w:val="0"/>
          <w:lang/>
        </w:rPr>
        <w:t>。</w:t>
      </w:r>
    </w:p>
    <w:p w:rsidR="00BC07F0" w:rsidRDefault="00073EFB" w:rsidP="00C55F5E">
      <w:pPr>
        <w:widowControl/>
        <w:ind w:firstLine="480"/>
        <w:jc w:val="center"/>
        <w:rPr>
          <w:color w:val="000000"/>
          <w:kern w:val="0"/>
          <w:vertAlign w:val="subscript"/>
          <w:lang/>
        </w:rPr>
      </w:pPr>
      <w:r>
        <w:rPr>
          <w:color w:val="000000"/>
          <w:kern w:val="0"/>
          <w:lang/>
        </w:rPr>
        <w:t>A</w:t>
      </w:r>
      <w:r>
        <w:rPr>
          <w:color w:val="000000"/>
          <w:kern w:val="0"/>
          <w:vertAlign w:val="subscript"/>
          <w:lang/>
        </w:rPr>
        <w:t>hous</w:t>
      </w:r>
      <w:r>
        <w:rPr>
          <w:rFonts w:hint="eastAsia"/>
          <w:color w:val="000000"/>
          <w:kern w:val="0"/>
          <w:vertAlign w:val="subscript"/>
          <w:lang/>
        </w:rPr>
        <w:t>，</w:t>
      </w:r>
      <w:r>
        <w:rPr>
          <w:color w:val="000000"/>
          <w:kern w:val="0"/>
          <w:vertAlign w:val="subscript"/>
          <w:lang/>
        </w:rPr>
        <w:t>1</w:t>
      </w:r>
      <w:r>
        <w:rPr>
          <w:color w:val="000000"/>
          <w:kern w:val="0"/>
          <w:lang/>
        </w:rPr>
        <w:t>=0.1Bd</w:t>
      </w:r>
      <w:r>
        <w:rPr>
          <w:color w:val="000000"/>
          <w:kern w:val="0"/>
          <w:vertAlign w:val="subscript"/>
          <w:lang/>
        </w:rPr>
        <w:t>b</w:t>
      </w:r>
    </w:p>
    <w:p w:rsidR="00BC07F0" w:rsidRDefault="00073EFB">
      <w:pPr>
        <w:widowControl/>
        <w:ind w:firstLine="480"/>
        <w:rPr>
          <w:color w:val="000000"/>
          <w:kern w:val="0"/>
          <w:lang/>
        </w:rPr>
      </w:pPr>
      <w:r>
        <w:rPr>
          <w:color w:val="000000"/>
          <w:kern w:val="0"/>
          <w:lang/>
        </w:rPr>
        <w:t>式中：</w:t>
      </w:r>
      <w:r>
        <w:rPr>
          <w:color w:val="000000"/>
          <w:kern w:val="0"/>
          <w:lang/>
        </w:rPr>
        <w:t>B—</w:t>
      </w:r>
      <w:r>
        <w:rPr>
          <w:color w:val="000000"/>
          <w:kern w:val="0"/>
          <w:lang/>
        </w:rPr>
        <w:t>—</w:t>
      </w:r>
      <w:r>
        <w:rPr>
          <w:color w:val="000000"/>
          <w:kern w:val="0"/>
          <w:lang/>
        </w:rPr>
        <w:t>沿线传播路线上的建筑物的密度，等于建筑物总平面积除以总地面积（包括建筑物所占面积）；</w:t>
      </w:r>
    </w:p>
    <w:p w:rsidR="00BC07F0" w:rsidRDefault="00073EFB">
      <w:pPr>
        <w:widowControl/>
        <w:ind w:firstLine="480"/>
        <w:rPr>
          <w:color w:val="000000"/>
          <w:kern w:val="0"/>
          <w:lang/>
        </w:rPr>
      </w:pPr>
      <w:r>
        <w:rPr>
          <w:color w:val="000000"/>
          <w:kern w:val="0"/>
          <w:lang/>
        </w:rPr>
        <w:t>d</w:t>
      </w:r>
      <w:r>
        <w:rPr>
          <w:color w:val="000000"/>
          <w:kern w:val="0"/>
          <w:vertAlign w:val="subscript"/>
          <w:lang/>
        </w:rPr>
        <w:t>b</w:t>
      </w:r>
      <w:r>
        <w:rPr>
          <w:color w:val="000000"/>
          <w:kern w:val="0"/>
          <w:lang/>
        </w:rPr>
        <w:t>——</w:t>
      </w:r>
      <w:r>
        <w:rPr>
          <w:color w:val="000000"/>
          <w:kern w:val="0"/>
          <w:lang/>
        </w:rPr>
        <w:t>通过建筑群的声传播路线长度，按下式计算，</w:t>
      </w:r>
      <w:r>
        <w:rPr>
          <w:color w:val="000000"/>
          <w:kern w:val="0"/>
          <w:lang/>
        </w:rPr>
        <w:t>d</w:t>
      </w:r>
      <w:r>
        <w:rPr>
          <w:color w:val="000000"/>
          <w:kern w:val="0"/>
          <w:vertAlign w:val="subscript"/>
          <w:lang/>
        </w:rPr>
        <w:t>1</w:t>
      </w:r>
      <w:r>
        <w:rPr>
          <w:color w:val="000000"/>
          <w:kern w:val="0"/>
          <w:lang/>
        </w:rPr>
        <w:t>和</w:t>
      </w:r>
      <w:r>
        <w:rPr>
          <w:color w:val="000000"/>
          <w:kern w:val="0"/>
          <w:lang/>
        </w:rPr>
        <w:t>d</w:t>
      </w:r>
      <w:r>
        <w:rPr>
          <w:color w:val="000000"/>
          <w:kern w:val="0"/>
          <w:vertAlign w:val="subscript"/>
          <w:lang/>
        </w:rPr>
        <w:t>2</w:t>
      </w:r>
      <w:r>
        <w:rPr>
          <w:color w:val="000000"/>
          <w:kern w:val="0"/>
          <w:lang/>
        </w:rPr>
        <w:t>如图</w:t>
      </w:r>
      <w:r>
        <w:rPr>
          <w:color w:val="000000"/>
          <w:kern w:val="0"/>
          <w:lang/>
        </w:rPr>
        <w:t>4-5</w:t>
      </w:r>
      <w:r>
        <w:rPr>
          <w:color w:val="000000"/>
          <w:kern w:val="0"/>
          <w:lang/>
        </w:rPr>
        <w:t>所示。</w:t>
      </w:r>
    </w:p>
    <w:p w:rsidR="00BC07F0" w:rsidRDefault="00073EFB">
      <w:pPr>
        <w:pStyle w:val="a7"/>
        <w:rPr>
          <w:rFonts w:hint="default"/>
          <w:b/>
          <w:bCs/>
        </w:rPr>
      </w:pPr>
      <w:r>
        <w:rPr>
          <w:b/>
          <w:bCs/>
          <w:noProof/>
        </w:rPr>
        <w:drawing>
          <wp:inline distT="0" distB="0" distL="114300" distR="114300">
            <wp:extent cx="3878580" cy="1280160"/>
            <wp:effectExtent l="0" t="0" r="7620" b="1524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67" cstate="print"/>
                    <a:stretch>
                      <a:fillRect/>
                    </a:stretch>
                  </pic:blipFill>
                  <pic:spPr>
                    <a:xfrm>
                      <a:off x="0" y="0"/>
                      <a:ext cx="3878580" cy="1280160"/>
                    </a:xfrm>
                    <a:prstGeom prst="rect">
                      <a:avLst/>
                    </a:prstGeom>
                    <a:noFill/>
                    <a:ln>
                      <a:noFill/>
                    </a:ln>
                  </pic:spPr>
                </pic:pic>
              </a:graphicData>
            </a:graphic>
          </wp:inline>
        </w:drawing>
      </w:r>
    </w:p>
    <w:p w:rsidR="00BC07F0" w:rsidRDefault="00073EFB">
      <w:pPr>
        <w:pStyle w:val="a7"/>
        <w:rPr>
          <w:rFonts w:hint="default"/>
          <w:b/>
          <w:bCs/>
        </w:rPr>
      </w:pPr>
      <w:r>
        <w:rPr>
          <w:b/>
          <w:bCs/>
        </w:rPr>
        <w:t>图</w:t>
      </w:r>
      <w:r>
        <w:rPr>
          <w:b/>
          <w:bCs/>
        </w:rPr>
        <w:t>4-5</w:t>
      </w:r>
      <w:r>
        <w:rPr>
          <w:b/>
          <w:bCs/>
        </w:rPr>
        <w:t>建筑群中声传播途径</w:t>
      </w:r>
    </w:p>
    <w:p w:rsidR="00BC07F0" w:rsidRDefault="00073EFB">
      <w:pPr>
        <w:widowControl/>
        <w:ind w:firstLine="480"/>
        <w:rPr>
          <w:rFonts w:cs="Times New Roman"/>
          <w:color w:val="000000"/>
          <w:kern w:val="0"/>
          <w:lang/>
        </w:rPr>
      </w:pPr>
      <w:r>
        <w:rPr>
          <w:rFonts w:cs="Times New Roman"/>
          <w:color w:val="000000"/>
          <w:kern w:val="0"/>
          <w:lang/>
        </w:rPr>
        <w:lastRenderedPageBreak/>
        <w:t>假如声源沿线附近有成排整齐排列的建筑物时，则可将附加项</w:t>
      </w:r>
      <w:r>
        <w:rPr>
          <w:rFonts w:cs="Times New Roman"/>
          <w:color w:val="000000"/>
          <w:kern w:val="0"/>
          <w:lang/>
        </w:rPr>
        <w:t>=A</w:t>
      </w:r>
      <w:r>
        <w:rPr>
          <w:rFonts w:cs="Times New Roman"/>
          <w:color w:val="000000"/>
          <w:kern w:val="0"/>
          <w:vertAlign w:val="subscript"/>
          <w:lang/>
        </w:rPr>
        <w:t>hous</w:t>
      </w:r>
      <w:r>
        <w:rPr>
          <w:rFonts w:cs="Times New Roman"/>
          <w:color w:val="000000"/>
          <w:kern w:val="0"/>
          <w:vertAlign w:val="subscript"/>
          <w:lang/>
        </w:rPr>
        <w:t>，</w:t>
      </w:r>
      <w:r>
        <w:rPr>
          <w:rFonts w:cs="Times New Roman"/>
          <w:color w:val="000000"/>
          <w:kern w:val="0"/>
          <w:vertAlign w:val="subscript"/>
          <w:lang/>
        </w:rPr>
        <w:t>2</w:t>
      </w:r>
      <w:r>
        <w:rPr>
          <w:rFonts w:cs="Times New Roman"/>
          <w:color w:val="000000"/>
          <w:kern w:val="0"/>
          <w:lang/>
        </w:rPr>
        <w:t>包括在内（假定这一项小于在同一位置上与建筑物平均高度等高的一个屏障插入损失）。</w:t>
      </w:r>
      <w:r>
        <w:rPr>
          <w:rFonts w:cs="Times New Roman"/>
          <w:color w:val="000000"/>
          <w:kern w:val="0"/>
          <w:lang/>
        </w:rPr>
        <w:t>A</w:t>
      </w:r>
      <w:r>
        <w:rPr>
          <w:rFonts w:cs="Times New Roman"/>
          <w:color w:val="000000"/>
          <w:kern w:val="0"/>
          <w:vertAlign w:val="subscript"/>
          <w:lang/>
        </w:rPr>
        <w:t>hous</w:t>
      </w:r>
      <w:r>
        <w:rPr>
          <w:rFonts w:cs="Times New Roman"/>
          <w:color w:val="000000"/>
          <w:kern w:val="0"/>
          <w:vertAlign w:val="subscript"/>
          <w:lang/>
        </w:rPr>
        <w:t>，</w:t>
      </w:r>
      <w:r>
        <w:rPr>
          <w:rFonts w:cs="Times New Roman"/>
          <w:color w:val="000000"/>
          <w:kern w:val="0"/>
          <w:vertAlign w:val="subscript"/>
          <w:lang/>
        </w:rPr>
        <w:t>2</w:t>
      </w:r>
      <w:r>
        <w:rPr>
          <w:rFonts w:cs="Times New Roman"/>
          <w:color w:val="000000"/>
          <w:kern w:val="0"/>
          <w:lang/>
        </w:rPr>
        <w:t>按下式计算。</w:t>
      </w:r>
    </w:p>
    <w:p w:rsidR="00BC07F0" w:rsidRDefault="00073EFB" w:rsidP="00C55F5E">
      <w:pPr>
        <w:widowControl/>
        <w:ind w:firstLine="480"/>
        <w:jc w:val="center"/>
        <w:rPr>
          <w:rFonts w:cs="Times New Roman"/>
          <w:color w:val="000000"/>
          <w:kern w:val="0"/>
          <w:lang/>
        </w:rPr>
      </w:pPr>
      <w:r>
        <w:rPr>
          <w:rFonts w:cs="Times New Roman"/>
          <w:color w:val="000000"/>
          <w:kern w:val="0"/>
          <w:lang/>
        </w:rPr>
        <w:t>A</w:t>
      </w:r>
      <w:r>
        <w:rPr>
          <w:rFonts w:cs="Times New Roman"/>
          <w:color w:val="000000"/>
          <w:kern w:val="0"/>
          <w:vertAlign w:val="subscript"/>
          <w:lang/>
        </w:rPr>
        <w:t>hous</w:t>
      </w:r>
      <w:r>
        <w:rPr>
          <w:rFonts w:cs="Times New Roman"/>
          <w:color w:val="000000"/>
          <w:kern w:val="0"/>
          <w:vertAlign w:val="subscript"/>
          <w:lang/>
        </w:rPr>
        <w:t>，</w:t>
      </w:r>
      <w:r>
        <w:rPr>
          <w:rFonts w:cs="Times New Roman"/>
          <w:color w:val="000000"/>
          <w:kern w:val="0"/>
          <w:vertAlign w:val="subscript"/>
          <w:lang/>
        </w:rPr>
        <w:t>2</w:t>
      </w:r>
      <w:r>
        <w:rPr>
          <w:rFonts w:cs="Times New Roman"/>
          <w:color w:val="000000"/>
          <w:kern w:val="0"/>
          <w:lang/>
        </w:rPr>
        <w:t>=-10lg</w:t>
      </w:r>
      <w:r>
        <w:rPr>
          <w:rFonts w:cs="Times New Roman"/>
          <w:color w:val="000000"/>
          <w:kern w:val="0"/>
          <w:lang/>
        </w:rPr>
        <w:t>（</w:t>
      </w:r>
      <w:r>
        <w:rPr>
          <w:rFonts w:cs="Times New Roman"/>
          <w:color w:val="000000"/>
          <w:kern w:val="0"/>
          <w:lang/>
        </w:rPr>
        <w:t>1-p</w:t>
      </w:r>
      <w:r>
        <w:rPr>
          <w:rFonts w:cs="Times New Roman"/>
          <w:color w:val="000000"/>
          <w:kern w:val="0"/>
          <w:lang/>
        </w:rPr>
        <w:t>）</w:t>
      </w:r>
    </w:p>
    <w:p w:rsidR="00BC07F0" w:rsidRDefault="00073EFB">
      <w:pPr>
        <w:widowControl/>
        <w:ind w:firstLine="480"/>
        <w:rPr>
          <w:rFonts w:cs="Times New Roman"/>
          <w:color w:val="000000"/>
          <w:kern w:val="0"/>
          <w:lang/>
        </w:rPr>
      </w:pPr>
      <w:r>
        <w:rPr>
          <w:rFonts w:cs="Times New Roman"/>
          <w:color w:val="000000"/>
          <w:kern w:val="0"/>
          <w:lang/>
        </w:rPr>
        <w:t>式中：</w:t>
      </w:r>
    </w:p>
    <w:p w:rsidR="00BC07F0" w:rsidRDefault="00073EFB">
      <w:pPr>
        <w:widowControl/>
        <w:ind w:firstLine="480"/>
        <w:rPr>
          <w:rFonts w:cs="Times New Roman"/>
          <w:color w:val="000000"/>
          <w:kern w:val="0"/>
          <w:lang/>
        </w:rPr>
      </w:pPr>
      <w:r>
        <w:rPr>
          <w:rFonts w:cs="Times New Roman"/>
          <w:color w:val="000000"/>
          <w:kern w:val="0"/>
          <w:lang/>
        </w:rPr>
        <w:t>p——</w:t>
      </w:r>
      <w:r>
        <w:rPr>
          <w:rFonts w:cs="Times New Roman"/>
          <w:color w:val="000000"/>
          <w:kern w:val="0"/>
          <w:lang/>
        </w:rPr>
        <w:t>沿声源纵向分布的建筑物正面总长度除以对应的声源长度，其值小于或等于</w:t>
      </w:r>
      <w:r>
        <w:rPr>
          <w:rFonts w:cs="Times New Roman"/>
          <w:color w:val="000000"/>
          <w:kern w:val="0"/>
          <w:lang/>
        </w:rPr>
        <w:t>90%</w:t>
      </w:r>
      <w:r>
        <w:rPr>
          <w:rFonts w:cs="Times New Roman"/>
          <w:color w:val="000000"/>
          <w:kern w:val="0"/>
          <w:lang/>
        </w:rPr>
        <w:t>。</w:t>
      </w:r>
    </w:p>
    <w:p w:rsidR="00BC07F0" w:rsidRDefault="00073EFB">
      <w:pPr>
        <w:widowControl/>
        <w:ind w:firstLine="480"/>
        <w:rPr>
          <w:rFonts w:cs="Times New Roman"/>
          <w:color w:val="000000"/>
          <w:kern w:val="0"/>
          <w:lang/>
        </w:rPr>
      </w:pPr>
      <w:r>
        <w:rPr>
          <w:rFonts w:cs="Times New Roman"/>
          <w:color w:val="000000"/>
          <w:kern w:val="0"/>
          <w:lang/>
        </w:rPr>
        <w:t>在进行预测计算时，建筑群衰减</w:t>
      </w:r>
      <w:r>
        <w:rPr>
          <w:rFonts w:cs="Times New Roman"/>
          <w:color w:val="000000"/>
          <w:kern w:val="0"/>
          <w:lang/>
        </w:rPr>
        <w:t>Ahous</w:t>
      </w:r>
      <w:r>
        <w:rPr>
          <w:rFonts w:cs="Times New Roman"/>
          <w:color w:val="000000"/>
          <w:kern w:val="0"/>
          <w:lang/>
        </w:rPr>
        <w:t>与地面效应引起的衰减</w:t>
      </w:r>
      <w:r>
        <w:rPr>
          <w:rFonts w:cs="Times New Roman"/>
          <w:color w:val="000000"/>
          <w:kern w:val="0"/>
          <w:lang/>
        </w:rPr>
        <w:t>Agr</w:t>
      </w:r>
      <w:r>
        <w:rPr>
          <w:rFonts w:cs="Times New Roman"/>
          <w:color w:val="000000"/>
          <w:kern w:val="0"/>
          <w:lang/>
        </w:rPr>
        <w:t>通常只需考虑一项最主要的衰减。对于通过建筑群的声传播，一般不考虑地面效应引起的衰减</w:t>
      </w:r>
      <w:r>
        <w:rPr>
          <w:rFonts w:cs="Times New Roman"/>
          <w:color w:val="000000"/>
          <w:kern w:val="0"/>
          <w:lang/>
        </w:rPr>
        <w:t>A</w:t>
      </w:r>
      <w:r>
        <w:rPr>
          <w:rFonts w:cs="Times New Roman"/>
          <w:color w:val="000000"/>
          <w:kern w:val="0"/>
          <w:vertAlign w:val="subscript"/>
          <w:lang/>
        </w:rPr>
        <w:t>gr</w:t>
      </w:r>
      <w:r>
        <w:rPr>
          <w:rFonts w:cs="Times New Roman"/>
          <w:color w:val="000000"/>
          <w:kern w:val="0"/>
          <w:lang/>
        </w:rPr>
        <w:t>；但地面效应引起的衰减</w:t>
      </w:r>
      <w:r>
        <w:rPr>
          <w:rFonts w:cs="Times New Roman"/>
          <w:color w:val="000000"/>
          <w:kern w:val="0"/>
          <w:lang/>
        </w:rPr>
        <w:t>A</w:t>
      </w:r>
      <w:r>
        <w:rPr>
          <w:rFonts w:cs="Times New Roman"/>
          <w:color w:val="000000"/>
          <w:kern w:val="0"/>
          <w:vertAlign w:val="subscript"/>
          <w:lang/>
        </w:rPr>
        <w:t>gr</w:t>
      </w:r>
      <w:r>
        <w:rPr>
          <w:rFonts w:cs="Times New Roman"/>
          <w:color w:val="000000"/>
          <w:kern w:val="0"/>
          <w:lang/>
        </w:rPr>
        <w:t>（假定预测点与声源之间不存在建筑群时的计算结果）大于建筑群衰减</w:t>
      </w:r>
      <w:r>
        <w:rPr>
          <w:rFonts w:cs="Times New Roman"/>
          <w:color w:val="000000"/>
          <w:kern w:val="0"/>
          <w:lang/>
        </w:rPr>
        <w:t>A</w:t>
      </w:r>
      <w:r>
        <w:rPr>
          <w:rFonts w:cs="Times New Roman"/>
          <w:color w:val="000000"/>
          <w:kern w:val="0"/>
          <w:vertAlign w:val="subscript"/>
          <w:lang/>
        </w:rPr>
        <w:t>hous</w:t>
      </w:r>
      <w:r>
        <w:rPr>
          <w:rFonts w:cs="Times New Roman"/>
          <w:color w:val="000000"/>
          <w:kern w:val="0"/>
          <w:lang/>
        </w:rPr>
        <w:t>时，则不考虑建筑群插入损失</w:t>
      </w:r>
      <w:r>
        <w:rPr>
          <w:rFonts w:cs="Times New Roman"/>
          <w:color w:val="000000"/>
          <w:kern w:val="0"/>
          <w:lang/>
        </w:rPr>
        <w:t>A</w:t>
      </w:r>
      <w:r>
        <w:rPr>
          <w:rFonts w:cs="Times New Roman"/>
          <w:color w:val="000000"/>
          <w:kern w:val="0"/>
          <w:vertAlign w:val="subscript"/>
          <w:lang/>
        </w:rPr>
        <w:t>hous</w:t>
      </w:r>
      <w:r>
        <w:rPr>
          <w:rFonts w:cs="Times New Roman"/>
          <w:color w:val="000000"/>
          <w:kern w:val="0"/>
          <w:lang/>
        </w:rPr>
        <w:t>。</w:t>
      </w:r>
    </w:p>
    <w:p w:rsidR="00BC07F0" w:rsidRDefault="00073EFB">
      <w:pPr>
        <w:widowControl/>
        <w:ind w:firstLine="480"/>
        <w:rPr>
          <w:rFonts w:cs="Times New Roman"/>
          <w:color w:val="000000"/>
          <w:kern w:val="0"/>
          <w:lang/>
        </w:rPr>
      </w:pPr>
      <w:r>
        <w:rPr>
          <w:rFonts w:cs="Times New Roman"/>
          <w:color w:val="000000"/>
          <w:kern w:val="0"/>
          <w:lang/>
        </w:rPr>
        <w:t>（</w:t>
      </w:r>
      <w:r>
        <w:rPr>
          <w:rFonts w:cs="Times New Roman"/>
          <w:color w:val="000000"/>
          <w:kern w:val="0"/>
          <w:lang/>
        </w:rPr>
        <w:t>3</w:t>
      </w:r>
      <w:r>
        <w:rPr>
          <w:rFonts w:cs="Times New Roman"/>
          <w:color w:val="000000"/>
          <w:kern w:val="0"/>
          <w:lang/>
        </w:rPr>
        <w:t>）两侧建筑物的反射声修正量（</w:t>
      </w:r>
      <w:r>
        <w:rPr>
          <w:rFonts w:cs="Times New Roman"/>
          <w:color w:val="000000"/>
          <w:kern w:val="0"/>
          <w:lang/>
        </w:rPr>
        <w:t>△L</w:t>
      </w:r>
      <w:r>
        <w:rPr>
          <w:rFonts w:cs="Times New Roman"/>
          <w:color w:val="000000"/>
          <w:kern w:val="0"/>
          <w:vertAlign w:val="subscript"/>
          <w:lang/>
        </w:rPr>
        <w:t>3</w:t>
      </w:r>
      <w:r>
        <w:rPr>
          <w:rFonts w:cs="Times New Roman"/>
          <w:color w:val="000000"/>
          <w:kern w:val="0"/>
          <w:lang/>
        </w:rPr>
        <w:t>）</w:t>
      </w:r>
    </w:p>
    <w:p w:rsidR="00BC07F0" w:rsidRDefault="00073EFB">
      <w:pPr>
        <w:widowControl/>
        <w:ind w:firstLine="480"/>
        <w:rPr>
          <w:rFonts w:cs="Times New Roman"/>
          <w:color w:val="000000"/>
          <w:kern w:val="0"/>
          <w:lang/>
        </w:rPr>
      </w:pPr>
      <w:r>
        <w:rPr>
          <w:rFonts w:cs="Times New Roman"/>
          <w:color w:val="000000"/>
          <w:kern w:val="0"/>
          <w:lang/>
        </w:rPr>
        <w:t>公路（道路）两侧建筑物反射影响因素的修正。当线路两侧建筑物间距小于总计算高度</w:t>
      </w:r>
      <w:r>
        <w:rPr>
          <w:rFonts w:cs="Times New Roman"/>
          <w:color w:val="000000"/>
          <w:kern w:val="0"/>
          <w:lang/>
        </w:rPr>
        <w:t>30%</w:t>
      </w:r>
      <w:r>
        <w:rPr>
          <w:rFonts w:cs="Times New Roman"/>
          <w:color w:val="000000"/>
          <w:kern w:val="0"/>
          <w:lang/>
        </w:rPr>
        <w:t>时，其反射修正量为：</w:t>
      </w:r>
    </w:p>
    <w:p w:rsidR="00BC07F0" w:rsidRDefault="00073EFB">
      <w:pPr>
        <w:widowControl/>
        <w:ind w:firstLine="480"/>
        <w:rPr>
          <w:rFonts w:cs="Times New Roman"/>
          <w:color w:val="000000"/>
          <w:kern w:val="0"/>
          <w:lang/>
        </w:rPr>
      </w:pPr>
      <w:r>
        <w:rPr>
          <w:rFonts w:cs="Times New Roman"/>
          <w:color w:val="000000"/>
          <w:kern w:val="0"/>
          <w:lang/>
        </w:rPr>
        <w:t>两侧建筑物是反射面时：</w:t>
      </w:r>
    </w:p>
    <w:p w:rsidR="00BC07F0" w:rsidRDefault="00073EFB" w:rsidP="00C55F5E">
      <w:pPr>
        <w:widowControl/>
        <w:ind w:firstLine="480"/>
        <w:jc w:val="center"/>
        <w:rPr>
          <w:rFonts w:cs="Times New Roman"/>
          <w:color w:val="000000"/>
          <w:kern w:val="0"/>
          <w:lang/>
        </w:rPr>
      </w:pPr>
      <w:r>
        <w:rPr>
          <w:rFonts w:cs="Times New Roman"/>
          <w:color w:val="000000"/>
          <w:kern w:val="0"/>
          <w:lang/>
        </w:rPr>
        <w:t>△L</w:t>
      </w:r>
      <w:r>
        <w:rPr>
          <w:rFonts w:cs="Times New Roman"/>
          <w:color w:val="000000"/>
          <w:kern w:val="0"/>
          <w:vertAlign w:val="subscript"/>
          <w:lang/>
        </w:rPr>
        <w:t>3</w:t>
      </w:r>
      <w:r>
        <w:rPr>
          <w:rFonts w:cs="Times New Roman"/>
          <w:color w:val="000000"/>
          <w:kern w:val="0"/>
          <w:lang/>
        </w:rPr>
        <w:t>=4H</w:t>
      </w:r>
      <w:r>
        <w:rPr>
          <w:rFonts w:cs="Times New Roman"/>
          <w:color w:val="000000"/>
          <w:kern w:val="0"/>
          <w:vertAlign w:val="subscript"/>
          <w:lang/>
        </w:rPr>
        <w:t>b</w:t>
      </w:r>
      <w:r>
        <w:rPr>
          <w:rFonts w:cs="Times New Roman"/>
          <w:color w:val="000000"/>
          <w:kern w:val="0"/>
          <w:lang/>
        </w:rPr>
        <w:t>/w≦3.2dB</w:t>
      </w:r>
    </w:p>
    <w:p w:rsidR="00BC07F0" w:rsidRDefault="00073EFB">
      <w:pPr>
        <w:widowControl/>
        <w:ind w:firstLine="480"/>
        <w:rPr>
          <w:rFonts w:cs="Times New Roman"/>
          <w:color w:val="000000"/>
          <w:kern w:val="0"/>
          <w:lang/>
        </w:rPr>
      </w:pPr>
      <w:r>
        <w:rPr>
          <w:rFonts w:cs="Times New Roman"/>
          <w:color w:val="000000"/>
          <w:kern w:val="0"/>
          <w:lang/>
        </w:rPr>
        <w:t>两侧建筑物是一般吸收性表面时：</w:t>
      </w:r>
    </w:p>
    <w:p w:rsidR="00BC07F0" w:rsidRDefault="00073EFB" w:rsidP="00C55F5E">
      <w:pPr>
        <w:widowControl/>
        <w:ind w:firstLine="480"/>
        <w:jc w:val="center"/>
        <w:rPr>
          <w:rFonts w:cs="Times New Roman"/>
          <w:color w:val="000000"/>
          <w:kern w:val="0"/>
          <w:lang/>
        </w:rPr>
      </w:pPr>
      <w:r>
        <w:rPr>
          <w:rFonts w:cs="Times New Roman"/>
          <w:color w:val="000000"/>
          <w:kern w:val="0"/>
          <w:lang/>
        </w:rPr>
        <w:t>△L</w:t>
      </w:r>
      <w:r>
        <w:rPr>
          <w:rFonts w:cs="Times New Roman"/>
          <w:color w:val="000000"/>
          <w:kern w:val="0"/>
          <w:vertAlign w:val="subscript"/>
          <w:lang/>
        </w:rPr>
        <w:t>3</w:t>
      </w:r>
      <w:r>
        <w:rPr>
          <w:rFonts w:cs="Times New Roman"/>
          <w:color w:val="000000"/>
          <w:kern w:val="0"/>
          <w:lang/>
        </w:rPr>
        <w:t>=2H</w:t>
      </w:r>
      <w:r>
        <w:rPr>
          <w:rFonts w:cs="Times New Roman"/>
          <w:color w:val="000000"/>
          <w:kern w:val="0"/>
          <w:vertAlign w:val="subscript"/>
          <w:lang/>
        </w:rPr>
        <w:t>b</w:t>
      </w:r>
      <w:r>
        <w:rPr>
          <w:rFonts w:cs="Times New Roman"/>
          <w:color w:val="000000"/>
          <w:kern w:val="0"/>
          <w:lang/>
        </w:rPr>
        <w:t>/w≦1.6dB</w:t>
      </w:r>
    </w:p>
    <w:p w:rsidR="00BC07F0" w:rsidRDefault="00073EFB">
      <w:pPr>
        <w:widowControl/>
        <w:ind w:firstLine="480"/>
        <w:rPr>
          <w:rFonts w:cs="Times New Roman"/>
          <w:color w:val="000000"/>
          <w:kern w:val="0"/>
          <w:lang/>
        </w:rPr>
      </w:pPr>
      <w:r>
        <w:rPr>
          <w:rFonts w:cs="Times New Roman"/>
          <w:color w:val="000000"/>
          <w:kern w:val="0"/>
          <w:lang/>
        </w:rPr>
        <w:t>两侧建筑物全为吸收性表面时：</w:t>
      </w:r>
    </w:p>
    <w:p w:rsidR="00BC07F0" w:rsidRDefault="00073EFB" w:rsidP="00C55F5E">
      <w:pPr>
        <w:widowControl/>
        <w:ind w:firstLine="480"/>
        <w:jc w:val="center"/>
        <w:rPr>
          <w:rFonts w:cs="Times New Roman"/>
          <w:color w:val="000000"/>
          <w:kern w:val="0"/>
          <w:vertAlign w:val="subscript"/>
          <w:lang/>
        </w:rPr>
      </w:pPr>
      <w:r>
        <w:rPr>
          <w:rFonts w:cs="Times New Roman"/>
          <w:color w:val="000000"/>
          <w:kern w:val="0"/>
          <w:lang/>
        </w:rPr>
        <w:t>△L</w:t>
      </w:r>
      <w:r>
        <w:rPr>
          <w:rFonts w:cs="Times New Roman"/>
          <w:color w:val="000000"/>
          <w:kern w:val="0"/>
          <w:vertAlign w:val="subscript"/>
          <w:lang/>
        </w:rPr>
        <w:t>3</w:t>
      </w:r>
      <w:r>
        <w:rPr>
          <w:rFonts w:cs="Times New Roman"/>
          <w:color w:val="000000"/>
          <w:kern w:val="0"/>
          <w:lang/>
        </w:rPr>
        <w:t>≈0</w:t>
      </w:r>
    </w:p>
    <w:p w:rsidR="00BC07F0" w:rsidRDefault="00073EFB">
      <w:pPr>
        <w:widowControl/>
        <w:ind w:firstLine="480"/>
        <w:rPr>
          <w:rFonts w:cs="Times New Roman"/>
          <w:color w:val="000000"/>
          <w:kern w:val="0"/>
          <w:lang/>
        </w:rPr>
      </w:pPr>
      <w:r>
        <w:rPr>
          <w:rFonts w:cs="Times New Roman"/>
          <w:color w:val="000000"/>
          <w:kern w:val="0"/>
          <w:lang/>
        </w:rPr>
        <w:t>式中：</w:t>
      </w:r>
    </w:p>
    <w:p w:rsidR="00BC07F0" w:rsidRDefault="00073EFB">
      <w:pPr>
        <w:widowControl/>
        <w:ind w:firstLine="480"/>
        <w:rPr>
          <w:rFonts w:cs="Times New Roman"/>
          <w:color w:val="000000"/>
          <w:kern w:val="0"/>
          <w:lang/>
        </w:rPr>
      </w:pPr>
      <w:r>
        <w:rPr>
          <w:rFonts w:cs="Times New Roman"/>
          <w:color w:val="000000"/>
          <w:kern w:val="0"/>
          <w:lang/>
        </w:rPr>
        <w:t>△L</w:t>
      </w:r>
      <w:r>
        <w:rPr>
          <w:rFonts w:cs="Times New Roman"/>
          <w:color w:val="000000"/>
          <w:kern w:val="0"/>
          <w:vertAlign w:val="subscript"/>
          <w:lang/>
        </w:rPr>
        <w:t>3</w:t>
      </w:r>
      <w:r>
        <w:rPr>
          <w:rFonts w:cs="Times New Roman"/>
          <w:color w:val="000000"/>
          <w:kern w:val="0"/>
          <w:lang/>
        </w:rPr>
        <w:t>——</w:t>
      </w:r>
      <w:r>
        <w:rPr>
          <w:rFonts w:cs="Times New Roman"/>
          <w:color w:val="000000"/>
          <w:kern w:val="0"/>
          <w:lang/>
        </w:rPr>
        <w:t>两侧建筑物的反射声修正量，</w:t>
      </w:r>
      <w:r>
        <w:rPr>
          <w:rFonts w:cs="Times New Roman"/>
          <w:color w:val="000000"/>
          <w:kern w:val="0"/>
          <w:lang/>
        </w:rPr>
        <w:t>dB</w:t>
      </w:r>
      <w:r>
        <w:rPr>
          <w:rFonts w:cs="Times New Roman"/>
          <w:color w:val="000000"/>
          <w:kern w:val="0"/>
          <w:lang/>
        </w:rPr>
        <w:t>；</w:t>
      </w:r>
    </w:p>
    <w:p w:rsidR="00BC07F0" w:rsidRDefault="00073EFB">
      <w:pPr>
        <w:widowControl/>
        <w:ind w:firstLine="480"/>
        <w:rPr>
          <w:rFonts w:cs="Times New Roman"/>
          <w:color w:val="000000"/>
          <w:kern w:val="0"/>
          <w:lang/>
        </w:rPr>
      </w:pPr>
      <w:r>
        <w:rPr>
          <w:rFonts w:cs="Times New Roman"/>
          <w:color w:val="000000"/>
          <w:kern w:val="0"/>
          <w:lang/>
        </w:rPr>
        <w:t>w——</w:t>
      </w:r>
      <w:r>
        <w:rPr>
          <w:rFonts w:cs="Times New Roman"/>
          <w:color w:val="000000"/>
          <w:kern w:val="0"/>
          <w:lang/>
        </w:rPr>
        <w:t>线路两侧建筑物反射面的间距，</w:t>
      </w:r>
      <w:r>
        <w:rPr>
          <w:rFonts w:cs="Times New Roman"/>
          <w:color w:val="000000"/>
          <w:kern w:val="0"/>
          <w:lang/>
        </w:rPr>
        <w:t>m</w:t>
      </w:r>
      <w:r>
        <w:rPr>
          <w:rFonts w:cs="Times New Roman"/>
          <w:color w:val="000000"/>
          <w:kern w:val="0"/>
          <w:lang/>
        </w:rPr>
        <w:t>；</w:t>
      </w:r>
    </w:p>
    <w:p w:rsidR="00BC07F0" w:rsidRDefault="00073EFB">
      <w:pPr>
        <w:widowControl/>
        <w:ind w:firstLine="480"/>
        <w:rPr>
          <w:rFonts w:cs="Times New Roman"/>
          <w:color w:val="000000"/>
          <w:kern w:val="0"/>
          <w:lang/>
        </w:rPr>
      </w:pPr>
      <w:r>
        <w:rPr>
          <w:rFonts w:cs="Times New Roman"/>
          <w:color w:val="000000"/>
          <w:kern w:val="0"/>
          <w:lang/>
        </w:rPr>
        <w:t>H</w:t>
      </w:r>
      <w:r>
        <w:rPr>
          <w:rFonts w:cs="Times New Roman"/>
          <w:color w:val="000000"/>
          <w:kern w:val="0"/>
          <w:vertAlign w:val="subscript"/>
          <w:lang/>
        </w:rPr>
        <w:t>b</w:t>
      </w:r>
      <w:r>
        <w:rPr>
          <w:rFonts w:cs="Times New Roman"/>
          <w:color w:val="000000"/>
          <w:kern w:val="0"/>
          <w:lang/>
        </w:rPr>
        <w:t>——</w:t>
      </w:r>
      <w:r>
        <w:rPr>
          <w:rFonts w:cs="Times New Roman"/>
          <w:color w:val="000000"/>
          <w:kern w:val="0"/>
          <w:lang/>
        </w:rPr>
        <w:t>建筑物的平均高度，取线路两侧较低一侧高度的平均值带入计算。</w:t>
      </w:r>
    </w:p>
    <w:p w:rsidR="00BC07F0" w:rsidRDefault="00073EFB">
      <w:pPr>
        <w:widowControl/>
        <w:ind w:firstLine="482"/>
        <w:rPr>
          <w:rFonts w:cs="Times New Roman"/>
          <w:b/>
          <w:bCs/>
          <w:color w:val="000000"/>
          <w:kern w:val="0"/>
          <w:lang/>
        </w:rPr>
      </w:pPr>
      <w:r>
        <w:rPr>
          <w:rFonts w:cs="Times New Roman"/>
          <w:b/>
          <w:bCs/>
          <w:color w:val="000000"/>
          <w:kern w:val="0"/>
          <w:lang/>
        </w:rPr>
        <w:t>3</w:t>
      </w:r>
      <w:r>
        <w:rPr>
          <w:rFonts w:cs="Times New Roman"/>
          <w:b/>
          <w:bCs/>
          <w:color w:val="000000"/>
          <w:kern w:val="0"/>
          <w:lang/>
        </w:rPr>
        <w:t>、预测结果</w:t>
      </w:r>
    </w:p>
    <w:p w:rsidR="00BC07F0" w:rsidRDefault="00073EFB">
      <w:pPr>
        <w:widowControl/>
        <w:ind w:firstLine="480"/>
        <w:rPr>
          <w:rFonts w:cs="Times New Roman"/>
          <w:color w:val="000000"/>
          <w:kern w:val="0"/>
          <w:lang/>
        </w:rPr>
      </w:pPr>
      <w:r>
        <w:rPr>
          <w:rFonts w:cs="Times New Roman"/>
          <w:color w:val="000000"/>
          <w:kern w:val="0"/>
          <w:lang/>
        </w:rPr>
        <w:t>根据前面的预测方法、预测模式和设定参数，对拟建道路的交通噪声进行预测计算。预测内容包括：交通噪声在不同营运期、不同时间段、距路中心线不同距离的影响预测、沿线敏感点环境噪声预测。</w:t>
      </w:r>
    </w:p>
    <w:p w:rsidR="00BC07F0" w:rsidRDefault="00073EFB">
      <w:pPr>
        <w:widowControl/>
        <w:ind w:firstLine="480"/>
        <w:rPr>
          <w:rFonts w:cs="Times New Roman"/>
          <w:color w:val="000000"/>
          <w:kern w:val="0"/>
          <w:lang/>
        </w:rPr>
      </w:pPr>
      <w:r>
        <w:rPr>
          <w:rFonts w:cs="Times New Roman"/>
          <w:color w:val="000000"/>
          <w:kern w:val="0"/>
          <w:lang/>
        </w:rPr>
        <w:t>（</w:t>
      </w:r>
      <w:r>
        <w:rPr>
          <w:rFonts w:cs="Times New Roman"/>
          <w:color w:val="000000"/>
          <w:kern w:val="0"/>
          <w:lang/>
        </w:rPr>
        <w:t>1</w:t>
      </w:r>
      <w:r>
        <w:rPr>
          <w:rFonts w:cs="Times New Roman"/>
          <w:color w:val="000000"/>
          <w:kern w:val="0"/>
          <w:lang/>
        </w:rPr>
        <w:t>）距路中心线不同距离处的交通噪声预测</w:t>
      </w:r>
    </w:p>
    <w:p w:rsidR="00BC07F0" w:rsidRDefault="00073EFB">
      <w:pPr>
        <w:widowControl/>
        <w:ind w:firstLine="480"/>
        <w:rPr>
          <w:color w:val="000000"/>
          <w:kern w:val="0"/>
          <w:lang/>
        </w:rPr>
      </w:pPr>
      <w:r>
        <w:rPr>
          <w:rFonts w:hint="eastAsia"/>
          <w:color w:val="000000"/>
          <w:kern w:val="0"/>
          <w:lang/>
        </w:rPr>
        <w:lastRenderedPageBreak/>
        <w:t>不同路段路两侧环境特征不同，在考虑预测点距离衰减、路基高差、绿化衰减、建筑物衰减等衰减因素的前提下，对路段交通噪声进行预测，</w:t>
      </w:r>
      <w:r>
        <w:rPr>
          <w:rFonts w:hint="eastAsia"/>
          <w:color w:val="000000"/>
          <w:kern w:val="0"/>
          <w:lang/>
        </w:rPr>
        <w:t>道路</w:t>
      </w:r>
      <w:r>
        <w:rPr>
          <w:rFonts w:hint="eastAsia"/>
          <w:color w:val="000000"/>
          <w:kern w:val="0"/>
          <w:lang/>
        </w:rPr>
        <w:t>工程各预测年份（</w:t>
      </w:r>
      <w:r>
        <w:rPr>
          <w:rFonts w:hint="eastAsia"/>
          <w:color w:val="000000"/>
          <w:kern w:val="0"/>
          <w:lang/>
        </w:rPr>
        <w:t>2023</w:t>
      </w:r>
      <w:r>
        <w:rPr>
          <w:rFonts w:hint="eastAsia"/>
          <w:color w:val="000000"/>
          <w:kern w:val="0"/>
          <w:lang/>
        </w:rPr>
        <w:t>年、</w:t>
      </w:r>
      <w:r>
        <w:rPr>
          <w:rFonts w:hint="eastAsia"/>
          <w:color w:val="000000"/>
          <w:kern w:val="0"/>
          <w:lang/>
        </w:rPr>
        <w:t>2027</w:t>
      </w:r>
      <w:r>
        <w:rPr>
          <w:rFonts w:hint="eastAsia"/>
          <w:color w:val="000000"/>
          <w:kern w:val="0"/>
          <w:lang/>
        </w:rPr>
        <w:t>年、</w:t>
      </w:r>
      <w:r>
        <w:rPr>
          <w:rFonts w:hint="eastAsia"/>
          <w:color w:val="000000"/>
          <w:kern w:val="0"/>
          <w:lang/>
        </w:rPr>
        <w:t>2032</w:t>
      </w:r>
      <w:r>
        <w:rPr>
          <w:rFonts w:hint="eastAsia"/>
          <w:color w:val="000000"/>
          <w:kern w:val="0"/>
          <w:lang/>
        </w:rPr>
        <w:t>年）车流量的昼间和夜间小时平均值的交通噪声级影响预测值见表</w:t>
      </w:r>
      <w:r>
        <w:rPr>
          <w:rFonts w:hint="eastAsia"/>
          <w:color w:val="000000"/>
          <w:kern w:val="0"/>
          <w:lang/>
        </w:rPr>
        <w:t>4-8</w:t>
      </w:r>
      <w:r>
        <w:rPr>
          <w:rFonts w:hint="eastAsia"/>
          <w:color w:val="000000"/>
          <w:kern w:val="0"/>
          <w:lang/>
        </w:rPr>
        <w:t>。</w:t>
      </w:r>
    </w:p>
    <w:p w:rsidR="00BC07F0" w:rsidRDefault="00073EFB">
      <w:pPr>
        <w:pStyle w:val="a7"/>
        <w:rPr>
          <w:rFonts w:hint="default"/>
          <w:b/>
          <w:bCs/>
        </w:rPr>
      </w:pPr>
      <w:r>
        <w:rPr>
          <w:b/>
          <w:bCs/>
        </w:rPr>
        <w:t>表</w:t>
      </w:r>
      <w:r>
        <w:rPr>
          <w:b/>
          <w:bCs/>
        </w:rPr>
        <w:t>4-8</w:t>
      </w:r>
      <w:r>
        <w:rPr>
          <w:b/>
          <w:bCs/>
        </w:rPr>
        <w:t>运营期不同距离噪声预测结果单位：</w:t>
      </w:r>
      <w:r>
        <w:rPr>
          <w:b/>
          <w:bCs/>
        </w:rPr>
        <w:t>dB</w:t>
      </w:r>
      <w:r>
        <w:rPr>
          <w:b/>
          <w:bCs/>
        </w:rPr>
        <w:t>（</w:t>
      </w:r>
      <w:r>
        <w:rPr>
          <w:b/>
          <w:bCs/>
        </w:rPr>
        <w:t>A</w:t>
      </w:r>
      <w:r>
        <w:rPr>
          <w:b/>
          <w:bCs/>
        </w:rPr>
        <w:t>）</w:t>
      </w:r>
    </w:p>
    <w:tbl>
      <w:tblPr>
        <w:tblW w:w="4950" w:type="pct"/>
        <w:tblInd w:w="91"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ook w:val="04A0"/>
      </w:tblPr>
      <w:tblGrid>
        <w:gridCol w:w="1080"/>
        <w:gridCol w:w="979"/>
        <w:gridCol w:w="1063"/>
        <w:gridCol w:w="1063"/>
        <w:gridCol w:w="1063"/>
        <w:gridCol w:w="1063"/>
        <w:gridCol w:w="1063"/>
        <w:gridCol w:w="1063"/>
      </w:tblGrid>
      <w:tr w:rsidR="00BC07F0">
        <w:trPr>
          <w:trHeight w:val="397"/>
        </w:trPr>
        <w:tc>
          <w:tcPr>
            <w:tcW w:w="1080" w:type="dxa"/>
            <w:vMerge w:val="restart"/>
            <w:tcBorders>
              <w:tl2br w:val="nil"/>
              <w:tr2bl w:val="nil"/>
            </w:tcBorders>
            <w:shd w:val="clear" w:color="auto" w:fill="auto"/>
            <w:noWrap/>
            <w:vAlign w:val="center"/>
          </w:tcPr>
          <w:p w:rsidR="00BC07F0" w:rsidRDefault="00073EFB">
            <w:pPr>
              <w:pStyle w:val="a7"/>
              <w:rPr>
                <w:rFonts w:hint="default"/>
              </w:rPr>
            </w:pPr>
            <w:r>
              <w:t>工程</w:t>
            </w:r>
          </w:p>
        </w:tc>
        <w:tc>
          <w:tcPr>
            <w:tcW w:w="979" w:type="dxa"/>
            <w:vMerge w:val="restart"/>
            <w:tcBorders>
              <w:tl2br w:val="nil"/>
              <w:tr2bl w:val="nil"/>
            </w:tcBorders>
            <w:shd w:val="clear" w:color="auto" w:fill="auto"/>
            <w:vAlign w:val="center"/>
          </w:tcPr>
          <w:p w:rsidR="00BC07F0" w:rsidRDefault="00073EFB">
            <w:pPr>
              <w:pStyle w:val="a7"/>
              <w:rPr>
                <w:rFonts w:hint="default"/>
              </w:rPr>
            </w:pPr>
            <w:r>
              <w:rPr>
                <w:rFonts w:hint="default"/>
              </w:rPr>
              <w:t>R/D</w:t>
            </w:r>
            <w:r>
              <w:t>（</w:t>
            </w:r>
            <w:r>
              <w:rPr>
                <w:rFonts w:hint="default"/>
              </w:rPr>
              <w:t>m</w:t>
            </w:r>
            <w:r>
              <w:t>）</w:t>
            </w:r>
          </w:p>
        </w:tc>
        <w:tc>
          <w:tcPr>
            <w:tcW w:w="2126" w:type="dxa"/>
            <w:gridSpan w:val="2"/>
            <w:tcBorders>
              <w:tl2br w:val="nil"/>
              <w:tr2bl w:val="nil"/>
            </w:tcBorders>
            <w:shd w:val="clear" w:color="auto" w:fill="auto"/>
            <w:vAlign w:val="center"/>
          </w:tcPr>
          <w:p w:rsidR="00BC07F0" w:rsidRDefault="00073EFB">
            <w:pPr>
              <w:pStyle w:val="a7"/>
              <w:rPr>
                <w:rFonts w:hint="default"/>
              </w:rPr>
            </w:pPr>
            <w:r>
              <w:rPr>
                <w:rFonts w:hint="default"/>
              </w:rPr>
              <w:t>2023</w:t>
            </w:r>
          </w:p>
        </w:tc>
        <w:tc>
          <w:tcPr>
            <w:tcW w:w="2126" w:type="dxa"/>
            <w:gridSpan w:val="2"/>
            <w:tcBorders>
              <w:tl2br w:val="nil"/>
              <w:tr2bl w:val="nil"/>
            </w:tcBorders>
            <w:shd w:val="clear" w:color="auto" w:fill="auto"/>
            <w:vAlign w:val="center"/>
          </w:tcPr>
          <w:p w:rsidR="00BC07F0" w:rsidRDefault="00073EFB">
            <w:pPr>
              <w:pStyle w:val="a7"/>
              <w:rPr>
                <w:rFonts w:hint="default"/>
              </w:rPr>
            </w:pPr>
            <w:r>
              <w:rPr>
                <w:rFonts w:hint="default"/>
              </w:rPr>
              <w:t>2027</w:t>
            </w:r>
          </w:p>
        </w:tc>
        <w:tc>
          <w:tcPr>
            <w:tcW w:w="2126" w:type="dxa"/>
            <w:gridSpan w:val="2"/>
            <w:tcBorders>
              <w:tl2br w:val="nil"/>
              <w:tr2bl w:val="nil"/>
            </w:tcBorders>
            <w:shd w:val="clear" w:color="auto" w:fill="auto"/>
            <w:vAlign w:val="center"/>
          </w:tcPr>
          <w:p w:rsidR="00BC07F0" w:rsidRDefault="00073EFB">
            <w:pPr>
              <w:pStyle w:val="a7"/>
              <w:rPr>
                <w:rFonts w:hint="default"/>
              </w:rPr>
            </w:pPr>
            <w:r>
              <w:rPr>
                <w:rFonts w:hint="default"/>
              </w:rPr>
              <w:t>2032</w:t>
            </w:r>
          </w:p>
        </w:tc>
      </w:tr>
      <w:tr w:rsidR="00BC07F0">
        <w:trPr>
          <w:trHeight w:val="397"/>
        </w:trPr>
        <w:tc>
          <w:tcPr>
            <w:tcW w:w="1080" w:type="dxa"/>
            <w:vMerge/>
            <w:tcBorders>
              <w:tl2br w:val="nil"/>
              <w:tr2bl w:val="nil"/>
            </w:tcBorders>
            <w:shd w:val="clear" w:color="auto" w:fill="auto"/>
            <w:noWrap/>
            <w:vAlign w:val="center"/>
          </w:tcPr>
          <w:p w:rsidR="00BC07F0" w:rsidRDefault="00BC07F0">
            <w:pPr>
              <w:pStyle w:val="a7"/>
              <w:rPr>
                <w:rFonts w:hint="default"/>
              </w:rPr>
            </w:pPr>
          </w:p>
        </w:tc>
        <w:tc>
          <w:tcPr>
            <w:tcW w:w="979" w:type="dxa"/>
            <w:vMerge/>
            <w:tcBorders>
              <w:tl2br w:val="nil"/>
              <w:tr2bl w:val="nil"/>
            </w:tcBorders>
            <w:shd w:val="clear" w:color="auto" w:fill="auto"/>
            <w:vAlign w:val="center"/>
          </w:tcPr>
          <w:p w:rsidR="00BC07F0" w:rsidRDefault="00BC07F0">
            <w:pPr>
              <w:pStyle w:val="a7"/>
              <w:rPr>
                <w:rFonts w:hint="default"/>
              </w:rPr>
            </w:pPr>
          </w:p>
        </w:tc>
        <w:tc>
          <w:tcPr>
            <w:tcW w:w="1063" w:type="dxa"/>
            <w:tcBorders>
              <w:tl2br w:val="nil"/>
              <w:tr2bl w:val="nil"/>
            </w:tcBorders>
            <w:shd w:val="clear" w:color="auto" w:fill="auto"/>
            <w:vAlign w:val="center"/>
          </w:tcPr>
          <w:p w:rsidR="00BC07F0" w:rsidRDefault="00073EFB">
            <w:pPr>
              <w:pStyle w:val="a7"/>
              <w:rPr>
                <w:rFonts w:hint="default"/>
              </w:rPr>
            </w:pPr>
            <w:r>
              <w:t>昼间</w:t>
            </w:r>
          </w:p>
        </w:tc>
        <w:tc>
          <w:tcPr>
            <w:tcW w:w="1063" w:type="dxa"/>
            <w:tcBorders>
              <w:tl2br w:val="nil"/>
              <w:tr2bl w:val="nil"/>
            </w:tcBorders>
            <w:shd w:val="clear" w:color="auto" w:fill="auto"/>
            <w:vAlign w:val="center"/>
          </w:tcPr>
          <w:p w:rsidR="00BC07F0" w:rsidRDefault="00073EFB">
            <w:pPr>
              <w:pStyle w:val="a7"/>
              <w:rPr>
                <w:rFonts w:hint="default"/>
              </w:rPr>
            </w:pPr>
            <w:r>
              <w:t>夜间</w:t>
            </w:r>
          </w:p>
        </w:tc>
        <w:tc>
          <w:tcPr>
            <w:tcW w:w="1063" w:type="dxa"/>
            <w:tcBorders>
              <w:tl2br w:val="nil"/>
              <w:tr2bl w:val="nil"/>
            </w:tcBorders>
            <w:shd w:val="clear" w:color="auto" w:fill="auto"/>
            <w:vAlign w:val="center"/>
          </w:tcPr>
          <w:p w:rsidR="00BC07F0" w:rsidRDefault="00073EFB">
            <w:pPr>
              <w:pStyle w:val="a7"/>
              <w:rPr>
                <w:rFonts w:hint="default"/>
              </w:rPr>
            </w:pPr>
            <w:r>
              <w:t>昼间</w:t>
            </w:r>
          </w:p>
        </w:tc>
        <w:tc>
          <w:tcPr>
            <w:tcW w:w="1063" w:type="dxa"/>
            <w:tcBorders>
              <w:tl2br w:val="nil"/>
              <w:tr2bl w:val="nil"/>
            </w:tcBorders>
            <w:shd w:val="clear" w:color="auto" w:fill="auto"/>
            <w:vAlign w:val="center"/>
          </w:tcPr>
          <w:p w:rsidR="00BC07F0" w:rsidRDefault="00073EFB">
            <w:pPr>
              <w:pStyle w:val="a7"/>
              <w:rPr>
                <w:rFonts w:hint="default"/>
              </w:rPr>
            </w:pPr>
            <w:r>
              <w:t>夜间</w:t>
            </w:r>
          </w:p>
        </w:tc>
        <w:tc>
          <w:tcPr>
            <w:tcW w:w="1063" w:type="dxa"/>
            <w:tcBorders>
              <w:tl2br w:val="nil"/>
              <w:tr2bl w:val="nil"/>
            </w:tcBorders>
            <w:shd w:val="clear" w:color="auto" w:fill="auto"/>
            <w:vAlign w:val="center"/>
          </w:tcPr>
          <w:p w:rsidR="00BC07F0" w:rsidRDefault="00073EFB">
            <w:pPr>
              <w:pStyle w:val="a7"/>
              <w:rPr>
                <w:rFonts w:hint="default"/>
              </w:rPr>
            </w:pPr>
            <w:r>
              <w:t>昼间</w:t>
            </w:r>
          </w:p>
        </w:tc>
        <w:tc>
          <w:tcPr>
            <w:tcW w:w="1063" w:type="dxa"/>
            <w:tcBorders>
              <w:tl2br w:val="nil"/>
              <w:tr2bl w:val="nil"/>
            </w:tcBorders>
            <w:shd w:val="clear" w:color="auto" w:fill="auto"/>
            <w:vAlign w:val="center"/>
          </w:tcPr>
          <w:p w:rsidR="00BC07F0" w:rsidRDefault="00073EFB">
            <w:pPr>
              <w:pStyle w:val="a7"/>
              <w:rPr>
                <w:rFonts w:hint="default"/>
              </w:rPr>
            </w:pPr>
            <w:r>
              <w:t>夜间</w:t>
            </w:r>
          </w:p>
        </w:tc>
      </w:tr>
      <w:tr w:rsidR="00BC07F0">
        <w:trPr>
          <w:trHeight w:val="397"/>
        </w:trPr>
        <w:tc>
          <w:tcPr>
            <w:tcW w:w="1080" w:type="dxa"/>
            <w:vMerge w:val="restart"/>
            <w:tcBorders>
              <w:tl2br w:val="nil"/>
              <w:tr2bl w:val="nil"/>
            </w:tcBorders>
            <w:shd w:val="clear" w:color="auto" w:fill="auto"/>
            <w:vAlign w:val="center"/>
          </w:tcPr>
          <w:p w:rsidR="00BC07F0" w:rsidRDefault="00073EFB">
            <w:pPr>
              <w:pStyle w:val="a7"/>
              <w:rPr>
                <w:rFonts w:hint="default"/>
              </w:rPr>
            </w:pPr>
            <w:r>
              <w:t>湘江南路（白沙大道——前进路）主干道</w:t>
            </w: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60.1</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53.1</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62.4</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54.8</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64.3</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55.9</w:t>
            </w:r>
          </w:p>
        </w:tc>
      </w:tr>
      <w:tr w:rsidR="00BC07F0">
        <w:trPr>
          <w:trHeight w:val="397"/>
        </w:trPr>
        <w:tc>
          <w:tcPr>
            <w:tcW w:w="1080" w:type="dxa"/>
            <w:vMerge/>
            <w:tcBorders>
              <w:tl2br w:val="nil"/>
              <w:tr2bl w:val="nil"/>
            </w:tcBorders>
            <w:shd w:val="clear" w:color="auto" w:fill="auto"/>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20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56.4</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51.4</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60.3</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53.7</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61.4</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54.5</w:t>
            </w:r>
          </w:p>
        </w:tc>
      </w:tr>
      <w:tr w:rsidR="00BC07F0">
        <w:trPr>
          <w:trHeight w:val="397"/>
        </w:trPr>
        <w:tc>
          <w:tcPr>
            <w:tcW w:w="1080" w:type="dxa"/>
            <w:vMerge/>
            <w:tcBorders>
              <w:tl2br w:val="nil"/>
              <w:tr2bl w:val="nil"/>
            </w:tcBorders>
            <w:shd w:val="clear" w:color="auto" w:fill="auto"/>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40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52.4</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45.1</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55.3</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45.5</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56.4</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46.1</w:t>
            </w:r>
          </w:p>
        </w:tc>
      </w:tr>
      <w:tr w:rsidR="00BC07F0">
        <w:trPr>
          <w:trHeight w:val="397"/>
        </w:trPr>
        <w:tc>
          <w:tcPr>
            <w:tcW w:w="1080" w:type="dxa"/>
            <w:vMerge/>
            <w:tcBorders>
              <w:tl2br w:val="nil"/>
              <w:tr2bl w:val="nil"/>
            </w:tcBorders>
            <w:shd w:val="clear" w:color="auto" w:fill="auto"/>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60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50.9</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43.9</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52.4</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44</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53.1</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44.6</w:t>
            </w:r>
          </w:p>
        </w:tc>
      </w:tr>
      <w:tr w:rsidR="00BC07F0">
        <w:trPr>
          <w:trHeight w:val="397"/>
        </w:trPr>
        <w:tc>
          <w:tcPr>
            <w:tcW w:w="1080" w:type="dxa"/>
            <w:vMerge/>
            <w:tcBorders>
              <w:tl2br w:val="nil"/>
              <w:tr2bl w:val="nil"/>
            </w:tcBorders>
            <w:shd w:val="clear" w:color="auto" w:fill="auto"/>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80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48.4</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40.5</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49.4</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41.1</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49.8</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42.1</w:t>
            </w:r>
          </w:p>
        </w:tc>
      </w:tr>
      <w:tr w:rsidR="00BC07F0">
        <w:trPr>
          <w:trHeight w:val="397"/>
        </w:trPr>
        <w:tc>
          <w:tcPr>
            <w:tcW w:w="1080" w:type="dxa"/>
            <w:vMerge/>
            <w:tcBorders>
              <w:tl2br w:val="nil"/>
              <w:tr2bl w:val="nil"/>
            </w:tcBorders>
            <w:shd w:val="clear" w:color="auto" w:fill="auto"/>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100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46.5</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37.8</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47.8</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38.6</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47.9</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39.2</w:t>
            </w:r>
          </w:p>
        </w:tc>
      </w:tr>
      <w:tr w:rsidR="00BC07F0">
        <w:trPr>
          <w:trHeight w:val="397"/>
        </w:trPr>
        <w:tc>
          <w:tcPr>
            <w:tcW w:w="1080" w:type="dxa"/>
            <w:vMerge/>
            <w:tcBorders>
              <w:tl2br w:val="nil"/>
              <w:tr2bl w:val="nil"/>
            </w:tcBorders>
            <w:shd w:val="clear" w:color="auto" w:fill="auto"/>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120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44.8</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35.9</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45.5</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36.4</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45.7</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37.6</w:t>
            </w:r>
          </w:p>
        </w:tc>
      </w:tr>
      <w:tr w:rsidR="00BC07F0">
        <w:trPr>
          <w:trHeight w:val="397"/>
        </w:trPr>
        <w:tc>
          <w:tcPr>
            <w:tcW w:w="1080" w:type="dxa"/>
            <w:vMerge/>
            <w:tcBorders>
              <w:tl2br w:val="nil"/>
              <w:tr2bl w:val="nil"/>
            </w:tcBorders>
            <w:shd w:val="clear" w:color="auto" w:fill="auto"/>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140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42.4</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33.5</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43.4</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34.2</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43.8</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36.2</w:t>
            </w:r>
          </w:p>
        </w:tc>
      </w:tr>
      <w:tr w:rsidR="00BC07F0">
        <w:trPr>
          <w:trHeight w:val="397"/>
        </w:trPr>
        <w:tc>
          <w:tcPr>
            <w:tcW w:w="1080" w:type="dxa"/>
            <w:vMerge/>
            <w:tcBorders>
              <w:tl2br w:val="nil"/>
              <w:tr2bl w:val="nil"/>
            </w:tcBorders>
            <w:shd w:val="clear" w:color="auto" w:fill="auto"/>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160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40.2</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32.2</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41.3</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33.1</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41.6</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34.9</w:t>
            </w:r>
          </w:p>
        </w:tc>
      </w:tr>
      <w:tr w:rsidR="00BC07F0">
        <w:trPr>
          <w:trHeight w:val="397"/>
        </w:trPr>
        <w:tc>
          <w:tcPr>
            <w:tcW w:w="1080" w:type="dxa"/>
            <w:vMerge/>
            <w:tcBorders>
              <w:tl2br w:val="nil"/>
              <w:tr2bl w:val="nil"/>
            </w:tcBorders>
            <w:shd w:val="clear" w:color="auto" w:fill="auto"/>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180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39.1</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30.1</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40.4</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31.2</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40.6</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32.8</w:t>
            </w:r>
          </w:p>
        </w:tc>
      </w:tr>
      <w:tr w:rsidR="00BC07F0">
        <w:trPr>
          <w:trHeight w:val="397"/>
        </w:trPr>
        <w:tc>
          <w:tcPr>
            <w:tcW w:w="1080" w:type="dxa"/>
            <w:vMerge/>
            <w:tcBorders>
              <w:tl2br w:val="nil"/>
              <w:tr2bl w:val="nil"/>
            </w:tcBorders>
            <w:shd w:val="clear" w:color="auto" w:fill="auto"/>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200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38</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28.1</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39.6</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29.1</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39.7</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30.8</w:t>
            </w:r>
          </w:p>
        </w:tc>
      </w:tr>
      <w:tr w:rsidR="00BC07F0">
        <w:trPr>
          <w:trHeight w:val="397"/>
        </w:trPr>
        <w:tc>
          <w:tcPr>
            <w:tcW w:w="0" w:type="auto"/>
            <w:vMerge w:val="restart"/>
            <w:tcBorders>
              <w:tl2br w:val="nil"/>
              <w:tr2bl w:val="nil"/>
            </w:tcBorders>
            <w:shd w:val="clear" w:color="auto" w:fill="auto"/>
            <w:noWrap/>
            <w:vAlign w:val="center"/>
          </w:tcPr>
          <w:p w:rsidR="00BC07F0" w:rsidRDefault="00073EFB">
            <w:pPr>
              <w:pStyle w:val="a7"/>
              <w:rPr>
                <w:rFonts w:hint="default"/>
              </w:rPr>
            </w:pPr>
            <w:r>
              <w:t>酃白路</w:t>
            </w: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59.4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52.4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61.7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54.1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63.6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55.2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20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55.6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50.6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59.5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52.9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60.6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53.7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40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52.1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44.8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55.0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45.2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56.1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45.8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60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50.6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43.6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52.1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43.7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52.8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44.3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80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48.1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40.2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49.1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40.8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49.5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41.8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100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46.2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37.5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47.5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38.3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47.6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38.9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120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44.5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35.6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45.2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36.1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45.4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37.3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140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42.1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33.2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43.1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33.9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43.5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35.9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160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39.9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31.9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41.0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32.8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41.3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34.6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180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38.8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29.8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40.1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30.9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40.3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32.5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200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37.7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27.8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39.3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28.8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39.4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30.5 </w:t>
            </w:r>
          </w:p>
        </w:tc>
      </w:tr>
      <w:tr w:rsidR="00BC07F0">
        <w:trPr>
          <w:trHeight w:val="397"/>
        </w:trPr>
        <w:tc>
          <w:tcPr>
            <w:tcW w:w="0" w:type="auto"/>
            <w:vMerge w:val="restart"/>
            <w:tcBorders>
              <w:tl2br w:val="nil"/>
              <w:tr2bl w:val="nil"/>
            </w:tcBorders>
            <w:shd w:val="clear" w:color="auto" w:fill="auto"/>
            <w:noWrap/>
            <w:vAlign w:val="center"/>
          </w:tcPr>
          <w:p w:rsidR="00BC07F0" w:rsidRDefault="00073EFB">
            <w:pPr>
              <w:pStyle w:val="a7"/>
              <w:rPr>
                <w:rFonts w:hint="default"/>
              </w:rPr>
            </w:pPr>
            <w:r>
              <w:t>前进路</w:t>
            </w: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58.4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51.4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60.7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53.1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62.6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54.2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20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54.6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49.6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58.5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51.9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59.6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52.7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40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51.1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43.8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54.0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44.2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55.1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44.8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60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49.6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42.6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51.1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42.7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51.8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43.3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80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47.1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39.2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48.1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39.8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48.5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40.8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100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45.2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36.5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46.5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37.3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46.6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37.9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120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43.5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34.6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44.2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35.1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44.4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36.3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140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41.1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32.2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42.1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32.9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42.5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34.9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160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38.9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30.9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40.0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31.8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40.3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33.6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180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37.8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28.8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39.1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29.9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39.3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31.5 </w:t>
            </w:r>
          </w:p>
        </w:tc>
      </w:tr>
      <w:tr w:rsidR="00BC07F0">
        <w:trPr>
          <w:trHeight w:val="397"/>
        </w:trPr>
        <w:tc>
          <w:tcPr>
            <w:tcW w:w="0" w:type="auto"/>
            <w:vMerge/>
            <w:tcBorders>
              <w:tl2br w:val="nil"/>
              <w:tr2bl w:val="nil"/>
            </w:tcBorders>
            <w:shd w:val="clear" w:color="auto" w:fill="auto"/>
            <w:noWrap/>
            <w:vAlign w:val="center"/>
          </w:tcPr>
          <w:p w:rsidR="00BC07F0" w:rsidRDefault="00BC07F0">
            <w:pPr>
              <w:pStyle w:val="a7"/>
              <w:rPr>
                <w:rFonts w:hint="default"/>
              </w:rPr>
            </w:pPr>
          </w:p>
        </w:tc>
        <w:tc>
          <w:tcPr>
            <w:tcW w:w="979" w:type="dxa"/>
            <w:tcBorders>
              <w:tl2br w:val="nil"/>
              <w:tr2bl w:val="nil"/>
            </w:tcBorders>
            <w:shd w:val="clear" w:color="auto" w:fill="auto"/>
            <w:vAlign w:val="center"/>
          </w:tcPr>
          <w:p w:rsidR="00BC07F0" w:rsidRDefault="00073EFB">
            <w:pPr>
              <w:pStyle w:val="a7"/>
              <w:rPr>
                <w:rFonts w:hint="default"/>
              </w:rPr>
            </w:pPr>
            <w:r>
              <w:rPr>
                <w:rFonts w:hint="default"/>
              </w:rPr>
              <w:t>200</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36.7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26.8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38.3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27.8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38.4 </w:t>
            </w:r>
          </w:p>
        </w:tc>
        <w:tc>
          <w:tcPr>
            <w:tcW w:w="1063" w:type="dxa"/>
            <w:tcBorders>
              <w:tl2br w:val="nil"/>
              <w:tr2bl w:val="nil"/>
            </w:tcBorders>
            <w:shd w:val="clear" w:color="auto" w:fill="auto"/>
            <w:vAlign w:val="center"/>
          </w:tcPr>
          <w:p w:rsidR="00BC07F0" w:rsidRDefault="00073EFB">
            <w:pPr>
              <w:pStyle w:val="a7"/>
              <w:rPr>
                <w:rFonts w:hint="default"/>
              </w:rPr>
            </w:pPr>
            <w:r>
              <w:rPr>
                <w:rFonts w:hint="default"/>
              </w:rPr>
              <w:t xml:space="preserve">29.5 </w:t>
            </w:r>
          </w:p>
        </w:tc>
      </w:tr>
    </w:tbl>
    <w:p w:rsidR="00BC07F0" w:rsidRDefault="00073EFB" w:rsidP="00C55F5E">
      <w:pPr>
        <w:ind w:firstLine="480"/>
      </w:pPr>
      <w:r>
        <w:rPr>
          <w:rFonts w:hint="eastAsia"/>
        </w:rPr>
        <w:t>①当临街建筑高于三层楼房以上（含三层）时，将临街建筑面向道路（包含高速公路、城市快速路、城市主干路、城市次干路）一侧至道路边界线（道路红线）的区域定为</w:t>
      </w:r>
      <w:r>
        <w:rPr>
          <w:rFonts w:hint="eastAsia"/>
        </w:rPr>
        <w:t>4a</w:t>
      </w:r>
      <w:r>
        <w:rPr>
          <w:rFonts w:hint="eastAsia"/>
        </w:rPr>
        <w:t>类声环境功能区。②若临街建筑以低于三层楼房的建筑（含开阔地）为主，线路（包含高速公路、城市快速路、城市主干路、城市次干路）边界线外</w:t>
      </w:r>
      <w:r>
        <w:rPr>
          <w:rFonts w:hint="eastAsia"/>
        </w:rPr>
        <w:t>40m</w:t>
      </w:r>
      <w:r>
        <w:rPr>
          <w:rFonts w:hint="eastAsia"/>
        </w:rPr>
        <w:t>以内区域执行《声环境质量标准》（</w:t>
      </w:r>
      <w:r>
        <w:rPr>
          <w:rFonts w:hint="eastAsia"/>
        </w:rPr>
        <w:t>GB3096-2008</w:t>
      </w:r>
      <w:r>
        <w:rPr>
          <w:rFonts w:hint="eastAsia"/>
        </w:rPr>
        <w:t>）</w:t>
      </w:r>
      <w:r>
        <w:rPr>
          <w:rFonts w:hint="eastAsia"/>
        </w:rPr>
        <w:t>4a</w:t>
      </w:r>
      <w:r>
        <w:rPr>
          <w:rFonts w:hint="eastAsia"/>
        </w:rPr>
        <w:t>类标准；</w:t>
      </w:r>
      <w:r>
        <w:rPr>
          <w:rFonts w:hint="eastAsia"/>
        </w:rPr>
        <w:t>40m</w:t>
      </w:r>
      <w:r>
        <w:rPr>
          <w:rFonts w:hint="eastAsia"/>
        </w:rPr>
        <w:t>以外区域执行Ⅱ类标准。</w:t>
      </w:r>
    </w:p>
    <w:p w:rsidR="00BC07F0" w:rsidRDefault="00073EFB" w:rsidP="00C55F5E">
      <w:pPr>
        <w:ind w:firstLine="480"/>
      </w:pPr>
      <w:r>
        <w:rPr>
          <w:rFonts w:hint="eastAsia"/>
        </w:rPr>
        <w:t>由上表预测可知，由于交通量的变化，营运期交通噪声预测值各预测特征年之间存在着一定的差异，随着车流量的增大，噪声影响将日益严重</w:t>
      </w:r>
      <w:r>
        <w:rPr>
          <w:rFonts w:hint="eastAsia"/>
        </w:rPr>
        <w:t>。交通噪声达标距离分析见表</w:t>
      </w:r>
      <w:r>
        <w:rPr>
          <w:rFonts w:hint="eastAsia"/>
        </w:rPr>
        <w:t>4-5</w:t>
      </w:r>
      <w:r>
        <w:rPr>
          <w:rFonts w:hint="eastAsia"/>
        </w:rPr>
        <w:t>。</w:t>
      </w:r>
    </w:p>
    <w:p w:rsidR="00BC07F0" w:rsidRDefault="00073EFB">
      <w:pPr>
        <w:pStyle w:val="a7"/>
        <w:rPr>
          <w:rFonts w:hint="default"/>
          <w:b/>
          <w:bCs/>
        </w:rPr>
      </w:pPr>
      <w:r>
        <w:rPr>
          <w:b/>
          <w:bCs/>
        </w:rPr>
        <w:t>表</w:t>
      </w:r>
      <w:r>
        <w:rPr>
          <w:b/>
          <w:bCs/>
        </w:rPr>
        <w:t>4-5</w:t>
      </w:r>
      <w:r>
        <w:rPr>
          <w:b/>
          <w:bCs/>
        </w:rPr>
        <w:t>拟建道路中心线两侧交通噪声达标距离单位：</w:t>
      </w:r>
      <w:r>
        <w:rPr>
          <w:b/>
          <w:bCs/>
        </w:rPr>
        <w:t>m</w:t>
      </w:r>
    </w:p>
    <w:tbl>
      <w:tblPr>
        <w:tblW w:w="4950" w:type="pct"/>
        <w:jc w:val="center"/>
        <w:tblLook w:val="04A0"/>
      </w:tblPr>
      <w:tblGrid>
        <w:gridCol w:w="1375"/>
        <w:gridCol w:w="1140"/>
        <w:gridCol w:w="1185"/>
        <w:gridCol w:w="1395"/>
        <w:gridCol w:w="1155"/>
        <w:gridCol w:w="1110"/>
        <w:gridCol w:w="1077"/>
      </w:tblGrid>
      <w:tr w:rsidR="00BC07F0">
        <w:trPr>
          <w:trHeight w:val="397"/>
          <w:jc w:val="center"/>
        </w:trPr>
        <w:tc>
          <w:tcPr>
            <w:tcW w:w="13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路段</w:t>
            </w:r>
          </w:p>
        </w:tc>
        <w:tc>
          <w:tcPr>
            <w:tcW w:w="11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标准</w:t>
            </w:r>
          </w:p>
        </w:tc>
        <w:tc>
          <w:tcPr>
            <w:tcW w:w="11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时段</w:t>
            </w:r>
          </w:p>
        </w:tc>
        <w:tc>
          <w:tcPr>
            <w:tcW w:w="13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标准值</w:t>
            </w:r>
          </w:p>
        </w:tc>
        <w:tc>
          <w:tcPr>
            <w:tcW w:w="11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2023</w:t>
            </w:r>
          </w:p>
        </w:tc>
        <w:tc>
          <w:tcPr>
            <w:tcW w:w="11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2027</w:t>
            </w:r>
          </w:p>
        </w:tc>
        <w:tc>
          <w:tcPr>
            <w:tcW w:w="1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2032</w:t>
            </w:r>
          </w:p>
        </w:tc>
      </w:tr>
      <w:tr w:rsidR="00BC07F0">
        <w:trPr>
          <w:trHeight w:val="397"/>
          <w:jc w:val="center"/>
        </w:trPr>
        <w:tc>
          <w:tcPr>
            <w:tcW w:w="1375"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湘江南路（白沙大道——前进路）</w:t>
            </w:r>
          </w:p>
        </w:tc>
        <w:tc>
          <w:tcPr>
            <w:tcW w:w="114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4a</w:t>
            </w:r>
            <w:r>
              <w:t>类标准</w:t>
            </w:r>
          </w:p>
        </w:tc>
        <w:tc>
          <w:tcPr>
            <w:tcW w:w="118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39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70dB</w:t>
            </w:r>
            <w:r>
              <w:t>（</w:t>
            </w:r>
            <w:r>
              <w:rPr>
                <w:rFonts w:hint="default"/>
              </w:rPr>
              <w:t>A</w:t>
            </w:r>
            <w:r>
              <w:t>）</w:t>
            </w:r>
          </w:p>
        </w:tc>
        <w:tc>
          <w:tcPr>
            <w:tcW w:w="115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077"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r>
      <w:tr w:rsidR="00BC07F0">
        <w:trPr>
          <w:trHeight w:val="397"/>
          <w:jc w:val="center"/>
        </w:trPr>
        <w:tc>
          <w:tcPr>
            <w:tcW w:w="1375"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14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18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39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55dB</w:t>
            </w:r>
            <w:r>
              <w:t>（</w:t>
            </w:r>
            <w:r>
              <w:rPr>
                <w:rFonts w:hint="default"/>
              </w:rPr>
              <w:t>A</w:t>
            </w:r>
            <w:r>
              <w:t>）</w:t>
            </w:r>
          </w:p>
        </w:tc>
        <w:tc>
          <w:tcPr>
            <w:tcW w:w="115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077"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13</w:t>
            </w:r>
          </w:p>
        </w:tc>
      </w:tr>
      <w:tr w:rsidR="00BC07F0">
        <w:trPr>
          <w:trHeight w:val="397"/>
          <w:jc w:val="center"/>
        </w:trPr>
        <w:tc>
          <w:tcPr>
            <w:tcW w:w="1375"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14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w:t>
            </w:r>
            <w:r>
              <w:t>类标准</w:t>
            </w:r>
          </w:p>
        </w:tc>
        <w:tc>
          <w:tcPr>
            <w:tcW w:w="118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39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60dB</w:t>
            </w:r>
            <w:r>
              <w:t>（</w:t>
            </w:r>
            <w:r>
              <w:rPr>
                <w:rFonts w:hint="default"/>
              </w:rPr>
              <w:t>A</w:t>
            </w:r>
            <w:r>
              <w:t>）</w:t>
            </w:r>
          </w:p>
        </w:tc>
        <w:tc>
          <w:tcPr>
            <w:tcW w:w="115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077"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r>
      <w:tr w:rsidR="00BC07F0">
        <w:trPr>
          <w:trHeight w:val="397"/>
          <w:jc w:val="center"/>
        </w:trPr>
        <w:tc>
          <w:tcPr>
            <w:tcW w:w="1375"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14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18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39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50dB</w:t>
            </w:r>
            <w:r>
              <w:t>（</w:t>
            </w:r>
            <w:r>
              <w:rPr>
                <w:rFonts w:hint="default"/>
              </w:rPr>
              <w:t>A</w:t>
            </w:r>
            <w:r>
              <w:t>）</w:t>
            </w:r>
          </w:p>
        </w:tc>
        <w:tc>
          <w:tcPr>
            <w:tcW w:w="115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077"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r>
      <w:tr w:rsidR="00BC07F0">
        <w:trPr>
          <w:trHeight w:val="397"/>
          <w:jc w:val="center"/>
        </w:trPr>
        <w:tc>
          <w:tcPr>
            <w:tcW w:w="1375"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酃白路</w:t>
            </w:r>
          </w:p>
        </w:tc>
        <w:tc>
          <w:tcPr>
            <w:tcW w:w="114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4a</w:t>
            </w:r>
            <w:r>
              <w:t>类标准</w:t>
            </w:r>
          </w:p>
        </w:tc>
        <w:tc>
          <w:tcPr>
            <w:tcW w:w="118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39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70dB</w:t>
            </w:r>
            <w:r>
              <w:t>（</w:t>
            </w:r>
            <w:r>
              <w:rPr>
                <w:rFonts w:hint="default"/>
              </w:rPr>
              <w:t>A</w:t>
            </w:r>
            <w:r>
              <w:t>）</w:t>
            </w:r>
          </w:p>
        </w:tc>
        <w:tc>
          <w:tcPr>
            <w:tcW w:w="115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077"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r>
      <w:tr w:rsidR="00BC07F0">
        <w:trPr>
          <w:trHeight w:val="397"/>
          <w:jc w:val="center"/>
        </w:trPr>
        <w:tc>
          <w:tcPr>
            <w:tcW w:w="1375"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14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18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39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55dB</w:t>
            </w:r>
            <w:r>
              <w:t>（</w:t>
            </w:r>
            <w:r>
              <w:rPr>
                <w:rFonts w:hint="default"/>
              </w:rPr>
              <w:t>A</w:t>
            </w:r>
            <w:r>
              <w:t>）</w:t>
            </w:r>
          </w:p>
        </w:tc>
        <w:tc>
          <w:tcPr>
            <w:tcW w:w="115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077"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w:t>
            </w:r>
            <w:r>
              <w:t>0</w:t>
            </w:r>
          </w:p>
        </w:tc>
      </w:tr>
      <w:tr w:rsidR="00BC07F0">
        <w:trPr>
          <w:trHeight w:val="397"/>
          <w:jc w:val="center"/>
        </w:trPr>
        <w:tc>
          <w:tcPr>
            <w:tcW w:w="1375"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14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w:t>
            </w:r>
            <w:r>
              <w:t>类标准</w:t>
            </w:r>
          </w:p>
        </w:tc>
        <w:tc>
          <w:tcPr>
            <w:tcW w:w="118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39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60dB</w:t>
            </w:r>
            <w:r>
              <w:t>（</w:t>
            </w:r>
            <w:r>
              <w:rPr>
                <w:rFonts w:hint="default"/>
              </w:rPr>
              <w:t>A</w:t>
            </w:r>
            <w:r>
              <w:t>）</w:t>
            </w:r>
          </w:p>
        </w:tc>
        <w:tc>
          <w:tcPr>
            <w:tcW w:w="115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077"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r>
      <w:tr w:rsidR="00BC07F0">
        <w:trPr>
          <w:trHeight w:val="397"/>
          <w:jc w:val="center"/>
        </w:trPr>
        <w:tc>
          <w:tcPr>
            <w:tcW w:w="1375"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14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18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39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50dB</w:t>
            </w:r>
            <w:r>
              <w:t>（</w:t>
            </w:r>
            <w:r>
              <w:rPr>
                <w:rFonts w:hint="default"/>
              </w:rPr>
              <w:t>A</w:t>
            </w:r>
            <w:r>
              <w:t>）</w:t>
            </w:r>
          </w:p>
        </w:tc>
        <w:tc>
          <w:tcPr>
            <w:tcW w:w="115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077"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r>
      <w:tr w:rsidR="00BC07F0">
        <w:trPr>
          <w:trHeight w:val="397"/>
          <w:jc w:val="center"/>
        </w:trPr>
        <w:tc>
          <w:tcPr>
            <w:tcW w:w="1375"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前进路</w:t>
            </w:r>
          </w:p>
        </w:tc>
        <w:tc>
          <w:tcPr>
            <w:tcW w:w="114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4a</w:t>
            </w:r>
            <w:r>
              <w:t>类标准</w:t>
            </w:r>
          </w:p>
        </w:tc>
        <w:tc>
          <w:tcPr>
            <w:tcW w:w="118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39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70dB</w:t>
            </w:r>
            <w:r>
              <w:t>（</w:t>
            </w:r>
            <w:r>
              <w:rPr>
                <w:rFonts w:hint="default"/>
              </w:rPr>
              <w:t>A</w:t>
            </w:r>
            <w:r>
              <w:t>）</w:t>
            </w:r>
          </w:p>
        </w:tc>
        <w:tc>
          <w:tcPr>
            <w:tcW w:w="115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077"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r>
      <w:tr w:rsidR="00BC07F0">
        <w:trPr>
          <w:trHeight w:val="397"/>
          <w:jc w:val="center"/>
        </w:trPr>
        <w:tc>
          <w:tcPr>
            <w:tcW w:w="1375"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14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18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39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55dB</w:t>
            </w:r>
            <w:r>
              <w:t>（</w:t>
            </w:r>
            <w:r>
              <w:rPr>
                <w:rFonts w:hint="default"/>
              </w:rPr>
              <w:t>A</w:t>
            </w:r>
            <w:r>
              <w:t>）</w:t>
            </w:r>
          </w:p>
        </w:tc>
        <w:tc>
          <w:tcPr>
            <w:tcW w:w="115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077"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1</w:t>
            </w:r>
            <w:r>
              <w:t>1</w:t>
            </w:r>
          </w:p>
        </w:tc>
      </w:tr>
      <w:tr w:rsidR="00BC07F0">
        <w:trPr>
          <w:trHeight w:val="397"/>
          <w:jc w:val="center"/>
        </w:trPr>
        <w:tc>
          <w:tcPr>
            <w:tcW w:w="1375"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140" w:type="dxa"/>
            <w:vMerge w:val="restart"/>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2</w:t>
            </w:r>
            <w:r>
              <w:t>类标准</w:t>
            </w:r>
          </w:p>
        </w:tc>
        <w:tc>
          <w:tcPr>
            <w:tcW w:w="118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昼间</w:t>
            </w:r>
          </w:p>
        </w:tc>
        <w:tc>
          <w:tcPr>
            <w:tcW w:w="139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60dB</w:t>
            </w:r>
            <w:r>
              <w:t>（</w:t>
            </w:r>
            <w:r>
              <w:rPr>
                <w:rFonts w:hint="default"/>
              </w:rPr>
              <w:t>A</w:t>
            </w:r>
            <w:r>
              <w:t>）</w:t>
            </w:r>
          </w:p>
        </w:tc>
        <w:tc>
          <w:tcPr>
            <w:tcW w:w="115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077"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r>
      <w:tr w:rsidR="00BC07F0">
        <w:trPr>
          <w:trHeight w:val="397"/>
          <w:jc w:val="center"/>
        </w:trPr>
        <w:tc>
          <w:tcPr>
            <w:tcW w:w="1375"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140" w:type="dxa"/>
            <w:vMerge/>
            <w:tcBorders>
              <w:top w:val="nil"/>
              <w:left w:val="single" w:sz="8" w:space="0" w:color="000000"/>
              <w:bottom w:val="single" w:sz="8" w:space="0" w:color="000000"/>
              <w:right w:val="single" w:sz="8" w:space="0" w:color="000000"/>
            </w:tcBorders>
            <w:shd w:val="clear" w:color="auto" w:fill="auto"/>
            <w:vAlign w:val="center"/>
          </w:tcPr>
          <w:p w:rsidR="00BC07F0" w:rsidRDefault="00BC07F0">
            <w:pPr>
              <w:pStyle w:val="a7"/>
              <w:rPr>
                <w:rFonts w:hint="default"/>
              </w:rPr>
            </w:pPr>
          </w:p>
        </w:tc>
        <w:tc>
          <w:tcPr>
            <w:tcW w:w="118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t>夜间</w:t>
            </w:r>
          </w:p>
        </w:tc>
        <w:tc>
          <w:tcPr>
            <w:tcW w:w="139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50dB</w:t>
            </w:r>
            <w:r>
              <w:t>（</w:t>
            </w:r>
            <w:r>
              <w:rPr>
                <w:rFonts w:hint="default"/>
              </w:rPr>
              <w:t>A</w:t>
            </w:r>
            <w:r>
              <w:t>）</w:t>
            </w:r>
          </w:p>
        </w:tc>
        <w:tc>
          <w:tcPr>
            <w:tcW w:w="1155"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110"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c>
          <w:tcPr>
            <w:tcW w:w="1077" w:type="dxa"/>
            <w:tcBorders>
              <w:top w:val="nil"/>
              <w:left w:val="single" w:sz="8" w:space="0" w:color="000000"/>
              <w:bottom w:val="single" w:sz="8" w:space="0" w:color="000000"/>
              <w:right w:val="single" w:sz="8" w:space="0" w:color="000000"/>
            </w:tcBorders>
            <w:shd w:val="clear" w:color="auto" w:fill="auto"/>
            <w:vAlign w:val="center"/>
          </w:tcPr>
          <w:p w:rsidR="00BC07F0" w:rsidRDefault="00073EFB">
            <w:pPr>
              <w:pStyle w:val="a7"/>
              <w:rPr>
                <w:rFonts w:hint="default"/>
              </w:rPr>
            </w:pPr>
            <w:r>
              <w:rPr>
                <w:rFonts w:hint="default"/>
              </w:rPr>
              <w:t>0</w:t>
            </w:r>
          </w:p>
        </w:tc>
      </w:tr>
    </w:tbl>
    <w:p w:rsidR="00BC07F0" w:rsidRDefault="00073EFB" w:rsidP="00C55F5E">
      <w:pPr>
        <w:ind w:firstLine="480"/>
      </w:pPr>
      <w:r>
        <w:rPr>
          <w:rFonts w:hint="eastAsia"/>
        </w:rPr>
        <w:t>根据以上预测结果：</w:t>
      </w:r>
    </w:p>
    <w:p w:rsidR="00BC07F0" w:rsidRDefault="00073EFB" w:rsidP="00C55F5E">
      <w:pPr>
        <w:ind w:firstLine="480"/>
      </w:pPr>
      <w:r>
        <w:rPr>
          <w:rFonts w:hint="eastAsia"/>
        </w:rPr>
        <w:t>在仅考虑距离衰减、地面效应衰减、空气吸收衰减、建筑物绿化带的遮挡屏蔽等影响情况下，不考虑阻挡及吸声效果等，本项目昼间噪声预测值要满足《声</w:t>
      </w:r>
      <w:r>
        <w:rPr>
          <w:rFonts w:hint="eastAsia"/>
        </w:rPr>
        <w:lastRenderedPageBreak/>
        <w:t>环境质量标准》（</w:t>
      </w:r>
      <w:r>
        <w:rPr>
          <w:rFonts w:hint="eastAsia"/>
        </w:rPr>
        <w:t>GB3096-2008</w:t>
      </w:r>
      <w:r>
        <w:rPr>
          <w:rFonts w:hint="eastAsia"/>
        </w:rPr>
        <w:t>）</w:t>
      </w:r>
      <w:r>
        <w:rPr>
          <w:rFonts w:hint="eastAsia"/>
        </w:rPr>
        <w:t>4a</w:t>
      </w:r>
      <w:r>
        <w:rPr>
          <w:rFonts w:hint="eastAsia"/>
        </w:rPr>
        <w:t>标准要求，各年份距道路边界线的最远距离为近期</w:t>
      </w:r>
      <w:r>
        <w:rPr>
          <w:rFonts w:hint="eastAsia"/>
        </w:rPr>
        <w:t>0m</w:t>
      </w:r>
      <w:r>
        <w:rPr>
          <w:rFonts w:hint="eastAsia"/>
        </w:rPr>
        <w:t>，中期</w:t>
      </w:r>
      <w:r>
        <w:rPr>
          <w:rFonts w:hint="eastAsia"/>
        </w:rPr>
        <w:t>0m</w:t>
      </w:r>
      <w:r>
        <w:rPr>
          <w:rFonts w:hint="eastAsia"/>
        </w:rPr>
        <w:t>，远期</w:t>
      </w:r>
      <w:r>
        <w:rPr>
          <w:rFonts w:hint="eastAsia"/>
        </w:rPr>
        <w:t>0m</w:t>
      </w:r>
      <w:r>
        <w:rPr>
          <w:rFonts w:hint="eastAsia"/>
        </w:rPr>
        <w:t>；夜间要达到《声环境质量标准》（</w:t>
      </w:r>
      <w:r>
        <w:rPr>
          <w:rFonts w:hint="eastAsia"/>
        </w:rPr>
        <w:t>GB3096-2008</w:t>
      </w:r>
      <w:r>
        <w:rPr>
          <w:rFonts w:hint="eastAsia"/>
        </w:rPr>
        <w:t>）</w:t>
      </w:r>
      <w:r>
        <w:rPr>
          <w:rFonts w:hint="eastAsia"/>
        </w:rPr>
        <w:t>4a</w:t>
      </w:r>
      <w:r>
        <w:rPr>
          <w:rFonts w:hint="eastAsia"/>
        </w:rPr>
        <w:t>标准要求，各预测年份距道路边界线的距离分别为近期</w:t>
      </w:r>
      <w:r>
        <w:rPr>
          <w:rFonts w:hint="eastAsia"/>
        </w:rPr>
        <w:t>0m</w:t>
      </w:r>
      <w:r>
        <w:rPr>
          <w:rFonts w:hint="eastAsia"/>
        </w:rPr>
        <w:t>，中期</w:t>
      </w:r>
      <w:r>
        <w:rPr>
          <w:rFonts w:hint="eastAsia"/>
        </w:rPr>
        <w:t>0m</w:t>
      </w:r>
      <w:r>
        <w:rPr>
          <w:rFonts w:hint="eastAsia"/>
        </w:rPr>
        <w:t>，远期</w:t>
      </w:r>
      <w:r>
        <w:rPr>
          <w:rFonts w:hint="eastAsia"/>
        </w:rPr>
        <w:t>13</w:t>
      </w:r>
      <w:r>
        <w:rPr>
          <w:rFonts w:hint="eastAsia"/>
        </w:rPr>
        <w:t>m</w:t>
      </w:r>
      <w:r>
        <w:rPr>
          <w:rFonts w:hint="eastAsia"/>
        </w:rPr>
        <w:t>。本项目昼间噪声预测值要满足《声环境质量标准》（</w:t>
      </w:r>
      <w:r>
        <w:rPr>
          <w:rFonts w:hint="eastAsia"/>
        </w:rPr>
        <w:t>GB3096-2008</w:t>
      </w:r>
      <w:r>
        <w:rPr>
          <w:rFonts w:hint="eastAsia"/>
        </w:rPr>
        <w:t>）</w:t>
      </w:r>
      <w:r>
        <w:rPr>
          <w:rFonts w:hint="eastAsia"/>
        </w:rPr>
        <w:t>2</w:t>
      </w:r>
      <w:r>
        <w:rPr>
          <w:rFonts w:hint="eastAsia"/>
        </w:rPr>
        <w:t>类标准要求，各预测年份距道路边界线的距离分别为近期</w:t>
      </w:r>
      <w:r>
        <w:rPr>
          <w:rFonts w:hint="eastAsia"/>
        </w:rPr>
        <w:t>0m</w:t>
      </w:r>
      <w:r>
        <w:rPr>
          <w:rFonts w:hint="eastAsia"/>
        </w:rPr>
        <w:t>，</w:t>
      </w:r>
      <w:r>
        <w:rPr>
          <w:rFonts w:hint="eastAsia"/>
        </w:rPr>
        <w:t>中期</w:t>
      </w:r>
      <w:r>
        <w:rPr>
          <w:rFonts w:hint="eastAsia"/>
        </w:rPr>
        <w:t>0m</w:t>
      </w:r>
      <w:r>
        <w:rPr>
          <w:rFonts w:hint="eastAsia"/>
        </w:rPr>
        <w:t>，远期</w:t>
      </w:r>
      <w:r>
        <w:rPr>
          <w:rFonts w:hint="eastAsia"/>
        </w:rPr>
        <w:t>0m</w:t>
      </w:r>
      <w:r>
        <w:rPr>
          <w:rFonts w:hint="eastAsia"/>
        </w:rPr>
        <w:t>；夜间要达到《声环境质量标准》（</w:t>
      </w:r>
      <w:r>
        <w:rPr>
          <w:rFonts w:hint="eastAsia"/>
        </w:rPr>
        <w:t>GB3096-2008</w:t>
      </w:r>
      <w:r>
        <w:rPr>
          <w:rFonts w:hint="eastAsia"/>
        </w:rPr>
        <w:t>）</w:t>
      </w:r>
      <w:r>
        <w:rPr>
          <w:rFonts w:hint="eastAsia"/>
        </w:rPr>
        <w:t>2</w:t>
      </w:r>
      <w:r>
        <w:rPr>
          <w:rFonts w:hint="eastAsia"/>
        </w:rPr>
        <w:t>类标准要求，各预测年份距道路边界线的距离分别为近期</w:t>
      </w:r>
      <w:r>
        <w:rPr>
          <w:rFonts w:hint="eastAsia"/>
        </w:rPr>
        <w:t>0m</w:t>
      </w:r>
      <w:r>
        <w:rPr>
          <w:rFonts w:hint="eastAsia"/>
        </w:rPr>
        <w:t>，中期</w:t>
      </w:r>
      <w:r>
        <w:rPr>
          <w:rFonts w:hint="eastAsia"/>
        </w:rPr>
        <w:t>0m</w:t>
      </w:r>
      <w:r>
        <w:rPr>
          <w:rFonts w:hint="eastAsia"/>
        </w:rPr>
        <w:t>，远期</w:t>
      </w:r>
      <w:r>
        <w:rPr>
          <w:rFonts w:hint="eastAsia"/>
        </w:rPr>
        <w:t>0</w:t>
      </w:r>
      <w:r>
        <w:rPr>
          <w:rFonts w:hint="eastAsia"/>
        </w:rPr>
        <w:t>m</w:t>
      </w:r>
      <w:r>
        <w:rPr>
          <w:rFonts w:hint="eastAsia"/>
        </w:rPr>
        <w:t>。</w:t>
      </w:r>
      <w:r>
        <w:t>从路段达标距离分析，项目沿线部分敏感点</w:t>
      </w:r>
      <w:r>
        <w:rPr>
          <w:rFonts w:hint="eastAsia"/>
        </w:rPr>
        <w:t>均不存在</w:t>
      </w:r>
      <w:r>
        <w:t>超标，为保障沿线居民的生活质量，</w:t>
      </w:r>
      <w:r>
        <w:rPr>
          <w:rFonts w:hint="eastAsia"/>
        </w:rPr>
        <w:t>必须</w:t>
      </w:r>
      <w:r>
        <w:rPr>
          <w:rFonts w:hint="eastAsia"/>
        </w:rPr>
        <w:t>确保</w:t>
      </w:r>
      <w:r>
        <w:t>交通</w:t>
      </w:r>
      <w:r>
        <w:rPr>
          <w:rFonts w:hint="eastAsia"/>
        </w:rPr>
        <w:t>噪声排放达标。</w:t>
      </w:r>
    </w:p>
    <w:p w:rsidR="00BC07F0" w:rsidRDefault="00073EFB" w:rsidP="00C55F5E">
      <w:pPr>
        <w:ind w:firstLine="480"/>
      </w:pPr>
      <w:r>
        <w:rPr>
          <w:rFonts w:hint="eastAsia"/>
        </w:rPr>
        <w:t>（</w:t>
      </w:r>
      <w:r>
        <w:rPr>
          <w:rFonts w:hint="eastAsia"/>
        </w:rPr>
        <w:t>2</w:t>
      </w:r>
      <w:r>
        <w:rPr>
          <w:rFonts w:hint="eastAsia"/>
        </w:rPr>
        <w:t>）沿线敏感点环境噪声预测</w:t>
      </w:r>
    </w:p>
    <w:p w:rsidR="00BC07F0" w:rsidRDefault="00073EFB" w:rsidP="00C55F5E">
      <w:pPr>
        <w:ind w:firstLine="480"/>
      </w:pPr>
      <w:r>
        <w:rPr>
          <w:rFonts w:hint="eastAsia"/>
        </w:rPr>
        <w:t>环境保护目标的预测考虑了敏感点与道路中心线距离、纵坡、路面衰减（沥青混凝土路面△</w:t>
      </w:r>
      <w:r>
        <w:rPr>
          <w:rFonts w:hint="eastAsia"/>
        </w:rPr>
        <w:t>L</w:t>
      </w:r>
      <w:r>
        <w:rPr>
          <w:rFonts w:hint="eastAsia"/>
        </w:rPr>
        <w:t>路面</w:t>
      </w:r>
      <w:r>
        <w:rPr>
          <w:rFonts w:hint="eastAsia"/>
        </w:rPr>
        <w:t>=0</w:t>
      </w:r>
      <w:r>
        <w:rPr>
          <w:rFonts w:hint="eastAsia"/>
        </w:rPr>
        <w:t>）、障碍物遮挡（△</w:t>
      </w:r>
      <w:r>
        <w:rPr>
          <w:rFonts w:hint="eastAsia"/>
        </w:rPr>
        <w:t>L</w:t>
      </w:r>
      <w:r>
        <w:rPr>
          <w:rFonts w:hint="eastAsia"/>
        </w:rPr>
        <w:t>树木、△</w:t>
      </w:r>
      <w:r>
        <w:rPr>
          <w:rFonts w:hint="eastAsia"/>
        </w:rPr>
        <w:t>L</w:t>
      </w:r>
      <w:r>
        <w:rPr>
          <w:rFonts w:hint="eastAsia"/>
        </w:rPr>
        <w:t>建筑物）和路基高差等因素。同时，对于附近有交叉道路的敏感目标，预测结果叠加交叉道路的交通噪声贡献值。道路</w:t>
      </w:r>
      <w:r>
        <w:rPr>
          <w:rFonts w:hint="eastAsia"/>
        </w:rPr>
        <w:t>正常运行年现状敏感点预测结果见表</w:t>
      </w:r>
      <w:r>
        <w:rPr>
          <w:rFonts w:hint="eastAsia"/>
        </w:rPr>
        <w:t>4-6</w:t>
      </w:r>
      <w:r>
        <w:rPr>
          <w:rFonts w:hint="eastAsia"/>
        </w:rPr>
        <w:t>。</w:t>
      </w:r>
    </w:p>
    <w:p w:rsidR="00BC07F0" w:rsidRDefault="00073EFB">
      <w:pPr>
        <w:pStyle w:val="a7"/>
        <w:rPr>
          <w:rFonts w:hint="default"/>
          <w:b/>
          <w:bCs/>
        </w:rPr>
      </w:pPr>
      <w:r>
        <w:rPr>
          <w:b/>
          <w:bCs/>
        </w:rPr>
        <w:t>表</w:t>
      </w:r>
      <w:r>
        <w:rPr>
          <w:b/>
          <w:bCs/>
        </w:rPr>
        <w:t>4-6</w:t>
      </w:r>
      <w:r>
        <w:rPr>
          <w:b/>
          <w:bCs/>
        </w:rPr>
        <w:t>运营期敏感点噪声预测结果</w:t>
      </w:r>
    </w:p>
    <w:tbl>
      <w:tblPr>
        <w:tblW w:w="4950" w:type="pct"/>
        <w:tblInd w:w="91"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Look w:val="04A0"/>
      </w:tblPr>
      <w:tblGrid>
        <w:gridCol w:w="966"/>
        <w:gridCol w:w="885"/>
        <w:gridCol w:w="720"/>
        <w:gridCol w:w="720"/>
        <w:gridCol w:w="690"/>
        <w:gridCol w:w="750"/>
        <w:gridCol w:w="750"/>
        <w:gridCol w:w="735"/>
        <w:gridCol w:w="720"/>
        <w:gridCol w:w="765"/>
        <w:gridCol w:w="736"/>
      </w:tblGrid>
      <w:tr w:rsidR="00BC07F0">
        <w:trPr>
          <w:trHeight w:val="397"/>
        </w:trPr>
        <w:tc>
          <w:tcPr>
            <w:tcW w:w="966" w:type="dxa"/>
            <w:vMerge w:val="restart"/>
            <w:tcBorders>
              <w:tl2br w:val="nil"/>
              <w:tr2bl w:val="nil"/>
            </w:tcBorders>
            <w:shd w:val="clear" w:color="auto" w:fill="auto"/>
            <w:vAlign w:val="center"/>
          </w:tcPr>
          <w:p w:rsidR="00BC07F0" w:rsidRDefault="00073EFB">
            <w:pPr>
              <w:pStyle w:val="a7"/>
              <w:rPr>
                <w:rFonts w:hint="default"/>
              </w:rPr>
            </w:pPr>
            <w:r>
              <w:t>敏感点名称</w:t>
            </w:r>
          </w:p>
        </w:tc>
        <w:tc>
          <w:tcPr>
            <w:tcW w:w="885" w:type="dxa"/>
            <w:vMerge w:val="restart"/>
            <w:tcBorders>
              <w:tl2br w:val="nil"/>
              <w:tr2bl w:val="nil"/>
            </w:tcBorders>
            <w:shd w:val="clear" w:color="auto" w:fill="auto"/>
            <w:vAlign w:val="center"/>
          </w:tcPr>
          <w:p w:rsidR="00BC07F0" w:rsidRDefault="00073EFB">
            <w:pPr>
              <w:pStyle w:val="a7"/>
              <w:rPr>
                <w:rFonts w:hint="default"/>
              </w:rPr>
            </w:pPr>
            <w:r>
              <w:t>与中心点最近距离</w:t>
            </w:r>
          </w:p>
        </w:tc>
        <w:tc>
          <w:tcPr>
            <w:tcW w:w="720" w:type="dxa"/>
            <w:vMerge w:val="restart"/>
            <w:tcBorders>
              <w:tl2br w:val="nil"/>
              <w:tr2bl w:val="nil"/>
            </w:tcBorders>
            <w:shd w:val="clear" w:color="auto" w:fill="auto"/>
            <w:vAlign w:val="center"/>
          </w:tcPr>
          <w:p w:rsidR="00BC07F0" w:rsidRDefault="00073EFB">
            <w:pPr>
              <w:pStyle w:val="a7"/>
              <w:rPr>
                <w:rFonts w:hint="default"/>
              </w:rPr>
            </w:pPr>
            <w:r>
              <w:t>与红线最近距离</w:t>
            </w:r>
          </w:p>
        </w:tc>
        <w:tc>
          <w:tcPr>
            <w:tcW w:w="720" w:type="dxa"/>
            <w:vMerge w:val="restart"/>
            <w:tcBorders>
              <w:tl2br w:val="nil"/>
              <w:tr2bl w:val="nil"/>
            </w:tcBorders>
            <w:shd w:val="clear" w:color="auto" w:fill="auto"/>
            <w:vAlign w:val="center"/>
          </w:tcPr>
          <w:p w:rsidR="00BC07F0" w:rsidRDefault="00073EFB">
            <w:pPr>
              <w:pStyle w:val="a7"/>
              <w:rPr>
                <w:rFonts w:hint="default"/>
              </w:rPr>
            </w:pPr>
            <w:r>
              <w:t>声环境区划</w:t>
            </w:r>
          </w:p>
        </w:tc>
        <w:tc>
          <w:tcPr>
            <w:tcW w:w="690" w:type="dxa"/>
            <w:vMerge w:val="restart"/>
            <w:tcBorders>
              <w:tl2br w:val="nil"/>
              <w:tr2bl w:val="nil"/>
            </w:tcBorders>
            <w:shd w:val="clear" w:color="auto" w:fill="auto"/>
            <w:vAlign w:val="center"/>
          </w:tcPr>
          <w:p w:rsidR="00BC07F0" w:rsidRDefault="00073EFB">
            <w:pPr>
              <w:pStyle w:val="a7"/>
              <w:rPr>
                <w:rFonts w:hint="default"/>
              </w:rPr>
            </w:pPr>
            <w:r>
              <w:t>时段</w:t>
            </w:r>
          </w:p>
        </w:tc>
        <w:tc>
          <w:tcPr>
            <w:tcW w:w="2235" w:type="dxa"/>
            <w:gridSpan w:val="3"/>
            <w:tcBorders>
              <w:tl2br w:val="nil"/>
              <w:tr2bl w:val="nil"/>
            </w:tcBorders>
            <w:shd w:val="clear" w:color="auto" w:fill="auto"/>
            <w:vAlign w:val="center"/>
          </w:tcPr>
          <w:p w:rsidR="00BC07F0" w:rsidRDefault="00073EFB">
            <w:pPr>
              <w:pStyle w:val="a7"/>
              <w:rPr>
                <w:rFonts w:hint="default"/>
              </w:rPr>
            </w:pPr>
            <w:r>
              <w:t>噪声预测值</w:t>
            </w:r>
            <w:r>
              <w:rPr>
                <w:rFonts w:hint="default"/>
              </w:rPr>
              <w:t>dB</w:t>
            </w:r>
            <w:r>
              <w:t>（</w:t>
            </w:r>
            <w:r>
              <w:rPr>
                <w:rFonts w:hint="default"/>
              </w:rPr>
              <w:t>A</w:t>
            </w:r>
            <w:r>
              <w:t>）</w:t>
            </w:r>
          </w:p>
        </w:tc>
        <w:tc>
          <w:tcPr>
            <w:tcW w:w="2221" w:type="dxa"/>
            <w:gridSpan w:val="3"/>
            <w:tcBorders>
              <w:tl2br w:val="nil"/>
              <w:tr2bl w:val="nil"/>
            </w:tcBorders>
            <w:shd w:val="clear" w:color="auto" w:fill="auto"/>
            <w:vAlign w:val="center"/>
          </w:tcPr>
          <w:p w:rsidR="00BC07F0" w:rsidRDefault="00073EFB">
            <w:pPr>
              <w:pStyle w:val="a7"/>
              <w:rPr>
                <w:rFonts w:hint="default"/>
              </w:rPr>
            </w:pPr>
            <w:r>
              <w:t>占标率（</w:t>
            </w:r>
            <w:r>
              <w:rPr>
                <w:rFonts w:hint="default"/>
              </w:rPr>
              <w:t>%</w:t>
            </w:r>
            <w:r>
              <w:t>）</w:t>
            </w:r>
          </w:p>
        </w:tc>
      </w:tr>
      <w:tr w:rsidR="00BC07F0">
        <w:trPr>
          <w:trHeight w:val="397"/>
        </w:trPr>
        <w:tc>
          <w:tcPr>
            <w:tcW w:w="966" w:type="dxa"/>
            <w:vMerge/>
            <w:tcBorders>
              <w:tl2br w:val="nil"/>
              <w:tr2bl w:val="nil"/>
            </w:tcBorders>
            <w:shd w:val="clear" w:color="auto" w:fill="auto"/>
            <w:vAlign w:val="center"/>
          </w:tcPr>
          <w:p w:rsidR="00BC07F0" w:rsidRDefault="00BC07F0">
            <w:pPr>
              <w:pStyle w:val="a7"/>
              <w:rPr>
                <w:rFonts w:hint="default"/>
              </w:rPr>
            </w:pPr>
          </w:p>
        </w:tc>
        <w:tc>
          <w:tcPr>
            <w:tcW w:w="885" w:type="dxa"/>
            <w:vMerge/>
            <w:tcBorders>
              <w:tl2br w:val="nil"/>
              <w:tr2bl w:val="nil"/>
            </w:tcBorders>
            <w:shd w:val="clear" w:color="auto" w:fill="auto"/>
            <w:vAlign w:val="center"/>
          </w:tcPr>
          <w:p w:rsidR="00BC07F0" w:rsidRDefault="00BC07F0">
            <w:pPr>
              <w:pStyle w:val="a7"/>
              <w:rPr>
                <w:rFonts w:hint="default"/>
              </w:rPr>
            </w:pPr>
          </w:p>
        </w:tc>
        <w:tc>
          <w:tcPr>
            <w:tcW w:w="720" w:type="dxa"/>
            <w:vMerge/>
            <w:tcBorders>
              <w:tl2br w:val="nil"/>
              <w:tr2bl w:val="nil"/>
            </w:tcBorders>
            <w:shd w:val="clear" w:color="auto" w:fill="auto"/>
            <w:vAlign w:val="center"/>
          </w:tcPr>
          <w:p w:rsidR="00BC07F0" w:rsidRDefault="00BC07F0">
            <w:pPr>
              <w:pStyle w:val="a7"/>
              <w:rPr>
                <w:rFonts w:hint="default"/>
              </w:rPr>
            </w:pPr>
          </w:p>
        </w:tc>
        <w:tc>
          <w:tcPr>
            <w:tcW w:w="720" w:type="dxa"/>
            <w:vMerge/>
            <w:tcBorders>
              <w:tl2br w:val="nil"/>
              <w:tr2bl w:val="nil"/>
            </w:tcBorders>
            <w:shd w:val="clear" w:color="auto" w:fill="auto"/>
            <w:vAlign w:val="center"/>
          </w:tcPr>
          <w:p w:rsidR="00BC07F0" w:rsidRDefault="00BC07F0">
            <w:pPr>
              <w:pStyle w:val="a7"/>
              <w:rPr>
                <w:rFonts w:hint="default"/>
              </w:rPr>
            </w:pPr>
          </w:p>
        </w:tc>
        <w:tc>
          <w:tcPr>
            <w:tcW w:w="690" w:type="dxa"/>
            <w:vMerge/>
            <w:tcBorders>
              <w:tl2br w:val="nil"/>
              <w:tr2bl w:val="nil"/>
            </w:tcBorders>
            <w:shd w:val="clear" w:color="auto" w:fill="auto"/>
            <w:vAlign w:val="center"/>
          </w:tcPr>
          <w:p w:rsidR="00BC07F0" w:rsidRDefault="00BC07F0">
            <w:pPr>
              <w:pStyle w:val="a7"/>
              <w:rPr>
                <w:rFonts w:hint="default"/>
              </w:rPr>
            </w:pP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2023</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2027</w:t>
            </w:r>
          </w:p>
        </w:tc>
        <w:tc>
          <w:tcPr>
            <w:tcW w:w="735" w:type="dxa"/>
            <w:tcBorders>
              <w:tl2br w:val="nil"/>
              <w:tr2bl w:val="nil"/>
            </w:tcBorders>
            <w:shd w:val="clear" w:color="auto" w:fill="auto"/>
            <w:vAlign w:val="center"/>
          </w:tcPr>
          <w:p w:rsidR="00BC07F0" w:rsidRDefault="00073EFB">
            <w:pPr>
              <w:pStyle w:val="a7"/>
              <w:rPr>
                <w:rFonts w:hint="default"/>
              </w:rPr>
            </w:pPr>
            <w:r>
              <w:rPr>
                <w:rFonts w:hint="default"/>
              </w:rPr>
              <w:t>2032</w:t>
            </w:r>
          </w:p>
        </w:tc>
        <w:tc>
          <w:tcPr>
            <w:tcW w:w="720" w:type="dxa"/>
            <w:tcBorders>
              <w:tl2br w:val="nil"/>
              <w:tr2bl w:val="nil"/>
            </w:tcBorders>
            <w:shd w:val="clear" w:color="auto" w:fill="auto"/>
            <w:vAlign w:val="center"/>
          </w:tcPr>
          <w:p w:rsidR="00BC07F0" w:rsidRDefault="00073EFB">
            <w:pPr>
              <w:pStyle w:val="a7"/>
              <w:rPr>
                <w:rFonts w:hint="default"/>
              </w:rPr>
            </w:pPr>
            <w:r>
              <w:rPr>
                <w:rFonts w:hint="default"/>
              </w:rPr>
              <w:t>2023</w:t>
            </w:r>
          </w:p>
        </w:tc>
        <w:tc>
          <w:tcPr>
            <w:tcW w:w="765" w:type="dxa"/>
            <w:tcBorders>
              <w:tl2br w:val="nil"/>
              <w:tr2bl w:val="nil"/>
            </w:tcBorders>
            <w:shd w:val="clear" w:color="auto" w:fill="auto"/>
            <w:vAlign w:val="center"/>
          </w:tcPr>
          <w:p w:rsidR="00BC07F0" w:rsidRDefault="00073EFB">
            <w:pPr>
              <w:pStyle w:val="a7"/>
              <w:rPr>
                <w:rFonts w:hint="default"/>
              </w:rPr>
            </w:pPr>
            <w:r>
              <w:rPr>
                <w:rFonts w:hint="default"/>
              </w:rPr>
              <w:t>2027</w:t>
            </w:r>
          </w:p>
        </w:tc>
        <w:tc>
          <w:tcPr>
            <w:tcW w:w="736" w:type="dxa"/>
            <w:tcBorders>
              <w:tl2br w:val="nil"/>
              <w:tr2bl w:val="nil"/>
            </w:tcBorders>
            <w:shd w:val="clear" w:color="auto" w:fill="auto"/>
            <w:vAlign w:val="center"/>
          </w:tcPr>
          <w:p w:rsidR="00BC07F0" w:rsidRDefault="00073EFB">
            <w:pPr>
              <w:pStyle w:val="a7"/>
              <w:rPr>
                <w:rFonts w:hint="default"/>
              </w:rPr>
            </w:pPr>
            <w:r>
              <w:rPr>
                <w:rFonts w:hint="default"/>
              </w:rPr>
              <w:t>2032</w:t>
            </w:r>
          </w:p>
        </w:tc>
      </w:tr>
      <w:tr w:rsidR="00BC07F0">
        <w:trPr>
          <w:trHeight w:val="397"/>
        </w:trPr>
        <w:tc>
          <w:tcPr>
            <w:tcW w:w="966" w:type="dxa"/>
            <w:vMerge w:val="restart"/>
            <w:tcBorders>
              <w:tl2br w:val="nil"/>
              <w:tr2bl w:val="nil"/>
            </w:tcBorders>
            <w:shd w:val="clear" w:color="auto" w:fill="auto"/>
            <w:vAlign w:val="center"/>
          </w:tcPr>
          <w:p w:rsidR="00BC07F0" w:rsidRDefault="00073EFB">
            <w:pPr>
              <w:pStyle w:val="a7"/>
              <w:rPr>
                <w:rFonts w:hint="default"/>
              </w:rPr>
            </w:pPr>
            <w:r>
              <w:t>白沙洲安置房</w:t>
            </w:r>
          </w:p>
        </w:tc>
        <w:tc>
          <w:tcPr>
            <w:tcW w:w="885" w:type="dxa"/>
            <w:vMerge w:val="restart"/>
            <w:tcBorders>
              <w:tl2br w:val="nil"/>
              <w:tr2bl w:val="nil"/>
            </w:tcBorders>
            <w:shd w:val="clear" w:color="auto" w:fill="auto"/>
            <w:vAlign w:val="center"/>
          </w:tcPr>
          <w:p w:rsidR="00BC07F0" w:rsidRDefault="00073EFB">
            <w:pPr>
              <w:pStyle w:val="a7"/>
              <w:rPr>
                <w:rFonts w:hint="default"/>
              </w:rPr>
            </w:pPr>
            <w:r>
              <w:rPr>
                <w:rFonts w:hint="default"/>
              </w:rPr>
              <w:t>41.5</w:t>
            </w:r>
          </w:p>
        </w:tc>
        <w:tc>
          <w:tcPr>
            <w:tcW w:w="720" w:type="dxa"/>
            <w:vMerge w:val="restart"/>
            <w:tcBorders>
              <w:tl2br w:val="nil"/>
              <w:tr2bl w:val="nil"/>
            </w:tcBorders>
            <w:shd w:val="clear" w:color="auto" w:fill="auto"/>
            <w:vAlign w:val="center"/>
          </w:tcPr>
          <w:p w:rsidR="00BC07F0" w:rsidRDefault="00073EFB">
            <w:pPr>
              <w:pStyle w:val="a7"/>
              <w:rPr>
                <w:rFonts w:hint="default"/>
              </w:rPr>
            </w:pPr>
            <w:r>
              <w:rPr>
                <w:rFonts w:hint="default"/>
              </w:rPr>
              <w:t>14</w:t>
            </w:r>
          </w:p>
        </w:tc>
        <w:tc>
          <w:tcPr>
            <w:tcW w:w="720" w:type="dxa"/>
            <w:vMerge w:val="restart"/>
            <w:tcBorders>
              <w:tl2br w:val="nil"/>
              <w:tr2bl w:val="nil"/>
            </w:tcBorders>
            <w:shd w:val="clear" w:color="auto" w:fill="auto"/>
            <w:vAlign w:val="center"/>
          </w:tcPr>
          <w:p w:rsidR="00BC07F0" w:rsidRDefault="00073EFB">
            <w:pPr>
              <w:pStyle w:val="a7"/>
              <w:rPr>
                <w:rFonts w:hint="default"/>
              </w:rPr>
            </w:pPr>
            <w:r>
              <w:rPr>
                <w:rFonts w:hint="default"/>
              </w:rPr>
              <w:t>4a</w:t>
            </w:r>
            <w:r>
              <w:t>类</w:t>
            </w:r>
          </w:p>
        </w:tc>
        <w:tc>
          <w:tcPr>
            <w:tcW w:w="690" w:type="dxa"/>
            <w:tcBorders>
              <w:tl2br w:val="nil"/>
              <w:tr2bl w:val="nil"/>
            </w:tcBorders>
            <w:shd w:val="clear" w:color="auto" w:fill="auto"/>
            <w:vAlign w:val="center"/>
          </w:tcPr>
          <w:p w:rsidR="00BC07F0" w:rsidRDefault="00073EFB">
            <w:pPr>
              <w:pStyle w:val="a7"/>
              <w:rPr>
                <w:rFonts w:hint="default"/>
              </w:rPr>
            </w:pPr>
            <w:r>
              <w:t>昼间</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56.57</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59.22</w:t>
            </w:r>
          </w:p>
        </w:tc>
        <w:tc>
          <w:tcPr>
            <w:tcW w:w="735" w:type="dxa"/>
            <w:tcBorders>
              <w:tl2br w:val="nil"/>
              <w:tr2bl w:val="nil"/>
            </w:tcBorders>
            <w:shd w:val="clear" w:color="auto" w:fill="auto"/>
            <w:vAlign w:val="center"/>
          </w:tcPr>
          <w:p w:rsidR="00BC07F0" w:rsidRDefault="00073EFB">
            <w:pPr>
              <w:pStyle w:val="a7"/>
              <w:rPr>
                <w:rFonts w:hint="default"/>
              </w:rPr>
            </w:pPr>
            <w:r>
              <w:rPr>
                <w:rFonts w:hint="default"/>
              </w:rPr>
              <w:t>59.96</w:t>
            </w:r>
          </w:p>
        </w:tc>
        <w:tc>
          <w:tcPr>
            <w:tcW w:w="720" w:type="dxa"/>
            <w:tcBorders>
              <w:tl2br w:val="nil"/>
              <w:tr2bl w:val="nil"/>
            </w:tcBorders>
            <w:shd w:val="clear" w:color="auto" w:fill="auto"/>
            <w:vAlign w:val="center"/>
          </w:tcPr>
          <w:p w:rsidR="00BC07F0" w:rsidRDefault="00073EFB">
            <w:pPr>
              <w:pStyle w:val="a7"/>
              <w:rPr>
                <w:rFonts w:hint="default"/>
              </w:rPr>
            </w:pPr>
            <w:r>
              <w:rPr>
                <w:rFonts w:hint="default"/>
              </w:rPr>
              <w:t>80.81</w:t>
            </w:r>
          </w:p>
        </w:tc>
        <w:tc>
          <w:tcPr>
            <w:tcW w:w="765" w:type="dxa"/>
            <w:tcBorders>
              <w:tl2br w:val="nil"/>
              <w:tr2bl w:val="nil"/>
            </w:tcBorders>
            <w:shd w:val="clear" w:color="auto" w:fill="auto"/>
            <w:vAlign w:val="center"/>
          </w:tcPr>
          <w:p w:rsidR="00BC07F0" w:rsidRDefault="00073EFB">
            <w:pPr>
              <w:pStyle w:val="a7"/>
              <w:rPr>
                <w:rFonts w:hint="default"/>
              </w:rPr>
            </w:pPr>
            <w:r>
              <w:rPr>
                <w:rFonts w:hint="default"/>
              </w:rPr>
              <w:t>84.6</w:t>
            </w:r>
          </w:p>
        </w:tc>
        <w:tc>
          <w:tcPr>
            <w:tcW w:w="736" w:type="dxa"/>
            <w:tcBorders>
              <w:tl2br w:val="nil"/>
              <w:tr2bl w:val="nil"/>
            </w:tcBorders>
            <w:shd w:val="clear" w:color="auto" w:fill="auto"/>
            <w:vAlign w:val="center"/>
          </w:tcPr>
          <w:p w:rsidR="00BC07F0" w:rsidRDefault="00073EFB">
            <w:pPr>
              <w:pStyle w:val="a7"/>
              <w:rPr>
                <w:rFonts w:hint="default"/>
              </w:rPr>
            </w:pPr>
            <w:r>
              <w:rPr>
                <w:rFonts w:hint="default"/>
              </w:rPr>
              <w:t>85.66</w:t>
            </w:r>
          </w:p>
        </w:tc>
      </w:tr>
      <w:tr w:rsidR="00BC07F0">
        <w:trPr>
          <w:trHeight w:val="397"/>
        </w:trPr>
        <w:tc>
          <w:tcPr>
            <w:tcW w:w="966" w:type="dxa"/>
            <w:vMerge/>
            <w:tcBorders>
              <w:tl2br w:val="nil"/>
              <w:tr2bl w:val="nil"/>
            </w:tcBorders>
            <w:shd w:val="clear" w:color="auto" w:fill="auto"/>
            <w:vAlign w:val="center"/>
          </w:tcPr>
          <w:p w:rsidR="00BC07F0" w:rsidRDefault="00BC07F0">
            <w:pPr>
              <w:pStyle w:val="a7"/>
              <w:rPr>
                <w:rFonts w:hint="default"/>
              </w:rPr>
            </w:pPr>
          </w:p>
        </w:tc>
        <w:tc>
          <w:tcPr>
            <w:tcW w:w="885" w:type="dxa"/>
            <w:vMerge/>
            <w:tcBorders>
              <w:tl2br w:val="nil"/>
              <w:tr2bl w:val="nil"/>
            </w:tcBorders>
            <w:shd w:val="clear" w:color="auto" w:fill="auto"/>
            <w:vAlign w:val="center"/>
          </w:tcPr>
          <w:p w:rsidR="00BC07F0" w:rsidRDefault="00BC07F0">
            <w:pPr>
              <w:pStyle w:val="a7"/>
              <w:rPr>
                <w:rFonts w:hint="default"/>
              </w:rPr>
            </w:pPr>
          </w:p>
        </w:tc>
        <w:tc>
          <w:tcPr>
            <w:tcW w:w="720" w:type="dxa"/>
            <w:vMerge/>
            <w:tcBorders>
              <w:tl2br w:val="nil"/>
              <w:tr2bl w:val="nil"/>
            </w:tcBorders>
            <w:shd w:val="clear" w:color="auto" w:fill="auto"/>
            <w:vAlign w:val="center"/>
          </w:tcPr>
          <w:p w:rsidR="00BC07F0" w:rsidRDefault="00BC07F0">
            <w:pPr>
              <w:pStyle w:val="a7"/>
              <w:rPr>
                <w:rFonts w:hint="default"/>
              </w:rPr>
            </w:pPr>
          </w:p>
        </w:tc>
        <w:tc>
          <w:tcPr>
            <w:tcW w:w="720" w:type="dxa"/>
            <w:vMerge/>
            <w:tcBorders>
              <w:tl2br w:val="nil"/>
              <w:tr2bl w:val="nil"/>
            </w:tcBorders>
            <w:shd w:val="clear" w:color="auto" w:fill="auto"/>
            <w:vAlign w:val="center"/>
          </w:tcPr>
          <w:p w:rsidR="00BC07F0" w:rsidRDefault="00BC07F0">
            <w:pPr>
              <w:pStyle w:val="a7"/>
              <w:rPr>
                <w:rFonts w:hint="default"/>
              </w:rPr>
            </w:pPr>
          </w:p>
        </w:tc>
        <w:tc>
          <w:tcPr>
            <w:tcW w:w="690" w:type="dxa"/>
            <w:tcBorders>
              <w:tl2br w:val="nil"/>
              <w:tr2bl w:val="nil"/>
            </w:tcBorders>
            <w:shd w:val="clear" w:color="auto" w:fill="auto"/>
            <w:vAlign w:val="center"/>
          </w:tcPr>
          <w:p w:rsidR="00BC07F0" w:rsidRDefault="00073EFB">
            <w:pPr>
              <w:pStyle w:val="a7"/>
              <w:rPr>
                <w:rFonts w:hint="default"/>
              </w:rPr>
            </w:pPr>
            <w:r>
              <w:t>夜间</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46.93</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49.27</w:t>
            </w:r>
          </w:p>
        </w:tc>
        <w:tc>
          <w:tcPr>
            <w:tcW w:w="735" w:type="dxa"/>
            <w:tcBorders>
              <w:tl2br w:val="nil"/>
              <w:tr2bl w:val="nil"/>
            </w:tcBorders>
            <w:shd w:val="clear" w:color="auto" w:fill="auto"/>
            <w:vAlign w:val="center"/>
          </w:tcPr>
          <w:p w:rsidR="00BC07F0" w:rsidRDefault="00073EFB">
            <w:pPr>
              <w:pStyle w:val="a7"/>
              <w:rPr>
                <w:rFonts w:hint="default"/>
              </w:rPr>
            </w:pPr>
            <w:r>
              <w:rPr>
                <w:rFonts w:hint="default"/>
              </w:rPr>
              <w:t>50.25</w:t>
            </w:r>
          </w:p>
        </w:tc>
        <w:tc>
          <w:tcPr>
            <w:tcW w:w="720" w:type="dxa"/>
            <w:tcBorders>
              <w:tl2br w:val="nil"/>
              <w:tr2bl w:val="nil"/>
            </w:tcBorders>
            <w:shd w:val="clear" w:color="auto" w:fill="auto"/>
            <w:vAlign w:val="center"/>
          </w:tcPr>
          <w:p w:rsidR="00BC07F0" w:rsidRDefault="00073EFB">
            <w:pPr>
              <w:pStyle w:val="a7"/>
              <w:rPr>
                <w:rFonts w:hint="default"/>
              </w:rPr>
            </w:pPr>
            <w:r>
              <w:rPr>
                <w:rFonts w:hint="default"/>
              </w:rPr>
              <w:t>85.33</w:t>
            </w:r>
          </w:p>
        </w:tc>
        <w:tc>
          <w:tcPr>
            <w:tcW w:w="765" w:type="dxa"/>
            <w:tcBorders>
              <w:tl2br w:val="nil"/>
              <w:tr2bl w:val="nil"/>
            </w:tcBorders>
            <w:shd w:val="clear" w:color="auto" w:fill="auto"/>
            <w:vAlign w:val="center"/>
          </w:tcPr>
          <w:p w:rsidR="00BC07F0" w:rsidRDefault="00073EFB">
            <w:pPr>
              <w:pStyle w:val="a7"/>
              <w:rPr>
                <w:rFonts w:hint="default"/>
              </w:rPr>
            </w:pPr>
            <w:r>
              <w:rPr>
                <w:rFonts w:hint="default"/>
              </w:rPr>
              <w:t>89.58</w:t>
            </w:r>
          </w:p>
        </w:tc>
        <w:tc>
          <w:tcPr>
            <w:tcW w:w="736" w:type="dxa"/>
            <w:tcBorders>
              <w:tl2br w:val="nil"/>
              <w:tr2bl w:val="nil"/>
            </w:tcBorders>
            <w:shd w:val="clear" w:color="auto" w:fill="auto"/>
            <w:vAlign w:val="center"/>
          </w:tcPr>
          <w:p w:rsidR="00BC07F0" w:rsidRDefault="00073EFB">
            <w:pPr>
              <w:pStyle w:val="a7"/>
              <w:rPr>
                <w:rFonts w:hint="default"/>
              </w:rPr>
            </w:pPr>
            <w:r>
              <w:rPr>
                <w:rFonts w:hint="default"/>
              </w:rPr>
              <w:t>91.36</w:t>
            </w:r>
          </w:p>
        </w:tc>
      </w:tr>
      <w:tr w:rsidR="00BC07F0">
        <w:trPr>
          <w:trHeight w:val="397"/>
        </w:trPr>
        <w:tc>
          <w:tcPr>
            <w:tcW w:w="966" w:type="dxa"/>
            <w:vMerge w:val="restart"/>
            <w:tcBorders>
              <w:tl2br w:val="nil"/>
              <w:tr2bl w:val="nil"/>
            </w:tcBorders>
            <w:shd w:val="clear" w:color="auto" w:fill="auto"/>
            <w:vAlign w:val="center"/>
          </w:tcPr>
          <w:p w:rsidR="00BC07F0" w:rsidRDefault="00073EFB">
            <w:pPr>
              <w:pStyle w:val="a7"/>
              <w:rPr>
                <w:rFonts w:hint="default"/>
              </w:rPr>
            </w:pPr>
            <w:r>
              <w:t>白沙村居民自建房</w:t>
            </w:r>
          </w:p>
        </w:tc>
        <w:tc>
          <w:tcPr>
            <w:tcW w:w="885" w:type="dxa"/>
            <w:vMerge w:val="restart"/>
            <w:tcBorders>
              <w:tl2br w:val="nil"/>
              <w:tr2bl w:val="nil"/>
            </w:tcBorders>
            <w:shd w:val="clear" w:color="auto" w:fill="auto"/>
            <w:vAlign w:val="center"/>
          </w:tcPr>
          <w:p w:rsidR="00BC07F0" w:rsidRDefault="00073EFB">
            <w:pPr>
              <w:pStyle w:val="a7"/>
              <w:rPr>
                <w:rFonts w:hint="default"/>
              </w:rPr>
            </w:pPr>
            <w:r>
              <w:rPr>
                <w:rFonts w:hint="default"/>
              </w:rPr>
              <w:t>95.5</w:t>
            </w:r>
          </w:p>
        </w:tc>
        <w:tc>
          <w:tcPr>
            <w:tcW w:w="720" w:type="dxa"/>
            <w:vMerge w:val="restart"/>
            <w:tcBorders>
              <w:tl2br w:val="nil"/>
              <w:tr2bl w:val="nil"/>
            </w:tcBorders>
            <w:shd w:val="clear" w:color="auto" w:fill="auto"/>
            <w:vAlign w:val="center"/>
          </w:tcPr>
          <w:p w:rsidR="00BC07F0" w:rsidRDefault="00073EFB">
            <w:pPr>
              <w:pStyle w:val="a7"/>
              <w:rPr>
                <w:rFonts w:hint="default"/>
              </w:rPr>
            </w:pPr>
            <w:r>
              <w:rPr>
                <w:rFonts w:hint="default"/>
              </w:rPr>
              <w:t>68</w:t>
            </w:r>
          </w:p>
        </w:tc>
        <w:tc>
          <w:tcPr>
            <w:tcW w:w="720" w:type="dxa"/>
            <w:vMerge w:val="restart"/>
            <w:tcBorders>
              <w:tl2br w:val="nil"/>
              <w:tr2bl w:val="nil"/>
            </w:tcBorders>
            <w:shd w:val="clear" w:color="auto" w:fill="auto"/>
            <w:vAlign w:val="center"/>
          </w:tcPr>
          <w:p w:rsidR="00BC07F0" w:rsidRDefault="00073EFB">
            <w:pPr>
              <w:pStyle w:val="a7"/>
              <w:rPr>
                <w:rFonts w:hint="default"/>
              </w:rPr>
            </w:pPr>
            <w:r>
              <w:rPr>
                <w:rFonts w:hint="default"/>
              </w:rPr>
              <w:t>2</w:t>
            </w:r>
            <w:r>
              <w:t>类</w:t>
            </w:r>
          </w:p>
        </w:tc>
        <w:tc>
          <w:tcPr>
            <w:tcW w:w="690" w:type="dxa"/>
            <w:tcBorders>
              <w:tl2br w:val="nil"/>
              <w:tr2bl w:val="nil"/>
            </w:tcBorders>
            <w:shd w:val="clear" w:color="auto" w:fill="auto"/>
            <w:vAlign w:val="center"/>
          </w:tcPr>
          <w:p w:rsidR="00BC07F0" w:rsidRDefault="00073EFB">
            <w:pPr>
              <w:pStyle w:val="a7"/>
              <w:rPr>
                <w:rFonts w:hint="default"/>
              </w:rPr>
            </w:pPr>
            <w:r>
              <w:t>昼间</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56.03</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56.98</w:t>
            </w:r>
          </w:p>
        </w:tc>
        <w:tc>
          <w:tcPr>
            <w:tcW w:w="735" w:type="dxa"/>
            <w:tcBorders>
              <w:tl2br w:val="nil"/>
              <w:tr2bl w:val="nil"/>
            </w:tcBorders>
            <w:shd w:val="clear" w:color="auto" w:fill="auto"/>
            <w:vAlign w:val="center"/>
          </w:tcPr>
          <w:p w:rsidR="00BC07F0" w:rsidRDefault="00073EFB">
            <w:pPr>
              <w:pStyle w:val="a7"/>
              <w:rPr>
                <w:rFonts w:hint="default"/>
              </w:rPr>
            </w:pPr>
            <w:r>
              <w:rPr>
                <w:rFonts w:hint="default"/>
              </w:rPr>
              <w:t>57.25</w:t>
            </w:r>
          </w:p>
        </w:tc>
        <w:tc>
          <w:tcPr>
            <w:tcW w:w="720" w:type="dxa"/>
            <w:tcBorders>
              <w:tl2br w:val="nil"/>
              <w:tr2bl w:val="nil"/>
            </w:tcBorders>
            <w:shd w:val="clear" w:color="auto" w:fill="auto"/>
            <w:vAlign w:val="center"/>
          </w:tcPr>
          <w:p w:rsidR="00BC07F0" w:rsidRDefault="00073EFB">
            <w:pPr>
              <w:pStyle w:val="a7"/>
              <w:rPr>
                <w:rFonts w:hint="default"/>
              </w:rPr>
            </w:pPr>
            <w:r>
              <w:rPr>
                <w:rFonts w:hint="default"/>
              </w:rPr>
              <w:t>93.38</w:t>
            </w:r>
          </w:p>
        </w:tc>
        <w:tc>
          <w:tcPr>
            <w:tcW w:w="765" w:type="dxa"/>
            <w:tcBorders>
              <w:tl2br w:val="nil"/>
              <w:tr2bl w:val="nil"/>
            </w:tcBorders>
            <w:shd w:val="clear" w:color="auto" w:fill="auto"/>
            <w:vAlign w:val="center"/>
          </w:tcPr>
          <w:p w:rsidR="00BC07F0" w:rsidRDefault="00073EFB">
            <w:pPr>
              <w:pStyle w:val="a7"/>
              <w:rPr>
                <w:rFonts w:hint="default"/>
              </w:rPr>
            </w:pPr>
            <w:r>
              <w:rPr>
                <w:rFonts w:hint="default"/>
              </w:rPr>
              <w:t>94.97</w:t>
            </w:r>
          </w:p>
        </w:tc>
        <w:tc>
          <w:tcPr>
            <w:tcW w:w="736" w:type="dxa"/>
            <w:tcBorders>
              <w:tl2br w:val="nil"/>
              <w:tr2bl w:val="nil"/>
            </w:tcBorders>
            <w:shd w:val="clear" w:color="auto" w:fill="auto"/>
            <w:vAlign w:val="center"/>
          </w:tcPr>
          <w:p w:rsidR="00BC07F0" w:rsidRDefault="00073EFB">
            <w:pPr>
              <w:pStyle w:val="a7"/>
              <w:rPr>
                <w:rFonts w:hint="default"/>
              </w:rPr>
            </w:pPr>
            <w:r>
              <w:rPr>
                <w:rFonts w:hint="default"/>
              </w:rPr>
              <w:t>95.42</w:t>
            </w:r>
          </w:p>
        </w:tc>
      </w:tr>
      <w:tr w:rsidR="00BC07F0">
        <w:trPr>
          <w:trHeight w:val="397"/>
        </w:trPr>
        <w:tc>
          <w:tcPr>
            <w:tcW w:w="966" w:type="dxa"/>
            <w:vMerge/>
            <w:tcBorders>
              <w:tl2br w:val="nil"/>
              <w:tr2bl w:val="nil"/>
            </w:tcBorders>
            <w:shd w:val="clear" w:color="auto" w:fill="auto"/>
            <w:vAlign w:val="center"/>
          </w:tcPr>
          <w:p w:rsidR="00BC07F0" w:rsidRDefault="00BC07F0">
            <w:pPr>
              <w:pStyle w:val="a7"/>
              <w:rPr>
                <w:rFonts w:hint="default"/>
              </w:rPr>
            </w:pPr>
          </w:p>
        </w:tc>
        <w:tc>
          <w:tcPr>
            <w:tcW w:w="885" w:type="dxa"/>
            <w:vMerge/>
            <w:tcBorders>
              <w:tl2br w:val="nil"/>
              <w:tr2bl w:val="nil"/>
            </w:tcBorders>
            <w:shd w:val="clear" w:color="auto" w:fill="auto"/>
            <w:vAlign w:val="center"/>
          </w:tcPr>
          <w:p w:rsidR="00BC07F0" w:rsidRDefault="00BC07F0">
            <w:pPr>
              <w:pStyle w:val="a7"/>
              <w:rPr>
                <w:rFonts w:hint="default"/>
              </w:rPr>
            </w:pPr>
          </w:p>
        </w:tc>
        <w:tc>
          <w:tcPr>
            <w:tcW w:w="720" w:type="dxa"/>
            <w:vMerge/>
            <w:tcBorders>
              <w:tl2br w:val="nil"/>
              <w:tr2bl w:val="nil"/>
            </w:tcBorders>
            <w:shd w:val="clear" w:color="auto" w:fill="auto"/>
            <w:vAlign w:val="center"/>
          </w:tcPr>
          <w:p w:rsidR="00BC07F0" w:rsidRDefault="00BC07F0">
            <w:pPr>
              <w:pStyle w:val="a7"/>
              <w:rPr>
                <w:rFonts w:hint="default"/>
              </w:rPr>
            </w:pPr>
          </w:p>
        </w:tc>
        <w:tc>
          <w:tcPr>
            <w:tcW w:w="720" w:type="dxa"/>
            <w:vMerge/>
            <w:tcBorders>
              <w:tl2br w:val="nil"/>
              <w:tr2bl w:val="nil"/>
            </w:tcBorders>
            <w:shd w:val="clear" w:color="auto" w:fill="auto"/>
            <w:vAlign w:val="center"/>
          </w:tcPr>
          <w:p w:rsidR="00BC07F0" w:rsidRDefault="00BC07F0">
            <w:pPr>
              <w:pStyle w:val="a7"/>
              <w:rPr>
                <w:rFonts w:hint="default"/>
              </w:rPr>
            </w:pPr>
          </w:p>
        </w:tc>
        <w:tc>
          <w:tcPr>
            <w:tcW w:w="690" w:type="dxa"/>
            <w:tcBorders>
              <w:tl2br w:val="nil"/>
              <w:tr2bl w:val="nil"/>
            </w:tcBorders>
            <w:shd w:val="clear" w:color="auto" w:fill="auto"/>
            <w:vAlign w:val="center"/>
          </w:tcPr>
          <w:p w:rsidR="00BC07F0" w:rsidRDefault="00073EFB">
            <w:pPr>
              <w:pStyle w:val="a7"/>
              <w:rPr>
                <w:rFonts w:hint="default"/>
              </w:rPr>
            </w:pPr>
            <w:r>
              <w:t>夜间</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46.19</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46.74</w:t>
            </w:r>
          </w:p>
        </w:tc>
        <w:tc>
          <w:tcPr>
            <w:tcW w:w="735" w:type="dxa"/>
            <w:tcBorders>
              <w:tl2br w:val="nil"/>
              <w:tr2bl w:val="nil"/>
            </w:tcBorders>
            <w:shd w:val="clear" w:color="auto" w:fill="auto"/>
            <w:vAlign w:val="center"/>
          </w:tcPr>
          <w:p w:rsidR="00BC07F0" w:rsidRDefault="00073EFB">
            <w:pPr>
              <w:pStyle w:val="a7"/>
              <w:rPr>
                <w:rFonts w:hint="default"/>
              </w:rPr>
            </w:pPr>
            <w:r>
              <w:rPr>
                <w:rFonts w:hint="default"/>
              </w:rPr>
              <w:t>46.99</w:t>
            </w:r>
          </w:p>
        </w:tc>
        <w:tc>
          <w:tcPr>
            <w:tcW w:w="720" w:type="dxa"/>
            <w:tcBorders>
              <w:tl2br w:val="nil"/>
              <w:tr2bl w:val="nil"/>
            </w:tcBorders>
            <w:shd w:val="clear" w:color="auto" w:fill="auto"/>
            <w:vAlign w:val="center"/>
          </w:tcPr>
          <w:p w:rsidR="00BC07F0" w:rsidRDefault="00073EFB">
            <w:pPr>
              <w:pStyle w:val="a7"/>
              <w:rPr>
                <w:rFonts w:hint="default"/>
              </w:rPr>
            </w:pPr>
            <w:r>
              <w:rPr>
                <w:rFonts w:hint="default"/>
              </w:rPr>
              <w:t>92.38</w:t>
            </w:r>
          </w:p>
        </w:tc>
        <w:tc>
          <w:tcPr>
            <w:tcW w:w="765" w:type="dxa"/>
            <w:tcBorders>
              <w:tl2br w:val="nil"/>
              <w:tr2bl w:val="nil"/>
            </w:tcBorders>
            <w:shd w:val="clear" w:color="auto" w:fill="auto"/>
            <w:vAlign w:val="center"/>
          </w:tcPr>
          <w:p w:rsidR="00BC07F0" w:rsidRDefault="00073EFB">
            <w:pPr>
              <w:pStyle w:val="a7"/>
              <w:rPr>
                <w:rFonts w:hint="default"/>
              </w:rPr>
            </w:pPr>
            <w:r>
              <w:rPr>
                <w:rFonts w:hint="default"/>
              </w:rPr>
              <w:t>93.48</w:t>
            </w:r>
          </w:p>
        </w:tc>
        <w:tc>
          <w:tcPr>
            <w:tcW w:w="736" w:type="dxa"/>
            <w:tcBorders>
              <w:tl2br w:val="nil"/>
              <w:tr2bl w:val="nil"/>
            </w:tcBorders>
            <w:shd w:val="clear" w:color="auto" w:fill="auto"/>
            <w:vAlign w:val="center"/>
          </w:tcPr>
          <w:p w:rsidR="00BC07F0" w:rsidRDefault="00073EFB">
            <w:pPr>
              <w:pStyle w:val="a7"/>
              <w:rPr>
                <w:rFonts w:hint="default"/>
              </w:rPr>
            </w:pPr>
            <w:r>
              <w:rPr>
                <w:rFonts w:hint="default"/>
              </w:rPr>
              <w:t>93.98</w:t>
            </w:r>
          </w:p>
        </w:tc>
      </w:tr>
      <w:tr w:rsidR="00BC07F0">
        <w:trPr>
          <w:trHeight w:val="397"/>
        </w:trPr>
        <w:tc>
          <w:tcPr>
            <w:tcW w:w="966" w:type="dxa"/>
            <w:vMerge w:val="restart"/>
            <w:tcBorders>
              <w:tl2br w:val="nil"/>
              <w:tr2bl w:val="nil"/>
            </w:tcBorders>
            <w:shd w:val="clear" w:color="auto" w:fill="auto"/>
            <w:vAlign w:val="center"/>
          </w:tcPr>
          <w:p w:rsidR="00BC07F0" w:rsidRDefault="00073EFB">
            <w:pPr>
              <w:pStyle w:val="a7"/>
              <w:rPr>
                <w:rFonts w:hint="default"/>
              </w:rPr>
            </w:pPr>
            <w:r>
              <w:t>东洲岛安置房</w:t>
            </w:r>
          </w:p>
        </w:tc>
        <w:tc>
          <w:tcPr>
            <w:tcW w:w="885" w:type="dxa"/>
            <w:vMerge w:val="restart"/>
            <w:tcBorders>
              <w:tl2br w:val="nil"/>
              <w:tr2bl w:val="nil"/>
            </w:tcBorders>
            <w:shd w:val="clear" w:color="auto" w:fill="auto"/>
            <w:vAlign w:val="center"/>
          </w:tcPr>
          <w:p w:rsidR="00BC07F0" w:rsidRDefault="00073EFB">
            <w:pPr>
              <w:pStyle w:val="a7"/>
              <w:rPr>
                <w:rFonts w:hint="default"/>
              </w:rPr>
            </w:pPr>
            <w:r>
              <w:rPr>
                <w:rFonts w:hint="default"/>
              </w:rPr>
              <w:t>70.5</w:t>
            </w:r>
          </w:p>
        </w:tc>
        <w:tc>
          <w:tcPr>
            <w:tcW w:w="720" w:type="dxa"/>
            <w:vMerge w:val="restart"/>
            <w:tcBorders>
              <w:tl2br w:val="nil"/>
              <w:tr2bl w:val="nil"/>
            </w:tcBorders>
            <w:shd w:val="clear" w:color="auto" w:fill="auto"/>
            <w:vAlign w:val="center"/>
          </w:tcPr>
          <w:p w:rsidR="00BC07F0" w:rsidRDefault="00073EFB">
            <w:pPr>
              <w:pStyle w:val="a7"/>
              <w:rPr>
                <w:rFonts w:hint="default"/>
              </w:rPr>
            </w:pPr>
            <w:r>
              <w:rPr>
                <w:rFonts w:hint="default"/>
              </w:rPr>
              <w:t>43</w:t>
            </w:r>
          </w:p>
        </w:tc>
        <w:tc>
          <w:tcPr>
            <w:tcW w:w="720" w:type="dxa"/>
            <w:vMerge w:val="restart"/>
            <w:tcBorders>
              <w:tl2br w:val="nil"/>
              <w:tr2bl w:val="nil"/>
            </w:tcBorders>
            <w:shd w:val="clear" w:color="auto" w:fill="auto"/>
            <w:vAlign w:val="center"/>
          </w:tcPr>
          <w:p w:rsidR="00BC07F0" w:rsidRDefault="00073EFB">
            <w:pPr>
              <w:pStyle w:val="a7"/>
              <w:rPr>
                <w:rFonts w:hint="default"/>
              </w:rPr>
            </w:pPr>
            <w:r>
              <w:rPr>
                <w:rFonts w:hint="default"/>
              </w:rPr>
              <w:t>4a</w:t>
            </w:r>
            <w:r>
              <w:t>类</w:t>
            </w:r>
          </w:p>
        </w:tc>
        <w:tc>
          <w:tcPr>
            <w:tcW w:w="690" w:type="dxa"/>
            <w:tcBorders>
              <w:tl2br w:val="nil"/>
              <w:tr2bl w:val="nil"/>
            </w:tcBorders>
            <w:shd w:val="clear" w:color="auto" w:fill="auto"/>
            <w:vAlign w:val="center"/>
          </w:tcPr>
          <w:p w:rsidR="00BC07F0" w:rsidRDefault="00073EFB">
            <w:pPr>
              <w:pStyle w:val="a7"/>
              <w:rPr>
                <w:rFonts w:hint="default"/>
              </w:rPr>
            </w:pPr>
            <w:r>
              <w:t>昼间</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56.01</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56.63</w:t>
            </w:r>
          </w:p>
        </w:tc>
        <w:tc>
          <w:tcPr>
            <w:tcW w:w="735" w:type="dxa"/>
            <w:tcBorders>
              <w:tl2br w:val="nil"/>
              <w:tr2bl w:val="nil"/>
            </w:tcBorders>
            <w:shd w:val="clear" w:color="auto" w:fill="auto"/>
            <w:vAlign w:val="center"/>
          </w:tcPr>
          <w:p w:rsidR="00BC07F0" w:rsidRDefault="00073EFB">
            <w:pPr>
              <w:pStyle w:val="a7"/>
              <w:rPr>
                <w:rFonts w:hint="default"/>
              </w:rPr>
            </w:pPr>
            <w:r>
              <w:rPr>
                <w:rFonts w:hint="default"/>
              </w:rPr>
              <w:t>56.81</w:t>
            </w:r>
          </w:p>
        </w:tc>
        <w:tc>
          <w:tcPr>
            <w:tcW w:w="720" w:type="dxa"/>
            <w:tcBorders>
              <w:tl2br w:val="nil"/>
              <w:tr2bl w:val="nil"/>
            </w:tcBorders>
            <w:shd w:val="clear" w:color="auto" w:fill="auto"/>
            <w:vAlign w:val="center"/>
          </w:tcPr>
          <w:p w:rsidR="00BC07F0" w:rsidRDefault="00073EFB">
            <w:pPr>
              <w:pStyle w:val="a7"/>
              <w:rPr>
                <w:rFonts w:hint="default"/>
              </w:rPr>
            </w:pPr>
            <w:r>
              <w:rPr>
                <w:rFonts w:hint="default"/>
              </w:rPr>
              <w:t>80.02</w:t>
            </w:r>
          </w:p>
        </w:tc>
        <w:tc>
          <w:tcPr>
            <w:tcW w:w="765" w:type="dxa"/>
            <w:tcBorders>
              <w:tl2br w:val="nil"/>
              <w:tr2bl w:val="nil"/>
            </w:tcBorders>
            <w:shd w:val="clear" w:color="auto" w:fill="auto"/>
            <w:vAlign w:val="center"/>
          </w:tcPr>
          <w:p w:rsidR="00BC07F0" w:rsidRDefault="00073EFB">
            <w:pPr>
              <w:pStyle w:val="a7"/>
              <w:rPr>
                <w:rFonts w:hint="default"/>
              </w:rPr>
            </w:pPr>
            <w:r>
              <w:rPr>
                <w:rFonts w:hint="default"/>
              </w:rPr>
              <w:t>80.89</w:t>
            </w:r>
          </w:p>
        </w:tc>
        <w:tc>
          <w:tcPr>
            <w:tcW w:w="736" w:type="dxa"/>
            <w:tcBorders>
              <w:tl2br w:val="nil"/>
              <w:tr2bl w:val="nil"/>
            </w:tcBorders>
            <w:shd w:val="clear" w:color="auto" w:fill="auto"/>
            <w:vAlign w:val="center"/>
          </w:tcPr>
          <w:p w:rsidR="00BC07F0" w:rsidRDefault="00073EFB">
            <w:pPr>
              <w:pStyle w:val="a7"/>
              <w:rPr>
                <w:rFonts w:hint="default"/>
              </w:rPr>
            </w:pPr>
            <w:r>
              <w:rPr>
                <w:rFonts w:hint="default"/>
              </w:rPr>
              <w:t>81.16</w:t>
            </w:r>
          </w:p>
        </w:tc>
      </w:tr>
      <w:tr w:rsidR="00BC07F0">
        <w:trPr>
          <w:trHeight w:val="397"/>
        </w:trPr>
        <w:tc>
          <w:tcPr>
            <w:tcW w:w="966" w:type="dxa"/>
            <w:vMerge/>
            <w:tcBorders>
              <w:tl2br w:val="nil"/>
              <w:tr2bl w:val="nil"/>
            </w:tcBorders>
            <w:shd w:val="clear" w:color="auto" w:fill="auto"/>
            <w:vAlign w:val="center"/>
          </w:tcPr>
          <w:p w:rsidR="00BC07F0" w:rsidRDefault="00BC07F0">
            <w:pPr>
              <w:pStyle w:val="a7"/>
              <w:rPr>
                <w:rFonts w:hint="default"/>
              </w:rPr>
            </w:pPr>
          </w:p>
        </w:tc>
        <w:tc>
          <w:tcPr>
            <w:tcW w:w="885" w:type="dxa"/>
            <w:vMerge/>
            <w:tcBorders>
              <w:tl2br w:val="nil"/>
              <w:tr2bl w:val="nil"/>
            </w:tcBorders>
            <w:shd w:val="clear" w:color="auto" w:fill="auto"/>
            <w:vAlign w:val="center"/>
          </w:tcPr>
          <w:p w:rsidR="00BC07F0" w:rsidRDefault="00BC07F0">
            <w:pPr>
              <w:pStyle w:val="a7"/>
              <w:rPr>
                <w:rFonts w:hint="default"/>
              </w:rPr>
            </w:pPr>
          </w:p>
        </w:tc>
        <w:tc>
          <w:tcPr>
            <w:tcW w:w="720" w:type="dxa"/>
            <w:vMerge/>
            <w:tcBorders>
              <w:tl2br w:val="nil"/>
              <w:tr2bl w:val="nil"/>
            </w:tcBorders>
            <w:shd w:val="clear" w:color="auto" w:fill="auto"/>
            <w:vAlign w:val="center"/>
          </w:tcPr>
          <w:p w:rsidR="00BC07F0" w:rsidRDefault="00BC07F0">
            <w:pPr>
              <w:pStyle w:val="a7"/>
              <w:rPr>
                <w:rFonts w:hint="default"/>
              </w:rPr>
            </w:pPr>
          </w:p>
        </w:tc>
        <w:tc>
          <w:tcPr>
            <w:tcW w:w="720" w:type="dxa"/>
            <w:vMerge/>
            <w:tcBorders>
              <w:tl2br w:val="nil"/>
              <w:tr2bl w:val="nil"/>
            </w:tcBorders>
            <w:shd w:val="clear" w:color="auto" w:fill="auto"/>
            <w:vAlign w:val="center"/>
          </w:tcPr>
          <w:p w:rsidR="00BC07F0" w:rsidRDefault="00BC07F0">
            <w:pPr>
              <w:pStyle w:val="a7"/>
              <w:rPr>
                <w:rFonts w:hint="default"/>
              </w:rPr>
            </w:pPr>
          </w:p>
        </w:tc>
        <w:tc>
          <w:tcPr>
            <w:tcW w:w="690" w:type="dxa"/>
            <w:tcBorders>
              <w:tl2br w:val="nil"/>
              <w:tr2bl w:val="nil"/>
            </w:tcBorders>
            <w:shd w:val="clear" w:color="auto" w:fill="auto"/>
            <w:vAlign w:val="center"/>
          </w:tcPr>
          <w:p w:rsidR="00BC07F0" w:rsidRDefault="00073EFB">
            <w:pPr>
              <w:pStyle w:val="a7"/>
              <w:rPr>
                <w:rFonts w:hint="default"/>
              </w:rPr>
            </w:pPr>
            <w:r>
              <w:t>夜间</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46.16</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46.61</w:t>
            </w:r>
          </w:p>
        </w:tc>
        <w:tc>
          <w:tcPr>
            <w:tcW w:w="735" w:type="dxa"/>
            <w:tcBorders>
              <w:tl2br w:val="nil"/>
              <w:tr2bl w:val="nil"/>
            </w:tcBorders>
            <w:shd w:val="clear" w:color="auto" w:fill="auto"/>
            <w:vAlign w:val="center"/>
          </w:tcPr>
          <w:p w:rsidR="00BC07F0" w:rsidRDefault="00073EFB">
            <w:pPr>
              <w:pStyle w:val="a7"/>
              <w:rPr>
                <w:rFonts w:hint="default"/>
              </w:rPr>
            </w:pPr>
            <w:r>
              <w:rPr>
                <w:rFonts w:hint="default"/>
              </w:rPr>
              <w:t>46.82</w:t>
            </w:r>
          </w:p>
        </w:tc>
        <w:tc>
          <w:tcPr>
            <w:tcW w:w="720" w:type="dxa"/>
            <w:tcBorders>
              <w:tl2br w:val="nil"/>
              <w:tr2bl w:val="nil"/>
            </w:tcBorders>
            <w:shd w:val="clear" w:color="auto" w:fill="auto"/>
            <w:vAlign w:val="center"/>
          </w:tcPr>
          <w:p w:rsidR="00BC07F0" w:rsidRDefault="00073EFB">
            <w:pPr>
              <w:pStyle w:val="a7"/>
              <w:rPr>
                <w:rFonts w:hint="default"/>
              </w:rPr>
            </w:pPr>
            <w:r>
              <w:rPr>
                <w:rFonts w:hint="default"/>
              </w:rPr>
              <w:t>83.92</w:t>
            </w:r>
          </w:p>
        </w:tc>
        <w:tc>
          <w:tcPr>
            <w:tcW w:w="765" w:type="dxa"/>
            <w:tcBorders>
              <w:tl2br w:val="nil"/>
              <w:tr2bl w:val="nil"/>
            </w:tcBorders>
            <w:shd w:val="clear" w:color="auto" w:fill="auto"/>
            <w:vAlign w:val="center"/>
          </w:tcPr>
          <w:p w:rsidR="00BC07F0" w:rsidRDefault="00073EFB">
            <w:pPr>
              <w:pStyle w:val="a7"/>
              <w:rPr>
                <w:rFonts w:hint="default"/>
              </w:rPr>
            </w:pPr>
            <w:r>
              <w:rPr>
                <w:rFonts w:hint="default"/>
              </w:rPr>
              <w:t>84.75</w:t>
            </w:r>
          </w:p>
        </w:tc>
        <w:tc>
          <w:tcPr>
            <w:tcW w:w="736" w:type="dxa"/>
            <w:tcBorders>
              <w:tl2br w:val="nil"/>
              <w:tr2bl w:val="nil"/>
            </w:tcBorders>
            <w:shd w:val="clear" w:color="auto" w:fill="auto"/>
            <w:vAlign w:val="center"/>
          </w:tcPr>
          <w:p w:rsidR="00BC07F0" w:rsidRDefault="00073EFB">
            <w:pPr>
              <w:pStyle w:val="a7"/>
              <w:rPr>
                <w:rFonts w:hint="default"/>
              </w:rPr>
            </w:pPr>
            <w:r>
              <w:rPr>
                <w:rFonts w:hint="default"/>
              </w:rPr>
              <w:t>85.13</w:t>
            </w:r>
          </w:p>
        </w:tc>
      </w:tr>
      <w:tr w:rsidR="00BC07F0">
        <w:trPr>
          <w:trHeight w:val="397"/>
        </w:trPr>
        <w:tc>
          <w:tcPr>
            <w:tcW w:w="966" w:type="dxa"/>
            <w:vMerge w:val="restart"/>
            <w:tcBorders>
              <w:tl2br w:val="nil"/>
              <w:tr2bl w:val="nil"/>
            </w:tcBorders>
            <w:shd w:val="clear" w:color="auto" w:fill="auto"/>
            <w:vAlign w:val="center"/>
          </w:tcPr>
          <w:p w:rsidR="00BC07F0" w:rsidRDefault="00073EFB">
            <w:pPr>
              <w:pStyle w:val="a7"/>
              <w:rPr>
                <w:rFonts w:hint="default"/>
              </w:rPr>
            </w:pPr>
            <w:r>
              <w:t>湘江村居民自建房</w:t>
            </w:r>
          </w:p>
        </w:tc>
        <w:tc>
          <w:tcPr>
            <w:tcW w:w="885" w:type="dxa"/>
            <w:vMerge w:val="restart"/>
            <w:tcBorders>
              <w:tl2br w:val="nil"/>
              <w:tr2bl w:val="nil"/>
            </w:tcBorders>
            <w:shd w:val="clear" w:color="auto" w:fill="auto"/>
            <w:vAlign w:val="center"/>
          </w:tcPr>
          <w:p w:rsidR="00BC07F0" w:rsidRDefault="00073EFB">
            <w:pPr>
              <w:pStyle w:val="a7"/>
              <w:rPr>
                <w:rFonts w:hint="default"/>
              </w:rPr>
            </w:pPr>
            <w:r>
              <w:rPr>
                <w:rFonts w:hint="default"/>
              </w:rPr>
              <w:t>112.5</w:t>
            </w:r>
          </w:p>
        </w:tc>
        <w:tc>
          <w:tcPr>
            <w:tcW w:w="720" w:type="dxa"/>
            <w:vMerge w:val="restart"/>
            <w:tcBorders>
              <w:tl2br w:val="nil"/>
              <w:tr2bl w:val="nil"/>
            </w:tcBorders>
            <w:shd w:val="clear" w:color="auto" w:fill="auto"/>
            <w:vAlign w:val="center"/>
          </w:tcPr>
          <w:p w:rsidR="00BC07F0" w:rsidRDefault="00073EFB">
            <w:pPr>
              <w:pStyle w:val="a7"/>
              <w:rPr>
                <w:rFonts w:hint="default"/>
              </w:rPr>
            </w:pPr>
            <w:r>
              <w:rPr>
                <w:rFonts w:hint="default"/>
              </w:rPr>
              <w:t>85</w:t>
            </w:r>
          </w:p>
        </w:tc>
        <w:tc>
          <w:tcPr>
            <w:tcW w:w="720" w:type="dxa"/>
            <w:vMerge w:val="restart"/>
            <w:tcBorders>
              <w:tl2br w:val="nil"/>
              <w:tr2bl w:val="nil"/>
            </w:tcBorders>
            <w:shd w:val="clear" w:color="auto" w:fill="auto"/>
            <w:vAlign w:val="center"/>
          </w:tcPr>
          <w:p w:rsidR="00BC07F0" w:rsidRDefault="00073EFB">
            <w:pPr>
              <w:pStyle w:val="a7"/>
              <w:rPr>
                <w:rFonts w:hint="default"/>
              </w:rPr>
            </w:pPr>
            <w:r>
              <w:rPr>
                <w:rFonts w:hint="default"/>
              </w:rPr>
              <w:t>2</w:t>
            </w:r>
            <w:r>
              <w:t>类</w:t>
            </w:r>
          </w:p>
        </w:tc>
        <w:tc>
          <w:tcPr>
            <w:tcW w:w="690" w:type="dxa"/>
            <w:tcBorders>
              <w:tl2br w:val="nil"/>
              <w:tr2bl w:val="nil"/>
            </w:tcBorders>
            <w:shd w:val="clear" w:color="auto" w:fill="auto"/>
            <w:vAlign w:val="center"/>
          </w:tcPr>
          <w:p w:rsidR="00BC07F0" w:rsidRDefault="00073EFB">
            <w:pPr>
              <w:pStyle w:val="a7"/>
              <w:rPr>
                <w:rFonts w:hint="default"/>
              </w:rPr>
            </w:pPr>
            <w:r>
              <w:t>昼间</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55.96</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56.4</w:t>
            </w:r>
          </w:p>
        </w:tc>
        <w:tc>
          <w:tcPr>
            <w:tcW w:w="735" w:type="dxa"/>
            <w:tcBorders>
              <w:tl2br w:val="nil"/>
              <w:tr2bl w:val="nil"/>
            </w:tcBorders>
            <w:shd w:val="clear" w:color="auto" w:fill="auto"/>
            <w:vAlign w:val="center"/>
          </w:tcPr>
          <w:p w:rsidR="00BC07F0" w:rsidRDefault="00073EFB">
            <w:pPr>
              <w:pStyle w:val="a7"/>
              <w:rPr>
                <w:rFonts w:hint="default"/>
              </w:rPr>
            </w:pPr>
            <w:r>
              <w:rPr>
                <w:rFonts w:hint="default"/>
              </w:rPr>
              <w:t>56.54</w:t>
            </w:r>
          </w:p>
        </w:tc>
        <w:tc>
          <w:tcPr>
            <w:tcW w:w="720" w:type="dxa"/>
            <w:tcBorders>
              <w:tl2br w:val="nil"/>
              <w:tr2bl w:val="nil"/>
            </w:tcBorders>
            <w:shd w:val="clear" w:color="auto" w:fill="auto"/>
            <w:vAlign w:val="center"/>
          </w:tcPr>
          <w:p w:rsidR="00BC07F0" w:rsidRDefault="00073EFB">
            <w:pPr>
              <w:pStyle w:val="a7"/>
              <w:rPr>
                <w:rFonts w:hint="default"/>
              </w:rPr>
            </w:pPr>
            <w:r>
              <w:rPr>
                <w:rFonts w:hint="default"/>
              </w:rPr>
              <w:t>93.26</w:t>
            </w:r>
          </w:p>
        </w:tc>
        <w:tc>
          <w:tcPr>
            <w:tcW w:w="765" w:type="dxa"/>
            <w:tcBorders>
              <w:tl2br w:val="nil"/>
              <w:tr2bl w:val="nil"/>
            </w:tcBorders>
            <w:shd w:val="clear" w:color="auto" w:fill="auto"/>
            <w:vAlign w:val="center"/>
          </w:tcPr>
          <w:p w:rsidR="00BC07F0" w:rsidRDefault="00073EFB">
            <w:pPr>
              <w:pStyle w:val="a7"/>
              <w:rPr>
                <w:rFonts w:hint="default"/>
              </w:rPr>
            </w:pPr>
            <w:r>
              <w:rPr>
                <w:rFonts w:hint="default"/>
              </w:rPr>
              <w:t>90.67</w:t>
            </w:r>
          </w:p>
        </w:tc>
        <w:tc>
          <w:tcPr>
            <w:tcW w:w="736" w:type="dxa"/>
            <w:tcBorders>
              <w:tl2br w:val="nil"/>
              <w:tr2bl w:val="nil"/>
            </w:tcBorders>
            <w:shd w:val="clear" w:color="auto" w:fill="auto"/>
            <w:vAlign w:val="center"/>
          </w:tcPr>
          <w:p w:rsidR="00BC07F0" w:rsidRDefault="00073EFB">
            <w:pPr>
              <w:pStyle w:val="a7"/>
              <w:rPr>
                <w:rFonts w:hint="default"/>
              </w:rPr>
            </w:pPr>
            <w:r>
              <w:rPr>
                <w:rFonts w:hint="default"/>
              </w:rPr>
              <w:t>94.23</w:t>
            </w:r>
          </w:p>
        </w:tc>
      </w:tr>
      <w:tr w:rsidR="00BC07F0">
        <w:trPr>
          <w:trHeight w:val="397"/>
        </w:trPr>
        <w:tc>
          <w:tcPr>
            <w:tcW w:w="966" w:type="dxa"/>
            <w:vMerge/>
            <w:tcBorders>
              <w:tl2br w:val="nil"/>
              <w:tr2bl w:val="nil"/>
            </w:tcBorders>
            <w:shd w:val="clear" w:color="auto" w:fill="auto"/>
            <w:vAlign w:val="center"/>
          </w:tcPr>
          <w:p w:rsidR="00BC07F0" w:rsidRDefault="00BC07F0">
            <w:pPr>
              <w:pStyle w:val="a7"/>
              <w:rPr>
                <w:rFonts w:hint="default"/>
              </w:rPr>
            </w:pPr>
          </w:p>
        </w:tc>
        <w:tc>
          <w:tcPr>
            <w:tcW w:w="885" w:type="dxa"/>
            <w:vMerge/>
            <w:tcBorders>
              <w:tl2br w:val="nil"/>
              <w:tr2bl w:val="nil"/>
            </w:tcBorders>
            <w:shd w:val="clear" w:color="auto" w:fill="auto"/>
            <w:vAlign w:val="center"/>
          </w:tcPr>
          <w:p w:rsidR="00BC07F0" w:rsidRDefault="00BC07F0">
            <w:pPr>
              <w:pStyle w:val="a7"/>
              <w:rPr>
                <w:rFonts w:hint="default"/>
              </w:rPr>
            </w:pPr>
          </w:p>
        </w:tc>
        <w:tc>
          <w:tcPr>
            <w:tcW w:w="720" w:type="dxa"/>
            <w:vMerge/>
            <w:tcBorders>
              <w:tl2br w:val="nil"/>
              <w:tr2bl w:val="nil"/>
            </w:tcBorders>
            <w:shd w:val="clear" w:color="auto" w:fill="auto"/>
            <w:vAlign w:val="center"/>
          </w:tcPr>
          <w:p w:rsidR="00BC07F0" w:rsidRDefault="00BC07F0">
            <w:pPr>
              <w:pStyle w:val="a7"/>
              <w:rPr>
                <w:rFonts w:hint="default"/>
              </w:rPr>
            </w:pPr>
          </w:p>
        </w:tc>
        <w:tc>
          <w:tcPr>
            <w:tcW w:w="720" w:type="dxa"/>
            <w:vMerge/>
            <w:tcBorders>
              <w:tl2br w:val="nil"/>
              <w:tr2bl w:val="nil"/>
            </w:tcBorders>
            <w:shd w:val="clear" w:color="auto" w:fill="auto"/>
            <w:vAlign w:val="center"/>
          </w:tcPr>
          <w:p w:rsidR="00BC07F0" w:rsidRDefault="00BC07F0">
            <w:pPr>
              <w:pStyle w:val="a7"/>
              <w:rPr>
                <w:rFonts w:hint="default"/>
              </w:rPr>
            </w:pPr>
          </w:p>
        </w:tc>
        <w:tc>
          <w:tcPr>
            <w:tcW w:w="690" w:type="dxa"/>
            <w:tcBorders>
              <w:tl2br w:val="nil"/>
              <w:tr2bl w:val="nil"/>
            </w:tcBorders>
            <w:shd w:val="clear" w:color="auto" w:fill="auto"/>
            <w:vAlign w:val="center"/>
          </w:tcPr>
          <w:p w:rsidR="00BC07F0" w:rsidRDefault="00073EFB">
            <w:pPr>
              <w:pStyle w:val="a7"/>
              <w:rPr>
                <w:rFonts w:hint="default"/>
              </w:rPr>
            </w:pPr>
            <w:r>
              <w:t>夜间</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46.09</w:t>
            </w:r>
          </w:p>
        </w:tc>
        <w:tc>
          <w:tcPr>
            <w:tcW w:w="750" w:type="dxa"/>
            <w:tcBorders>
              <w:tl2br w:val="nil"/>
              <w:tr2bl w:val="nil"/>
            </w:tcBorders>
            <w:shd w:val="clear" w:color="auto" w:fill="auto"/>
            <w:vAlign w:val="center"/>
          </w:tcPr>
          <w:p w:rsidR="00BC07F0" w:rsidRDefault="00073EFB">
            <w:pPr>
              <w:pStyle w:val="a7"/>
              <w:rPr>
                <w:rFonts w:hint="default"/>
              </w:rPr>
            </w:pPr>
            <w:r>
              <w:rPr>
                <w:rFonts w:hint="default"/>
              </w:rPr>
              <w:t>46.34</w:t>
            </w:r>
          </w:p>
        </w:tc>
        <w:tc>
          <w:tcPr>
            <w:tcW w:w="735" w:type="dxa"/>
            <w:tcBorders>
              <w:tl2br w:val="nil"/>
              <w:tr2bl w:val="nil"/>
            </w:tcBorders>
            <w:shd w:val="clear" w:color="auto" w:fill="auto"/>
            <w:vAlign w:val="center"/>
          </w:tcPr>
          <w:p w:rsidR="00BC07F0" w:rsidRDefault="00073EFB">
            <w:pPr>
              <w:pStyle w:val="a7"/>
              <w:rPr>
                <w:rFonts w:hint="default"/>
              </w:rPr>
            </w:pPr>
            <w:r>
              <w:rPr>
                <w:rFonts w:hint="default"/>
              </w:rPr>
              <w:t>46.46</w:t>
            </w:r>
          </w:p>
        </w:tc>
        <w:tc>
          <w:tcPr>
            <w:tcW w:w="720" w:type="dxa"/>
            <w:tcBorders>
              <w:tl2br w:val="nil"/>
              <w:tr2bl w:val="nil"/>
            </w:tcBorders>
            <w:shd w:val="clear" w:color="auto" w:fill="auto"/>
            <w:vAlign w:val="center"/>
          </w:tcPr>
          <w:p w:rsidR="00BC07F0" w:rsidRDefault="00073EFB">
            <w:pPr>
              <w:pStyle w:val="a7"/>
              <w:rPr>
                <w:rFonts w:hint="default"/>
              </w:rPr>
            </w:pPr>
            <w:r>
              <w:rPr>
                <w:rFonts w:hint="default"/>
              </w:rPr>
              <w:t>92.18</w:t>
            </w:r>
          </w:p>
        </w:tc>
        <w:tc>
          <w:tcPr>
            <w:tcW w:w="765" w:type="dxa"/>
            <w:tcBorders>
              <w:tl2br w:val="nil"/>
              <w:tr2bl w:val="nil"/>
            </w:tcBorders>
            <w:shd w:val="clear" w:color="auto" w:fill="auto"/>
            <w:vAlign w:val="center"/>
          </w:tcPr>
          <w:p w:rsidR="00BC07F0" w:rsidRDefault="00073EFB">
            <w:pPr>
              <w:pStyle w:val="a7"/>
              <w:rPr>
                <w:rFonts w:hint="default"/>
              </w:rPr>
            </w:pPr>
            <w:r>
              <w:rPr>
                <w:rFonts w:hint="default"/>
              </w:rPr>
              <w:t>92.68</w:t>
            </w:r>
          </w:p>
        </w:tc>
        <w:tc>
          <w:tcPr>
            <w:tcW w:w="736" w:type="dxa"/>
            <w:tcBorders>
              <w:tl2br w:val="nil"/>
              <w:tr2bl w:val="nil"/>
            </w:tcBorders>
            <w:shd w:val="clear" w:color="auto" w:fill="auto"/>
            <w:vAlign w:val="center"/>
          </w:tcPr>
          <w:p w:rsidR="00BC07F0" w:rsidRDefault="00073EFB">
            <w:pPr>
              <w:pStyle w:val="a7"/>
              <w:rPr>
                <w:rFonts w:hint="default"/>
              </w:rPr>
            </w:pPr>
            <w:r>
              <w:rPr>
                <w:rFonts w:hint="default"/>
              </w:rPr>
              <w:t>92.92</w:t>
            </w:r>
          </w:p>
        </w:tc>
      </w:tr>
    </w:tbl>
    <w:p w:rsidR="00BC07F0" w:rsidRDefault="00073EFB" w:rsidP="00C55F5E">
      <w:pPr>
        <w:ind w:firstLine="480"/>
      </w:pPr>
      <w:r>
        <w:t>从敏感点预测结果可以得出：</w:t>
      </w:r>
    </w:p>
    <w:p w:rsidR="00BC07F0" w:rsidRDefault="00073EFB" w:rsidP="00C55F5E">
      <w:pPr>
        <w:ind w:firstLine="480"/>
      </w:pPr>
      <w:r>
        <w:t>①</w:t>
      </w:r>
      <w:r>
        <w:rPr>
          <w:rFonts w:hint="eastAsia"/>
        </w:rPr>
        <w:t>本道路</w:t>
      </w:r>
      <w:r>
        <w:t>建成通车后，随着交通量的增加，交通噪声逐年增大；随着距离公路中心线距离的加大，交通噪声逐渐减小，对环境的影响逐渐减小。</w:t>
      </w:r>
    </w:p>
    <w:p w:rsidR="00BC07F0" w:rsidRDefault="00073EFB" w:rsidP="00C55F5E">
      <w:pPr>
        <w:ind w:firstLine="480"/>
      </w:pPr>
      <w:r>
        <w:t>②</w:t>
      </w:r>
      <w:r>
        <w:t>营运期叠加背景值后，</w:t>
      </w:r>
      <w:r>
        <w:rPr>
          <w:rFonts w:hint="eastAsia"/>
        </w:rPr>
        <w:t>各</w:t>
      </w:r>
      <w:r>
        <w:t>敏感点噪声预测值</w:t>
      </w:r>
      <w:r>
        <w:rPr>
          <w:rFonts w:hint="eastAsia"/>
        </w:rPr>
        <w:t>在近中远期均</w:t>
      </w:r>
      <w:r>
        <w:rPr>
          <w:lang w:val="en-GB"/>
        </w:rPr>
        <w:t>满足《声环境质量标准》中的</w:t>
      </w:r>
      <w:r>
        <w:rPr>
          <w:lang w:val="en-GB"/>
        </w:rPr>
        <w:t>4a</w:t>
      </w:r>
      <w:r>
        <w:rPr>
          <w:lang w:val="en-GB"/>
        </w:rPr>
        <w:t>类标准要求</w:t>
      </w:r>
      <w:r>
        <w:rPr>
          <w:rFonts w:hint="eastAsia"/>
          <w:lang w:val="en-GB"/>
        </w:rPr>
        <w:t>，各敏感点噪声预测值在近中远期均满足</w:t>
      </w:r>
      <w:r>
        <w:rPr>
          <w:lang w:val="en-GB"/>
        </w:rPr>
        <w:t>《声环境质量标准》中的</w:t>
      </w:r>
      <w:r>
        <w:rPr>
          <w:rFonts w:hint="eastAsia"/>
        </w:rPr>
        <w:t>2</w:t>
      </w:r>
      <w:r>
        <w:rPr>
          <w:lang w:val="en-GB"/>
        </w:rPr>
        <w:t>类标准要求</w:t>
      </w:r>
      <w:r>
        <w:rPr>
          <w:rFonts w:hint="eastAsia"/>
          <w:lang w:val="en-GB"/>
        </w:rPr>
        <w:t>。</w:t>
      </w:r>
    </w:p>
    <w:p w:rsidR="00BC07F0" w:rsidRDefault="00073EFB">
      <w:pPr>
        <w:pStyle w:val="1"/>
      </w:pPr>
      <w:bookmarkStart w:id="136" w:name="_Toc14999"/>
      <w:bookmarkStart w:id="137" w:name="_Toc30475"/>
      <w:bookmarkStart w:id="138" w:name="_Toc18582"/>
      <w:r>
        <w:lastRenderedPageBreak/>
        <w:t>5</w:t>
      </w:r>
      <w:r>
        <w:rPr>
          <w:rFonts w:hint="eastAsia"/>
        </w:rPr>
        <w:t>环境保护措施</w:t>
      </w:r>
      <w:bookmarkEnd w:id="136"/>
      <w:bookmarkEnd w:id="137"/>
      <w:bookmarkEnd w:id="138"/>
    </w:p>
    <w:p w:rsidR="00BC07F0" w:rsidRDefault="00073EFB" w:rsidP="00C55F5E">
      <w:pPr>
        <w:pStyle w:val="2"/>
        <w:ind w:firstLine="482"/>
      </w:pPr>
      <w:bookmarkStart w:id="139" w:name="_Toc8085"/>
      <w:bookmarkStart w:id="140" w:name="_Toc10145"/>
      <w:r>
        <w:t>5.1</w:t>
      </w:r>
      <w:r>
        <w:rPr>
          <w:rFonts w:hint="eastAsia"/>
        </w:rPr>
        <w:t>施工期环境保护措施</w:t>
      </w:r>
      <w:bookmarkEnd w:id="139"/>
      <w:bookmarkEnd w:id="140"/>
    </w:p>
    <w:p w:rsidR="00BC07F0" w:rsidRDefault="00073EFB">
      <w:pPr>
        <w:widowControl/>
        <w:ind w:firstLine="482"/>
      </w:pPr>
      <w:r>
        <w:rPr>
          <w:b/>
          <w:bCs/>
          <w:kern w:val="0"/>
          <w:lang/>
        </w:rPr>
        <w:t>1</w:t>
      </w:r>
      <w:r>
        <w:rPr>
          <w:rFonts w:ascii="宋体" w:hAnsi="宋体" w:cs="宋体" w:hint="eastAsia"/>
          <w:b/>
          <w:bCs/>
          <w:kern w:val="0"/>
          <w:lang/>
        </w:rPr>
        <w:t>、施工时段控制</w:t>
      </w:r>
    </w:p>
    <w:p w:rsidR="00BC07F0" w:rsidRDefault="00073EFB" w:rsidP="00C55F5E">
      <w:pPr>
        <w:ind w:firstLine="480"/>
      </w:pPr>
      <w:r>
        <w:rPr>
          <w:rFonts w:hint="eastAsia"/>
        </w:rPr>
        <w:t>工程施工需严格控制施工时段，在中午</w:t>
      </w:r>
      <w:r>
        <w:t>12</w:t>
      </w:r>
      <w:r>
        <w:rPr>
          <w:rFonts w:hint="eastAsia"/>
        </w:rPr>
        <w:t>：</w:t>
      </w:r>
      <w:r>
        <w:t>00-14</w:t>
      </w:r>
      <w:r>
        <w:rPr>
          <w:rFonts w:hint="eastAsia"/>
        </w:rPr>
        <w:t>：</w:t>
      </w:r>
      <w:r>
        <w:t>30</w:t>
      </w:r>
      <w:r>
        <w:rPr>
          <w:rFonts w:hint="eastAsia"/>
        </w:rPr>
        <w:t>和夜间</w:t>
      </w:r>
      <w:r>
        <w:t>22</w:t>
      </w:r>
      <w:r>
        <w:rPr>
          <w:rFonts w:hint="eastAsia"/>
        </w:rPr>
        <w:t>：</w:t>
      </w:r>
      <w:r>
        <w:t>00</w:t>
      </w:r>
      <w:r>
        <w:rPr>
          <w:rFonts w:hint="eastAsia"/>
        </w:rPr>
        <w:t>至次日</w:t>
      </w:r>
      <w:r>
        <w:t>06</w:t>
      </w:r>
      <w:r>
        <w:rPr>
          <w:rFonts w:hint="eastAsia"/>
        </w:rPr>
        <w:t>：</w:t>
      </w:r>
      <w:r>
        <w:t>00</w:t>
      </w:r>
      <w:r>
        <w:rPr>
          <w:rFonts w:hint="eastAsia"/>
        </w:rPr>
        <w:t>禁止施工。尽可能集中产生较大噪声的机械进行突击作业，优化施工时间，以便缩短施工噪声的污染时间，缩小施工噪声的影响范围。如因特殊工艺要求，需连续作业，产生夜间施工噪声时，应提前对周围的居民等环境敏感点进行公告，并报请当地环境保护主管部门批准及备案，夜间施工时，应合理安排施工进度，采取隔音围护等降噪措施，尽可能减少夜间施工噪声对周围环境的影响。</w:t>
      </w:r>
    </w:p>
    <w:p w:rsidR="00BC07F0" w:rsidRDefault="00073EFB">
      <w:pPr>
        <w:widowControl/>
        <w:ind w:firstLine="482"/>
      </w:pPr>
      <w:r>
        <w:rPr>
          <w:b/>
          <w:bCs/>
          <w:kern w:val="0"/>
          <w:lang/>
        </w:rPr>
        <w:t>2</w:t>
      </w:r>
      <w:r>
        <w:rPr>
          <w:rFonts w:ascii="宋体" w:hAnsi="宋体" w:cs="宋体" w:hint="eastAsia"/>
          <w:b/>
          <w:bCs/>
          <w:kern w:val="0"/>
          <w:lang/>
        </w:rPr>
        <w:t>、施工管理措施</w:t>
      </w:r>
    </w:p>
    <w:p w:rsidR="00BC07F0" w:rsidRDefault="00073EFB" w:rsidP="00C55F5E">
      <w:pPr>
        <w:ind w:firstLine="480"/>
      </w:pPr>
      <w:r>
        <w:rPr>
          <w:rFonts w:hint="eastAsia"/>
        </w:rPr>
        <w:t>（</w:t>
      </w:r>
      <w:r>
        <w:t>1</w:t>
      </w:r>
      <w:r>
        <w:rPr>
          <w:rFonts w:hint="eastAsia"/>
        </w:rPr>
        <w:t>）施工场界设置不低于</w:t>
      </w:r>
      <w:r>
        <w:rPr>
          <w:rFonts w:hint="eastAsia"/>
        </w:rPr>
        <w:t>1.8</w:t>
      </w:r>
      <w:r>
        <w:t>m</w:t>
      </w:r>
      <w:r>
        <w:rPr>
          <w:rFonts w:hint="eastAsia"/>
        </w:rPr>
        <w:t>的围挡屏障，一定程度上减少噪声对周边敏感点的不良影响；</w:t>
      </w:r>
    </w:p>
    <w:p w:rsidR="00BC07F0" w:rsidRDefault="00073EFB" w:rsidP="00C55F5E">
      <w:pPr>
        <w:ind w:firstLine="480"/>
      </w:pPr>
      <w:r>
        <w:rPr>
          <w:rFonts w:hint="eastAsia"/>
        </w:rPr>
        <w:t>（</w:t>
      </w:r>
      <w:r>
        <w:t>2</w:t>
      </w:r>
      <w:r>
        <w:rPr>
          <w:rFonts w:hint="eastAsia"/>
        </w:rPr>
        <w:t>）</w:t>
      </w:r>
      <w:r>
        <w:t>尽量采用先进的低噪声施工机具、设备和工艺，施工</w:t>
      </w:r>
      <w:r>
        <w:t>过程中应经常对设备进行维修保养，避免由于设备故障而导致噪声增强现象的发生。</w:t>
      </w:r>
      <w:r>
        <w:rPr>
          <w:rFonts w:hint="eastAsia"/>
        </w:rPr>
        <w:t>振动较大的固定机械设备应加装减振机座，同时应注意对设备的养护和正确操作，尽量使筑路机械的噪声维持在最低声级水平。对强噪声施工机械采取临时性的噪声隔挡措施。高噪声的重型施工设备在环境敏感目标附近限制使用。</w:t>
      </w:r>
    </w:p>
    <w:p w:rsidR="00BC07F0" w:rsidRDefault="00073EFB" w:rsidP="00C55F5E">
      <w:pPr>
        <w:ind w:firstLine="480"/>
      </w:pPr>
      <w:r>
        <w:rPr>
          <w:rFonts w:hint="eastAsia"/>
        </w:rPr>
        <w:t>（</w:t>
      </w:r>
      <w:r>
        <w:t>3</w:t>
      </w:r>
      <w:r>
        <w:rPr>
          <w:rFonts w:hint="eastAsia"/>
        </w:rPr>
        <w:t>）加强对运输车辆的管理，应合理安排施工物料的运输时间，在途径沿线的居民敏感点路段时，减速慢行、禁止鸣笛。</w:t>
      </w:r>
    </w:p>
    <w:p w:rsidR="00BC07F0" w:rsidRDefault="00073EFB" w:rsidP="00C55F5E">
      <w:pPr>
        <w:ind w:firstLine="480"/>
      </w:pPr>
      <w:r>
        <w:rPr>
          <w:rFonts w:hint="eastAsia"/>
        </w:rPr>
        <w:t>（</w:t>
      </w:r>
      <w:r>
        <w:t>4</w:t>
      </w:r>
      <w:r>
        <w:rPr>
          <w:rFonts w:hint="eastAsia"/>
        </w:rPr>
        <w:t>）筑路机械施工的噪声具有突发、无规则、不连续、高强度等特点。据调查和类比分析，施工现场噪声有时超出</w:t>
      </w:r>
      <w:r>
        <w:t>4</w:t>
      </w:r>
      <w:r>
        <w:rPr>
          <w:rFonts w:hint="eastAsia"/>
        </w:rPr>
        <w:t>类噪声标准，一般可采</w:t>
      </w:r>
      <w:r>
        <w:rPr>
          <w:rFonts w:hint="eastAsia"/>
        </w:rPr>
        <w:t>取施工方法变动措施加以缓解。如噪声源强大的作业可放在昼间或对各种施工机械操作时间作适当调整。施工期间的材料运输、敲击等作为施工活动的声源，要求承包商通过文明施工，加强有效管理加以缓解。昼间施工在必要时设置移动声屏障等环保措施。</w:t>
      </w:r>
    </w:p>
    <w:p w:rsidR="00BC07F0" w:rsidRDefault="00073EFB" w:rsidP="00C55F5E">
      <w:pPr>
        <w:ind w:firstLine="480"/>
      </w:pPr>
      <w:r>
        <w:rPr>
          <w:rFonts w:hint="eastAsia"/>
        </w:rPr>
        <w:t>（</w:t>
      </w:r>
      <w:r>
        <w:t>5</w:t>
      </w:r>
      <w:r>
        <w:rPr>
          <w:rFonts w:hint="eastAsia"/>
        </w:rPr>
        <w:t>）在施工现场张贴布告和标明投诉电话，建设单位在接到报案后应及时与当地生态环境部门取得联系，以便及时处理各种环境纠纷。</w:t>
      </w:r>
    </w:p>
    <w:p w:rsidR="00BC07F0" w:rsidRDefault="00073EFB" w:rsidP="00C55F5E">
      <w:pPr>
        <w:pStyle w:val="2"/>
        <w:ind w:firstLine="482"/>
        <w:rPr>
          <w:kern w:val="0"/>
          <w:szCs w:val="24"/>
          <w:lang/>
        </w:rPr>
      </w:pPr>
      <w:bookmarkStart w:id="141" w:name="_Toc19878"/>
      <w:bookmarkStart w:id="142" w:name="_Toc32103"/>
      <w:r>
        <w:t>5.2</w:t>
      </w:r>
      <w:r>
        <w:rPr>
          <w:rFonts w:hint="eastAsia"/>
        </w:rPr>
        <w:t>运营期环境保护措施</w:t>
      </w:r>
      <w:bookmarkEnd w:id="141"/>
      <w:bookmarkEnd w:id="142"/>
    </w:p>
    <w:p w:rsidR="00BC07F0" w:rsidRDefault="00073EFB" w:rsidP="00C55F5E">
      <w:pPr>
        <w:ind w:firstLine="480"/>
      </w:pPr>
      <w:r>
        <w:rPr>
          <w:rFonts w:hint="eastAsia"/>
        </w:rPr>
        <w:t>根据项目道路沿线敏感点的分布情况及项目特点，拟采取以下减轻噪声污染</w:t>
      </w:r>
      <w:r>
        <w:rPr>
          <w:rFonts w:hint="eastAsia"/>
        </w:rPr>
        <w:lastRenderedPageBreak/>
        <w:t>的措施：</w:t>
      </w:r>
    </w:p>
    <w:p w:rsidR="00BC07F0" w:rsidRDefault="00073EFB" w:rsidP="00C55F5E">
      <w:pPr>
        <w:ind w:firstLine="480"/>
      </w:pPr>
      <w:r>
        <w:rPr>
          <w:rFonts w:hint="eastAsia"/>
        </w:rPr>
        <w:t>（</w:t>
      </w:r>
      <w:r>
        <w:rPr>
          <w:rFonts w:hint="eastAsia"/>
        </w:rPr>
        <w:t>1</w:t>
      </w:r>
      <w:r>
        <w:rPr>
          <w:rFonts w:hint="eastAsia"/>
        </w:rPr>
        <w:t>）道路设置绿化带</w:t>
      </w:r>
    </w:p>
    <w:p w:rsidR="00BC07F0" w:rsidRDefault="00073EFB" w:rsidP="00C55F5E">
      <w:pPr>
        <w:ind w:firstLine="480"/>
      </w:pPr>
      <w:r>
        <w:rPr>
          <w:rFonts w:hint="eastAsia"/>
        </w:rPr>
        <w:t>项目道路两侧拟设置人行道绿化，绿化植被</w:t>
      </w:r>
      <w:r>
        <w:rPr>
          <w:rFonts w:hint="eastAsia"/>
        </w:rPr>
        <w:t>应多选择枝繁叶茂的高大乔木，并采取多层次的立体绿化，加强绿化降噪结果。</w:t>
      </w:r>
    </w:p>
    <w:p w:rsidR="00BC07F0" w:rsidRDefault="00073EFB" w:rsidP="00C55F5E">
      <w:pPr>
        <w:ind w:firstLine="480"/>
      </w:pPr>
      <w:r>
        <w:rPr>
          <w:rFonts w:hint="eastAsia"/>
        </w:rPr>
        <w:t>（</w:t>
      </w:r>
      <w:r>
        <w:rPr>
          <w:rFonts w:hint="eastAsia"/>
        </w:rPr>
        <w:t>2</w:t>
      </w:r>
      <w:r>
        <w:rPr>
          <w:rFonts w:hint="eastAsia"/>
        </w:rPr>
        <w:t>）加强交通、车辆管理</w:t>
      </w:r>
    </w:p>
    <w:p w:rsidR="00BC07F0" w:rsidRDefault="00073EFB" w:rsidP="00C55F5E">
      <w:pPr>
        <w:ind w:firstLine="480"/>
      </w:pPr>
      <w:r>
        <w:rPr>
          <w:rFonts w:hint="eastAsia"/>
        </w:rPr>
        <w:t>加强上路车辆的管理，推广、安装效率高的汽车消声器，减少刹车，禁止破旧车辆上路，特别是夜间不能超速行驶。</w:t>
      </w:r>
    </w:p>
    <w:p w:rsidR="00BC07F0" w:rsidRDefault="00073EFB" w:rsidP="00C55F5E">
      <w:pPr>
        <w:ind w:firstLine="480"/>
      </w:pPr>
      <w:r>
        <w:rPr>
          <w:rFonts w:hint="eastAsia"/>
        </w:rPr>
        <w:t>交通管理部门宜利用交通管理手段，在居民集中区域等敏感点设置相应的标志或减速带，在敏感</w:t>
      </w:r>
      <w:r>
        <w:t>时段（</w:t>
      </w:r>
      <w:r>
        <w:t>22</w:t>
      </w:r>
      <w:r>
        <w:rPr>
          <w:rFonts w:hint="eastAsia"/>
        </w:rPr>
        <w:t>：</w:t>
      </w:r>
      <w:r>
        <w:t>00-6</w:t>
      </w:r>
      <w:r>
        <w:rPr>
          <w:rFonts w:hint="eastAsia"/>
        </w:rPr>
        <w:t>：</w:t>
      </w:r>
      <w:r>
        <w:t>00</w:t>
      </w:r>
      <w:r>
        <w:t>）通</w:t>
      </w:r>
      <w:r>
        <w:rPr>
          <w:rFonts w:hint="eastAsia"/>
        </w:rPr>
        <w:t>过采取禁鸣、限行（含禁行）等措施，控制大型货车车流量，降低交通噪声。</w:t>
      </w:r>
    </w:p>
    <w:p w:rsidR="00BC07F0" w:rsidRDefault="00073EFB" w:rsidP="00C55F5E">
      <w:pPr>
        <w:ind w:firstLine="480"/>
      </w:pPr>
      <w:r>
        <w:rPr>
          <w:rFonts w:hint="eastAsia"/>
        </w:rPr>
        <w:t>（</w:t>
      </w:r>
      <w:r>
        <w:rPr>
          <w:rFonts w:hint="eastAsia"/>
        </w:rPr>
        <w:t>3</w:t>
      </w:r>
      <w:r>
        <w:rPr>
          <w:rFonts w:hint="eastAsia"/>
        </w:rPr>
        <w:t>）加强养护路面</w:t>
      </w:r>
    </w:p>
    <w:p w:rsidR="00BC07F0" w:rsidRDefault="00073EFB" w:rsidP="00C55F5E">
      <w:pPr>
        <w:ind w:firstLine="480"/>
      </w:pPr>
      <w:r>
        <w:rPr>
          <w:rFonts w:hint="eastAsia"/>
        </w:rPr>
        <w:t>加强道路养护，减少路面破损引起的颠簸噪声，许多城市道路路面破损、缺少养护，致使车辆行驶时产生颠簸，增加行驶</w:t>
      </w:r>
      <w:r>
        <w:rPr>
          <w:rFonts w:hint="eastAsia"/>
        </w:rPr>
        <w:t>噪声。因此，加强路面养护，保持良好的路况，能有效减少道路交通噪声。</w:t>
      </w:r>
    </w:p>
    <w:p w:rsidR="00BC07F0" w:rsidRDefault="00073EFB" w:rsidP="00C55F5E">
      <w:pPr>
        <w:ind w:firstLine="480"/>
      </w:pPr>
      <w:r>
        <w:rPr>
          <w:rFonts w:hint="eastAsia"/>
        </w:rPr>
        <w:t>（</w:t>
      </w:r>
      <w:r>
        <w:rPr>
          <w:rFonts w:hint="eastAsia"/>
        </w:rPr>
        <w:t>4</w:t>
      </w:r>
      <w:r>
        <w:rPr>
          <w:rFonts w:hint="eastAsia"/>
        </w:rPr>
        <w:t>）</w:t>
      </w:r>
      <w:r>
        <w:t>跟踪监测</w:t>
      </w:r>
    </w:p>
    <w:p w:rsidR="00BC07F0" w:rsidRDefault="00073EFB" w:rsidP="00C55F5E">
      <w:pPr>
        <w:ind w:firstLine="480"/>
      </w:pPr>
      <w:r>
        <w:rPr>
          <w:rFonts w:hint="eastAsia"/>
        </w:rPr>
        <w:t>道路噪声对周边声环境的影响是受诸多因素影响的，而环境影响评价阶段的不确定性所带来的预测误差也是不可避免的，因此建设单位应落实项目投入使用后的噪声跟踪监测工作，并根据验收监测以及近期跟踪监测的结果预留后期道路噪声防治措施的必需经费，对验收监测或近期跟踪监测噪声超标的敏感点应及时进行评估并积极采取噪声防治措施（绿化及隔声门窗）。切实保障道路两侧各声环境功能区的环境质量。环境监测计划一览表见</w:t>
      </w:r>
      <w:r>
        <w:t>表</w:t>
      </w:r>
      <w:r>
        <w:t>5-1</w:t>
      </w:r>
      <w:r>
        <w:rPr>
          <w:rFonts w:hint="eastAsia"/>
        </w:rPr>
        <w:t>。</w:t>
      </w:r>
    </w:p>
    <w:p w:rsidR="00BC07F0" w:rsidRDefault="00073EFB">
      <w:pPr>
        <w:pStyle w:val="a7"/>
        <w:rPr>
          <w:rFonts w:hint="default"/>
          <w:b/>
          <w:bCs/>
        </w:rPr>
      </w:pPr>
      <w:r>
        <w:rPr>
          <w:b/>
          <w:bCs/>
        </w:rPr>
        <w:t>表</w:t>
      </w:r>
      <w:r>
        <w:rPr>
          <w:b/>
          <w:bCs/>
        </w:rPr>
        <w:t>5-1</w:t>
      </w:r>
      <w:r>
        <w:rPr>
          <w:b/>
          <w:bCs/>
        </w:rPr>
        <w:t>环境监测一览表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056"/>
        <w:gridCol w:w="1048"/>
        <w:gridCol w:w="2118"/>
        <w:gridCol w:w="1245"/>
        <w:gridCol w:w="1977"/>
      </w:tblGrid>
      <w:tr w:rsidR="00BC07F0">
        <w:trPr>
          <w:trHeight w:val="397"/>
          <w:jc w:val="center"/>
        </w:trPr>
        <w:tc>
          <w:tcPr>
            <w:tcW w:w="993" w:type="dxa"/>
            <w:vAlign w:val="center"/>
          </w:tcPr>
          <w:p w:rsidR="00BC07F0" w:rsidRDefault="00073EFB">
            <w:pPr>
              <w:pStyle w:val="a7"/>
              <w:rPr>
                <w:rFonts w:hint="default"/>
              </w:rPr>
            </w:pPr>
            <w:r>
              <w:t>阶段</w:t>
            </w:r>
          </w:p>
        </w:tc>
        <w:tc>
          <w:tcPr>
            <w:tcW w:w="1056" w:type="dxa"/>
            <w:vAlign w:val="center"/>
          </w:tcPr>
          <w:p w:rsidR="00BC07F0" w:rsidRDefault="00073EFB">
            <w:pPr>
              <w:pStyle w:val="a7"/>
              <w:rPr>
                <w:rFonts w:hint="default"/>
              </w:rPr>
            </w:pPr>
            <w:r>
              <w:t>环境要素</w:t>
            </w:r>
          </w:p>
        </w:tc>
        <w:tc>
          <w:tcPr>
            <w:tcW w:w="1048" w:type="dxa"/>
            <w:vAlign w:val="center"/>
          </w:tcPr>
          <w:p w:rsidR="00BC07F0" w:rsidRDefault="00073EFB">
            <w:pPr>
              <w:pStyle w:val="a7"/>
              <w:rPr>
                <w:rFonts w:hint="default"/>
              </w:rPr>
            </w:pPr>
            <w:r>
              <w:t>监测项目</w:t>
            </w:r>
          </w:p>
        </w:tc>
        <w:tc>
          <w:tcPr>
            <w:tcW w:w="2118" w:type="dxa"/>
            <w:vAlign w:val="center"/>
          </w:tcPr>
          <w:p w:rsidR="00BC07F0" w:rsidRDefault="00073EFB">
            <w:pPr>
              <w:pStyle w:val="a7"/>
              <w:rPr>
                <w:rFonts w:hint="default"/>
              </w:rPr>
            </w:pPr>
            <w:r>
              <w:t>监测点位</w:t>
            </w:r>
          </w:p>
        </w:tc>
        <w:tc>
          <w:tcPr>
            <w:tcW w:w="1245" w:type="dxa"/>
            <w:vAlign w:val="center"/>
          </w:tcPr>
          <w:p w:rsidR="00BC07F0" w:rsidRDefault="00073EFB">
            <w:pPr>
              <w:pStyle w:val="a7"/>
              <w:rPr>
                <w:rFonts w:hint="default"/>
              </w:rPr>
            </w:pPr>
            <w:r>
              <w:t>监测频次</w:t>
            </w:r>
          </w:p>
        </w:tc>
        <w:tc>
          <w:tcPr>
            <w:tcW w:w="1977" w:type="dxa"/>
            <w:vAlign w:val="center"/>
          </w:tcPr>
          <w:p w:rsidR="00BC07F0" w:rsidRDefault="00073EFB">
            <w:pPr>
              <w:pStyle w:val="a7"/>
              <w:rPr>
                <w:rFonts w:hint="default"/>
              </w:rPr>
            </w:pPr>
            <w:r>
              <w:t>执行标准</w:t>
            </w:r>
          </w:p>
        </w:tc>
      </w:tr>
      <w:tr w:rsidR="00BC07F0">
        <w:trPr>
          <w:trHeight w:val="397"/>
          <w:jc w:val="center"/>
        </w:trPr>
        <w:tc>
          <w:tcPr>
            <w:tcW w:w="993" w:type="dxa"/>
            <w:vMerge w:val="restart"/>
            <w:vAlign w:val="center"/>
          </w:tcPr>
          <w:p w:rsidR="00BC07F0" w:rsidRDefault="00073EFB">
            <w:pPr>
              <w:pStyle w:val="a7"/>
              <w:rPr>
                <w:rFonts w:hint="default"/>
              </w:rPr>
            </w:pPr>
            <w:r>
              <w:t>2023</w:t>
            </w:r>
            <w:r>
              <w:t>年</w:t>
            </w:r>
          </w:p>
        </w:tc>
        <w:tc>
          <w:tcPr>
            <w:tcW w:w="1056" w:type="dxa"/>
            <w:vMerge w:val="restart"/>
            <w:vAlign w:val="center"/>
          </w:tcPr>
          <w:p w:rsidR="00BC07F0" w:rsidRDefault="00073EFB">
            <w:pPr>
              <w:pStyle w:val="a7"/>
              <w:rPr>
                <w:rFonts w:hint="default"/>
              </w:rPr>
            </w:pPr>
            <w:r>
              <w:t>声环境</w:t>
            </w:r>
          </w:p>
        </w:tc>
        <w:tc>
          <w:tcPr>
            <w:tcW w:w="1048" w:type="dxa"/>
            <w:vMerge w:val="restart"/>
            <w:vAlign w:val="center"/>
          </w:tcPr>
          <w:p w:rsidR="00BC07F0" w:rsidRDefault="00073EFB">
            <w:pPr>
              <w:pStyle w:val="a7"/>
              <w:rPr>
                <w:rFonts w:hint="default"/>
              </w:rPr>
            </w:pPr>
            <w:r>
              <w:t>Laeq</w:t>
            </w:r>
          </w:p>
        </w:tc>
        <w:tc>
          <w:tcPr>
            <w:tcW w:w="2118" w:type="dxa"/>
            <w:vAlign w:val="center"/>
          </w:tcPr>
          <w:p w:rsidR="00BC07F0" w:rsidRDefault="00073EFB">
            <w:pPr>
              <w:pStyle w:val="a7"/>
              <w:rPr>
                <w:rFonts w:hint="default"/>
              </w:rPr>
            </w:pPr>
            <w:r>
              <w:t>白沙洲安置房</w:t>
            </w:r>
          </w:p>
        </w:tc>
        <w:tc>
          <w:tcPr>
            <w:tcW w:w="1245" w:type="dxa"/>
            <w:vMerge w:val="restart"/>
            <w:vAlign w:val="center"/>
          </w:tcPr>
          <w:p w:rsidR="00BC07F0" w:rsidRDefault="00073EFB">
            <w:pPr>
              <w:pStyle w:val="a7"/>
              <w:rPr>
                <w:rFonts w:hint="default"/>
              </w:rPr>
            </w:pPr>
            <w:r>
              <w:t>1</w:t>
            </w:r>
            <w:r>
              <w:t>次</w:t>
            </w:r>
            <w:r>
              <w:t>/</w:t>
            </w:r>
            <w:r>
              <w:t>年</w:t>
            </w:r>
          </w:p>
        </w:tc>
        <w:tc>
          <w:tcPr>
            <w:tcW w:w="1977" w:type="dxa"/>
            <w:vMerge w:val="restart"/>
            <w:vAlign w:val="center"/>
          </w:tcPr>
          <w:p w:rsidR="00BC07F0" w:rsidRDefault="00073EFB">
            <w:pPr>
              <w:pStyle w:val="a7"/>
              <w:rPr>
                <w:rFonts w:hint="default"/>
              </w:rPr>
            </w:pPr>
            <w:r>
              <w:t>《声环境质量标准》（</w:t>
            </w:r>
            <w:r>
              <w:t>GB3096-2008</w:t>
            </w:r>
            <w:r>
              <w:t>）</w:t>
            </w:r>
            <w:r>
              <w:t>2</w:t>
            </w:r>
            <w:r>
              <w:t>类</w:t>
            </w:r>
          </w:p>
        </w:tc>
      </w:tr>
      <w:tr w:rsidR="00BC07F0">
        <w:trPr>
          <w:trHeight w:val="397"/>
          <w:jc w:val="center"/>
        </w:trPr>
        <w:tc>
          <w:tcPr>
            <w:tcW w:w="993" w:type="dxa"/>
            <w:vMerge/>
            <w:vAlign w:val="center"/>
          </w:tcPr>
          <w:p w:rsidR="00BC07F0" w:rsidRDefault="00BC07F0">
            <w:pPr>
              <w:pStyle w:val="a7"/>
              <w:rPr>
                <w:rFonts w:hint="default"/>
              </w:rPr>
            </w:pPr>
          </w:p>
        </w:tc>
        <w:tc>
          <w:tcPr>
            <w:tcW w:w="1056" w:type="dxa"/>
            <w:vMerge/>
            <w:vAlign w:val="center"/>
          </w:tcPr>
          <w:p w:rsidR="00BC07F0" w:rsidRDefault="00BC07F0">
            <w:pPr>
              <w:pStyle w:val="a7"/>
              <w:rPr>
                <w:rFonts w:hint="default"/>
              </w:rPr>
            </w:pPr>
          </w:p>
        </w:tc>
        <w:tc>
          <w:tcPr>
            <w:tcW w:w="1048" w:type="dxa"/>
            <w:vMerge/>
            <w:vAlign w:val="center"/>
          </w:tcPr>
          <w:p w:rsidR="00BC07F0" w:rsidRDefault="00BC07F0">
            <w:pPr>
              <w:pStyle w:val="a7"/>
              <w:rPr>
                <w:rFonts w:hint="default"/>
              </w:rPr>
            </w:pPr>
          </w:p>
        </w:tc>
        <w:tc>
          <w:tcPr>
            <w:tcW w:w="2118" w:type="dxa"/>
            <w:vAlign w:val="center"/>
          </w:tcPr>
          <w:p w:rsidR="00BC07F0" w:rsidRDefault="00073EFB">
            <w:pPr>
              <w:pStyle w:val="a7"/>
              <w:rPr>
                <w:rFonts w:hint="default"/>
              </w:rPr>
            </w:pPr>
            <w:r>
              <w:t>白沙村居民自建房</w:t>
            </w:r>
          </w:p>
        </w:tc>
        <w:tc>
          <w:tcPr>
            <w:tcW w:w="1245" w:type="dxa"/>
            <w:vMerge/>
            <w:vAlign w:val="center"/>
          </w:tcPr>
          <w:p w:rsidR="00BC07F0" w:rsidRDefault="00BC07F0">
            <w:pPr>
              <w:pStyle w:val="a7"/>
              <w:rPr>
                <w:rFonts w:hint="default"/>
              </w:rPr>
            </w:pPr>
          </w:p>
        </w:tc>
        <w:tc>
          <w:tcPr>
            <w:tcW w:w="1977" w:type="dxa"/>
            <w:vMerge/>
            <w:vAlign w:val="center"/>
          </w:tcPr>
          <w:p w:rsidR="00BC07F0" w:rsidRDefault="00BC07F0">
            <w:pPr>
              <w:pStyle w:val="a7"/>
              <w:rPr>
                <w:rFonts w:hint="default"/>
              </w:rPr>
            </w:pPr>
          </w:p>
        </w:tc>
      </w:tr>
      <w:tr w:rsidR="00BC07F0">
        <w:trPr>
          <w:trHeight w:val="397"/>
          <w:jc w:val="center"/>
        </w:trPr>
        <w:tc>
          <w:tcPr>
            <w:tcW w:w="993" w:type="dxa"/>
            <w:vMerge/>
            <w:vAlign w:val="center"/>
          </w:tcPr>
          <w:p w:rsidR="00BC07F0" w:rsidRDefault="00BC07F0">
            <w:pPr>
              <w:pStyle w:val="a7"/>
              <w:rPr>
                <w:rFonts w:hint="default"/>
              </w:rPr>
            </w:pPr>
          </w:p>
        </w:tc>
        <w:tc>
          <w:tcPr>
            <w:tcW w:w="1056" w:type="dxa"/>
            <w:vMerge/>
            <w:vAlign w:val="center"/>
          </w:tcPr>
          <w:p w:rsidR="00BC07F0" w:rsidRDefault="00BC07F0">
            <w:pPr>
              <w:pStyle w:val="a7"/>
              <w:rPr>
                <w:rFonts w:hint="default"/>
              </w:rPr>
            </w:pPr>
          </w:p>
        </w:tc>
        <w:tc>
          <w:tcPr>
            <w:tcW w:w="1048" w:type="dxa"/>
            <w:vMerge/>
            <w:vAlign w:val="center"/>
          </w:tcPr>
          <w:p w:rsidR="00BC07F0" w:rsidRDefault="00BC07F0">
            <w:pPr>
              <w:pStyle w:val="a7"/>
              <w:rPr>
                <w:rFonts w:hint="default"/>
              </w:rPr>
            </w:pPr>
          </w:p>
        </w:tc>
        <w:tc>
          <w:tcPr>
            <w:tcW w:w="2118" w:type="dxa"/>
            <w:vAlign w:val="center"/>
          </w:tcPr>
          <w:p w:rsidR="00BC07F0" w:rsidRDefault="00073EFB">
            <w:pPr>
              <w:pStyle w:val="a7"/>
              <w:rPr>
                <w:rFonts w:hint="default"/>
              </w:rPr>
            </w:pPr>
            <w:r>
              <w:t>东洲岛安置房</w:t>
            </w:r>
          </w:p>
        </w:tc>
        <w:tc>
          <w:tcPr>
            <w:tcW w:w="1245" w:type="dxa"/>
            <w:vMerge/>
            <w:vAlign w:val="center"/>
          </w:tcPr>
          <w:p w:rsidR="00BC07F0" w:rsidRDefault="00BC07F0">
            <w:pPr>
              <w:pStyle w:val="a7"/>
              <w:rPr>
                <w:rFonts w:hint="default"/>
              </w:rPr>
            </w:pPr>
          </w:p>
        </w:tc>
        <w:tc>
          <w:tcPr>
            <w:tcW w:w="1977" w:type="dxa"/>
            <w:vMerge/>
            <w:vAlign w:val="center"/>
          </w:tcPr>
          <w:p w:rsidR="00BC07F0" w:rsidRDefault="00BC07F0">
            <w:pPr>
              <w:pStyle w:val="a7"/>
              <w:rPr>
                <w:rFonts w:hint="default"/>
              </w:rPr>
            </w:pPr>
          </w:p>
        </w:tc>
      </w:tr>
      <w:tr w:rsidR="00BC07F0">
        <w:trPr>
          <w:trHeight w:val="397"/>
          <w:jc w:val="center"/>
        </w:trPr>
        <w:tc>
          <w:tcPr>
            <w:tcW w:w="993" w:type="dxa"/>
            <w:vMerge/>
            <w:vAlign w:val="center"/>
          </w:tcPr>
          <w:p w:rsidR="00BC07F0" w:rsidRDefault="00BC07F0">
            <w:pPr>
              <w:pStyle w:val="a7"/>
              <w:rPr>
                <w:rFonts w:hint="default"/>
              </w:rPr>
            </w:pPr>
          </w:p>
        </w:tc>
        <w:tc>
          <w:tcPr>
            <w:tcW w:w="1056" w:type="dxa"/>
            <w:vMerge/>
            <w:vAlign w:val="center"/>
          </w:tcPr>
          <w:p w:rsidR="00BC07F0" w:rsidRDefault="00BC07F0">
            <w:pPr>
              <w:pStyle w:val="a7"/>
              <w:rPr>
                <w:rFonts w:hint="default"/>
              </w:rPr>
            </w:pPr>
          </w:p>
        </w:tc>
        <w:tc>
          <w:tcPr>
            <w:tcW w:w="1048" w:type="dxa"/>
            <w:vMerge/>
            <w:vAlign w:val="center"/>
          </w:tcPr>
          <w:p w:rsidR="00BC07F0" w:rsidRDefault="00BC07F0">
            <w:pPr>
              <w:pStyle w:val="a7"/>
              <w:rPr>
                <w:rFonts w:hint="default"/>
              </w:rPr>
            </w:pPr>
          </w:p>
        </w:tc>
        <w:tc>
          <w:tcPr>
            <w:tcW w:w="2118" w:type="dxa"/>
            <w:vAlign w:val="center"/>
          </w:tcPr>
          <w:p w:rsidR="00BC07F0" w:rsidRDefault="00073EFB">
            <w:pPr>
              <w:pStyle w:val="a7"/>
              <w:rPr>
                <w:rFonts w:hint="default"/>
              </w:rPr>
            </w:pPr>
            <w:r>
              <w:t>湘江村居民自建房</w:t>
            </w:r>
          </w:p>
        </w:tc>
        <w:tc>
          <w:tcPr>
            <w:tcW w:w="1245" w:type="dxa"/>
            <w:vMerge/>
            <w:vAlign w:val="center"/>
          </w:tcPr>
          <w:p w:rsidR="00BC07F0" w:rsidRDefault="00BC07F0">
            <w:pPr>
              <w:pStyle w:val="a7"/>
              <w:rPr>
                <w:rFonts w:hint="default"/>
              </w:rPr>
            </w:pPr>
          </w:p>
        </w:tc>
        <w:tc>
          <w:tcPr>
            <w:tcW w:w="1977" w:type="dxa"/>
            <w:vMerge/>
            <w:vAlign w:val="center"/>
          </w:tcPr>
          <w:p w:rsidR="00BC07F0" w:rsidRDefault="00BC07F0">
            <w:pPr>
              <w:pStyle w:val="a7"/>
              <w:rPr>
                <w:rFonts w:hint="default"/>
              </w:rPr>
            </w:pPr>
          </w:p>
        </w:tc>
      </w:tr>
      <w:tr w:rsidR="00BC07F0">
        <w:trPr>
          <w:trHeight w:val="397"/>
          <w:jc w:val="center"/>
        </w:trPr>
        <w:tc>
          <w:tcPr>
            <w:tcW w:w="993" w:type="dxa"/>
            <w:vMerge w:val="restart"/>
            <w:vAlign w:val="center"/>
          </w:tcPr>
          <w:p w:rsidR="00BC07F0" w:rsidRDefault="00073EFB">
            <w:pPr>
              <w:pStyle w:val="a7"/>
              <w:rPr>
                <w:rFonts w:hint="default"/>
              </w:rPr>
            </w:pPr>
            <w:r>
              <w:t>2027</w:t>
            </w:r>
            <w:r>
              <w:t>年</w:t>
            </w:r>
          </w:p>
        </w:tc>
        <w:tc>
          <w:tcPr>
            <w:tcW w:w="1056" w:type="dxa"/>
            <w:vMerge w:val="restart"/>
            <w:vAlign w:val="center"/>
          </w:tcPr>
          <w:p w:rsidR="00BC07F0" w:rsidRDefault="00073EFB">
            <w:pPr>
              <w:pStyle w:val="a7"/>
              <w:rPr>
                <w:rFonts w:hint="default"/>
              </w:rPr>
            </w:pPr>
            <w:r>
              <w:t>声环境</w:t>
            </w:r>
          </w:p>
        </w:tc>
        <w:tc>
          <w:tcPr>
            <w:tcW w:w="1048" w:type="dxa"/>
            <w:vMerge w:val="restart"/>
            <w:vAlign w:val="center"/>
          </w:tcPr>
          <w:p w:rsidR="00BC07F0" w:rsidRDefault="00073EFB">
            <w:pPr>
              <w:pStyle w:val="a7"/>
              <w:rPr>
                <w:rFonts w:hint="default"/>
              </w:rPr>
            </w:pPr>
            <w:r>
              <w:t>Laeq</w:t>
            </w:r>
          </w:p>
        </w:tc>
        <w:tc>
          <w:tcPr>
            <w:tcW w:w="2118" w:type="dxa"/>
            <w:vAlign w:val="center"/>
          </w:tcPr>
          <w:p w:rsidR="00BC07F0" w:rsidRDefault="00073EFB">
            <w:pPr>
              <w:pStyle w:val="a7"/>
              <w:rPr>
                <w:rFonts w:hint="default"/>
              </w:rPr>
            </w:pPr>
            <w:r>
              <w:t>白沙洲安置房</w:t>
            </w:r>
          </w:p>
        </w:tc>
        <w:tc>
          <w:tcPr>
            <w:tcW w:w="1245" w:type="dxa"/>
            <w:vMerge w:val="restart"/>
            <w:vAlign w:val="center"/>
          </w:tcPr>
          <w:p w:rsidR="00BC07F0" w:rsidRDefault="00073EFB">
            <w:pPr>
              <w:pStyle w:val="a7"/>
              <w:rPr>
                <w:rFonts w:hint="default"/>
              </w:rPr>
            </w:pPr>
            <w:r>
              <w:t>1</w:t>
            </w:r>
            <w:r>
              <w:t>次</w:t>
            </w:r>
            <w:r>
              <w:t>/</w:t>
            </w:r>
            <w:r>
              <w:t>年</w:t>
            </w:r>
          </w:p>
        </w:tc>
        <w:tc>
          <w:tcPr>
            <w:tcW w:w="1977" w:type="dxa"/>
            <w:vMerge w:val="restart"/>
            <w:vAlign w:val="center"/>
          </w:tcPr>
          <w:p w:rsidR="00BC07F0" w:rsidRDefault="00073EFB">
            <w:pPr>
              <w:pStyle w:val="a7"/>
              <w:rPr>
                <w:rFonts w:hint="default"/>
              </w:rPr>
            </w:pPr>
            <w:r>
              <w:t>《声环境质量标准》（</w:t>
            </w:r>
            <w:r>
              <w:t>GB3096-2008</w:t>
            </w:r>
            <w:r>
              <w:t>）</w:t>
            </w:r>
            <w:r>
              <w:t>2</w:t>
            </w:r>
            <w:r>
              <w:t>类</w:t>
            </w:r>
          </w:p>
        </w:tc>
      </w:tr>
      <w:tr w:rsidR="00BC07F0">
        <w:trPr>
          <w:trHeight w:val="397"/>
          <w:jc w:val="center"/>
        </w:trPr>
        <w:tc>
          <w:tcPr>
            <w:tcW w:w="993" w:type="dxa"/>
            <w:vMerge/>
            <w:vAlign w:val="center"/>
          </w:tcPr>
          <w:p w:rsidR="00BC07F0" w:rsidRDefault="00BC07F0">
            <w:pPr>
              <w:pStyle w:val="a7"/>
              <w:rPr>
                <w:rFonts w:hint="default"/>
              </w:rPr>
            </w:pPr>
          </w:p>
        </w:tc>
        <w:tc>
          <w:tcPr>
            <w:tcW w:w="1056" w:type="dxa"/>
            <w:vMerge/>
            <w:vAlign w:val="center"/>
          </w:tcPr>
          <w:p w:rsidR="00BC07F0" w:rsidRDefault="00BC07F0">
            <w:pPr>
              <w:pStyle w:val="a7"/>
              <w:rPr>
                <w:rFonts w:hint="default"/>
              </w:rPr>
            </w:pPr>
          </w:p>
        </w:tc>
        <w:tc>
          <w:tcPr>
            <w:tcW w:w="1048" w:type="dxa"/>
            <w:vMerge/>
            <w:vAlign w:val="center"/>
          </w:tcPr>
          <w:p w:rsidR="00BC07F0" w:rsidRDefault="00BC07F0">
            <w:pPr>
              <w:pStyle w:val="a7"/>
              <w:rPr>
                <w:rFonts w:hint="default"/>
              </w:rPr>
            </w:pPr>
          </w:p>
        </w:tc>
        <w:tc>
          <w:tcPr>
            <w:tcW w:w="2118" w:type="dxa"/>
            <w:vAlign w:val="center"/>
          </w:tcPr>
          <w:p w:rsidR="00BC07F0" w:rsidRDefault="00073EFB">
            <w:pPr>
              <w:pStyle w:val="a7"/>
              <w:rPr>
                <w:rFonts w:hint="default"/>
              </w:rPr>
            </w:pPr>
            <w:r>
              <w:t>白沙村居民自建房</w:t>
            </w:r>
          </w:p>
        </w:tc>
        <w:tc>
          <w:tcPr>
            <w:tcW w:w="1245" w:type="dxa"/>
            <w:vMerge/>
            <w:vAlign w:val="center"/>
          </w:tcPr>
          <w:p w:rsidR="00BC07F0" w:rsidRDefault="00BC07F0">
            <w:pPr>
              <w:pStyle w:val="a7"/>
              <w:rPr>
                <w:rFonts w:hint="default"/>
              </w:rPr>
            </w:pPr>
          </w:p>
        </w:tc>
        <w:tc>
          <w:tcPr>
            <w:tcW w:w="1977" w:type="dxa"/>
            <w:vMerge/>
            <w:vAlign w:val="center"/>
          </w:tcPr>
          <w:p w:rsidR="00BC07F0" w:rsidRDefault="00BC07F0">
            <w:pPr>
              <w:pStyle w:val="a7"/>
              <w:rPr>
                <w:rFonts w:hint="default"/>
              </w:rPr>
            </w:pPr>
          </w:p>
        </w:tc>
      </w:tr>
      <w:tr w:rsidR="00BC07F0">
        <w:trPr>
          <w:trHeight w:val="397"/>
          <w:jc w:val="center"/>
        </w:trPr>
        <w:tc>
          <w:tcPr>
            <w:tcW w:w="993" w:type="dxa"/>
            <w:vMerge/>
          </w:tcPr>
          <w:p w:rsidR="00BC07F0" w:rsidRDefault="00BC07F0">
            <w:pPr>
              <w:pStyle w:val="a7"/>
              <w:rPr>
                <w:rFonts w:hint="default"/>
              </w:rPr>
            </w:pPr>
          </w:p>
        </w:tc>
        <w:tc>
          <w:tcPr>
            <w:tcW w:w="1056" w:type="dxa"/>
            <w:vMerge/>
          </w:tcPr>
          <w:p w:rsidR="00BC07F0" w:rsidRDefault="00BC07F0">
            <w:pPr>
              <w:pStyle w:val="a7"/>
              <w:rPr>
                <w:rFonts w:hint="default"/>
              </w:rPr>
            </w:pPr>
          </w:p>
        </w:tc>
        <w:tc>
          <w:tcPr>
            <w:tcW w:w="1048" w:type="dxa"/>
            <w:vMerge/>
          </w:tcPr>
          <w:p w:rsidR="00BC07F0" w:rsidRDefault="00BC07F0">
            <w:pPr>
              <w:pStyle w:val="a7"/>
              <w:rPr>
                <w:rFonts w:hint="default"/>
              </w:rPr>
            </w:pPr>
          </w:p>
        </w:tc>
        <w:tc>
          <w:tcPr>
            <w:tcW w:w="2118" w:type="dxa"/>
            <w:vAlign w:val="center"/>
          </w:tcPr>
          <w:p w:rsidR="00BC07F0" w:rsidRDefault="00073EFB">
            <w:pPr>
              <w:pStyle w:val="a7"/>
              <w:rPr>
                <w:rFonts w:hint="default"/>
              </w:rPr>
            </w:pPr>
            <w:r>
              <w:t>东洲岛安置房</w:t>
            </w:r>
          </w:p>
        </w:tc>
        <w:tc>
          <w:tcPr>
            <w:tcW w:w="1245" w:type="dxa"/>
            <w:vMerge/>
          </w:tcPr>
          <w:p w:rsidR="00BC07F0" w:rsidRDefault="00BC07F0">
            <w:pPr>
              <w:pStyle w:val="a7"/>
              <w:rPr>
                <w:rFonts w:hint="default"/>
              </w:rPr>
            </w:pPr>
          </w:p>
        </w:tc>
        <w:tc>
          <w:tcPr>
            <w:tcW w:w="1977" w:type="dxa"/>
            <w:vMerge/>
          </w:tcPr>
          <w:p w:rsidR="00BC07F0" w:rsidRDefault="00BC07F0">
            <w:pPr>
              <w:pStyle w:val="a7"/>
              <w:rPr>
                <w:rFonts w:hint="default"/>
              </w:rPr>
            </w:pPr>
          </w:p>
        </w:tc>
      </w:tr>
      <w:tr w:rsidR="00BC07F0">
        <w:trPr>
          <w:trHeight w:val="397"/>
          <w:jc w:val="center"/>
        </w:trPr>
        <w:tc>
          <w:tcPr>
            <w:tcW w:w="993" w:type="dxa"/>
            <w:vMerge/>
          </w:tcPr>
          <w:p w:rsidR="00BC07F0" w:rsidRDefault="00BC07F0">
            <w:pPr>
              <w:pStyle w:val="a7"/>
              <w:rPr>
                <w:rFonts w:hint="default"/>
              </w:rPr>
            </w:pPr>
          </w:p>
        </w:tc>
        <w:tc>
          <w:tcPr>
            <w:tcW w:w="1056" w:type="dxa"/>
            <w:vMerge/>
          </w:tcPr>
          <w:p w:rsidR="00BC07F0" w:rsidRDefault="00BC07F0">
            <w:pPr>
              <w:pStyle w:val="a7"/>
              <w:rPr>
                <w:rFonts w:hint="default"/>
              </w:rPr>
            </w:pPr>
          </w:p>
        </w:tc>
        <w:tc>
          <w:tcPr>
            <w:tcW w:w="1048" w:type="dxa"/>
            <w:vMerge/>
          </w:tcPr>
          <w:p w:rsidR="00BC07F0" w:rsidRDefault="00BC07F0">
            <w:pPr>
              <w:pStyle w:val="a7"/>
              <w:rPr>
                <w:rFonts w:hint="default"/>
              </w:rPr>
            </w:pPr>
          </w:p>
        </w:tc>
        <w:tc>
          <w:tcPr>
            <w:tcW w:w="2118" w:type="dxa"/>
            <w:vAlign w:val="center"/>
          </w:tcPr>
          <w:p w:rsidR="00BC07F0" w:rsidRDefault="00073EFB">
            <w:pPr>
              <w:pStyle w:val="a7"/>
              <w:rPr>
                <w:rFonts w:hint="default"/>
              </w:rPr>
            </w:pPr>
            <w:r>
              <w:t>湘江村居民自建房</w:t>
            </w:r>
          </w:p>
        </w:tc>
        <w:tc>
          <w:tcPr>
            <w:tcW w:w="1245" w:type="dxa"/>
            <w:vMerge/>
          </w:tcPr>
          <w:p w:rsidR="00BC07F0" w:rsidRDefault="00BC07F0">
            <w:pPr>
              <w:pStyle w:val="a7"/>
              <w:rPr>
                <w:rFonts w:hint="default"/>
              </w:rPr>
            </w:pPr>
          </w:p>
        </w:tc>
        <w:tc>
          <w:tcPr>
            <w:tcW w:w="1977" w:type="dxa"/>
            <w:vMerge/>
          </w:tcPr>
          <w:p w:rsidR="00BC07F0" w:rsidRDefault="00BC07F0">
            <w:pPr>
              <w:pStyle w:val="a7"/>
              <w:rPr>
                <w:rFonts w:hint="default"/>
              </w:rPr>
            </w:pPr>
          </w:p>
        </w:tc>
      </w:tr>
      <w:tr w:rsidR="00BC07F0">
        <w:trPr>
          <w:trHeight w:val="397"/>
          <w:jc w:val="center"/>
        </w:trPr>
        <w:tc>
          <w:tcPr>
            <w:tcW w:w="993" w:type="dxa"/>
            <w:vMerge w:val="restart"/>
            <w:vAlign w:val="center"/>
          </w:tcPr>
          <w:p w:rsidR="00BC07F0" w:rsidRDefault="00073EFB">
            <w:pPr>
              <w:pStyle w:val="a7"/>
              <w:rPr>
                <w:rFonts w:hint="default"/>
              </w:rPr>
            </w:pPr>
            <w:r>
              <w:lastRenderedPageBreak/>
              <w:t>2032</w:t>
            </w:r>
            <w:r>
              <w:t>年</w:t>
            </w:r>
          </w:p>
        </w:tc>
        <w:tc>
          <w:tcPr>
            <w:tcW w:w="1056" w:type="dxa"/>
            <w:vMerge w:val="restart"/>
            <w:vAlign w:val="center"/>
          </w:tcPr>
          <w:p w:rsidR="00BC07F0" w:rsidRDefault="00073EFB">
            <w:pPr>
              <w:pStyle w:val="a7"/>
              <w:rPr>
                <w:rFonts w:hint="default"/>
              </w:rPr>
            </w:pPr>
            <w:r>
              <w:t>声环境</w:t>
            </w:r>
          </w:p>
        </w:tc>
        <w:tc>
          <w:tcPr>
            <w:tcW w:w="1048" w:type="dxa"/>
            <w:vMerge w:val="restart"/>
            <w:vAlign w:val="center"/>
          </w:tcPr>
          <w:p w:rsidR="00BC07F0" w:rsidRDefault="00073EFB">
            <w:pPr>
              <w:pStyle w:val="a7"/>
              <w:rPr>
                <w:rFonts w:hint="default"/>
              </w:rPr>
            </w:pPr>
            <w:r>
              <w:t>Laeq</w:t>
            </w:r>
          </w:p>
        </w:tc>
        <w:tc>
          <w:tcPr>
            <w:tcW w:w="2118" w:type="dxa"/>
            <w:vAlign w:val="center"/>
          </w:tcPr>
          <w:p w:rsidR="00BC07F0" w:rsidRDefault="00073EFB">
            <w:pPr>
              <w:pStyle w:val="a7"/>
              <w:rPr>
                <w:rFonts w:hint="default"/>
              </w:rPr>
            </w:pPr>
            <w:r>
              <w:t>梓湖馨苑小区</w:t>
            </w:r>
            <w:r>
              <w:t>1</w:t>
            </w:r>
          </w:p>
        </w:tc>
        <w:tc>
          <w:tcPr>
            <w:tcW w:w="1245" w:type="dxa"/>
            <w:vMerge w:val="restart"/>
            <w:vAlign w:val="center"/>
          </w:tcPr>
          <w:p w:rsidR="00BC07F0" w:rsidRDefault="00073EFB">
            <w:pPr>
              <w:pStyle w:val="a7"/>
              <w:rPr>
                <w:rFonts w:hint="default"/>
              </w:rPr>
            </w:pPr>
            <w:r>
              <w:t>1</w:t>
            </w:r>
            <w:r>
              <w:t>次</w:t>
            </w:r>
            <w:r>
              <w:t>/</w:t>
            </w:r>
            <w:r>
              <w:t>年</w:t>
            </w:r>
          </w:p>
        </w:tc>
        <w:tc>
          <w:tcPr>
            <w:tcW w:w="1977" w:type="dxa"/>
            <w:vAlign w:val="center"/>
          </w:tcPr>
          <w:p w:rsidR="00BC07F0" w:rsidRDefault="00073EFB">
            <w:pPr>
              <w:pStyle w:val="a7"/>
              <w:rPr>
                <w:rFonts w:hint="default"/>
              </w:rPr>
            </w:pPr>
            <w:r>
              <w:t>《声环境质量标准》（</w:t>
            </w:r>
            <w:r>
              <w:t>GB3096-2008</w:t>
            </w:r>
            <w:r>
              <w:t>）</w:t>
            </w:r>
            <w:r>
              <w:t>4a</w:t>
            </w:r>
            <w:r>
              <w:t>类</w:t>
            </w:r>
          </w:p>
        </w:tc>
      </w:tr>
      <w:tr w:rsidR="00BC07F0">
        <w:trPr>
          <w:trHeight w:val="397"/>
          <w:jc w:val="center"/>
        </w:trPr>
        <w:tc>
          <w:tcPr>
            <w:tcW w:w="993" w:type="dxa"/>
            <w:vMerge/>
            <w:vAlign w:val="center"/>
          </w:tcPr>
          <w:p w:rsidR="00BC07F0" w:rsidRDefault="00BC07F0">
            <w:pPr>
              <w:pStyle w:val="a7"/>
              <w:rPr>
                <w:rFonts w:hint="default"/>
              </w:rPr>
            </w:pPr>
          </w:p>
        </w:tc>
        <w:tc>
          <w:tcPr>
            <w:tcW w:w="1056" w:type="dxa"/>
            <w:vMerge/>
            <w:vAlign w:val="center"/>
          </w:tcPr>
          <w:p w:rsidR="00BC07F0" w:rsidRDefault="00BC07F0">
            <w:pPr>
              <w:pStyle w:val="a7"/>
              <w:rPr>
                <w:rFonts w:hint="default"/>
              </w:rPr>
            </w:pPr>
          </w:p>
        </w:tc>
        <w:tc>
          <w:tcPr>
            <w:tcW w:w="1048" w:type="dxa"/>
            <w:vMerge/>
            <w:vAlign w:val="center"/>
          </w:tcPr>
          <w:p w:rsidR="00BC07F0" w:rsidRDefault="00BC07F0">
            <w:pPr>
              <w:pStyle w:val="a7"/>
              <w:rPr>
                <w:rFonts w:hint="default"/>
              </w:rPr>
            </w:pPr>
          </w:p>
        </w:tc>
        <w:tc>
          <w:tcPr>
            <w:tcW w:w="2118" w:type="dxa"/>
            <w:vAlign w:val="center"/>
          </w:tcPr>
          <w:p w:rsidR="00BC07F0" w:rsidRDefault="00073EFB">
            <w:pPr>
              <w:pStyle w:val="a7"/>
              <w:rPr>
                <w:rFonts w:hint="default"/>
              </w:rPr>
            </w:pPr>
            <w:r>
              <w:t>白沙洲安置房</w:t>
            </w:r>
          </w:p>
        </w:tc>
        <w:tc>
          <w:tcPr>
            <w:tcW w:w="1245" w:type="dxa"/>
            <w:vMerge/>
            <w:vAlign w:val="center"/>
          </w:tcPr>
          <w:p w:rsidR="00BC07F0" w:rsidRDefault="00BC07F0">
            <w:pPr>
              <w:pStyle w:val="a7"/>
              <w:rPr>
                <w:rFonts w:hint="default"/>
              </w:rPr>
            </w:pPr>
          </w:p>
        </w:tc>
        <w:tc>
          <w:tcPr>
            <w:tcW w:w="1977" w:type="dxa"/>
            <w:vMerge w:val="restart"/>
            <w:vAlign w:val="center"/>
          </w:tcPr>
          <w:p w:rsidR="00BC07F0" w:rsidRDefault="00073EFB">
            <w:pPr>
              <w:pStyle w:val="a7"/>
              <w:rPr>
                <w:rFonts w:hint="default"/>
              </w:rPr>
            </w:pPr>
            <w:r>
              <w:t>《声环境质量标准》（</w:t>
            </w:r>
            <w:r>
              <w:t>GB3096-2008</w:t>
            </w:r>
            <w:r>
              <w:t>）</w:t>
            </w:r>
            <w:r>
              <w:t>2</w:t>
            </w:r>
            <w:r>
              <w:t>类</w:t>
            </w:r>
          </w:p>
        </w:tc>
      </w:tr>
      <w:tr w:rsidR="00BC07F0">
        <w:trPr>
          <w:trHeight w:val="397"/>
          <w:jc w:val="center"/>
        </w:trPr>
        <w:tc>
          <w:tcPr>
            <w:tcW w:w="993" w:type="dxa"/>
            <w:vMerge/>
          </w:tcPr>
          <w:p w:rsidR="00BC07F0" w:rsidRDefault="00BC07F0">
            <w:pPr>
              <w:pStyle w:val="a7"/>
              <w:rPr>
                <w:rFonts w:hint="default"/>
              </w:rPr>
            </w:pPr>
          </w:p>
        </w:tc>
        <w:tc>
          <w:tcPr>
            <w:tcW w:w="1056" w:type="dxa"/>
            <w:vMerge/>
          </w:tcPr>
          <w:p w:rsidR="00BC07F0" w:rsidRDefault="00BC07F0">
            <w:pPr>
              <w:pStyle w:val="a7"/>
              <w:rPr>
                <w:rFonts w:hint="default"/>
              </w:rPr>
            </w:pPr>
          </w:p>
        </w:tc>
        <w:tc>
          <w:tcPr>
            <w:tcW w:w="1048" w:type="dxa"/>
            <w:vMerge/>
          </w:tcPr>
          <w:p w:rsidR="00BC07F0" w:rsidRDefault="00BC07F0">
            <w:pPr>
              <w:pStyle w:val="a7"/>
              <w:rPr>
                <w:rFonts w:hint="default"/>
              </w:rPr>
            </w:pPr>
          </w:p>
        </w:tc>
        <w:tc>
          <w:tcPr>
            <w:tcW w:w="2118" w:type="dxa"/>
            <w:vAlign w:val="center"/>
          </w:tcPr>
          <w:p w:rsidR="00BC07F0" w:rsidRDefault="00073EFB">
            <w:pPr>
              <w:pStyle w:val="a7"/>
              <w:rPr>
                <w:rFonts w:hint="default"/>
              </w:rPr>
            </w:pPr>
            <w:r>
              <w:t>白沙村居民自建房</w:t>
            </w:r>
          </w:p>
        </w:tc>
        <w:tc>
          <w:tcPr>
            <w:tcW w:w="1245" w:type="dxa"/>
            <w:vMerge/>
          </w:tcPr>
          <w:p w:rsidR="00BC07F0" w:rsidRDefault="00BC07F0">
            <w:pPr>
              <w:pStyle w:val="a7"/>
              <w:rPr>
                <w:rFonts w:hint="default"/>
              </w:rPr>
            </w:pPr>
          </w:p>
        </w:tc>
        <w:tc>
          <w:tcPr>
            <w:tcW w:w="1977" w:type="dxa"/>
            <w:vMerge/>
          </w:tcPr>
          <w:p w:rsidR="00BC07F0" w:rsidRDefault="00BC07F0">
            <w:pPr>
              <w:pStyle w:val="a7"/>
              <w:rPr>
                <w:rFonts w:hint="default"/>
              </w:rPr>
            </w:pPr>
          </w:p>
        </w:tc>
      </w:tr>
      <w:tr w:rsidR="00BC07F0">
        <w:trPr>
          <w:trHeight w:val="397"/>
          <w:jc w:val="center"/>
        </w:trPr>
        <w:tc>
          <w:tcPr>
            <w:tcW w:w="993" w:type="dxa"/>
            <w:vMerge/>
          </w:tcPr>
          <w:p w:rsidR="00BC07F0" w:rsidRDefault="00BC07F0">
            <w:pPr>
              <w:pStyle w:val="a7"/>
              <w:rPr>
                <w:rFonts w:hint="default"/>
              </w:rPr>
            </w:pPr>
          </w:p>
        </w:tc>
        <w:tc>
          <w:tcPr>
            <w:tcW w:w="1056" w:type="dxa"/>
            <w:vMerge/>
          </w:tcPr>
          <w:p w:rsidR="00BC07F0" w:rsidRDefault="00BC07F0">
            <w:pPr>
              <w:pStyle w:val="a7"/>
              <w:rPr>
                <w:rFonts w:hint="default"/>
              </w:rPr>
            </w:pPr>
          </w:p>
        </w:tc>
        <w:tc>
          <w:tcPr>
            <w:tcW w:w="1048" w:type="dxa"/>
            <w:vMerge/>
          </w:tcPr>
          <w:p w:rsidR="00BC07F0" w:rsidRDefault="00BC07F0">
            <w:pPr>
              <w:pStyle w:val="a7"/>
              <w:rPr>
                <w:rFonts w:hint="default"/>
              </w:rPr>
            </w:pPr>
          </w:p>
        </w:tc>
        <w:tc>
          <w:tcPr>
            <w:tcW w:w="2118" w:type="dxa"/>
            <w:vAlign w:val="center"/>
          </w:tcPr>
          <w:p w:rsidR="00BC07F0" w:rsidRDefault="00073EFB">
            <w:pPr>
              <w:pStyle w:val="a7"/>
              <w:rPr>
                <w:rFonts w:hint="default"/>
              </w:rPr>
            </w:pPr>
            <w:r>
              <w:t>东洲岛安置房</w:t>
            </w:r>
          </w:p>
        </w:tc>
        <w:tc>
          <w:tcPr>
            <w:tcW w:w="1245" w:type="dxa"/>
            <w:vMerge/>
          </w:tcPr>
          <w:p w:rsidR="00BC07F0" w:rsidRDefault="00BC07F0">
            <w:pPr>
              <w:pStyle w:val="a7"/>
              <w:rPr>
                <w:rFonts w:hint="default"/>
              </w:rPr>
            </w:pPr>
          </w:p>
        </w:tc>
        <w:tc>
          <w:tcPr>
            <w:tcW w:w="1977" w:type="dxa"/>
            <w:vMerge/>
          </w:tcPr>
          <w:p w:rsidR="00BC07F0" w:rsidRDefault="00BC07F0">
            <w:pPr>
              <w:pStyle w:val="a7"/>
              <w:rPr>
                <w:rFonts w:hint="default"/>
              </w:rPr>
            </w:pPr>
          </w:p>
        </w:tc>
      </w:tr>
      <w:tr w:rsidR="00BC07F0">
        <w:trPr>
          <w:trHeight w:val="397"/>
          <w:jc w:val="center"/>
        </w:trPr>
        <w:tc>
          <w:tcPr>
            <w:tcW w:w="993" w:type="dxa"/>
            <w:vMerge/>
          </w:tcPr>
          <w:p w:rsidR="00BC07F0" w:rsidRDefault="00BC07F0">
            <w:pPr>
              <w:pStyle w:val="a7"/>
              <w:rPr>
                <w:rFonts w:hint="default"/>
              </w:rPr>
            </w:pPr>
          </w:p>
        </w:tc>
        <w:tc>
          <w:tcPr>
            <w:tcW w:w="1056" w:type="dxa"/>
            <w:vMerge/>
          </w:tcPr>
          <w:p w:rsidR="00BC07F0" w:rsidRDefault="00BC07F0">
            <w:pPr>
              <w:pStyle w:val="a7"/>
              <w:rPr>
                <w:rFonts w:hint="default"/>
              </w:rPr>
            </w:pPr>
          </w:p>
        </w:tc>
        <w:tc>
          <w:tcPr>
            <w:tcW w:w="1048" w:type="dxa"/>
            <w:vMerge/>
          </w:tcPr>
          <w:p w:rsidR="00BC07F0" w:rsidRDefault="00BC07F0">
            <w:pPr>
              <w:pStyle w:val="a7"/>
              <w:rPr>
                <w:rFonts w:hint="default"/>
              </w:rPr>
            </w:pPr>
          </w:p>
        </w:tc>
        <w:tc>
          <w:tcPr>
            <w:tcW w:w="2118" w:type="dxa"/>
            <w:vAlign w:val="center"/>
          </w:tcPr>
          <w:p w:rsidR="00BC07F0" w:rsidRDefault="00073EFB">
            <w:pPr>
              <w:pStyle w:val="a7"/>
              <w:rPr>
                <w:rFonts w:hint="default"/>
              </w:rPr>
            </w:pPr>
            <w:r>
              <w:t>湘江村居民自建房</w:t>
            </w:r>
          </w:p>
        </w:tc>
        <w:tc>
          <w:tcPr>
            <w:tcW w:w="1245" w:type="dxa"/>
            <w:vMerge/>
          </w:tcPr>
          <w:p w:rsidR="00BC07F0" w:rsidRDefault="00BC07F0">
            <w:pPr>
              <w:pStyle w:val="a7"/>
              <w:rPr>
                <w:rFonts w:hint="default"/>
              </w:rPr>
            </w:pPr>
          </w:p>
        </w:tc>
        <w:tc>
          <w:tcPr>
            <w:tcW w:w="1977" w:type="dxa"/>
            <w:vMerge/>
          </w:tcPr>
          <w:p w:rsidR="00BC07F0" w:rsidRDefault="00BC07F0">
            <w:pPr>
              <w:pStyle w:val="a7"/>
              <w:rPr>
                <w:rFonts w:hint="default"/>
              </w:rPr>
            </w:pPr>
          </w:p>
        </w:tc>
      </w:tr>
    </w:tbl>
    <w:p w:rsidR="00BC07F0" w:rsidRDefault="00BC07F0">
      <w:pPr>
        <w:pStyle w:val="a7"/>
        <w:rPr>
          <w:rFonts w:hint="default"/>
        </w:rPr>
      </w:pPr>
    </w:p>
    <w:p w:rsidR="00BC07F0" w:rsidRDefault="00BC07F0">
      <w:pPr>
        <w:pStyle w:val="a7"/>
        <w:rPr>
          <w:rFonts w:hint="default"/>
        </w:rPr>
      </w:pPr>
    </w:p>
    <w:p w:rsidR="00BC07F0" w:rsidRDefault="00BC07F0">
      <w:pPr>
        <w:pStyle w:val="a7"/>
        <w:rPr>
          <w:rFonts w:hint="default"/>
        </w:rPr>
        <w:sectPr w:rsidR="00BC07F0">
          <w:pgSz w:w="11906" w:h="16838"/>
          <w:pgMar w:top="1440" w:right="1800" w:bottom="1440" w:left="1800" w:header="851" w:footer="1077" w:gutter="0"/>
          <w:cols w:space="720"/>
          <w:docGrid w:linePitch="312"/>
        </w:sectPr>
      </w:pPr>
    </w:p>
    <w:p w:rsidR="00BC07F0" w:rsidRDefault="00073EFB">
      <w:pPr>
        <w:pStyle w:val="1"/>
      </w:pPr>
      <w:bookmarkStart w:id="143" w:name="_Toc25046"/>
      <w:bookmarkStart w:id="144" w:name="_Toc10789"/>
      <w:bookmarkStart w:id="145" w:name="_Toc5104"/>
      <w:r>
        <w:lastRenderedPageBreak/>
        <w:t>6</w:t>
      </w:r>
      <w:r>
        <w:rPr>
          <w:rFonts w:hint="eastAsia"/>
        </w:rPr>
        <w:t>声环境评价结论</w:t>
      </w:r>
      <w:bookmarkEnd w:id="143"/>
      <w:bookmarkEnd w:id="144"/>
      <w:bookmarkEnd w:id="145"/>
    </w:p>
    <w:p w:rsidR="00BC07F0" w:rsidRDefault="00073EFB" w:rsidP="00C55F5E">
      <w:pPr>
        <w:pStyle w:val="2"/>
        <w:ind w:firstLine="482"/>
      </w:pPr>
      <w:bookmarkStart w:id="146" w:name="_Toc3570"/>
      <w:bookmarkStart w:id="147" w:name="_Toc23340"/>
      <w:r>
        <w:t>6.1</w:t>
      </w:r>
      <w:r>
        <w:rPr>
          <w:rFonts w:hint="eastAsia"/>
        </w:rPr>
        <w:t>项目建设概况</w:t>
      </w:r>
      <w:bookmarkEnd w:id="146"/>
      <w:bookmarkEnd w:id="147"/>
    </w:p>
    <w:p w:rsidR="00BC07F0" w:rsidRDefault="00073EFB" w:rsidP="00C55F5E">
      <w:pPr>
        <w:ind w:firstLine="480"/>
      </w:pPr>
      <w:r>
        <w:rPr>
          <w:rFonts w:hint="eastAsia"/>
        </w:rPr>
        <w:t>衡阳市湘江南岸水环境水安全治理工程</w:t>
      </w:r>
      <w:r>
        <w:rPr>
          <w:rFonts w:hint="eastAsia"/>
        </w:rPr>
        <w:t>中的道路工程分别为：①</w:t>
      </w:r>
      <w:r>
        <w:rPr>
          <w:rFonts w:hint="eastAsia"/>
        </w:rPr>
        <w:t>湘江南路（白沙大道——前进路）西起白沙大道，与现状湘江路相接，向南与前进路相接。道路总长</w:t>
      </w:r>
      <w:r>
        <w:rPr>
          <w:rFonts w:hint="eastAsia"/>
        </w:rPr>
        <w:t>2.887km</w:t>
      </w:r>
      <w:r>
        <w:rPr>
          <w:rFonts w:hint="eastAsia"/>
        </w:rPr>
        <w:t>，等级为城市次干道</w:t>
      </w:r>
      <w:r>
        <w:rPr>
          <w:rFonts w:hint="eastAsia"/>
        </w:rPr>
        <w:t>；</w:t>
      </w:r>
      <w:r>
        <w:rPr>
          <w:rFonts w:hint="eastAsia"/>
        </w:rPr>
        <w:t>②酃白路北起湘江南路，向南接规划前进路，与现状输变电科技产业园段酃白路顺接，道路总长</w:t>
      </w:r>
      <w:r>
        <w:rPr>
          <w:rFonts w:hint="eastAsia"/>
        </w:rPr>
        <w:t>1.564km</w:t>
      </w:r>
      <w:r>
        <w:rPr>
          <w:rFonts w:hint="eastAsia"/>
        </w:rPr>
        <w:t>，等级为城市主干路；③前进路起于白沙大道，从西至东经冲塘路、新衡路、酃白路、白田东路，最后到达湘江南路，道路总长</w:t>
      </w:r>
      <w:r>
        <w:rPr>
          <w:rFonts w:hint="eastAsia"/>
        </w:rPr>
        <w:t>1.47km</w:t>
      </w:r>
      <w:r>
        <w:rPr>
          <w:rFonts w:hint="eastAsia"/>
        </w:rPr>
        <w:t>，等级为城市次干道。</w:t>
      </w:r>
    </w:p>
    <w:p w:rsidR="00BC07F0" w:rsidRDefault="00073EFB" w:rsidP="00C55F5E">
      <w:pPr>
        <w:pStyle w:val="2"/>
        <w:ind w:firstLine="482"/>
      </w:pPr>
      <w:bookmarkStart w:id="148" w:name="_Toc12369"/>
      <w:bookmarkStart w:id="149" w:name="_Toc7512"/>
      <w:r>
        <w:t>6.2</w:t>
      </w:r>
      <w:r>
        <w:rPr>
          <w:rFonts w:hint="eastAsia"/>
        </w:rPr>
        <w:t>环境</w:t>
      </w:r>
      <w:bookmarkEnd w:id="148"/>
      <w:r>
        <w:rPr>
          <w:rFonts w:hint="eastAsia"/>
        </w:rPr>
        <w:t>质量现状</w:t>
      </w:r>
      <w:bookmarkEnd w:id="149"/>
    </w:p>
    <w:p w:rsidR="00BC07F0" w:rsidRDefault="00073EFB" w:rsidP="00C55F5E">
      <w:pPr>
        <w:ind w:firstLine="480"/>
      </w:pPr>
      <w:r>
        <w:rPr>
          <w:rFonts w:hint="eastAsia"/>
        </w:rPr>
        <w:t>根据监测结果和现场调查分析可知，各监测点昼夜间声环境质量达到《声环境质量标准》（</w:t>
      </w:r>
      <w:r>
        <w:rPr>
          <w:rFonts w:hint="eastAsia"/>
        </w:rPr>
        <w:t>GB3096-2008</w:t>
      </w:r>
      <w:r>
        <w:rPr>
          <w:rFonts w:hint="eastAsia"/>
        </w:rPr>
        <w:t>）中</w:t>
      </w:r>
      <w:r>
        <w:rPr>
          <w:rFonts w:hint="eastAsia"/>
        </w:rPr>
        <w:t>2</w:t>
      </w:r>
      <w:r>
        <w:rPr>
          <w:rFonts w:hint="eastAsia"/>
        </w:rPr>
        <w:t>类标准，本项目所在区域声环境质量现状相对较好。</w:t>
      </w:r>
    </w:p>
    <w:p w:rsidR="00BC07F0" w:rsidRDefault="00073EFB" w:rsidP="00C55F5E">
      <w:pPr>
        <w:pStyle w:val="2"/>
        <w:ind w:firstLine="482"/>
      </w:pPr>
      <w:bookmarkStart w:id="150" w:name="_Toc19608"/>
      <w:r>
        <w:rPr>
          <w:rFonts w:hint="eastAsia"/>
        </w:rPr>
        <w:t>6.3</w:t>
      </w:r>
      <w:r>
        <w:rPr>
          <w:rFonts w:hint="eastAsia"/>
        </w:rPr>
        <w:t>声环境影响评价</w:t>
      </w:r>
    </w:p>
    <w:p w:rsidR="00BC07F0" w:rsidRDefault="00073EFB" w:rsidP="00C55F5E">
      <w:pPr>
        <w:pStyle w:val="3"/>
        <w:ind w:firstLine="482"/>
      </w:pPr>
      <w:r>
        <w:rPr>
          <w:rFonts w:hint="eastAsia"/>
        </w:rPr>
        <w:t>6.3.1</w:t>
      </w:r>
      <w:r>
        <w:rPr>
          <w:rFonts w:hint="eastAsia"/>
        </w:rPr>
        <w:t>施工期声环境影响评价结论</w:t>
      </w:r>
    </w:p>
    <w:p w:rsidR="00BC07F0" w:rsidRDefault="00073EFB" w:rsidP="00C55F5E">
      <w:pPr>
        <w:ind w:firstLine="480"/>
      </w:pPr>
      <w:r>
        <w:rPr>
          <w:rFonts w:hint="eastAsia"/>
        </w:rPr>
        <w:t>根据预测结果，昼间施工时，可以采取在施工路段两旁设置围挡措施，作为声屏障阻挡施工噪声的传播。施工对道路两侧评价范围内敏感点处的声环境质量产生显著影响，施工期应尽量避开午间（</w:t>
      </w:r>
      <w:r>
        <w:rPr>
          <w:rFonts w:hint="eastAsia"/>
        </w:rPr>
        <w:t>12</w:t>
      </w:r>
      <w:r>
        <w:rPr>
          <w:rFonts w:hint="eastAsia"/>
        </w:rPr>
        <w:t>：</w:t>
      </w:r>
      <w:r>
        <w:rPr>
          <w:rFonts w:hint="eastAsia"/>
        </w:rPr>
        <w:t>00-14</w:t>
      </w:r>
      <w:r>
        <w:rPr>
          <w:rFonts w:hint="eastAsia"/>
        </w:rPr>
        <w:t>：</w:t>
      </w:r>
      <w:r>
        <w:rPr>
          <w:rFonts w:hint="eastAsia"/>
        </w:rPr>
        <w:t>00</w:t>
      </w:r>
      <w:r>
        <w:rPr>
          <w:rFonts w:hint="eastAsia"/>
        </w:rPr>
        <w:t>）和夜间（</w:t>
      </w:r>
      <w:r>
        <w:rPr>
          <w:rFonts w:hint="eastAsia"/>
        </w:rPr>
        <w:t>22</w:t>
      </w:r>
      <w:r>
        <w:rPr>
          <w:rFonts w:hint="eastAsia"/>
        </w:rPr>
        <w:t>：</w:t>
      </w:r>
      <w:r>
        <w:rPr>
          <w:rFonts w:hint="eastAsia"/>
        </w:rPr>
        <w:t>00-6</w:t>
      </w:r>
      <w:r>
        <w:rPr>
          <w:rFonts w:hint="eastAsia"/>
        </w:rPr>
        <w:t>：</w:t>
      </w:r>
      <w:r>
        <w:rPr>
          <w:rFonts w:hint="eastAsia"/>
        </w:rPr>
        <w:t>00</w:t>
      </w:r>
      <w:r>
        <w:rPr>
          <w:rFonts w:hint="eastAsia"/>
        </w:rPr>
        <w:t>）施工，以减轻施工对沿线居民生活的不利影响。项目施工期约</w:t>
      </w:r>
      <w:r>
        <w:rPr>
          <w:rFonts w:hint="eastAsia"/>
        </w:rPr>
        <w:t>12</w:t>
      </w:r>
      <w:r>
        <w:rPr>
          <w:rFonts w:hint="eastAsia"/>
        </w:rPr>
        <w:t>个月，施工噪声随着施工的结束而结束，总体而言，在采取施工围挡和禁止午间和夜间施工措施的情况下，施工噪声的环境影响是可以接受的。</w:t>
      </w:r>
    </w:p>
    <w:p w:rsidR="00BC07F0" w:rsidRDefault="00073EFB" w:rsidP="00C55F5E">
      <w:pPr>
        <w:pStyle w:val="3"/>
        <w:ind w:firstLine="482"/>
      </w:pPr>
      <w:r>
        <w:t>6.3.2</w:t>
      </w:r>
      <w:r>
        <w:rPr>
          <w:rFonts w:hint="eastAsia"/>
        </w:rPr>
        <w:t>运营期声环境影响评价结论</w:t>
      </w:r>
      <w:bookmarkEnd w:id="150"/>
    </w:p>
    <w:p w:rsidR="00BC07F0" w:rsidRDefault="00073EFB" w:rsidP="00C55F5E">
      <w:pPr>
        <w:ind w:firstLine="480"/>
      </w:pPr>
      <w:r>
        <w:rPr>
          <w:rFonts w:hint="eastAsia"/>
        </w:rPr>
        <w:t>本项目路面上行驶机动车产生的噪声在道路两侧的噪声贡献值随距离的增</w:t>
      </w:r>
      <w:r>
        <w:rPr>
          <w:rFonts w:hint="eastAsia"/>
        </w:rPr>
        <w:t>加而逐渐衰减变小，并且随着车流量的增加预测噪声值也将随着增加，通过预测结果可知，在采取相应措施后，在道路运行期间各声环境敏感点</w:t>
      </w:r>
      <w:r>
        <w:rPr>
          <w:rFonts w:hint="eastAsia"/>
        </w:rPr>
        <w:t>4</w:t>
      </w:r>
      <w:r>
        <w:rPr>
          <w:rFonts w:hint="eastAsia"/>
        </w:rPr>
        <w:t>类区</w:t>
      </w:r>
      <w:r>
        <w:rPr>
          <w:rFonts w:hint="eastAsia"/>
        </w:rPr>
        <w:t>昼</w:t>
      </w:r>
      <w:r>
        <w:rPr>
          <w:rFonts w:hint="eastAsia"/>
        </w:rPr>
        <w:t>夜</w:t>
      </w:r>
      <w:r>
        <w:rPr>
          <w:rFonts w:hint="eastAsia"/>
        </w:rPr>
        <w:t>间可达标，在道路运行期间各声环境敏感点</w:t>
      </w:r>
      <w:r>
        <w:rPr>
          <w:rFonts w:hint="eastAsia"/>
        </w:rPr>
        <w:t>2</w:t>
      </w:r>
      <w:r>
        <w:rPr>
          <w:rFonts w:hint="eastAsia"/>
        </w:rPr>
        <w:t>类区</w:t>
      </w:r>
      <w:r>
        <w:rPr>
          <w:rFonts w:hint="eastAsia"/>
        </w:rPr>
        <w:t>昼</w:t>
      </w:r>
      <w:r>
        <w:rPr>
          <w:rFonts w:hint="eastAsia"/>
        </w:rPr>
        <w:t>夜</w:t>
      </w:r>
      <w:r>
        <w:rPr>
          <w:rFonts w:hint="eastAsia"/>
        </w:rPr>
        <w:t>间</w:t>
      </w:r>
      <w:r>
        <w:rPr>
          <w:rFonts w:hint="eastAsia"/>
        </w:rPr>
        <w:t>均可</w:t>
      </w:r>
      <w:r>
        <w:rPr>
          <w:rFonts w:hint="eastAsia"/>
        </w:rPr>
        <w:t>达标。运营期主要噪声防治措施有：</w:t>
      </w:r>
    </w:p>
    <w:p w:rsidR="00BC07F0" w:rsidRDefault="00073EFB" w:rsidP="00C55F5E">
      <w:pPr>
        <w:ind w:firstLine="480"/>
      </w:pPr>
      <w:r>
        <w:t>①</w:t>
      </w:r>
      <w:r>
        <w:t>加强交通、车辆管理，在通过敏感点处采取限鸣（含禁鸣）、限速等措施；</w:t>
      </w:r>
    </w:p>
    <w:p w:rsidR="00BC07F0" w:rsidRDefault="00073EFB" w:rsidP="00C55F5E">
      <w:pPr>
        <w:ind w:firstLine="480"/>
      </w:pPr>
      <w:r>
        <w:t>②</w:t>
      </w:r>
      <w:r>
        <w:t>单位应落实项目投入使用后的噪声跟踪监测工作，根据监测结果及时进行评估并完善相应噪声控制措施；</w:t>
      </w:r>
    </w:p>
    <w:p w:rsidR="00BC07F0" w:rsidRDefault="00073EFB" w:rsidP="00C55F5E">
      <w:pPr>
        <w:ind w:firstLine="480"/>
      </w:pPr>
      <w:r>
        <w:lastRenderedPageBreak/>
        <w:t>③</w:t>
      </w:r>
      <w:r>
        <w:t>加强道路沿线的绿化建设，通过种植高大的树木形成绿化遮挡带，降低交通噪声对沿线规划敏感建筑物的影响；</w:t>
      </w:r>
    </w:p>
    <w:p w:rsidR="00BC07F0" w:rsidRDefault="00073EFB" w:rsidP="00C55F5E">
      <w:pPr>
        <w:ind w:firstLine="480"/>
      </w:pPr>
      <w:r>
        <w:t>④</w:t>
      </w:r>
      <w:r>
        <w:t>若未来在本项目道路</w:t>
      </w:r>
      <w:r>
        <w:t>邻近区域建设噪声敏感建筑物，建筑建设单位应当采取间隔必要的距离、传声途径噪声削减等有效措施，以使室外声环境质量达标。</w:t>
      </w:r>
    </w:p>
    <w:p w:rsidR="00BC07F0" w:rsidRDefault="00073EFB" w:rsidP="00C55F5E">
      <w:pPr>
        <w:pStyle w:val="3"/>
        <w:ind w:firstLine="482"/>
      </w:pPr>
      <w:bookmarkStart w:id="151" w:name="_Toc12527"/>
      <w:r>
        <w:t>6.</w:t>
      </w:r>
      <w:r>
        <w:rPr>
          <w:rFonts w:hint="eastAsia"/>
        </w:rPr>
        <w:t>3.3</w:t>
      </w:r>
      <w:r>
        <w:rPr>
          <w:rFonts w:hint="eastAsia"/>
        </w:rPr>
        <w:t>总结论</w:t>
      </w:r>
      <w:bookmarkEnd w:id="151"/>
    </w:p>
    <w:p w:rsidR="00BC07F0" w:rsidRDefault="00073EFB" w:rsidP="00C55F5E">
      <w:pPr>
        <w:ind w:firstLine="480"/>
      </w:pPr>
      <w:r>
        <w:rPr>
          <w:rFonts w:hint="eastAsia"/>
        </w:rPr>
        <w:t>项目在施工期和运营期将会对周边声环境产生一定的不利影响，但只要认真落实本报告所提出的噪声污染防治措施，落实环保措施与主体工程建设的“三同时”制度，可使噪声影响降至最小程度，所产生的负面影响是可以得到有效控制，并能为环境所接受。因此，从环境保护角度论证，本项目建设不存在重大声环境制约因素，从声环境影响角度评价本项目的建设是可行的。</w:t>
      </w:r>
    </w:p>
    <w:p w:rsidR="00BC07F0" w:rsidRDefault="00073EFB" w:rsidP="00C55F5E">
      <w:pPr>
        <w:pStyle w:val="2"/>
        <w:ind w:firstLine="482"/>
      </w:pPr>
      <w:bookmarkStart w:id="152" w:name="_Toc30213"/>
      <w:r>
        <w:t>6.</w:t>
      </w:r>
      <w:r>
        <w:rPr>
          <w:rFonts w:hint="eastAsia"/>
        </w:rPr>
        <w:t>4</w:t>
      </w:r>
      <w:r>
        <w:rPr>
          <w:rFonts w:hint="eastAsia"/>
        </w:rPr>
        <w:t>建议</w:t>
      </w:r>
      <w:bookmarkEnd w:id="152"/>
    </w:p>
    <w:p w:rsidR="00BC07F0" w:rsidRDefault="00073EFB" w:rsidP="00C55F5E">
      <w:pPr>
        <w:ind w:firstLine="480"/>
      </w:pPr>
      <w:r>
        <w:rPr>
          <w:rFonts w:hint="eastAsia"/>
        </w:rPr>
        <w:t>市政道路建设属于公益性基础设施建</w:t>
      </w:r>
      <w:r>
        <w:rPr>
          <w:rFonts w:hint="eastAsia"/>
        </w:rPr>
        <w:t>设，对于完善城市路网，提高交通通行能力，拉动沿线及区域经济增长都具有积极作用。其施工期及运营期声环境环境影响都较小。</w:t>
      </w:r>
    </w:p>
    <w:p w:rsidR="00BC07F0" w:rsidRDefault="00BC07F0" w:rsidP="00C55F5E">
      <w:pPr>
        <w:ind w:firstLine="480"/>
      </w:pPr>
    </w:p>
    <w:p w:rsidR="00BC07F0" w:rsidRDefault="00BC07F0">
      <w:pPr>
        <w:pStyle w:val="a7"/>
        <w:rPr>
          <w:rFonts w:hint="default"/>
        </w:rPr>
      </w:pPr>
    </w:p>
    <w:p w:rsidR="00BC07F0" w:rsidRDefault="00BC07F0">
      <w:pPr>
        <w:pStyle w:val="a7"/>
        <w:rPr>
          <w:rFonts w:hint="default"/>
        </w:rPr>
      </w:pPr>
    </w:p>
    <w:p w:rsidR="00BC07F0" w:rsidRDefault="00BC07F0">
      <w:pPr>
        <w:pStyle w:val="a7"/>
        <w:rPr>
          <w:rFonts w:hint="default"/>
        </w:rPr>
      </w:pPr>
    </w:p>
    <w:p w:rsidR="00BC07F0" w:rsidRDefault="00BC07F0">
      <w:pPr>
        <w:pStyle w:val="a7"/>
        <w:rPr>
          <w:rFonts w:hint="default"/>
        </w:rPr>
      </w:pPr>
    </w:p>
    <w:p w:rsidR="00BC07F0" w:rsidRDefault="00BC07F0">
      <w:pPr>
        <w:pStyle w:val="a7"/>
        <w:rPr>
          <w:rFonts w:hint="default"/>
        </w:rPr>
        <w:sectPr w:rsidR="00BC07F0">
          <w:pgSz w:w="11906" w:h="16838"/>
          <w:pgMar w:top="1440" w:right="1800" w:bottom="1440" w:left="1800" w:header="851" w:footer="992" w:gutter="0"/>
          <w:cols w:space="425"/>
          <w:docGrid w:type="lines" w:linePitch="312"/>
        </w:sectPr>
      </w:pPr>
    </w:p>
    <w:p w:rsidR="00BC07F0" w:rsidRDefault="00BC07F0" w:rsidP="00C55F5E">
      <w:pPr>
        <w:ind w:firstLine="480"/>
      </w:pPr>
      <w:bookmarkStart w:id="153" w:name="_Toc2766"/>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073EFB">
      <w:pPr>
        <w:pStyle w:val="1"/>
        <w:rPr>
          <w:rFonts w:ascii="仿宋" w:eastAsia="仿宋" w:hAnsi="仿宋" w:cs="仿宋"/>
          <w:sz w:val="48"/>
          <w:szCs w:val="48"/>
        </w:rPr>
      </w:pPr>
      <w:bookmarkStart w:id="154" w:name="_Toc18985"/>
      <w:bookmarkStart w:id="155" w:name="_Toc7603"/>
      <w:bookmarkStart w:id="156" w:name="_Toc10055"/>
      <w:r>
        <w:rPr>
          <w:rFonts w:ascii="仿宋" w:eastAsia="仿宋" w:hAnsi="仿宋" w:cs="仿宋" w:hint="eastAsia"/>
          <w:sz w:val="48"/>
          <w:szCs w:val="48"/>
        </w:rPr>
        <w:t>衡阳市湘江南岸水环境水安全治理工</w:t>
      </w:r>
      <w:bookmarkStart w:id="157" w:name="_Toc10402"/>
      <w:bookmarkStart w:id="158" w:name="_Toc1299"/>
      <w:bookmarkEnd w:id="154"/>
      <w:bookmarkEnd w:id="155"/>
      <w:r>
        <w:rPr>
          <w:rFonts w:ascii="仿宋" w:eastAsia="仿宋" w:hAnsi="仿宋" w:cs="仿宋" w:hint="eastAsia"/>
          <w:sz w:val="48"/>
          <w:szCs w:val="48"/>
        </w:rPr>
        <w:t>程</w:t>
      </w:r>
      <w:bookmarkEnd w:id="156"/>
    </w:p>
    <w:p w:rsidR="00BC07F0" w:rsidRDefault="00073EFB">
      <w:pPr>
        <w:pStyle w:val="1"/>
        <w:rPr>
          <w:rFonts w:ascii="仿宋" w:eastAsia="仿宋" w:hAnsi="仿宋" w:cs="仿宋"/>
          <w:sz w:val="48"/>
          <w:szCs w:val="48"/>
        </w:rPr>
      </w:pPr>
      <w:bookmarkStart w:id="159" w:name="_Toc27424"/>
      <w:r>
        <w:rPr>
          <w:rFonts w:ascii="仿宋" w:eastAsia="仿宋" w:hAnsi="仿宋" w:cs="仿宋" w:hint="eastAsia"/>
          <w:sz w:val="48"/>
          <w:szCs w:val="48"/>
        </w:rPr>
        <w:t>地表水环境影响专项评价</w:t>
      </w:r>
      <w:bookmarkEnd w:id="153"/>
      <w:bookmarkEnd w:id="157"/>
      <w:bookmarkEnd w:id="158"/>
      <w:bookmarkEnd w:id="159"/>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BC07F0" w:rsidP="00C55F5E">
      <w:pPr>
        <w:ind w:firstLine="480"/>
      </w:pPr>
    </w:p>
    <w:p w:rsidR="00BC07F0" w:rsidRDefault="00073EFB">
      <w:pPr>
        <w:ind w:firstLineChars="0" w:firstLine="0"/>
        <w:jc w:val="center"/>
        <w:rPr>
          <w:rFonts w:ascii="仿宋" w:eastAsia="仿宋" w:hAnsi="仿宋" w:cs="仿宋"/>
          <w:sz w:val="28"/>
          <w:szCs w:val="28"/>
          <w:u w:val="single"/>
        </w:rPr>
      </w:pPr>
      <w:r>
        <w:rPr>
          <w:rFonts w:ascii="仿宋" w:eastAsia="仿宋" w:hAnsi="仿宋" w:cs="仿宋" w:hint="eastAsia"/>
          <w:sz w:val="28"/>
          <w:szCs w:val="28"/>
        </w:rPr>
        <w:t>建设单位（盖章）：</w:t>
      </w:r>
      <w:r>
        <w:rPr>
          <w:rFonts w:ascii="仿宋" w:eastAsia="仿宋" w:hAnsi="仿宋" w:cs="仿宋" w:hint="eastAsia"/>
          <w:sz w:val="28"/>
          <w:szCs w:val="28"/>
          <w:u w:val="single"/>
        </w:rPr>
        <w:t>衡阳市白沙片区整体城镇化建设投资有限公司</w:t>
      </w:r>
    </w:p>
    <w:p w:rsidR="00BC07F0" w:rsidRDefault="00073EFB">
      <w:pPr>
        <w:ind w:firstLineChars="300" w:firstLine="840"/>
        <w:rPr>
          <w:rFonts w:ascii="仿宋" w:eastAsia="仿宋" w:hAnsi="仿宋" w:cs="仿宋"/>
          <w:sz w:val="28"/>
          <w:szCs w:val="28"/>
          <w:u w:val="single"/>
        </w:rPr>
      </w:pPr>
      <w:r>
        <w:rPr>
          <w:rFonts w:ascii="仿宋" w:eastAsia="仿宋" w:hAnsi="仿宋" w:cs="仿宋" w:hint="eastAsia"/>
          <w:sz w:val="28"/>
          <w:szCs w:val="28"/>
        </w:rPr>
        <w:t>编制日期：</w:t>
      </w:r>
      <w:r>
        <w:rPr>
          <w:rFonts w:ascii="仿宋" w:eastAsia="仿宋" w:hAnsi="仿宋" w:cs="仿宋" w:hint="eastAsia"/>
          <w:sz w:val="28"/>
          <w:szCs w:val="28"/>
          <w:u w:val="single"/>
        </w:rPr>
        <w:t xml:space="preserve">                   </w:t>
      </w:r>
      <w:r>
        <w:rPr>
          <w:rFonts w:ascii="仿宋" w:eastAsia="仿宋" w:hAnsi="仿宋" w:cs="仿宋" w:hint="eastAsia"/>
          <w:sz w:val="28"/>
          <w:szCs w:val="28"/>
          <w:u w:val="single"/>
        </w:rPr>
        <w:t>2023</w:t>
      </w:r>
      <w:r>
        <w:rPr>
          <w:rFonts w:ascii="仿宋" w:eastAsia="仿宋" w:hAnsi="仿宋" w:cs="仿宋" w:hint="eastAsia"/>
          <w:sz w:val="28"/>
          <w:szCs w:val="28"/>
          <w:u w:val="single"/>
        </w:rPr>
        <w:t>年</w:t>
      </w:r>
      <w:r>
        <w:rPr>
          <w:rFonts w:ascii="仿宋" w:eastAsia="仿宋" w:hAnsi="仿宋" w:cs="仿宋" w:hint="eastAsia"/>
          <w:sz w:val="28"/>
          <w:szCs w:val="28"/>
          <w:u w:val="single"/>
        </w:rPr>
        <w:t>5</w:t>
      </w:r>
      <w:r>
        <w:rPr>
          <w:rFonts w:ascii="仿宋" w:eastAsia="仿宋" w:hAnsi="仿宋" w:cs="仿宋" w:hint="eastAsia"/>
          <w:sz w:val="28"/>
          <w:szCs w:val="28"/>
          <w:u w:val="single"/>
        </w:rPr>
        <w:t>月</w:t>
      </w:r>
      <w:r>
        <w:rPr>
          <w:rFonts w:ascii="仿宋" w:eastAsia="仿宋" w:hAnsi="仿宋" w:cs="仿宋" w:hint="eastAsia"/>
          <w:sz w:val="28"/>
          <w:szCs w:val="28"/>
          <w:u w:val="single"/>
        </w:rPr>
        <w:t xml:space="preserve">                  </w:t>
      </w:r>
    </w:p>
    <w:p w:rsidR="00BC07F0" w:rsidRDefault="00BC07F0" w:rsidP="00C55F5E">
      <w:pPr>
        <w:ind w:firstLine="562"/>
        <w:jc w:val="center"/>
        <w:outlineLvl w:val="0"/>
        <w:rPr>
          <w:rFonts w:ascii="仿宋" w:eastAsia="仿宋" w:hAnsi="仿宋" w:cs="仿宋"/>
          <w:b/>
          <w:bCs/>
          <w:sz w:val="28"/>
          <w:szCs w:val="28"/>
          <w:u w:val="single"/>
        </w:rPr>
        <w:sectPr w:rsidR="00BC07F0">
          <w:footerReference w:type="default" r:id="rId68"/>
          <w:pgSz w:w="11906" w:h="16838"/>
          <w:pgMar w:top="1440" w:right="1080" w:bottom="1440" w:left="1080" w:header="567" w:footer="567" w:gutter="0"/>
          <w:cols w:space="720"/>
          <w:docGrid w:linePitch="312"/>
        </w:sectPr>
      </w:pPr>
    </w:p>
    <w:p w:rsidR="00BC07F0" w:rsidRDefault="00073EFB">
      <w:pPr>
        <w:pStyle w:val="1"/>
      </w:pPr>
      <w:bookmarkStart w:id="160" w:name="_Toc2788"/>
      <w:bookmarkStart w:id="161" w:name="_Toc19401"/>
      <w:bookmarkStart w:id="162" w:name="_Toc27934"/>
      <w:r>
        <w:lastRenderedPageBreak/>
        <w:t>1</w:t>
      </w:r>
      <w:r>
        <w:t>总论</w:t>
      </w:r>
      <w:bookmarkEnd w:id="160"/>
      <w:bookmarkEnd w:id="161"/>
      <w:bookmarkEnd w:id="162"/>
    </w:p>
    <w:p w:rsidR="00BC07F0" w:rsidRDefault="00073EFB" w:rsidP="00C55F5E">
      <w:pPr>
        <w:pStyle w:val="2"/>
        <w:ind w:firstLine="482"/>
      </w:pPr>
      <w:bookmarkStart w:id="163" w:name="_Toc22862"/>
      <w:r>
        <w:t>1.1</w:t>
      </w:r>
      <w:r>
        <w:rPr>
          <w:rFonts w:hint="eastAsia"/>
        </w:rPr>
        <w:t>评价目的</w:t>
      </w:r>
      <w:bookmarkEnd w:id="163"/>
    </w:p>
    <w:p w:rsidR="00BC07F0" w:rsidRDefault="00073EFB" w:rsidP="00C55F5E">
      <w:pPr>
        <w:ind w:firstLine="480"/>
      </w:pPr>
      <w:r>
        <w:rPr>
          <w:rFonts w:hint="eastAsia"/>
        </w:rPr>
        <w:t>编制本地表水环境影响评价专题的目的是在地表水环境现状调查和监测的基础上，摸清项目所在区域地表水水环境质量现状，确定项目主要环境保护目标；通过对该项目的工程分析，核实项目排污环节、排污种类和数量；针对本工程的废水污染物的排放特点，预测和分析建设项目完成后各类污染物对周围地表水环境影响程度及影响范围，结合过节有关标准和总量控制指标，提出控制污染的措施和建议，为环境管理部门的决策提供科学依据。</w:t>
      </w:r>
    </w:p>
    <w:p w:rsidR="00BC07F0" w:rsidRDefault="00073EFB" w:rsidP="00C55F5E">
      <w:pPr>
        <w:pStyle w:val="2"/>
        <w:ind w:firstLine="482"/>
      </w:pPr>
      <w:bookmarkStart w:id="164" w:name="_Toc21356"/>
      <w:r>
        <w:t>1.</w:t>
      </w:r>
      <w:r>
        <w:rPr>
          <w:rFonts w:hint="eastAsia"/>
        </w:rPr>
        <w:t>2</w:t>
      </w:r>
      <w:r>
        <w:t>编制依据</w:t>
      </w:r>
      <w:bookmarkEnd w:id="164"/>
    </w:p>
    <w:p w:rsidR="00BC07F0" w:rsidRDefault="00073EFB" w:rsidP="00C55F5E">
      <w:pPr>
        <w:pStyle w:val="3"/>
        <w:ind w:firstLine="482"/>
      </w:pPr>
      <w:r>
        <w:rPr>
          <w:rFonts w:hint="eastAsia"/>
        </w:rPr>
        <w:t>1.2.1</w:t>
      </w:r>
      <w:r>
        <w:rPr>
          <w:rFonts w:hint="eastAsia"/>
        </w:rPr>
        <w:t>国家法律法规</w:t>
      </w:r>
    </w:p>
    <w:p w:rsidR="00BC07F0" w:rsidRDefault="00073EFB" w:rsidP="00C55F5E">
      <w:pPr>
        <w:ind w:firstLine="480"/>
      </w:pPr>
      <w:r>
        <w:rPr>
          <w:rFonts w:hint="eastAsia"/>
        </w:rPr>
        <w:t>（</w:t>
      </w:r>
      <w:r>
        <w:rPr>
          <w:rFonts w:hint="eastAsia"/>
        </w:rPr>
        <w:t>1</w:t>
      </w:r>
      <w:r>
        <w:rPr>
          <w:rFonts w:hint="eastAsia"/>
        </w:rPr>
        <w:t>）</w:t>
      </w:r>
      <w:r>
        <w:t>《中华人民共和国环境保护法》（</w:t>
      </w:r>
      <w:r>
        <w:t>2014.4.24</w:t>
      </w:r>
      <w:r>
        <w:t>修订）；</w:t>
      </w:r>
    </w:p>
    <w:p w:rsidR="00BC07F0" w:rsidRDefault="00073EFB" w:rsidP="00C55F5E">
      <w:pPr>
        <w:ind w:firstLine="480"/>
      </w:pPr>
      <w:r>
        <w:rPr>
          <w:rFonts w:hint="eastAsia"/>
        </w:rPr>
        <w:t>（</w:t>
      </w:r>
      <w:r>
        <w:rPr>
          <w:rFonts w:hint="eastAsia"/>
        </w:rPr>
        <w:t>2</w:t>
      </w:r>
      <w:r>
        <w:rPr>
          <w:rFonts w:hint="eastAsia"/>
        </w:rPr>
        <w:t>）</w:t>
      </w:r>
      <w:r>
        <w:t>《中华人民共和国环境影响评价法》（</w:t>
      </w:r>
      <w:r>
        <w:t>2018</w:t>
      </w:r>
      <w:r>
        <w:t>年</w:t>
      </w:r>
      <w:r>
        <w:t>12</w:t>
      </w:r>
      <w:r>
        <w:t>月修订）；</w:t>
      </w:r>
    </w:p>
    <w:p w:rsidR="00BC07F0" w:rsidRDefault="00073EFB" w:rsidP="00C55F5E">
      <w:pPr>
        <w:ind w:firstLine="480"/>
      </w:pPr>
      <w:r>
        <w:rPr>
          <w:rFonts w:hint="eastAsia"/>
        </w:rPr>
        <w:t>（</w:t>
      </w:r>
      <w:r>
        <w:rPr>
          <w:rFonts w:hint="eastAsia"/>
        </w:rPr>
        <w:t>3</w:t>
      </w:r>
      <w:r>
        <w:rPr>
          <w:rFonts w:hint="eastAsia"/>
        </w:rPr>
        <w:t>）《中华人民共和国水法》</w:t>
      </w:r>
      <w:r>
        <w:rPr>
          <w:rFonts w:hint="eastAsia"/>
        </w:rPr>
        <w:t>2016</w:t>
      </w:r>
      <w:r>
        <w:rPr>
          <w:rFonts w:hint="eastAsia"/>
        </w:rPr>
        <w:t>年</w:t>
      </w:r>
      <w:r>
        <w:rPr>
          <w:rFonts w:hint="eastAsia"/>
        </w:rPr>
        <w:t>7</w:t>
      </w:r>
      <w:r>
        <w:rPr>
          <w:rFonts w:hint="eastAsia"/>
        </w:rPr>
        <w:t>月修订</w:t>
      </w:r>
      <w:r>
        <w:rPr>
          <w:rFonts w:hint="eastAsia"/>
        </w:rPr>
        <w:t>；</w:t>
      </w:r>
    </w:p>
    <w:p w:rsidR="00BC07F0" w:rsidRDefault="00073EFB" w:rsidP="00C55F5E">
      <w:pPr>
        <w:ind w:firstLine="480"/>
      </w:pPr>
      <w:r>
        <w:rPr>
          <w:rFonts w:hint="eastAsia"/>
        </w:rPr>
        <w:t>（</w:t>
      </w:r>
      <w:r>
        <w:rPr>
          <w:rFonts w:hint="eastAsia"/>
        </w:rPr>
        <w:t>4</w:t>
      </w:r>
      <w:r>
        <w:rPr>
          <w:rFonts w:hint="eastAsia"/>
        </w:rPr>
        <w:t>）《中华人民共和国水污染防治法》</w:t>
      </w:r>
      <w:r>
        <w:rPr>
          <w:rFonts w:hint="eastAsia"/>
        </w:rPr>
        <w:t>2017</w:t>
      </w:r>
      <w:r>
        <w:rPr>
          <w:rFonts w:hint="eastAsia"/>
        </w:rPr>
        <w:t>年</w:t>
      </w:r>
      <w:r>
        <w:rPr>
          <w:rFonts w:hint="eastAsia"/>
        </w:rPr>
        <w:t>6</w:t>
      </w:r>
      <w:r>
        <w:rPr>
          <w:rFonts w:hint="eastAsia"/>
        </w:rPr>
        <w:t>月</w:t>
      </w:r>
      <w:r>
        <w:rPr>
          <w:rFonts w:hint="eastAsia"/>
        </w:rPr>
        <w:t>27</w:t>
      </w:r>
      <w:r>
        <w:rPr>
          <w:rFonts w:hint="eastAsia"/>
        </w:rPr>
        <w:t>日修订</w:t>
      </w:r>
      <w:r>
        <w:rPr>
          <w:rFonts w:hint="eastAsia"/>
        </w:rPr>
        <w:t>；</w:t>
      </w:r>
    </w:p>
    <w:p w:rsidR="00BC07F0" w:rsidRDefault="00073EFB" w:rsidP="00C55F5E">
      <w:pPr>
        <w:ind w:firstLine="480"/>
      </w:pPr>
      <w:r>
        <w:rPr>
          <w:rFonts w:hint="eastAsia"/>
        </w:rPr>
        <w:t>（</w:t>
      </w:r>
      <w:r>
        <w:rPr>
          <w:rFonts w:hint="eastAsia"/>
        </w:rPr>
        <w:t>5</w:t>
      </w:r>
      <w:r>
        <w:rPr>
          <w:rFonts w:hint="eastAsia"/>
        </w:rPr>
        <w:t>）《水污染防治行动计划》（</w:t>
      </w:r>
      <w:r>
        <w:rPr>
          <w:rFonts w:hint="eastAsia"/>
        </w:rPr>
        <w:t>2015</w:t>
      </w:r>
      <w:r>
        <w:rPr>
          <w:rFonts w:hint="eastAsia"/>
        </w:rPr>
        <w:t>年</w:t>
      </w:r>
      <w:r>
        <w:rPr>
          <w:rFonts w:hint="eastAsia"/>
        </w:rPr>
        <w:t>4</w:t>
      </w:r>
      <w:r>
        <w:rPr>
          <w:rFonts w:hint="eastAsia"/>
        </w:rPr>
        <w:t>月</w:t>
      </w:r>
      <w:r>
        <w:rPr>
          <w:rFonts w:hint="eastAsia"/>
        </w:rPr>
        <w:t>16</w:t>
      </w:r>
      <w:r>
        <w:rPr>
          <w:rFonts w:hint="eastAsia"/>
        </w:rPr>
        <w:t>日</w:t>
      </w:r>
      <w:r>
        <w:rPr>
          <w:rFonts w:hint="eastAsia"/>
        </w:rPr>
        <w:t>）；</w:t>
      </w:r>
    </w:p>
    <w:p w:rsidR="00BC07F0" w:rsidRDefault="00073EFB" w:rsidP="00C55F5E">
      <w:pPr>
        <w:ind w:firstLine="480"/>
      </w:pPr>
      <w:r>
        <w:rPr>
          <w:rFonts w:hint="eastAsia"/>
        </w:rPr>
        <w:t>（</w:t>
      </w:r>
      <w:r>
        <w:rPr>
          <w:rFonts w:hint="eastAsia"/>
        </w:rPr>
        <w:t>7</w:t>
      </w:r>
      <w:r>
        <w:rPr>
          <w:rFonts w:hint="eastAsia"/>
        </w:rPr>
        <w:t>）《湖南省污染防治攻坚战三年行动计划</w:t>
      </w:r>
      <w:r>
        <w:rPr>
          <w:rFonts w:hint="eastAsia"/>
        </w:rPr>
        <w:t>(2018</w:t>
      </w:r>
      <w:r>
        <w:rPr>
          <w:rFonts w:hint="eastAsia"/>
        </w:rPr>
        <w:t>—</w:t>
      </w:r>
      <w:r>
        <w:rPr>
          <w:rFonts w:hint="eastAsia"/>
        </w:rPr>
        <w:t>2020</w:t>
      </w:r>
      <w:r>
        <w:rPr>
          <w:rFonts w:hint="eastAsia"/>
        </w:rPr>
        <w:t>年</w:t>
      </w:r>
      <w:r>
        <w:rPr>
          <w:rFonts w:hint="eastAsia"/>
        </w:rPr>
        <w:t>)</w:t>
      </w:r>
      <w:r>
        <w:rPr>
          <w:rFonts w:hint="eastAsia"/>
        </w:rPr>
        <w:t>》的通知（湘政发〔</w:t>
      </w:r>
      <w:r>
        <w:rPr>
          <w:rFonts w:hint="eastAsia"/>
        </w:rPr>
        <w:t>2018</w:t>
      </w:r>
      <w:r>
        <w:rPr>
          <w:rFonts w:hint="eastAsia"/>
        </w:rPr>
        <w:t>〕</w:t>
      </w:r>
      <w:r>
        <w:rPr>
          <w:rFonts w:hint="eastAsia"/>
        </w:rPr>
        <w:t>17</w:t>
      </w:r>
      <w:r>
        <w:rPr>
          <w:rFonts w:hint="eastAsia"/>
        </w:rPr>
        <w:t>号）</w:t>
      </w:r>
    </w:p>
    <w:p w:rsidR="00BC07F0" w:rsidRDefault="00073EFB" w:rsidP="00C55F5E">
      <w:pPr>
        <w:pStyle w:val="3"/>
        <w:ind w:firstLine="482"/>
      </w:pPr>
      <w:r>
        <w:rPr>
          <w:rFonts w:hint="eastAsia"/>
        </w:rPr>
        <w:t>1.2.2</w:t>
      </w:r>
      <w:r>
        <w:rPr>
          <w:rFonts w:hint="eastAsia"/>
        </w:rPr>
        <w:t>技术导则与规范</w:t>
      </w:r>
    </w:p>
    <w:p w:rsidR="00BC07F0" w:rsidRDefault="00073EFB" w:rsidP="00C55F5E">
      <w:pPr>
        <w:ind w:firstLine="480"/>
      </w:pPr>
      <w:r>
        <w:rPr>
          <w:rFonts w:hint="eastAsia"/>
        </w:rPr>
        <w:t>（</w:t>
      </w:r>
      <w:r>
        <w:rPr>
          <w:rFonts w:hint="eastAsia"/>
        </w:rPr>
        <w:t>1</w:t>
      </w:r>
      <w:r>
        <w:rPr>
          <w:rFonts w:hint="eastAsia"/>
        </w:rPr>
        <w:t>）《建设项目环境影响评价技术导则总纲》（</w:t>
      </w:r>
      <w:r>
        <w:rPr>
          <w:rFonts w:hint="eastAsia"/>
        </w:rPr>
        <w:t>HJ2.1-2016</w:t>
      </w:r>
      <w:r>
        <w:rPr>
          <w:rFonts w:hint="eastAsia"/>
        </w:rPr>
        <w:t>）；</w:t>
      </w:r>
    </w:p>
    <w:p w:rsidR="00BC07F0" w:rsidRDefault="00073EFB" w:rsidP="00C55F5E">
      <w:pPr>
        <w:ind w:firstLine="480"/>
        <w:rPr>
          <w:lang w:val="en-GB"/>
        </w:rPr>
      </w:pPr>
      <w:r>
        <w:rPr>
          <w:rFonts w:hint="eastAsia"/>
        </w:rPr>
        <w:t>（</w:t>
      </w:r>
      <w:r>
        <w:rPr>
          <w:rFonts w:hint="eastAsia"/>
        </w:rPr>
        <w:t>2</w:t>
      </w:r>
      <w:r>
        <w:rPr>
          <w:rFonts w:hint="eastAsia"/>
        </w:rPr>
        <w:t>）《环境影响评价</w:t>
      </w:r>
      <w:r>
        <w:rPr>
          <w:rFonts w:hint="eastAsia"/>
        </w:rPr>
        <w:t>技术导则地表水环境》（</w:t>
      </w:r>
      <w:r>
        <w:rPr>
          <w:rFonts w:hint="eastAsia"/>
        </w:rPr>
        <w:t>HJ2.3-2018</w:t>
      </w:r>
      <w:r>
        <w:rPr>
          <w:rFonts w:hint="eastAsia"/>
        </w:rPr>
        <w:t>）；</w:t>
      </w:r>
    </w:p>
    <w:p w:rsidR="00BC07F0" w:rsidRDefault="00073EFB" w:rsidP="00C55F5E">
      <w:pPr>
        <w:ind w:firstLine="480"/>
        <w:rPr>
          <w:lang w:val="en-GB"/>
        </w:rPr>
      </w:pPr>
      <w:r>
        <w:rPr>
          <w:rFonts w:hint="eastAsia"/>
        </w:rPr>
        <w:t>（</w:t>
      </w:r>
      <w:r>
        <w:rPr>
          <w:rFonts w:hint="eastAsia"/>
        </w:rPr>
        <w:t>3</w:t>
      </w:r>
      <w:r>
        <w:rPr>
          <w:rFonts w:hint="eastAsia"/>
        </w:rPr>
        <w:t>）《环境影响评价技术导则地下水环境》（</w:t>
      </w:r>
      <w:r>
        <w:rPr>
          <w:rFonts w:hint="eastAsia"/>
        </w:rPr>
        <w:t>HJ610-2016</w:t>
      </w:r>
      <w:r>
        <w:rPr>
          <w:rFonts w:hint="eastAsia"/>
        </w:rPr>
        <w:t>）；</w:t>
      </w:r>
    </w:p>
    <w:p w:rsidR="00BC07F0" w:rsidRDefault="00073EFB" w:rsidP="00C55F5E">
      <w:pPr>
        <w:ind w:firstLine="480"/>
        <w:rPr>
          <w:lang w:val="en-GB"/>
        </w:rPr>
      </w:pPr>
      <w:r>
        <w:rPr>
          <w:rFonts w:hint="eastAsia"/>
        </w:rPr>
        <w:t>（</w:t>
      </w:r>
      <w:r>
        <w:rPr>
          <w:rFonts w:hint="eastAsia"/>
        </w:rPr>
        <w:t>4</w:t>
      </w:r>
      <w:r>
        <w:rPr>
          <w:rFonts w:hint="eastAsia"/>
        </w:rPr>
        <w:t>）《地表水环境质量标准》（</w:t>
      </w:r>
      <w:r>
        <w:rPr>
          <w:rFonts w:hint="eastAsia"/>
        </w:rPr>
        <w:t>GB3838-2002</w:t>
      </w:r>
      <w:r>
        <w:rPr>
          <w:rFonts w:hint="eastAsia"/>
        </w:rPr>
        <w:t>）；</w:t>
      </w:r>
    </w:p>
    <w:p w:rsidR="00BC07F0" w:rsidRDefault="00073EFB" w:rsidP="00C55F5E">
      <w:pPr>
        <w:ind w:firstLine="480"/>
        <w:rPr>
          <w:lang w:val="en-GB"/>
        </w:rPr>
      </w:pPr>
      <w:r>
        <w:rPr>
          <w:rFonts w:hint="eastAsia"/>
        </w:rPr>
        <w:t>（</w:t>
      </w:r>
      <w:r>
        <w:rPr>
          <w:rFonts w:hint="eastAsia"/>
        </w:rPr>
        <w:t>5</w:t>
      </w:r>
      <w:r>
        <w:rPr>
          <w:rFonts w:hint="eastAsia"/>
        </w:rPr>
        <w:t>）《地表水资源质量标准》（</w:t>
      </w:r>
      <w:r>
        <w:rPr>
          <w:rFonts w:hint="eastAsia"/>
        </w:rPr>
        <w:t>SL63-94</w:t>
      </w:r>
      <w:r>
        <w:rPr>
          <w:rFonts w:hint="eastAsia"/>
        </w:rPr>
        <w:t>）；</w:t>
      </w:r>
    </w:p>
    <w:p w:rsidR="00BC07F0" w:rsidRDefault="00073EFB" w:rsidP="00C55F5E">
      <w:pPr>
        <w:ind w:firstLine="480"/>
        <w:rPr>
          <w:lang w:val="en-GB"/>
        </w:rPr>
      </w:pPr>
      <w:r>
        <w:rPr>
          <w:rFonts w:hint="eastAsia"/>
        </w:rPr>
        <w:t>（</w:t>
      </w:r>
      <w:r>
        <w:rPr>
          <w:rFonts w:hint="eastAsia"/>
        </w:rPr>
        <w:t>6</w:t>
      </w:r>
      <w:r>
        <w:rPr>
          <w:rFonts w:hint="eastAsia"/>
        </w:rPr>
        <w:t>）《城镇污水处理厂污染物排放标准》（</w:t>
      </w:r>
      <w:r>
        <w:rPr>
          <w:rFonts w:hint="eastAsia"/>
        </w:rPr>
        <w:t>GB18918-2002</w:t>
      </w:r>
      <w:r>
        <w:rPr>
          <w:rFonts w:hint="eastAsia"/>
        </w:rPr>
        <w:t>）；</w:t>
      </w:r>
    </w:p>
    <w:p w:rsidR="00BC07F0" w:rsidRDefault="00073EFB" w:rsidP="00C55F5E">
      <w:pPr>
        <w:ind w:firstLine="480"/>
        <w:rPr>
          <w:lang w:val="en-GB"/>
        </w:rPr>
      </w:pPr>
      <w:r>
        <w:rPr>
          <w:rFonts w:hint="eastAsia"/>
        </w:rPr>
        <w:t>（</w:t>
      </w:r>
      <w:r>
        <w:rPr>
          <w:rFonts w:hint="eastAsia"/>
        </w:rPr>
        <w:t>7</w:t>
      </w:r>
      <w:r>
        <w:rPr>
          <w:rFonts w:hint="eastAsia"/>
        </w:rPr>
        <w:t>）</w:t>
      </w:r>
      <w:r>
        <w:rPr>
          <w:rFonts w:hint="eastAsia"/>
          <w:lang w:val="en-GB"/>
        </w:rPr>
        <w:t>《污水综合排放标准》（</w:t>
      </w:r>
      <w:r>
        <w:rPr>
          <w:rFonts w:hint="eastAsia"/>
          <w:lang w:val="en-GB"/>
        </w:rPr>
        <w:t>GB8978-1996</w:t>
      </w:r>
      <w:r>
        <w:rPr>
          <w:rFonts w:hint="eastAsia"/>
          <w:lang w:val="en-GB"/>
        </w:rPr>
        <w:t>）</w:t>
      </w:r>
    </w:p>
    <w:p w:rsidR="00BC07F0" w:rsidRDefault="00073EFB" w:rsidP="00C55F5E">
      <w:pPr>
        <w:pStyle w:val="3"/>
        <w:ind w:firstLine="482"/>
      </w:pPr>
      <w:r>
        <w:t>1.</w:t>
      </w:r>
      <w:r>
        <w:rPr>
          <w:rFonts w:hint="eastAsia"/>
        </w:rPr>
        <w:t>2</w:t>
      </w:r>
      <w:r>
        <w:t>.</w:t>
      </w:r>
      <w:r>
        <w:rPr>
          <w:rFonts w:hint="eastAsia"/>
        </w:rPr>
        <w:t>3</w:t>
      </w:r>
      <w:r>
        <w:rPr>
          <w:rFonts w:hint="eastAsia"/>
        </w:rPr>
        <w:t>项目相关技术资料</w:t>
      </w:r>
    </w:p>
    <w:p w:rsidR="00BC07F0" w:rsidRDefault="00073EFB" w:rsidP="00C55F5E">
      <w:pPr>
        <w:ind w:firstLine="480"/>
      </w:pPr>
      <w:r>
        <w:rPr>
          <w:rFonts w:hint="eastAsia"/>
        </w:rPr>
        <w:t>（</w:t>
      </w:r>
      <w:r>
        <w:rPr>
          <w:rFonts w:hint="eastAsia"/>
        </w:rPr>
        <w:t>1</w:t>
      </w:r>
      <w:r>
        <w:rPr>
          <w:rFonts w:hint="eastAsia"/>
        </w:rPr>
        <w:t>）</w:t>
      </w:r>
      <w:r>
        <w:rPr>
          <w:rFonts w:hint="eastAsia"/>
        </w:rPr>
        <w:t>项目环评委托书；</w:t>
      </w:r>
    </w:p>
    <w:p w:rsidR="00BC07F0" w:rsidRDefault="00073EFB" w:rsidP="00C55F5E">
      <w:pPr>
        <w:ind w:firstLine="480"/>
      </w:pPr>
      <w:r>
        <w:rPr>
          <w:rFonts w:hint="eastAsia"/>
        </w:rPr>
        <w:t>（</w:t>
      </w:r>
      <w:r>
        <w:rPr>
          <w:rFonts w:hint="eastAsia"/>
        </w:rPr>
        <w:t>2</w:t>
      </w:r>
      <w:r>
        <w:rPr>
          <w:rFonts w:hint="eastAsia"/>
        </w:rPr>
        <w:t>）</w:t>
      </w:r>
      <w:r>
        <w:rPr>
          <w:rFonts w:hint="eastAsia"/>
        </w:rPr>
        <w:t>项目建设方案及图纸。</w:t>
      </w:r>
    </w:p>
    <w:p w:rsidR="00BC07F0" w:rsidRDefault="00073EFB" w:rsidP="00C55F5E">
      <w:pPr>
        <w:pStyle w:val="2"/>
        <w:ind w:firstLine="482"/>
      </w:pPr>
      <w:bookmarkStart w:id="165" w:name="_Toc26163"/>
      <w:r>
        <w:rPr>
          <w:rFonts w:hint="eastAsia"/>
        </w:rPr>
        <w:lastRenderedPageBreak/>
        <w:t>1.3</w:t>
      </w:r>
      <w:r>
        <w:t>评价因子与评价标准</w:t>
      </w:r>
      <w:bookmarkEnd w:id="165"/>
    </w:p>
    <w:p w:rsidR="00BC07F0" w:rsidRDefault="00073EFB" w:rsidP="00C55F5E">
      <w:pPr>
        <w:pStyle w:val="3"/>
        <w:ind w:firstLine="482"/>
      </w:pPr>
      <w:bookmarkStart w:id="166" w:name="2.2.1_环境影响因素识别"/>
      <w:bookmarkEnd w:id="166"/>
      <w:r>
        <w:rPr>
          <w:rFonts w:hint="eastAsia"/>
        </w:rPr>
        <w:t>1.3.1</w:t>
      </w:r>
      <w:r>
        <w:rPr>
          <w:rFonts w:hint="eastAsia"/>
        </w:rPr>
        <w:t>环境影响因素识别</w:t>
      </w:r>
    </w:p>
    <w:p w:rsidR="00BC07F0" w:rsidRDefault="00073EFB" w:rsidP="00C55F5E">
      <w:pPr>
        <w:ind w:firstLine="480"/>
      </w:pPr>
      <w:r>
        <w:t>根据工程特点、项目所处区域的环</w:t>
      </w:r>
      <w:r>
        <w:t>境特征以及工程对环境影响的途径与程度，经过分析，项目运营期主要地表水环境影响因素如下表所示。</w:t>
      </w:r>
    </w:p>
    <w:p w:rsidR="00BC07F0" w:rsidRDefault="00073EFB">
      <w:pPr>
        <w:pStyle w:val="a7"/>
        <w:rPr>
          <w:rFonts w:hint="default"/>
          <w:b/>
          <w:bCs/>
        </w:rPr>
      </w:pPr>
      <w:r>
        <w:rPr>
          <w:rFonts w:hint="default"/>
          <w:b/>
          <w:bCs/>
        </w:rPr>
        <w:t>表</w:t>
      </w:r>
      <w:r>
        <w:rPr>
          <w:b/>
          <w:bCs/>
        </w:rPr>
        <w:t>1.3-1</w:t>
      </w:r>
      <w:r>
        <w:rPr>
          <w:rFonts w:hint="default"/>
          <w:b/>
          <w:bCs/>
        </w:rPr>
        <w:t>环境影响评价因素筛选表</w:t>
      </w:r>
    </w:p>
    <w:tbl>
      <w:tblPr>
        <w:tblW w:w="496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2312"/>
        <w:gridCol w:w="5951"/>
      </w:tblGrid>
      <w:tr w:rsidR="00BC07F0">
        <w:trPr>
          <w:trHeight w:val="397"/>
          <w:jc w:val="center"/>
        </w:trPr>
        <w:tc>
          <w:tcPr>
            <w:tcW w:w="1399" w:type="pct"/>
            <w:tcBorders>
              <w:tl2br w:val="nil"/>
              <w:tr2bl w:val="nil"/>
            </w:tcBorders>
            <w:vAlign w:val="center"/>
          </w:tcPr>
          <w:p w:rsidR="00BC07F0" w:rsidRDefault="00073EFB">
            <w:pPr>
              <w:pStyle w:val="a7"/>
              <w:rPr>
                <w:rFonts w:hint="default"/>
              </w:rPr>
            </w:pPr>
            <w:r>
              <w:t>影响因素</w:t>
            </w:r>
          </w:p>
        </w:tc>
        <w:tc>
          <w:tcPr>
            <w:tcW w:w="3600" w:type="pct"/>
            <w:tcBorders>
              <w:tl2br w:val="nil"/>
              <w:tr2bl w:val="nil"/>
            </w:tcBorders>
            <w:vAlign w:val="center"/>
          </w:tcPr>
          <w:p w:rsidR="00BC07F0" w:rsidRDefault="00073EFB">
            <w:pPr>
              <w:pStyle w:val="a7"/>
              <w:rPr>
                <w:rFonts w:hint="default"/>
              </w:rPr>
            </w:pPr>
            <w:r>
              <w:t>主要环境影响</w:t>
            </w:r>
          </w:p>
        </w:tc>
      </w:tr>
      <w:tr w:rsidR="00BC07F0">
        <w:trPr>
          <w:trHeight w:val="397"/>
          <w:jc w:val="center"/>
        </w:trPr>
        <w:tc>
          <w:tcPr>
            <w:tcW w:w="1399" w:type="pct"/>
            <w:tcBorders>
              <w:tl2br w:val="nil"/>
              <w:tr2bl w:val="nil"/>
            </w:tcBorders>
            <w:vAlign w:val="center"/>
          </w:tcPr>
          <w:p w:rsidR="00BC07F0" w:rsidRDefault="00073EFB">
            <w:pPr>
              <w:pStyle w:val="a7"/>
              <w:rPr>
                <w:rFonts w:hint="default"/>
              </w:rPr>
            </w:pPr>
            <w:r>
              <w:t>铜桥港污水处理厂</w:t>
            </w:r>
            <w:r>
              <w:t>污水处理厂尾水</w:t>
            </w:r>
          </w:p>
        </w:tc>
        <w:tc>
          <w:tcPr>
            <w:tcW w:w="3600" w:type="pct"/>
            <w:tcBorders>
              <w:tl2br w:val="nil"/>
              <w:tr2bl w:val="nil"/>
            </w:tcBorders>
            <w:vAlign w:val="center"/>
          </w:tcPr>
          <w:p w:rsidR="00BC07F0" w:rsidRDefault="00073EFB">
            <w:pPr>
              <w:pStyle w:val="a7"/>
              <w:rPr>
                <w:rFonts w:hint="default"/>
              </w:rPr>
            </w:pPr>
            <w:r>
              <w:t>尾水排放对受纳水体及下游水环境质量、水环境功能区的影响</w:t>
            </w:r>
          </w:p>
        </w:tc>
      </w:tr>
    </w:tbl>
    <w:p w:rsidR="00BC07F0" w:rsidRDefault="00073EFB" w:rsidP="00C55F5E">
      <w:pPr>
        <w:pStyle w:val="3"/>
        <w:ind w:firstLine="482"/>
      </w:pPr>
      <w:bookmarkStart w:id="167" w:name="2.2.2_评价因子"/>
      <w:bookmarkEnd w:id="167"/>
      <w:r>
        <w:rPr>
          <w:rFonts w:hint="eastAsia"/>
        </w:rPr>
        <w:t>1.3.2</w:t>
      </w:r>
      <w:r>
        <w:rPr>
          <w:rFonts w:hint="eastAsia"/>
        </w:rPr>
        <w:t>评价因子</w:t>
      </w:r>
    </w:p>
    <w:p w:rsidR="00BC07F0" w:rsidRDefault="00073EFB" w:rsidP="00C55F5E">
      <w:pPr>
        <w:ind w:firstLine="480"/>
      </w:pPr>
      <w:r>
        <w:t>结合周围区域环境质量现状和项目特点、污染物排放规律以及排放量，确定本项目的评价因子见</w:t>
      </w:r>
      <w:r>
        <w:rPr>
          <w:rFonts w:hint="eastAsia"/>
        </w:rPr>
        <w:t>下表</w:t>
      </w:r>
      <w:r>
        <w:t>。</w:t>
      </w:r>
    </w:p>
    <w:p w:rsidR="00BC07F0" w:rsidRDefault="00073EFB">
      <w:pPr>
        <w:pStyle w:val="a7"/>
        <w:rPr>
          <w:rFonts w:hint="default"/>
          <w:b/>
          <w:bCs/>
        </w:rPr>
      </w:pPr>
      <w:r>
        <w:rPr>
          <w:b/>
          <w:bCs/>
        </w:rPr>
        <w:t>表</w:t>
      </w:r>
      <w:r>
        <w:rPr>
          <w:b/>
          <w:bCs/>
        </w:rPr>
        <w:t>1.3-2</w:t>
      </w:r>
      <w:r>
        <w:rPr>
          <w:b/>
          <w:bCs/>
        </w:rPr>
        <w:t>环境评价因子一览表</w:t>
      </w:r>
    </w:p>
    <w:tbl>
      <w:tblPr>
        <w:tblW w:w="4999"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tblPr>
      <w:tblGrid>
        <w:gridCol w:w="1059"/>
        <w:gridCol w:w="1610"/>
        <w:gridCol w:w="5645"/>
      </w:tblGrid>
      <w:tr w:rsidR="00BC07F0">
        <w:trPr>
          <w:trHeight w:val="340"/>
        </w:trPr>
        <w:tc>
          <w:tcPr>
            <w:tcW w:w="637"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环境要素</w:t>
            </w:r>
          </w:p>
        </w:tc>
        <w:tc>
          <w:tcPr>
            <w:tcW w:w="968"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评价类别</w:t>
            </w:r>
          </w:p>
        </w:tc>
        <w:tc>
          <w:tcPr>
            <w:tcW w:w="3394"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评价因子</w:t>
            </w:r>
          </w:p>
        </w:tc>
      </w:tr>
      <w:tr w:rsidR="00BC07F0">
        <w:trPr>
          <w:trHeight w:val="535"/>
        </w:trPr>
        <w:tc>
          <w:tcPr>
            <w:tcW w:w="637" w:type="pct"/>
            <w:vMerge w:val="restar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地表水</w:t>
            </w:r>
          </w:p>
        </w:tc>
        <w:tc>
          <w:tcPr>
            <w:tcW w:w="968"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地表水现状评价</w:t>
            </w:r>
          </w:p>
        </w:tc>
        <w:tc>
          <w:tcPr>
            <w:tcW w:w="3394"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pH</w:t>
            </w:r>
            <w:r>
              <w:rPr>
                <w:rFonts w:hint="default"/>
              </w:rPr>
              <w:t>、</w:t>
            </w:r>
            <w:r>
              <w:rPr>
                <w:rFonts w:hint="default"/>
              </w:rPr>
              <w:t>COD</w:t>
            </w:r>
            <w:r>
              <w:rPr>
                <w:rFonts w:hint="default"/>
              </w:rPr>
              <w:t>、</w:t>
            </w:r>
            <w:r>
              <w:rPr>
                <w:rFonts w:hint="default"/>
              </w:rPr>
              <w:t>BOD</w:t>
            </w:r>
            <w:r>
              <w:rPr>
                <w:rFonts w:hint="default"/>
                <w:vertAlign w:val="subscript"/>
              </w:rPr>
              <w:t>5</w:t>
            </w:r>
            <w:r>
              <w:rPr>
                <w:rFonts w:hint="default"/>
              </w:rPr>
              <w:t>、</w:t>
            </w:r>
            <w:r>
              <w:rPr>
                <w:rFonts w:hint="default"/>
              </w:rPr>
              <w:t>SS</w:t>
            </w:r>
            <w:r>
              <w:rPr>
                <w:rFonts w:hint="default"/>
              </w:rPr>
              <w:t>、</w:t>
            </w:r>
            <w:r>
              <w:rPr>
                <w:rFonts w:hint="default"/>
              </w:rPr>
              <w:t>DO</w:t>
            </w:r>
            <w:r>
              <w:rPr>
                <w:rFonts w:hint="default"/>
              </w:rPr>
              <w:t>、</w:t>
            </w:r>
            <w:r>
              <w:rPr>
                <w:rFonts w:hint="default"/>
              </w:rPr>
              <w:t>NH</w:t>
            </w:r>
            <w:r>
              <w:rPr>
                <w:rFonts w:hint="default"/>
                <w:vertAlign w:val="subscript"/>
              </w:rPr>
              <w:t>3</w:t>
            </w:r>
            <w:r>
              <w:rPr>
                <w:rFonts w:hint="default"/>
              </w:rPr>
              <w:t>-N</w:t>
            </w:r>
            <w:r>
              <w:rPr>
                <w:rFonts w:hint="default"/>
              </w:rPr>
              <w:t>、</w:t>
            </w:r>
            <w:r>
              <w:rPr>
                <w:rFonts w:hint="default"/>
              </w:rPr>
              <w:t>TN</w:t>
            </w:r>
            <w:r>
              <w:rPr>
                <w:rFonts w:hint="default"/>
              </w:rPr>
              <w:t>、</w:t>
            </w:r>
            <w:r>
              <w:rPr>
                <w:rFonts w:hint="default"/>
              </w:rPr>
              <w:t>TP</w:t>
            </w:r>
            <w:r>
              <w:rPr>
                <w:rFonts w:hint="default"/>
              </w:rPr>
              <w:t>、阴离子表面活性剂、粪大肠菌群</w:t>
            </w:r>
          </w:p>
        </w:tc>
      </w:tr>
      <w:tr w:rsidR="00BC07F0">
        <w:trPr>
          <w:trHeight w:val="314"/>
        </w:trPr>
        <w:tc>
          <w:tcPr>
            <w:tcW w:w="637" w:type="pct"/>
            <w:vMerge/>
            <w:tcBorders>
              <w:top w:val="single" w:sz="4" w:space="0" w:color="000000"/>
              <w:left w:val="single" w:sz="4" w:space="0" w:color="000000"/>
              <w:bottom w:val="single" w:sz="4" w:space="0" w:color="000000"/>
              <w:right w:val="single" w:sz="4" w:space="0" w:color="000000"/>
            </w:tcBorders>
            <w:vAlign w:val="center"/>
          </w:tcPr>
          <w:p w:rsidR="00BC07F0" w:rsidRDefault="00BC07F0">
            <w:pPr>
              <w:pStyle w:val="a7"/>
              <w:rPr>
                <w:rFonts w:hint="default"/>
              </w:rPr>
            </w:pPr>
          </w:p>
        </w:tc>
        <w:tc>
          <w:tcPr>
            <w:tcW w:w="968"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地表水影响分析</w:t>
            </w:r>
          </w:p>
        </w:tc>
        <w:tc>
          <w:tcPr>
            <w:tcW w:w="3394"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COD</w:t>
            </w:r>
            <w:r>
              <w:rPr>
                <w:rFonts w:hint="default"/>
              </w:rPr>
              <w:t>、</w:t>
            </w:r>
            <w:r>
              <w:rPr>
                <w:rFonts w:hint="default"/>
              </w:rPr>
              <w:t>NH</w:t>
            </w:r>
            <w:r>
              <w:rPr>
                <w:rFonts w:hint="default"/>
                <w:vertAlign w:val="subscript"/>
              </w:rPr>
              <w:t>3</w:t>
            </w:r>
            <w:r>
              <w:rPr>
                <w:rFonts w:hint="default"/>
              </w:rPr>
              <w:t>-N</w:t>
            </w:r>
          </w:p>
        </w:tc>
      </w:tr>
    </w:tbl>
    <w:p w:rsidR="00BC07F0" w:rsidRDefault="00073EFB" w:rsidP="00C55F5E">
      <w:pPr>
        <w:pStyle w:val="3"/>
        <w:ind w:firstLine="482"/>
      </w:pPr>
      <w:bookmarkStart w:id="168" w:name="2.2.3_评价标准"/>
      <w:bookmarkEnd w:id="168"/>
      <w:r>
        <w:rPr>
          <w:rFonts w:hint="eastAsia"/>
        </w:rPr>
        <w:t>1.3.3</w:t>
      </w:r>
      <w:r>
        <w:rPr>
          <w:rFonts w:hint="eastAsia"/>
        </w:rPr>
        <w:t>评价标准</w:t>
      </w:r>
    </w:p>
    <w:p w:rsidR="00BC07F0" w:rsidRDefault="00073EFB" w:rsidP="00C55F5E">
      <w:pPr>
        <w:ind w:firstLine="480"/>
      </w:pPr>
      <w:r>
        <w:rPr>
          <w:rFonts w:hint="eastAsia"/>
        </w:rPr>
        <w:t>（</w:t>
      </w:r>
      <w:r>
        <w:rPr>
          <w:rFonts w:hint="eastAsia"/>
        </w:rPr>
        <w:t>1</w:t>
      </w:r>
      <w:r>
        <w:rPr>
          <w:rFonts w:hint="eastAsia"/>
        </w:rPr>
        <w:t>）</w:t>
      </w:r>
      <w:r>
        <w:t>环境质量标准</w:t>
      </w:r>
    </w:p>
    <w:p w:rsidR="00BC07F0" w:rsidRDefault="00073EFB" w:rsidP="00C55F5E">
      <w:pPr>
        <w:ind w:firstLine="480"/>
      </w:pPr>
      <w:r>
        <w:t>项目受纳水体为</w:t>
      </w:r>
      <w:r>
        <w:rPr>
          <w:rFonts w:hint="eastAsia"/>
        </w:rPr>
        <w:t>湘江（铜桥港至江东水厂取水口上游</w:t>
      </w:r>
      <w:r>
        <w:rPr>
          <w:rFonts w:hint="eastAsia"/>
        </w:rPr>
        <w:t>3000</w:t>
      </w:r>
      <w:r>
        <w:rPr>
          <w:rFonts w:hint="eastAsia"/>
        </w:rPr>
        <w:t>米）</w:t>
      </w:r>
      <w:r>
        <w:t>，水体功能为</w:t>
      </w:r>
      <w:r>
        <w:rPr>
          <w:rFonts w:hint="eastAsia"/>
        </w:rPr>
        <w:t>工业用水</w:t>
      </w:r>
      <w:r>
        <w:t>，执行《地表水环境质量标准》（</w:t>
      </w:r>
      <w:r>
        <w:t>GB3838-2002</w:t>
      </w:r>
      <w:r>
        <w:t>）中</w:t>
      </w:r>
      <w:r>
        <w:rPr>
          <w:rFonts w:hint="eastAsia"/>
        </w:rPr>
        <w:t>Ⅲ</w:t>
      </w:r>
      <w:r>
        <w:t>类标准</w:t>
      </w:r>
      <w:r>
        <w:rPr>
          <w:rFonts w:hint="eastAsia"/>
        </w:rPr>
        <w:t>。</w:t>
      </w:r>
    </w:p>
    <w:p w:rsidR="00BC07F0" w:rsidRDefault="00073EFB">
      <w:pPr>
        <w:pStyle w:val="a7"/>
        <w:rPr>
          <w:rFonts w:hint="default"/>
          <w:b/>
          <w:bCs/>
        </w:rPr>
      </w:pPr>
      <w:r>
        <w:rPr>
          <w:rFonts w:hint="default"/>
          <w:b/>
          <w:bCs/>
        </w:rPr>
        <w:t>表</w:t>
      </w:r>
      <w:r>
        <w:rPr>
          <w:b/>
          <w:bCs/>
        </w:rPr>
        <w:t>1.3-3</w:t>
      </w:r>
      <w:r>
        <w:rPr>
          <w:rFonts w:hint="default"/>
          <w:b/>
          <w:bCs/>
        </w:rPr>
        <w:t>《地表水环境质量标准》（</w:t>
      </w:r>
      <w:r>
        <w:rPr>
          <w:rFonts w:hint="default"/>
          <w:b/>
          <w:bCs/>
        </w:rPr>
        <w:t>GB3838-2002</w:t>
      </w:r>
      <w:r>
        <w:rPr>
          <w:rFonts w:hint="default"/>
          <w:b/>
          <w:bCs/>
        </w:rPr>
        <w:t>）单位：</w:t>
      </w:r>
      <w:r>
        <w:rPr>
          <w:rFonts w:hint="default"/>
          <w:b/>
          <w:bCs/>
        </w:rPr>
        <w:t>mg/L</w:t>
      </w:r>
    </w:p>
    <w:tbl>
      <w:tblPr>
        <w:tblW w:w="495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40"/>
        <w:gridCol w:w="3222"/>
        <w:gridCol w:w="4375"/>
      </w:tblGrid>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序号</w:t>
            </w:r>
          </w:p>
        </w:tc>
        <w:tc>
          <w:tcPr>
            <w:tcW w:w="3224" w:type="dxa"/>
            <w:tcBorders>
              <w:tl2br w:val="nil"/>
              <w:tr2bl w:val="nil"/>
            </w:tcBorders>
            <w:vAlign w:val="center"/>
          </w:tcPr>
          <w:p w:rsidR="00BC07F0" w:rsidRDefault="00073EFB">
            <w:pPr>
              <w:pStyle w:val="a7"/>
              <w:rPr>
                <w:rFonts w:hint="default"/>
              </w:rPr>
            </w:pPr>
            <w:r>
              <w:t>检测项目</w:t>
            </w:r>
          </w:p>
        </w:tc>
        <w:tc>
          <w:tcPr>
            <w:tcW w:w="4377" w:type="dxa"/>
            <w:tcBorders>
              <w:tl2br w:val="nil"/>
              <w:tr2bl w:val="nil"/>
            </w:tcBorders>
            <w:vAlign w:val="center"/>
          </w:tcPr>
          <w:p w:rsidR="00BC07F0" w:rsidRDefault="00073EFB">
            <w:pPr>
              <w:pStyle w:val="a7"/>
              <w:rPr>
                <w:rFonts w:hint="default"/>
              </w:rPr>
            </w:pPr>
            <w:r>
              <w:t>参考限值</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1</w:t>
            </w:r>
          </w:p>
        </w:tc>
        <w:tc>
          <w:tcPr>
            <w:tcW w:w="3224" w:type="dxa"/>
            <w:tcBorders>
              <w:tl2br w:val="nil"/>
              <w:tr2bl w:val="nil"/>
            </w:tcBorders>
            <w:vAlign w:val="center"/>
          </w:tcPr>
          <w:p w:rsidR="00BC07F0" w:rsidRDefault="00073EFB">
            <w:pPr>
              <w:pStyle w:val="a7"/>
              <w:rPr>
                <w:rFonts w:hint="default"/>
              </w:rPr>
            </w:pPr>
            <w:r>
              <w:t>水温</w:t>
            </w:r>
          </w:p>
        </w:tc>
        <w:tc>
          <w:tcPr>
            <w:tcW w:w="4377" w:type="dxa"/>
            <w:tcBorders>
              <w:tl2br w:val="nil"/>
              <w:tr2bl w:val="nil"/>
            </w:tcBorders>
            <w:vAlign w:val="center"/>
          </w:tcPr>
          <w:p w:rsidR="00BC07F0" w:rsidRDefault="00073EFB">
            <w:pPr>
              <w:pStyle w:val="a7"/>
              <w:rPr>
                <w:rFonts w:hint="default"/>
              </w:rPr>
            </w:pPr>
            <w:r>
              <w:t>——</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2</w:t>
            </w:r>
          </w:p>
        </w:tc>
        <w:tc>
          <w:tcPr>
            <w:tcW w:w="3224" w:type="dxa"/>
            <w:tcBorders>
              <w:tl2br w:val="nil"/>
              <w:tr2bl w:val="nil"/>
            </w:tcBorders>
            <w:vAlign w:val="center"/>
          </w:tcPr>
          <w:p w:rsidR="00BC07F0" w:rsidRDefault="00073EFB">
            <w:pPr>
              <w:pStyle w:val="a7"/>
              <w:rPr>
                <w:rFonts w:hint="default"/>
              </w:rPr>
            </w:pPr>
            <w:r>
              <w:t>pH</w:t>
            </w:r>
          </w:p>
        </w:tc>
        <w:tc>
          <w:tcPr>
            <w:tcW w:w="4377" w:type="dxa"/>
            <w:tcBorders>
              <w:tl2br w:val="nil"/>
              <w:tr2bl w:val="nil"/>
            </w:tcBorders>
            <w:vAlign w:val="center"/>
          </w:tcPr>
          <w:p w:rsidR="00BC07F0" w:rsidRDefault="00073EFB">
            <w:pPr>
              <w:pStyle w:val="a7"/>
              <w:rPr>
                <w:rFonts w:hint="default"/>
              </w:rPr>
            </w:pPr>
            <w:r>
              <w:t>6~9</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3</w:t>
            </w:r>
          </w:p>
        </w:tc>
        <w:tc>
          <w:tcPr>
            <w:tcW w:w="3224" w:type="dxa"/>
            <w:tcBorders>
              <w:tl2br w:val="nil"/>
              <w:tr2bl w:val="nil"/>
            </w:tcBorders>
            <w:vAlign w:val="center"/>
          </w:tcPr>
          <w:p w:rsidR="00BC07F0" w:rsidRDefault="00073EFB">
            <w:pPr>
              <w:pStyle w:val="a7"/>
              <w:rPr>
                <w:rFonts w:hint="default"/>
              </w:rPr>
            </w:pPr>
            <w:r>
              <w:t>BOD</w:t>
            </w:r>
            <w:r>
              <w:rPr>
                <w:vertAlign w:val="subscript"/>
              </w:rPr>
              <w:t>5</w:t>
            </w:r>
          </w:p>
        </w:tc>
        <w:tc>
          <w:tcPr>
            <w:tcW w:w="4377" w:type="dxa"/>
            <w:tcBorders>
              <w:tl2br w:val="nil"/>
              <w:tr2bl w:val="nil"/>
            </w:tcBorders>
            <w:vAlign w:val="center"/>
          </w:tcPr>
          <w:p w:rsidR="00BC07F0" w:rsidRDefault="00073EFB">
            <w:pPr>
              <w:pStyle w:val="a7"/>
              <w:rPr>
                <w:rFonts w:hint="default"/>
              </w:rPr>
            </w:pPr>
            <w:r>
              <w:t>≤</w:t>
            </w:r>
            <w:r>
              <w:t>4</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4</w:t>
            </w:r>
          </w:p>
        </w:tc>
        <w:tc>
          <w:tcPr>
            <w:tcW w:w="3224" w:type="dxa"/>
            <w:tcBorders>
              <w:tl2br w:val="nil"/>
              <w:tr2bl w:val="nil"/>
            </w:tcBorders>
            <w:vAlign w:val="center"/>
          </w:tcPr>
          <w:p w:rsidR="00BC07F0" w:rsidRDefault="00073EFB">
            <w:pPr>
              <w:pStyle w:val="a7"/>
              <w:rPr>
                <w:rFonts w:hint="default"/>
              </w:rPr>
            </w:pPr>
            <w:r>
              <w:t>COD</w:t>
            </w:r>
          </w:p>
        </w:tc>
        <w:tc>
          <w:tcPr>
            <w:tcW w:w="4377" w:type="dxa"/>
            <w:tcBorders>
              <w:tl2br w:val="nil"/>
              <w:tr2bl w:val="nil"/>
            </w:tcBorders>
            <w:vAlign w:val="center"/>
          </w:tcPr>
          <w:p w:rsidR="00BC07F0" w:rsidRDefault="00073EFB">
            <w:pPr>
              <w:pStyle w:val="a7"/>
              <w:rPr>
                <w:rFonts w:hint="default"/>
              </w:rPr>
            </w:pPr>
            <w:r>
              <w:t>≤</w:t>
            </w:r>
            <w:r>
              <w:t>20</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5</w:t>
            </w:r>
          </w:p>
        </w:tc>
        <w:tc>
          <w:tcPr>
            <w:tcW w:w="3224" w:type="dxa"/>
            <w:tcBorders>
              <w:tl2br w:val="nil"/>
              <w:tr2bl w:val="nil"/>
            </w:tcBorders>
            <w:vAlign w:val="center"/>
          </w:tcPr>
          <w:p w:rsidR="00BC07F0" w:rsidRDefault="00073EFB">
            <w:pPr>
              <w:pStyle w:val="a7"/>
              <w:rPr>
                <w:rFonts w:hint="default"/>
              </w:rPr>
            </w:pPr>
            <w:r>
              <w:t>氨氮</w:t>
            </w:r>
          </w:p>
        </w:tc>
        <w:tc>
          <w:tcPr>
            <w:tcW w:w="4377" w:type="dxa"/>
            <w:tcBorders>
              <w:tl2br w:val="nil"/>
              <w:tr2bl w:val="nil"/>
            </w:tcBorders>
            <w:vAlign w:val="center"/>
          </w:tcPr>
          <w:p w:rsidR="00BC07F0" w:rsidRDefault="00073EFB">
            <w:pPr>
              <w:pStyle w:val="a7"/>
              <w:rPr>
                <w:rFonts w:hint="default"/>
              </w:rPr>
            </w:pPr>
            <w:r>
              <w:t>≤</w:t>
            </w:r>
            <w:r>
              <w:t>1.0</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6</w:t>
            </w:r>
          </w:p>
        </w:tc>
        <w:tc>
          <w:tcPr>
            <w:tcW w:w="3224" w:type="dxa"/>
            <w:tcBorders>
              <w:tl2br w:val="nil"/>
              <w:tr2bl w:val="nil"/>
            </w:tcBorders>
            <w:vAlign w:val="center"/>
          </w:tcPr>
          <w:p w:rsidR="00BC07F0" w:rsidRDefault="00073EFB">
            <w:pPr>
              <w:pStyle w:val="a7"/>
              <w:rPr>
                <w:rFonts w:hint="default"/>
              </w:rPr>
            </w:pPr>
            <w:r>
              <w:t>总磷</w:t>
            </w:r>
          </w:p>
        </w:tc>
        <w:tc>
          <w:tcPr>
            <w:tcW w:w="4377" w:type="dxa"/>
            <w:tcBorders>
              <w:tl2br w:val="nil"/>
              <w:tr2bl w:val="nil"/>
            </w:tcBorders>
            <w:vAlign w:val="center"/>
          </w:tcPr>
          <w:p w:rsidR="00BC07F0" w:rsidRDefault="00073EFB">
            <w:pPr>
              <w:pStyle w:val="a7"/>
              <w:rPr>
                <w:rFonts w:hint="default"/>
              </w:rPr>
            </w:pPr>
            <w:r>
              <w:t>≤</w:t>
            </w:r>
            <w:r>
              <w:t>0.2</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7</w:t>
            </w:r>
          </w:p>
        </w:tc>
        <w:tc>
          <w:tcPr>
            <w:tcW w:w="3224" w:type="dxa"/>
            <w:tcBorders>
              <w:tl2br w:val="nil"/>
              <w:tr2bl w:val="nil"/>
            </w:tcBorders>
            <w:vAlign w:val="center"/>
          </w:tcPr>
          <w:p w:rsidR="00BC07F0" w:rsidRDefault="00073EFB">
            <w:pPr>
              <w:pStyle w:val="a7"/>
              <w:rPr>
                <w:rFonts w:hint="default"/>
              </w:rPr>
            </w:pPr>
            <w:r>
              <w:t>总氮</w:t>
            </w:r>
          </w:p>
        </w:tc>
        <w:tc>
          <w:tcPr>
            <w:tcW w:w="4377" w:type="dxa"/>
            <w:tcBorders>
              <w:tl2br w:val="nil"/>
              <w:tr2bl w:val="nil"/>
            </w:tcBorders>
            <w:vAlign w:val="center"/>
          </w:tcPr>
          <w:p w:rsidR="00BC07F0" w:rsidRDefault="00073EFB">
            <w:pPr>
              <w:pStyle w:val="a7"/>
              <w:rPr>
                <w:rFonts w:hint="default"/>
              </w:rPr>
            </w:pPr>
            <w:r>
              <w:t>≤</w:t>
            </w:r>
            <w:r>
              <w:t>1.0</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8</w:t>
            </w:r>
          </w:p>
        </w:tc>
        <w:tc>
          <w:tcPr>
            <w:tcW w:w="3224" w:type="dxa"/>
            <w:tcBorders>
              <w:tl2br w:val="nil"/>
              <w:tr2bl w:val="nil"/>
            </w:tcBorders>
            <w:vAlign w:val="center"/>
          </w:tcPr>
          <w:p w:rsidR="00BC07F0" w:rsidRDefault="00073EFB">
            <w:pPr>
              <w:pStyle w:val="a7"/>
              <w:rPr>
                <w:rFonts w:hint="default"/>
              </w:rPr>
            </w:pPr>
            <w:r>
              <w:t>透明度</w:t>
            </w:r>
          </w:p>
        </w:tc>
        <w:tc>
          <w:tcPr>
            <w:tcW w:w="4377" w:type="dxa"/>
            <w:tcBorders>
              <w:tl2br w:val="nil"/>
              <w:tr2bl w:val="nil"/>
            </w:tcBorders>
            <w:vAlign w:val="center"/>
          </w:tcPr>
          <w:p w:rsidR="00BC07F0" w:rsidRDefault="00073EFB">
            <w:pPr>
              <w:pStyle w:val="a7"/>
              <w:rPr>
                <w:rFonts w:hint="default"/>
              </w:rPr>
            </w:pPr>
            <w:r>
              <w:t>——</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9</w:t>
            </w:r>
          </w:p>
        </w:tc>
        <w:tc>
          <w:tcPr>
            <w:tcW w:w="3224" w:type="dxa"/>
            <w:tcBorders>
              <w:tl2br w:val="nil"/>
              <w:tr2bl w:val="nil"/>
            </w:tcBorders>
            <w:vAlign w:val="center"/>
          </w:tcPr>
          <w:p w:rsidR="00BC07F0" w:rsidRDefault="00073EFB">
            <w:pPr>
              <w:pStyle w:val="a7"/>
              <w:rPr>
                <w:rFonts w:hint="default"/>
              </w:rPr>
            </w:pPr>
            <w:r>
              <w:t>叶绿素</w:t>
            </w:r>
            <w:r>
              <w:t>a</w:t>
            </w:r>
          </w:p>
        </w:tc>
        <w:tc>
          <w:tcPr>
            <w:tcW w:w="4377" w:type="dxa"/>
            <w:tcBorders>
              <w:tl2br w:val="nil"/>
              <w:tr2bl w:val="nil"/>
            </w:tcBorders>
            <w:vAlign w:val="center"/>
          </w:tcPr>
          <w:p w:rsidR="00BC07F0" w:rsidRDefault="00073EFB">
            <w:pPr>
              <w:pStyle w:val="a7"/>
              <w:rPr>
                <w:rFonts w:hint="default"/>
              </w:rPr>
            </w:pPr>
            <w:r>
              <w:t>——</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10</w:t>
            </w:r>
          </w:p>
        </w:tc>
        <w:tc>
          <w:tcPr>
            <w:tcW w:w="3224" w:type="dxa"/>
            <w:tcBorders>
              <w:tl2br w:val="nil"/>
              <w:tr2bl w:val="nil"/>
            </w:tcBorders>
            <w:vAlign w:val="center"/>
          </w:tcPr>
          <w:p w:rsidR="00BC07F0" w:rsidRDefault="00073EFB">
            <w:pPr>
              <w:pStyle w:val="a7"/>
              <w:rPr>
                <w:rFonts w:hint="default"/>
              </w:rPr>
            </w:pPr>
            <w:r>
              <w:t>高锰酸盐指数</w:t>
            </w:r>
          </w:p>
        </w:tc>
        <w:tc>
          <w:tcPr>
            <w:tcW w:w="4377" w:type="dxa"/>
            <w:tcBorders>
              <w:tl2br w:val="nil"/>
              <w:tr2bl w:val="nil"/>
            </w:tcBorders>
            <w:vAlign w:val="center"/>
          </w:tcPr>
          <w:p w:rsidR="00BC07F0" w:rsidRDefault="00073EFB">
            <w:pPr>
              <w:pStyle w:val="a7"/>
              <w:rPr>
                <w:rFonts w:hint="default"/>
              </w:rPr>
            </w:pPr>
            <w:r>
              <w:t>≤</w:t>
            </w:r>
            <w:r>
              <w:t>6</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11</w:t>
            </w:r>
          </w:p>
        </w:tc>
        <w:tc>
          <w:tcPr>
            <w:tcW w:w="3224" w:type="dxa"/>
            <w:tcBorders>
              <w:tl2br w:val="nil"/>
              <w:tr2bl w:val="nil"/>
            </w:tcBorders>
            <w:vAlign w:val="center"/>
          </w:tcPr>
          <w:p w:rsidR="00BC07F0" w:rsidRDefault="00073EFB">
            <w:pPr>
              <w:pStyle w:val="a7"/>
              <w:rPr>
                <w:rFonts w:hint="default"/>
              </w:rPr>
            </w:pPr>
            <w:r>
              <w:t>悬浮物</w:t>
            </w:r>
          </w:p>
        </w:tc>
        <w:tc>
          <w:tcPr>
            <w:tcW w:w="4377" w:type="dxa"/>
            <w:tcBorders>
              <w:tl2br w:val="nil"/>
              <w:tr2bl w:val="nil"/>
            </w:tcBorders>
            <w:vAlign w:val="center"/>
          </w:tcPr>
          <w:p w:rsidR="00BC07F0" w:rsidRDefault="00073EFB">
            <w:pPr>
              <w:pStyle w:val="a7"/>
              <w:rPr>
                <w:rFonts w:hint="default"/>
              </w:rPr>
            </w:pPr>
            <w:r>
              <w:t>——</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12</w:t>
            </w:r>
          </w:p>
        </w:tc>
        <w:tc>
          <w:tcPr>
            <w:tcW w:w="3224" w:type="dxa"/>
            <w:tcBorders>
              <w:tl2br w:val="nil"/>
              <w:tr2bl w:val="nil"/>
            </w:tcBorders>
            <w:vAlign w:val="center"/>
          </w:tcPr>
          <w:p w:rsidR="00BC07F0" w:rsidRDefault="00073EFB">
            <w:pPr>
              <w:pStyle w:val="a7"/>
              <w:rPr>
                <w:rFonts w:hint="default"/>
              </w:rPr>
            </w:pPr>
            <w:r>
              <w:t>粪大肠菌群</w:t>
            </w:r>
          </w:p>
        </w:tc>
        <w:tc>
          <w:tcPr>
            <w:tcW w:w="4377" w:type="dxa"/>
            <w:tcBorders>
              <w:tl2br w:val="nil"/>
              <w:tr2bl w:val="nil"/>
            </w:tcBorders>
            <w:vAlign w:val="center"/>
          </w:tcPr>
          <w:p w:rsidR="00BC07F0" w:rsidRDefault="00073EFB">
            <w:pPr>
              <w:pStyle w:val="a7"/>
              <w:rPr>
                <w:rFonts w:hint="default"/>
              </w:rPr>
            </w:pPr>
            <w:r>
              <w:t>≤</w:t>
            </w:r>
            <w:r>
              <w:t>10000</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13</w:t>
            </w:r>
          </w:p>
        </w:tc>
        <w:tc>
          <w:tcPr>
            <w:tcW w:w="3224" w:type="dxa"/>
            <w:tcBorders>
              <w:tl2br w:val="nil"/>
              <w:tr2bl w:val="nil"/>
            </w:tcBorders>
            <w:vAlign w:val="center"/>
          </w:tcPr>
          <w:p w:rsidR="00BC07F0" w:rsidRDefault="00073EFB">
            <w:pPr>
              <w:pStyle w:val="a7"/>
              <w:rPr>
                <w:rFonts w:hint="default"/>
              </w:rPr>
            </w:pPr>
            <w:r>
              <w:t>石油类</w:t>
            </w:r>
          </w:p>
        </w:tc>
        <w:tc>
          <w:tcPr>
            <w:tcW w:w="4377" w:type="dxa"/>
            <w:tcBorders>
              <w:tl2br w:val="nil"/>
              <w:tr2bl w:val="nil"/>
            </w:tcBorders>
            <w:vAlign w:val="center"/>
          </w:tcPr>
          <w:p w:rsidR="00BC07F0" w:rsidRDefault="00073EFB">
            <w:pPr>
              <w:pStyle w:val="a7"/>
              <w:rPr>
                <w:rFonts w:hint="default"/>
              </w:rPr>
            </w:pPr>
            <w:r>
              <w:t>≤</w:t>
            </w:r>
            <w:r>
              <w:t>0.05</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lastRenderedPageBreak/>
              <w:t>14</w:t>
            </w:r>
          </w:p>
        </w:tc>
        <w:tc>
          <w:tcPr>
            <w:tcW w:w="3224" w:type="dxa"/>
            <w:tcBorders>
              <w:tl2br w:val="nil"/>
              <w:tr2bl w:val="nil"/>
            </w:tcBorders>
            <w:vAlign w:val="center"/>
          </w:tcPr>
          <w:p w:rsidR="00BC07F0" w:rsidRDefault="00073EFB">
            <w:pPr>
              <w:pStyle w:val="a7"/>
              <w:rPr>
                <w:rFonts w:hint="default"/>
              </w:rPr>
            </w:pPr>
            <w:r>
              <w:t>铅</w:t>
            </w:r>
          </w:p>
        </w:tc>
        <w:tc>
          <w:tcPr>
            <w:tcW w:w="4377" w:type="dxa"/>
            <w:tcBorders>
              <w:tl2br w:val="nil"/>
              <w:tr2bl w:val="nil"/>
            </w:tcBorders>
            <w:vAlign w:val="center"/>
          </w:tcPr>
          <w:p w:rsidR="00BC07F0" w:rsidRDefault="00073EFB">
            <w:pPr>
              <w:pStyle w:val="a7"/>
              <w:rPr>
                <w:rFonts w:hint="default"/>
              </w:rPr>
            </w:pPr>
            <w:r>
              <w:t>≤</w:t>
            </w:r>
            <w:r>
              <w:t>0.05</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15</w:t>
            </w:r>
          </w:p>
        </w:tc>
        <w:tc>
          <w:tcPr>
            <w:tcW w:w="3224" w:type="dxa"/>
            <w:tcBorders>
              <w:tl2br w:val="nil"/>
              <w:tr2bl w:val="nil"/>
            </w:tcBorders>
            <w:vAlign w:val="center"/>
          </w:tcPr>
          <w:p w:rsidR="00BC07F0" w:rsidRDefault="00073EFB">
            <w:pPr>
              <w:pStyle w:val="a7"/>
              <w:rPr>
                <w:rFonts w:hint="default"/>
              </w:rPr>
            </w:pPr>
            <w:r>
              <w:t>镉</w:t>
            </w:r>
          </w:p>
        </w:tc>
        <w:tc>
          <w:tcPr>
            <w:tcW w:w="4377" w:type="dxa"/>
            <w:tcBorders>
              <w:tl2br w:val="nil"/>
              <w:tr2bl w:val="nil"/>
            </w:tcBorders>
            <w:vAlign w:val="center"/>
          </w:tcPr>
          <w:p w:rsidR="00BC07F0" w:rsidRDefault="00073EFB">
            <w:pPr>
              <w:pStyle w:val="a7"/>
              <w:rPr>
                <w:rFonts w:hint="default"/>
              </w:rPr>
            </w:pPr>
            <w:r>
              <w:t>≤</w:t>
            </w:r>
            <w:r>
              <w:t>0.005</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16</w:t>
            </w:r>
          </w:p>
        </w:tc>
        <w:tc>
          <w:tcPr>
            <w:tcW w:w="3224" w:type="dxa"/>
            <w:tcBorders>
              <w:tl2br w:val="nil"/>
              <w:tr2bl w:val="nil"/>
            </w:tcBorders>
            <w:vAlign w:val="center"/>
          </w:tcPr>
          <w:p w:rsidR="00BC07F0" w:rsidRDefault="00073EFB">
            <w:pPr>
              <w:pStyle w:val="a7"/>
              <w:rPr>
                <w:rFonts w:hint="default"/>
              </w:rPr>
            </w:pPr>
            <w:r>
              <w:t>铬</w:t>
            </w:r>
          </w:p>
        </w:tc>
        <w:tc>
          <w:tcPr>
            <w:tcW w:w="4377" w:type="dxa"/>
            <w:tcBorders>
              <w:tl2br w:val="nil"/>
              <w:tr2bl w:val="nil"/>
            </w:tcBorders>
            <w:vAlign w:val="center"/>
          </w:tcPr>
          <w:p w:rsidR="00BC07F0" w:rsidRDefault="00073EFB">
            <w:pPr>
              <w:pStyle w:val="a7"/>
              <w:rPr>
                <w:rFonts w:hint="default"/>
              </w:rPr>
            </w:pPr>
            <w:r>
              <w:t>——</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17</w:t>
            </w:r>
          </w:p>
        </w:tc>
        <w:tc>
          <w:tcPr>
            <w:tcW w:w="3224" w:type="dxa"/>
            <w:tcBorders>
              <w:tl2br w:val="nil"/>
              <w:tr2bl w:val="nil"/>
            </w:tcBorders>
            <w:vAlign w:val="center"/>
          </w:tcPr>
          <w:p w:rsidR="00BC07F0" w:rsidRDefault="00073EFB">
            <w:pPr>
              <w:pStyle w:val="a7"/>
              <w:rPr>
                <w:rFonts w:hint="default"/>
              </w:rPr>
            </w:pPr>
            <w:r>
              <w:t>汞</w:t>
            </w:r>
          </w:p>
        </w:tc>
        <w:tc>
          <w:tcPr>
            <w:tcW w:w="4377" w:type="dxa"/>
            <w:tcBorders>
              <w:tl2br w:val="nil"/>
              <w:tr2bl w:val="nil"/>
            </w:tcBorders>
            <w:vAlign w:val="center"/>
          </w:tcPr>
          <w:p w:rsidR="00BC07F0" w:rsidRDefault="00073EFB">
            <w:pPr>
              <w:pStyle w:val="a7"/>
              <w:rPr>
                <w:rFonts w:hint="default"/>
              </w:rPr>
            </w:pPr>
            <w:r>
              <w:t>≤</w:t>
            </w:r>
            <w:r>
              <w:t>0.0001</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18</w:t>
            </w:r>
          </w:p>
        </w:tc>
        <w:tc>
          <w:tcPr>
            <w:tcW w:w="3224" w:type="dxa"/>
            <w:tcBorders>
              <w:tl2br w:val="nil"/>
              <w:tr2bl w:val="nil"/>
            </w:tcBorders>
            <w:vAlign w:val="center"/>
          </w:tcPr>
          <w:p w:rsidR="00BC07F0" w:rsidRDefault="00073EFB">
            <w:pPr>
              <w:pStyle w:val="a7"/>
              <w:rPr>
                <w:rFonts w:hint="default"/>
              </w:rPr>
            </w:pPr>
            <w:r>
              <w:t>铜</w:t>
            </w:r>
          </w:p>
        </w:tc>
        <w:tc>
          <w:tcPr>
            <w:tcW w:w="4377" w:type="dxa"/>
            <w:tcBorders>
              <w:tl2br w:val="nil"/>
              <w:tr2bl w:val="nil"/>
            </w:tcBorders>
            <w:vAlign w:val="center"/>
          </w:tcPr>
          <w:p w:rsidR="00BC07F0" w:rsidRDefault="00073EFB">
            <w:pPr>
              <w:pStyle w:val="a7"/>
              <w:rPr>
                <w:rFonts w:hint="default"/>
              </w:rPr>
            </w:pPr>
            <w:r>
              <w:t>≤</w:t>
            </w:r>
            <w:r>
              <w:t>1.0</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19</w:t>
            </w:r>
          </w:p>
        </w:tc>
        <w:tc>
          <w:tcPr>
            <w:tcW w:w="3224" w:type="dxa"/>
            <w:tcBorders>
              <w:tl2br w:val="nil"/>
              <w:tr2bl w:val="nil"/>
            </w:tcBorders>
            <w:vAlign w:val="center"/>
          </w:tcPr>
          <w:p w:rsidR="00BC07F0" w:rsidRDefault="00073EFB">
            <w:pPr>
              <w:pStyle w:val="a7"/>
              <w:rPr>
                <w:rFonts w:hint="default"/>
              </w:rPr>
            </w:pPr>
            <w:r>
              <w:t>锌</w:t>
            </w:r>
          </w:p>
        </w:tc>
        <w:tc>
          <w:tcPr>
            <w:tcW w:w="4377" w:type="dxa"/>
            <w:tcBorders>
              <w:tl2br w:val="nil"/>
              <w:tr2bl w:val="nil"/>
            </w:tcBorders>
            <w:vAlign w:val="center"/>
          </w:tcPr>
          <w:p w:rsidR="00BC07F0" w:rsidRDefault="00073EFB">
            <w:pPr>
              <w:pStyle w:val="a7"/>
              <w:rPr>
                <w:rFonts w:hint="default"/>
              </w:rPr>
            </w:pPr>
            <w:r>
              <w:t>≤</w:t>
            </w:r>
            <w:r>
              <w:t>1.0</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20</w:t>
            </w:r>
          </w:p>
        </w:tc>
        <w:tc>
          <w:tcPr>
            <w:tcW w:w="3224" w:type="dxa"/>
            <w:tcBorders>
              <w:tl2br w:val="nil"/>
              <w:tr2bl w:val="nil"/>
            </w:tcBorders>
            <w:vAlign w:val="center"/>
          </w:tcPr>
          <w:p w:rsidR="00BC07F0" w:rsidRDefault="00073EFB">
            <w:pPr>
              <w:pStyle w:val="a7"/>
              <w:rPr>
                <w:rFonts w:hint="default"/>
              </w:rPr>
            </w:pPr>
            <w:r>
              <w:t>砷</w:t>
            </w:r>
          </w:p>
        </w:tc>
        <w:tc>
          <w:tcPr>
            <w:tcW w:w="4377" w:type="dxa"/>
            <w:tcBorders>
              <w:tl2br w:val="nil"/>
              <w:tr2bl w:val="nil"/>
            </w:tcBorders>
            <w:vAlign w:val="center"/>
          </w:tcPr>
          <w:p w:rsidR="00BC07F0" w:rsidRDefault="00073EFB">
            <w:pPr>
              <w:pStyle w:val="a7"/>
              <w:rPr>
                <w:rFonts w:hint="default"/>
              </w:rPr>
            </w:pPr>
            <w:r>
              <w:t>≤</w:t>
            </w:r>
            <w:r>
              <w:t>0.05</w:t>
            </w:r>
          </w:p>
        </w:tc>
      </w:tr>
      <w:tr w:rsidR="00BC07F0">
        <w:trPr>
          <w:trHeight w:val="397"/>
          <w:jc w:val="center"/>
        </w:trPr>
        <w:tc>
          <w:tcPr>
            <w:tcW w:w="840" w:type="dxa"/>
            <w:tcBorders>
              <w:tl2br w:val="nil"/>
              <w:tr2bl w:val="nil"/>
            </w:tcBorders>
            <w:noWrap/>
            <w:vAlign w:val="center"/>
          </w:tcPr>
          <w:p w:rsidR="00BC07F0" w:rsidRDefault="00073EFB">
            <w:pPr>
              <w:pStyle w:val="a7"/>
              <w:rPr>
                <w:rFonts w:hint="default"/>
              </w:rPr>
            </w:pPr>
            <w:r>
              <w:t>21</w:t>
            </w:r>
          </w:p>
        </w:tc>
        <w:tc>
          <w:tcPr>
            <w:tcW w:w="3224" w:type="dxa"/>
            <w:tcBorders>
              <w:tl2br w:val="nil"/>
              <w:tr2bl w:val="nil"/>
            </w:tcBorders>
            <w:vAlign w:val="center"/>
          </w:tcPr>
          <w:p w:rsidR="00BC07F0" w:rsidRDefault="00073EFB">
            <w:pPr>
              <w:pStyle w:val="a7"/>
              <w:rPr>
                <w:rFonts w:hint="default"/>
              </w:rPr>
            </w:pPr>
            <w:r>
              <w:t>镍</w:t>
            </w:r>
          </w:p>
        </w:tc>
        <w:tc>
          <w:tcPr>
            <w:tcW w:w="4377" w:type="dxa"/>
            <w:tcBorders>
              <w:tl2br w:val="nil"/>
              <w:tr2bl w:val="nil"/>
            </w:tcBorders>
            <w:vAlign w:val="center"/>
          </w:tcPr>
          <w:p w:rsidR="00BC07F0" w:rsidRDefault="00073EFB">
            <w:pPr>
              <w:pStyle w:val="a7"/>
              <w:rPr>
                <w:rFonts w:hint="default"/>
              </w:rPr>
            </w:pPr>
            <w:r>
              <w:t>0.02</w:t>
            </w:r>
          </w:p>
        </w:tc>
      </w:tr>
    </w:tbl>
    <w:p w:rsidR="00BC07F0" w:rsidRDefault="00073EFB" w:rsidP="00C55F5E">
      <w:pPr>
        <w:ind w:firstLine="480"/>
      </w:pPr>
      <w:r>
        <w:rPr>
          <w:rFonts w:hint="eastAsia"/>
        </w:rPr>
        <w:t>（</w:t>
      </w:r>
      <w:r>
        <w:rPr>
          <w:rFonts w:hint="eastAsia"/>
        </w:rPr>
        <w:t>2</w:t>
      </w:r>
      <w:r>
        <w:rPr>
          <w:rFonts w:hint="eastAsia"/>
        </w:rPr>
        <w:t>）污染物排放标准</w:t>
      </w:r>
    </w:p>
    <w:p w:rsidR="00BC07F0" w:rsidRDefault="00073EFB" w:rsidP="00C55F5E">
      <w:pPr>
        <w:ind w:firstLine="480"/>
      </w:pPr>
      <w:r>
        <w:t>运营期</w:t>
      </w:r>
      <w:r>
        <w:rPr>
          <w:rFonts w:hint="eastAsia"/>
        </w:rPr>
        <w:t>铜桥港</w:t>
      </w:r>
      <w:r>
        <w:t>污水处理厂尾水排放执行《城镇污水处理厂污染物排放标准》（</w:t>
      </w:r>
      <w:r>
        <w:t>GB18918-2002</w:t>
      </w:r>
      <w:r>
        <w:t>）及其修改单中的一级</w:t>
      </w:r>
      <w:r>
        <w:rPr>
          <w:rFonts w:hint="eastAsia"/>
        </w:rPr>
        <w:t>A</w:t>
      </w:r>
      <w:r>
        <w:t>标准，详见下表。</w:t>
      </w:r>
    </w:p>
    <w:p w:rsidR="00BC07F0" w:rsidRDefault="00073EFB">
      <w:pPr>
        <w:pStyle w:val="a7"/>
        <w:rPr>
          <w:rFonts w:hint="default"/>
          <w:b/>
          <w:bCs/>
        </w:rPr>
      </w:pPr>
      <w:r>
        <w:rPr>
          <w:rFonts w:hint="default"/>
          <w:b/>
          <w:bCs/>
        </w:rPr>
        <w:t>表</w:t>
      </w:r>
      <w:r>
        <w:rPr>
          <w:b/>
          <w:bCs/>
        </w:rPr>
        <w:t>1.3-4</w:t>
      </w:r>
      <w:r>
        <w:rPr>
          <w:rFonts w:hint="default"/>
          <w:b/>
          <w:bCs/>
        </w:rPr>
        <w:t>城镇污水处理厂污染物排放标准（日均值）单位</w:t>
      </w:r>
      <w:r>
        <w:rPr>
          <w:rFonts w:hint="default"/>
          <w:b/>
          <w:bCs/>
        </w:rPr>
        <w:t>mg/L</w:t>
      </w: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4116"/>
        <w:gridCol w:w="4117"/>
      </w:tblGrid>
      <w:tr w:rsidR="00BC07F0">
        <w:trPr>
          <w:trHeight w:val="397"/>
          <w:jc w:val="center"/>
        </w:trPr>
        <w:tc>
          <w:tcPr>
            <w:tcW w:w="2500" w:type="pct"/>
            <w:tcBorders>
              <w:tl2br w:val="nil"/>
              <w:tr2bl w:val="nil"/>
            </w:tcBorders>
            <w:vAlign w:val="center"/>
          </w:tcPr>
          <w:p w:rsidR="00BC07F0" w:rsidRDefault="00073EFB">
            <w:pPr>
              <w:pStyle w:val="a7"/>
              <w:rPr>
                <w:rFonts w:hint="default"/>
              </w:rPr>
            </w:pPr>
            <w:r>
              <w:t>水污染物基本控制项目</w:t>
            </w:r>
          </w:p>
        </w:tc>
        <w:tc>
          <w:tcPr>
            <w:tcW w:w="2500" w:type="pct"/>
            <w:tcBorders>
              <w:tl2br w:val="nil"/>
              <w:tr2bl w:val="nil"/>
            </w:tcBorders>
            <w:vAlign w:val="center"/>
          </w:tcPr>
          <w:p w:rsidR="00BC07F0" w:rsidRDefault="00073EFB">
            <w:pPr>
              <w:pStyle w:val="a7"/>
              <w:rPr>
                <w:rFonts w:hint="default"/>
              </w:rPr>
            </w:pPr>
            <w:r>
              <w:t>一级</w:t>
            </w:r>
            <w:r>
              <w:t>A</w:t>
            </w:r>
            <w:r>
              <w:t>标准</w:t>
            </w:r>
          </w:p>
        </w:tc>
      </w:tr>
      <w:tr w:rsidR="00BC07F0">
        <w:trPr>
          <w:trHeight w:val="397"/>
          <w:jc w:val="center"/>
        </w:trPr>
        <w:tc>
          <w:tcPr>
            <w:tcW w:w="2500" w:type="pct"/>
            <w:tcBorders>
              <w:tl2br w:val="nil"/>
              <w:tr2bl w:val="nil"/>
            </w:tcBorders>
            <w:vAlign w:val="center"/>
          </w:tcPr>
          <w:p w:rsidR="00BC07F0" w:rsidRDefault="00073EFB">
            <w:pPr>
              <w:pStyle w:val="a7"/>
              <w:rPr>
                <w:rFonts w:hint="default"/>
              </w:rPr>
            </w:pPr>
            <w:r>
              <w:t>化学需氧量（</w:t>
            </w:r>
            <w:r>
              <w:t>COD</w:t>
            </w:r>
            <w:r>
              <w:t>）</w:t>
            </w:r>
          </w:p>
        </w:tc>
        <w:tc>
          <w:tcPr>
            <w:tcW w:w="2500" w:type="pct"/>
            <w:tcBorders>
              <w:tl2br w:val="nil"/>
              <w:tr2bl w:val="nil"/>
            </w:tcBorders>
            <w:vAlign w:val="center"/>
          </w:tcPr>
          <w:p w:rsidR="00BC07F0" w:rsidRDefault="00073EFB">
            <w:pPr>
              <w:pStyle w:val="a7"/>
              <w:rPr>
                <w:rFonts w:hint="default"/>
              </w:rPr>
            </w:pPr>
            <w:r>
              <w:t>50</w:t>
            </w:r>
          </w:p>
        </w:tc>
      </w:tr>
      <w:tr w:rsidR="00BC07F0">
        <w:trPr>
          <w:trHeight w:val="397"/>
          <w:jc w:val="center"/>
        </w:trPr>
        <w:tc>
          <w:tcPr>
            <w:tcW w:w="2500" w:type="pct"/>
            <w:tcBorders>
              <w:tl2br w:val="nil"/>
              <w:tr2bl w:val="nil"/>
            </w:tcBorders>
            <w:vAlign w:val="center"/>
          </w:tcPr>
          <w:p w:rsidR="00BC07F0" w:rsidRDefault="00073EFB">
            <w:pPr>
              <w:pStyle w:val="a7"/>
              <w:rPr>
                <w:rFonts w:hint="default"/>
              </w:rPr>
            </w:pPr>
            <w:r>
              <w:t>生化需氧量（</w:t>
            </w:r>
            <w:r>
              <w:t>BOD</w:t>
            </w:r>
            <w:r>
              <w:rPr>
                <w:vertAlign w:val="subscript"/>
              </w:rPr>
              <w:t>5</w:t>
            </w:r>
            <w:r>
              <w:t>）</w:t>
            </w:r>
          </w:p>
        </w:tc>
        <w:tc>
          <w:tcPr>
            <w:tcW w:w="2500" w:type="pct"/>
            <w:tcBorders>
              <w:tl2br w:val="nil"/>
              <w:tr2bl w:val="nil"/>
            </w:tcBorders>
            <w:vAlign w:val="center"/>
          </w:tcPr>
          <w:p w:rsidR="00BC07F0" w:rsidRDefault="00073EFB">
            <w:pPr>
              <w:pStyle w:val="a7"/>
              <w:rPr>
                <w:rFonts w:hint="default"/>
              </w:rPr>
            </w:pPr>
            <w:r>
              <w:t>10</w:t>
            </w:r>
          </w:p>
        </w:tc>
      </w:tr>
      <w:tr w:rsidR="00BC07F0">
        <w:trPr>
          <w:trHeight w:val="397"/>
          <w:jc w:val="center"/>
        </w:trPr>
        <w:tc>
          <w:tcPr>
            <w:tcW w:w="2500" w:type="pct"/>
            <w:tcBorders>
              <w:tl2br w:val="nil"/>
              <w:tr2bl w:val="nil"/>
            </w:tcBorders>
            <w:vAlign w:val="center"/>
          </w:tcPr>
          <w:p w:rsidR="00BC07F0" w:rsidRDefault="00073EFB">
            <w:pPr>
              <w:pStyle w:val="a7"/>
              <w:rPr>
                <w:rFonts w:hint="default"/>
              </w:rPr>
            </w:pPr>
            <w:r>
              <w:t>悬浮物（</w:t>
            </w:r>
            <w:r>
              <w:t>SS</w:t>
            </w:r>
            <w:r>
              <w:t>）</w:t>
            </w:r>
          </w:p>
        </w:tc>
        <w:tc>
          <w:tcPr>
            <w:tcW w:w="4117" w:type="dxa"/>
            <w:tcBorders>
              <w:tl2br w:val="nil"/>
              <w:tr2bl w:val="nil"/>
            </w:tcBorders>
            <w:vAlign w:val="center"/>
          </w:tcPr>
          <w:p w:rsidR="00BC07F0" w:rsidRDefault="00073EFB">
            <w:pPr>
              <w:pStyle w:val="a7"/>
              <w:rPr>
                <w:rFonts w:hint="default"/>
              </w:rPr>
            </w:pPr>
            <w:r>
              <w:t>10</w:t>
            </w:r>
          </w:p>
        </w:tc>
      </w:tr>
      <w:tr w:rsidR="00BC07F0">
        <w:trPr>
          <w:trHeight w:val="397"/>
          <w:jc w:val="center"/>
        </w:trPr>
        <w:tc>
          <w:tcPr>
            <w:tcW w:w="2500" w:type="pct"/>
            <w:tcBorders>
              <w:tl2br w:val="nil"/>
              <w:tr2bl w:val="nil"/>
            </w:tcBorders>
            <w:vAlign w:val="center"/>
          </w:tcPr>
          <w:p w:rsidR="00BC07F0" w:rsidRDefault="00073EFB">
            <w:pPr>
              <w:pStyle w:val="a7"/>
              <w:rPr>
                <w:rFonts w:hint="default"/>
              </w:rPr>
            </w:pPr>
            <w:r>
              <w:t>动植物油</w:t>
            </w:r>
          </w:p>
        </w:tc>
        <w:tc>
          <w:tcPr>
            <w:tcW w:w="4117" w:type="dxa"/>
            <w:tcBorders>
              <w:tl2br w:val="nil"/>
              <w:tr2bl w:val="nil"/>
            </w:tcBorders>
            <w:vAlign w:val="center"/>
          </w:tcPr>
          <w:p w:rsidR="00BC07F0" w:rsidRDefault="00073EFB">
            <w:pPr>
              <w:pStyle w:val="a7"/>
              <w:rPr>
                <w:rFonts w:hint="default"/>
              </w:rPr>
            </w:pPr>
            <w:r>
              <w:t>1</w:t>
            </w:r>
          </w:p>
        </w:tc>
      </w:tr>
      <w:tr w:rsidR="00BC07F0">
        <w:trPr>
          <w:trHeight w:val="397"/>
          <w:jc w:val="center"/>
        </w:trPr>
        <w:tc>
          <w:tcPr>
            <w:tcW w:w="2500" w:type="pct"/>
            <w:tcBorders>
              <w:tl2br w:val="nil"/>
              <w:tr2bl w:val="nil"/>
            </w:tcBorders>
            <w:vAlign w:val="center"/>
          </w:tcPr>
          <w:p w:rsidR="00BC07F0" w:rsidRDefault="00073EFB">
            <w:pPr>
              <w:pStyle w:val="a7"/>
              <w:rPr>
                <w:rFonts w:hint="default"/>
              </w:rPr>
            </w:pPr>
            <w:r>
              <w:t>石油类</w:t>
            </w:r>
          </w:p>
        </w:tc>
        <w:tc>
          <w:tcPr>
            <w:tcW w:w="4117" w:type="dxa"/>
            <w:tcBorders>
              <w:tl2br w:val="nil"/>
              <w:tr2bl w:val="nil"/>
            </w:tcBorders>
            <w:vAlign w:val="center"/>
          </w:tcPr>
          <w:p w:rsidR="00BC07F0" w:rsidRDefault="00073EFB">
            <w:pPr>
              <w:pStyle w:val="a7"/>
              <w:rPr>
                <w:rFonts w:hint="default"/>
              </w:rPr>
            </w:pPr>
            <w:r>
              <w:t>1</w:t>
            </w:r>
          </w:p>
        </w:tc>
      </w:tr>
      <w:tr w:rsidR="00BC07F0">
        <w:trPr>
          <w:trHeight w:val="397"/>
          <w:jc w:val="center"/>
        </w:trPr>
        <w:tc>
          <w:tcPr>
            <w:tcW w:w="2500" w:type="pct"/>
            <w:tcBorders>
              <w:tl2br w:val="nil"/>
              <w:tr2bl w:val="nil"/>
            </w:tcBorders>
            <w:vAlign w:val="center"/>
          </w:tcPr>
          <w:p w:rsidR="00BC07F0" w:rsidRDefault="00073EFB">
            <w:pPr>
              <w:pStyle w:val="a7"/>
              <w:rPr>
                <w:rFonts w:hint="default"/>
              </w:rPr>
            </w:pPr>
            <w:r>
              <w:t>阴离子表面活性剂</w:t>
            </w:r>
          </w:p>
        </w:tc>
        <w:tc>
          <w:tcPr>
            <w:tcW w:w="4117" w:type="dxa"/>
            <w:tcBorders>
              <w:tl2br w:val="nil"/>
              <w:tr2bl w:val="nil"/>
            </w:tcBorders>
            <w:vAlign w:val="center"/>
          </w:tcPr>
          <w:p w:rsidR="00BC07F0" w:rsidRDefault="00073EFB">
            <w:pPr>
              <w:pStyle w:val="a7"/>
              <w:rPr>
                <w:rFonts w:hint="default"/>
              </w:rPr>
            </w:pPr>
            <w:r>
              <w:t>0.5</w:t>
            </w:r>
          </w:p>
        </w:tc>
      </w:tr>
      <w:tr w:rsidR="00BC07F0">
        <w:trPr>
          <w:trHeight w:val="397"/>
          <w:jc w:val="center"/>
        </w:trPr>
        <w:tc>
          <w:tcPr>
            <w:tcW w:w="2500" w:type="pct"/>
            <w:tcBorders>
              <w:tl2br w:val="nil"/>
              <w:tr2bl w:val="nil"/>
            </w:tcBorders>
            <w:vAlign w:val="center"/>
          </w:tcPr>
          <w:p w:rsidR="00BC07F0" w:rsidRDefault="00073EFB">
            <w:pPr>
              <w:pStyle w:val="a7"/>
              <w:rPr>
                <w:rFonts w:hint="default"/>
              </w:rPr>
            </w:pPr>
            <w:r>
              <w:t>总氮（以</w:t>
            </w:r>
            <w:r>
              <w:t>N</w:t>
            </w:r>
            <w:r>
              <w:t>计）</w:t>
            </w:r>
          </w:p>
        </w:tc>
        <w:tc>
          <w:tcPr>
            <w:tcW w:w="4117" w:type="dxa"/>
            <w:tcBorders>
              <w:tl2br w:val="nil"/>
              <w:tr2bl w:val="nil"/>
            </w:tcBorders>
            <w:vAlign w:val="center"/>
          </w:tcPr>
          <w:p w:rsidR="00BC07F0" w:rsidRDefault="00073EFB">
            <w:pPr>
              <w:pStyle w:val="a7"/>
              <w:rPr>
                <w:rFonts w:hint="default"/>
              </w:rPr>
            </w:pPr>
            <w:r>
              <w:t>15</w:t>
            </w:r>
          </w:p>
        </w:tc>
      </w:tr>
      <w:tr w:rsidR="00BC07F0">
        <w:trPr>
          <w:trHeight w:val="397"/>
          <w:jc w:val="center"/>
        </w:trPr>
        <w:tc>
          <w:tcPr>
            <w:tcW w:w="2500" w:type="pct"/>
            <w:tcBorders>
              <w:tl2br w:val="nil"/>
              <w:tr2bl w:val="nil"/>
            </w:tcBorders>
            <w:vAlign w:val="center"/>
          </w:tcPr>
          <w:p w:rsidR="00BC07F0" w:rsidRDefault="00073EFB">
            <w:pPr>
              <w:pStyle w:val="a7"/>
              <w:rPr>
                <w:rFonts w:hint="default"/>
              </w:rPr>
            </w:pPr>
            <w:r>
              <w:t>氨氮（以</w:t>
            </w:r>
            <w:r>
              <w:t>N</w:t>
            </w:r>
            <w:r>
              <w:t>计）②</w:t>
            </w:r>
          </w:p>
        </w:tc>
        <w:tc>
          <w:tcPr>
            <w:tcW w:w="4117" w:type="dxa"/>
            <w:tcBorders>
              <w:tl2br w:val="nil"/>
              <w:tr2bl w:val="nil"/>
            </w:tcBorders>
            <w:vAlign w:val="center"/>
          </w:tcPr>
          <w:p w:rsidR="00BC07F0" w:rsidRDefault="00073EFB">
            <w:pPr>
              <w:pStyle w:val="a7"/>
              <w:rPr>
                <w:rFonts w:hint="default"/>
              </w:rPr>
            </w:pPr>
            <w:r>
              <w:t>5</w:t>
            </w:r>
            <w:r>
              <w:t>（</w:t>
            </w:r>
            <w:r>
              <w:t>8</w:t>
            </w:r>
            <w:r>
              <w:t>）</w:t>
            </w:r>
          </w:p>
        </w:tc>
      </w:tr>
      <w:tr w:rsidR="00BC07F0">
        <w:trPr>
          <w:trHeight w:val="397"/>
          <w:jc w:val="center"/>
        </w:trPr>
        <w:tc>
          <w:tcPr>
            <w:tcW w:w="2500" w:type="pct"/>
            <w:tcBorders>
              <w:tl2br w:val="nil"/>
              <w:tr2bl w:val="nil"/>
            </w:tcBorders>
            <w:vAlign w:val="center"/>
          </w:tcPr>
          <w:p w:rsidR="00BC07F0" w:rsidRDefault="00073EFB">
            <w:pPr>
              <w:pStyle w:val="a7"/>
              <w:rPr>
                <w:rFonts w:hint="default"/>
              </w:rPr>
            </w:pPr>
            <w:r>
              <w:t>总磷（以</w:t>
            </w:r>
            <w:r>
              <w:t>P</w:t>
            </w:r>
            <w:r>
              <w:t>计）</w:t>
            </w:r>
          </w:p>
        </w:tc>
        <w:tc>
          <w:tcPr>
            <w:tcW w:w="4117" w:type="dxa"/>
            <w:tcBorders>
              <w:tl2br w:val="nil"/>
              <w:tr2bl w:val="nil"/>
            </w:tcBorders>
            <w:vAlign w:val="center"/>
          </w:tcPr>
          <w:p w:rsidR="00BC07F0" w:rsidRDefault="00073EFB">
            <w:pPr>
              <w:pStyle w:val="a7"/>
              <w:rPr>
                <w:rFonts w:hint="default"/>
              </w:rPr>
            </w:pPr>
            <w:r>
              <w:t>0.5</w:t>
            </w:r>
          </w:p>
        </w:tc>
      </w:tr>
      <w:tr w:rsidR="00BC07F0">
        <w:trPr>
          <w:trHeight w:val="397"/>
          <w:jc w:val="center"/>
        </w:trPr>
        <w:tc>
          <w:tcPr>
            <w:tcW w:w="2500" w:type="pct"/>
            <w:tcBorders>
              <w:tl2br w:val="nil"/>
              <w:tr2bl w:val="nil"/>
            </w:tcBorders>
            <w:vAlign w:val="center"/>
          </w:tcPr>
          <w:p w:rsidR="00BC07F0" w:rsidRDefault="00073EFB">
            <w:pPr>
              <w:pStyle w:val="a7"/>
              <w:rPr>
                <w:rFonts w:hint="default"/>
              </w:rPr>
            </w:pPr>
            <w:r>
              <w:t>色度（稀释倍数）</w:t>
            </w:r>
          </w:p>
        </w:tc>
        <w:tc>
          <w:tcPr>
            <w:tcW w:w="4117" w:type="dxa"/>
            <w:tcBorders>
              <w:tl2br w:val="nil"/>
              <w:tr2bl w:val="nil"/>
            </w:tcBorders>
            <w:vAlign w:val="center"/>
          </w:tcPr>
          <w:p w:rsidR="00BC07F0" w:rsidRDefault="00073EFB">
            <w:pPr>
              <w:pStyle w:val="a7"/>
              <w:rPr>
                <w:rFonts w:hint="default"/>
              </w:rPr>
            </w:pPr>
            <w:r>
              <w:t>30</w:t>
            </w:r>
          </w:p>
        </w:tc>
      </w:tr>
      <w:tr w:rsidR="00BC07F0">
        <w:trPr>
          <w:trHeight w:val="397"/>
          <w:jc w:val="center"/>
        </w:trPr>
        <w:tc>
          <w:tcPr>
            <w:tcW w:w="2500" w:type="pct"/>
            <w:tcBorders>
              <w:tl2br w:val="nil"/>
              <w:tr2bl w:val="nil"/>
            </w:tcBorders>
            <w:vAlign w:val="center"/>
          </w:tcPr>
          <w:p w:rsidR="00BC07F0" w:rsidRDefault="00073EFB">
            <w:pPr>
              <w:pStyle w:val="a7"/>
              <w:rPr>
                <w:rFonts w:hint="default"/>
              </w:rPr>
            </w:pPr>
            <w:r>
              <w:t>pH</w:t>
            </w:r>
          </w:p>
        </w:tc>
        <w:tc>
          <w:tcPr>
            <w:tcW w:w="4117" w:type="dxa"/>
            <w:tcBorders>
              <w:tl2br w:val="nil"/>
              <w:tr2bl w:val="nil"/>
            </w:tcBorders>
            <w:vAlign w:val="center"/>
          </w:tcPr>
          <w:p w:rsidR="00BC07F0" w:rsidRDefault="00073EFB">
            <w:pPr>
              <w:pStyle w:val="a7"/>
              <w:rPr>
                <w:rFonts w:hint="default"/>
              </w:rPr>
            </w:pPr>
            <w:r>
              <w:t>6~9</w:t>
            </w:r>
          </w:p>
        </w:tc>
      </w:tr>
      <w:tr w:rsidR="00BC07F0">
        <w:trPr>
          <w:trHeight w:val="397"/>
          <w:jc w:val="center"/>
        </w:trPr>
        <w:tc>
          <w:tcPr>
            <w:tcW w:w="2500" w:type="pct"/>
            <w:tcBorders>
              <w:tl2br w:val="nil"/>
              <w:tr2bl w:val="nil"/>
            </w:tcBorders>
            <w:vAlign w:val="center"/>
          </w:tcPr>
          <w:p w:rsidR="00BC07F0" w:rsidRDefault="00073EFB">
            <w:pPr>
              <w:pStyle w:val="a7"/>
              <w:rPr>
                <w:rFonts w:hint="default"/>
              </w:rPr>
            </w:pPr>
            <w:r>
              <w:t>粪大肠菌群数（个</w:t>
            </w:r>
            <w:r>
              <w:t>/L</w:t>
            </w:r>
            <w:r>
              <w:t>）</w:t>
            </w:r>
          </w:p>
        </w:tc>
        <w:tc>
          <w:tcPr>
            <w:tcW w:w="4117" w:type="dxa"/>
            <w:tcBorders>
              <w:tl2br w:val="nil"/>
              <w:tr2bl w:val="nil"/>
            </w:tcBorders>
            <w:vAlign w:val="center"/>
          </w:tcPr>
          <w:p w:rsidR="00BC07F0" w:rsidRDefault="00073EFB">
            <w:pPr>
              <w:pStyle w:val="a7"/>
              <w:rPr>
                <w:rFonts w:hint="default"/>
              </w:rPr>
            </w:pPr>
            <w:r>
              <w:t>10</w:t>
            </w:r>
            <w:r>
              <w:rPr>
                <w:vertAlign w:val="superscript"/>
              </w:rPr>
              <w:t>3</w:t>
            </w:r>
          </w:p>
        </w:tc>
      </w:tr>
    </w:tbl>
    <w:p w:rsidR="00BC07F0" w:rsidRDefault="00073EFB" w:rsidP="00C55F5E">
      <w:pPr>
        <w:pStyle w:val="3"/>
        <w:ind w:firstLine="482"/>
      </w:pPr>
      <w:bookmarkStart w:id="169" w:name="_bookmark9"/>
      <w:bookmarkStart w:id="170" w:name="2.3_评价工作等级与评价范围"/>
      <w:bookmarkEnd w:id="169"/>
      <w:bookmarkEnd w:id="170"/>
      <w:r>
        <w:rPr>
          <w:rFonts w:hint="eastAsia"/>
        </w:rPr>
        <w:t>1.3.4</w:t>
      </w:r>
      <w:r>
        <w:rPr>
          <w:rFonts w:hint="eastAsia"/>
        </w:rPr>
        <w:t>评价工作等级与评价范围</w:t>
      </w:r>
    </w:p>
    <w:p w:rsidR="00BC07F0" w:rsidRDefault="00073EFB" w:rsidP="00C55F5E">
      <w:pPr>
        <w:ind w:firstLine="480"/>
      </w:pPr>
      <w:r>
        <w:t>根据《环境影响评价技术导则地表水环境》（</w:t>
      </w:r>
      <w:r>
        <w:t>HJ2.3-2018</w:t>
      </w:r>
      <w:r>
        <w:t>），建设项目地表水环境影响评价等级按照影响类型、排放方式、排放量或影响情况、受纳水体环境质量现状、水环境保护目标等综合确定。水污染影响型建设项目根据排放方式和废水排放量划分评价等级，见表</w:t>
      </w:r>
      <w:r>
        <w:rPr>
          <w:rFonts w:hint="eastAsia"/>
        </w:rPr>
        <w:t>1.3-5</w:t>
      </w:r>
      <w:r>
        <w:t>。直接排放建设项目评价等级分为一级、二级和三级</w:t>
      </w:r>
      <w:r>
        <w:t>A</w:t>
      </w:r>
      <w:r>
        <w:t>，根据废水排放量、水污染物污染当量数确定；间接排放建设项目评价等级为三级</w:t>
      </w:r>
      <w:r>
        <w:t>B</w:t>
      </w:r>
      <w:r>
        <w:t>。</w:t>
      </w:r>
    </w:p>
    <w:p w:rsidR="00BC07F0" w:rsidRDefault="00073EFB">
      <w:pPr>
        <w:pStyle w:val="a7"/>
        <w:rPr>
          <w:rFonts w:hint="default"/>
          <w:b/>
          <w:bCs/>
        </w:rPr>
      </w:pPr>
      <w:r>
        <w:rPr>
          <w:b/>
          <w:bCs/>
        </w:rPr>
        <w:t>表</w:t>
      </w:r>
      <w:r>
        <w:rPr>
          <w:b/>
          <w:bCs/>
        </w:rPr>
        <w:t>1.3-5</w:t>
      </w:r>
      <w:r>
        <w:rPr>
          <w:b/>
          <w:bCs/>
        </w:rPr>
        <w:t>水污染影响型建设项目评级等级判定</w:t>
      </w:r>
    </w:p>
    <w:tbl>
      <w:tblPr>
        <w:tblW w:w="495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tblPr>
      <w:tblGrid>
        <w:gridCol w:w="1701"/>
        <w:gridCol w:w="1847"/>
        <w:gridCol w:w="4685"/>
      </w:tblGrid>
      <w:tr w:rsidR="00BC07F0">
        <w:trPr>
          <w:trHeight w:val="397"/>
        </w:trPr>
        <w:tc>
          <w:tcPr>
            <w:tcW w:w="1033" w:type="pct"/>
            <w:vMerge w:val="restar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lastRenderedPageBreak/>
              <w:t>评价等级</w:t>
            </w:r>
          </w:p>
        </w:tc>
        <w:tc>
          <w:tcPr>
            <w:tcW w:w="3966" w:type="pct"/>
            <w:gridSpan w:val="2"/>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判定依据</w:t>
            </w:r>
          </w:p>
        </w:tc>
      </w:tr>
      <w:tr w:rsidR="00BC07F0">
        <w:trPr>
          <w:trHeight w:val="397"/>
        </w:trPr>
        <w:tc>
          <w:tcPr>
            <w:tcW w:w="1033" w:type="pct"/>
            <w:vMerge/>
            <w:tcBorders>
              <w:top w:val="single" w:sz="4" w:space="0" w:color="000000"/>
              <w:left w:val="single" w:sz="4" w:space="0" w:color="000000"/>
              <w:bottom w:val="single" w:sz="4" w:space="0" w:color="000000"/>
              <w:right w:val="single" w:sz="4" w:space="0" w:color="000000"/>
            </w:tcBorders>
            <w:vAlign w:val="center"/>
          </w:tcPr>
          <w:p w:rsidR="00BC07F0" w:rsidRDefault="00BC07F0">
            <w:pPr>
              <w:pStyle w:val="a7"/>
              <w:rPr>
                <w:rFonts w:hint="default"/>
              </w:rPr>
            </w:pPr>
          </w:p>
        </w:tc>
        <w:tc>
          <w:tcPr>
            <w:tcW w:w="1122"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排放方式</w:t>
            </w:r>
          </w:p>
        </w:tc>
        <w:tc>
          <w:tcPr>
            <w:tcW w:w="2844"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废水排放量</w:t>
            </w:r>
            <w:r>
              <w:rPr>
                <w:rFonts w:hint="default"/>
              </w:rPr>
              <w:t>Q/</w:t>
            </w:r>
            <w:r>
              <w:rPr>
                <w:rFonts w:hint="default"/>
              </w:rPr>
              <w:t>（</w:t>
            </w:r>
            <w:r>
              <w:rPr>
                <w:rFonts w:hint="default"/>
              </w:rPr>
              <w:t>m</w:t>
            </w:r>
            <w:r>
              <w:rPr>
                <w:rFonts w:hint="default"/>
                <w:vertAlign w:val="superscript"/>
              </w:rPr>
              <w:t>3</w:t>
            </w:r>
            <w:r>
              <w:rPr>
                <w:rFonts w:hint="default"/>
              </w:rPr>
              <w:t>/d</w:t>
            </w:r>
            <w:r>
              <w:rPr>
                <w:rFonts w:hint="default"/>
              </w:rPr>
              <w:t>）；水污染物当量数</w:t>
            </w:r>
            <w:r>
              <w:rPr>
                <w:rFonts w:hint="default"/>
              </w:rPr>
              <w:t>W/</w:t>
            </w:r>
            <w:r>
              <w:rPr>
                <w:rFonts w:hint="default"/>
              </w:rPr>
              <w:t>（无量纲）</w:t>
            </w:r>
          </w:p>
        </w:tc>
      </w:tr>
      <w:tr w:rsidR="00BC07F0">
        <w:trPr>
          <w:trHeight w:val="397"/>
        </w:trPr>
        <w:tc>
          <w:tcPr>
            <w:tcW w:w="1033"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一级</w:t>
            </w:r>
          </w:p>
        </w:tc>
        <w:tc>
          <w:tcPr>
            <w:tcW w:w="1122"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直接排放</w:t>
            </w:r>
          </w:p>
        </w:tc>
        <w:tc>
          <w:tcPr>
            <w:tcW w:w="2844"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Q≥20000</w:t>
            </w:r>
            <w:r>
              <w:rPr>
                <w:rFonts w:hint="default"/>
              </w:rPr>
              <w:t>或</w:t>
            </w:r>
            <w:r>
              <w:rPr>
                <w:rFonts w:hint="default"/>
              </w:rPr>
              <w:t>W≥600000</w:t>
            </w:r>
          </w:p>
        </w:tc>
      </w:tr>
      <w:tr w:rsidR="00BC07F0">
        <w:trPr>
          <w:trHeight w:val="397"/>
        </w:trPr>
        <w:tc>
          <w:tcPr>
            <w:tcW w:w="1033"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二级</w:t>
            </w:r>
          </w:p>
        </w:tc>
        <w:tc>
          <w:tcPr>
            <w:tcW w:w="1122"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直接排放</w:t>
            </w:r>
          </w:p>
        </w:tc>
        <w:tc>
          <w:tcPr>
            <w:tcW w:w="2844"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其他</w:t>
            </w:r>
          </w:p>
        </w:tc>
      </w:tr>
      <w:tr w:rsidR="00BC07F0">
        <w:trPr>
          <w:trHeight w:val="397"/>
        </w:trPr>
        <w:tc>
          <w:tcPr>
            <w:tcW w:w="1033"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三级</w:t>
            </w:r>
            <w:r>
              <w:rPr>
                <w:rFonts w:hint="default"/>
              </w:rPr>
              <w:t>A</w:t>
            </w:r>
          </w:p>
        </w:tc>
        <w:tc>
          <w:tcPr>
            <w:tcW w:w="1122"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直接排放</w:t>
            </w:r>
          </w:p>
        </w:tc>
        <w:tc>
          <w:tcPr>
            <w:tcW w:w="2844"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Q&lt;200</w:t>
            </w:r>
            <w:r>
              <w:rPr>
                <w:rFonts w:hint="default"/>
              </w:rPr>
              <w:t>且</w:t>
            </w:r>
            <w:r>
              <w:rPr>
                <w:rFonts w:hint="default"/>
              </w:rPr>
              <w:t>W&lt;6000</w:t>
            </w:r>
          </w:p>
        </w:tc>
      </w:tr>
      <w:tr w:rsidR="00BC07F0">
        <w:trPr>
          <w:trHeight w:val="397"/>
        </w:trPr>
        <w:tc>
          <w:tcPr>
            <w:tcW w:w="1033"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三级</w:t>
            </w:r>
            <w:r>
              <w:rPr>
                <w:rFonts w:hint="default"/>
              </w:rPr>
              <w:t>B</w:t>
            </w:r>
          </w:p>
        </w:tc>
        <w:tc>
          <w:tcPr>
            <w:tcW w:w="1122"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间接排放</w:t>
            </w:r>
          </w:p>
        </w:tc>
        <w:tc>
          <w:tcPr>
            <w:tcW w:w="2844" w:type="pct"/>
            <w:tcBorders>
              <w:top w:val="single" w:sz="4" w:space="0" w:color="000000"/>
              <w:left w:val="single" w:sz="4" w:space="0" w:color="000000"/>
              <w:bottom w:val="single" w:sz="4" w:space="0" w:color="000000"/>
              <w:right w:val="single" w:sz="4" w:space="0" w:color="000000"/>
            </w:tcBorders>
            <w:vAlign w:val="center"/>
          </w:tcPr>
          <w:p w:rsidR="00BC07F0" w:rsidRDefault="00073EFB">
            <w:pPr>
              <w:pStyle w:val="a7"/>
              <w:rPr>
                <w:rFonts w:hint="default"/>
              </w:rPr>
            </w:pPr>
            <w:r>
              <w:rPr>
                <w:rFonts w:hint="default"/>
              </w:rPr>
              <w:t>—</w:t>
            </w:r>
          </w:p>
        </w:tc>
      </w:tr>
    </w:tbl>
    <w:p w:rsidR="00BC07F0" w:rsidRDefault="00073EFB" w:rsidP="00C55F5E">
      <w:pPr>
        <w:ind w:firstLine="480"/>
      </w:pPr>
      <w:r>
        <w:rPr>
          <w:rFonts w:hint="eastAsia"/>
        </w:rPr>
        <w:t>湿地公园可起到净化水体的作用，水生植物吸附悬浮物，铜桥港湿地公园</w:t>
      </w:r>
      <w:r>
        <w:t>主要是表面流人工湿地，总用地面积</w:t>
      </w:r>
      <w:r>
        <w:t>135385.44m</w:t>
      </w:r>
      <w:r>
        <w:rPr>
          <w:vertAlign w:val="superscript"/>
        </w:rPr>
        <w:t>2</w:t>
      </w:r>
      <w:r>
        <w:t>，其中水体用地面积</w:t>
      </w:r>
      <w:r>
        <w:t>56661.26m</w:t>
      </w:r>
      <w:r>
        <w:rPr>
          <w:vertAlign w:val="superscript"/>
        </w:rPr>
        <w:t>2</w:t>
      </w:r>
      <w:r>
        <w:t>，陆地用地面积</w:t>
      </w:r>
      <w:r>
        <w:t>78724.18m</w:t>
      </w:r>
      <w:r>
        <w:rPr>
          <w:vertAlign w:val="superscript"/>
        </w:rPr>
        <w:t>2</w:t>
      </w:r>
      <w:r>
        <w:t>，主要功能是深度净化衡阳市铜桥港污水处理厂尾水和中水再利用，洪水期污水厂尾水不排入湿地，工程不新建排污口</w:t>
      </w:r>
      <w:r>
        <w:t>。</w:t>
      </w:r>
    </w:p>
    <w:p w:rsidR="00BC07F0" w:rsidRDefault="00073EFB">
      <w:pPr>
        <w:pStyle w:val="a7"/>
        <w:rPr>
          <w:rFonts w:hint="default"/>
          <w:b/>
          <w:bCs/>
        </w:rPr>
      </w:pPr>
      <w:r>
        <w:rPr>
          <w:rFonts w:hint="default"/>
          <w:b/>
          <w:bCs/>
        </w:rPr>
        <w:t>表</w:t>
      </w:r>
      <w:r>
        <w:rPr>
          <w:b/>
          <w:bCs/>
        </w:rPr>
        <w:t>1.3-6</w:t>
      </w:r>
      <w:r>
        <w:rPr>
          <w:rFonts w:hint="default"/>
          <w:b/>
          <w:bCs/>
        </w:rPr>
        <w:t>水污染物当量数</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2476"/>
        <w:gridCol w:w="2476"/>
        <w:gridCol w:w="2477"/>
      </w:tblGrid>
      <w:tr w:rsidR="00BC07F0">
        <w:trPr>
          <w:trHeight w:val="397"/>
          <w:jc w:val="center"/>
        </w:trPr>
        <w:tc>
          <w:tcPr>
            <w:tcW w:w="597" w:type="pct"/>
            <w:vAlign w:val="center"/>
          </w:tcPr>
          <w:p w:rsidR="00BC07F0" w:rsidRDefault="00073EFB">
            <w:pPr>
              <w:pStyle w:val="a7"/>
              <w:rPr>
                <w:rFonts w:hint="default"/>
              </w:rPr>
            </w:pPr>
            <w:r>
              <w:rPr>
                <w:rFonts w:hint="default"/>
              </w:rPr>
              <w:t>污染物</w:t>
            </w:r>
          </w:p>
        </w:tc>
        <w:tc>
          <w:tcPr>
            <w:tcW w:w="1467" w:type="pct"/>
            <w:vAlign w:val="center"/>
          </w:tcPr>
          <w:p w:rsidR="00BC07F0" w:rsidRDefault="00073EFB">
            <w:pPr>
              <w:pStyle w:val="a7"/>
              <w:rPr>
                <w:rFonts w:hint="default"/>
              </w:rPr>
            </w:pPr>
            <w:r>
              <w:rPr>
                <w:rFonts w:hint="default"/>
              </w:rPr>
              <w:t>排放总量（</w:t>
            </w:r>
            <w:r>
              <w:rPr>
                <w:rFonts w:hint="default"/>
              </w:rPr>
              <w:t>kg/a</w:t>
            </w:r>
            <w:r>
              <w:rPr>
                <w:rFonts w:hint="default"/>
              </w:rPr>
              <w:t>）</w:t>
            </w:r>
          </w:p>
        </w:tc>
        <w:tc>
          <w:tcPr>
            <w:tcW w:w="1467" w:type="pct"/>
            <w:vAlign w:val="center"/>
          </w:tcPr>
          <w:p w:rsidR="00BC07F0" w:rsidRDefault="00073EFB">
            <w:pPr>
              <w:pStyle w:val="a7"/>
              <w:rPr>
                <w:rFonts w:hint="default"/>
              </w:rPr>
            </w:pPr>
            <w:r>
              <w:rPr>
                <w:rFonts w:hint="default"/>
              </w:rPr>
              <w:t>污染物当量值</w:t>
            </w:r>
            <w:r>
              <w:rPr>
                <w:rFonts w:hint="default"/>
              </w:rPr>
              <w:t>/kg</w:t>
            </w:r>
          </w:p>
        </w:tc>
        <w:tc>
          <w:tcPr>
            <w:tcW w:w="1468" w:type="pct"/>
            <w:vAlign w:val="center"/>
          </w:tcPr>
          <w:p w:rsidR="00BC07F0" w:rsidRDefault="00073EFB">
            <w:pPr>
              <w:pStyle w:val="a7"/>
              <w:rPr>
                <w:rFonts w:hint="default"/>
              </w:rPr>
            </w:pPr>
            <w:r>
              <w:rPr>
                <w:rFonts w:hint="default"/>
              </w:rPr>
              <w:t>当量数</w:t>
            </w:r>
            <w:r>
              <w:rPr>
                <w:rFonts w:hint="default"/>
              </w:rPr>
              <w:t>W/</w:t>
            </w:r>
            <w:r>
              <w:rPr>
                <w:rFonts w:hint="default"/>
              </w:rPr>
              <w:t>（无量纲）</w:t>
            </w:r>
          </w:p>
        </w:tc>
      </w:tr>
      <w:tr w:rsidR="00BC07F0">
        <w:trPr>
          <w:trHeight w:val="397"/>
          <w:jc w:val="center"/>
        </w:trPr>
        <w:tc>
          <w:tcPr>
            <w:tcW w:w="597" w:type="pct"/>
            <w:vAlign w:val="center"/>
          </w:tcPr>
          <w:p w:rsidR="00BC07F0" w:rsidRDefault="00073EFB">
            <w:pPr>
              <w:pStyle w:val="a7"/>
              <w:rPr>
                <w:rFonts w:hint="default"/>
              </w:rPr>
            </w:pPr>
            <w:r>
              <w:rPr>
                <w:rFonts w:hint="default"/>
              </w:rPr>
              <w:t>CODcr</w:t>
            </w:r>
          </w:p>
        </w:tc>
        <w:tc>
          <w:tcPr>
            <w:tcW w:w="1467" w:type="pct"/>
            <w:vAlign w:val="center"/>
          </w:tcPr>
          <w:p w:rsidR="00BC07F0" w:rsidRDefault="00073EFB">
            <w:pPr>
              <w:pStyle w:val="a7"/>
              <w:rPr>
                <w:rFonts w:hint="default"/>
              </w:rPr>
            </w:pPr>
            <w:r>
              <w:t>109500</w:t>
            </w:r>
          </w:p>
        </w:tc>
        <w:tc>
          <w:tcPr>
            <w:tcW w:w="1467" w:type="pct"/>
            <w:vAlign w:val="center"/>
          </w:tcPr>
          <w:p w:rsidR="00BC07F0" w:rsidRDefault="00073EFB">
            <w:pPr>
              <w:pStyle w:val="a7"/>
              <w:rPr>
                <w:rFonts w:hint="default"/>
              </w:rPr>
            </w:pPr>
            <w:r>
              <w:rPr>
                <w:rFonts w:hint="default"/>
              </w:rPr>
              <w:t>1</w:t>
            </w:r>
          </w:p>
        </w:tc>
        <w:tc>
          <w:tcPr>
            <w:tcW w:w="1468" w:type="pct"/>
            <w:vAlign w:val="center"/>
          </w:tcPr>
          <w:p w:rsidR="00BC07F0" w:rsidRDefault="00073EFB">
            <w:pPr>
              <w:pStyle w:val="a7"/>
              <w:rPr>
                <w:rFonts w:hint="default"/>
              </w:rPr>
            </w:pPr>
            <w:r>
              <w:t>109500</w:t>
            </w:r>
          </w:p>
        </w:tc>
      </w:tr>
      <w:tr w:rsidR="00BC07F0">
        <w:trPr>
          <w:trHeight w:val="397"/>
          <w:jc w:val="center"/>
        </w:trPr>
        <w:tc>
          <w:tcPr>
            <w:tcW w:w="597" w:type="pct"/>
            <w:vAlign w:val="center"/>
          </w:tcPr>
          <w:p w:rsidR="00BC07F0" w:rsidRDefault="00073EFB">
            <w:pPr>
              <w:pStyle w:val="a7"/>
              <w:rPr>
                <w:rFonts w:hint="default"/>
              </w:rPr>
            </w:pPr>
            <w:r>
              <w:rPr>
                <w:rFonts w:hint="default"/>
              </w:rPr>
              <w:t>NH</w:t>
            </w:r>
            <w:r>
              <w:rPr>
                <w:rFonts w:hint="default"/>
                <w:vertAlign w:val="subscript"/>
              </w:rPr>
              <w:t>3</w:t>
            </w:r>
            <w:r>
              <w:rPr>
                <w:rFonts w:hint="default"/>
              </w:rPr>
              <w:t>-N</w:t>
            </w:r>
          </w:p>
        </w:tc>
        <w:tc>
          <w:tcPr>
            <w:tcW w:w="1467" w:type="pct"/>
            <w:vAlign w:val="center"/>
          </w:tcPr>
          <w:p w:rsidR="00BC07F0" w:rsidRDefault="00073EFB">
            <w:pPr>
              <w:pStyle w:val="a7"/>
              <w:rPr>
                <w:rFonts w:hint="default"/>
              </w:rPr>
            </w:pPr>
            <w:r>
              <w:t>27375</w:t>
            </w:r>
          </w:p>
        </w:tc>
        <w:tc>
          <w:tcPr>
            <w:tcW w:w="1467" w:type="pct"/>
            <w:vAlign w:val="center"/>
          </w:tcPr>
          <w:p w:rsidR="00BC07F0" w:rsidRDefault="00073EFB">
            <w:pPr>
              <w:pStyle w:val="a7"/>
              <w:rPr>
                <w:rFonts w:hint="default"/>
              </w:rPr>
            </w:pPr>
            <w:r>
              <w:rPr>
                <w:rFonts w:hint="default"/>
              </w:rPr>
              <w:t>0.8</w:t>
            </w:r>
          </w:p>
        </w:tc>
        <w:tc>
          <w:tcPr>
            <w:tcW w:w="1468" w:type="pct"/>
            <w:vAlign w:val="center"/>
          </w:tcPr>
          <w:p w:rsidR="00BC07F0" w:rsidRDefault="00073EFB">
            <w:pPr>
              <w:pStyle w:val="a7"/>
              <w:rPr>
                <w:rFonts w:hint="default"/>
              </w:rPr>
            </w:pPr>
            <w:r>
              <w:t>21900</w:t>
            </w:r>
          </w:p>
        </w:tc>
      </w:tr>
    </w:tbl>
    <w:p w:rsidR="00BC07F0" w:rsidRDefault="00073EFB" w:rsidP="00C55F5E">
      <w:pPr>
        <w:ind w:firstLine="480"/>
      </w:pPr>
      <w:r>
        <w:t>本项目污水处理厂</w:t>
      </w:r>
      <w:r>
        <w:t>Q</w:t>
      </w:r>
      <w:r>
        <w:t>为</w:t>
      </w:r>
      <w:r>
        <w:rPr>
          <w:rFonts w:hint="eastAsia"/>
        </w:rPr>
        <w:t>15000</w:t>
      </w:r>
      <w:r>
        <w:t>m³/d</w:t>
      </w:r>
      <w:r>
        <w:t>，</w:t>
      </w:r>
      <w:r>
        <w:t>Wmax</w:t>
      </w:r>
      <w:r>
        <w:t>＜</w:t>
      </w:r>
      <w:r>
        <w:rPr>
          <w:rFonts w:hint="eastAsia"/>
        </w:rPr>
        <w:t>1</w:t>
      </w:r>
      <w:r>
        <w:t>00000</w:t>
      </w:r>
      <w:r>
        <w:t>，污水处理厂尾水处理后满足《城镇污水处理厂污染物排放标准》（</w:t>
      </w:r>
      <w:r>
        <w:t>GB18918-2002</w:t>
      </w:r>
      <w:r>
        <w:t>）</w:t>
      </w:r>
      <w:r>
        <w:rPr>
          <w:rFonts w:hint="eastAsia"/>
        </w:rPr>
        <w:t>一级</w:t>
      </w:r>
      <w:r>
        <w:rPr>
          <w:rFonts w:hint="eastAsia"/>
        </w:rPr>
        <w:t>A</w:t>
      </w:r>
      <w:r>
        <w:t>标准排放至</w:t>
      </w:r>
      <w:r>
        <w:rPr>
          <w:rFonts w:hint="eastAsia"/>
        </w:rPr>
        <w:t>湘江</w:t>
      </w:r>
      <w:r>
        <w:t>，因此本项目地表水评价等级为二级</w:t>
      </w:r>
      <w:r>
        <w:t>。</w:t>
      </w:r>
      <w:r>
        <w:t>评价范围为项目排污口上游</w:t>
      </w:r>
      <w:r>
        <w:t>500m</w:t>
      </w:r>
      <w:r>
        <w:t>至排污口下游</w:t>
      </w:r>
      <w:r>
        <w:t>2500m</w:t>
      </w:r>
      <w:r>
        <w:t>河段。</w:t>
      </w:r>
    </w:p>
    <w:p w:rsidR="00BC07F0" w:rsidRDefault="00073EFB">
      <w:pPr>
        <w:pStyle w:val="a7"/>
        <w:rPr>
          <w:rFonts w:hint="default"/>
          <w:b/>
          <w:bCs/>
        </w:rPr>
      </w:pPr>
      <w:r>
        <w:rPr>
          <w:rFonts w:hint="default"/>
          <w:b/>
          <w:bCs/>
        </w:rPr>
        <w:t>表</w:t>
      </w:r>
      <w:r>
        <w:rPr>
          <w:b/>
          <w:bCs/>
        </w:rPr>
        <w:t>1.3-7</w:t>
      </w:r>
      <w:r>
        <w:rPr>
          <w:rFonts w:hint="default"/>
          <w:b/>
          <w:bCs/>
        </w:rPr>
        <w:t>本项目评价等级判定</w:t>
      </w:r>
    </w:p>
    <w:tbl>
      <w:tblPr>
        <w:tblW w:w="50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481"/>
        <w:gridCol w:w="1605"/>
        <w:gridCol w:w="1608"/>
        <w:gridCol w:w="2481"/>
        <w:gridCol w:w="1166"/>
      </w:tblGrid>
      <w:tr w:rsidR="00BC07F0">
        <w:trPr>
          <w:trHeight w:val="340"/>
        </w:trPr>
        <w:tc>
          <w:tcPr>
            <w:tcW w:w="887" w:type="pct"/>
            <w:tcBorders>
              <w:tl2br w:val="nil"/>
              <w:tr2bl w:val="nil"/>
            </w:tcBorders>
            <w:vAlign w:val="center"/>
          </w:tcPr>
          <w:p w:rsidR="00BC07F0" w:rsidRDefault="00073EFB">
            <w:pPr>
              <w:pStyle w:val="a7"/>
              <w:rPr>
                <w:rFonts w:hint="default"/>
              </w:rPr>
            </w:pPr>
            <w:r>
              <w:rPr>
                <w:rFonts w:hint="default"/>
              </w:rPr>
              <w:t>项目</w:t>
            </w:r>
          </w:p>
        </w:tc>
        <w:tc>
          <w:tcPr>
            <w:tcW w:w="1926" w:type="pct"/>
            <w:gridSpan w:val="2"/>
            <w:tcBorders>
              <w:tl2br w:val="nil"/>
              <w:tr2bl w:val="nil"/>
            </w:tcBorders>
            <w:vAlign w:val="center"/>
          </w:tcPr>
          <w:p w:rsidR="00BC07F0" w:rsidRDefault="00073EFB">
            <w:pPr>
              <w:pStyle w:val="a7"/>
              <w:rPr>
                <w:rFonts w:hint="default"/>
              </w:rPr>
            </w:pPr>
            <w:r>
              <w:rPr>
                <w:rFonts w:hint="default"/>
              </w:rPr>
              <w:t>本项目情况</w:t>
            </w:r>
          </w:p>
        </w:tc>
        <w:tc>
          <w:tcPr>
            <w:tcW w:w="1486" w:type="pct"/>
            <w:tcBorders>
              <w:tl2br w:val="nil"/>
              <w:tr2bl w:val="nil"/>
            </w:tcBorders>
            <w:vAlign w:val="center"/>
          </w:tcPr>
          <w:p w:rsidR="00BC07F0" w:rsidRDefault="00073EFB">
            <w:pPr>
              <w:pStyle w:val="a7"/>
              <w:rPr>
                <w:rFonts w:hint="default"/>
              </w:rPr>
            </w:pPr>
            <w:r>
              <w:rPr>
                <w:rFonts w:hint="default"/>
              </w:rPr>
              <w:t>判定依据</w:t>
            </w:r>
          </w:p>
        </w:tc>
        <w:tc>
          <w:tcPr>
            <w:tcW w:w="699" w:type="pct"/>
            <w:tcBorders>
              <w:tl2br w:val="nil"/>
              <w:tr2bl w:val="nil"/>
            </w:tcBorders>
            <w:vAlign w:val="center"/>
          </w:tcPr>
          <w:p w:rsidR="00BC07F0" w:rsidRDefault="00073EFB">
            <w:pPr>
              <w:pStyle w:val="a7"/>
              <w:rPr>
                <w:rFonts w:hint="default"/>
              </w:rPr>
            </w:pPr>
            <w:r>
              <w:rPr>
                <w:rFonts w:hint="default"/>
              </w:rPr>
              <w:t>评价等级</w:t>
            </w:r>
          </w:p>
        </w:tc>
      </w:tr>
      <w:tr w:rsidR="00BC07F0">
        <w:trPr>
          <w:trHeight w:val="330"/>
        </w:trPr>
        <w:tc>
          <w:tcPr>
            <w:tcW w:w="887" w:type="pct"/>
            <w:tcBorders>
              <w:tl2br w:val="nil"/>
              <w:tr2bl w:val="nil"/>
            </w:tcBorders>
            <w:vAlign w:val="center"/>
          </w:tcPr>
          <w:p w:rsidR="00BC07F0" w:rsidRDefault="00073EFB">
            <w:pPr>
              <w:pStyle w:val="a7"/>
              <w:rPr>
                <w:rFonts w:hint="default"/>
              </w:rPr>
            </w:pPr>
            <w:r>
              <w:rPr>
                <w:rFonts w:hint="default"/>
              </w:rPr>
              <w:t>废水排放量</w:t>
            </w:r>
          </w:p>
        </w:tc>
        <w:tc>
          <w:tcPr>
            <w:tcW w:w="1926" w:type="pct"/>
            <w:gridSpan w:val="2"/>
            <w:tcBorders>
              <w:tl2br w:val="nil"/>
              <w:tr2bl w:val="nil"/>
            </w:tcBorders>
            <w:vAlign w:val="center"/>
          </w:tcPr>
          <w:p w:rsidR="00BC07F0" w:rsidRDefault="00073EFB">
            <w:pPr>
              <w:pStyle w:val="a7"/>
              <w:rPr>
                <w:rFonts w:hint="default"/>
              </w:rPr>
            </w:pPr>
            <w:r>
              <w:rPr>
                <w:rFonts w:hint="default"/>
              </w:rPr>
              <w:t>Q=</w:t>
            </w:r>
            <w:r>
              <w:t>11.5</w:t>
            </w:r>
            <w:r>
              <w:t>万</w:t>
            </w:r>
            <w:r>
              <w:t>t/d</w:t>
            </w:r>
          </w:p>
        </w:tc>
        <w:tc>
          <w:tcPr>
            <w:tcW w:w="1486" w:type="pct"/>
            <w:tcBorders>
              <w:tl2br w:val="nil"/>
              <w:tr2bl w:val="nil"/>
            </w:tcBorders>
            <w:vAlign w:val="center"/>
          </w:tcPr>
          <w:p w:rsidR="00BC07F0" w:rsidRDefault="00073EFB">
            <w:pPr>
              <w:pStyle w:val="a7"/>
              <w:rPr>
                <w:rFonts w:hint="default"/>
              </w:rPr>
            </w:pPr>
            <w:r>
              <w:rPr>
                <w:rFonts w:hint="default"/>
              </w:rPr>
              <w:t>200m</w:t>
            </w:r>
            <w:r>
              <w:rPr>
                <w:rFonts w:hint="default"/>
                <w:vertAlign w:val="superscript"/>
              </w:rPr>
              <w:t>3</w:t>
            </w:r>
            <w:r>
              <w:rPr>
                <w:rFonts w:hint="default"/>
              </w:rPr>
              <w:t>/d</w:t>
            </w:r>
            <w:r>
              <w:rPr>
                <w:rFonts w:hint="default"/>
              </w:rPr>
              <w:t>＜</w:t>
            </w:r>
            <w:r>
              <w:rPr>
                <w:rFonts w:hint="default"/>
              </w:rPr>
              <w:t>Q</w:t>
            </w:r>
            <w:r>
              <w:rPr>
                <w:rFonts w:hint="default"/>
              </w:rPr>
              <w:t>＜</w:t>
            </w:r>
            <w:r>
              <w:rPr>
                <w:rFonts w:hint="default"/>
              </w:rPr>
              <w:t>20000m</w:t>
            </w:r>
            <w:r>
              <w:rPr>
                <w:rFonts w:hint="default"/>
                <w:vertAlign w:val="superscript"/>
              </w:rPr>
              <w:t>3</w:t>
            </w:r>
            <w:r>
              <w:rPr>
                <w:rFonts w:hint="default"/>
              </w:rPr>
              <w:t>/d</w:t>
            </w:r>
          </w:p>
        </w:tc>
        <w:tc>
          <w:tcPr>
            <w:tcW w:w="699" w:type="pct"/>
            <w:vMerge w:val="restart"/>
            <w:tcBorders>
              <w:tl2br w:val="nil"/>
              <w:tr2bl w:val="nil"/>
            </w:tcBorders>
            <w:vAlign w:val="center"/>
          </w:tcPr>
          <w:p w:rsidR="00BC07F0" w:rsidRDefault="00073EFB">
            <w:pPr>
              <w:pStyle w:val="a7"/>
              <w:rPr>
                <w:rFonts w:hint="default"/>
              </w:rPr>
            </w:pPr>
            <w:r>
              <w:rPr>
                <w:rFonts w:hint="default"/>
              </w:rPr>
              <w:t>二级</w:t>
            </w:r>
          </w:p>
        </w:tc>
      </w:tr>
      <w:tr w:rsidR="00BC07F0">
        <w:trPr>
          <w:trHeight w:val="320"/>
        </w:trPr>
        <w:tc>
          <w:tcPr>
            <w:tcW w:w="887" w:type="pct"/>
            <w:vMerge w:val="restart"/>
            <w:tcBorders>
              <w:tl2br w:val="nil"/>
              <w:tr2bl w:val="nil"/>
            </w:tcBorders>
            <w:vAlign w:val="center"/>
          </w:tcPr>
          <w:p w:rsidR="00BC07F0" w:rsidRDefault="00073EFB">
            <w:pPr>
              <w:pStyle w:val="a7"/>
              <w:rPr>
                <w:rFonts w:hint="default"/>
              </w:rPr>
            </w:pPr>
            <w:r>
              <w:rPr>
                <w:rFonts w:hint="default"/>
              </w:rPr>
              <w:t>水污染物当量数</w:t>
            </w:r>
          </w:p>
        </w:tc>
        <w:tc>
          <w:tcPr>
            <w:tcW w:w="962" w:type="pct"/>
            <w:tcBorders>
              <w:tl2br w:val="nil"/>
              <w:tr2bl w:val="nil"/>
            </w:tcBorders>
            <w:vAlign w:val="center"/>
          </w:tcPr>
          <w:p w:rsidR="00BC07F0" w:rsidRDefault="00073EFB">
            <w:pPr>
              <w:pStyle w:val="a7"/>
              <w:rPr>
                <w:rFonts w:hint="default"/>
              </w:rPr>
            </w:pPr>
            <w:r>
              <w:rPr>
                <w:rFonts w:hint="default"/>
              </w:rPr>
              <w:t>COD</w:t>
            </w:r>
          </w:p>
        </w:tc>
        <w:tc>
          <w:tcPr>
            <w:tcW w:w="964" w:type="pct"/>
            <w:tcBorders>
              <w:tl2br w:val="nil"/>
              <w:tr2bl w:val="nil"/>
            </w:tcBorders>
            <w:vAlign w:val="center"/>
          </w:tcPr>
          <w:p w:rsidR="00BC07F0" w:rsidRDefault="00073EFB">
            <w:pPr>
              <w:pStyle w:val="a7"/>
              <w:rPr>
                <w:rFonts w:hint="default"/>
              </w:rPr>
            </w:pPr>
            <w:r>
              <w:t>109500</w:t>
            </w:r>
          </w:p>
        </w:tc>
        <w:tc>
          <w:tcPr>
            <w:tcW w:w="1486" w:type="pct"/>
            <w:vMerge w:val="restart"/>
            <w:tcBorders>
              <w:tl2br w:val="nil"/>
              <w:tr2bl w:val="nil"/>
            </w:tcBorders>
            <w:vAlign w:val="center"/>
          </w:tcPr>
          <w:p w:rsidR="00BC07F0" w:rsidRDefault="00073EFB">
            <w:pPr>
              <w:pStyle w:val="a7"/>
              <w:rPr>
                <w:rFonts w:hint="default"/>
              </w:rPr>
            </w:pPr>
            <w:r>
              <w:rPr>
                <w:rFonts w:hint="default"/>
              </w:rPr>
              <w:t>W</w:t>
            </w:r>
            <w:r>
              <w:t>=131400</w:t>
            </w:r>
            <w:r>
              <w:rPr>
                <w:rFonts w:hint="default"/>
              </w:rPr>
              <w:t>＜</w:t>
            </w:r>
            <w:r>
              <w:rPr>
                <w:rFonts w:hint="default"/>
              </w:rPr>
              <w:t>600000</w:t>
            </w:r>
          </w:p>
        </w:tc>
        <w:tc>
          <w:tcPr>
            <w:tcW w:w="699" w:type="pct"/>
            <w:vMerge/>
            <w:tcBorders>
              <w:tl2br w:val="nil"/>
              <w:tr2bl w:val="nil"/>
            </w:tcBorders>
            <w:vAlign w:val="center"/>
          </w:tcPr>
          <w:p w:rsidR="00BC07F0" w:rsidRDefault="00BC07F0">
            <w:pPr>
              <w:pStyle w:val="a7"/>
              <w:rPr>
                <w:rFonts w:hint="default"/>
              </w:rPr>
            </w:pPr>
          </w:p>
        </w:tc>
      </w:tr>
      <w:tr w:rsidR="00BC07F0">
        <w:trPr>
          <w:trHeight w:val="320"/>
        </w:trPr>
        <w:tc>
          <w:tcPr>
            <w:tcW w:w="887" w:type="pct"/>
            <w:vMerge/>
            <w:tcBorders>
              <w:tl2br w:val="nil"/>
              <w:tr2bl w:val="nil"/>
            </w:tcBorders>
            <w:vAlign w:val="center"/>
          </w:tcPr>
          <w:p w:rsidR="00BC07F0" w:rsidRDefault="00BC07F0">
            <w:pPr>
              <w:pStyle w:val="a7"/>
              <w:rPr>
                <w:rFonts w:hint="default"/>
              </w:rPr>
            </w:pPr>
          </w:p>
        </w:tc>
        <w:tc>
          <w:tcPr>
            <w:tcW w:w="962" w:type="pct"/>
            <w:tcBorders>
              <w:tl2br w:val="nil"/>
              <w:tr2bl w:val="nil"/>
            </w:tcBorders>
            <w:vAlign w:val="center"/>
          </w:tcPr>
          <w:p w:rsidR="00BC07F0" w:rsidRDefault="00073EFB">
            <w:pPr>
              <w:pStyle w:val="a7"/>
              <w:rPr>
                <w:rFonts w:hint="default"/>
              </w:rPr>
            </w:pPr>
            <w:r>
              <w:rPr>
                <w:rFonts w:hint="default"/>
              </w:rPr>
              <w:t>NH</w:t>
            </w:r>
            <w:r>
              <w:rPr>
                <w:rFonts w:hint="default"/>
                <w:vertAlign w:val="subscript"/>
              </w:rPr>
              <w:t>3</w:t>
            </w:r>
            <w:r>
              <w:rPr>
                <w:rFonts w:hint="default"/>
              </w:rPr>
              <w:t>-N</w:t>
            </w:r>
          </w:p>
        </w:tc>
        <w:tc>
          <w:tcPr>
            <w:tcW w:w="964" w:type="pct"/>
            <w:tcBorders>
              <w:tl2br w:val="nil"/>
              <w:tr2bl w:val="nil"/>
            </w:tcBorders>
            <w:vAlign w:val="center"/>
          </w:tcPr>
          <w:p w:rsidR="00BC07F0" w:rsidRDefault="00073EFB">
            <w:pPr>
              <w:pStyle w:val="a7"/>
              <w:rPr>
                <w:rFonts w:hint="default"/>
              </w:rPr>
            </w:pPr>
            <w:r>
              <w:t>21900</w:t>
            </w:r>
          </w:p>
        </w:tc>
        <w:tc>
          <w:tcPr>
            <w:tcW w:w="1486" w:type="pct"/>
            <w:vMerge/>
            <w:tcBorders>
              <w:tl2br w:val="nil"/>
              <w:tr2bl w:val="nil"/>
            </w:tcBorders>
            <w:vAlign w:val="center"/>
          </w:tcPr>
          <w:p w:rsidR="00BC07F0" w:rsidRDefault="00BC07F0">
            <w:pPr>
              <w:pStyle w:val="a7"/>
              <w:rPr>
                <w:rFonts w:hint="default"/>
              </w:rPr>
            </w:pPr>
          </w:p>
        </w:tc>
        <w:tc>
          <w:tcPr>
            <w:tcW w:w="699" w:type="pct"/>
            <w:vMerge/>
            <w:tcBorders>
              <w:tl2br w:val="nil"/>
              <w:tr2bl w:val="nil"/>
            </w:tcBorders>
            <w:vAlign w:val="center"/>
          </w:tcPr>
          <w:p w:rsidR="00BC07F0" w:rsidRDefault="00BC07F0">
            <w:pPr>
              <w:pStyle w:val="a7"/>
              <w:rPr>
                <w:rFonts w:hint="default"/>
              </w:rPr>
            </w:pPr>
          </w:p>
        </w:tc>
      </w:tr>
    </w:tbl>
    <w:p w:rsidR="00BC07F0" w:rsidRDefault="00073EFB">
      <w:pPr>
        <w:pStyle w:val="a7"/>
        <w:jc w:val="left"/>
        <w:rPr>
          <w:rFonts w:hint="default"/>
        </w:rPr>
      </w:pPr>
      <w:r>
        <w:t>备注：本项目不涉及第一类污染物</w:t>
      </w:r>
    </w:p>
    <w:p w:rsidR="00BC07F0" w:rsidRDefault="00073EFB" w:rsidP="00C55F5E">
      <w:pPr>
        <w:pStyle w:val="3"/>
        <w:ind w:firstLine="482"/>
      </w:pPr>
      <w:bookmarkStart w:id="171" w:name="_bookmark10"/>
      <w:bookmarkStart w:id="172" w:name="2.4_环境功能区划"/>
      <w:bookmarkEnd w:id="171"/>
      <w:bookmarkEnd w:id="172"/>
      <w:r>
        <w:rPr>
          <w:rFonts w:hint="eastAsia"/>
        </w:rPr>
        <w:t>1.3.5</w:t>
      </w:r>
      <w:r>
        <w:rPr>
          <w:rFonts w:hint="eastAsia"/>
        </w:rPr>
        <w:t>环境功能区划</w:t>
      </w:r>
    </w:p>
    <w:p w:rsidR="00BC07F0" w:rsidRDefault="00073EFB" w:rsidP="00C55F5E">
      <w:pPr>
        <w:ind w:firstLine="480"/>
      </w:pPr>
      <w:bookmarkStart w:id="173" w:name="_bookmark11"/>
      <w:bookmarkStart w:id="174" w:name="2.5_主要环境保护目标"/>
      <w:bookmarkEnd w:id="173"/>
      <w:bookmarkEnd w:id="174"/>
      <w:r>
        <w:t>项目受纳水体为</w:t>
      </w:r>
      <w:r>
        <w:rPr>
          <w:rFonts w:hint="eastAsia"/>
        </w:rPr>
        <w:t>湘江</w:t>
      </w:r>
      <w:r>
        <w:t>，水体功能为</w:t>
      </w:r>
      <w:r>
        <w:rPr>
          <w:rFonts w:hint="eastAsia"/>
        </w:rPr>
        <w:t>工业用水</w:t>
      </w:r>
      <w:r>
        <w:t>区，执行《地表水环境质量标准》（</w:t>
      </w:r>
      <w:r>
        <w:t>GB3838-2002</w:t>
      </w:r>
      <w:r>
        <w:t>）中</w:t>
      </w:r>
      <w:r>
        <w:rPr>
          <w:rFonts w:hint="eastAsia"/>
        </w:rPr>
        <w:t>Ⅲ</w:t>
      </w:r>
      <w:r>
        <w:t>类标准</w:t>
      </w:r>
      <w:r>
        <w:rPr>
          <w:rFonts w:hint="eastAsia"/>
        </w:rPr>
        <w:t>。</w:t>
      </w:r>
    </w:p>
    <w:p w:rsidR="00BC07F0" w:rsidRDefault="00073EFB" w:rsidP="00C55F5E">
      <w:pPr>
        <w:pStyle w:val="3"/>
        <w:ind w:firstLine="482"/>
      </w:pPr>
      <w:r>
        <w:rPr>
          <w:rFonts w:hint="eastAsia"/>
        </w:rPr>
        <w:t>1.3.6</w:t>
      </w:r>
      <w:r>
        <w:rPr>
          <w:rFonts w:hint="eastAsia"/>
        </w:rPr>
        <w:t>主要环境保护目标</w:t>
      </w:r>
    </w:p>
    <w:p w:rsidR="00BC07F0" w:rsidRDefault="00073EFB" w:rsidP="00C55F5E">
      <w:pPr>
        <w:ind w:firstLine="480"/>
      </w:pPr>
      <w:r>
        <w:rPr>
          <w:rFonts w:hint="eastAsia"/>
        </w:rPr>
        <w:t>湘江</w:t>
      </w:r>
      <w:r>
        <w:t>水体功能为</w:t>
      </w:r>
      <w:r>
        <w:rPr>
          <w:rFonts w:hint="eastAsia"/>
        </w:rPr>
        <w:t>工业用水</w:t>
      </w:r>
      <w:r>
        <w:t>区，执行《地表水环境质量标准》（</w:t>
      </w:r>
      <w:r>
        <w:t>GB3838-2002</w:t>
      </w:r>
      <w:r>
        <w:t>）中</w:t>
      </w:r>
      <w:r>
        <w:rPr>
          <w:rFonts w:hint="eastAsia"/>
        </w:rPr>
        <w:t>Ⅲ</w:t>
      </w:r>
      <w:r>
        <w:t>类标准</w:t>
      </w:r>
      <w:r>
        <w:rPr>
          <w:rFonts w:hint="eastAsia"/>
        </w:rPr>
        <w:t>。</w:t>
      </w:r>
    </w:p>
    <w:p w:rsidR="00BC07F0" w:rsidRDefault="00073EFB">
      <w:pPr>
        <w:pStyle w:val="a7"/>
        <w:rPr>
          <w:rFonts w:hint="default"/>
          <w:b/>
          <w:bCs/>
        </w:rPr>
      </w:pPr>
      <w:r>
        <w:rPr>
          <w:rFonts w:hint="default"/>
          <w:b/>
          <w:bCs/>
        </w:rPr>
        <w:t>表</w:t>
      </w:r>
      <w:r>
        <w:rPr>
          <w:b/>
          <w:bCs/>
        </w:rPr>
        <w:t>1.3-8</w:t>
      </w:r>
      <w:r>
        <w:rPr>
          <w:rFonts w:hint="default"/>
          <w:b/>
          <w:bCs/>
        </w:rPr>
        <w:t>主要环境保护目标一览表</w:t>
      </w:r>
    </w:p>
    <w:tbl>
      <w:tblPr>
        <w:tblW w:w="4959"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28" w:type="dxa"/>
          <w:right w:w="28" w:type="dxa"/>
        </w:tblCellMar>
        <w:tblLook w:val="04A0"/>
      </w:tblPr>
      <w:tblGrid>
        <w:gridCol w:w="1064"/>
        <w:gridCol w:w="981"/>
        <w:gridCol w:w="1335"/>
        <w:gridCol w:w="834"/>
        <w:gridCol w:w="793"/>
        <w:gridCol w:w="597"/>
        <w:gridCol w:w="1052"/>
        <w:gridCol w:w="1637"/>
      </w:tblGrid>
      <w:tr w:rsidR="00BC07F0">
        <w:trPr>
          <w:cantSplit/>
          <w:trHeight w:val="397"/>
          <w:jc w:val="center"/>
        </w:trPr>
        <w:tc>
          <w:tcPr>
            <w:tcW w:w="1232" w:type="pct"/>
            <w:gridSpan w:val="2"/>
            <w:tcBorders>
              <w:tl2br w:val="nil"/>
              <w:tr2bl w:val="nil"/>
            </w:tcBorders>
            <w:vAlign w:val="center"/>
          </w:tcPr>
          <w:p w:rsidR="00BC07F0" w:rsidRDefault="00073EFB">
            <w:pPr>
              <w:pStyle w:val="a7"/>
              <w:rPr>
                <w:rFonts w:hint="default"/>
              </w:rPr>
            </w:pPr>
            <w:r>
              <w:rPr>
                <w:rFonts w:hint="default"/>
              </w:rPr>
              <w:t>保护目标</w:t>
            </w:r>
          </w:p>
        </w:tc>
        <w:tc>
          <w:tcPr>
            <w:tcW w:w="805" w:type="pct"/>
            <w:vMerge w:val="restart"/>
            <w:tcBorders>
              <w:tl2br w:val="nil"/>
              <w:tr2bl w:val="nil"/>
            </w:tcBorders>
            <w:vAlign w:val="center"/>
          </w:tcPr>
          <w:p w:rsidR="00BC07F0" w:rsidRDefault="00073EFB">
            <w:pPr>
              <w:pStyle w:val="a7"/>
              <w:rPr>
                <w:rFonts w:hint="default"/>
              </w:rPr>
            </w:pPr>
            <w:r>
              <w:rPr>
                <w:rFonts w:hint="default"/>
              </w:rPr>
              <w:t>性质</w:t>
            </w:r>
            <w:r>
              <w:rPr>
                <w:rFonts w:hint="default"/>
              </w:rPr>
              <w:t>/</w:t>
            </w:r>
            <w:r>
              <w:rPr>
                <w:rFonts w:hint="default"/>
              </w:rPr>
              <w:t>规模</w:t>
            </w:r>
          </w:p>
        </w:tc>
        <w:tc>
          <w:tcPr>
            <w:tcW w:w="503" w:type="pct"/>
            <w:vMerge w:val="restart"/>
            <w:tcBorders>
              <w:tl2br w:val="nil"/>
              <w:tr2bl w:val="nil"/>
            </w:tcBorders>
            <w:vAlign w:val="center"/>
          </w:tcPr>
          <w:p w:rsidR="00BC07F0" w:rsidRDefault="00073EFB">
            <w:pPr>
              <w:pStyle w:val="a7"/>
              <w:rPr>
                <w:rFonts w:hint="default"/>
              </w:rPr>
            </w:pPr>
            <w:r>
              <w:rPr>
                <w:rFonts w:hint="default"/>
              </w:rPr>
              <w:t>方位</w:t>
            </w:r>
          </w:p>
        </w:tc>
        <w:tc>
          <w:tcPr>
            <w:tcW w:w="838" w:type="pct"/>
            <w:gridSpan w:val="2"/>
            <w:tcBorders>
              <w:tl2br w:val="nil"/>
              <w:tr2bl w:val="nil"/>
            </w:tcBorders>
            <w:vAlign w:val="center"/>
          </w:tcPr>
          <w:p w:rsidR="00BC07F0" w:rsidRDefault="00073EFB">
            <w:pPr>
              <w:pStyle w:val="a7"/>
              <w:rPr>
                <w:rFonts w:hint="default"/>
              </w:rPr>
            </w:pPr>
            <w:r>
              <w:rPr>
                <w:rFonts w:hint="default"/>
              </w:rPr>
              <w:t>坐标点位</w:t>
            </w:r>
          </w:p>
        </w:tc>
        <w:tc>
          <w:tcPr>
            <w:tcW w:w="632" w:type="pct"/>
            <w:vMerge w:val="restart"/>
            <w:tcBorders>
              <w:tl2br w:val="nil"/>
              <w:tr2bl w:val="nil"/>
            </w:tcBorders>
            <w:vAlign w:val="center"/>
          </w:tcPr>
          <w:p w:rsidR="00BC07F0" w:rsidRDefault="00073EFB">
            <w:pPr>
              <w:pStyle w:val="a7"/>
              <w:rPr>
                <w:rFonts w:hint="default"/>
              </w:rPr>
            </w:pPr>
            <w:r>
              <w:rPr>
                <w:rFonts w:hint="default"/>
              </w:rPr>
              <w:t>与厂界的距离（</w:t>
            </w:r>
            <w:r>
              <w:rPr>
                <w:rFonts w:hint="default"/>
              </w:rPr>
              <w:t>m</w:t>
            </w:r>
            <w:r>
              <w:rPr>
                <w:rFonts w:hint="default"/>
              </w:rPr>
              <w:t>）</w:t>
            </w:r>
          </w:p>
        </w:tc>
        <w:tc>
          <w:tcPr>
            <w:tcW w:w="987" w:type="pct"/>
            <w:vMerge w:val="restart"/>
            <w:tcBorders>
              <w:tl2br w:val="nil"/>
              <w:tr2bl w:val="nil"/>
            </w:tcBorders>
            <w:vAlign w:val="center"/>
          </w:tcPr>
          <w:p w:rsidR="00BC07F0" w:rsidRDefault="00073EFB">
            <w:pPr>
              <w:pStyle w:val="a7"/>
              <w:rPr>
                <w:rFonts w:hint="default"/>
              </w:rPr>
            </w:pPr>
            <w:r>
              <w:rPr>
                <w:rFonts w:hint="default"/>
              </w:rPr>
              <w:t>功能类别</w:t>
            </w:r>
          </w:p>
        </w:tc>
      </w:tr>
      <w:tr w:rsidR="00BC07F0">
        <w:trPr>
          <w:cantSplit/>
          <w:trHeight w:val="397"/>
          <w:jc w:val="center"/>
        </w:trPr>
        <w:tc>
          <w:tcPr>
            <w:tcW w:w="641" w:type="pct"/>
            <w:tcBorders>
              <w:tl2br w:val="nil"/>
              <w:tr2bl w:val="nil"/>
            </w:tcBorders>
            <w:vAlign w:val="center"/>
          </w:tcPr>
          <w:p w:rsidR="00BC07F0" w:rsidRDefault="00073EFB">
            <w:pPr>
              <w:pStyle w:val="a7"/>
              <w:rPr>
                <w:rFonts w:hint="default"/>
              </w:rPr>
            </w:pPr>
            <w:r>
              <w:rPr>
                <w:rFonts w:hint="default"/>
              </w:rPr>
              <w:t>要素</w:t>
            </w:r>
          </w:p>
        </w:tc>
        <w:tc>
          <w:tcPr>
            <w:tcW w:w="591" w:type="pct"/>
            <w:tcBorders>
              <w:tl2br w:val="nil"/>
              <w:tr2bl w:val="nil"/>
            </w:tcBorders>
            <w:vAlign w:val="center"/>
          </w:tcPr>
          <w:p w:rsidR="00BC07F0" w:rsidRDefault="00073EFB">
            <w:pPr>
              <w:pStyle w:val="a7"/>
              <w:rPr>
                <w:rFonts w:hint="default"/>
              </w:rPr>
            </w:pPr>
            <w:r>
              <w:rPr>
                <w:rFonts w:hint="default"/>
              </w:rPr>
              <w:t>名称</w:t>
            </w:r>
          </w:p>
        </w:tc>
        <w:tc>
          <w:tcPr>
            <w:tcW w:w="805" w:type="pct"/>
            <w:vMerge/>
            <w:tcBorders>
              <w:tl2br w:val="nil"/>
              <w:tr2bl w:val="nil"/>
            </w:tcBorders>
            <w:vAlign w:val="center"/>
          </w:tcPr>
          <w:p w:rsidR="00BC07F0" w:rsidRDefault="00BC07F0">
            <w:pPr>
              <w:pStyle w:val="a7"/>
              <w:rPr>
                <w:rFonts w:hint="default"/>
              </w:rPr>
            </w:pPr>
          </w:p>
        </w:tc>
        <w:tc>
          <w:tcPr>
            <w:tcW w:w="503" w:type="pct"/>
            <w:vMerge/>
            <w:tcBorders>
              <w:tl2br w:val="nil"/>
              <w:tr2bl w:val="nil"/>
            </w:tcBorders>
            <w:vAlign w:val="center"/>
          </w:tcPr>
          <w:p w:rsidR="00BC07F0" w:rsidRDefault="00BC07F0">
            <w:pPr>
              <w:pStyle w:val="a7"/>
              <w:rPr>
                <w:rFonts w:hint="default"/>
              </w:rPr>
            </w:pPr>
          </w:p>
        </w:tc>
        <w:tc>
          <w:tcPr>
            <w:tcW w:w="478" w:type="pct"/>
            <w:tcBorders>
              <w:tl2br w:val="nil"/>
              <w:tr2bl w:val="nil"/>
            </w:tcBorders>
            <w:vAlign w:val="center"/>
          </w:tcPr>
          <w:p w:rsidR="00BC07F0" w:rsidRDefault="00073EFB">
            <w:pPr>
              <w:pStyle w:val="a7"/>
              <w:rPr>
                <w:rFonts w:hint="default"/>
              </w:rPr>
            </w:pPr>
            <w:r>
              <w:rPr>
                <w:rFonts w:hint="default"/>
              </w:rPr>
              <w:t>经度</w:t>
            </w:r>
          </w:p>
        </w:tc>
        <w:tc>
          <w:tcPr>
            <w:tcW w:w="359" w:type="pct"/>
            <w:tcBorders>
              <w:tl2br w:val="nil"/>
              <w:tr2bl w:val="nil"/>
            </w:tcBorders>
            <w:vAlign w:val="center"/>
          </w:tcPr>
          <w:p w:rsidR="00BC07F0" w:rsidRDefault="00073EFB">
            <w:pPr>
              <w:pStyle w:val="a7"/>
              <w:rPr>
                <w:rFonts w:hint="default"/>
              </w:rPr>
            </w:pPr>
            <w:r>
              <w:rPr>
                <w:rFonts w:hint="default"/>
              </w:rPr>
              <w:t>纬度</w:t>
            </w:r>
          </w:p>
        </w:tc>
        <w:tc>
          <w:tcPr>
            <w:tcW w:w="632" w:type="pct"/>
            <w:vMerge/>
            <w:tcBorders>
              <w:tl2br w:val="nil"/>
              <w:tr2bl w:val="nil"/>
            </w:tcBorders>
            <w:vAlign w:val="center"/>
          </w:tcPr>
          <w:p w:rsidR="00BC07F0" w:rsidRDefault="00BC07F0">
            <w:pPr>
              <w:pStyle w:val="a7"/>
              <w:rPr>
                <w:rFonts w:hint="default"/>
              </w:rPr>
            </w:pPr>
          </w:p>
        </w:tc>
        <w:tc>
          <w:tcPr>
            <w:tcW w:w="987" w:type="pct"/>
            <w:vMerge/>
            <w:tcBorders>
              <w:tl2br w:val="nil"/>
              <w:tr2bl w:val="nil"/>
            </w:tcBorders>
            <w:vAlign w:val="center"/>
          </w:tcPr>
          <w:p w:rsidR="00BC07F0" w:rsidRDefault="00BC07F0">
            <w:pPr>
              <w:pStyle w:val="a7"/>
              <w:rPr>
                <w:rFonts w:hint="default"/>
              </w:rPr>
            </w:pPr>
          </w:p>
        </w:tc>
      </w:tr>
      <w:tr w:rsidR="00BC07F0">
        <w:trPr>
          <w:cantSplit/>
          <w:trHeight w:val="628"/>
          <w:jc w:val="center"/>
        </w:trPr>
        <w:tc>
          <w:tcPr>
            <w:tcW w:w="641" w:type="pct"/>
            <w:tcBorders>
              <w:tl2br w:val="nil"/>
              <w:tr2bl w:val="nil"/>
            </w:tcBorders>
            <w:vAlign w:val="center"/>
          </w:tcPr>
          <w:p w:rsidR="00BC07F0" w:rsidRDefault="00073EFB">
            <w:pPr>
              <w:pStyle w:val="a7"/>
              <w:rPr>
                <w:rFonts w:hint="default"/>
              </w:rPr>
            </w:pPr>
            <w:r>
              <w:lastRenderedPageBreak/>
              <w:t>声环境保护目标</w:t>
            </w:r>
          </w:p>
        </w:tc>
        <w:tc>
          <w:tcPr>
            <w:tcW w:w="3371" w:type="pct"/>
            <w:gridSpan w:val="6"/>
            <w:tcBorders>
              <w:tl2br w:val="nil"/>
              <w:tr2bl w:val="nil"/>
            </w:tcBorders>
            <w:vAlign w:val="center"/>
          </w:tcPr>
          <w:p w:rsidR="00BC07F0" w:rsidRDefault="00073EFB">
            <w:pPr>
              <w:pStyle w:val="a7"/>
              <w:rPr>
                <w:rFonts w:hint="default"/>
              </w:rPr>
            </w:pPr>
            <w:r>
              <w:t>50m</w:t>
            </w:r>
            <w:r>
              <w:t>范围内无敏感点</w:t>
            </w:r>
          </w:p>
        </w:tc>
        <w:tc>
          <w:tcPr>
            <w:tcW w:w="987" w:type="pct"/>
            <w:tcBorders>
              <w:tl2br w:val="nil"/>
              <w:tr2bl w:val="nil"/>
            </w:tcBorders>
            <w:vAlign w:val="center"/>
          </w:tcPr>
          <w:p w:rsidR="00BC07F0" w:rsidRDefault="00073EFB">
            <w:pPr>
              <w:pStyle w:val="a7"/>
              <w:rPr>
                <w:rFonts w:hint="default"/>
              </w:rPr>
            </w:pPr>
            <w:r>
              <w:t>二类功能区</w:t>
            </w:r>
          </w:p>
        </w:tc>
      </w:tr>
      <w:tr w:rsidR="00BC07F0">
        <w:trPr>
          <w:cantSplit/>
          <w:trHeight w:val="397"/>
          <w:jc w:val="center"/>
        </w:trPr>
        <w:tc>
          <w:tcPr>
            <w:tcW w:w="641" w:type="pct"/>
            <w:vMerge w:val="restart"/>
            <w:tcBorders>
              <w:tl2br w:val="nil"/>
              <w:tr2bl w:val="nil"/>
            </w:tcBorders>
            <w:vAlign w:val="center"/>
          </w:tcPr>
          <w:p w:rsidR="00BC07F0" w:rsidRDefault="00073EFB">
            <w:pPr>
              <w:pStyle w:val="a7"/>
              <w:rPr>
                <w:rFonts w:hint="default"/>
              </w:rPr>
            </w:pPr>
            <w:r>
              <w:rPr>
                <w:rFonts w:hint="default"/>
              </w:rPr>
              <w:t>水环境</w:t>
            </w:r>
            <w:r>
              <w:t>保护目标</w:t>
            </w:r>
          </w:p>
        </w:tc>
        <w:tc>
          <w:tcPr>
            <w:tcW w:w="591" w:type="pct"/>
            <w:tcBorders>
              <w:tl2br w:val="nil"/>
              <w:tr2bl w:val="nil"/>
            </w:tcBorders>
            <w:vAlign w:val="center"/>
          </w:tcPr>
          <w:p w:rsidR="00BC07F0" w:rsidRDefault="00073EFB">
            <w:pPr>
              <w:pStyle w:val="a7"/>
              <w:rPr>
                <w:rFonts w:hint="default"/>
              </w:rPr>
            </w:pPr>
            <w:r>
              <w:t>湘江</w:t>
            </w:r>
          </w:p>
        </w:tc>
        <w:tc>
          <w:tcPr>
            <w:tcW w:w="805" w:type="pct"/>
            <w:tcBorders>
              <w:tl2br w:val="nil"/>
              <w:tr2bl w:val="nil"/>
            </w:tcBorders>
            <w:vAlign w:val="center"/>
          </w:tcPr>
          <w:p w:rsidR="00BC07F0" w:rsidRDefault="00073EFB">
            <w:pPr>
              <w:pStyle w:val="a7"/>
              <w:rPr>
                <w:rFonts w:hint="default"/>
              </w:rPr>
            </w:pPr>
            <w:r>
              <w:t>纳污水体，工业用水</w:t>
            </w:r>
          </w:p>
        </w:tc>
        <w:tc>
          <w:tcPr>
            <w:tcW w:w="503" w:type="pct"/>
            <w:tcBorders>
              <w:tl2br w:val="nil"/>
              <w:tr2bl w:val="nil"/>
            </w:tcBorders>
            <w:vAlign w:val="center"/>
          </w:tcPr>
          <w:p w:rsidR="00BC07F0" w:rsidRDefault="00073EFB">
            <w:pPr>
              <w:pStyle w:val="a7"/>
              <w:rPr>
                <w:rFonts w:hint="default"/>
              </w:rPr>
            </w:pPr>
            <w:r>
              <w:t>东</w:t>
            </w:r>
          </w:p>
        </w:tc>
        <w:tc>
          <w:tcPr>
            <w:tcW w:w="838" w:type="pct"/>
            <w:gridSpan w:val="2"/>
            <w:tcBorders>
              <w:tl2br w:val="nil"/>
              <w:tr2bl w:val="nil"/>
            </w:tcBorders>
            <w:vAlign w:val="center"/>
          </w:tcPr>
          <w:p w:rsidR="00BC07F0" w:rsidRDefault="00073EFB">
            <w:pPr>
              <w:pStyle w:val="a7"/>
              <w:rPr>
                <w:rFonts w:hint="default"/>
              </w:rPr>
            </w:pPr>
            <w:r>
              <w:t>/</w:t>
            </w:r>
          </w:p>
        </w:tc>
        <w:tc>
          <w:tcPr>
            <w:tcW w:w="632" w:type="pct"/>
            <w:tcBorders>
              <w:right w:val="single" w:sz="6" w:space="0" w:color="000000"/>
              <w:tl2br w:val="nil"/>
              <w:tr2bl w:val="nil"/>
            </w:tcBorders>
            <w:vAlign w:val="center"/>
          </w:tcPr>
          <w:p w:rsidR="00BC07F0" w:rsidRDefault="00073EFB">
            <w:pPr>
              <w:pStyle w:val="a7"/>
              <w:rPr>
                <w:rFonts w:hint="default"/>
              </w:rPr>
            </w:pPr>
            <w:r>
              <w:t>直线距离</w:t>
            </w:r>
            <w:r>
              <w:t>50m</w:t>
            </w:r>
            <w:r>
              <w:t>；至排口距离</w:t>
            </w:r>
            <w:r>
              <w:t>300m</w:t>
            </w:r>
          </w:p>
        </w:tc>
        <w:tc>
          <w:tcPr>
            <w:tcW w:w="987" w:type="pct"/>
            <w:tcBorders>
              <w:left w:val="single" w:sz="6" w:space="0" w:color="000000"/>
              <w:tl2br w:val="nil"/>
              <w:tr2bl w:val="nil"/>
            </w:tcBorders>
            <w:vAlign w:val="center"/>
          </w:tcPr>
          <w:p w:rsidR="00BC07F0" w:rsidRDefault="00073EFB">
            <w:pPr>
              <w:pStyle w:val="a7"/>
              <w:rPr>
                <w:rFonts w:hint="default"/>
              </w:rPr>
            </w:pPr>
            <w:r>
              <w:rPr>
                <w:rFonts w:hint="default"/>
              </w:rPr>
              <w:t>《地表水环境质量标准》（</w:t>
            </w:r>
            <w:r>
              <w:rPr>
                <w:rFonts w:hint="default"/>
              </w:rPr>
              <w:t>GB3838-2002</w:t>
            </w:r>
            <w:r>
              <w:rPr>
                <w:rFonts w:hint="default"/>
              </w:rPr>
              <w:t>）</w:t>
            </w:r>
            <w:r>
              <w:rPr>
                <w:rFonts w:hint="default"/>
              </w:rPr>
              <w:t>III</w:t>
            </w:r>
            <w:r>
              <w:rPr>
                <w:rFonts w:hint="default"/>
              </w:rPr>
              <w:t>类水体</w:t>
            </w:r>
          </w:p>
        </w:tc>
      </w:tr>
      <w:tr w:rsidR="00BC07F0">
        <w:trPr>
          <w:cantSplit/>
          <w:trHeight w:val="397"/>
          <w:jc w:val="center"/>
        </w:trPr>
        <w:tc>
          <w:tcPr>
            <w:tcW w:w="641" w:type="pct"/>
            <w:vMerge/>
            <w:tcBorders>
              <w:tl2br w:val="nil"/>
              <w:tr2bl w:val="nil"/>
            </w:tcBorders>
            <w:vAlign w:val="center"/>
          </w:tcPr>
          <w:p w:rsidR="00BC07F0" w:rsidRDefault="00BC07F0">
            <w:pPr>
              <w:pStyle w:val="a7"/>
              <w:rPr>
                <w:rFonts w:hint="default"/>
              </w:rPr>
            </w:pPr>
          </w:p>
        </w:tc>
        <w:tc>
          <w:tcPr>
            <w:tcW w:w="3371" w:type="pct"/>
            <w:gridSpan w:val="6"/>
            <w:tcBorders>
              <w:right w:val="single" w:sz="6" w:space="0" w:color="000000"/>
              <w:tl2br w:val="nil"/>
              <w:tr2bl w:val="nil"/>
            </w:tcBorders>
            <w:vAlign w:val="center"/>
          </w:tcPr>
          <w:p w:rsidR="00BC07F0" w:rsidRDefault="00073EFB">
            <w:pPr>
              <w:pStyle w:val="a7"/>
              <w:rPr>
                <w:rFonts w:hint="default"/>
              </w:rPr>
            </w:pPr>
            <w:r>
              <w:t>地下水：</w:t>
            </w:r>
            <w:r>
              <w:t>500m</w:t>
            </w:r>
            <w:r>
              <w:t>范围内无地下集中式饮用水源和热水、矿泉水、温泉等特殊地下水源</w:t>
            </w:r>
          </w:p>
        </w:tc>
        <w:tc>
          <w:tcPr>
            <w:tcW w:w="987" w:type="pct"/>
            <w:tcBorders>
              <w:left w:val="single" w:sz="6" w:space="0" w:color="000000"/>
              <w:tl2br w:val="nil"/>
              <w:tr2bl w:val="nil"/>
            </w:tcBorders>
            <w:vAlign w:val="center"/>
          </w:tcPr>
          <w:p w:rsidR="00BC07F0" w:rsidRDefault="00073EFB">
            <w:pPr>
              <w:pStyle w:val="a7"/>
              <w:rPr>
                <w:rFonts w:hint="default"/>
              </w:rPr>
            </w:pPr>
            <w:r>
              <w:rPr>
                <w:rFonts w:hint="default"/>
              </w:rPr>
              <w:t>《地下水</w:t>
            </w:r>
            <w:r>
              <w:t>环境</w:t>
            </w:r>
            <w:r>
              <w:rPr>
                <w:rFonts w:hint="default"/>
              </w:rPr>
              <w:t>质量标准》（</w:t>
            </w:r>
            <w:r>
              <w:rPr>
                <w:rFonts w:hint="default"/>
              </w:rPr>
              <w:t>GB/T14848-</w:t>
            </w:r>
            <w:r>
              <w:t>2017</w:t>
            </w:r>
            <w:r>
              <w:rPr>
                <w:rFonts w:hint="default"/>
              </w:rPr>
              <w:t>）</w:t>
            </w:r>
            <w:r>
              <w:t>Ⅲ</w:t>
            </w:r>
            <w:r>
              <w:rPr>
                <w:rFonts w:hint="default"/>
              </w:rPr>
              <w:t>类</w:t>
            </w:r>
          </w:p>
        </w:tc>
      </w:tr>
    </w:tbl>
    <w:p w:rsidR="00BC07F0" w:rsidRDefault="00BC07F0" w:rsidP="00C55F5E">
      <w:pPr>
        <w:ind w:firstLine="480"/>
        <w:sectPr w:rsidR="00BC07F0">
          <w:footerReference w:type="default" r:id="rId69"/>
          <w:pgSz w:w="11906" w:h="16838"/>
          <w:pgMar w:top="1440" w:right="1800" w:bottom="1440" w:left="1800" w:header="567" w:footer="567" w:gutter="0"/>
          <w:cols w:space="720"/>
          <w:docGrid w:linePitch="312"/>
        </w:sectPr>
      </w:pPr>
      <w:bookmarkStart w:id="175" w:name="_Toc13537"/>
      <w:bookmarkStart w:id="176" w:name="_Toc22252"/>
    </w:p>
    <w:p w:rsidR="00BC07F0" w:rsidRDefault="00073EFB">
      <w:pPr>
        <w:pStyle w:val="1"/>
        <w:rPr>
          <w:rFonts w:eastAsia="仿宋"/>
          <w:color w:val="000000" w:themeColor="text1"/>
          <w:spacing w:val="1"/>
          <w:sz w:val="32"/>
          <w:szCs w:val="24"/>
        </w:rPr>
      </w:pPr>
      <w:bookmarkStart w:id="177" w:name="_Toc19299"/>
      <w:r>
        <w:rPr>
          <w:rFonts w:eastAsia="仿宋"/>
          <w:color w:val="000000" w:themeColor="text1"/>
          <w:sz w:val="32"/>
          <w:szCs w:val="24"/>
        </w:rPr>
        <w:lastRenderedPageBreak/>
        <w:t>2</w:t>
      </w:r>
      <w:r>
        <w:rPr>
          <w:rFonts w:eastAsia="仿宋" w:hint="eastAsia"/>
          <w:color w:val="000000" w:themeColor="text1"/>
          <w:spacing w:val="1"/>
          <w:sz w:val="32"/>
          <w:szCs w:val="24"/>
        </w:rPr>
        <w:t>建设项目概况</w:t>
      </w:r>
      <w:bookmarkEnd w:id="175"/>
      <w:bookmarkEnd w:id="176"/>
      <w:bookmarkEnd w:id="177"/>
    </w:p>
    <w:p w:rsidR="00BC07F0" w:rsidRDefault="00073EFB" w:rsidP="00C55F5E">
      <w:pPr>
        <w:pStyle w:val="2"/>
        <w:ind w:firstLine="482"/>
      </w:pPr>
      <w:bookmarkStart w:id="178" w:name="_Toc17476"/>
      <w:r>
        <w:rPr>
          <w:rFonts w:hint="eastAsia"/>
        </w:rPr>
        <w:t>2.1</w:t>
      </w:r>
      <w:r>
        <w:t>项目概况</w:t>
      </w:r>
      <w:bookmarkEnd w:id="178"/>
    </w:p>
    <w:p w:rsidR="00BC07F0" w:rsidRDefault="00073EFB" w:rsidP="00C55F5E">
      <w:pPr>
        <w:ind w:firstLine="480"/>
      </w:pPr>
      <w:r>
        <w:t>项目名称：</w:t>
      </w:r>
      <w:r>
        <w:rPr>
          <w:rFonts w:hint="eastAsia"/>
          <w:lang w:val="zh-CN"/>
        </w:rPr>
        <w:t>衡阳市湘江南岸水环境水安全治理工程</w:t>
      </w:r>
      <w:r>
        <w:rPr>
          <w:lang w:val="zh-CN"/>
        </w:rPr>
        <w:t>-</w:t>
      </w:r>
      <w:r>
        <w:t>；</w:t>
      </w:r>
    </w:p>
    <w:p w:rsidR="00BC07F0" w:rsidRDefault="00073EFB" w:rsidP="00C55F5E">
      <w:pPr>
        <w:ind w:firstLine="480"/>
      </w:pPr>
      <w:r>
        <w:t>建设单位：</w:t>
      </w:r>
      <w:r>
        <w:rPr>
          <w:rFonts w:hint="eastAsia"/>
        </w:rPr>
        <w:t>衡阳市白沙片区整体城镇化建设投资有限公司</w:t>
      </w:r>
      <w:r>
        <w:t>；</w:t>
      </w:r>
    </w:p>
    <w:p w:rsidR="00BC07F0" w:rsidRDefault="00073EFB" w:rsidP="00C55F5E">
      <w:pPr>
        <w:ind w:firstLine="480"/>
      </w:pPr>
      <w:r>
        <w:t>建设地点：</w:t>
      </w:r>
      <w:r>
        <w:rPr>
          <w:rFonts w:hint="eastAsia"/>
        </w:rPr>
        <w:t>铜桥港湿地公园位于衡阳市铜桥港污水处理厂西南侧，中心地理坐标</w:t>
      </w:r>
      <w:r>
        <w:rPr>
          <w:rFonts w:cs="Times New Roman"/>
        </w:rPr>
        <w:t>E112°39′3.126″</w:t>
      </w:r>
      <w:r>
        <w:rPr>
          <w:rFonts w:cs="Times New Roman"/>
        </w:rPr>
        <w:t>，</w:t>
      </w:r>
      <w:r>
        <w:rPr>
          <w:rFonts w:cs="Times New Roman"/>
        </w:rPr>
        <w:t>N26°50′12.690</w:t>
      </w:r>
      <w:r>
        <w:rPr>
          <w:rFonts w:hint="eastAsia"/>
        </w:rPr>
        <w:t>″。</w:t>
      </w:r>
    </w:p>
    <w:p w:rsidR="00BC07F0" w:rsidRDefault="00073EFB" w:rsidP="00C55F5E">
      <w:pPr>
        <w:ind w:firstLine="480"/>
      </w:pPr>
      <w:r>
        <w:t>建设性质：</w:t>
      </w:r>
      <w:r>
        <w:rPr>
          <w:rFonts w:hint="eastAsia"/>
        </w:rPr>
        <w:t>新建</w:t>
      </w:r>
      <w:r>
        <w:t>；</w:t>
      </w:r>
    </w:p>
    <w:p w:rsidR="00BC07F0" w:rsidRDefault="00073EFB" w:rsidP="00C55F5E">
      <w:pPr>
        <w:pStyle w:val="2"/>
        <w:ind w:firstLine="482"/>
      </w:pPr>
      <w:bookmarkStart w:id="179" w:name="_Toc19875"/>
      <w:r>
        <w:rPr>
          <w:rFonts w:hint="eastAsia"/>
        </w:rPr>
        <w:t>2.2</w:t>
      </w:r>
      <w:r>
        <w:rPr>
          <w:rFonts w:hint="eastAsia"/>
        </w:rPr>
        <w:t>污水处理厂</w:t>
      </w:r>
      <w:r>
        <w:t>建设规模</w:t>
      </w:r>
      <w:bookmarkEnd w:id="179"/>
    </w:p>
    <w:p w:rsidR="00BC07F0" w:rsidRDefault="00073EFB" w:rsidP="00C55F5E">
      <w:pPr>
        <w:ind w:firstLine="480"/>
      </w:pPr>
      <w:r>
        <w:t>衡阳市铜桥港污水处理厂位于雁峰区白沙洲，主要接纳老湘桂铁路线以南、西外环以东、湘江以西片区的污水，涵盖区域包括黄茶岭片区、雷公塘片区、特变电工区域、幸福河西岸以及白沙洲工业园区域等，设计污水处理规模</w:t>
      </w:r>
      <w:r>
        <w:t>10</w:t>
      </w:r>
      <w:r>
        <w:t>万</w:t>
      </w:r>
      <w:r>
        <w:t>m</w:t>
      </w:r>
      <w:r>
        <w:rPr>
          <w:vertAlign w:val="superscript"/>
        </w:rPr>
        <w:t>3</w:t>
      </w:r>
      <w:r>
        <w:t>/d</w:t>
      </w:r>
      <w:r>
        <w:t>，采用改良型氧化沟</w:t>
      </w:r>
      <w:r>
        <w:t>+</w:t>
      </w:r>
      <w:r>
        <w:t>液氨消毒工艺进行处理，出水水质满足《城镇污水处理厂污染排放标准》（</w:t>
      </w:r>
      <w:r>
        <w:t>GB18918-2002</w:t>
      </w:r>
      <w:r>
        <w:t>）一级</w:t>
      </w:r>
      <w:r>
        <w:t>A</w:t>
      </w:r>
      <w:r>
        <w:t>标准</w:t>
      </w:r>
      <w:r>
        <w:rPr>
          <w:rFonts w:hint="eastAsia"/>
        </w:rPr>
        <w:t>，</w:t>
      </w:r>
      <w:r>
        <w:rPr>
          <w:rFonts w:hint="eastAsia"/>
        </w:rPr>
        <w:t>现状污水量约</w:t>
      </w:r>
      <w:r>
        <w:rPr>
          <w:rFonts w:hint="eastAsia"/>
        </w:rPr>
        <w:t>1.5</w:t>
      </w:r>
      <w:r>
        <w:rPr>
          <w:rFonts w:hint="eastAsia"/>
        </w:rPr>
        <w:t>万</w:t>
      </w:r>
      <w:r>
        <w:rPr>
          <w:rFonts w:hint="eastAsia"/>
        </w:rPr>
        <w:t>m</w:t>
      </w:r>
      <w:r>
        <w:rPr>
          <w:rFonts w:hint="eastAsia"/>
          <w:vertAlign w:val="superscript"/>
        </w:rPr>
        <w:t>3</w:t>
      </w:r>
      <w:r>
        <w:rPr>
          <w:rFonts w:hint="eastAsia"/>
        </w:rPr>
        <w:t>/d</w:t>
      </w:r>
      <w:r>
        <w:rPr>
          <w:rFonts w:hint="eastAsia"/>
        </w:rPr>
        <w:t>。</w:t>
      </w:r>
    </w:p>
    <w:p w:rsidR="00BC07F0" w:rsidRDefault="00073EFB" w:rsidP="00C55F5E">
      <w:pPr>
        <w:pStyle w:val="2"/>
        <w:ind w:firstLine="482"/>
      </w:pPr>
      <w:bookmarkStart w:id="180" w:name="_Toc2397"/>
      <w:r>
        <w:rPr>
          <w:rFonts w:hint="eastAsia"/>
        </w:rPr>
        <w:t>2.3</w:t>
      </w:r>
      <w:r>
        <w:t>工程设计进出水水质</w:t>
      </w:r>
      <w:bookmarkEnd w:id="180"/>
    </w:p>
    <w:p w:rsidR="00BC07F0" w:rsidRDefault="00073EFB" w:rsidP="00C55F5E">
      <w:pPr>
        <w:pStyle w:val="3"/>
        <w:ind w:firstLine="482"/>
      </w:pPr>
      <w:r>
        <w:rPr>
          <w:rFonts w:hint="eastAsia"/>
        </w:rPr>
        <w:t>2.3.1</w:t>
      </w:r>
      <w:r>
        <w:t>进水水质</w:t>
      </w:r>
    </w:p>
    <w:p w:rsidR="00BC07F0" w:rsidRDefault="00073EFB">
      <w:pPr>
        <w:pStyle w:val="a7"/>
        <w:rPr>
          <w:rFonts w:hint="default"/>
          <w:b/>
          <w:bCs/>
        </w:rPr>
      </w:pPr>
      <w:r>
        <w:rPr>
          <w:rFonts w:hint="default"/>
          <w:b/>
          <w:bCs/>
        </w:rPr>
        <w:t>表</w:t>
      </w:r>
      <w:r>
        <w:rPr>
          <w:b/>
          <w:bCs/>
        </w:rPr>
        <w:t>2.4-1</w:t>
      </w:r>
      <w:r>
        <w:rPr>
          <w:rFonts w:hint="default"/>
          <w:b/>
          <w:bCs/>
        </w:rPr>
        <w:t>进水水质预测单位：</w:t>
      </w:r>
      <w:r>
        <w:rPr>
          <w:rFonts w:hint="default"/>
          <w:b/>
          <w:bCs/>
        </w:rPr>
        <w:t>mg/L</w:t>
      </w:r>
    </w:p>
    <w:tbl>
      <w:tblPr>
        <w:tblW w:w="4950" w:type="pct"/>
        <w:tblLayout w:type="fixed"/>
        <w:tblLook w:val="04A0"/>
      </w:tblPr>
      <w:tblGrid>
        <w:gridCol w:w="1386"/>
        <w:gridCol w:w="1388"/>
        <w:gridCol w:w="1238"/>
        <w:gridCol w:w="1091"/>
        <w:gridCol w:w="1164"/>
        <w:gridCol w:w="1085"/>
        <w:gridCol w:w="1085"/>
      </w:tblGrid>
      <w:tr w:rsidR="00BC07F0">
        <w:trPr>
          <w:trHeight w:val="397"/>
        </w:trPr>
        <w:tc>
          <w:tcPr>
            <w:tcW w:w="821" w:type="pct"/>
            <w:tcBorders>
              <w:top w:val="single" w:sz="10" w:space="0" w:color="000000"/>
              <w:left w:val="single" w:sz="10" w:space="0" w:color="000000"/>
              <w:bottom w:val="single" w:sz="4" w:space="0" w:color="000000"/>
              <w:right w:val="single" w:sz="4" w:space="0" w:color="000000"/>
              <w:tl2br w:val="nil"/>
              <w:tr2bl w:val="nil"/>
            </w:tcBorders>
            <w:vAlign w:val="center"/>
          </w:tcPr>
          <w:p w:rsidR="00BC07F0" w:rsidRDefault="00073EFB">
            <w:pPr>
              <w:pStyle w:val="a7"/>
              <w:rPr>
                <w:rFonts w:hint="default"/>
              </w:rPr>
            </w:pPr>
            <w:r>
              <w:t>项目</w:t>
            </w:r>
          </w:p>
        </w:tc>
        <w:tc>
          <w:tcPr>
            <w:tcW w:w="822" w:type="pct"/>
            <w:tcBorders>
              <w:top w:val="single" w:sz="10" w:space="0" w:color="000000"/>
              <w:left w:val="single" w:sz="4" w:space="0" w:color="000000"/>
              <w:bottom w:val="single" w:sz="4" w:space="0" w:color="000000"/>
              <w:right w:val="single" w:sz="4" w:space="0" w:color="000000"/>
              <w:tl2br w:val="nil"/>
              <w:tr2bl w:val="nil"/>
            </w:tcBorders>
            <w:vAlign w:val="center"/>
          </w:tcPr>
          <w:p w:rsidR="00BC07F0" w:rsidRDefault="00073EFB">
            <w:pPr>
              <w:pStyle w:val="a7"/>
              <w:rPr>
                <w:rFonts w:hint="default"/>
              </w:rPr>
            </w:pPr>
            <w:r>
              <w:rPr>
                <w:rFonts w:hint="default"/>
              </w:rPr>
              <w:t>CODcr</w:t>
            </w:r>
          </w:p>
        </w:tc>
        <w:tc>
          <w:tcPr>
            <w:tcW w:w="733" w:type="pct"/>
            <w:tcBorders>
              <w:top w:val="single" w:sz="10" w:space="0" w:color="000000"/>
              <w:left w:val="single" w:sz="4" w:space="0" w:color="000000"/>
              <w:bottom w:val="single" w:sz="4" w:space="0" w:color="000000"/>
              <w:right w:val="single" w:sz="4" w:space="0" w:color="000000"/>
              <w:tl2br w:val="nil"/>
              <w:tr2bl w:val="nil"/>
            </w:tcBorders>
            <w:vAlign w:val="center"/>
          </w:tcPr>
          <w:p w:rsidR="00BC07F0" w:rsidRDefault="00073EFB">
            <w:pPr>
              <w:pStyle w:val="a7"/>
              <w:rPr>
                <w:rFonts w:hint="default"/>
              </w:rPr>
            </w:pPr>
            <w:r>
              <w:rPr>
                <w:rFonts w:hint="default"/>
              </w:rPr>
              <w:t>BOD</w:t>
            </w:r>
            <w:r>
              <w:rPr>
                <w:rFonts w:hint="default"/>
                <w:vertAlign w:val="subscript"/>
              </w:rPr>
              <w:t>5</w:t>
            </w:r>
          </w:p>
        </w:tc>
        <w:tc>
          <w:tcPr>
            <w:tcW w:w="646" w:type="pct"/>
            <w:tcBorders>
              <w:top w:val="single" w:sz="10" w:space="0" w:color="000000"/>
              <w:left w:val="single" w:sz="4" w:space="0" w:color="000000"/>
              <w:bottom w:val="single" w:sz="4" w:space="0" w:color="000000"/>
              <w:right w:val="single" w:sz="4" w:space="0" w:color="000000"/>
              <w:tl2br w:val="nil"/>
              <w:tr2bl w:val="nil"/>
            </w:tcBorders>
            <w:vAlign w:val="center"/>
          </w:tcPr>
          <w:p w:rsidR="00BC07F0" w:rsidRDefault="00073EFB">
            <w:pPr>
              <w:pStyle w:val="a7"/>
              <w:rPr>
                <w:rFonts w:hint="default"/>
              </w:rPr>
            </w:pPr>
            <w:r>
              <w:rPr>
                <w:rFonts w:hint="default"/>
              </w:rPr>
              <w:t>SS</w:t>
            </w:r>
          </w:p>
        </w:tc>
        <w:tc>
          <w:tcPr>
            <w:tcW w:w="689" w:type="pct"/>
            <w:tcBorders>
              <w:top w:val="single" w:sz="10" w:space="0" w:color="000000"/>
              <w:left w:val="single" w:sz="4" w:space="0" w:color="000000"/>
              <w:bottom w:val="single" w:sz="4" w:space="0" w:color="000000"/>
              <w:right w:val="single" w:sz="4" w:space="0" w:color="000000"/>
              <w:tl2br w:val="nil"/>
              <w:tr2bl w:val="nil"/>
            </w:tcBorders>
            <w:vAlign w:val="center"/>
          </w:tcPr>
          <w:p w:rsidR="00BC07F0" w:rsidRDefault="00073EFB">
            <w:pPr>
              <w:pStyle w:val="a7"/>
              <w:rPr>
                <w:rFonts w:hint="default"/>
              </w:rPr>
            </w:pPr>
            <w:r>
              <w:rPr>
                <w:rFonts w:hint="default"/>
              </w:rPr>
              <w:t>NH</w:t>
            </w:r>
            <w:r>
              <w:rPr>
                <w:rFonts w:hint="default"/>
                <w:vertAlign w:val="subscript"/>
              </w:rPr>
              <w:t>3</w:t>
            </w:r>
            <w:r>
              <w:rPr>
                <w:rFonts w:hint="default"/>
              </w:rPr>
              <w:t>-N</w:t>
            </w:r>
          </w:p>
        </w:tc>
        <w:tc>
          <w:tcPr>
            <w:tcW w:w="642" w:type="pct"/>
            <w:tcBorders>
              <w:top w:val="single" w:sz="10" w:space="0" w:color="000000"/>
              <w:left w:val="single" w:sz="4" w:space="0" w:color="000000"/>
              <w:bottom w:val="single" w:sz="4" w:space="0" w:color="000000"/>
              <w:right w:val="single" w:sz="4" w:space="0" w:color="000000"/>
              <w:tl2br w:val="nil"/>
              <w:tr2bl w:val="nil"/>
            </w:tcBorders>
            <w:vAlign w:val="center"/>
          </w:tcPr>
          <w:p w:rsidR="00BC07F0" w:rsidRDefault="00073EFB">
            <w:pPr>
              <w:pStyle w:val="a7"/>
              <w:rPr>
                <w:rFonts w:hint="default"/>
              </w:rPr>
            </w:pPr>
            <w:r>
              <w:rPr>
                <w:rFonts w:hint="default"/>
              </w:rPr>
              <w:t>TN</w:t>
            </w:r>
          </w:p>
        </w:tc>
        <w:tc>
          <w:tcPr>
            <w:tcW w:w="642" w:type="pct"/>
            <w:tcBorders>
              <w:top w:val="single" w:sz="10" w:space="0" w:color="000000"/>
              <w:left w:val="single" w:sz="4" w:space="0" w:color="000000"/>
              <w:bottom w:val="single" w:sz="4" w:space="0" w:color="000000"/>
              <w:right w:val="single" w:sz="10" w:space="0" w:color="000000"/>
              <w:tl2br w:val="nil"/>
              <w:tr2bl w:val="nil"/>
            </w:tcBorders>
            <w:vAlign w:val="center"/>
          </w:tcPr>
          <w:p w:rsidR="00BC07F0" w:rsidRDefault="00073EFB">
            <w:pPr>
              <w:pStyle w:val="a7"/>
              <w:rPr>
                <w:rFonts w:hint="default"/>
              </w:rPr>
            </w:pPr>
            <w:r>
              <w:rPr>
                <w:rFonts w:hint="default"/>
              </w:rPr>
              <w:t>TP</w:t>
            </w:r>
          </w:p>
        </w:tc>
      </w:tr>
      <w:tr w:rsidR="00BC07F0">
        <w:trPr>
          <w:trHeight w:val="397"/>
        </w:trPr>
        <w:tc>
          <w:tcPr>
            <w:tcW w:w="821" w:type="pct"/>
            <w:tcBorders>
              <w:top w:val="single" w:sz="4" w:space="0" w:color="000000"/>
              <w:left w:val="single" w:sz="10" w:space="0" w:color="000000"/>
              <w:bottom w:val="single" w:sz="10" w:space="0" w:color="000000"/>
              <w:right w:val="single" w:sz="4" w:space="0" w:color="000000"/>
              <w:tl2br w:val="nil"/>
              <w:tr2bl w:val="nil"/>
            </w:tcBorders>
            <w:vAlign w:val="center"/>
          </w:tcPr>
          <w:p w:rsidR="00BC07F0" w:rsidRDefault="00073EFB">
            <w:pPr>
              <w:pStyle w:val="a7"/>
              <w:rPr>
                <w:rFonts w:hint="default"/>
              </w:rPr>
            </w:pPr>
            <w:r>
              <w:t>进水水质</w:t>
            </w:r>
          </w:p>
        </w:tc>
        <w:tc>
          <w:tcPr>
            <w:tcW w:w="822" w:type="pct"/>
            <w:tcBorders>
              <w:top w:val="single" w:sz="4" w:space="0" w:color="000000"/>
              <w:left w:val="single" w:sz="4" w:space="0" w:color="000000"/>
              <w:bottom w:val="single" w:sz="10" w:space="0" w:color="000000"/>
              <w:right w:val="single" w:sz="4" w:space="0" w:color="000000"/>
              <w:tl2br w:val="nil"/>
              <w:tr2bl w:val="nil"/>
            </w:tcBorders>
            <w:vAlign w:val="center"/>
          </w:tcPr>
          <w:p w:rsidR="00BC07F0" w:rsidRDefault="00073EFB">
            <w:pPr>
              <w:pStyle w:val="a7"/>
              <w:rPr>
                <w:rFonts w:hint="default"/>
              </w:rPr>
            </w:pPr>
            <w:r>
              <w:rPr>
                <w:rFonts w:hint="default"/>
              </w:rPr>
              <w:t>300</w:t>
            </w:r>
          </w:p>
        </w:tc>
        <w:tc>
          <w:tcPr>
            <w:tcW w:w="733" w:type="pct"/>
            <w:tcBorders>
              <w:top w:val="single" w:sz="4" w:space="0" w:color="000000"/>
              <w:left w:val="single" w:sz="4" w:space="0" w:color="000000"/>
              <w:bottom w:val="single" w:sz="10" w:space="0" w:color="000000"/>
              <w:right w:val="single" w:sz="4" w:space="0" w:color="000000"/>
              <w:tl2br w:val="nil"/>
              <w:tr2bl w:val="nil"/>
            </w:tcBorders>
            <w:vAlign w:val="center"/>
          </w:tcPr>
          <w:p w:rsidR="00BC07F0" w:rsidRDefault="00073EFB">
            <w:pPr>
              <w:pStyle w:val="a7"/>
              <w:rPr>
                <w:rFonts w:hint="default"/>
              </w:rPr>
            </w:pPr>
            <w:r>
              <w:rPr>
                <w:rFonts w:hint="default"/>
              </w:rPr>
              <w:t>140</w:t>
            </w:r>
          </w:p>
        </w:tc>
        <w:tc>
          <w:tcPr>
            <w:tcW w:w="646" w:type="pct"/>
            <w:tcBorders>
              <w:top w:val="single" w:sz="4" w:space="0" w:color="000000"/>
              <w:left w:val="single" w:sz="4" w:space="0" w:color="000000"/>
              <w:bottom w:val="single" w:sz="10" w:space="0" w:color="000000"/>
              <w:right w:val="single" w:sz="4" w:space="0" w:color="000000"/>
              <w:tl2br w:val="nil"/>
              <w:tr2bl w:val="nil"/>
            </w:tcBorders>
            <w:vAlign w:val="center"/>
          </w:tcPr>
          <w:p w:rsidR="00BC07F0" w:rsidRDefault="00073EFB">
            <w:pPr>
              <w:pStyle w:val="a7"/>
              <w:rPr>
                <w:rFonts w:hint="default"/>
              </w:rPr>
            </w:pPr>
            <w:r>
              <w:rPr>
                <w:rFonts w:hint="default"/>
              </w:rPr>
              <w:t>300</w:t>
            </w:r>
          </w:p>
        </w:tc>
        <w:tc>
          <w:tcPr>
            <w:tcW w:w="689" w:type="pct"/>
            <w:tcBorders>
              <w:top w:val="single" w:sz="4" w:space="0" w:color="000000"/>
              <w:left w:val="single" w:sz="4" w:space="0" w:color="000000"/>
              <w:bottom w:val="single" w:sz="10" w:space="0" w:color="000000"/>
              <w:right w:val="single" w:sz="4" w:space="0" w:color="000000"/>
              <w:tl2br w:val="nil"/>
              <w:tr2bl w:val="nil"/>
            </w:tcBorders>
            <w:vAlign w:val="center"/>
          </w:tcPr>
          <w:p w:rsidR="00BC07F0" w:rsidRDefault="00073EFB">
            <w:pPr>
              <w:pStyle w:val="a7"/>
              <w:rPr>
                <w:rFonts w:hint="default"/>
              </w:rPr>
            </w:pPr>
            <w:r>
              <w:rPr>
                <w:rFonts w:hint="default"/>
              </w:rPr>
              <w:t>30</w:t>
            </w:r>
          </w:p>
        </w:tc>
        <w:tc>
          <w:tcPr>
            <w:tcW w:w="642" w:type="pct"/>
            <w:tcBorders>
              <w:top w:val="single" w:sz="4" w:space="0" w:color="000000"/>
              <w:left w:val="single" w:sz="4" w:space="0" w:color="000000"/>
              <w:bottom w:val="single" w:sz="10" w:space="0" w:color="000000"/>
              <w:right w:val="single" w:sz="4" w:space="0" w:color="000000"/>
              <w:tl2br w:val="nil"/>
              <w:tr2bl w:val="nil"/>
            </w:tcBorders>
            <w:vAlign w:val="center"/>
          </w:tcPr>
          <w:p w:rsidR="00BC07F0" w:rsidRDefault="00073EFB">
            <w:pPr>
              <w:pStyle w:val="a7"/>
              <w:rPr>
                <w:rFonts w:hint="default"/>
              </w:rPr>
            </w:pPr>
            <w:r>
              <w:rPr>
                <w:rFonts w:hint="default"/>
              </w:rPr>
              <w:t>35</w:t>
            </w:r>
          </w:p>
        </w:tc>
        <w:tc>
          <w:tcPr>
            <w:tcW w:w="642" w:type="pct"/>
            <w:tcBorders>
              <w:top w:val="single" w:sz="4" w:space="0" w:color="000000"/>
              <w:left w:val="single" w:sz="4" w:space="0" w:color="000000"/>
              <w:bottom w:val="single" w:sz="10" w:space="0" w:color="000000"/>
              <w:right w:val="single" w:sz="10" w:space="0" w:color="000000"/>
              <w:tl2br w:val="nil"/>
              <w:tr2bl w:val="nil"/>
            </w:tcBorders>
            <w:vAlign w:val="center"/>
          </w:tcPr>
          <w:p w:rsidR="00BC07F0" w:rsidRDefault="00073EFB">
            <w:pPr>
              <w:pStyle w:val="a7"/>
              <w:rPr>
                <w:rFonts w:hint="default"/>
              </w:rPr>
            </w:pPr>
            <w:r>
              <w:rPr>
                <w:rFonts w:hint="default"/>
              </w:rPr>
              <w:t>4</w:t>
            </w:r>
          </w:p>
        </w:tc>
      </w:tr>
    </w:tbl>
    <w:p w:rsidR="00BC07F0" w:rsidRDefault="00073EFB" w:rsidP="00C55F5E">
      <w:pPr>
        <w:pStyle w:val="3"/>
        <w:ind w:firstLine="482"/>
      </w:pPr>
      <w:r>
        <w:rPr>
          <w:rFonts w:hint="eastAsia"/>
        </w:rPr>
        <w:t>2.3.2</w:t>
      </w:r>
      <w:r>
        <w:t>出水水质</w:t>
      </w:r>
    </w:p>
    <w:p w:rsidR="00BC07F0" w:rsidRDefault="00073EFB">
      <w:pPr>
        <w:pStyle w:val="a7"/>
        <w:rPr>
          <w:rFonts w:hint="default"/>
          <w:b/>
          <w:bCs/>
        </w:rPr>
      </w:pPr>
      <w:r>
        <w:rPr>
          <w:rFonts w:hint="default"/>
          <w:b/>
          <w:bCs/>
        </w:rPr>
        <w:t>表</w:t>
      </w:r>
      <w:r>
        <w:rPr>
          <w:b/>
          <w:bCs/>
        </w:rPr>
        <w:t>2.4-2</w:t>
      </w:r>
      <w:r>
        <w:rPr>
          <w:b/>
          <w:bCs/>
        </w:rPr>
        <w:t>污水处理厂</w:t>
      </w:r>
      <w:r>
        <w:rPr>
          <w:rFonts w:hint="default"/>
          <w:b/>
          <w:bCs/>
        </w:rPr>
        <w:t>设计出水主要水质（</w:t>
      </w:r>
      <w:r>
        <w:rPr>
          <w:rFonts w:hint="default"/>
          <w:b/>
          <w:bCs/>
        </w:rPr>
        <w:t>mg/L</w:t>
      </w:r>
      <w:r>
        <w:rPr>
          <w:rFonts w:hint="default"/>
          <w:b/>
          <w:bCs/>
        </w:rPr>
        <w:t>）</w:t>
      </w:r>
    </w:p>
    <w:tbl>
      <w:tblPr>
        <w:tblW w:w="4950" w:type="pct"/>
        <w:tblLayout w:type="fixed"/>
        <w:tblLook w:val="04A0"/>
      </w:tblPr>
      <w:tblGrid>
        <w:gridCol w:w="1109"/>
        <w:gridCol w:w="1221"/>
        <w:gridCol w:w="1221"/>
        <w:gridCol w:w="1221"/>
        <w:gridCol w:w="1221"/>
        <w:gridCol w:w="1222"/>
        <w:gridCol w:w="1222"/>
      </w:tblGrid>
      <w:tr w:rsidR="00BC07F0">
        <w:trPr>
          <w:trHeight w:val="397"/>
        </w:trPr>
        <w:tc>
          <w:tcPr>
            <w:tcW w:w="657" w:type="pct"/>
            <w:tcBorders>
              <w:top w:val="single" w:sz="10" w:space="0" w:color="000000"/>
              <w:left w:val="single" w:sz="10" w:space="0" w:color="000000"/>
              <w:bottom w:val="single" w:sz="4" w:space="0" w:color="000000"/>
              <w:right w:val="single" w:sz="4" w:space="0" w:color="000000"/>
              <w:tl2br w:val="nil"/>
              <w:tr2bl w:val="nil"/>
            </w:tcBorders>
            <w:vAlign w:val="center"/>
          </w:tcPr>
          <w:p w:rsidR="00BC07F0" w:rsidRDefault="00073EFB">
            <w:pPr>
              <w:pStyle w:val="a7"/>
              <w:rPr>
                <w:rFonts w:hint="default"/>
              </w:rPr>
            </w:pPr>
            <w:r>
              <w:rPr>
                <w:rFonts w:hint="default"/>
              </w:rPr>
              <w:t>项目</w:t>
            </w:r>
          </w:p>
        </w:tc>
        <w:tc>
          <w:tcPr>
            <w:tcW w:w="723" w:type="pct"/>
            <w:tcBorders>
              <w:top w:val="single" w:sz="10" w:space="0" w:color="000000"/>
              <w:left w:val="single" w:sz="4" w:space="0" w:color="000000"/>
              <w:bottom w:val="single" w:sz="4" w:space="0" w:color="000000"/>
              <w:right w:val="single" w:sz="4" w:space="0" w:color="000000"/>
              <w:tl2br w:val="nil"/>
              <w:tr2bl w:val="nil"/>
            </w:tcBorders>
            <w:vAlign w:val="center"/>
          </w:tcPr>
          <w:p w:rsidR="00BC07F0" w:rsidRDefault="00073EFB">
            <w:pPr>
              <w:pStyle w:val="a7"/>
              <w:rPr>
                <w:rFonts w:hint="default"/>
              </w:rPr>
            </w:pPr>
            <w:r>
              <w:rPr>
                <w:rFonts w:hint="default"/>
              </w:rPr>
              <w:t>CODcr</w:t>
            </w:r>
          </w:p>
          <w:p w:rsidR="00BC07F0" w:rsidRDefault="00073EFB">
            <w:pPr>
              <w:pStyle w:val="a7"/>
              <w:rPr>
                <w:rFonts w:hint="default"/>
              </w:rPr>
            </w:pPr>
            <w:r>
              <w:rPr>
                <w:rFonts w:hint="default"/>
              </w:rPr>
              <w:t>（</w:t>
            </w:r>
            <w:r>
              <w:rPr>
                <w:rFonts w:hint="default"/>
              </w:rPr>
              <w:t>mg/L</w:t>
            </w:r>
            <w:r>
              <w:rPr>
                <w:rFonts w:hint="default"/>
              </w:rPr>
              <w:t>）</w:t>
            </w:r>
          </w:p>
        </w:tc>
        <w:tc>
          <w:tcPr>
            <w:tcW w:w="723" w:type="pct"/>
            <w:tcBorders>
              <w:top w:val="single" w:sz="10" w:space="0" w:color="000000"/>
              <w:left w:val="single" w:sz="4" w:space="0" w:color="000000"/>
              <w:bottom w:val="single" w:sz="4" w:space="0" w:color="000000"/>
              <w:right w:val="single" w:sz="4" w:space="0" w:color="000000"/>
              <w:tl2br w:val="nil"/>
              <w:tr2bl w:val="nil"/>
            </w:tcBorders>
            <w:vAlign w:val="center"/>
          </w:tcPr>
          <w:p w:rsidR="00BC07F0" w:rsidRDefault="00073EFB">
            <w:pPr>
              <w:pStyle w:val="a7"/>
              <w:rPr>
                <w:rFonts w:hint="default"/>
              </w:rPr>
            </w:pPr>
            <w:r>
              <w:rPr>
                <w:rFonts w:hint="default"/>
              </w:rPr>
              <w:t>BOD</w:t>
            </w:r>
            <w:r>
              <w:rPr>
                <w:rFonts w:hint="default"/>
                <w:vertAlign w:val="subscript"/>
              </w:rPr>
              <w:t>5</w:t>
            </w:r>
          </w:p>
          <w:p w:rsidR="00BC07F0" w:rsidRDefault="00073EFB">
            <w:pPr>
              <w:pStyle w:val="a7"/>
              <w:rPr>
                <w:rFonts w:hint="default"/>
              </w:rPr>
            </w:pPr>
            <w:r>
              <w:rPr>
                <w:rFonts w:hint="default"/>
              </w:rPr>
              <w:t>（</w:t>
            </w:r>
            <w:r>
              <w:rPr>
                <w:rFonts w:hint="default"/>
              </w:rPr>
              <w:t>mg/L</w:t>
            </w:r>
            <w:r>
              <w:rPr>
                <w:rFonts w:hint="default"/>
              </w:rPr>
              <w:t>）</w:t>
            </w:r>
          </w:p>
        </w:tc>
        <w:tc>
          <w:tcPr>
            <w:tcW w:w="723" w:type="pct"/>
            <w:tcBorders>
              <w:top w:val="single" w:sz="10" w:space="0" w:color="000000"/>
              <w:left w:val="single" w:sz="4" w:space="0" w:color="000000"/>
              <w:bottom w:val="single" w:sz="4" w:space="0" w:color="000000"/>
              <w:right w:val="single" w:sz="4" w:space="0" w:color="000000"/>
              <w:tl2br w:val="nil"/>
              <w:tr2bl w:val="nil"/>
            </w:tcBorders>
            <w:vAlign w:val="center"/>
          </w:tcPr>
          <w:p w:rsidR="00BC07F0" w:rsidRDefault="00073EFB">
            <w:pPr>
              <w:pStyle w:val="a7"/>
              <w:rPr>
                <w:rFonts w:hint="default"/>
              </w:rPr>
            </w:pPr>
            <w:r>
              <w:rPr>
                <w:rFonts w:hint="default"/>
              </w:rPr>
              <w:t>SS</w:t>
            </w:r>
          </w:p>
          <w:p w:rsidR="00BC07F0" w:rsidRDefault="00073EFB">
            <w:pPr>
              <w:pStyle w:val="a7"/>
              <w:rPr>
                <w:rFonts w:hint="default"/>
              </w:rPr>
            </w:pPr>
            <w:r>
              <w:rPr>
                <w:rFonts w:hint="default"/>
              </w:rPr>
              <w:t>（</w:t>
            </w:r>
            <w:r>
              <w:rPr>
                <w:rFonts w:hint="default"/>
              </w:rPr>
              <w:t>mg/L</w:t>
            </w:r>
            <w:r>
              <w:rPr>
                <w:rFonts w:hint="default"/>
              </w:rPr>
              <w:t>）</w:t>
            </w:r>
          </w:p>
        </w:tc>
        <w:tc>
          <w:tcPr>
            <w:tcW w:w="723" w:type="pct"/>
            <w:tcBorders>
              <w:top w:val="single" w:sz="10" w:space="0" w:color="000000"/>
              <w:left w:val="single" w:sz="4" w:space="0" w:color="000000"/>
              <w:bottom w:val="single" w:sz="4" w:space="0" w:color="000000"/>
              <w:right w:val="single" w:sz="4" w:space="0" w:color="000000"/>
              <w:tl2br w:val="nil"/>
              <w:tr2bl w:val="nil"/>
            </w:tcBorders>
            <w:vAlign w:val="center"/>
          </w:tcPr>
          <w:p w:rsidR="00BC07F0" w:rsidRDefault="00073EFB">
            <w:pPr>
              <w:pStyle w:val="a7"/>
              <w:rPr>
                <w:rFonts w:hint="default"/>
              </w:rPr>
            </w:pPr>
            <w:r>
              <w:rPr>
                <w:rFonts w:hint="default"/>
              </w:rPr>
              <w:t>NH</w:t>
            </w:r>
            <w:r>
              <w:rPr>
                <w:rFonts w:hint="default"/>
                <w:vertAlign w:val="subscript"/>
              </w:rPr>
              <w:t>3</w:t>
            </w:r>
            <w:r>
              <w:rPr>
                <w:rFonts w:hint="default"/>
              </w:rPr>
              <w:t>-N</w:t>
            </w:r>
          </w:p>
          <w:p w:rsidR="00BC07F0" w:rsidRDefault="00073EFB">
            <w:pPr>
              <w:pStyle w:val="a7"/>
              <w:rPr>
                <w:rFonts w:hint="default"/>
              </w:rPr>
            </w:pPr>
            <w:r>
              <w:rPr>
                <w:rFonts w:hint="default"/>
              </w:rPr>
              <w:t>（</w:t>
            </w:r>
            <w:r>
              <w:rPr>
                <w:rFonts w:hint="default"/>
              </w:rPr>
              <w:t>mg/L</w:t>
            </w:r>
            <w:r>
              <w:rPr>
                <w:rFonts w:hint="default"/>
              </w:rPr>
              <w:t>）</w:t>
            </w:r>
          </w:p>
        </w:tc>
        <w:tc>
          <w:tcPr>
            <w:tcW w:w="724" w:type="pct"/>
            <w:tcBorders>
              <w:top w:val="single" w:sz="10" w:space="0" w:color="000000"/>
              <w:left w:val="single" w:sz="4" w:space="0" w:color="000000"/>
              <w:bottom w:val="single" w:sz="4" w:space="0" w:color="000000"/>
              <w:right w:val="single" w:sz="4" w:space="0" w:color="000000"/>
              <w:tl2br w:val="nil"/>
              <w:tr2bl w:val="nil"/>
            </w:tcBorders>
            <w:vAlign w:val="center"/>
          </w:tcPr>
          <w:p w:rsidR="00BC07F0" w:rsidRDefault="00073EFB">
            <w:pPr>
              <w:pStyle w:val="a7"/>
              <w:rPr>
                <w:rFonts w:hint="default"/>
              </w:rPr>
            </w:pPr>
            <w:r>
              <w:rPr>
                <w:rFonts w:hint="default"/>
              </w:rPr>
              <w:t>TN</w:t>
            </w:r>
          </w:p>
          <w:p w:rsidR="00BC07F0" w:rsidRDefault="00073EFB">
            <w:pPr>
              <w:pStyle w:val="a7"/>
              <w:rPr>
                <w:rFonts w:hint="default"/>
              </w:rPr>
            </w:pPr>
            <w:r>
              <w:rPr>
                <w:rFonts w:hint="default"/>
              </w:rPr>
              <w:t>（</w:t>
            </w:r>
            <w:r>
              <w:rPr>
                <w:rFonts w:hint="default"/>
              </w:rPr>
              <w:t>mg/L</w:t>
            </w:r>
            <w:r>
              <w:rPr>
                <w:rFonts w:hint="default"/>
              </w:rPr>
              <w:t>）</w:t>
            </w:r>
          </w:p>
        </w:tc>
        <w:tc>
          <w:tcPr>
            <w:tcW w:w="723" w:type="pct"/>
            <w:tcBorders>
              <w:top w:val="single" w:sz="10" w:space="0" w:color="000000"/>
              <w:left w:val="single" w:sz="4" w:space="0" w:color="000000"/>
              <w:bottom w:val="single" w:sz="4" w:space="0" w:color="000000"/>
              <w:right w:val="single" w:sz="10" w:space="0" w:color="000000"/>
              <w:tl2br w:val="nil"/>
              <w:tr2bl w:val="nil"/>
            </w:tcBorders>
            <w:vAlign w:val="center"/>
          </w:tcPr>
          <w:p w:rsidR="00BC07F0" w:rsidRDefault="00073EFB">
            <w:pPr>
              <w:pStyle w:val="a7"/>
              <w:rPr>
                <w:rFonts w:hint="default"/>
              </w:rPr>
            </w:pPr>
            <w:r>
              <w:rPr>
                <w:rFonts w:hint="default"/>
              </w:rPr>
              <w:t>TP</w:t>
            </w:r>
          </w:p>
          <w:p w:rsidR="00BC07F0" w:rsidRDefault="00073EFB">
            <w:pPr>
              <w:pStyle w:val="a7"/>
              <w:rPr>
                <w:rFonts w:hint="default"/>
              </w:rPr>
            </w:pPr>
            <w:r>
              <w:rPr>
                <w:rFonts w:hint="default"/>
              </w:rPr>
              <w:t>（</w:t>
            </w:r>
            <w:r>
              <w:rPr>
                <w:rFonts w:hint="default"/>
              </w:rPr>
              <w:t>mg/L</w:t>
            </w:r>
            <w:r>
              <w:rPr>
                <w:rFonts w:hint="default"/>
              </w:rPr>
              <w:t>）</w:t>
            </w:r>
          </w:p>
        </w:tc>
      </w:tr>
      <w:tr w:rsidR="00BC07F0">
        <w:trPr>
          <w:trHeight w:val="397"/>
        </w:trPr>
        <w:tc>
          <w:tcPr>
            <w:tcW w:w="657" w:type="pct"/>
            <w:tcBorders>
              <w:top w:val="single" w:sz="4" w:space="0" w:color="000000"/>
              <w:left w:val="single" w:sz="10" w:space="0" w:color="000000"/>
              <w:bottom w:val="single" w:sz="10" w:space="0" w:color="000000"/>
              <w:right w:val="single" w:sz="4" w:space="0" w:color="000000"/>
              <w:tl2br w:val="nil"/>
              <w:tr2bl w:val="nil"/>
            </w:tcBorders>
            <w:vAlign w:val="center"/>
          </w:tcPr>
          <w:p w:rsidR="00BC07F0" w:rsidRDefault="00073EFB">
            <w:pPr>
              <w:pStyle w:val="a7"/>
              <w:rPr>
                <w:rFonts w:hint="default"/>
              </w:rPr>
            </w:pPr>
            <w:r>
              <w:rPr>
                <w:rFonts w:hint="default"/>
              </w:rPr>
              <w:t>出水水质</w:t>
            </w:r>
          </w:p>
        </w:tc>
        <w:tc>
          <w:tcPr>
            <w:tcW w:w="723" w:type="pct"/>
            <w:tcBorders>
              <w:top w:val="single" w:sz="4" w:space="0" w:color="000000"/>
              <w:left w:val="single" w:sz="4" w:space="0" w:color="000000"/>
              <w:bottom w:val="single" w:sz="10" w:space="0" w:color="000000"/>
              <w:right w:val="single" w:sz="4" w:space="0" w:color="000000"/>
              <w:tl2br w:val="nil"/>
              <w:tr2bl w:val="nil"/>
            </w:tcBorders>
            <w:vAlign w:val="center"/>
          </w:tcPr>
          <w:p w:rsidR="00BC07F0" w:rsidRDefault="00073EFB">
            <w:pPr>
              <w:pStyle w:val="a7"/>
              <w:rPr>
                <w:rFonts w:hint="default"/>
              </w:rPr>
            </w:pPr>
            <w:r>
              <w:rPr>
                <w:rFonts w:hint="default"/>
              </w:rPr>
              <w:t>≤</w:t>
            </w:r>
            <w:r>
              <w:t>50</w:t>
            </w:r>
          </w:p>
        </w:tc>
        <w:tc>
          <w:tcPr>
            <w:tcW w:w="723" w:type="pct"/>
            <w:tcBorders>
              <w:top w:val="single" w:sz="4" w:space="0" w:color="000000"/>
              <w:left w:val="single" w:sz="4" w:space="0" w:color="000000"/>
              <w:bottom w:val="single" w:sz="10" w:space="0" w:color="000000"/>
              <w:right w:val="single" w:sz="4" w:space="0" w:color="000000"/>
              <w:tl2br w:val="nil"/>
              <w:tr2bl w:val="nil"/>
            </w:tcBorders>
            <w:vAlign w:val="center"/>
          </w:tcPr>
          <w:p w:rsidR="00BC07F0" w:rsidRDefault="00073EFB">
            <w:pPr>
              <w:pStyle w:val="a7"/>
              <w:rPr>
                <w:rFonts w:hint="default"/>
              </w:rPr>
            </w:pPr>
            <w:r>
              <w:rPr>
                <w:rFonts w:hint="default"/>
              </w:rPr>
              <w:t>≤</w:t>
            </w:r>
            <w:r>
              <w:t>10</w:t>
            </w:r>
          </w:p>
        </w:tc>
        <w:tc>
          <w:tcPr>
            <w:tcW w:w="723" w:type="pct"/>
            <w:tcBorders>
              <w:top w:val="single" w:sz="4" w:space="0" w:color="000000"/>
              <w:left w:val="single" w:sz="4" w:space="0" w:color="000000"/>
              <w:bottom w:val="single" w:sz="10" w:space="0" w:color="000000"/>
              <w:right w:val="single" w:sz="4" w:space="0" w:color="000000"/>
              <w:tl2br w:val="nil"/>
              <w:tr2bl w:val="nil"/>
            </w:tcBorders>
            <w:vAlign w:val="center"/>
          </w:tcPr>
          <w:p w:rsidR="00BC07F0" w:rsidRDefault="00073EFB">
            <w:pPr>
              <w:pStyle w:val="a7"/>
              <w:rPr>
                <w:rFonts w:hint="default"/>
              </w:rPr>
            </w:pPr>
            <w:r>
              <w:rPr>
                <w:rFonts w:hint="default"/>
              </w:rPr>
              <w:t>≤</w:t>
            </w:r>
            <w:r>
              <w:t>10</w:t>
            </w:r>
          </w:p>
        </w:tc>
        <w:tc>
          <w:tcPr>
            <w:tcW w:w="723" w:type="pct"/>
            <w:tcBorders>
              <w:top w:val="single" w:sz="4" w:space="0" w:color="000000"/>
              <w:left w:val="single" w:sz="4" w:space="0" w:color="000000"/>
              <w:bottom w:val="single" w:sz="10" w:space="0" w:color="000000"/>
              <w:right w:val="single" w:sz="4" w:space="0" w:color="000000"/>
              <w:tl2br w:val="nil"/>
              <w:tr2bl w:val="nil"/>
            </w:tcBorders>
            <w:vAlign w:val="center"/>
          </w:tcPr>
          <w:p w:rsidR="00BC07F0" w:rsidRDefault="00073EFB">
            <w:pPr>
              <w:pStyle w:val="a7"/>
              <w:rPr>
                <w:rFonts w:hint="default"/>
              </w:rPr>
            </w:pPr>
            <w:r>
              <w:rPr>
                <w:rFonts w:hint="default"/>
              </w:rPr>
              <w:t>（</w:t>
            </w:r>
            <w:r>
              <w:t>5</w:t>
            </w:r>
            <w:r>
              <w:rPr>
                <w:rFonts w:hint="default"/>
              </w:rPr>
              <w:t>）</w:t>
            </w:r>
            <w:r>
              <w:t>8</w:t>
            </w:r>
          </w:p>
        </w:tc>
        <w:tc>
          <w:tcPr>
            <w:tcW w:w="724" w:type="pct"/>
            <w:tcBorders>
              <w:top w:val="single" w:sz="4" w:space="0" w:color="000000"/>
              <w:left w:val="single" w:sz="4" w:space="0" w:color="000000"/>
              <w:bottom w:val="single" w:sz="10" w:space="0" w:color="000000"/>
              <w:right w:val="single" w:sz="4" w:space="0" w:color="000000"/>
              <w:tl2br w:val="nil"/>
              <w:tr2bl w:val="nil"/>
            </w:tcBorders>
            <w:vAlign w:val="center"/>
          </w:tcPr>
          <w:p w:rsidR="00BC07F0" w:rsidRDefault="00073EFB">
            <w:pPr>
              <w:pStyle w:val="a7"/>
              <w:rPr>
                <w:rFonts w:hint="default"/>
              </w:rPr>
            </w:pPr>
            <w:r>
              <w:rPr>
                <w:rFonts w:hint="default"/>
              </w:rPr>
              <w:t>≤</w:t>
            </w:r>
            <w:r>
              <w:t>15</w:t>
            </w:r>
          </w:p>
        </w:tc>
        <w:tc>
          <w:tcPr>
            <w:tcW w:w="723" w:type="pct"/>
            <w:tcBorders>
              <w:top w:val="single" w:sz="4" w:space="0" w:color="000000"/>
              <w:left w:val="single" w:sz="4" w:space="0" w:color="000000"/>
              <w:bottom w:val="single" w:sz="10" w:space="0" w:color="000000"/>
              <w:right w:val="single" w:sz="10" w:space="0" w:color="000000"/>
              <w:tl2br w:val="nil"/>
              <w:tr2bl w:val="nil"/>
            </w:tcBorders>
            <w:vAlign w:val="center"/>
          </w:tcPr>
          <w:p w:rsidR="00BC07F0" w:rsidRDefault="00073EFB">
            <w:pPr>
              <w:pStyle w:val="a7"/>
              <w:rPr>
                <w:rFonts w:hint="default"/>
              </w:rPr>
            </w:pPr>
            <w:r>
              <w:rPr>
                <w:rFonts w:hint="default"/>
              </w:rPr>
              <w:t>≤</w:t>
            </w:r>
            <w:r>
              <w:t>0.5</w:t>
            </w:r>
          </w:p>
        </w:tc>
      </w:tr>
    </w:tbl>
    <w:p w:rsidR="00BC07F0" w:rsidRDefault="00073EFB">
      <w:pPr>
        <w:pStyle w:val="1"/>
      </w:pPr>
      <w:r>
        <w:br w:type="page"/>
      </w:r>
      <w:bookmarkStart w:id="181" w:name="_Toc16165"/>
      <w:bookmarkStart w:id="182" w:name="_Toc13638"/>
      <w:bookmarkStart w:id="183" w:name="_Toc13587"/>
      <w:r>
        <w:rPr>
          <w:rFonts w:hint="eastAsia"/>
        </w:rPr>
        <w:lastRenderedPageBreak/>
        <w:t>3</w:t>
      </w:r>
      <w:r>
        <w:rPr>
          <w:rFonts w:hint="eastAsia"/>
        </w:rPr>
        <w:t>工程分析</w:t>
      </w:r>
      <w:bookmarkEnd w:id="181"/>
      <w:bookmarkEnd w:id="182"/>
      <w:bookmarkEnd w:id="183"/>
    </w:p>
    <w:p w:rsidR="00BC07F0" w:rsidRDefault="00073EFB" w:rsidP="00C55F5E">
      <w:pPr>
        <w:pStyle w:val="2"/>
        <w:ind w:firstLine="482"/>
      </w:pPr>
      <w:bookmarkStart w:id="184" w:name="_Toc7952"/>
      <w:r>
        <w:rPr>
          <w:rFonts w:hint="eastAsia"/>
        </w:rPr>
        <w:t>3.1</w:t>
      </w:r>
      <w:r>
        <w:rPr>
          <w:rFonts w:hint="eastAsia"/>
        </w:rPr>
        <w:t>污水管网及泵站</w:t>
      </w:r>
      <w:bookmarkEnd w:id="184"/>
    </w:p>
    <w:p w:rsidR="00BC07F0" w:rsidRDefault="00073EFB" w:rsidP="00C55F5E">
      <w:pPr>
        <w:ind w:firstLine="480"/>
      </w:pPr>
      <w:r>
        <w:t>由于污水管网严格密闭，管道在正常运行过程中是密闭运送城镇生活污水，因此正常情况下不会发生泄漏，项目污水管道间隔一段距离设置检查井，便于污水管道的日常检修维护，因此，管网工程对环境影响很小。</w:t>
      </w:r>
    </w:p>
    <w:p w:rsidR="00BC07F0" w:rsidRDefault="00073EFB" w:rsidP="00C55F5E">
      <w:pPr>
        <w:pStyle w:val="2"/>
        <w:ind w:firstLine="482"/>
      </w:pPr>
      <w:bookmarkStart w:id="185" w:name="4.2_污水处理厂"/>
      <w:bookmarkStart w:id="186" w:name="_bookmark19"/>
      <w:bookmarkStart w:id="187" w:name="_Toc14575"/>
      <w:bookmarkEnd w:id="185"/>
      <w:bookmarkEnd w:id="186"/>
      <w:r>
        <w:rPr>
          <w:rFonts w:hint="eastAsia"/>
        </w:rPr>
        <w:t>3.2</w:t>
      </w:r>
      <w:r>
        <w:rPr>
          <w:rFonts w:hint="eastAsia"/>
        </w:rPr>
        <w:t>污水处理厂</w:t>
      </w:r>
      <w:bookmarkEnd w:id="187"/>
    </w:p>
    <w:p w:rsidR="00BC07F0" w:rsidRDefault="00073EFB" w:rsidP="00C55F5E">
      <w:pPr>
        <w:ind w:firstLine="480"/>
      </w:pPr>
      <w:r>
        <w:t>本项目排放的污水是指处理后的尾水，项目污水处理规模为</w:t>
      </w:r>
      <w:r>
        <w:rPr>
          <w:rFonts w:hint="eastAsia"/>
        </w:rPr>
        <w:t>1.5</w:t>
      </w:r>
      <w:r>
        <w:rPr>
          <w:rFonts w:hint="eastAsia"/>
        </w:rPr>
        <w:t>万</w:t>
      </w:r>
      <w:r>
        <w:t>t/d</w:t>
      </w:r>
      <w:r>
        <w:t>，设计出水水质达到《城镇污水处理厂污染物排放标准》（</w:t>
      </w:r>
      <w:r>
        <w:t>GB18918-2002</w:t>
      </w:r>
      <w:r>
        <w:t>）一级</w:t>
      </w:r>
      <w:r>
        <w:t>A</w:t>
      </w:r>
      <w:r>
        <w:t>标准，尾水排入</w:t>
      </w:r>
      <w:r>
        <w:rPr>
          <w:rFonts w:hint="eastAsia"/>
        </w:rPr>
        <w:t>湘江</w:t>
      </w:r>
      <w:r>
        <w:t>。</w:t>
      </w:r>
    </w:p>
    <w:p w:rsidR="00BC07F0" w:rsidRDefault="00073EFB" w:rsidP="00C55F5E">
      <w:pPr>
        <w:ind w:firstLine="480"/>
      </w:pPr>
      <w:r>
        <w:t>（</w:t>
      </w:r>
      <w:r>
        <w:t>1</w:t>
      </w:r>
      <w:r>
        <w:t>）</w:t>
      </w:r>
      <w:r>
        <w:t>正常排放情况</w:t>
      </w:r>
    </w:p>
    <w:p w:rsidR="00BC07F0" w:rsidRDefault="00073EFB" w:rsidP="00C55F5E">
      <w:pPr>
        <w:ind w:firstLine="480"/>
      </w:pPr>
      <w:r>
        <w:t>最大排放浓度由正常运行工况下污水处理工程排放尾水中的污染物排放执行标准确定，尾水量按满负荷水量</w:t>
      </w:r>
      <w:r>
        <w:rPr>
          <w:rFonts w:hint="eastAsia"/>
        </w:rPr>
        <w:t>1.5</w:t>
      </w:r>
      <w:r>
        <w:rPr>
          <w:rFonts w:hint="eastAsia"/>
        </w:rPr>
        <w:t>万</w:t>
      </w:r>
      <w:r>
        <w:rPr>
          <w:rFonts w:hint="eastAsia"/>
        </w:rPr>
        <w:t>t/d</w:t>
      </w:r>
      <w:r>
        <w:t>计算。</w:t>
      </w:r>
    </w:p>
    <w:p w:rsidR="00BC07F0" w:rsidRDefault="00073EFB" w:rsidP="00C55F5E">
      <w:pPr>
        <w:ind w:firstLine="480"/>
      </w:pPr>
      <w:r>
        <w:t>（</w:t>
      </w:r>
      <w:r>
        <w:t>2</w:t>
      </w:r>
      <w:r>
        <w:t>）</w:t>
      </w:r>
      <w:r>
        <w:t>事故排放情况</w:t>
      </w:r>
    </w:p>
    <w:p w:rsidR="00BC07F0" w:rsidRDefault="00073EFB" w:rsidP="00C55F5E">
      <w:pPr>
        <w:ind w:firstLine="480"/>
      </w:pPr>
      <w:r>
        <w:t>污水处理过程因设备故障或检修导致部分或全部污水未经过处理直接排放即为污水的事故排放。其最大排放浓度为进水浓度，最大排放量为项目进水量，本项目以</w:t>
      </w:r>
      <w:r>
        <w:t>1</w:t>
      </w:r>
      <w:r>
        <w:rPr>
          <w:rFonts w:hint="eastAsia"/>
        </w:rPr>
        <w:t>0</w:t>
      </w:r>
      <w:r>
        <w:t>00m</w:t>
      </w:r>
      <w:r>
        <w:rPr>
          <w:rFonts w:hint="eastAsia"/>
          <w:vertAlign w:val="superscript"/>
        </w:rPr>
        <w:t>3</w:t>
      </w:r>
      <w:r>
        <w:t>/d</w:t>
      </w:r>
      <w:r>
        <w:t>污水排放量作为事故源进行计算。</w:t>
      </w:r>
    </w:p>
    <w:p w:rsidR="00BC07F0" w:rsidRDefault="00073EFB" w:rsidP="00C55F5E">
      <w:pPr>
        <w:ind w:firstLine="480"/>
      </w:pPr>
      <w:r>
        <w:t>本项目正常及事故排放情况下各项污染物进出水情况见表</w:t>
      </w:r>
      <w:r>
        <w:rPr>
          <w:rFonts w:hint="eastAsia"/>
        </w:rPr>
        <w:t>3</w:t>
      </w:r>
      <w:r>
        <w:t>.2-1</w:t>
      </w:r>
      <w:r>
        <w:t>。</w:t>
      </w:r>
    </w:p>
    <w:p w:rsidR="00BC07F0" w:rsidRDefault="00073EFB">
      <w:pPr>
        <w:pStyle w:val="a7"/>
        <w:rPr>
          <w:rFonts w:hint="default"/>
          <w:b/>
          <w:bCs/>
        </w:rPr>
      </w:pPr>
      <w:r>
        <w:rPr>
          <w:b/>
          <w:bCs/>
        </w:rPr>
        <w:t>表</w:t>
      </w:r>
      <w:r>
        <w:rPr>
          <w:b/>
          <w:bCs/>
        </w:rPr>
        <w:t>3</w:t>
      </w:r>
      <w:r>
        <w:rPr>
          <w:b/>
          <w:bCs/>
        </w:rPr>
        <w:t>.2-1</w:t>
      </w:r>
      <w:r>
        <w:rPr>
          <w:b/>
          <w:bCs/>
        </w:rPr>
        <w:t>正常及事故排放情况下污染物进出水情况</w:t>
      </w:r>
    </w:p>
    <w:tbl>
      <w:tblPr>
        <w:tblW w:w="8216" w:type="dxa"/>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22"/>
        <w:gridCol w:w="605"/>
        <w:gridCol w:w="1065"/>
        <w:gridCol w:w="993"/>
        <w:gridCol w:w="1007"/>
        <w:gridCol w:w="992"/>
        <w:gridCol w:w="936"/>
        <w:gridCol w:w="963"/>
        <w:gridCol w:w="833"/>
      </w:tblGrid>
      <w:tr w:rsidR="00BC07F0">
        <w:trPr>
          <w:trHeight w:val="395"/>
        </w:trPr>
        <w:tc>
          <w:tcPr>
            <w:tcW w:w="1427" w:type="dxa"/>
            <w:gridSpan w:val="2"/>
            <w:tcBorders>
              <w:tl2br w:val="nil"/>
              <w:tr2bl w:val="nil"/>
            </w:tcBorders>
            <w:vAlign w:val="center"/>
          </w:tcPr>
          <w:p w:rsidR="00BC07F0" w:rsidRDefault="00073EFB">
            <w:pPr>
              <w:pStyle w:val="a7"/>
              <w:rPr>
                <w:rFonts w:hint="default"/>
              </w:rPr>
            </w:pPr>
            <w:r>
              <w:t>污染物</w:t>
            </w:r>
          </w:p>
        </w:tc>
        <w:tc>
          <w:tcPr>
            <w:tcW w:w="1065" w:type="dxa"/>
            <w:tcBorders>
              <w:tl2br w:val="nil"/>
              <w:tr2bl w:val="nil"/>
            </w:tcBorders>
            <w:vAlign w:val="center"/>
          </w:tcPr>
          <w:p w:rsidR="00BC07F0" w:rsidRDefault="00073EFB">
            <w:pPr>
              <w:pStyle w:val="a7"/>
              <w:rPr>
                <w:rFonts w:hint="default"/>
              </w:rPr>
            </w:pPr>
            <w:r>
              <w:t>水量</w:t>
            </w:r>
          </w:p>
        </w:tc>
        <w:tc>
          <w:tcPr>
            <w:tcW w:w="993" w:type="dxa"/>
            <w:tcBorders>
              <w:tl2br w:val="nil"/>
              <w:tr2bl w:val="nil"/>
            </w:tcBorders>
            <w:vAlign w:val="center"/>
          </w:tcPr>
          <w:p w:rsidR="00BC07F0" w:rsidRDefault="00073EFB">
            <w:pPr>
              <w:pStyle w:val="a7"/>
              <w:rPr>
                <w:rFonts w:hint="default"/>
              </w:rPr>
            </w:pPr>
            <w:r>
              <w:t>COD</w:t>
            </w:r>
          </w:p>
        </w:tc>
        <w:tc>
          <w:tcPr>
            <w:tcW w:w="1007" w:type="dxa"/>
            <w:tcBorders>
              <w:tl2br w:val="nil"/>
              <w:tr2bl w:val="nil"/>
            </w:tcBorders>
            <w:vAlign w:val="center"/>
          </w:tcPr>
          <w:p w:rsidR="00BC07F0" w:rsidRDefault="00073EFB">
            <w:pPr>
              <w:pStyle w:val="a7"/>
              <w:rPr>
                <w:rFonts w:hint="default"/>
              </w:rPr>
            </w:pPr>
            <w:r>
              <w:t>BOD</w:t>
            </w:r>
            <w:r>
              <w:rPr>
                <w:vertAlign w:val="subscript"/>
              </w:rPr>
              <w:t>5</w:t>
            </w:r>
          </w:p>
        </w:tc>
        <w:tc>
          <w:tcPr>
            <w:tcW w:w="992" w:type="dxa"/>
            <w:tcBorders>
              <w:tl2br w:val="nil"/>
              <w:tr2bl w:val="nil"/>
            </w:tcBorders>
            <w:vAlign w:val="center"/>
          </w:tcPr>
          <w:p w:rsidR="00BC07F0" w:rsidRDefault="00073EFB">
            <w:pPr>
              <w:pStyle w:val="a7"/>
              <w:rPr>
                <w:rFonts w:hint="default"/>
              </w:rPr>
            </w:pPr>
            <w:r>
              <w:t>SS</w:t>
            </w:r>
          </w:p>
        </w:tc>
        <w:tc>
          <w:tcPr>
            <w:tcW w:w="936" w:type="dxa"/>
            <w:tcBorders>
              <w:tl2br w:val="nil"/>
              <w:tr2bl w:val="nil"/>
            </w:tcBorders>
            <w:vAlign w:val="center"/>
          </w:tcPr>
          <w:p w:rsidR="00BC07F0" w:rsidRDefault="00073EFB">
            <w:pPr>
              <w:pStyle w:val="a7"/>
              <w:rPr>
                <w:rFonts w:hint="default"/>
              </w:rPr>
            </w:pPr>
            <w:r>
              <w:t>NH</w:t>
            </w:r>
            <w:r>
              <w:rPr>
                <w:vertAlign w:val="subscript"/>
              </w:rPr>
              <w:t>3</w:t>
            </w:r>
            <w:r>
              <w:t>-N</w:t>
            </w:r>
          </w:p>
        </w:tc>
        <w:tc>
          <w:tcPr>
            <w:tcW w:w="963" w:type="dxa"/>
            <w:tcBorders>
              <w:tl2br w:val="nil"/>
              <w:tr2bl w:val="nil"/>
            </w:tcBorders>
            <w:vAlign w:val="center"/>
          </w:tcPr>
          <w:p w:rsidR="00BC07F0" w:rsidRDefault="00073EFB">
            <w:pPr>
              <w:pStyle w:val="a7"/>
              <w:rPr>
                <w:rFonts w:hint="default"/>
              </w:rPr>
            </w:pPr>
            <w:r>
              <w:t>TN</w:t>
            </w:r>
          </w:p>
        </w:tc>
        <w:tc>
          <w:tcPr>
            <w:tcW w:w="833" w:type="dxa"/>
            <w:tcBorders>
              <w:tl2br w:val="nil"/>
              <w:tr2bl w:val="nil"/>
            </w:tcBorders>
            <w:vAlign w:val="center"/>
          </w:tcPr>
          <w:p w:rsidR="00BC07F0" w:rsidRDefault="00073EFB">
            <w:pPr>
              <w:pStyle w:val="a7"/>
              <w:rPr>
                <w:rFonts w:hint="default"/>
              </w:rPr>
            </w:pPr>
            <w:r>
              <w:t>TP</w:t>
            </w:r>
          </w:p>
        </w:tc>
      </w:tr>
      <w:tr w:rsidR="00BC07F0">
        <w:trPr>
          <w:trHeight w:val="395"/>
        </w:trPr>
        <w:tc>
          <w:tcPr>
            <w:tcW w:w="1427" w:type="dxa"/>
            <w:gridSpan w:val="2"/>
            <w:tcBorders>
              <w:tl2br w:val="nil"/>
              <w:tr2bl w:val="nil"/>
            </w:tcBorders>
            <w:vAlign w:val="center"/>
          </w:tcPr>
          <w:p w:rsidR="00BC07F0" w:rsidRDefault="00073EFB">
            <w:pPr>
              <w:pStyle w:val="a7"/>
              <w:rPr>
                <w:rFonts w:hint="default"/>
              </w:rPr>
            </w:pPr>
            <w:r>
              <w:t>进水浓度</w:t>
            </w:r>
            <w:r>
              <w:t>mg/L</w:t>
            </w:r>
          </w:p>
        </w:tc>
        <w:tc>
          <w:tcPr>
            <w:tcW w:w="1065" w:type="dxa"/>
            <w:tcBorders>
              <w:tl2br w:val="nil"/>
              <w:tr2bl w:val="nil"/>
            </w:tcBorders>
            <w:vAlign w:val="center"/>
          </w:tcPr>
          <w:p w:rsidR="00BC07F0" w:rsidRDefault="00073EFB">
            <w:pPr>
              <w:pStyle w:val="a7"/>
              <w:rPr>
                <w:rFonts w:hint="default"/>
              </w:rPr>
            </w:pPr>
            <w:r>
              <w:t>—</w:t>
            </w:r>
          </w:p>
        </w:tc>
        <w:tc>
          <w:tcPr>
            <w:tcW w:w="993" w:type="dxa"/>
            <w:tcBorders>
              <w:tl2br w:val="nil"/>
              <w:tr2bl w:val="nil"/>
            </w:tcBorders>
            <w:vAlign w:val="center"/>
          </w:tcPr>
          <w:p w:rsidR="00BC07F0" w:rsidRDefault="00073EFB">
            <w:pPr>
              <w:pStyle w:val="a7"/>
              <w:rPr>
                <w:rFonts w:hint="default"/>
              </w:rPr>
            </w:pPr>
            <w:r>
              <w:rPr>
                <w:rFonts w:hint="default"/>
              </w:rPr>
              <w:t>300</w:t>
            </w:r>
          </w:p>
        </w:tc>
        <w:tc>
          <w:tcPr>
            <w:tcW w:w="1007" w:type="dxa"/>
            <w:tcBorders>
              <w:tl2br w:val="nil"/>
              <w:tr2bl w:val="nil"/>
            </w:tcBorders>
            <w:vAlign w:val="center"/>
          </w:tcPr>
          <w:p w:rsidR="00BC07F0" w:rsidRDefault="00073EFB">
            <w:pPr>
              <w:pStyle w:val="a7"/>
              <w:rPr>
                <w:rFonts w:hint="default"/>
              </w:rPr>
            </w:pPr>
            <w:r>
              <w:rPr>
                <w:rFonts w:hint="default"/>
              </w:rPr>
              <w:t>140</w:t>
            </w:r>
          </w:p>
        </w:tc>
        <w:tc>
          <w:tcPr>
            <w:tcW w:w="992" w:type="dxa"/>
            <w:tcBorders>
              <w:tl2br w:val="nil"/>
              <w:tr2bl w:val="nil"/>
            </w:tcBorders>
            <w:vAlign w:val="center"/>
          </w:tcPr>
          <w:p w:rsidR="00BC07F0" w:rsidRDefault="00073EFB">
            <w:pPr>
              <w:pStyle w:val="a7"/>
              <w:rPr>
                <w:rFonts w:hint="default"/>
              </w:rPr>
            </w:pPr>
            <w:r>
              <w:rPr>
                <w:rFonts w:hint="default"/>
              </w:rPr>
              <w:t>300</w:t>
            </w:r>
          </w:p>
        </w:tc>
        <w:tc>
          <w:tcPr>
            <w:tcW w:w="936" w:type="dxa"/>
            <w:tcBorders>
              <w:tl2br w:val="nil"/>
              <w:tr2bl w:val="nil"/>
            </w:tcBorders>
            <w:vAlign w:val="center"/>
          </w:tcPr>
          <w:p w:rsidR="00BC07F0" w:rsidRDefault="00073EFB">
            <w:pPr>
              <w:pStyle w:val="a7"/>
              <w:rPr>
                <w:rFonts w:hint="default"/>
              </w:rPr>
            </w:pPr>
            <w:r>
              <w:rPr>
                <w:rFonts w:hint="default"/>
              </w:rPr>
              <w:t>30</w:t>
            </w:r>
          </w:p>
        </w:tc>
        <w:tc>
          <w:tcPr>
            <w:tcW w:w="963" w:type="dxa"/>
            <w:tcBorders>
              <w:tl2br w:val="nil"/>
              <w:tr2bl w:val="nil"/>
            </w:tcBorders>
            <w:vAlign w:val="center"/>
          </w:tcPr>
          <w:p w:rsidR="00BC07F0" w:rsidRDefault="00073EFB">
            <w:pPr>
              <w:pStyle w:val="a7"/>
              <w:rPr>
                <w:rFonts w:hint="default"/>
              </w:rPr>
            </w:pPr>
            <w:r>
              <w:rPr>
                <w:rFonts w:hint="default"/>
              </w:rPr>
              <w:t>35</w:t>
            </w:r>
          </w:p>
        </w:tc>
        <w:tc>
          <w:tcPr>
            <w:tcW w:w="833" w:type="dxa"/>
            <w:tcBorders>
              <w:tl2br w:val="nil"/>
              <w:tr2bl w:val="nil"/>
            </w:tcBorders>
            <w:vAlign w:val="center"/>
          </w:tcPr>
          <w:p w:rsidR="00BC07F0" w:rsidRDefault="00073EFB">
            <w:pPr>
              <w:pStyle w:val="a7"/>
              <w:rPr>
                <w:rFonts w:hint="default"/>
              </w:rPr>
            </w:pPr>
            <w:r>
              <w:rPr>
                <w:rFonts w:hint="default"/>
              </w:rPr>
              <w:t>4</w:t>
            </w:r>
          </w:p>
        </w:tc>
      </w:tr>
      <w:tr w:rsidR="00BC07F0">
        <w:trPr>
          <w:trHeight w:val="395"/>
        </w:trPr>
        <w:tc>
          <w:tcPr>
            <w:tcW w:w="822" w:type="dxa"/>
            <w:vMerge w:val="restart"/>
            <w:tcBorders>
              <w:tl2br w:val="nil"/>
              <w:tr2bl w:val="nil"/>
            </w:tcBorders>
            <w:vAlign w:val="center"/>
          </w:tcPr>
          <w:p w:rsidR="00BC07F0" w:rsidRDefault="00073EFB">
            <w:pPr>
              <w:pStyle w:val="a7"/>
              <w:rPr>
                <w:rFonts w:hint="default"/>
              </w:rPr>
            </w:pPr>
            <w:r>
              <w:t>接管量</w:t>
            </w:r>
          </w:p>
        </w:tc>
        <w:tc>
          <w:tcPr>
            <w:tcW w:w="605" w:type="dxa"/>
            <w:tcBorders>
              <w:tl2br w:val="nil"/>
              <w:tr2bl w:val="nil"/>
            </w:tcBorders>
            <w:vAlign w:val="center"/>
          </w:tcPr>
          <w:p w:rsidR="00BC07F0" w:rsidRDefault="00073EFB">
            <w:pPr>
              <w:pStyle w:val="a7"/>
              <w:rPr>
                <w:rFonts w:hint="default"/>
              </w:rPr>
            </w:pPr>
            <w:r>
              <w:t>t/d</w:t>
            </w:r>
          </w:p>
        </w:tc>
        <w:tc>
          <w:tcPr>
            <w:tcW w:w="1065" w:type="dxa"/>
            <w:tcBorders>
              <w:tl2br w:val="nil"/>
              <w:tr2bl w:val="nil"/>
            </w:tcBorders>
            <w:vAlign w:val="center"/>
          </w:tcPr>
          <w:p w:rsidR="00BC07F0" w:rsidRDefault="00073EFB">
            <w:pPr>
              <w:pStyle w:val="a7"/>
              <w:rPr>
                <w:rFonts w:hint="default"/>
              </w:rPr>
            </w:pPr>
            <w:r>
              <w:t>5000</w:t>
            </w:r>
          </w:p>
        </w:tc>
        <w:tc>
          <w:tcPr>
            <w:tcW w:w="993" w:type="dxa"/>
            <w:tcBorders>
              <w:tl2br w:val="nil"/>
              <w:tr2bl w:val="nil"/>
            </w:tcBorders>
            <w:vAlign w:val="center"/>
          </w:tcPr>
          <w:p w:rsidR="00BC07F0" w:rsidRDefault="00073EFB">
            <w:pPr>
              <w:pStyle w:val="a7"/>
              <w:rPr>
                <w:rFonts w:hint="default"/>
              </w:rPr>
            </w:pPr>
            <w:r>
              <w:t>1.5</w:t>
            </w:r>
          </w:p>
        </w:tc>
        <w:tc>
          <w:tcPr>
            <w:tcW w:w="1007" w:type="dxa"/>
            <w:tcBorders>
              <w:tl2br w:val="nil"/>
              <w:tr2bl w:val="nil"/>
            </w:tcBorders>
            <w:vAlign w:val="center"/>
          </w:tcPr>
          <w:p w:rsidR="00BC07F0" w:rsidRDefault="00073EFB">
            <w:pPr>
              <w:pStyle w:val="a7"/>
              <w:rPr>
                <w:rFonts w:hint="default"/>
              </w:rPr>
            </w:pPr>
            <w:r>
              <w:t>0.7</w:t>
            </w:r>
          </w:p>
        </w:tc>
        <w:tc>
          <w:tcPr>
            <w:tcW w:w="992" w:type="dxa"/>
            <w:tcBorders>
              <w:tl2br w:val="nil"/>
              <w:tr2bl w:val="nil"/>
            </w:tcBorders>
            <w:vAlign w:val="center"/>
          </w:tcPr>
          <w:p w:rsidR="00BC07F0" w:rsidRDefault="00073EFB">
            <w:pPr>
              <w:pStyle w:val="a7"/>
              <w:rPr>
                <w:rFonts w:hint="default"/>
              </w:rPr>
            </w:pPr>
            <w:r>
              <w:t>1.5</w:t>
            </w:r>
          </w:p>
        </w:tc>
        <w:tc>
          <w:tcPr>
            <w:tcW w:w="936" w:type="dxa"/>
            <w:tcBorders>
              <w:tl2br w:val="nil"/>
              <w:tr2bl w:val="nil"/>
            </w:tcBorders>
            <w:vAlign w:val="center"/>
          </w:tcPr>
          <w:p w:rsidR="00BC07F0" w:rsidRDefault="00073EFB">
            <w:pPr>
              <w:pStyle w:val="a7"/>
              <w:rPr>
                <w:rFonts w:hint="default"/>
              </w:rPr>
            </w:pPr>
            <w:r>
              <w:t>0.15</w:t>
            </w:r>
          </w:p>
        </w:tc>
        <w:tc>
          <w:tcPr>
            <w:tcW w:w="963" w:type="dxa"/>
            <w:tcBorders>
              <w:tl2br w:val="nil"/>
              <w:tr2bl w:val="nil"/>
            </w:tcBorders>
            <w:vAlign w:val="center"/>
          </w:tcPr>
          <w:p w:rsidR="00BC07F0" w:rsidRDefault="00073EFB">
            <w:pPr>
              <w:pStyle w:val="a7"/>
              <w:rPr>
                <w:rFonts w:hint="default"/>
              </w:rPr>
            </w:pPr>
            <w:r>
              <w:t>0.0175</w:t>
            </w:r>
          </w:p>
        </w:tc>
        <w:tc>
          <w:tcPr>
            <w:tcW w:w="833" w:type="dxa"/>
            <w:tcBorders>
              <w:tl2br w:val="nil"/>
              <w:tr2bl w:val="nil"/>
            </w:tcBorders>
            <w:vAlign w:val="center"/>
          </w:tcPr>
          <w:p w:rsidR="00BC07F0" w:rsidRDefault="00073EFB">
            <w:pPr>
              <w:pStyle w:val="a7"/>
              <w:rPr>
                <w:rFonts w:hint="default"/>
              </w:rPr>
            </w:pPr>
            <w:r>
              <w:t>0.2</w:t>
            </w:r>
          </w:p>
        </w:tc>
      </w:tr>
      <w:tr w:rsidR="00BC07F0">
        <w:trPr>
          <w:trHeight w:val="395"/>
        </w:trPr>
        <w:tc>
          <w:tcPr>
            <w:tcW w:w="822" w:type="dxa"/>
            <w:vMerge/>
            <w:tcBorders>
              <w:tl2br w:val="nil"/>
              <w:tr2bl w:val="nil"/>
            </w:tcBorders>
            <w:vAlign w:val="center"/>
          </w:tcPr>
          <w:p w:rsidR="00BC07F0" w:rsidRDefault="00BC07F0">
            <w:pPr>
              <w:pStyle w:val="a7"/>
              <w:rPr>
                <w:rFonts w:hint="default"/>
              </w:rPr>
            </w:pPr>
          </w:p>
        </w:tc>
        <w:tc>
          <w:tcPr>
            <w:tcW w:w="605" w:type="dxa"/>
            <w:tcBorders>
              <w:tl2br w:val="nil"/>
              <w:tr2bl w:val="nil"/>
            </w:tcBorders>
            <w:vAlign w:val="center"/>
          </w:tcPr>
          <w:p w:rsidR="00BC07F0" w:rsidRDefault="00073EFB">
            <w:pPr>
              <w:pStyle w:val="a7"/>
              <w:rPr>
                <w:rFonts w:hint="default"/>
              </w:rPr>
            </w:pPr>
            <w:r>
              <w:t>t/a</w:t>
            </w:r>
          </w:p>
        </w:tc>
        <w:tc>
          <w:tcPr>
            <w:tcW w:w="1065" w:type="dxa"/>
            <w:tcBorders>
              <w:tl2br w:val="nil"/>
              <w:tr2bl w:val="nil"/>
            </w:tcBorders>
            <w:vAlign w:val="center"/>
          </w:tcPr>
          <w:p w:rsidR="00BC07F0" w:rsidRDefault="00073EFB">
            <w:pPr>
              <w:pStyle w:val="a7"/>
              <w:rPr>
                <w:rFonts w:hint="default"/>
              </w:rPr>
            </w:pPr>
            <w:r>
              <w:t>1825000</w:t>
            </w:r>
          </w:p>
        </w:tc>
        <w:tc>
          <w:tcPr>
            <w:tcW w:w="993" w:type="dxa"/>
            <w:tcBorders>
              <w:tl2br w:val="nil"/>
              <w:tr2bl w:val="nil"/>
            </w:tcBorders>
            <w:vAlign w:val="center"/>
          </w:tcPr>
          <w:p w:rsidR="00BC07F0" w:rsidRDefault="00073EFB">
            <w:pPr>
              <w:pStyle w:val="a7"/>
              <w:rPr>
                <w:rFonts w:hint="default"/>
              </w:rPr>
            </w:pPr>
            <w:r>
              <w:t>547.5</w:t>
            </w:r>
          </w:p>
        </w:tc>
        <w:tc>
          <w:tcPr>
            <w:tcW w:w="1007" w:type="dxa"/>
            <w:tcBorders>
              <w:tl2br w:val="nil"/>
              <w:tr2bl w:val="nil"/>
            </w:tcBorders>
            <w:vAlign w:val="center"/>
          </w:tcPr>
          <w:p w:rsidR="00BC07F0" w:rsidRDefault="00073EFB">
            <w:pPr>
              <w:pStyle w:val="a7"/>
              <w:rPr>
                <w:rFonts w:hint="default"/>
              </w:rPr>
            </w:pPr>
            <w:r>
              <w:t>255.5</w:t>
            </w:r>
          </w:p>
        </w:tc>
        <w:tc>
          <w:tcPr>
            <w:tcW w:w="992" w:type="dxa"/>
            <w:tcBorders>
              <w:tl2br w:val="nil"/>
              <w:tr2bl w:val="nil"/>
            </w:tcBorders>
            <w:vAlign w:val="center"/>
          </w:tcPr>
          <w:p w:rsidR="00BC07F0" w:rsidRDefault="00073EFB">
            <w:pPr>
              <w:pStyle w:val="a7"/>
              <w:rPr>
                <w:rFonts w:hint="default"/>
              </w:rPr>
            </w:pPr>
            <w:r>
              <w:t>547.5</w:t>
            </w:r>
          </w:p>
        </w:tc>
        <w:tc>
          <w:tcPr>
            <w:tcW w:w="936" w:type="dxa"/>
            <w:tcBorders>
              <w:tl2br w:val="nil"/>
              <w:tr2bl w:val="nil"/>
            </w:tcBorders>
            <w:vAlign w:val="center"/>
          </w:tcPr>
          <w:p w:rsidR="00BC07F0" w:rsidRDefault="00073EFB">
            <w:pPr>
              <w:pStyle w:val="a7"/>
              <w:rPr>
                <w:rFonts w:hint="default"/>
              </w:rPr>
            </w:pPr>
            <w:r>
              <w:t>54.75</w:t>
            </w:r>
          </w:p>
        </w:tc>
        <w:tc>
          <w:tcPr>
            <w:tcW w:w="963" w:type="dxa"/>
            <w:tcBorders>
              <w:tl2br w:val="nil"/>
              <w:tr2bl w:val="nil"/>
            </w:tcBorders>
            <w:vAlign w:val="center"/>
          </w:tcPr>
          <w:p w:rsidR="00BC07F0" w:rsidRDefault="00073EFB">
            <w:pPr>
              <w:pStyle w:val="a7"/>
              <w:rPr>
                <w:rFonts w:hint="default"/>
              </w:rPr>
            </w:pPr>
            <w:r>
              <w:t>63.875</w:t>
            </w:r>
          </w:p>
        </w:tc>
        <w:tc>
          <w:tcPr>
            <w:tcW w:w="833" w:type="dxa"/>
            <w:tcBorders>
              <w:tl2br w:val="nil"/>
              <w:tr2bl w:val="nil"/>
            </w:tcBorders>
            <w:vAlign w:val="center"/>
          </w:tcPr>
          <w:p w:rsidR="00BC07F0" w:rsidRDefault="00073EFB">
            <w:pPr>
              <w:pStyle w:val="a7"/>
              <w:rPr>
                <w:rFonts w:hint="default"/>
              </w:rPr>
            </w:pPr>
            <w:r>
              <w:t>7.3</w:t>
            </w:r>
          </w:p>
        </w:tc>
      </w:tr>
      <w:tr w:rsidR="00BC07F0">
        <w:trPr>
          <w:trHeight w:val="395"/>
        </w:trPr>
        <w:tc>
          <w:tcPr>
            <w:tcW w:w="2492" w:type="dxa"/>
            <w:gridSpan w:val="3"/>
            <w:tcBorders>
              <w:tl2br w:val="nil"/>
              <w:tr2bl w:val="nil"/>
            </w:tcBorders>
            <w:vAlign w:val="center"/>
          </w:tcPr>
          <w:p w:rsidR="00BC07F0" w:rsidRDefault="00073EFB">
            <w:pPr>
              <w:pStyle w:val="a7"/>
              <w:rPr>
                <w:rFonts w:hint="default"/>
              </w:rPr>
            </w:pPr>
            <w:r>
              <w:t>正常排放浓度</w:t>
            </w:r>
            <w:r>
              <w:t>mg/L</w:t>
            </w:r>
          </w:p>
        </w:tc>
        <w:tc>
          <w:tcPr>
            <w:tcW w:w="993" w:type="dxa"/>
            <w:tcBorders>
              <w:tl2br w:val="nil"/>
              <w:tr2bl w:val="nil"/>
            </w:tcBorders>
            <w:vAlign w:val="center"/>
          </w:tcPr>
          <w:p w:rsidR="00BC07F0" w:rsidRDefault="00073EFB">
            <w:pPr>
              <w:pStyle w:val="a7"/>
              <w:rPr>
                <w:rFonts w:hint="default"/>
              </w:rPr>
            </w:pPr>
            <w:r>
              <w:t>60</w:t>
            </w:r>
          </w:p>
        </w:tc>
        <w:tc>
          <w:tcPr>
            <w:tcW w:w="1007" w:type="dxa"/>
            <w:tcBorders>
              <w:tl2br w:val="nil"/>
              <w:tr2bl w:val="nil"/>
            </w:tcBorders>
            <w:vAlign w:val="center"/>
          </w:tcPr>
          <w:p w:rsidR="00BC07F0" w:rsidRDefault="00073EFB">
            <w:pPr>
              <w:pStyle w:val="a7"/>
              <w:rPr>
                <w:rFonts w:hint="default"/>
              </w:rPr>
            </w:pPr>
            <w:r>
              <w:t>20</w:t>
            </w:r>
          </w:p>
        </w:tc>
        <w:tc>
          <w:tcPr>
            <w:tcW w:w="992" w:type="dxa"/>
            <w:tcBorders>
              <w:tl2br w:val="nil"/>
              <w:tr2bl w:val="nil"/>
            </w:tcBorders>
            <w:vAlign w:val="center"/>
          </w:tcPr>
          <w:p w:rsidR="00BC07F0" w:rsidRDefault="00073EFB">
            <w:pPr>
              <w:pStyle w:val="a7"/>
              <w:rPr>
                <w:rFonts w:hint="default"/>
              </w:rPr>
            </w:pPr>
            <w:r>
              <w:t>20</w:t>
            </w:r>
          </w:p>
        </w:tc>
        <w:tc>
          <w:tcPr>
            <w:tcW w:w="936" w:type="dxa"/>
            <w:tcBorders>
              <w:tl2br w:val="nil"/>
              <w:tr2bl w:val="nil"/>
            </w:tcBorders>
            <w:vAlign w:val="center"/>
          </w:tcPr>
          <w:p w:rsidR="00BC07F0" w:rsidRDefault="00073EFB">
            <w:pPr>
              <w:pStyle w:val="a7"/>
              <w:rPr>
                <w:rFonts w:hint="default"/>
              </w:rPr>
            </w:pPr>
            <w:r>
              <w:t>15</w:t>
            </w:r>
          </w:p>
        </w:tc>
        <w:tc>
          <w:tcPr>
            <w:tcW w:w="963" w:type="dxa"/>
            <w:tcBorders>
              <w:tl2br w:val="nil"/>
              <w:tr2bl w:val="nil"/>
            </w:tcBorders>
            <w:vAlign w:val="center"/>
          </w:tcPr>
          <w:p w:rsidR="00BC07F0" w:rsidRDefault="00073EFB">
            <w:pPr>
              <w:pStyle w:val="a7"/>
              <w:rPr>
                <w:rFonts w:hint="default"/>
              </w:rPr>
            </w:pPr>
            <w:r>
              <w:t>20</w:t>
            </w:r>
          </w:p>
        </w:tc>
        <w:tc>
          <w:tcPr>
            <w:tcW w:w="833" w:type="dxa"/>
            <w:tcBorders>
              <w:tl2br w:val="nil"/>
              <w:tr2bl w:val="nil"/>
            </w:tcBorders>
            <w:vAlign w:val="center"/>
          </w:tcPr>
          <w:p w:rsidR="00BC07F0" w:rsidRDefault="00073EFB">
            <w:pPr>
              <w:pStyle w:val="a7"/>
              <w:rPr>
                <w:rFonts w:hint="default"/>
              </w:rPr>
            </w:pPr>
            <w:r>
              <w:t>1</w:t>
            </w:r>
          </w:p>
        </w:tc>
      </w:tr>
      <w:tr w:rsidR="00BC07F0">
        <w:trPr>
          <w:trHeight w:val="395"/>
        </w:trPr>
        <w:tc>
          <w:tcPr>
            <w:tcW w:w="822" w:type="dxa"/>
            <w:vMerge w:val="restart"/>
            <w:tcBorders>
              <w:tl2br w:val="nil"/>
              <w:tr2bl w:val="nil"/>
            </w:tcBorders>
            <w:vAlign w:val="center"/>
          </w:tcPr>
          <w:p w:rsidR="00BC07F0" w:rsidRDefault="00073EFB">
            <w:pPr>
              <w:pStyle w:val="a7"/>
              <w:rPr>
                <w:rFonts w:hint="default"/>
              </w:rPr>
            </w:pPr>
            <w:r>
              <w:t>正常排放量</w:t>
            </w:r>
          </w:p>
        </w:tc>
        <w:tc>
          <w:tcPr>
            <w:tcW w:w="605" w:type="dxa"/>
            <w:tcBorders>
              <w:tl2br w:val="nil"/>
              <w:tr2bl w:val="nil"/>
            </w:tcBorders>
            <w:vAlign w:val="center"/>
          </w:tcPr>
          <w:p w:rsidR="00BC07F0" w:rsidRDefault="00073EFB">
            <w:pPr>
              <w:pStyle w:val="a7"/>
              <w:rPr>
                <w:rFonts w:hint="default"/>
              </w:rPr>
            </w:pPr>
            <w:r>
              <w:t>t/d</w:t>
            </w:r>
          </w:p>
        </w:tc>
        <w:tc>
          <w:tcPr>
            <w:tcW w:w="1065" w:type="dxa"/>
            <w:tcBorders>
              <w:tl2br w:val="nil"/>
              <w:tr2bl w:val="nil"/>
            </w:tcBorders>
            <w:vAlign w:val="center"/>
          </w:tcPr>
          <w:p w:rsidR="00BC07F0" w:rsidRDefault="00073EFB">
            <w:pPr>
              <w:pStyle w:val="a7"/>
              <w:rPr>
                <w:rFonts w:hint="default"/>
              </w:rPr>
            </w:pPr>
            <w:r>
              <w:t>5000</w:t>
            </w:r>
          </w:p>
        </w:tc>
        <w:tc>
          <w:tcPr>
            <w:tcW w:w="993" w:type="dxa"/>
            <w:tcBorders>
              <w:tl2br w:val="nil"/>
              <w:tr2bl w:val="nil"/>
            </w:tcBorders>
            <w:vAlign w:val="center"/>
          </w:tcPr>
          <w:p w:rsidR="00BC07F0" w:rsidRDefault="00073EFB">
            <w:pPr>
              <w:pStyle w:val="a7"/>
              <w:rPr>
                <w:rFonts w:hint="default"/>
              </w:rPr>
            </w:pPr>
            <w:r>
              <w:t>0.3</w:t>
            </w:r>
          </w:p>
        </w:tc>
        <w:tc>
          <w:tcPr>
            <w:tcW w:w="1007" w:type="dxa"/>
            <w:tcBorders>
              <w:tl2br w:val="nil"/>
              <w:tr2bl w:val="nil"/>
            </w:tcBorders>
            <w:vAlign w:val="center"/>
          </w:tcPr>
          <w:p w:rsidR="00BC07F0" w:rsidRDefault="00073EFB">
            <w:pPr>
              <w:pStyle w:val="a7"/>
              <w:rPr>
                <w:rFonts w:hint="default"/>
              </w:rPr>
            </w:pPr>
            <w:r>
              <w:t>0.1</w:t>
            </w:r>
          </w:p>
        </w:tc>
        <w:tc>
          <w:tcPr>
            <w:tcW w:w="992" w:type="dxa"/>
            <w:tcBorders>
              <w:tl2br w:val="nil"/>
              <w:tr2bl w:val="nil"/>
            </w:tcBorders>
            <w:vAlign w:val="center"/>
          </w:tcPr>
          <w:p w:rsidR="00BC07F0" w:rsidRDefault="00073EFB">
            <w:pPr>
              <w:pStyle w:val="a7"/>
              <w:rPr>
                <w:rFonts w:hint="default"/>
              </w:rPr>
            </w:pPr>
            <w:r>
              <w:t>0.1</w:t>
            </w:r>
          </w:p>
        </w:tc>
        <w:tc>
          <w:tcPr>
            <w:tcW w:w="936" w:type="dxa"/>
            <w:tcBorders>
              <w:tl2br w:val="nil"/>
              <w:tr2bl w:val="nil"/>
            </w:tcBorders>
            <w:vAlign w:val="center"/>
          </w:tcPr>
          <w:p w:rsidR="00BC07F0" w:rsidRDefault="00073EFB">
            <w:pPr>
              <w:pStyle w:val="a7"/>
              <w:rPr>
                <w:rFonts w:hint="default"/>
              </w:rPr>
            </w:pPr>
            <w:r>
              <w:t>0.075</w:t>
            </w:r>
          </w:p>
        </w:tc>
        <w:tc>
          <w:tcPr>
            <w:tcW w:w="963" w:type="dxa"/>
            <w:tcBorders>
              <w:tl2br w:val="nil"/>
              <w:tr2bl w:val="nil"/>
            </w:tcBorders>
            <w:vAlign w:val="center"/>
          </w:tcPr>
          <w:p w:rsidR="00BC07F0" w:rsidRDefault="00073EFB">
            <w:pPr>
              <w:pStyle w:val="a7"/>
              <w:rPr>
                <w:rFonts w:hint="default"/>
              </w:rPr>
            </w:pPr>
            <w:r>
              <w:t>0.1</w:t>
            </w:r>
          </w:p>
        </w:tc>
        <w:tc>
          <w:tcPr>
            <w:tcW w:w="833" w:type="dxa"/>
            <w:tcBorders>
              <w:tl2br w:val="nil"/>
              <w:tr2bl w:val="nil"/>
            </w:tcBorders>
            <w:vAlign w:val="center"/>
          </w:tcPr>
          <w:p w:rsidR="00BC07F0" w:rsidRDefault="00073EFB">
            <w:pPr>
              <w:pStyle w:val="a7"/>
              <w:rPr>
                <w:rFonts w:hint="default"/>
              </w:rPr>
            </w:pPr>
            <w:r>
              <w:t>0.005</w:t>
            </w:r>
          </w:p>
        </w:tc>
      </w:tr>
      <w:tr w:rsidR="00BC07F0">
        <w:trPr>
          <w:trHeight w:val="395"/>
        </w:trPr>
        <w:tc>
          <w:tcPr>
            <w:tcW w:w="822" w:type="dxa"/>
            <w:vMerge/>
            <w:tcBorders>
              <w:tl2br w:val="nil"/>
              <w:tr2bl w:val="nil"/>
            </w:tcBorders>
            <w:vAlign w:val="center"/>
          </w:tcPr>
          <w:p w:rsidR="00BC07F0" w:rsidRDefault="00BC07F0">
            <w:pPr>
              <w:pStyle w:val="a7"/>
              <w:rPr>
                <w:rFonts w:hint="default"/>
              </w:rPr>
            </w:pPr>
          </w:p>
        </w:tc>
        <w:tc>
          <w:tcPr>
            <w:tcW w:w="605" w:type="dxa"/>
            <w:tcBorders>
              <w:tl2br w:val="nil"/>
              <w:tr2bl w:val="nil"/>
            </w:tcBorders>
            <w:vAlign w:val="center"/>
          </w:tcPr>
          <w:p w:rsidR="00BC07F0" w:rsidRDefault="00073EFB">
            <w:pPr>
              <w:pStyle w:val="a7"/>
              <w:rPr>
                <w:rFonts w:hint="default"/>
              </w:rPr>
            </w:pPr>
            <w:r>
              <w:t>t/a</w:t>
            </w:r>
          </w:p>
        </w:tc>
        <w:tc>
          <w:tcPr>
            <w:tcW w:w="1065" w:type="dxa"/>
            <w:tcBorders>
              <w:tl2br w:val="nil"/>
              <w:tr2bl w:val="nil"/>
            </w:tcBorders>
            <w:vAlign w:val="center"/>
          </w:tcPr>
          <w:p w:rsidR="00BC07F0" w:rsidRDefault="00073EFB">
            <w:pPr>
              <w:pStyle w:val="a7"/>
              <w:rPr>
                <w:rFonts w:hint="default"/>
              </w:rPr>
            </w:pPr>
            <w:r>
              <w:t>1825000</w:t>
            </w:r>
          </w:p>
        </w:tc>
        <w:tc>
          <w:tcPr>
            <w:tcW w:w="993" w:type="dxa"/>
            <w:tcBorders>
              <w:tl2br w:val="nil"/>
              <w:tr2bl w:val="nil"/>
            </w:tcBorders>
            <w:vAlign w:val="center"/>
          </w:tcPr>
          <w:p w:rsidR="00BC07F0" w:rsidRDefault="00073EFB">
            <w:pPr>
              <w:pStyle w:val="a7"/>
              <w:rPr>
                <w:rFonts w:hint="default"/>
              </w:rPr>
            </w:pPr>
            <w:r>
              <w:t>109.5</w:t>
            </w:r>
          </w:p>
        </w:tc>
        <w:tc>
          <w:tcPr>
            <w:tcW w:w="1007" w:type="dxa"/>
            <w:tcBorders>
              <w:tl2br w:val="nil"/>
              <w:tr2bl w:val="nil"/>
            </w:tcBorders>
            <w:vAlign w:val="center"/>
          </w:tcPr>
          <w:p w:rsidR="00BC07F0" w:rsidRDefault="00073EFB">
            <w:pPr>
              <w:pStyle w:val="a7"/>
              <w:rPr>
                <w:rFonts w:hint="default"/>
              </w:rPr>
            </w:pPr>
            <w:r>
              <w:t>36.5</w:t>
            </w:r>
          </w:p>
        </w:tc>
        <w:tc>
          <w:tcPr>
            <w:tcW w:w="992" w:type="dxa"/>
            <w:tcBorders>
              <w:tl2br w:val="nil"/>
              <w:tr2bl w:val="nil"/>
            </w:tcBorders>
            <w:vAlign w:val="center"/>
          </w:tcPr>
          <w:p w:rsidR="00BC07F0" w:rsidRDefault="00073EFB">
            <w:pPr>
              <w:pStyle w:val="a7"/>
              <w:rPr>
                <w:rFonts w:hint="default"/>
              </w:rPr>
            </w:pPr>
            <w:r>
              <w:t>36.5</w:t>
            </w:r>
          </w:p>
        </w:tc>
        <w:tc>
          <w:tcPr>
            <w:tcW w:w="936" w:type="dxa"/>
            <w:tcBorders>
              <w:tl2br w:val="nil"/>
              <w:tr2bl w:val="nil"/>
            </w:tcBorders>
            <w:vAlign w:val="center"/>
          </w:tcPr>
          <w:p w:rsidR="00BC07F0" w:rsidRDefault="00073EFB">
            <w:pPr>
              <w:pStyle w:val="a7"/>
              <w:rPr>
                <w:rFonts w:hint="default"/>
              </w:rPr>
            </w:pPr>
            <w:r>
              <w:t>27.375</w:t>
            </w:r>
          </w:p>
        </w:tc>
        <w:tc>
          <w:tcPr>
            <w:tcW w:w="963" w:type="dxa"/>
            <w:tcBorders>
              <w:tl2br w:val="nil"/>
              <w:tr2bl w:val="nil"/>
            </w:tcBorders>
            <w:vAlign w:val="center"/>
          </w:tcPr>
          <w:p w:rsidR="00BC07F0" w:rsidRDefault="00073EFB">
            <w:pPr>
              <w:pStyle w:val="a7"/>
              <w:rPr>
                <w:rFonts w:hint="default"/>
              </w:rPr>
            </w:pPr>
            <w:r>
              <w:t>36.5</w:t>
            </w:r>
          </w:p>
        </w:tc>
        <w:tc>
          <w:tcPr>
            <w:tcW w:w="833" w:type="dxa"/>
            <w:tcBorders>
              <w:tl2br w:val="nil"/>
              <w:tr2bl w:val="nil"/>
            </w:tcBorders>
            <w:vAlign w:val="center"/>
          </w:tcPr>
          <w:p w:rsidR="00BC07F0" w:rsidRDefault="00073EFB">
            <w:pPr>
              <w:pStyle w:val="a7"/>
              <w:rPr>
                <w:rFonts w:hint="default"/>
              </w:rPr>
            </w:pPr>
            <w:r>
              <w:t>1.825</w:t>
            </w:r>
          </w:p>
        </w:tc>
      </w:tr>
      <w:tr w:rsidR="00BC07F0">
        <w:trPr>
          <w:trHeight w:val="395"/>
        </w:trPr>
        <w:tc>
          <w:tcPr>
            <w:tcW w:w="2492" w:type="dxa"/>
            <w:gridSpan w:val="3"/>
            <w:tcBorders>
              <w:tl2br w:val="nil"/>
              <w:tr2bl w:val="nil"/>
            </w:tcBorders>
            <w:vAlign w:val="center"/>
          </w:tcPr>
          <w:p w:rsidR="00BC07F0" w:rsidRDefault="00073EFB">
            <w:pPr>
              <w:pStyle w:val="a7"/>
              <w:rPr>
                <w:rFonts w:hint="default"/>
              </w:rPr>
            </w:pPr>
            <w:r>
              <w:t>事故排放浓度</w:t>
            </w:r>
            <w:r>
              <w:t>mg/L</w:t>
            </w:r>
          </w:p>
        </w:tc>
        <w:tc>
          <w:tcPr>
            <w:tcW w:w="993" w:type="dxa"/>
            <w:tcBorders>
              <w:tl2br w:val="nil"/>
              <w:tr2bl w:val="nil"/>
            </w:tcBorders>
            <w:vAlign w:val="center"/>
          </w:tcPr>
          <w:p w:rsidR="00BC07F0" w:rsidRDefault="00073EFB">
            <w:pPr>
              <w:pStyle w:val="a7"/>
              <w:rPr>
                <w:rFonts w:hint="default"/>
              </w:rPr>
            </w:pPr>
            <w:r>
              <w:rPr>
                <w:rFonts w:hint="default"/>
              </w:rPr>
              <w:t>300</w:t>
            </w:r>
          </w:p>
        </w:tc>
        <w:tc>
          <w:tcPr>
            <w:tcW w:w="1007" w:type="dxa"/>
            <w:tcBorders>
              <w:tl2br w:val="nil"/>
              <w:tr2bl w:val="nil"/>
            </w:tcBorders>
            <w:vAlign w:val="center"/>
          </w:tcPr>
          <w:p w:rsidR="00BC07F0" w:rsidRDefault="00073EFB">
            <w:pPr>
              <w:pStyle w:val="a7"/>
              <w:rPr>
                <w:rFonts w:hint="default"/>
              </w:rPr>
            </w:pPr>
            <w:r>
              <w:rPr>
                <w:rFonts w:hint="default"/>
              </w:rPr>
              <w:t>140</w:t>
            </w:r>
          </w:p>
        </w:tc>
        <w:tc>
          <w:tcPr>
            <w:tcW w:w="992" w:type="dxa"/>
            <w:tcBorders>
              <w:tl2br w:val="nil"/>
              <w:tr2bl w:val="nil"/>
            </w:tcBorders>
            <w:vAlign w:val="center"/>
          </w:tcPr>
          <w:p w:rsidR="00BC07F0" w:rsidRDefault="00073EFB">
            <w:pPr>
              <w:pStyle w:val="a7"/>
              <w:rPr>
                <w:rFonts w:hint="default"/>
              </w:rPr>
            </w:pPr>
            <w:r>
              <w:rPr>
                <w:rFonts w:hint="default"/>
              </w:rPr>
              <w:t>300</w:t>
            </w:r>
          </w:p>
        </w:tc>
        <w:tc>
          <w:tcPr>
            <w:tcW w:w="936" w:type="dxa"/>
            <w:tcBorders>
              <w:tl2br w:val="nil"/>
              <w:tr2bl w:val="nil"/>
            </w:tcBorders>
            <w:vAlign w:val="center"/>
          </w:tcPr>
          <w:p w:rsidR="00BC07F0" w:rsidRDefault="00073EFB">
            <w:pPr>
              <w:pStyle w:val="a7"/>
              <w:rPr>
                <w:rFonts w:hint="default"/>
              </w:rPr>
            </w:pPr>
            <w:r>
              <w:rPr>
                <w:rFonts w:hint="default"/>
              </w:rPr>
              <w:t>30</w:t>
            </w:r>
          </w:p>
        </w:tc>
        <w:tc>
          <w:tcPr>
            <w:tcW w:w="963" w:type="dxa"/>
            <w:tcBorders>
              <w:tl2br w:val="nil"/>
              <w:tr2bl w:val="nil"/>
            </w:tcBorders>
            <w:vAlign w:val="center"/>
          </w:tcPr>
          <w:p w:rsidR="00BC07F0" w:rsidRDefault="00073EFB">
            <w:pPr>
              <w:pStyle w:val="a7"/>
              <w:rPr>
                <w:rFonts w:hint="default"/>
              </w:rPr>
            </w:pPr>
            <w:r>
              <w:rPr>
                <w:rFonts w:hint="default"/>
              </w:rPr>
              <w:t>35</w:t>
            </w:r>
          </w:p>
        </w:tc>
        <w:tc>
          <w:tcPr>
            <w:tcW w:w="833" w:type="dxa"/>
            <w:tcBorders>
              <w:tl2br w:val="nil"/>
              <w:tr2bl w:val="nil"/>
            </w:tcBorders>
            <w:vAlign w:val="center"/>
          </w:tcPr>
          <w:p w:rsidR="00BC07F0" w:rsidRDefault="00073EFB">
            <w:pPr>
              <w:pStyle w:val="a7"/>
              <w:rPr>
                <w:rFonts w:hint="default"/>
              </w:rPr>
            </w:pPr>
            <w:r>
              <w:rPr>
                <w:rFonts w:hint="default"/>
              </w:rPr>
              <w:t>4</w:t>
            </w:r>
          </w:p>
        </w:tc>
      </w:tr>
      <w:tr w:rsidR="00BC07F0">
        <w:trPr>
          <w:trHeight w:val="383"/>
        </w:trPr>
        <w:tc>
          <w:tcPr>
            <w:tcW w:w="822" w:type="dxa"/>
            <w:vMerge w:val="restart"/>
            <w:tcBorders>
              <w:tl2br w:val="nil"/>
              <w:tr2bl w:val="nil"/>
            </w:tcBorders>
            <w:vAlign w:val="center"/>
          </w:tcPr>
          <w:p w:rsidR="00BC07F0" w:rsidRDefault="00073EFB">
            <w:pPr>
              <w:pStyle w:val="a7"/>
              <w:rPr>
                <w:rFonts w:hint="default"/>
              </w:rPr>
            </w:pPr>
            <w:r>
              <w:t>事故排放量</w:t>
            </w:r>
          </w:p>
        </w:tc>
        <w:tc>
          <w:tcPr>
            <w:tcW w:w="605" w:type="dxa"/>
            <w:tcBorders>
              <w:tl2br w:val="nil"/>
              <w:tr2bl w:val="nil"/>
            </w:tcBorders>
            <w:vAlign w:val="center"/>
          </w:tcPr>
          <w:p w:rsidR="00BC07F0" w:rsidRDefault="00073EFB">
            <w:pPr>
              <w:pStyle w:val="a7"/>
              <w:rPr>
                <w:rFonts w:hint="default"/>
              </w:rPr>
            </w:pPr>
            <w:r>
              <w:t>t/d</w:t>
            </w:r>
          </w:p>
        </w:tc>
        <w:tc>
          <w:tcPr>
            <w:tcW w:w="1065" w:type="dxa"/>
            <w:tcBorders>
              <w:tl2br w:val="nil"/>
              <w:tr2bl w:val="nil"/>
            </w:tcBorders>
            <w:vAlign w:val="center"/>
          </w:tcPr>
          <w:p w:rsidR="00BC07F0" w:rsidRDefault="00073EFB">
            <w:pPr>
              <w:pStyle w:val="a7"/>
              <w:rPr>
                <w:rFonts w:hint="default"/>
              </w:rPr>
            </w:pPr>
            <w:r>
              <w:t>5000</w:t>
            </w:r>
          </w:p>
        </w:tc>
        <w:tc>
          <w:tcPr>
            <w:tcW w:w="993" w:type="dxa"/>
            <w:tcBorders>
              <w:tl2br w:val="nil"/>
              <w:tr2bl w:val="nil"/>
            </w:tcBorders>
            <w:vAlign w:val="center"/>
          </w:tcPr>
          <w:p w:rsidR="00BC07F0" w:rsidRDefault="00073EFB">
            <w:pPr>
              <w:pStyle w:val="a7"/>
              <w:rPr>
                <w:rFonts w:hint="default"/>
              </w:rPr>
            </w:pPr>
            <w:r>
              <w:t>1.5</w:t>
            </w:r>
          </w:p>
        </w:tc>
        <w:tc>
          <w:tcPr>
            <w:tcW w:w="1007" w:type="dxa"/>
            <w:tcBorders>
              <w:tl2br w:val="nil"/>
              <w:tr2bl w:val="nil"/>
            </w:tcBorders>
            <w:vAlign w:val="center"/>
          </w:tcPr>
          <w:p w:rsidR="00BC07F0" w:rsidRDefault="00073EFB">
            <w:pPr>
              <w:pStyle w:val="a7"/>
              <w:rPr>
                <w:rFonts w:hint="default"/>
              </w:rPr>
            </w:pPr>
            <w:r>
              <w:t>0.7</w:t>
            </w:r>
          </w:p>
        </w:tc>
        <w:tc>
          <w:tcPr>
            <w:tcW w:w="992" w:type="dxa"/>
            <w:tcBorders>
              <w:tl2br w:val="nil"/>
              <w:tr2bl w:val="nil"/>
            </w:tcBorders>
            <w:vAlign w:val="center"/>
          </w:tcPr>
          <w:p w:rsidR="00BC07F0" w:rsidRDefault="00073EFB">
            <w:pPr>
              <w:pStyle w:val="a7"/>
              <w:rPr>
                <w:rFonts w:hint="default"/>
              </w:rPr>
            </w:pPr>
            <w:r>
              <w:t>1.5</w:t>
            </w:r>
          </w:p>
        </w:tc>
        <w:tc>
          <w:tcPr>
            <w:tcW w:w="936" w:type="dxa"/>
            <w:tcBorders>
              <w:tl2br w:val="nil"/>
              <w:tr2bl w:val="nil"/>
            </w:tcBorders>
            <w:vAlign w:val="center"/>
          </w:tcPr>
          <w:p w:rsidR="00BC07F0" w:rsidRDefault="00073EFB">
            <w:pPr>
              <w:pStyle w:val="a7"/>
              <w:rPr>
                <w:rFonts w:hint="default"/>
              </w:rPr>
            </w:pPr>
            <w:r>
              <w:t>0.15</w:t>
            </w:r>
          </w:p>
        </w:tc>
        <w:tc>
          <w:tcPr>
            <w:tcW w:w="963" w:type="dxa"/>
            <w:tcBorders>
              <w:tl2br w:val="nil"/>
              <w:tr2bl w:val="nil"/>
            </w:tcBorders>
            <w:vAlign w:val="center"/>
          </w:tcPr>
          <w:p w:rsidR="00BC07F0" w:rsidRDefault="00073EFB">
            <w:pPr>
              <w:pStyle w:val="a7"/>
              <w:rPr>
                <w:rFonts w:hint="default"/>
              </w:rPr>
            </w:pPr>
            <w:r>
              <w:t>0.0175</w:t>
            </w:r>
          </w:p>
        </w:tc>
        <w:tc>
          <w:tcPr>
            <w:tcW w:w="833" w:type="dxa"/>
            <w:tcBorders>
              <w:tl2br w:val="nil"/>
              <w:tr2bl w:val="nil"/>
            </w:tcBorders>
            <w:vAlign w:val="center"/>
          </w:tcPr>
          <w:p w:rsidR="00BC07F0" w:rsidRDefault="00073EFB">
            <w:pPr>
              <w:pStyle w:val="a7"/>
              <w:rPr>
                <w:rFonts w:hint="default"/>
              </w:rPr>
            </w:pPr>
            <w:r>
              <w:t>0.2</w:t>
            </w:r>
          </w:p>
        </w:tc>
      </w:tr>
      <w:tr w:rsidR="00BC07F0">
        <w:trPr>
          <w:trHeight w:val="394"/>
        </w:trPr>
        <w:tc>
          <w:tcPr>
            <w:tcW w:w="822" w:type="dxa"/>
            <w:vMerge/>
            <w:tcBorders>
              <w:tl2br w:val="nil"/>
              <w:tr2bl w:val="nil"/>
            </w:tcBorders>
            <w:vAlign w:val="center"/>
          </w:tcPr>
          <w:p w:rsidR="00BC07F0" w:rsidRDefault="00BC07F0">
            <w:pPr>
              <w:pStyle w:val="a7"/>
              <w:rPr>
                <w:rFonts w:hint="default"/>
              </w:rPr>
            </w:pPr>
          </w:p>
        </w:tc>
        <w:tc>
          <w:tcPr>
            <w:tcW w:w="605" w:type="dxa"/>
            <w:tcBorders>
              <w:tl2br w:val="nil"/>
              <w:tr2bl w:val="nil"/>
            </w:tcBorders>
            <w:vAlign w:val="center"/>
          </w:tcPr>
          <w:p w:rsidR="00BC07F0" w:rsidRDefault="00073EFB">
            <w:pPr>
              <w:pStyle w:val="a7"/>
              <w:rPr>
                <w:rFonts w:hint="default"/>
              </w:rPr>
            </w:pPr>
            <w:r>
              <w:t>t/a</w:t>
            </w:r>
          </w:p>
        </w:tc>
        <w:tc>
          <w:tcPr>
            <w:tcW w:w="1065" w:type="dxa"/>
            <w:tcBorders>
              <w:tl2br w:val="nil"/>
              <w:tr2bl w:val="nil"/>
            </w:tcBorders>
            <w:vAlign w:val="center"/>
          </w:tcPr>
          <w:p w:rsidR="00BC07F0" w:rsidRDefault="00073EFB">
            <w:pPr>
              <w:pStyle w:val="a7"/>
              <w:rPr>
                <w:rFonts w:hint="default"/>
              </w:rPr>
            </w:pPr>
            <w:r>
              <w:t>1825000</w:t>
            </w:r>
          </w:p>
        </w:tc>
        <w:tc>
          <w:tcPr>
            <w:tcW w:w="993" w:type="dxa"/>
            <w:tcBorders>
              <w:tl2br w:val="nil"/>
              <w:tr2bl w:val="nil"/>
            </w:tcBorders>
            <w:vAlign w:val="center"/>
          </w:tcPr>
          <w:p w:rsidR="00BC07F0" w:rsidRDefault="00073EFB">
            <w:pPr>
              <w:pStyle w:val="a7"/>
              <w:rPr>
                <w:rFonts w:hint="default"/>
              </w:rPr>
            </w:pPr>
            <w:r>
              <w:t>547.5</w:t>
            </w:r>
          </w:p>
        </w:tc>
        <w:tc>
          <w:tcPr>
            <w:tcW w:w="1007" w:type="dxa"/>
            <w:tcBorders>
              <w:tl2br w:val="nil"/>
              <w:tr2bl w:val="nil"/>
            </w:tcBorders>
            <w:vAlign w:val="center"/>
          </w:tcPr>
          <w:p w:rsidR="00BC07F0" w:rsidRDefault="00073EFB">
            <w:pPr>
              <w:pStyle w:val="a7"/>
              <w:rPr>
                <w:rFonts w:hint="default"/>
              </w:rPr>
            </w:pPr>
            <w:r>
              <w:t>255.5</w:t>
            </w:r>
          </w:p>
        </w:tc>
        <w:tc>
          <w:tcPr>
            <w:tcW w:w="992" w:type="dxa"/>
            <w:tcBorders>
              <w:tl2br w:val="nil"/>
              <w:tr2bl w:val="nil"/>
            </w:tcBorders>
            <w:vAlign w:val="center"/>
          </w:tcPr>
          <w:p w:rsidR="00BC07F0" w:rsidRDefault="00073EFB">
            <w:pPr>
              <w:pStyle w:val="a7"/>
              <w:rPr>
                <w:rFonts w:hint="default"/>
              </w:rPr>
            </w:pPr>
            <w:r>
              <w:t>547.5</w:t>
            </w:r>
          </w:p>
        </w:tc>
        <w:tc>
          <w:tcPr>
            <w:tcW w:w="936" w:type="dxa"/>
            <w:tcBorders>
              <w:tl2br w:val="nil"/>
              <w:tr2bl w:val="nil"/>
            </w:tcBorders>
            <w:vAlign w:val="center"/>
          </w:tcPr>
          <w:p w:rsidR="00BC07F0" w:rsidRDefault="00073EFB">
            <w:pPr>
              <w:pStyle w:val="a7"/>
              <w:rPr>
                <w:rFonts w:hint="default"/>
              </w:rPr>
            </w:pPr>
            <w:r>
              <w:t>54.75</w:t>
            </w:r>
          </w:p>
        </w:tc>
        <w:tc>
          <w:tcPr>
            <w:tcW w:w="963" w:type="dxa"/>
            <w:tcBorders>
              <w:tl2br w:val="nil"/>
              <w:tr2bl w:val="nil"/>
            </w:tcBorders>
            <w:vAlign w:val="center"/>
          </w:tcPr>
          <w:p w:rsidR="00BC07F0" w:rsidRDefault="00073EFB">
            <w:pPr>
              <w:pStyle w:val="a7"/>
              <w:rPr>
                <w:rFonts w:hint="default"/>
              </w:rPr>
            </w:pPr>
            <w:r>
              <w:t>63.875</w:t>
            </w:r>
          </w:p>
        </w:tc>
        <w:tc>
          <w:tcPr>
            <w:tcW w:w="833" w:type="dxa"/>
            <w:tcBorders>
              <w:tl2br w:val="nil"/>
              <w:tr2bl w:val="nil"/>
            </w:tcBorders>
            <w:vAlign w:val="center"/>
          </w:tcPr>
          <w:p w:rsidR="00BC07F0" w:rsidRDefault="00073EFB">
            <w:pPr>
              <w:pStyle w:val="a7"/>
              <w:rPr>
                <w:rFonts w:hint="default"/>
              </w:rPr>
            </w:pPr>
            <w:r>
              <w:t>7.3</w:t>
            </w:r>
          </w:p>
        </w:tc>
      </w:tr>
    </w:tbl>
    <w:p w:rsidR="00BC07F0" w:rsidRDefault="00BC07F0">
      <w:pPr>
        <w:pStyle w:val="a7"/>
        <w:rPr>
          <w:rFonts w:hint="default"/>
        </w:rPr>
        <w:sectPr w:rsidR="00BC07F0">
          <w:pgSz w:w="11906" w:h="16838"/>
          <w:pgMar w:top="1440" w:right="1800" w:bottom="1440" w:left="1800" w:header="851" w:footer="851" w:gutter="0"/>
          <w:cols w:space="720"/>
          <w:docGrid w:linePitch="312"/>
        </w:sectPr>
      </w:pPr>
      <w:bookmarkStart w:id="188" w:name="_Toc22564"/>
      <w:bookmarkStart w:id="189" w:name="_Toc17984"/>
    </w:p>
    <w:p w:rsidR="00BC07F0" w:rsidRDefault="00073EFB">
      <w:pPr>
        <w:pStyle w:val="1"/>
      </w:pPr>
      <w:bookmarkStart w:id="190" w:name="_Toc9778"/>
      <w:bookmarkStart w:id="191" w:name="_Toc4212"/>
      <w:bookmarkStart w:id="192" w:name="_Toc5430"/>
      <w:bookmarkEnd w:id="188"/>
      <w:bookmarkEnd w:id="189"/>
      <w:r>
        <w:rPr>
          <w:rFonts w:hint="eastAsia"/>
        </w:rPr>
        <w:lastRenderedPageBreak/>
        <w:t>4</w:t>
      </w:r>
      <w:r>
        <w:rPr>
          <w:rFonts w:hint="eastAsia"/>
        </w:rPr>
        <w:t>环境质量现状调查与评价</w:t>
      </w:r>
      <w:bookmarkEnd w:id="190"/>
      <w:bookmarkEnd w:id="191"/>
      <w:bookmarkEnd w:id="192"/>
    </w:p>
    <w:p w:rsidR="00BC07F0" w:rsidRDefault="00073EFB" w:rsidP="00C55F5E">
      <w:pPr>
        <w:ind w:firstLine="480"/>
      </w:pPr>
      <w:r>
        <w:t>通过调查评价范围内环境功能区划、主要环境敏感区、主要污染源及污染因子、当地环境特征等，结合项目特点、污染物排放特征以及评价需要，在评价范围内进行区域环境现状监测。</w:t>
      </w:r>
    </w:p>
    <w:p w:rsidR="00BC07F0" w:rsidRDefault="00073EFB" w:rsidP="00C55F5E">
      <w:pPr>
        <w:pStyle w:val="2"/>
        <w:ind w:firstLine="482"/>
      </w:pPr>
      <w:bookmarkStart w:id="193" w:name="6.1_区域水污染源现状调查"/>
      <w:bookmarkStart w:id="194" w:name="_bookmark24"/>
      <w:bookmarkStart w:id="195" w:name="_Toc25757"/>
      <w:bookmarkEnd w:id="193"/>
      <w:bookmarkEnd w:id="194"/>
      <w:r>
        <w:rPr>
          <w:rFonts w:hint="eastAsia"/>
        </w:rPr>
        <w:t>4.1</w:t>
      </w:r>
      <w:r>
        <w:rPr>
          <w:rFonts w:hint="eastAsia"/>
        </w:rPr>
        <w:t>区域水污染源现状调查</w:t>
      </w:r>
      <w:bookmarkEnd w:id="195"/>
    </w:p>
    <w:p w:rsidR="00BC07F0" w:rsidRDefault="00073EFB" w:rsidP="00C55F5E">
      <w:pPr>
        <w:ind w:firstLine="480"/>
      </w:pPr>
      <w:r>
        <w:rPr>
          <w:rFonts w:hint="eastAsia"/>
        </w:rPr>
        <w:t>湘江白沙片区南段，是城市主要的饮用水源地，幸福河入湘江口是主要的雨水排口。设计日处理能力</w:t>
      </w:r>
      <w:r>
        <w:rPr>
          <w:rFonts w:hint="eastAsia"/>
        </w:rPr>
        <w:t>10</w:t>
      </w:r>
      <w:r>
        <w:rPr>
          <w:rFonts w:hint="eastAsia"/>
        </w:rPr>
        <w:t>万吨的铜桥港污水处理厂位于湘江西岸、塑田村幸福河北岸。铜桥港污水处理厂服务片区内外约</w:t>
      </w:r>
      <w:r>
        <w:rPr>
          <w:rFonts w:hint="eastAsia"/>
        </w:rPr>
        <w:t>40</w:t>
      </w:r>
      <w:r>
        <w:rPr>
          <w:rFonts w:hint="eastAsia"/>
        </w:rPr>
        <w:t>万人的生产生活排污，随着城市建成区扩大，幸福河水源日渐枯乏，水流不畅加上工业污染，沿岸居民和企事业单位的污水也直接排入河中，如遇干旱，河水发黑发臭，河内水草丛生，污水横流，淤积严重，阻塞河床，致使本已狭窄的河道断面更趋萎缩，影响河道行洪能力的发挥，加之原有河道防洪标准未达相应要求，极易引发河道两岸低洼地带遭受内涝洪灾，目前，铜桥港</w:t>
      </w:r>
      <w:r>
        <w:rPr>
          <w:rFonts w:hint="eastAsia"/>
        </w:rPr>
        <w:t>污水处理厂己建成投产，沿幸福河两岸敷设的截污管也在不断的完善，原来直接排入到幸福河的污水截流进入污水处理厂处理后再排入湘江，雨季时溢流雨水经幸福河排入湘江</w:t>
      </w:r>
      <w:r>
        <w:t>。</w:t>
      </w:r>
    </w:p>
    <w:p w:rsidR="00BC07F0" w:rsidRDefault="00073EFB" w:rsidP="00C55F5E">
      <w:pPr>
        <w:pStyle w:val="2"/>
        <w:ind w:firstLine="482"/>
      </w:pPr>
      <w:bookmarkStart w:id="196" w:name="6.2_区域地表水环境质量现状调查"/>
      <w:bookmarkStart w:id="197" w:name="_bookmark25"/>
      <w:bookmarkStart w:id="198" w:name="_Toc27846"/>
      <w:bookmarkEnd w:id="196"/>
      <w:bookmarkEnd w:id="197"/>
      <w:r>
        <w:rPr>
          <w:rFonts w:hint="eastAsia"/>
        </w:rPr>
        <w:t>4.2</w:t>
      </w:r>
      <w:r>
        <w:rPr>
          <w:rFonts w:hint="eastAsia"/>
        </w:rPr>
        <w:t>区域地表水环境质量现状调查</w:t>
      </w:r>
      <w:bookmarkEnd w:id="198"/>
    </w:p>
    <w:p w:rsidR="00BC07F0" w:rsidRDefault="00073EFB" w:rsidP="00C55F5E">
      <w:pPr>
        <w:ind w:firstLine="480"/>
      </w:pPr>
      <w:r>
        <w:t>为了解地表水环境质量现状，本次评价对项目地表水进行了环境质量检测</w:t>
      </w:r>
      <w:r>
        <w:rPr>
          <w:rFonts w:hint="eastAsia"/>
        </w:rPr>
        <w:t>，检测结果统计与评价见下表</w:t>
      </w:r>
      <w:r>
        <w:t>。</w:t>
      </w:r>
    </w:p>
    <w:p w:rsidR="00BC07F0" w:rsidRDefault="00073EFB">
      <w:pPr>
        <w:numPr>
          <w:ilvl w:val="0"/>
          <w:numId w:val="12"/>
        </w:numPr>
        <w:tabs>
          <w:tab w:val="left" w:pos="480"/>
        </w:tabs>
        <w:ind w:left="0" w:firstLineChars="0" w:firstLine="420"/>
      </w:pPr>
      <w:r>
        <w:rPr>
          <w:rFonts w:hint="eastAsia"/>
        </w:rPr>
        <w:t>检测点位：</w:t>
      </w:r>
      <w:r>
        <w:rPr>
          <w:rFonts w:hint="eastAsia"/>
        </w:rPr>
        <w:t>S1</w:t>
      </w:r>
      <w:r>
        <w:rPr>
          <w:rFonts w:hint="eastAsia"/>
        </w:rPr>
        <w:t>幸福河断面</w:t>
      </w:r>
      <w:r>
        <w:rPr>
          <w:rFonts w:hint="eastAsia"/>
        </w:rPr>
        <w:t>、</w:t>
      </w:r>
      <w:r>
        <w:rPr>
          <w:rFonts w:hint="eastAsia"/>
        </w:rPr>
        <w:t>S2</w:t>
      </w:r>
      <w:r>
        <w:rPr>
          <w:rFonts w:hint="eastAsia"/>
        </w:rPr>
        <w:t>幸福河入湘江口下游</w:t>
      </w:r>
      <w:r>
        <w:rPr>
          <w:rFonts w:hint="eastAsia"/>
        </w:rPr>
        <w:t>600m</w:t>
      </w:r>
      <w:r>
        <w:rPr>
          <w:rFonts w:hint="eastAsia"/>
        </w:rPr>
        <w:t>、</w:t>
      </w:r>
      <w:r>
        <w:rPr>
          <w:rFonts w:hint="eastAsia"/>
        </w:rPr>
        <w:t>S3</w:t>
      </w:r>
      <w:r>
        <w:rPr>
          <w:rFonts w:hint="eastAsia"/>
        </w:rPr>
        <w:t>江东水厂取水口上游</w:t>
      </w:r>
      <w:r>
        <w:rPr>
          <w:rFonts w:hint="eastAsia"/>
        </w:rPr>
        <w:t>1200m</w:t>
      </w:r>
      <w:r>
        <w:rPr>
          <w:rFonts w:hint="eastAsia"/>
        </w:rPr>
        <w:t>湘江断面、</w:t>
      </w:r>
      <w:r>
        <w:rPr>
          <w:rFonts w:hint="eastAsia"/>
        </w:rPr>
        <w:t>S4</w:t>
      </w:r>
      <w:r>
        <w:rPr>
          <w:rFonts w:hint="eastAsia"/>
        </w:rPr>
        <w:t>江东水厂取水口下游</w:t>
      </w:r>
      <w:r>
        <w:rPr>
          <w:rFonts w:hint="eastAsia"/>
        </w:rPr>
        <w:t>500m</w:t>
      </w:r>
      <w:r>
        <w:rPr>
          <w:rFonts w:hint="eastAsia"/>
        </w:rPr>
        <w:t>湘江断面、</w:t>
      </w:r>
      <w:r>
        <w:rPr>
          <w:rFonts w:hint="eastAsia"/>
        </w:rPr>
        <w:t>S5</w:t>
      </w:r>
      <w:r>
        <w:rPr>
          <w:rFonts w:hint="eastAsia"/>
        </w:rPr>
        <w:t>日月湖。</w:t>
      </w:r>
    </w:p>
    <w:p w:rsidR="00BC07F0" w:rsidRDefault="00073EFB">
      <w:pPr>
        <w:numPr>
          <w:ilvl w:val="0"/>
          <w:numId w:val="12"/>
        </w:numPr>
        <w:tabs>
          <w:tab w:val="left" w:pos="480"/>
        </w:tabs>
        <w:ind w:left="0" w:firstLineChars="0" w:firstLine="420"/>
      </w:pPr>
      <w:r>
        <w:rPr>
          <w:rFonts w:hint="eastAsia"/>
        </w:rPr>
        <w:t>检测因子：水温、</w:t>
      </w:r>
      <w:r>
        <w:rPr>
          <w:rFonts w:hint="eastAsia"/>
        </w:rPr>
        <w:t>pH</w:t>
      </w:r>
      <w:r>
        <w:rPr>
          <w:rFonts w:hint="eastAsia"/>
        </w:rPr>
        <w:t>值、</w:t>
      </w:r>
      <w:r>
        <w:rPr>
          <w:rFonts w:hint="eastAsia"/>
        </w:rPr>
        <w:t>SS</w:t>
      </w:r>
      <w:r>
        <w:rPr>
          <w:rFonts w:hint="eastAsia"/>
        </w:rPr>
        <w:t>、</w:t>
      </w:r>
      <w:r>
        <w:rPr>
          <w:rFonts w:hint="eastAsia"/>
        </w:rPr>
        <w:t>COD</w:t>
      </w:r>
      <w:r>
        <w:rPr>
          <w:rFonts w:hint="eastAsia"/>
        </w:rPr>
        <w:t>、</w:t>
      </w:r>
      <w:r>
        <w:rPr>
          <w:rFonts w:hint="eastAsia"/>
        </w:rPr>
        <w:t>BOD</w:t>
      </w:r>
      <w:r>
        <w:rPr>
          <w:rFonts w:hint="eastAsia"/>
          <w:vertAlign w:val="subscript"/>
        </w:rPr>
        <w:t>5</w:t>
      </w:r>
      <w:r>
        <w:rPr>
          <w:rFonts w:hint="eastAsia"/>
        </w:rPr>
        <w:t>、</w:t>
      </w:r>
      <w:r>
        <w:rPr>
          <w:rFonts w:hint="eastAsia"/>
        </w:rPr>
        <w:t>NH</w:t>
      </w:r>
      <w:r>
        <w:rPr>
          <w:rFonts w:hint="eastAsia"/>
          <w:vertAlign w:val="subscript"/>
        </w:rPr>
        <w:t>3</w:t>
      </w:r>
      <w:r>
        <w:rPr>
          <w:rFonts w:hint="eastAsia"/>
        </w:rPr>
        <w:t>-N</w:t>
      </w:r>
      <w:r>
        <w:rPr>
          <w:rFonts w:hint="eastAsia"/>
        </w:rPr>
        <w:t>、</w:t>
      </w:r>
      <w:r>
        <w:rPr>
          <w:rFonts w:hint="eastAsia"/>
        </w:rPr>
        <w:t>TP</w:t>
      </w:r>
      <w:r>
        <w:rPr>
          <w:rFonts w:hint="eastAsia"/>
        </w:rPr>
        <w:t>、石油类、粪大肠菌群、溶解氧</w:t>
      </w:r>
      <w:r>
        <w:rPr>
          <w:rFonts w:hint="eastAsia"/>
        </w:rPr>
        <w:t>。</w:t>
      </w:r>
    </w:p>
    <w:p w:rsidR="00BC07F0" w:rsidRDefault="00073EFB">
      <w:pPr>
        <w:numPr>
          <w:ilvl w:val="0"/>
          <w:numId w:val="12"/>
        </w:numPr>
        <w:tabs>
          <w:tab w:val="left" w:pos="480"/>
        </w:tabs>
        <w:ind w:left="0" w:firstLineChars="0" w:firstLine="420"/>
      </w:pPr>
      <w:r>
        <w:rPr>
          <w:rFonts w:hint="eastAsia"/>
        </w:rPr>
        <w:t>检测时间：</w:t>
      </w:r>
      <w:r>
        <w:rPr>
          <w:rFonts w:hint="eastAsia"/>
        </w:rPr>
        <w:t>2021</w:t>
      </w:r>
      <w:r>
        <w:rPr>
          <w:rFonts w:hint="eastAsia"/>
        </w:rPr>
        <w:t>年</w:t>
      </w:r>
      <w:r>
        <w:rPr>
          <w:rFonts w:hint="eastAsia"/>
        </w:rPr>
        <w:t>5</w:t>
      </w:r>
      <w:r>
        <w:rPr>
          <w:rFonts w:hint="eastAsia"/>
        </w:rPr>
        <w:t>月</w:t>
      </w:r>
      <w:r>
        <w:rPr>
          <w:rFonts w:hint="eastAsia"/>
        </w:rPr>
        <w:t>2</w:t>
      </w:r>
      <w:r>
        <w:rPr>
          <w:rFonts w:hint="eastAsia"/>
        </w:rPr>
        <w:t>0~</w:t>
      </w:r>
      <w:r>
        <w:rPr>
          <w:rFonts w:hint="eastAsia"/>
        </w:rPr>
        <w:t>2</w:t>
      </w:r>
      <w:r>
        <w:rPr>
          <w:rFonts w:hint="eastAsia"/>
        </w:rPr>
        <w:t>2</w:t>
      </w:r>
      <w:r>
        <w:rPr>
          <w:rFonts w:hint="eastAsia"/>
        </w:rPr>
        <w:t>日。</w:t>
      </w:r>
    </w:p>
    <w:p w:rsidR="00BC07F0" w:rsidRDefault="00073EFB">
      <w:pPr>
        <w:numPr>
          <w:ilvl w:val="0"/>
          <w:numId w:val="12"/>
        </w:numPr>
        <w:tabs>
          <w:tab w:val="left" w:pos="480"/>
        </w:tabs>
        <w:ind w:left="0" w:firstLineChars="0" w:firstLine="420"/>
      </w:pPr>
      <w:r>
        <w:rPr>
          <w:rFonts w:hint="eastAsia"/>
        </w:rPr>
        <w:t>评价标准：执行《地表水环境质量标准》（</w:t>
      </w:r>
      <w:r>
        <w:rPr>
          <w:rFonts w:hint="eastAsia"/>
        </w:rPr>
        <w:t>GB3838-2002</w:t>
      </w:r>
      <w:r>
        <w:rPr>
          <w:rFonts w:hint="eastAsia"/>
        </w:rPr>
        <w:t>）</w:t>
      </w:r>
      <w:r>
        <w:rPr>
          <w:rFonts w:hint="eastAsia"/>
        </w:rPr>
        <w:t>Ⅲ</w:t>
      </w:r>
      <w:r>
        <w:rPr>
          <w:rFonts w:hint="eastAsia"/>
        </w:rPr>
        <w:t>类标准。</w:t>
      </w:r>
    </w:p>
    <w:p w:rsidR="00BC07F0" w:rsidRDefault="00073EFB">
      <w:pPr>
        <w:numPr>
          <w:ilvl w:val="0"/>
          <w:numId w:val="12"/>
        </w:numPr>
        <w:tabs>
          <w:tab w:val="left" w:pos="480"/>
        </w:tabs>
        <w:ind w:left="0" w:firstLineChars="0" w:firstLine="420"/>
      </w:pPr>
      <w:r>
        <w:rPr>
          <w:rFonts w:hint="eastAsia"/>
        </w:rPr>
        <w:t>检测结果：检测</w:t>
      </w:r>
      <w:r>
        <w:t>断面水质</w:t>
      </w:r>
      <w:r>
        <w:rPr>
          <w:rFonts w:hint="eastAsia"/>
        </w:rPr>
        <w:t>检测</w:t>
      </w:r>
      <w:r>
        <w:t>及评价结果</w:t>
      </w:r>
      <w:r>
        <w:rPr>
          <w:rFonts w:hint="eastAsia"/>
        </w:rPr>
        <w:t>见下表</w:t>
      </w:r>
      <w:r>
        <w:t>。</w:t>
      </w:r>
    </w:p>
    <w:p w:rsidR="00BC07F0" w:rsidRDefault="00073EFB">
      <w:pPr>
        <w:pStyle w:val="a7"/>
        <w:rPr>
          <w:rFonts w:hint="default"/>
          <w:b/>
          <w:bCs/>
        </w:rPr>
      </w:pPr>
      <w:r>
        <w:rPr>
          <w:rFonts w:hint="default"/>
          <w:b/>
          <w:bCs/>
        </w:rPr>
        <w:t>表</w:t>
      </w:r>
      <w:r>
        <w:rPr>
          <w:b/>
          <w:bCs/>
        </w:rPr>
        <w:t>5.2-1</w:t>
      </w:r>
      <w:r>
        <w:rPr>
          <w:rFonts w:hint="default"/>
          <w:b/>
          <w:bCs/>
        </w:rPr>
        <w:t>地表水现状监测结果一览表单位：</w:t>
      </w:r>
      <w:r>
        <w:rPr>
          <w:rFonts w:hint="default"/>
          <w:b/>
          <w:bCs/>
        </w:rPr>
        <w:t>mg/L</w:t>
      </w:r>
      <w:r>
        <w:rPr>
          <w:rFonts w:hint="default"/>
          <w:b/>
          <w:bCs/>
        </w:rPr>
        <w:t>，</w:t>
      </w:r>
      <w:r>
        <w:rPr>
          <w:rFonts w:hint="default"/>
          <w:b/>
          <w:bCs/>
        </w:rPr>
        <w:t>pH</w:t>
      </w:r>
      <w:r>
        <w:rPr>
          <w:rFonts w:hint="default"/>
          <w:b/>
          <w:bCs/>
        </w:rPr>
        <w:t>无量纲</w:t>
      </w:r>
    </w:p>
    <w:tbl>
      <w:tblPr>
        <w:tblW w:w="4949"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932"/>
        <w:gridCol w:w="1708"/>
        <w:gridCol w:w="955"/>
        <w:gridCol w:w="1237"/>
        <w:gridCol w:w="1237"/>
        <w:gridCol w:w="1242"/>
        <w:gridCol w:w="1124"/>
      </w:tblGrid>
      <w:tr w:rsidR="00BC07F0">
        <w:trPr>
          <w:trHeight w:val="397"/>
          <w:jc w:val="center"/>
        </w:trPr>
        <w:tc>
          <w:tcPr>
            <w:tcW w:w="552" w:type="pct"/>
            <w:vMerge w:val="restart"/>
            <w:vAlign w:val="center"/>
          </w:tcPr>
          <w:p w:rsidR="00BC07F0" w:rsidRDefault="00073EFB">
            <w:pPr>
              <w:pStyle w:val="a7"/>
              <w:rPr>
                <w:rFonts w:hint="default"/>
              </w:rPr>
            </w:pPr>
            <w:r>
              <w:t>检测</w:t>
            </w:r>
            <w:r>
              <w:t>点位</w:t>
            </w:r>
          </w:p>
        </w:tc>
        <w:tc>
          <w:tcPr>
            <w:tcW w:w="1012" w:type="pct"/>
            <w:vMerge w:val="restart"/>
            <w:vAlign w:val="center"/>
          </w:tcPr>
          <w:p w:rsidR="00BC07F0" w:rsidRDefault="00073EFB">
            <w:pPr>
              <w:pStyle w:val="a7"/>
              <w:rPr>
                <w:rFonts w:hint="default"/>
              </w:rPr>
            </w:pPr>
            <w:r>
              <w:t>检测项目</w:t>
            </w:r>
          </w:p>
        </w:tc>
        <w:tc>
          <w:tcPr>
            <w:tcW w:w="566" w:type="pct"/>
            <w:vMerge w:val="restart"/>
            <w:vAlign w:val="center"/>
          </w:tcPr>
          <w:p w:rsidR="00BC07F0" w:rsidRDefault="00073EFB">
            <w:pPr>
              <w:pStyle w:val="a7"/>
              <w:rPr>
                <w:rFonts w:hint="default"/>
              </w:rPr>
            </w:pPr>
            <w:r>
              <w:t>单位</w:t>
            </w:r>
          </w:p>
        </w:tc>
        <w:tc>
          <w:tcPr>
            <w:tcW w:w="2202" w:type="pct"/>
            <w:gridSpan w:val="3"/>
            <w:vAlign w:val="center"/>
          </w:tcPr>
          <w:p w:rsidR="00BC07F0" w:rsidRDefault="00073EFB">
            <w:pPr>
              <w:pStyle w:val="a7"/>
              <w:rPr>
                <w:rFonts w:hint="default"/>
              </w:rPr>
            </w:pPr>
            <w:r>
              <w:t>检测</w:t>
            </w:r>
            <w:r>
              <w:t>时间及检测结果</w:t>
            </w:r>
          </w:p>
        </w:tc>
        <w:tc>
          <w:tcPr>
            <w:tcW w:w="666" w:type="pct"/>
            <w:vMerge w:val="restart"/>
            <w:vAlign w:val="center"/>
          </w:tcPr>
          <w:p w:rsidR="00BC07F0" w:rsidRDefault="00073EFB">
            <w:pPr>
              <w:pStyle w:val="a7"/>
              <w:rPr>
                <w:rFonts w:hint="default"/>
              </w:rPr>
            </w:pPr>
            <w:r>
              <w:t>参考限值</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Merge/>
            <w:vAlign w:val="center"/>
          </w:tcPr>
          <w:p w:rsidR="00BC07F0" w:rsidRDefault="00BC07F0">
            <w:pPr>
              <w:pStyle w:val="a7"/>
              <w:rPr>
                <w:rFonts w:hint="default"/>
              </w:rPr>
            </w:pPr>
          </w:p>
        </w:tc>
        <w:tc>
          <w:tcPr>
            <w:tcW w:w="566" w:type="pct"/>
            <w:vMerge/>
            <w:vAlign w:val="center"/>
          </w:tcPr>
          <w:p w:rsidR="00BC07F0" w:rsidRDefault="00BC07F0">
            <w:pPr>
              <w:pStyle w:val="a7"/>
              <w:rPr>
                <w:rFonts w:hint="default"/>
              </w:rPr>
            </w:pPr>
          </w:p>
        </w:tc>
        <w:tc>
          <w:tcPr>
            <w:tcW w:w="733" w:type="pct"/>
            <w:vAlign w:val="center"/>
          </w:tcPr>
          <w:p w:rsidR="00BC07F0" w:rsidRDefault="00073EFB">
            <w:pPr>
              <w:pStyle w:val="a7"/>
              <w:rPr>
                <w:rFonts w:hint="default"/>
              </w:rPr>
            </w:pPr>
            <w:r>
              <w:t>5.</w:t>
            </w:r>
            <w:r>
              <w:t>2</w:t>
            </w:r>
            <w:r>
              <w:t>0</w:t>
            </w:r>
          </w:p>
        </w:tc>
        <w:tc>
          <w:tcPr>
            <w:tcW w:w="733" w:type="pct"/>
            <w:vAlign w:val="center"/>
          </w:tcPr>
          <w:p w:rsidR="00BC07F0" w:rsidRDefault="00073EFB">
            <w:pPr>
              <w:pStyle w:val="a7"/>
              <w:rPr>
                <w:rFonts w:hint="default"/>
              </w:rPr>
            </w:pPr>
            <w:r>
              <w:t>5.</w:t>
            </w:r>
            <w:r>
              <w:t>2</w:t>
            </w:r>
            <w:r>
              <w:t>1</w:t>
            </w:r>
          </w:p>
        </w:tc>
        <w:tc>
          <w:tcPr>
            <w:tcW w:w="736" w:type="pct"/>
            <w:vAlign w:val="center"/>
          </w:tcPr>
          <w:p w:rsidR="00BC07F0" w:rsidRDefault="00073EFB">
            <w:pPr>
              <w:pStyle w:val="a7"/>
              <w:rPr>
                <w:rFonts w:hint="default"/>
              </w:rPr>
            </w:pPr>
            <w:r>
              <w:t>5.</w:t>
            </w:r>
            <w:r>
              <w:t>2</w:t>
            </w:r>
            <w:r>
              <w:t>2</w:t>
            </w:r>
          </w:p>
        </w:tc>
        <w:tc>
          <w:tcPr>
            <w:tcW w:w="666" w:type="pct"/>
            <w:vMerge/>
            <w:vAlign w:val="center"/>
          </w:tcPr>
          <w:p w:rsidR="00BC07F0" w:rsidRDefault="00BC07F0">
            <w:pPr>
              <w:pStyle w:val="a7"/>
              <w:rPr>
                <w:rFonts w:hint="default"/>
              </w:rPr>
            </w:pPr>
          </w:p>
        </w:tc>
      </w:tr>
      <w:tr w:rsidR="00BC07F0">
        <w:trPr>
          <w:trHeight w:val="397"/>
          <w:jc w:val="center"/>
        </w:trPr>
        <w:tc>
          <w:tcPr>
            <w:tcW w:w="552" w:type="pct"/>
            <w:vMerge w:val="restart"/>
            <w:vAlign w:val="center"/>
          </w:tcPr>
          <w:p w:rsidR="00BC07F0" w:rsidRDefault="00073EFB">
            <w:pPr>
              <w:pStyle w:val="a7"/>
              <w:rPr>
                <w:rFonts w:hint="default"/>
              </w:rPr>
            </w:pPr>
            <w:r>
              <w:t>S1</w:t>
            </w:r>
            <w:r>
              <w:t>幸福</w:t>
            </w:r>
            <w:r>
              <w:lastRenderedPageBreak/>
              <w:t>河断面</w:t>
            </w:r>
          </w:p>
        </w:tc>
        <w:tc>
          <w:tcPr>
            <w:tcW w:w="1012" w:type="pct"/>
            <w:vAlign w:val="center"/>
          </w:tcPr>
          <w:p w:rsidR="00BC07F0" w:rsidRDefault="00073EFB">
            <w:pPr>
              <w:pStyle w:val="a7"/>
              <w:rPr>
                <w:rFonts w:hint="default"/>
              </w:rPr>
            </w:pPr>
            <w:r>
              <w:lastRenderedPageBreak/>
              <w:t>水温</w:t>
            </w:r>
          </w:p>
        </w:tc>
        <w:tc>
          <w:tcPr>
            <w:tcW w:w="566" w:type="pct"/>
            <w:vAlign w:val="center"/>
          </w:tcPr>
          <w:p w:rsidR="00BC07F0" w:rsidRDefault="00073EFB">
            <w:pPr>
              <w:pStyle w:val="a7"/>
              <w:rPr>
                <w:rFonts w:hint="default"/>
              </w:rPr>
            </w:pPr>
            <w:r>
              <w:t>℃</w:t>
            </w:r>
          </w:p>
        </w:tc>
        <w:tc>
          <w:tcPr>
            <w:tcW w:w="733" w:type="pct"/>
            <w:vAlign w:val="center"/>
          </w:tcPr>
          <w:p w:rsidR="00BC07F0" w:rsidRDefault="00073EFB">
            <w:pPr>
              <w:pStyle w:val="a7"/>
              <w:rPr>
                <w:rFonts w:hint="default"/>
              </w:rPr>
            </w:pPr>
            <w:r>
              <w:t>16.9</w:t>
            </w:r>
          </w:p>
        </w:tc>
        <w:tc>
          <w:tcPr>
            <w:tcW w:w="733" w:type="pct"/>
            <w:vAlign w:val="center"/>
          </w:tcPr>
          <w:p w:rsidR="00BC07F0" w:rsidRDefault="00073EFB">
            <w:pPr>
              <w:pStyle w:val="a7"/>
              <w:rPr>
                <w:rFonts w:hint="default"/>
              </w:rPr>
            </w:pPr>
            <w:r>
              <w:t>16.4</w:t>
            </w:r>
          </w:p>
        </w:tc>
        <w:tc>
          <w:tcPr>
            <w:tcW w:w="736" w:type="pct"/>
            <w:vAlign w:val="center"/>
          </w:tcPr>
          <w:p w:rsidR="00BC07F0" w:rsidRDefault="00073EFB">
            <w:pPr>
              <w:pStyle w:val="a7"/>
              <w:rPr>
                <w:rFonts w:hint="default"/>
              </w:rPr>
            </w:pPr>
            <w:r>
              <w:t>16.9</w:t>
            </w:r>
          </w:p>
        </w:tc>
        <w:tc>
          <w:tcPr>
            <w:tcW w:w="666" w:type="pct"/>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pH</w:t>
            </w:r>
          </w:p>
        </w:tc>
        <w:tc>
          <w:tcPr>
            <w:tcW w:w="566" w:type="pct"/>
            <w:vAlign w:val="center"/>
          </w:tcPr>
          <w:p w:rsidR="00BC07F0" w:rsidRDefault="00073EFB">
            <w:pPr>
              <w:pStyle w:val="a7"/>
              <w:rPr>
                <w:rFonts w:hint="default"/>
              </w:rPr>
            </w:pPr>
            <w:r>
              <w:t>无量纲</w:t>
            </w:r>
          </w:p>
        </w:tc>
        <w:tc>
          <w:tcPr>
            <w:tcW w:w="733" w:type="pct"/>
            <w:vAlign w:val="center"/>
          </w:tcPr>
          <w:p w:rsidR="00BC07F0" w:rsidRDefault="00073EFB">
            <w:pPr>
              <w:pStyle w:val="a7"/>
              <w:rPr>
                <w:rFonts w:hint="default"/>
              </w:rPr>
            </w:pPr>
            <w:r>
              <w:t>6.9</w:t>
            </w:r>
          </w:p>
        </w:tc>
        <w:tc>
          <w:tcPr>
            <w:tcW w:w="733" w:type="pct"/>
            <w:vAlign w:val="center"/>
          </w:tcPr>
          <w:p w:rsidR="00BC07F0" w:rsidRDefault="00073EFB">
            <w:pPr>
              <w:pStyle w:val="a7"/>
              <w:rPr>
                <w:rFonts w:hint="default"/>
              </w:rPr>
            </w:pPr>
            <w:r>
              <w:t>7.1</w:t>
            </w:r>
          </w:p>
        </w:tc>
        <w:tc>
          <w:tcPr>
            <w:tcW w:w="736" w:type="pct"/>
            <w:vAlign w:val="center"/>
          </w:tcPr>
          <w:p w:rsidR="00BC07F0" w:rsidRDefault="00073EFB">
            <w:pPr>
              <w:pStyle w:val="a7"/>
              <w:rPr>
                <w:rFonts w:hint="default"/>
              </w:rPr>
            </w:pPr>
            <w:r>
              <w:t>7.1</w:t>
            </w:r>
          </w:p>
        </w:tc>
        <w:tc>
          <w:tcPr>
            <w:tcW w:w="666" w:type="pct"/>
            <w:vAlign w:val="center"/>
          </w:tcPr>
          <w:p w:rsidR="00BC07F0" w:rsidRDefault="00073EFB">
            <w:pPr>
              <w:pStyle w:val="a7"/>
              <w:rPr>
                <w:rFonts w:hint="default"/>
              </w:rPr>
            </w:pPr>
            <w:r>
              <w:t>6~9</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悬浮物</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11</w:t>
            </w:r>
          </w:p>
        </w:tc>
        <w:tc>
          <w:tcPr>
            <w:tcW w:w="733" w:type="pct"/>
            <w:vAlign w:val="center"/>
          </w:tcPr>
          <w:p w:rsidR="00BC07F0" w:rsidRDefault="00073EFB">
            <w:pPr>
              <w:pStyle w:val="a7"/>
              <w:rPr>
                <w:rFonts w:hint="default"/>
              </w:rPr>
            </w:pPr>
            <w:r>
              <w:t>12</w:t>
            </w:r>
          </w:p>
        </w:tc>
        <w:tc>
          <w:tcPr>
            <w:tcW w:w="736" w:type="pct"/>
            <w:vAlign w:val="center"/>
          </w:tcPr>
          <w:p w:rsidR="00BC07F0" w:rsidRDefault="00073EFB">
            <w:pPr>
              <w:pStyle w:val="a7"/>
              <w:rPr>
                <w:rFonts w:hint="default"/>
              </w:rPr>
            </w:pPr>
            <w:r>
              <w:t>12</w:t>
            </w:r>
          </w:p>
        </w:tc>
        <w:tc>
          <w:tcPr>
            <w:tcW w:w="666" w:type="pct"/>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COD</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10</w:t>
            </w:r>
          </w:p>
        </w:tc>
        <w:tc>
          <w:tcPr>
            <w:tcW w:w="733" w:type="pct"/>
            <w:vAlign w:val="center"/>
          </w:tcPr>
          <w:p w:rsidR="00BC07F0" w:rsidRDefault="00073EFB">
            <w:pPr>
              <w:pStyle w:val="a7"/>
              <w:rPr>
                <w:rFonts w:hint="default"/>
              </w:rPr>
            </w:pPr>
            <w:r>
              <w:t>9</w:t>
            </w:r>
          </w:p>
        </w:tc>
        <w:tc>
          <w:tcPr>
            <w:tcW w:w="736" w:type="pct"/>
            <w:vAlign w:val="center"/>
          </w:tcPr>
          <w:p w:rsidR="00BC07F0" w:rsidRDefault="00073EFB">
            <w:pPr>
              <w:pStyle w:val="a7"/>
              <w:rPr>
                <w:rFonts w:hint="default"/>
              </w:rPr>
            </w:pPr>
            <w:r>
              <w:t>9</w:t>
            </w:r>
          </w:p>
        </w:tc>
        <w:tc>
          <w:tcPr>
            <w:tcW w:w="666" w:type="pct"/>
            <w:vAlign w:val="center"/>
          </w:tcPr>
          <w:p w:rsidR="00BC07F0" w:rsidRDefault="00073EFB">
            <w:pPr>
              <w:pStyle w:val="a7"/>
              <w:rPr>
                <w:rFonts w:hint="default"/>
              </w:rPr>
            </w:pPr>
            <w:r>
              <w:t>≤</w:t>
            </w:r>
            <w:r>
              <w:t>20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BOD</w:t>
            </w:r>
            <w:r>
              <w:rPr>
                <w:vertAlign w:val="subscript"/>
              </w:rPr>
              <w:t>5</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1.9</w:t>
            </w:r>
          </w:p>
        </w:tc>
        <w:tc>
          <w:tcPr>
            <w:tcW w:w="733" w:type="pct"/>
            <w:vAlign w:val="center"/>
          </w:tcPr>
          <w:p w:rsidR="00BC07F0" w:rsidRDefault="00073EFB">
            <w:pPr>
              <w:pStyle w:val="a7"/>
              <w:rPr>
                <w:rFonts w:hint="default"/>
              </w:rPr>
            </w:pPr>
            <w:r>
              <w:t>2.0</w:t>
            </w:r>
          </w:p>
        </w:tc>
        <w:tc>
          <w:tcPr>
            <w:tcW w:w="736" w:type="pct"/>
            <w:vAlign w:val="center"/>
          </w:tcPr>
          <w:p w:rsidR="00BC07F0" w:rsidRDefault="00073EFB">
            <w:pPr>
              <w:pStyle w:val="a7"/>
              <w:rPr>
                <w:rFonts w:hint="default"/>
              </w:rPr>
            </w:pPr>
            <w:r>
              <w:t>1.8</w:t>
            </w:r>
          </w:p>
        </w:tc>
        <w:tc>
          <w:tcPr>
            <w:tcW w:w="666" w:type="pct"/>
            <w:vAlign w:val="center"/>
          </w:tcPr>
          <w:p w:rsidR="00BC07F0" w:rsidRDefault="00073EFB">
            <w:pPr>
              <w:pStyle w:val="a7"/>
              <w:rPr>
                <w:rFonts w:hint="default"/>
              </w:rPr>
            </w:pPr>
            <w:r>
              <w:t>≤</w:t>
            </w:r>
            <w:r>
              <w:t>4</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氨氮</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0.198</w:t>
            </w:r>
          </w:p>
        </w:tc>
        <w:tc>
          <w:tcPr>
            <w:tcW w:w="733" w:type="pct"/>
            <w:vAlign w:val="center"/>
          </w:tcPr>
          <w:p w:rsidR="00BC07F0" w:rsidRDefault="00073EFB">
            <w:pPr>
              <w:pStyle w:val="a7"/>
              <w:rPr>
                <w:rFonts w:hint="default"/>
              </w:rPr>
            </w:pPr>
            <w:r>
              <w:t>0.224</w:t>
            </w:r>
          </w:p>
        </w:tc>
        <w:tc>
          <w:tcPr>
            <w:tcW w:w="736" w:type="pct"/>
            <w:vAlign w:val="center"/>
          </w:tcPr>
          <w:p w:rsidR="00BC07F0" w:rsidRDefault="00073EFB">
            <w:pPr>
              <w:pStyle w:val="a7"/>
              <w:rPr>
                <w:rFonts w:hint="default"/>
              </w:rPr>
            </w:pPr>
            <w:r>
              <w:t>0.217</w:t>
            </w:r>
          </w:p>
        </w:tc>
        <w:tc>
          <w:tcPr>
            <w:tcW w:w="666" w:type="pct"/>
            <w:vAlign w:val="center"/>
          </w:tcPr>
          <w:p w:rsidR="00BC07F0" w:rsidRDefault="00073EFB">
            <w:pPr>
              <w:pStyle w:val="a7"/>
              <w:rPr>
                <w:rFonts w:hint="default"/>
              </w:rPr>
            </w:pPr>
            <w:r>
              <w:t>≤</w:t>
            </w:r>
            <w:r>
              <w:t>1.0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总磷</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0.12</w:t>
            </w:r>
          </w:p>
        </w:tc>
        <w:tc>
          <w:tcPr>
            <w:tcW w:w="733" w:type="pct"/>
            <w:vAlign w:val="center"/>
          </w:tcPr>
          <w:p w:rsidR="00BC07F0" w:rsidRDefault="00073EFB">
            <w:pPr>
              <w:pStyle w:val="a7"/>
              <w:rPr>
                <w:rFonts w:hint="default"/>
              </w:rPr>
            </w:pPr>
            <w:r>
              <w:t>0.11</w:t>
            </w:r>
          </w:p>
        </w:tc>
        <w:tc>
          <w:tcPr>
            <w:tcW w:w="736" w:type="pct"/>
            <w:vAlign w:val="center"/>
          </w:tcPr>
          <w:p w:rsidR="00BC07F0" w:rsidRDefault="00073EFB">
            <w:pPr>
              <w:pStyle w:val="a7"/>
              <w:rPr>
                <w:rFonts w:hint="default"/>
              </w:rPr>
            </w:pPr>
            <w:r>
              <w:t>0.11</w:t>
            </w:r>
          </w:p>
        </w:tc>
        <w:tc>
          <w:tcPr>
            <w:tcW w:w="666" w:type="pct"/>
            <w:vAlign w:val="center"/>
          </w:tcPr>
          <w:p w:rsidR="00BC07F0" w:rsidRDefault="00073EFB">
            <w:pPr>
              <w:pStyle w:val="a7"/>
              <w:rPr>
                <w:rFonts w:hint="default"/>
              </w:rPr>
            </w:pPr>
            <w:r>
              <w:t>≤</w:t>
            </w:r>
            <w:r>
              <w:t>0.</w:t>
            </w:r>
            <w:r>
              <w:t>2</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石油类</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0.02</w:t>
            </w:r>
          </w:p>
        </w:tc>
        <w:tc>
          <w:tcPr>
            <w:tcW w:w="733" w:type="pct"/>
            <w:vAlign w:val="center"/>
          </w:tcPr>
          <w:p w:rsidR="00BC07F0" w:rsidRDefault="00073EFB">
            <w:pPr>
              <w:pStyle w:val="a7"/>
              <w:rPr>
                <w:rFonts w:hint="default"/>
              </w:rPr>
            </w:pPr>
            <w:r>
              <w:t>0.01</w:t>
            </w:r>
          </w:p>
        </w:tc>
        <w:tc>
          <w:tcPr>
            <w:tcW w:w="736" w:type="pct"/>
            <w:vAlign w:val="center"/>
          </w:tcPr>
          <w:p w:rsidR="00BC07F0" w:rsidRDefault="00073EFB">
            <w:pPr>
              <w:pStyle w:val="a7"/>
              <w:rPr>
                <w:rFonts w:hint="default"/>
              </w:rPr>
            </w:pPr>
            <w:r>
              <w:t>0.01</w:t>
            </w:r>
          </w:p>
        </w:tc>
        <w:tc>
          <w:tcPr>
            <w:tcW w:w="666" w:type="pct"/>
            <w:vAlign w:val="center"/>
          </w:tcPr>
          <w:p w:rsidR="00BC07F0" w:rsidRDefault="00073EFB">
            <w:pPr>
              <w:pStyle w:val="a7"/>
              <w:rPr>
                <w:rFonts w:hint="default"/>
              </w:rPr>
            </w:pPr>
            <w:r>
              <w:t>≤</w:t>
            </w:r>
            <w:r>
              <w:t>0.05</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粪大肠杆菌群</w:t>
            </w:r>
          </w:p>
        </w:tc>
        <w:tc>
          <w:tcPr>
            <w:tcW w:w="566" w:type="pct"/>
            <w:vAlign w:val="center"/>
          </w:tcPr>
          <w:p w:rsidR="00BC07F0" w:rsidRDefault="00073EFB">
            <w:pPr>
              <w:pStyle w:val="a7"/>
              <w:rPr>
                <w:rFonts w:hint="default"/>
              </w:rPr>
            </w:pPr>
            <w:r>
              <w:t>MPN/L</w:t>
            </w:r>
          </w:p>
        </w:tc>
        <w:tc>
          <w:tcPr>
            <w:tcW w:w="733" w:type="pct"/>
            <w:vAlign w:val="center"/>
          </w:tcPr>
          <w:p w:rsidR="00BC07F0" w:rsidRDefault="00073EFB">
            <w:pPr>
              <w:pStyle w:val="a7"/>
              <w:rPr>
                <w:rFonts w:hint="default"/>
              </w:rPr>
            </w:pPr>
            <w:r>
              <w:t>1200</w:t>
            </w:r>
          </w:p>
        </w:tc>
        <w:tc>
          <w:tcPr>
            <w:tcW w:w="733" w:type="pct"/>
            <w:vAlign w:val="center"/>
          </w:tcPr>
          <w:p w:rsidR="00BC07F0" w:rsidRDefault="00073EFB">
            <w:pPr>
              <w:pStyle w:val="a7"/>
              <w:rPr>
                <w:rFonts w:hint="default"/>
              </w:rPr>
            </w:pPr>
            <w:r>
              <w:t>1400</w:t>
            </w:r>
          </w:p>
        </w:tc>
        <w:tc>
          <w:tcPr>
            <w:tcW w:w="736" w:type="pct"/>
            <w:vAlign w:val="center"/>
          </w:tcPr>
          <w:p w:rsidR="00BC07F0" w:rsidRDefault="00073EFB">
            <w:pPr>
              <w:pStyle w:val="a7"/>
              <w:rPr>
                <w:rFonts w:hint="default"/>
              </w:rPr>
            </w:pPr>
            <w:r>
              <w:t>1500</w:t>
            </w:r>
          </w:p>
        </w:tc>
        <w:tc>
          <w:tcPr>
            <w:tcW w:w="666" w:type="pct"/>
            <w:vAlign w:val="center"/>
          </w:tcPr>
          <w:p w:rsidR="00BC07F0" w:rsidRDefault="00073EFB">
            <w:pPr>
              <w:pStyle w:val="a7"/>
              <w:rPr>
                <w:rFonts w:hint="default"/>
              </w:rPr>
            </w:pPr>
            <w:r>
              <w:t>10000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溶解氧</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5.1</w:t>
            </w:r>
          </w:p>
        </w:tc>
        <w:tc>
          <w:tcPr>
            <w:tcW w:w="733" w:type="pct"/>
            <w:vAlign w:val="center"/>
          </w:tcPr>
          <w:p w:rsidR="00BC07F0" w:rsidRDefault="00073EFB">
            <w:pPr>
              <w:pStyle w:val="a7"/>
              <w:rPr>
                <w:rFonts w:hint="default"/>
              </w:rPr>
            </w:pPr>
            <w:r>
              <w:t>5.6</w:t>
            </w:r>
          </w:p>
        </w:tc>
        <w:tc>
          <w:tcPr>
            <w:tcW w:w="736" w:type="pct"/>
            <w:vAlign w:val="center"/>
          </w:tcPr>
          <w:p w:rsidR="00BC07F0" w:rsidRDefault="00073EFB">
            <w:pPr>
              <w:pStyle w:val="a7"/>
              <w:rPr>
                <w:rFonts w:hint="default"/>
              </w:rPr>
            </w:pPr>
            <w:r>
              <w:t>5.2</w:t>
            </w:r>
          </w:p>
        </w:tc>
        <w:tc>
          <w:tcPr>
            <w:tcW w:w="666" w:type="pct"/>
            <w:vAlign w:val="center"/>
          </w:tcPr>
          <w:p w:rsidR="00BC07F0" w:rsidRDefault="00073EFB">
            <w:pPr>
              <w:pStyle w:val="a7"/>
              <w:rPr>
                <w:rFonts w:hint="default"/>
              </w:rPr>
            </w:pPr>
            <w:r>
              <w:t>≥</w:t>
            </w:r>
            <w:r>
              <w:t>5</w:t>
            </w:r>
          </w:p>
        </w:tc>
      </w:tr>
      <w:tr w:rsidR="00BC07F0">
        <w:trPr>
          <w:trHeight w:val="397"/>
          <w:jc w:val="center"/>
        </w:trPr>
        <w:tc>
          <w:tcPr>
            <w:tcW w:w="552" w:type="pct"/>
            <w:vMerge w:val="restart"/>
            <w:vAlign w:val="center"/>
          </w:tcPr>
          <w:p w:rsidR="00BC07F0" w:rsidRDefault="00073EFB">
            <w:pPr>
              <w:pStyle w:val="a7"/>
              <w:rPr>
                <w:rFonts w:hint="default"/>
              </w:rPr>
            </w:pPr>
            <w:r>
              <w:t>S2</w:t>
            </w:r>
            <w:r>
              <w:t>幸福河入湘江口下游</w:t>
            </w:r>
            <w:r>
              <w:t>600m</w:t>
            </w:r>
          </w:p>
        </w:tc>
        <w:tc>
          <w:tcPr>
            <w:tcW w:w="1012" w:type="pct"/>
            <w:vAlign w:val="center"/>
          </w:tcPr>
          <w:p w:rsidR="00BC07F0" w:rsidRDefault="00073EFB">
            <w:pPr>
              <w:pStyle w:val="a7"/>
              <w:rPr>
                <w:rFonts w:hint="default"/>
              </w:rPr>
            </w:pPr>
            <w:r>
              <w:t>水温</w:t>
            </w:r>
          </w:p>
        </w:tc>
        <w:tc>
          <w:tcPr>
            <w:tcW w:w="566" w:type="pct"/>
            <w:vAlign w:val="center"/>
          </w:tcPr>
          <w:p w:rsidR="00BC07F0" w:rsidRDefault="00073EFB">
            <w:pPr>
              <w:pStyle w:val="a7"/>
              <w:rPr>
                <w:rFonts w:hint="default"/>
              </w:rPr>
            </w:pPr>
            <w:r>
              <w:t>℃</w:t>
            </w:r>
          </w:p>
        </w:tc>
        <w:tc>
          <w:tcPr>
            <w:tcW w:w="733" w:type="pct"/>
            <w:vAlign w:val="center"/>
          </w:tcPr>
          <w:p w:rsidR="00BC07F0" w:rsidRDefault="00073EFB">
            <w:pPr>
              <w:pStyle w:val="a7"/>
              <w:rPr>
                <w:rFonts w:hint="default"/>
              </w:rPr>
            </w:pPr>
            <w:r>
              <w:t>17.8</w:t>
            </w:r>
          </w:p>
        </w:tc>
        <w:tc>
          <w:tcPr>
            <w:tcW w:w="733" w:type="pct"/>
            <w:vAlign w:val="center"/>
          </w:tcPr>
          <w:p w:rsidR="00BC07F0" w:rsidRDefault="00073EFB">
            <w:pPr>
              <w:pStyle w:val="a7"/>
              <w:rPr>
                <w:rFonts w:hint="default"/>
              </w:rPr>
            </w:pPr>
            <w:r>
              <w:t>18.1</w:t>
            </w:r>
          </w:p>
        </w:tc>
        <w:tc>
          <w:tcPr>
            <w:tcW w:w="736" w:type="pct"/>
            <w:vAlign w:val="center"/>
          </w:tcPr>
          <w:p w:rsidR="00BC07F0" w:rsidRDefault="00073EFB">
            <w:pPr>
              <w:pStyle w:val="a7"/>
              <w:rPr>
                <w:rFonts w:hint="default"/>
              </w:rPr>
            </w:pPr>
            <w:r>
              <w:t>18.2</w:t>
            </w:r>
          </w:p>
        </w:tc>
        <w:tc>
          <w:tcPr>
            <w:tcW w:w="666" w:type="pct"/>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pH</w:t>
            </w:r>
          </w:p>
        </w:tc>
        <w:tc>
          <w:tcPr>
            <w:tcW w:w="566" w:type="pct"/>
            <w:vAlign w:val="center"/>
          </w:tcPr>
          <w:p w:rsidR="00BC07F0" w:rsidRDefault="00073EFB">
            <w:pPr>
              <w:pStyle w:val="a7"/>
              <w:rPr>
                <w:rFonts w:hint="default"/>
              </w:rPr>
            </w:pPr>
            <w:r>
              <w:t>无量纲</w:t>
            </w:r>
          </w:p>
        </w:tc>
        <w:tc>
          <w:tcPr>
            <w:tcW w:w="733" w:type="pct"/>
            <w:vAlign w:val="center"/>
          </w:tcPr>
          <w:p w:rsidR="00BC07F0" w:rsidRDefault="00073EFB">
            <w:pPr>
              <w:pStyle w:val="a7"/>
              <w:rPr>
                <w:rFonts w:hint="default"/>
              </w:rPr>
            </w:pPr>
            <w:r>
              <w:t>7.4</w:t>
            </w:r>
          </w:p>
        </w:tc>
        <w:tc>
          <w:tcPr>
            <w:tcW w:w="733" w:type="pct"/>
            <w:vAlign w:val="center"/>
          </w:tcPr>
          <w:p w:rsidR="00BC07F0" w:rsidRDefault="00073EFB">
            <w:pPr>
              <w:pStyle w:val="a7"/>
              <w:rPr>
                <w:rFonts w:hint="default"/>
              </w:rPr>
            </w:pPr>
            <w:r>
              <w:t>7.0</w:t>
            </w:r>
          </w:p>
        </w:tc>
        <w:tc>
          <w:tcPr>
            <w:tcW w:w="736" w:type="pct"/>
            <w:vAlign w:val="center"/>
          </w:tcPr>
          <w:p w:rsidR="00BC07F0" w:rsidRDefault="00073EFB">
            <w:pPr>
              <w:pStyle w:val="a7"/>
              <w:rPr>
                <w:rFonts w:hint="default"/>
              </w:rPr>
            </w:pPr>
            <w:r>
              <w:t>7.1</w:t>
            </w:r>
          </w:p>
        </w:tc>
        <w:tc>
          <w:tcPr>
            <w:tcW w:w="666" w:type="pct"/>
            <w:vAlign w:val="center"/>
          </w:tcPr>
          <w:p w:rsidR="00BC07F0" w:rsidRDefault="00073EFB">
            <w:pPr>
              <w:pStyle w:val="a7"/>
              <w:rPr>
                <w:rFonts w:hint="default"/>
              </w:rPr>
            </w:pPr>
            <w:r>
              <w:t>6~9</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悬浮物</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11</w:t>
            </w:r>
          </w:p>
        </w:tc>
        <w:tc>
          <w:tcPr>
            <w:tcW w:w="733" w:type="pct"/>
            <w:vAlign w:val="center"/>
          </w:tcPr>
          <w:p w:rsidR="00BC07F0" w:rsidRDefault="00073EFB">
            <w:pPr>
              <w:pStyle w:val="a7"/>
              <w:rPr>
                <w:rFonts w:hint="default"/>
              </w:rPr>
            </w:pPr>
            <w:r>
              <w:t>10</w:t>
            </w:r>
          </w:p>
        </w:tc>
        <w:tc>
          <w:tcPr>
            <w:tcW w:w="736" w:type="pct"/>
            <w:vAlign w:val="center"/>
          </w:tcPr>
          <w:p w:rsidR="00BC07F0" w:rsidRDefault="00073EFB">
            <w:pPr>
              <w:pStyle w:val="a7"/>
              <w:rPr>
                <w:rFonts w:hint="default"/>
              </w:rPr>
            </w:pPr>
            <w:r>
              <w:t>12</w:t>
            </w:r>
          </w:p>
        </w:tc>
        <w:tc>
          <w:tcPr>
            <w:tcW w:w="666" w:type="pct"/>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COD</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5</w:t>
            </w:r>
          </w:p>
        </w:tc>
        <w:tc>
          <w:tcPr>
            <w:tcW w:w="733" w:type="pct"/>
            <w:vAlign w:val="center"/>
          </w:tcPr>
          <w:p w:rsidR="00BC07F0" w:rsidRDefault="00073EFB">
            <w:pPr>
              <w:pStyle w:val="a7"/>
              <w:rPr>
                <w:rFonts w:hint="default"/>
              </w:rPr>
            </w:pPr>
            <w:r>
              <w:t>6</w:t>
            </w:r>
          </w:p>
        </w:tc>
        <w:tc>
          <w:tcPr>
            <w:tcW w:w="736" w:type="pct"/>
            <w:vAlign w:val="center"/>
          </w:tcPr>
          <w:p w:rsidR="00BC07F0" w:rsidRDefault="00073EFB">
            <w:pPr>
              <w:pStyle w:val="a7"/>
              <w:rPr>
                <w:rFonts w:hint="default"/>
              </w:rPr>
            </w:pPr>
            <w:r>
              <w:t>8</w:t>
            </w:r>
          </w:p>
        </w:tc>
        <w:tc>
          <w:tcPr>
            <w:tcW w:w="666" w:type="pct"/>
            <w:vAlign w:val="center"/>
          </w:tcPr>
          <w:p w:rsidR="00BC07F0" w:rsidRDefault="00073EFB">
            <w:pPr>
              <w:pStyle w:val="a7"/>
              <w:rPr>
                <w:rFonts w:hint="default"/>
              </w:rPr>
            </w:pPr>
            <w:r>
              <w:t>≤</w:t>
            </w:r>
            <w:r>
              <w:t>20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BOD</w:t>
            </w:r>
            <w:r>
              <w:rPr>
                <w:vertAlign w:val="subscript"/>
              </w:rPr>
              <w:t>5</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0.8</w:t>
            </w:r>
          </w:p>
        </w:tc>
        <w:tc>
          <w:tcPr>
            <w:tcW w:w="733" w:type="pct"/>
            <w:vAlign w:val="center"/>
          </w:tcPr>
          <w:p w:rsidR="00BC07F0" w:rsidRDefault="00073EFB">
            <w:pPr>
              <w:pStyle w:val="a7"/>
              <w:rPr>
                <w:rFonts w:hint="default"/>
              </w:rPr>
            </w:pPr>
            <w:r>
              <w:t>0.9</w:t>
            </w:r>
          </w:p>
        </w:tc>
        <w:tc>
          <w:tcPr>
            <w:tcW w:w="736" w:type="pct"/>
            <w:vAlign w:val="center"/>
          </w:tcPr>
          <w:p w:rsidR="00BC07F0" w:rsidRDefault="00073EFB">
            <w:pPr>
              <w:pStyle w:val="a7"/>
              <w:rPr>
                <w:rFonts w:hint="default"/>
              </w:rPr>
            </w:pPr>
            <w:r>
              <w:t>1.5</w:t>
            </w:r>
          </w:p>
        </w:tc>
        <w:tc>
          <w:tcPr>
            <w:tcW w:w="666" w:type="pct"/>
            <w:vAlign w:val="center"/>
          </w:tcPr>
          <w:p w:rsidR="00BC07F0" w:rsidRDefault="00073EFB">
            <w:pPr>
              <w:pStyle w:val="a7"/>
              <w:rPr>
                <w:rFonts w:hint="default"/>
              </w:rPr>
            </w:pPr>
            <w:r>
              <w:t>≤</w:t>
            </w:r>
            <w:r>
              <w:t>4</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氨氮</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0.111</w:t>
            </w:r>
          </w:p>
        </w:tc>
        <w:tc>
          <w:tcPr>
            <w:tcW w:w="733" w:type="pct"/>
            <w:vAlign w:val="center"/>
          </w:tcPr>
          <w:p w:rsidR="00BC07F0" w:rsidRDefault="00073EFB">
            <w:pPr>
              <w:pStyle w:val="a7"/>
              <w:rPr>
                <w:rFonts w:hint="default"/>
              </w:rPr>
            </w:pPr>
            <w:r>
              <w:t>0.1</w:t>
            </w:r>
          </w:p>
        </w:tc>
        <w:tc>
          <w:tcPr>
            <w:tcW w:w="736" w:type="pct"/>
            <w:vAlign w:val="center"/>
          </w:tcPr>
          <w:p w:rsidR="00BC07F0" w:rsidRDefault="00073EFB">
            <w:pPr>
              <w:pStyle w:val="a7"/>
              <w:rPr>
                <w:rFonts w:hint="default"/>
              </w:rPr>
            </w:pPr>
            <w:r>
              <w:t>0.136</w:t>
            </w:r>
          </w:p>
        </w:tc>
        <w:tc>
          <w:tcPr>
            <w:tcW w:w="666" w:type="pct"/>
            <w:vAlign w:val="center"/>
          </w:tcPr>
          <w:p w:rsidR="00BC07F0" w:rsidRDefault="00073EFB">
            <w:pPr>
              <w:pStyle w:val="a7"/>
              <w:rPr>
                <w:rFonts w:hint="default"/>
              </w:rPr>
            </w:pPr>
            <w:r>
              <w:t>≤</w:t>
            </w:r>
            <w:r>
              <w:t>1.0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总磷</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0.3</w:t>
            </w:r>
          </w:p>
        </w:tc>
        <w:tc>
          <w:tcPr>
            <w:tcW w:w="733" w:type="pct"/>
            <w:vAlign w:val="center"/>
          </w:tcPr>
          <w:p w:rsidR="00BC07F0" w:rsidRDefault="00073EFB">
            <w:pPr>
              <w:pStyle w:val="a7"/>
              <w:rPr>
                <w:rFonts w:hint="default"/>
              </w:rPr>
            </w:pPr>
            <w:r>
              <w:t>0.3</w:t>
            </w:r>
          </w:p>
        </w:tc>
        <w:tc>
          <w:tcPr>
            <w:tcW w:w="736" w:type="pct"/>
            <w:vAlign w:val="center"/>
          </w:tcPr>
          <w:p w:rsidR="00BC07F0" w:rsidRDefault="00073EFB">
            <w:pPr>
              <w:pStyle w:val="a7"/>
              <w:rPr>
                <w:rFonts w:hint="default"/>
              </w:rPr>
            </w:pPr>
            <w:r>
              <w:t>0.3</w:t>
            </w:r>
          </w:p>
        </w:tc>
        <w:tc>
          <w:tcPr>
            <w:tcW w:w="666" w:type="pct"/>
            <w:vAlign w:val="center"/>
          </w:tcPr>
          <w:p w:rsidR="00BC07F0" w:rsidRDefault="00073EFB">
            <w:pPr>
              <w:pStyle w:val="a7"/>
              <w:rPr>
                <w:rFonts w:hint="default"/>
              </w:rPr>
            </w:pPr>
            <w:r>
              <w:t>≤</w:t>
            </w:r>
            <w:r>
              <w:t>0.</w:t>
            </w:r>
            <w:r>
              <w:t>2</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石油类</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0.02</w:t>
            </w:r>
          </w:p>
        </w:tc>
        <w:tc>
          <w:tcPr>
            <w:tcW w:w="733" w:type="pct"/>
            <w:vAlign w:val="center"/>
          </w:tcPr>
          <w:p w:rsidR="00BC07F0" w:rsidRDefault="00073EFB">
            <w:pPr>
              <w:pStyle w:val="a7"/>
              <w:rPr>
                <w:rFonts w:hint="default"/>
              </w:rPr>
            </w:pPr>
            <w:r>
              <w:t>0.01</w:t>
            </w:r>
          </w:p>
        </w:tc>
        <w:tc>
          <w:tcPr>
            <w:tcW w:w="736" w:type="pct"/>
            <w:vAlign w:val="center"/>
          </w:tcPr>
          <w:p w:rsidR="00BC07F0" w:rsidRDefault="00073EFB">
            <w:pPr>
              <w:pStyle w:val="a7"/>
              <w:rPr>
                <w:rFonts w:hint="default"/>
              </w:rPr>
            </w:pPr>
            <w:r>
              <w:t>0.01</w:t>
            </w:r>
          </w:p>
        </w:tc>
        <w:tc>
          <w:tcPr>
            <w:tcW w:w="666" w:type="pct"/>
            <w:vAlign w:val="center"/>
          </w:tcPr>
          <w:p w:rsidR="00BC07F0" w:rsidRDefault="00073EFB">
            <w:pPr>
              <w:pStyle w:val="a7"/>
              <w:rPr>
                <w:rFonts w:hint="default"/>
              </w:rPr>
            </w:pPr>
            <w:r>
              <w:t>≤</w:t>
            </w:r>
            <w:r>
              <w:t>0.05</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粪大肠杆菌群</w:t>
            </w:r>
          </w:p>
        </w:tc>
        <w:tc>
          <w:tcPr>
            <w:tcW w:w="1030" w:type="dxa"/>
            <w:vAlign w:val="center"/>
          </w:tcPr>
          <w:p w:rsidR="00BC07F0" w:rsidRDefault="00073EFB">
            <w:pPr>
              <w:pStyle w:val="a7"/>
              <w:rPr>
                <w:rFonts w:hint="default"/>
              </w:rPr>
            </w:pPr>
            <w:r>
              <w:t>MPN/L</w:t>
            </w:r>
          </w:p>
        </w:tc>
        <w:tc>
          <w:tcPr>
            <w:tcW w:w="1334" w:type="dxa"/>
            <w:vAlign w:val="center"/>
          </w:tcPr>
          <w:p w:rsidR="00BC07F0" w:rsidRDefault="00073EFB">
            <w:pPr>
              <w:pStyle w:val="a7"/>
              <w:rPr>
                <w:rFonts w:hint="default"/>
              </w:rPr>
            </w:pPr>
            <w:r>
              <w:t>1400</w:t>
            </w:r>
          </w:p>
        </w:tc>
        <w:tc>
          <w:tcPr>
            <w:tcW w:w="1334" w:type="dxa"/>
            <w:vAlign w:val="center"/>
          </w:tcPr>
          <w:p w:rsidR="00BC07F0" w:rsidRDefault="00073EFB">
            <w:pPr>
              <w:pStyle w:val="a7"/>
              <w:rPr>
                <w:rFonts w:hint="default"/>
              </w:rPr>
            </w:pPr>
            <w:r>
              <w:t>1700</w:t>
            </w:r>
          </w:p>
        </w:tc>
        <w:tc>
          <w:tcPr>
            <w:tcW w:w="1340" w:type="dxa"/>
            <w:vAlign w:val="center"/>
          </w:tcPr>
          <w:p w:rsidR="00BC07F0" w:rsidRDefault="00073EFB">
            <w:pPr>
              <w:pStyle w:val="a7"/>
              <w:rPr>
                <w:rFonts w:hint="default"/>
              </w:rPr>
            </w:pPr>
            <w:r>
              <w:t>1300</w:t>
            </w:r>
          </w:p>
        </w:tc>
        <w:tc>
          <w:tcPr>
            <w:tcW w:w="1212" w:type="dxa"/>
            <w:vAlign w:val="center"/>
          </w:tcPr>
          <w:p w:rsidR="00BC07F0" w:rsidRDefault="00073EFB">
            <w:pPr>
              <w:pStyle w:val="a7"/>
              <w:rPr>
                <w:rFonts w:hint="default"/>
              </w:rPr>
            </w:pPr>
            <w:r>
              <w:t>10000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溶解氧</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5.6</w:t>
            </w:r>
          </w:p>
        </w:tc>
        <w:tc>
          <w:tcPr>
            <w:tcW w:w="733" w:type="pct"/>
            <w:vAlign w:val="center"/>
          </w:tcPr>
          <w:p w:rsidR="00BC07F0" w:rsidRDefault="00073EFB">
            <w:pPr>
              <w:pStyle w:val="a7"/>
              <w:rPr>
                <w:rFonts w:hint="default"/>
              </w:rPr>
            </w:pPr>
            <w:r>
              <w:t>5.8</w:t>
            </w:r>
          </w:p>
        </w:tc>
        <w:tc>
          <w:tcPr>
            <w:tcW w:w="736" w:type="pct"/>
            <w:vAlign w:val="center"/>
          </w:tcPr>
          <w:p w:rsidR="00BC07F0" w:rsidRDefault="00073EFB">
            <w:pPr>
              <w:pStyle w:val="a7"/>
              <w:rPr>
                <w:rFonts w:hint="default"/>
              </w:rPr>
            </w:pPr>
            <w:r>
              <w:t>5.9</w:t>
            </w:r>
          </w:p>
        </w:tc>
        <w:tc>
          <w:tcPr>
            <w:tcW w:w="666" w:type="pct"/>
            <w:vAlign w:val="center"/>
          </w:tcPr>
          <w:p w:rsidR="00BC07F0" w:rsidRDefault="00073EFB">
            <w:pPr>
              <w:pStyle w:val="a7"/>
              <w:rPr>
                <w:rFonts w:hint="default"/>
              </w:rPr>
            </w:pPr>
            <w:r>
              <w:t>≥</w:t>
            </w:r>
            <w:r>
              <w:t>5</w:t>
            </w:r>
          </w:p>
        </w:tc>
      </w:tr>
      <w:tr w:rsidR="00BC07F0">
        <w:trPr>
          <w:trHeight w:val="397"/>
          <w:jc w:val="center"/>
        </w:trPr>
        <w:tc>
          <w:tcPr>
            <w:tcW w:w="552" w:type="pct"/>
            <w:vMerge w:val="restart"/>
            <w:vAlign w:val="center"/>
          </w:tcPr>
          <w:p w:rsidR="00BC07F0" w:rsidRDefault="00073EFB">
            <w:pPr>
              <w:pStyle w:val="a7"/>
              <w:rPr>
                <w:rFonts w:hint="default"/>
              </w:rPr>
            </w:pPr>
            <w:r>
              <w:t>S3</w:t>
            </w:r>
            <w:r>
              <w:t>江东水厂取水口上游</w:t>
            </w:r>
            <w:r>
              <w:t>1200m</w:t>
            </w:r>
            <w:r>
              <w:t>湘江断面</w:t>
            </w:r>
          </w:p>
        </w:tc>
        <w:tc>
          <w:tcPr>
            <w:tcW w:w="1012" w:type="pct"/>
            <w:vAlign w:val="center"/>
          </w:tcPr>
          <w:p w:rsidR="00BC07F0" w:rsidRDefault="00073EFB">
            <w:pPr>
              <w:pStyle w:val="a7"/>
              <w:rPr>
                <w:rFonts w:hint="default"/>
              </w:rPr>
            </w:pPr>
            <w:r>
              <w:t>水温</w:t>
            </w:r>
          </w:p>
        </w:tc>
        <w:tc>
          <w:tcPr>
            <w:tcW w:w="566" w:type="pct"/>
            <w:vAlign w:val="center"/>
          </w:tcPr>
          <w:p w:rsidR="00BC07F0" w:rsidRDefault="00073EFB">
            <w:pPr>
              <w:pStyle w:val="a7"/>
              <w:rPr>
                <w:rFonts w:hint="default"/>
              </w:rPr>
            </w:pPr>
            <w:r>
              <w:t>℃</w:t>
            </w:r>
          </w:p>
        </w:tc>
        <w:tc>
          <w:tcPr>
            <w:tcW w:w="733" w:type="pct"/>
            <w:vAlign w:val="center"/>
          </w:tcPr>
          <w:p w:rsidR="00BC07F0" w:rsidRDefault="00073EFB">
            <w:pPr>
              <w:pStyle w:val="a7"/>
              <w:rPr>
                <w:rFonts w:hint="default"/>
              </w:rPr>
            </w:pPr>
            <w:r>
              <w:t>18.1</w:t>
            </w:r>
          </w:p>
        </w:tc>
        <w:tc>
          <w:tcPr>
            <w:tcW w:w="733" w:type="pct"/>
            <w:vAlign w:val="center"/>
          </w:tcPr>
          <w:p w:rsidR="00BC07F0" w:rsidRDefault="00073EFB">
            <w:pPr>
              <w:pStyle w:val="a7"/>
              <w:rPr>
                <w:rFonts w:hint="default"/>
              </w:rPr>
            </w:pPr>
            <w:r>
              <w:t>18.2</w:t>
            </w:r>
          </w:p>
        </w:tc>
        <w:tc>
          <w:tcPr>
            <w:tcW w:w="736" w:type="pct"/>
            <w:vAlign w:val="center"/>
          </w:tcPr>
          <w:p w:rsidR="00BC07F0" w:rsidRDefault="00073EFB">
            <w:pPr>
              <w:pStyle w:val="a7"/>
              <w:rPr>
                <w:rFonts w:hint="default"/>
              </w:rPr>
            </w:pPr>
            <w:r>
              <w:t>17.8</w:t>
            </w:r>
          </w:p>
        </w:tc>
        <w:tc>
          <w:tcPr>
            <w:tcW w:w="666" w:type="pct"/>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pH</w:t>
            </w:r>
          </w:p>
        </w:tc>
        <w:tc>
          <w:tcPr>
            <w:tcW w:w="566" w:type="pct"/>
            <w:vAlign w:val="center"/>
          </w:tcPr>
          <w:p w:rsidR="00BC07F0" w:rsidRDefault="00073EFB">
            <w:pPr>
              <w:pStyle w:val="a7"/>
              <w:rPr>
                <w:rFonts w:hint="default"/>
              </w:rPr>
            </w:pPr>
            <w:r>
              <w:t>无量纲</w:t>
            </w:r>
          </w:p>
        </w:tc>
        <w:tc>
          <w:tcPr>
            <w:tcW w:w="733" w:type="pct"/>
            <w:vAlign w:val="center"/>
          </w:tcPr>
          <w:p w:rsidR="00BC07F0" w:rsidRDefault="00073EFB">
            <w:pPr>
              <w:pStyle w:val="a7"/>
              <w:rPr>
                <w:rFonts w:hint="default"/>
              </w:rPr>
            </w:pPr>
            <w:r>
              <w:t>7.0</w:t>
            </w:r>
          </w:p>
        </w:tc>
        <w:tc>
          <w:tcPr>
            <w:tcW w:w="733" w:type="pct"/>
            <w:vAlign w:val="center"/>
          </w:tcPr>
          <w:p w:rsidR="00BC07F0" w:rsidRDefault="00073EFB">
            <w:pPr>
              <w:pStyle w:val="a7"/>
              <w:rPr>
                <w:rFonts w:hint="default"/>
              </w:rPr>
            </w:pPr>
            <w:r>
              <w:t>7.4</w:t>
            </w:r>
          </w:p>
        </w:tc>
        <w:tc>
          <w:tcPr>
            <w:tcW w:w="736" w:type="pct"/>
            <w:vAlign w:val="center"/>
          </w:tcPr>
          <w:p w:rsidR="00BC07F0" w:rsidRDefault="00073EFB">
            <w:pPr>
              <w:pStyle w:val="a7"/>
              <w:rPr>
                <w:rFonts w:hint="default"/>
              </w:rPr>
            </w:pPr>
            <w:r>
              <w:t>7.1</w:t>
            </w:r>
          </w:p>
        </w:tc>
        <w:tc>
          <w:tcPr>
            <w:tcW w:w="666" w:type="pct"/>
            <w:vAlign w:val="center"/>
          </w:tcPr>
          <w:p w:rsidR="00BC07F0" w:rsidRDefault="00073EFB">
            <w:pPr>
              <w:pStyle w:val="a7"/>
              <w:rPr>
                <w:rFonts w:hint="default"/>
              </w:rPr>
            </w:pPr>
            <w:r>
              <w:t>6~9</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悬浮物</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10</w:t>
            </w:r>
          </w:p>
        </w:tc>
        <w:tc>
          <w:tcPr>
            <w:tcW w:w="733" w:type="pct"/>
            <w:vAlign w:val="center"/>
          </w:tcPr>
          <w:p w:rsidR="00BC07F0" w:rsidRDefault="00073EFB">
            <w:pPr>
              <w:pStyle w:val="a7"/>
              <w:rPr>
                <w:rFonts w:hint="default"/>
              </w:rPr>
            </w:pPr>
            <w:r>
              <w:t>13</w:t>
            </w:r>
          </w:p>
        </w:tc>
        <w:tc>
          <w:tcPr>
            <w:tcW w:w="736" w:type="pct"/>
            <w:vAlign w:val="center"/>
          </w:tcPr>
          <w:p w:rsidR="00BC07F0" w:rsidRDefault="00073EFB">
            <w:pPr>
              <w:pStyle w:val="a7"/>
              <w:rPr>
                <w:rFonts w:hint="default"/>
              </w:rPr>
            </w:pPr>
            <w:r>
              <w:t>11</w:t>
            </w:r>
          </w:p>
        </w:tc>
        <w:tc>
          <w:tcPr>
            <w:tcW w:w="666" w:type="pct"/>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COD</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5</w:t>
            </w:r>
          </w:p>
        </w:tc>
        <w:tc>
          <w:tcPr>
            <w:tcW w:w="733" w:type="pct"/>
            <w:vAlign w:val="center"/>
          </w:tcPr>
          <w:p w:rsidR="00BC07F0" w:rsidRDefault="00073EFB">
            <w:pPr>
              <w:pStyle w:val="a7"/>
              <w:rPr>
                <w:rFonts w:hint="default"/>
              </w:rPr>
            </w:pPr>
            <w:r>
              <w:t>5</w:t>
            </w:r>
          </w:p>
        </w:tc>
        <w:tc>
          <w:tcPr>
            <w:tcW w:w="736" w:type="pct"/>
            <w:vAlign w:val="center"/>
          </w:tcPr>
          <w:p w:rsidR="00BC07F0" w:rsidRDefault="00073EFB">
            <w:pPr>
              <w:pStyle w:val="a7"/>
              <w:rPr>
                <w:rFonts w:hint="default"/>
              </w:rPr>
            </w:pPr>
            <w:r>
              <w:t>7</w:t>
            </w:r>
          </w:p>
        </w:tc>
        <w:tc>
          <w:tcPr>
            <w:tcW w:w="666" w:type="pct"/>
            <w:vAlign w:val="center"/>
          </w:tcPr>
          <w:p w:rsidR="00BC07F0" w:rsidRDefault="00073EFB">
            <w:pPr>
              <w:pStyle w:val="a7"/>
              <w:rPr>
                <w:rFonts w:hint="default"/>
              </w:rPr>
            </w:pPr>
            <w:r>
              <w:t>≤</w:t>
            </w:r>
            <w:r>
              <w:t>20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BOD5</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0.8</w:t>
            </w:r>
          </w:p>
        </w:tc>
        <w:tc>
          <w:tcPr>
            <w:tcW w:w="733" w:type="pct"/>
            <w:vAlign w:val="center"/>
          </w:tcPr>
          <w:p w:rsidR="00BC07F0" w:rsidRDefault="00073EFB">
            <w:pPr>
              <w:pStyle w:val="a7"/>
              <w:rPr>
                <w:rFonts w:hint="default"/>
              </w:rPr>
            </w:pPr>
            <w:r>
              <w:t>0.7</w:t>
            </w:r>
          </w:p>
        </w:tc>
        <w:tc>
          <w:tcPr>
            <w:tcW w:w="736" w:type="pct"/>
            <w:vAlign w:val="center"/>
          </w:tcPr>
          <w:p w:rsidR="00BC07F0" w:rsidRDefault="00073EFB">
            <w:pPr>
              <w:pStyle w:val="a7"/>
              <w:rPr>
                <w:rFonts w:hint="default"/>
              </w:rPr>
            </w:pPr>
            <w:r>
              <w:t>1.6</w:t>
            </w:r>
          </w:p>
        </w:tc>
        <w:tc>
          <w:tcPr>
            <w:tcW w:w="666" w:type="pct"/>
            <w:vAlign w:val="center"/>
          </w:tcPr>
          <w:p w:rsidR="00BC07F0" w:rsidRDefault="00073EFB">
            <w:pPr>
              <w:pStyle w:val="a7"/>
              <w:rPr>
                <w:rFonts w:hint="default"/>
              </w:rPr>
            </w:pPr>
            <w:r>
              <w:t>≤</w:t>
            </w:r>
            <w:r>
              <w:t>4</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氨氮</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0.122</w:t>
            </w:r>
          </w:p>
        </w:tc>
        <w:tc>
          <w:tcPr>
            <w:tcW w:w="733" w:type="pct"/>
            <w:vAlign w:val="center"/>
          </w:tcPr>
          <w:p w:rsidR="00BC07F0" w:rsidRDefault="00073EFB">
            <w:pPr>
              <w:pStyle w:val="a7"/>
              <w:rPr>
                <w:rFonts w:hint="default"/>
              </w:rPr>
            </w:pPr>
            <w:r>
              <w:t>0.094</w:t>
            </w:r>
          </w:p>
        </w:tc>
        <w:tc>
          <w:tcPr>
            <w:tcW w:w="736" w:type="pct"/>
            <w:vAlign w:val="center"/>
          </w:tcPr>
          <w:p w:rsidR="00BC07F0" w:rsidRDefault="00073EFB">
            <w:pPr>
              <w:pStyle w:val="a7"/>
              <w:rPr>
                <w:rFonts w:hint="default"/>
              </w:rPr>
            </w:pPr>
            <w:r>
              <w:t>0.134</w:t>
            </w:r>
          </w:p>
        </w:tc>
        <w:tc>
          <w:tcPr>
            <w:tcW w:w="666" w:type="pct"/>
            <w:vAlign w:val="center"/>
          </w:tcPr>
          <w:p w:rsidR="00BC07F0" w:rsidRDefault="00073EFB">
            <w:pPr>
              <w:pStyle w:val="a7"/>
              <w:rPr>
                <w:rFonts w:hint="default"/>
              </w:rPr>
            </w:pPr>
            <w:r>
              <w:t>≤</w:t>
            </w:r>
            <w:r>
              <w:t>1.0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总磷</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0.4</w:t>
            </w:r>
          </w:p>
        </w:tc>
        <w:tc>
          <w:tcPr>
            <w:tcW w:w="733" w:type="pct"/>
            <w:vAlign w:val="center"/>
          </w:tcPr>
          <w:p w:rsidR="00BC07F0" w:rsidRDefault="00073EFB">
            <w:pPr>
              <w:pStyle w:val="a7"/>
              <w:rPr>
                <w:rFonts w:hint="default"/>
              </w:rPr>
            </w:pPr>
            <w:r>
              <w:t>0.4</w:t>
            </w:r>
          </w:p>
        </w:tc>
        <w:tc>
          <w:tcPr>
            <w:tcW w:w="736" w:type="pct"/>
            <w:vAlign w:val="center"/>
          </w:tcPr>
          <w:p w:rsidR="00BC07F0" w:rsidRDefault="00073EFB">
            <w:pPr>
              <w:pStyle w:val="a7"/>
              <w:rPr>
                <w:rFonts w:hint="default"/>
              </w:rPr>
            </w:pPr>
            <w:r>
              <w:t>0.2</w:t>
            </w:r>
          </w:p>
        </w:tc>
        <w:tc>
          <w:tcPr>
            <w:tcW w:w="666" w:type="pct"/>
            <w:vAlign w:val="center"/>
          </w:tcPr>
          <w:p w:rsidR="00BC07F0" w:rsidRDefault="00073EFB">
            <w:pPr>
              <w:pStyle w:val="a7"/>
              <w:rPr>
                <w:rFonts w:hint="default"/>
              </w:rPr>
            </w:pPr>
            <w:r>
              <w:t>≤</w:t>
            </w:r>
            <w:r>
              <w:t>0.</w:t>
            </w:r>
            <w:r>
              <w:t>2</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石油类</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0.02</w:t>
            </w:r>
          </w:p>
        </w:tc>
        <w:tc>
          <w:tcPr>
            <w:tcW w:w="733" w:type="pct"/>
            <w:vAlign w:val="center"/>
          </w:tcPr>
          <w:p w:rsidR="00BC07F0" w:rsidRDefault="00073EFB">
            <w:pPr>
              <w:pStyle w:val="a7"/>
              <w:rPr>
                <w:rFonts w:hint="default"/>
              </w:rPr>
            </w:pPr>
            <w:r>
              <w:t>0.01</w:t>
            </w:r>
          </w:p>
        </w:tc>
        <w:tc>
          <w:tcPr>
            <w:tcW w:w="736" w:type="pct"/>
            <w:vAlign w:val="center"/>
          </w:tcPr>
          <w:p w:rsidR="00BC07F0" w:rsidRDefault="00073EFB">
            <w:pPr>
              <w:pStyle w:val="a7"/>
              <w:rPr>
                <w:rFonts w:hint="default"/>
              </w:rPr>
            </w:pPr>
            <w:r>
              <w:t>0.02</w:t>
            </w:r>
          </w:p>
        </w:tc>
        <w:tc>
          <w:tcPr>
            <w:tcW w:w="666" w:type="pct"/>
            <w:vAlign w:val="center"/>
          </w:tcPr>
          <w:p w:rsidR="00BC07F0" w:rsidRDefault="00073EFB">
            <w:pPr>
              <w:pStyle w:val="a7"/>
              <w:rPr>
                <w:rFonts w:hint="default"/>
              </w:rPr>
            </w:pPr>
            <w:r>
              <w:t>≤</w:t>
            </w:r>
            <w:r>
              <w:t>0.05</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粪大肠杆菌群</w:t>
            </w:r>
          </w:p>
        </w:tc>
        <w:tc>
          <w:tcPr>
            <w:tcW w:w="1030" w:type="dxa"/>
            <w:vAlign w:val="center"/>
          </w:tcPr>
          <w:p w:rsidR="00BC07F0" w:rsidRDefault="00073EFB">
            <w:pPr>
              <w:pStyle w:val="a7"/>
              <w:rPr>
                <w:rFonts w:hint="default"/>
              </w:rPr>
            </w:pPr>
            <w:r>
              <w:t>MPN/L</w:t>
            </w:r>
          </w:p>
        </w:tc>
        <w:tc>
          <w:tcPr>
            <w:tcW w:w="1334" w:type="dxa"/>
            <w:vAlign w:val="center"/>
          </w:tcPr>
          <w:p w:rsidR="00BC07F0" w:rsidRDefault="00073EFB">
            <w:pPr>
              <w:pStyle w:val="a7"/>
              <w:rPr>
                <w:rFonts w:hint="default"/>
              </w:rPr>
            </w:pPr>
            <w:r>
              <w:t>1500</w:t>
            </w:r>
          </w:p>
        </w:tc>
        <w:tc>
          <w:tcPr>
            <w:tcW w:w="1334" w:type="dxa"/>
            <w:vAlign w:val="center"/>
          </w:tcPr>
          <w:p w:rsidR="00BC07F0" w:rsidRDefault="00073EFB">
            <w:pPr>
              <w:pStyle w:val="a7"/>
              <w:rPr>
                <w:rFonts w:hint="default"/>
              </w:rPr>
            </w:pPr>
            <w:r>
              <w:t>1200</w:t>
            </w:r>
          </w:p>
        </w:tc>
        <w:tc>
          <w:tcPr>
            <w:tcW w:w="1340" w:type="dxa"/>
            <w:vAlign w:val="center"/>
          </w:tcPr>
          <w:p w:rsidR="00BC07F0" w:rsidRDefault="00073EFB">
            <w:pPr>
              <w:pStyle w:val="a7"/>
              <w:rPr>
                <w:rFonts w:hint="default"/>
              </w:rPr>
            </w:pPr>
            <w:r>
              <w:t>1100</w:t>
            </w:r>
          </w:p>
        </w:tc>
        <w:tc>
          <w:tcPr>
            <w:tcW w:w="1212" w:type="dxa"/>
            <w:vAlign w:val="center"/>
          </w:tcPr>
          <w:p w:rsidR="00BC07F0" w:rsidRDefault="00073EFB">
            <w:pPr>
              <w:pStyle w:val="a7"/>
              <w:rPr>
                <w:rFonts w:hint="default"/>
              </w:rPr>
            </w:pPr>
            <w:r>
              <w:t>10000</w:t>
            </w:r>
          </w:p>
        </w:tc>
      </w:tr>
      <w:tr w:rsidR="00BC07F0">
        <w:trPr>
          <w:trHeight w:val="397"/>
          <w:jc w:val="center"/>
        </w:trPr>
        <w:tc>
          <w:tcPr>
            <w:tcW w:w="552" w:type="pct"/>
            <w:vMerge/>
            <w:vAlign w:val="center"/>
          </w:tcPr>
          <w:p w:rsidR="00BC07F0" w:rsidRDefault="00BC07F0">
            <w:pPr>
              <w:pStyle w:val="a7"/>
              <w:rPr>
                <w:rFonts w:hint="default"/>
              </w:rPr>
            </w:pPr>
          </w:p>
        </w:tc>
        <w:tc>
          <w:tcPr>
            <w:tcW w:w="1012" w:type="pct"/>
            <w:vAlign w:val="center"/>
          </w:tcPr>
          <w:p w:rsidR="00BC07F0" w:rsidRDefault="00073EFB">
            <w:pPr>
              <w:pStyle w:val="a7"/>
              <w:rPr>
                <w:rFonts w:hint="default"/>
              </w:rPr>
            </w:pPr>
            <w:r>
              <w:t>溶解氧</w:t>
            </w:r>
          </w:p>
        </w:tc>
        <w:tc>
          <w:tcPr>
            <w:tcW w:w="566" w:type="pct"/>
            <w:vAlign w:val="center"/>
          </w:tcPr>
          <w:p w:rsidR="00BC07F0" w:rsidRDefault="00073EFB">
            <w:pPr>
              <w:pStyle w:val="a7"/>
              <w:rPr>
                <w:rFonts w:hint="default"/>
              </w:rPr>
            </w:pPr>
            <w:r>
              <w:t>mg/L</w:t>
            </w:r>
          </w:p>
        </w:tc>
        <w:tc>
          <w:tcPr>
            <w:tcW w:w="733" w:type="pct"/>
            <w:vAlign w:val="center"/>
          </w:tcPr>
          <w:p w:rsidR="00BC07F0" w:rsidRDefault="00073EFB">
            <w:pPr>
              <w:pStyle w:val="a7"/>
              <w:rPr>
                <w:rFonts w:hint="default"/>
              </w:rPr>
            </w:pPr>
            <w:r>
              <w:t>5.6</w:t>
            </w:r>
          </w:p>
        </w:tc>
        <w:tc>
          <w:tcPr>
            <w:tcW w:w="733" w:type="pct"/>
            <w:vAlign w:val="center"/>
          </w:tcPr>
          <w:p w:rsidR="00BC07F0" w:rsidRDefault="00073EFB">
            <w:pPr>
              <w:pStyle w:val="a7"/>
              <w:rPr>
                <w:rFonts w:hint="default"/>
              </w:rPr>
            </w:pPr>
            <w:r>
              <w:t>5.8</w:t>
            </w:r>
          </w:p>
        </w:tc>
        <w:tc>
          <w:tcPr>
            <w:tcW w:w="736" w:type="pct"/>
            <w:vAlign w:val="center"/>
          </w:tcPr>
          <w:p w:rsidR="00BC07F0" w:rsidRDefault="00073EFB">
            <w:pPr>
              <w:pStyle w:val="a7"/>
              <w:rPr>
                <w:rFonts w:hint="default"/>
              </w:rPr>
            </w:pPr>
            <w:r>
              <w:t>5.9</w:t>
            </w:r>
          </w:p>
        </w:tc>
        <w:tc>
          <w:tcPr>
            <w:tcW w:w="666" w:type="pct"/>
            <w:vAlign w:val="center"/>
          </w:tcPr>
          <w:p w:rsidR="00BC07F0" w:rsidRDefault="00073EFB">
            <w:pPr>
              <w:pStyle w:val="a7"/>
              <w:rPr>
                <w:rFonts w:hint="default"/>
              </w:rPr>
            </w:pPr>
            <w:r>
              <w:t>≥</w:t>
            </w:r>
            <w:r>
              <w:t>5</w:t>
            </w:r>
          </w:p>
        </w:tc>
      </w:tr>
      <w:tr w:rsidR="00BC07F0">
        <w:trPr>
          <w:trHeight w:val="397"/>
          <w:jc w:val="center"/>
        </w:trPr>
        <w:tc>
          <w:tcPr>
            <w:tcW w:w="552" w:type="pct"/>
            <w:vMerge w:val="restart"/>
            <w:vAlign w:val="center"/>
          </w:tcPr>
          <w:p w:rsidR="00BC07F0" w:rsidRDefault="00073EFB">
            <w:pPr>
              <w:pStyle w:val="a7"/>
              <w:rPr>
                <w:rFonts w:hint="default"/>
              </w:rPr>
            </w:pPr>
            <w:r>
              <w:t>S4</w:t>
            </w:r>
            <w:r>
              <w:t>江东水厂取水口下游</w:t>
            </w:r>
            <w:r>
              <w:t>500m</w:t>
            </w:r>
            <w:r>
              <w:t>湘江断面</w:t>
            </w:r>
          </w:p>
        </w:tc>
        <w:tc>
          <w:tcPr>
            <w:tcW w:w="1842" w:type="dxa"/>
            <w:vAlign w:val="center"/>
          </w:tcPr>
          <w:p w:rsidR="00BC07F0" w:rsidRDefault="00073EFB">
            <w:pPr>
              <w:pStyle w:val="a7"/>
              <w:rPr>
                <w:rFonts w:hint="default"/>
              </w:rPr>
            </w:pPr>
            <w:r>
              <w:t>水温</w:t>
            </w:r>
          </w:p>
        </w:tc>
        <w:tc>
          <w:tcPr>
            <w:tcW w:w="1030" w:type="dxa"/>
            <w:vAlign w:val="center"/>
          </w:tcPr>
          <w:p w:rsidR="00BC07F0" w:rsidRDefault="00073EFB">
            <w:pPr>
              <w:pStyle w:val="a7"/>
              <w:rPr>
                <w:rFonts w:hint="default"/>
              </w:rPr>
            </w:pPr>
            <w:r>
              <w:t>℃</w:t>
            </w:r>
          </w:p>
        </w:tc>
        <w:tc>
          <w:tcPr>
            <w:tcW w:w="1334" w:type="dxa"/>
            <w:vAlign w:val="center"/>
          </w:tcPr>
          <w:p w:rsidR="00BC07F0" w:rsidRDefault="00073EFB">
            <w:pPr>
              <w:pStyle w:val="a7"/>
              <w:rPr>
                <w:rFonts w:hint="default"/>
              </w:rPr>
            </w:pPr>
            <w:r>
              <w:t>18.5</w:t>
            </w:r>
          </w:p>
        </w:tc>
        <w:tc>
          <w:tcPr>
            <w:tcW w:w="1334" w:type="dxa"/>
            <w:vAlign w:val="center"/>
          </w:tcPr>
          <w:p w:rsidR="00BC07F0" w:rsidRDefault="00073EFB">
            <w:pPr>
              <w:pStyle w:val="a7"/>
              <w:rPr>
                <w:rFonts w:hint="default"/>
              </w:rPr>
            </w:pPr>
            <w:r>
              <w:t>18.1</w:t>
            </w:r>
          </w:p>
        </w:tc>
        <w:tc>
          <w:tcPr>
            <w:tcW w:w="1340" w:type="dxa"/>
            <w:vAlign w:val="center"/>
          </w:tcPr>
          <w:p w:rsidR="00BC07F0" w:rsidRDefault="00073EFB">
            <w:pPr>
              <w:pStyle w:val="a7"/>
              <w:rPr>
                <w:rFonts w:hint="default"/>
              </w:rPr>
            </w:pPr>
            <w:r>
              <w:t>18.4</w:t>
            </w:r>
          </w:p>
        </w:tc>
        <w:tc>
          <w:tcPr>
            <w:tcW w:w="1212" w:type="dxa"/>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pH</w:t>
            </w:r>
          </w:p>
        </w:tc>
        <w:tc>
          <w:tcPr>
            <w:tcW w:w="1030" w:type="dxa"/>
            <w:vAlign w:val="center"/>
          </w:tcPr>
          <w:p w:rsidR="00BC07F0" w:rsidRDefault="00073EFB">
            <w:pPr>
              <w:pStyle w:val="a7"/>
              <w:rPr>
                <w:rFonts w:hint="default"/>
              </w:rPr>
            </w:pPr>
            <w:r>
              <w:t>无量纲</w:t>
            </w:r>
          </w:p>
        </w:tc>
        <w:tc>
          <w:tcPr>
            <w:tcW w:w="1334" w:type="dxa"/>
            <w:vAlign w:val="center"/>
          </w:tcPr>
          <w:p w:rsidR="00BC07F0" w:rsidRDefault="00073EFB">
            <w:pPr>
              <w:pStyle w:val="a7"/>
              <w:rPr>
                <w:rFonts w:hint="default"/>
              </w:rPr>
            </w:pPr>
            <w:r>
              <w:t>6.9</w:t>
            </w:r>
          </w:p>
        </w:tc>
        <w:tc>
          <w:tcPr>
            <w:tcW w:w="1334" w:type="dxa"/>
            <w:vAlign w:val="center"/>
          </w:tcPr>
          <w:p w:rsidR="00BC07F0" w:rsidRDefault="00073EFB">
            <w:pPr>
              <w:pStyle w:val="a7"/>
              <w:rPr>
                <w:rFonts w:hint="default"/>
              </w:rPr>
            </w:pPr>
            <w:r>
              <w:t>7.0</w:t>
            </w:r>
          </w:p>
        </w:tc>
        <w:tc>
          <w:tcPr>
            <w:tcW w:w="1340" w:type="dxa"/>
            <w:vAlign w:val="center"/>
          </w:tcPr>
          <w:p w:rsidR="00BC07F0" w:rsidRDefault="00073EFB">
            <w:pPr>
              <w:pStyle w:val="a7"/>
              <w:rPr>
                <w:rFonts w:hint="default"/>
              </w:rPr>
            </w:pPr>
            <w:r>
              <w:t>7.3</w:t>
            </w:r>
          </w:p>
        </w:tc>
        <w:tc>
          <w:tcPr>
            <w:tcW w:w="1212" w:type="dxa"/>
            <w:vAlign w:val="center"/>
          </w:tcPr>
          <w:p w:rsidR="00BC07F0" w:rsidRDefault="00073EFB">
            <w:pPr>
              <w:pStyle w:val="a7"/>
              <w:rPr>
                <w:rFonts w:hint="default"/>
              </w:rPr>
            </w:pPr>
            <w:r>
              <w:t>6~9</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悬浮物</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11</w:t>
            </w:r>
          </w:p>
        </w:tc>
        <w:tc>
          <w:tcPr>
            <w:tcW w:w="1334" w:type="dxa"/>
            <w:vAlign w:val="center"/>
          </w:tcPr>
          <w:p w:rsidR="00BC07F0" w:rsidRDefault="00073EFB">
            <w:pPr>
              <w:pStyle w:val="a7"/>
              <w:rPr>
                <w:rFonts w:hint="default"/>
              </w:rPr>
            </w:pPr>
            <w:r>
              <w:t>12</w:t>
            </w:r>
          </w:p>
        </w:tc>
        <w:tc>
          <w:tcPr>
            <w:tcW w:w="1340" w:type="dxa"/>
            <w:vAlign w:val="center"/>
          </w:tcPr>
          <w:p w:rsidR="00BC07F0" w:rsidRDefault="00073EFB">
            <w:pPr>
              <w:pStyle w:val="a7"/>
              <w:rPr>
                <w:rFonts w:hint="default"/>
              </w:rPr>
            </w:pPr>
            <w:r>
              <w:t>13</w:t>
            </w:r>
          </w:p>
        </w:tc>
        <w:tc>
          <w:tcPr>
            <w:tcW w:w="1212" w:type="dxa"/>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COD</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7</w:t>
            </w:r>
          </w:p>
        </w:tc>
        <w:tc>
          <w:tcPr>
            <w:tcW w:w="1334" w:type="dxa"/>
            <w:vAlign w:val="center"/>
          </w:tcPr>
          <w:p w:rsidR="00BC07F0" w:rsidRDefault="00073EFB">
            <w:pPr>
              <w:pStyle w:val="a7"/>
              <w:rPr>
                <w:rFonts w:hint="default"/>
              </w:rPr>
            </w:pPr>
            <w:r>
              <w:t>6</w:t>
            </w:r>
          </w:p>
        </w:tc>
        <w:tc>
          <w:tcPr>
            <w:tcW w:w="1340" w:type="dxa"/>
            <w:vAlign w:val="center"/>
          </w:tcPr>
          <w:p w:rsidR="00BC07F0" w:rsidRDefault="00073EFB">
            <w:pPr>
              <w:pStyle w:val="a7"/>
              <w:rPr>
                <w:rFonts w:hint="default"/>
              </w:rPr>
            </w:pPr>
            <w:r>
              <w:t>6</w:t>
            </w:r>
          </w:p>
        </w:tc>
        <w:tc>
          <w:tcPr>
            <w:tcW w:w="1212" w:type="dxa"/>
            <w:vAlign w:val="center"/>
          </w:tcPr>
          <w:p w:rsidR="00BC07F0" w:rsidRDefault="00073EFB">
            <w:pPr>
              <w:pStyle w:val="a7"/>
              <w:rPr>
                <w:rFonts w:hint="default"/>
              </w:rPr>
            </w:pPr>
            <w:r>
              <w:t>≤</w:t>
            </w:r>
            <w:r>
              <w:t>20</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BOD5</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0.7</w:t>
            </w:r>
          </w:p>
        </w:tc>
        <w:tc>
          <w:tcPr>
            <w:tcW w:w="1334" w:type="dxa"/>
            <w:vAlign w:val="center"/>
          </w:tcPr>
          <w:p w:rsidR="00BC07F0" w:rsidRDefault="00073EFB">
            <w:pPr>
              <w:pStyle w:val="a7"/>
              <w:rPr>
                <w:rFonts w:hint="default"/>
              </w:rPr>
            </w:pPr>
            <w:r>
              <w:t>0.8</w:t>
            </w:r>
          </w:p>
        </w:tc>
        <w:tc>
          <w:tcPr>
            <w:tcW w:w="1340" w:type="dxa"/>
            <w:vAlign w:val="center"/>
          </w:tcPr>
          <w:p w:rsidR="00BC07F0" w:rsidRDefault="00073EFB">
            <w:pPr>
              <w:pStyle w:val="a7"/>
              <w:rPr>
                <w:rFonts w:hint="default"/>
              </w:rPr>
            </w:pPr>
            <w:r>
              <w:t>1.4</w:t>
            </w:r>
          </w:p>
        </w:tc>
        <w:tc>
          <w:tcPr>
            <w:tcW w:w="1212" w:type="dxa"/>
            <w:vAlign w:val="center"/>
          </w:tcPr>
          <w:p w:rsidR="00BC07F0" w:rsidRDefault="00073EFB">
            <w:pPr>
              <w:pStyle w:val="a7"/>
              <w:rPr>
                <w:rFonts w:hint="default"/>
              </w:rPr>
            </w:pPr>
            <w:r>
              <w:t>≤</w:t>
            </w:r>
            <w:r>
              <w:t>4</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氨氮</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0.1</w:t>
            </w:r>
          </w:p>
        </w:tc>
        <w:tc>
          <w:tcPr>
            <w:tcW w:w="1334" w:type="dxa"/>
            <w:vAlign w:val="center"/>
          </w:tcPr>
          <w:p w:rsidR="00BC07F0" w:rsidRDefault="00073EFB">
            <w:pPr>
              <w:pStyle w:val="a7"/>
              <w:rPr>
                <w:rFonts w:hint="default"/>
              </w:rPr>
            </w:pPr>
            <w:r>
              <w:t>0.105</w:t>
            </w:r>
          </w:p>
        </w:tc>
        <w:tc>
          <w:tcPr>
            <w:tcW w:w="1340" w:type="dxa"/>
            <w:vAlign w:val="center"/>
          </w:tcPr>
          <w:p w:rsidR="00BC07F0" w:rsidRDefault="00073EFB">
            <w:pPr>
              <w:pStyle w:val="a7"/>
              <w:rPr>
                <w:rFonts w:hint="default"/>
              </w:rPr>
            </w:pPr>
            <w:r>
              <w:t>0.142</w:t>
            </w:r>
          </w:p>
        </w:tc>
        <w:tc>
          <w:tcPr>
            <w:tcW w:w="1212" w:type="dxa"/>
            <w:vAlign w:val="center"/>
          </w:tcPr>
          <w:p w:rsidR="00BC07F0" w:rsidRDefault="00073EFB">
            <w:pPr>
              <w:pStyle w:val="a7"/>
              <w:rPr>
                <w:rFonts w:hint="default"/>
              </w:rPr>
            </w:pPr>
            <w:r>
              <w:t>≤</w:t>
            </w:r>
            <w:r>
              <w:t>1.0</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总磷</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0.2</w:t>
            </w:r>
          </w:p>
        </w:tc>
        <w:tc>
          <w:tcPr>
            <w:tcW w:w="1334" w:type="dxa"/>
            <w:vAlign w:val="center"/>
          </w:tcPr>
          <w:p w:rsidR="00BC07F0" w:rsidRDefault="00073EFB">
            <w:pPr>
              <w:pStyle w:val="a7"/>
              <w:rPr>
                <w:rFonts w:hint="default"/>
              </w:rPr>
            </w:pPr>
            <w:r>
              <w:t>0.3</w:t>
            </w:r>
          </w:p>
        </w:tc>
        <w:tc>
          <w:tcPr>
            <w:tcW w:w="1340" w:type="dxa"/>
            <w:vAlign w:val="center"/>
          </w:tcPr>
          <w:p w:rsidR="00BC07F0" w:rsidRDefault="00073EFB">
            <w:pPr>
              <w:pStyle w:val="a7"/>
              <w:rPr>
                <w:rFonts w:hint="default"/>
              </w:rPr>
            </w:pPr>
            <w:r>
              <w:t>0.3</w:t>
            </w:r>
          </w:p>
        </w:tc>
        <w:tc>
          <w:tcPr>
            <w:tcW w:w="1212" w:type="dxa"/>
            <w:vAlign w:val="center"/>
          </w:tcPr>
          <w:p w:rsidR="00BC07F0" w:rsidRDefault="00073EFB">
            <w:pPr>
              <w:pStyle w:val="a7"/>
              <w:rPr>
                <w:rFonts w:hint="default"/>
              </w:rPr>
            </w:pPr>
            <w:r>
              <w:t>≤</w:t>
            </w:r>
            <w:r>
              <w:t>0.</w:t>
            </w:r>
            <w:r>
              <w:t>2</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石油类</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0.02</w:t>
            </w:r>
          </w:p>
        </w:tc>
        <w:tc>
          <w:tcPr>
            <w:tcW w:w="1334" w:type="dxa"/>
            <w:vAlign w:val="center"/>
          </w:tcPr>
          <w:p w:rsidR="00BC07F0" w:rsidRDefault="00073EFB">
            <w:pPr>
              <w:pStyle w:val="a7"/>
              <w:rPr>
                <w:rFonts w:hint="default"/>
              </w:rPr>
            </w:pPr>
            <w:r>
              <w:t>0.02</w:t>
            </w:r>
          </w:p>
        </w:tc>
        <w:tc>
          <w:tcPr>
            <w:tcW w:w="1340" w:type="dxa"/>
            <w:vAlign w:val="center"/>
          </w:tcPr>
          <w:p w:rsidR="00BC07F0" w:rsidRDefault="00073EFB">
            <w:pPr>
              <w:pStyle w:val="a7"/>
              <w:rPr>
                <w:rFonts w:hint="default"/>
              </w:rPr>
            </w:pPr>
            <w:r>
              <w:t>0.01</w:t>
            </w:r>
          </w:p>
        </w:tc>
        <w:tc>
          <w:tcPr>
            <w:tcW w:w="1212" w:type="dxa"/>
            <w:vAlign w:val="center"/>
          </w:tcPr>
          <w:p w:rsidR="00BC07F0" w:rsidRDefault="00073EFB">
            <w:pPr>
              <w:pStyle w:val="a7"/>
              <w:rPr>
                <w:rFonts w:hint="default"/>
              </w:rPr>
            </w:pPr>
            <w:r>
              <w:t>≤</w:t>
            </w:r>
            <w:r>
              <w:t>0.05</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粪大肠杆菌群</w:t>
            </w:r>
          </w:p>
        </w:tc>
        <w:tc>
          <w:tcPr>
            <w:tcW w:w="1030" w:type="dxa"/>
            <w:vAlign w:val="center"/>
          </w:tcPr>
          <w:p w:rsidR="00BC07F0" w:rsidRDefault="00073EFB">
            <w:pPr>
              <w:pStyle w:val="a7"/>
              <w:rPr>
                <w:rFonts w:hint="default"/>
              </w:rPr>
            </w:pPr>
            <w:r>
              <w:t>MPN/L</w:t>
            </w:r>
          </w:p>
        </w:tc>
        <w:tc>
          <w:tcPr>
            <w:tcW w:w="1334" w:type="dxa"/>
            <w:vAlign w:val="center"/>
          </w:tcPr>
          <w:p w:rsidR="00BC07F0" w:rsidRDefault="00073EFB">
            <w:pPr>
              <w:pStyle w:val="a7"/>
              <w:rPr>
                <w:rFonts w:hint="default"/>
              </w:rPr>
            </w:pPr>
            <w:r>
              <w:t>1200</w:t>
            </w:r>
          </w:p>
        </w:tc>
        <w:tc>
          <w:tcPr>
            <w:tcW w:w="1334" w:type="dxa"/>
            <w:vAlign w:val="center"/>
          </w:tcPr>
          <w:p w:rsidR="00BC07F0" w:rsidRDefault="00073EFB">
            <w:pPr>
              <w:pStyle w:val="a7"/>
              <w:rPr>
                <w:rFonts w:hint="default"/>
              </w:rPr>
            </w:pPr>
            <w:r>
              <w:t>1800</w:t>
            </w:r>
          </w:p>
        </w:tc>
        <w:tc>
          <w:tcPr>
            <w:tcW w:w="1340" w:type="dxa"/>
            <w:vAlign w:val="center"/>
          </w:tcPr>
          <w:p w:rsidR="00BC07F0" w:rsidRDefault="00073EFB">
            <w:pPr>
              <w:pStyle w:val="a7"/>
              <w:rPr>
                <w:rFonts w:hint="default"/>
              </w:rPr>
            </w:pPr>
            <w:r>
              <w:t>1100</w:t>
            </w:r>
          </w:p>
        </w:tc>
        <w:tc>
          <w:tcPr>
            <w:tcW w:w="1212" w:type="dxa"/>
            <w:vAlign w:val="center"/>
          </w:tcPr>
          <w:p w:rsidR="00BC07F0" w:rsidRDefault="00073EFB">
            <w:pPr>
              <w:pStyle w:val="a7"/>
              <w:rPr>
                <w:rFonts w:hint="default"/>
              </w:rPr>
            </w:pPr>
            <w:r>
              <w:t>10000</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溶解氧</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5.6</w:t>
            </w:r>
          </w:p>
        </w:tc>
        <w:tc>
          <w:tcPr>
            <w:tcW w:w="1334" w:type="dxa"/>
            <w:vAlign w:val="center"/>
          </w:tcPr>
          <w:p w:rsidR="00BC07F0" w:rsidRDefault="00073EFB">
            <w:pPr>
              <w:pStyle w:val="a7"/>
              <w:rPr>
                <w:rFonts w:hint="default"/>
              </w:rPr>
            </w:pPr>
            <w:r>
              <w:t>5.7</w:t>
            </w:r>
          </w:p>
        </w:tc>
        <w:tc>
          <w:tcPr>
            <w:tcW w:w="1340" w:type="dxa"/>
            <w:vAlign w:val="center"/>
          </w:tcPr>
          <w:p w:rsidR="00BC07F0" w:rsidRDefault="00073EFB">
            <w:pPr>
              <w:pStyle w:val="a7"/>
              <w:rPr>
                <w:rFonts w:hint="default"/>
              </w:rPr>
            </w:pPr>
            <w:r>
              <w:t>5.8</w:t>
            </w:r>
          </w:p>
        </w:tc>
        <w:tc>
          <w:tcPr>
            <w:tcW w:w="1212" w:type="dxa"/>
            <w:vAlign w:val="center"/>
          </w:tcPr>
          <w:p w:rsidR="00BC07F0" w:rsidRDefault="00073EFB">
            <w:pPr>
              <w:pStyle w:val="a7"/>
              <w:rPr>
                <w:rFonts w:hint="default"/>
              </w:rPr>
            </w:pPr>
            <w:r>
              <w:t>≥</w:t>
            </w:r>
            <w:r>
              <w:t>5</w:t>
            </w:r>
          </w:p>
        </w:tc>
      </w:tr>
      <w:tr w:rsidR="00BC07F0">
        <w:trPr>
          <w:trHeight w:val="397"/>
          <w:jc w:val="center"/>
        </w:trPr>
        <w:tc>
          <w:tcPr>
            <w:tcW w:w="552" w:type="pct"/>
            <w:vMerge w:val="restart"/>
            <w:vAlign w:val="center"/>
          </w:tcPr>
          <w:p w:rsidR="00BC07F0" w:rsidRDefault="00073EFB">
            <w:pPr>
              <w:pStyle w:val="a7"/>
              <w:rPr>
                <w:rFonts w:hint="default"/>
              </w:rPr>
            </w:pPr>
            <w:r>
              <w:t>S5</w:t>
            </w:r>
            <w:r>
              <w:t>日月湖</w:t>
            </w:r>
          </w:p>
        </w:tc>
        <w:tc>
          <w:tcPr>
            <w:tcW w:w="1842" w:type="dxa"/>
            <w:vAlign w:val="center"/>
          </w:tcPr>
          <w:p w:rsidR="00BC07F0" w:rsidRDefault="00073EFB">
            <w:pPr>
              <w:pStyle w:val="a7"/>
              <w:rPr>
                <w:rFonts w:hint="default"/>
              </w:rPr>
            </w:pPr>
            <w:r>
              <w:t>水温</w:t>
            </w:r>
          </w:p>
        </w:tc>
        <w:tc>
          <w:tcPr>
            <w:tcW w:w="1030" w:type="dxa"/>
            <w:vAlign w:val="center"/>
          </w:tcPr>
          <w:p w:rsidR="00BC07F0" w:rsidRDefault="00073EFB">
            <w:pPr>
              <w:pStyle w:val="a7"/>
              <w:rPr>
                <w:rFonts w:hint="default"/>
              </w:rPr>
            </w:pPr>
            <w:r>
              <w:t>℃</w:t>
            </w:r>
          </w:p>
        </w:tc>
        <w:tc>
          <w:tcPr>
            <w:tcW w:w="1334" w:type="dxa"/>
            <w:vAlign w:val="center"/>
          </w:tcPr>
          <w:p w:rsidR="00BC07F0" w:rsidRDefault="00073EFB">
            <w:pPr>
              <w:pStyle w:val="a7"/>
              <w:rPr>
                <w:rFonts w:hint="default"/>
              </w:rPr>
            </w:pPr>
            <w:r>
              <w:t>16.9</w:t>
            </w:r>
          </w:p>
        </w:tc>
        <w:tc>
          <w:tcPr>
            <w:tcW w:w="1334" w:type="dxa"/>
            <w:vAlign w:val="center"/>
          </w:tcPr>
          <w:p w:rsidR="00BC07F0" w:rsidRDefault="00073EFB">
            <w:pPr>
              <w:pStyle w:val="a7"/>
              <w:rPr>
                <w:rFonts w:hint="default"/>
              </w:rPr>
            </w:pPr>
            <w:r>
              <w:t>16.4</w:t>
            </w:r>
          </w:p>
        </w:tc>
        <w:tc>
          <w:tcPr>
            <w:tcW w:w="1340" w:type="dxa"/>
            <w:vAlign w:val="center"/>
          </w:tcPr>
          <w:p w:rsidR="00BC07F0" w:rsidRDefault="00073EFB">
            <w:pPr>
              <w:pStyle w:val="a7"/>
              <w:rPr>
                <w:rFonts w:hint="default"/>
              </w:rPr>
            </w:pPr>
            <w:r>
              <w:t>16.9</w:t>
            </w:r>
          </w:p>
        </w:tc>
        <w:tc>
          <w:tcPr>
            <w:tcW w:w="1212" w:type="dxa"/>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pH</w:t>
            </w:r>
          </w:p>
        </w:tc>
        <w:tc>
          <w:tcPr>
            <w:tcW w:w="1030" w:type="dxa"/>
            <w:vAlign w:val="center"/>
          </w:tcPr>
          <w:p w:rsidR="00BC07F0" w:rsidRDefault="00073EFB">
            <w:pPr>
              <w:pStyle w:val="a7"/>
              <w:rPr>
                <w:rFonts w:hint="default"/>
              </w:rPr>
            </w:pPr>
            <w:r>
              <w:t>无量纲</w:t>
            </w:r>
          </w:p>
        </w:tc>
        <w:tc>
          <w:tcPr>
            <w:tcW w:w="1334" w:type="dxa"/>
            <w:vAlign w:val="center"/>
          </w:tcPr>
          <w:p w:rsidR="00BC07F0" w:rsidRDefault="00073EFB">
            <w:pPr>
              <w:pStyle w:val="a7"/>
              <w:rPr>
                <w:rFonts w:hint="default"/>
              </w:rPr>
            </w:pPr>
            <w:r>
              <w:t>7.1</w:t>
            </w:r>
          </w:p>
        </w:tc>
        <w:tc>
          <w:tcPr>
            <w:tcW w:w="1334" w:type="dxa"/>
            <w:vAlign w:val="center"/>
          </w:tcPr>
          <w:p w:rsidR="00BC07F0" w:rsidRDefault="00073EFB">
            <w:pPr>
              <w:pStyle w:val="a7"/>
              <w:rPr>
                <w:rFonts w:hint="default"/>
              </w:rPr>
            </w:pPr>
            <w:r>
              <w:t>6.8</w:t>
            </w:r>
          </w:p>
        </w:tc>
        <w:tc>
          <w:tcPr>
            <w:tcW w:w="1340" w:type="dxa"/>
            <w:vAlign w:val="center"/>
          </w:tcPr>
          <w:p w:rsidR="00BC07F0" w:rsidRDefault="00073EFB">
            <w:pPr>
              <w:pStyle w:val="a7"/>
              <w:rPr>
                <w:rFonts w:hint="default"/>
              </w:rPr>
            </w:pPr>
            <w:r>
              <w:t>6.7</w:t>
            </w:r>
          </w:p>
        </w:tc>
        <w:tc>
          <w:tcPr>
            <w:tcW w:w="1212" w:type="dxa"/>
            <w:vAlign w:val="center"/>
          </w:tcPr>
          <w:p w:rsidR="00BC07F0" w:rsidRDefault="00073EFB">
            <w:pPr>
              <w:pStyle w:val="a7"/>
              <w:rPr>
                <w:rFonts w:hint="default"/>
              </w:rPr>
            </w:pPr>
            <w:r>
              <w:t>6~9</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悬浮物</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12</w:t>
            </w:r>
          </w:p>
        </w:tc>
        <w:tc>
          <w:tcPr>
            <w:tcW w:w="1334" w:type="dxa"/>
            <w:vAlign w:val="center"/>
          </w:tcPr>
          <w:p w:rsidR="00BC07F0" w:rsidRDefault="00073EFB">
            <w:pPr>
              <w:pStyle w:val="a7"/>
              <w:rPr>
                <w:rFonts w:hint="default"/>
              </w:rPr>
            </w:pPr>
            <w:r>
              <w:t>11</w:t>
            </w:r>
          </w:p>
        </w:tc>
        <w:tc>
          <w:tcPr>
            <w:tcW w:w="1340" w:type="dxa"/>
            <w:vAlign w:val="center"/>
          </w:tcPr>
          <w:p w:rsidR="00BC07F0" w:rsidRDefault="00073EFB">
            <w:pPr>
              <w:pStyle w:val="a7"/>
              <w:rPr>
                <w:rFonts w:hint="default"/>
              </w:rPr>
            </w:pPr>
            <w:r>
              <w:t>13</w:t>
            </w:r>
          </w:p>
        </w:tc>
        <w:tc>
          <w:tcPr>
            <w:tcW w:w="1212" w:type="dxa"/>
            <w:vAlign w:val="center"/>
          </w:tcPr>
          <w:p w:rsidR="00BC07F0" w:rsidRDefault="00073EFB">
            <w:pPr>
              <w:pStyle w:val="a7"/>
              <w:rPr>
                <w:rFonts w:hint="default"/>
              </w:rPr>
            </w:pPr>
            <w:r>
              <w:t>——</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COD</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11</w:t>
            </w:r>
          </w:p>
        </w:tc>
        <w:tc>
          <w:tcPr>
            <w:tcW w:w="1334" w:type="dxa"/>
            <w:vAlign w:val="center"/>
          </w:tcPr>
          <w:p w:rsidR="00BC07F0" w:rsidRDefault="00073EFB">
            <w:pPr>
              <w:pStyle w:val="a7"/>
              <w:rPr>
                <w:rFonts w:hint="default"/>
              </w:rPr>
            </w:pPr>
            <w:r>
              <w:t>10</w:t>
            </w:r>
          </w:p>
        </w:tc>
        <w:tc>
          <w:tcPr>
            <w:tcW w:w="1340" w:type="dxa"/>
            <w:vAlign w:val="center"/>
          </w:tcPr>
          <w:p w:rsidR="00BC07F0" w:rsidRDefault="00073EFB">
            <w:pPr>
              <w:pStyle w:val="a7"/>
              <w:rPr>
                <w:rFonts w:hint="default"/>
              </w:rPr>
            </w:pPr>
            <w:r>
              <w:t>11</w:t>
            </w:r>
          </w:p>
        </w:tc>
        <w:tc>
          <w:tcPr>
            <w:tcW w:w="1212" w:type="dxa"/>
            <w:vAlign w:val="center"/>
          </w:tcPr>
          <w:p w:rsidR="00BC07F0" w:rsidRDefault="00073EFB">
            <w:pPr>
              <w:pStyle w:val="a7"/>
              <w:rPr>
                <w:rFonts w:hint="default"/>
              </w:rPr>
            </w:pPr>
            <w:r>
              <w:t>≤</w:t>
            </w:r>
            <w:r>
              <w:t>20</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BOD5</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2.0</w:t>
            </w:r>
          </w:p>
        </w:tc>
        <w:tc>
          <w:tcPr>
            <w:tcW w:w="1334" w:type="dxa"/>
            <w:vAlign w:val="center"/>
          </w:tcPr>
          <w:p w:rsidR="00BC07F0" w:rsidRDefault="00073EFB">
            <w:pPr>
              <w:pStyle w:val="a7"/>
              <w:rPr>
                <w:rFonts w:hint="default"/>
              </w:rPr>
            </w:pPr>
            <w:r>
              <w:t>1.8</w:t>
            </w:r>
          </w:p>
        </w:tc>
        <w:tc>
          <w:tcPr>
            <w:tcW w:w="1340" w:type="dxa"/>
            <w:vAlign w:val="center"/>
          </w:tcPr>
          <w:p w:rsidR="00BC07F0" w:rsidRDefault="00073EFB">
            <w:pPr>
              <w:pStyle w:val="a7"/>
              <w:rPr>
                <w:rFonts w:hint="default"/>
              </w:rPr>
            </w:pPr>
            <w:r>
              <w:t>1.9</w:t>
            </w:r>
          </w:p>
        </w:tc>
        <w:tc>
          <w:tcPr>
            <w:tcW w:w="1212" w:type="dxa"/>
            <w:vAlign w:val="center"/>
          </w:tcPr>
          <w:p w:rsidR="00BC07F0" w:rsidRDefault="00073EFB">
            <w:pPr>
              <w:pStyle w:val="a7"/>
              <w:rPr>
                <w:rFonts w:hint="default"/>
              </w:rPr>
            </w:pPr>
            <w:r>
              <w:t>≤</w:t>
            </w:r>
            <w:r>
              <w:t>4</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氨氮</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0.232</w:t>
            </w:r>
          </w:p>
        </w:tc>
        <w:tc>
          <w:tcPr>
            <w:tcW w:w="1334" w:type="dxa"/>
            <w:vAlign w:val="center"/>
          </w:tcPr>
          <w:p w:rsidR="00BC07F0" w:rsidRDefault="00073EFB">
            <w:pPr>
              <w:pStyle w:val="a7"/>
              <w:rPr>
                <w:rFonts w:hint="default"/>
              </w:rPr>
            </w:pPr>
            <w:r>
              <w:t>0.225</w:t>
            </w:r>
          </w:p>
        </w:tc>
        <w:tc>
          <w:tcPr>
            <w:tcW w:w="1340" w:type="dxa"/>
            <w:vAlign w:val="center"/>
          </w:tcPr>
          <w:p w:rsidR="00BC07F0" w:rsidRDefault="00073EFB">
            <w:pPr>
              <w:pStyle w:val="a7"/>
              <w:rPr>
                <w:rFonts w:hint="default"/>
              </w:rPr>
            </w:pPr>
            <w:r>
              <w:t>0.11</w:t>
            </w:r>
          </w:p>
        </w:tc>
        <w:tc>
          <w:tcPr>
            <w:tcW w:w="1212" w:type="dxa"/>
            <w:vAlign w:val="center"/>
          </w:tcPr>
          <w:p w:rsidR="00BC07F0" w:rsidRDefault="00073EFB">
            <w:pPr>
              <w:pStyle w:val="a7"/>
              <w:rPr>
                <w:rFonts w:hint="default"/>
              </w:rPr>
            </w:pPr>
            <w:r>
              <w:t>≤</w:t>
            </w:r>
            <w:r>
              <w:t>1.0</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总磷</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0.06</w:t>
            </w:r>
          </w:p>
        </w:tc>
        <w:tc>
          <w:tcPr>
            <w:tcW w:w="1334" w:type="dxa"/>
            <w:vAlign w:val="center"/>
          </w:tcPr>
          <w:p w:rsidR="00BC07F0" w:rsidRDefault="00073EFB">
            <w:pPr>
              <w:pStyle w:val="a7"/>
              <w:rPr>
                <w:rFonts w:hint="default"/>
              </w:rPr>
            </w:pPr>
            <w:r>
              <w:t>0.11</w:t>
            </w:r>
          </w:p>
        </w:tc>
        <w:tc>
          <w:tcPr>
            <w:tcW w:w="1340" w:type="dxa"/>
            <w:vAlign w:val="center"/>
          </w:tcPr>
          <w:p w:rsidR="00BC07F0" w:rsidRDefault="00073EFB">
            <w:pPr>
              <w:pStyle w:val="a7"/>
              <w:rPr>
                <w:rFonts w:hint="default"/>
              </w:rPr>
            </w:pPr>
            <w:r>
              <w:t>0.11</w:t>
            </w:r>
          </w:p>
        </w:tc>
        <w:tc>
          <w:tcPr>
            <w:tcW w:w="1212" w:type="dxa"/>
            <w:vAlign w:val="center"/>
          </w:tcPr>
          <w:p w:rsidR="00BC07F0" w:rsidRDefault="00073EFB">
            <w:pPr>
              <w:pStyle w:val="a7"/>
              <w:rPr>
                <w:rFonts w:hint="default"/>
              </w:rPr>
            </w:pPr>
            <w:r>
              <w:t>≤</w:t>
            </w:r>
            <w:r>
              <w:t>0.</w:t>
            </w:r>
            <w:r>
              <w:t>2</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石油类</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0.02</w:t>
            </w:r>
          </w:p>
        </w:tc>
        <w:tc>
          <w:tcPr>
            <w:tcW w:w="1334" w:type="dxa"/>
            <w:vAlign w:val="center"/>
          </w:tcPr>
          <w:p w:rsidR="00BC07F0" w:rsidRDefault="00073EFB">
            <w:pPr>
              <w:pStyle w:val="a7"/>
              <w:rPr>
                <w:rFonts w:hint="default"/>
              </w:rPr>
            </w:pPr>
            <w:r>
              <w:t>0.03</w:t>
            </w:r>
          </w:p>
        </w:tc>
        <w:tc>
          <w:tcPr>
            <w:tcW w:w="1340" w:type="dxa"/>
            <w:vAlign w:val="center"/>
          </w:tcPr>
          <w:p w:rsidR="00BC07F0" w:rsidRDefault="00073EFB">
            <w:pPr>
              <w:pStyle w:val="a7"/>
              <w:rPr>
                <w:rFonts w:hint="default"/>
              </w:rPr>
            </w:pPr>
            <w:r>
              <w:t>0.01</w:t>
            </w:r>
          </w:p>
        </w:tc>
        <w:tc>
          <w:tcPr>
            <w:tcW w:w="1212" w:type="dxa"/>
            <w:vAlign w:val="center"/>
          </w:tcPr>
          <w:p w:rsidR="00BC07F0" w:rsidRDefault="00073EFB">
            <w:pPr>
              <w:pStyle w:val="a7"/>
              <w:rPr>
                <w:rFonts w:hint="default"/>
              </w:rPr>
            </w:pPr>
            <w:r>
              <w:t>≤</w:t>
            </w:r>
            <w:r>
              <w:t>0.05</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粪大肠杆菌群</w:t>
            </w:r>
          </w:p>
        </w:tc>
        <w:tc>
          <w:tcPr>
            <w:tcW w:w="1030" w:type="dxa"/>
            <w:vAlign w:val="center"/>
          </w:tcPr>
          <w:p w:rsidR="00BC07F0" w:rsidRDefault="00073EFB">
            <w:pPr>
              <w:pStyle w:val="a7"/>
              <w:rPr>
                <w:rFonts w:hint="default"/>
              </w:rPr>
            </w:pPr>
            <w:r>
              <w:t>MPN/L</w:t>
            </w:r>
          </w:p>
        </w:tc>
        <w:tc>
          <w:tcPr>
            <w:tcW w:w="1334" w:type="dxa"/>
            <w:vAlign w:val="center"/>
          </w:tcPr>
          <w:p w:rsidR="00BC07F0" w:rsidRDefault="00073EFB">
            <w:pPr>
              <w:pStyle w:val="a7"/>
              <w:rPr>
                <w:rFonts w:hint="default"/>
              </w:rPr>
            </w:pPr>
            <w:r>
              <w:t>1400</w:t>
            </w:r>
          </w:p>
        </w:tc>
        <w:tc>
          <w:tcPr>
            <w:tcW w:w="1334" w:type="dxa"/>
            <w:vAlign w:val="center"/>
          </w:tcPr>
          <w:p w:rsidR="00BC07F0" w:rsidRDefault="00073EFB">
            <w:pPr>
              <w:pStyle w:val="a7"/>
              <w:rPr>
                <w:rFonts w:hint="default"/>
              </w:rPr>
            </w:pPr>
            <w:r>
              <w:t>1100</w:t>
            </w:r>
          </w:p>
        </w:tc>
        <w:tc>
          <w:tcPr>
            <w:tcW w:w="1340" w:type="dxa"/>
            <w:vAlign w:val="center"/>
          </w:tcPr>
          <w:p w:rsidR="00BC07F0" w:rsidRDefault="00073EFB">
            <w:pPr>
              <w:pStyle w:val="a7"/>
              <w:rPr>
                <w:rFonts w:hint="default"/>
              </w:rPr>
            </w:pPr>
            <w:r>
              <w:t>1300</w:t>
            </w:r>
          </w:p>
        </w:tc>
        <w:tc>
          <w:tcPr>
            <w:tcW w:w="1212" w:type="dxa"/>
            <w:vAlign w:val="center"/>
          </w:tcPr>
          <w:p w:rsidR="00BC07F0" w:rsidRDefault="00073EFB">
            <w:pPr>
              <w:pStyle w:val="a7"/>
              <w:rPr>
                <w:rFonts w:hint="default"/>
              </w:rPr>
            </w:pPr>
            <w:r>
              <w:t>10000</w:t>
            </w:r>
          </w:p>
        </w:tc>
      </w:tr>
      <w:tr w:rsidR="00BC07F0">
        <w:trPr>
          <w:trHeight w:val="397"/>
          <w:jc w:val="center"/>
        </w:trPr>
        <w:tc>
          <w:tcPr>
            <w:tcW w:w="552" w:type="pct"/>
            <w:vMerge/>
            <w:vAlign w:val="center"/>
          </w:tcPr>
          <w:p w:rsidR="00BC07F0" w:rsidRDefault="00BC07F0">
            <w:pPr>
              <w:pStyle w:val="a7"/>
              <w:rPr>
                <w:rFonts w:hint="default"/>
              </w:rPr>
            </w:pPr>
          </w:p>
        </w:tc>
        <w:tc>
          <w:tcPr>
            <w:tcW w:w="1842" w:type="dxa"/>
            <w:vAlign w:val="center"/>
          </w:tcPr>
          <w:p w:rsidR="00BC07F0" w:rsidRDefault="00073EFB">
            <w:pPr>
              <w:pStyle w:val="a7"/>
              <w:rPr>
                <w:rFonts w:hint="default"/>
              </w:rPr>
            </w:pPr>
            <w:r>
              <w:t>溶解氧</w:t>
            </w:r>
          </w:p>
        </w:tc>
        <w:tc>
          <w:tcPr>
            <w:tcW w:w="1030" w:type="dxa"/>
            <w:vAlign w:val="center"/>
          </w:tcPr>
          <w:p w:rsidR="00BC07F0" w:rsidRDefault="00073EFB">
            <w:pPr>
              <w:pStyle w:val="a7"/>
              <w:rPr>
                <w:rFonts w:hint="default"/>
              </w:rPr>
            </w:pPr>
            <w:r>
              <w:t>mg/L</w:t>
            </w:r>
          </w:p>
        </w:tc>
        <w:tc>
          <w:tcPr>
            <w:tcW w:w="1334" w:type="dxa"/>
            <w:vAlign w:val="center"/>
          </w:tcPr>
          <w:p w:rsidR="00BC07F0" w:rsidRDefault="00073EFB">
            <w:pPr>
              <w:pStyle w:val="a7"/>
              <w:rPr>
                <w:rFonts w:hint="default"/>
              </w:rPr>
            </w:pPr>
            <w:r>
              <w:t>5.7</w:t>
            </w:r>
          </w:p>
        </w:tc>
        <w:tc>
          <w:tcPr>
            <w:tcW w:w="1334" w:type="dxa"/>
            <w:vAlign w:val="center"/>
          </w:tcPr>
          <w:p w:rsidR="00BC07F0" w:rsidRDefault="00073EFB">
            <w:pPr>
              <w:pStyle w:val="a7"/>
              <w:rPr>
                <w:rFonts w:hint="default"/>
              </w:rPr>
            </w:pPr>
            <w:r>
              <w:t>6.2</w:t>
            </w:r>
          </w:p>
        </w:tc>
        <w:tc>
          <w:tcPr>
            <w:tcW w:w="1340" w:type="dxa"/>
            <w:vAlign w:val="center"/>
          </w:tcPr>
          <w:p w:rsidR="00BC07F0" w:rsidRDefault="00073EFB">
            <w:pPr>
              <w:pStyle w:val="a7"/>
              <w:rPr>
                <w:rFonts w:hint="default"/>
              </w:rPr>
            </w:pPr>
            <w:r>
              <w:t>5.5</w:t>
            </w:r>
          </w:p>
        </w:tc>
        <w:tc>
          <w:tcPr>
            <w:tcW w:w="1212" w:type="dxa"/>
            <w:vAlign w:val="center"/>
          </w:tcPr>
          <w:p w:rsidR="00BC07F0" w:rsidRDefault="00073EFB">
            <w:pPr>
              <w:pStyle w:val="a7"/>
              <w:rPr>
                <w:rFonts w:hint="default"/>
              </w:rPr>
            </w:pPr>
            <w:r>
              <w:t>≥</w:t>
            </w:r>
            <w:r>
              <w:t>5</w:t>
            </w:r>
          </w:p>
        </w:tc>
      </w:tr>
    </w:tbl>
    <w:p w:rsidR="00BC07F0" w:rsidRDefault="00073EFB" w:rsidP="00C55F5E">
      <w:pPr>
        <w:ind w:firstLine="480"/>
      </w:pPr>
      <w:r>
        <w:t>由上表可知，</w:t>
      </w:r>
      <w:r>
        <w:t>S1</w:t>
      </w:r>
      <w:r>
        <w:t>幸福河断面、</w:t>
      </w:r>
      <w:r>
        <w:t>S2</w:t>
      </w:r>
      <w:r>
        <w:t>幸福河入湘江口下游</w:t>
      </w:r>
      <w:r>
        <w:t>600m</w:t>
      </w:r>
      <w:r>
        <w:t>、</w:t>
      </w:r>
      <w:r>
        <w:t>S3</w:t>
      </w:r>
      <w:r>
        <w:t>江东水厂取水口上游</w:t>
      </w:r>
      <w:r>
        <w:t>1200m</w:t>
      </w:r>
      <w:r>
        <w:t>湘江断面、</w:t>
      </w:r>
      <w:r>
        <w:t>S4</w:t>
      </w:r>
      <w:r>
        <w:t>江东水厂取水口下游</w:t>
      </w:r>
      <w:r>
        <w:t>500m</w:t>
      </w:r>
      <w:r>
        <w:t>湘江断面、</w:t>
      </w:r>
      <w:r>
        <w:t>S5</w:t>
      </w:r>
      <w:r>
        <w:t>日月湖地表水检测点位各检测因子均未超出《地表水环境质量标准》（</w:t>
      </w:r>
      <w:r>
        <w:t>GB3838-2002</w:t>
      </w:r>
      <w:r>
        <w:t>）</w:t>
      </w:r>
      <w:r>
        <w:t>Ⅲ</w:t>
      </w:r>
      <w:r>
        <w:t>类标准。</w:t>
      </w:r>
    </w:p>
    <w:p w:rsidR="00BC07F0" w:rsidRDefault="00073EFB">
      <w:pPr>
        <w:pStyle w:val="1"/>
      </w:pPr>
      <w:r>
        <w:br w:type="page"/>
      </w:r>
      <w:bookmarkStart w:id="199" w:name="_Toc7558"/>
      <w:bookmarkStart w:id="200" w:name="_Toc21898"/>
      <w:bookmarkStart w:id="201" w:name="_Toc12156"/>
      <w:r>
        <w:rPr>
          <w:rFonts w:hint="eastAsia"/>
        </w:rPr>
        <w:lastRenderedPageBreak/>
        <w:t>5</w:t>
      </w:r>
      <w:r>
        <w:rPr>
          <w:rFonts w:hint="eastAsia"/>
        </w:rPr>
        <w:t>环境影响预测与评价</w:t>
      </w:r>
      <w:bookmarkEnd w:id="199"/>
      <w:bookmarkEnd w:id="200"/>
      <w:bookmarkEnd w:id="201"/>
    </w:p>
    <w:p w:rsidR="00BC07F0" w:rsidRDefault="00073EFB" w:rsidP="00C55F5E">
      <w:pPr>
        <w:pStyle w:val="2"/>
        <w:ind w:firstLine="482"/>
      </w:pPr>
      <w:bookmarkStart w:id="202" w:name="_Toc9594"/>
      <w:r>
        <w:rPr>
          <w:rFonts w:hint="eastAsia"/>
        </w:rPr>
        <w:t>5.1</w:t>
      </w:r>
      <w:r>
        <w:t>评价等级确定</w:t>
      </w:r>
      <w:bookmarkEnd w:id="202"/>
    </w:p>
    <w:p w:rsidR="00BC07F0" w:rsidRDefault="00073EFB" w:rsidP="00C55F5E">
      <w:pPr>
        <w:ind w:firstLine="480"/>
      </w:pPr>
      <w:r>
        <w:t>根据《环境影响评价技术导则</w:t>
      </w:r>
      <w:r>
        <w:t>-</w:t>
      </w:r>
      <w:r>
        <w:t>地表水环境》（</w:t>
      </w:r>
      <w:r>
        <w:t>HJ2.3-2018</w:t>
      </w:r>
      <w:r>
        <w:t>），水污染影响型建设项目根据排放方式和废水排放量划分评价等级，具体见表</w:t>
      </w:r>
      <w:r>
        <w:rPr>
          <w:rFonts w:hint="eastAsia"/>
        </w:rPr>
        <w:t>6.1-1</w:t>
      </w:r>
      <w:r>
        <w:t>。</w:t>
      </w:r>
    </w:p>
    <w:p w:rsidR="00BC07F0" w:rsidRDefault="00073EFB">
      <w:pPr>
        <w:pStyle w:val="a7"/>
        <w:rPr>
          <w:rFonts w:hint="default"/>
          <w:b/>
          <w:bCs/>
        </w:rPr>
      </w:pPr>
      <w:r>
        <w:rPr>
          <w:rFonts w:hint="default"/>
          <w:b/>
          <w:bCs/>
        </w:rPr>
        <w:t>表</w:t>
      </w:r>
      <w:r>
        <w:rPr>
          <w:b/>
          <w:bCs/>
        </w:rPr>
        <w:t>6.1-1</w:t>
      </w:r>
      <w:r>
        <w:rPr>
          <w:rFonts w:hint="default"/>
          <w:b/>
          <w:bCs/>
        </w:rPr>
        <w:t>水污染影响型建设项目评价等级判定</w:t>
      </w:r>
    </w:p>
    <w:p w:rsidR="00BC07F0" w:rsidRDefault="00073EFB">
      <w:pPr>
        <w:pStyle w:val="a7"/>
        <w:rPr>
          <w:rFonts w:hint="default"/>
        </w:rPr>
      </w:pPr>
      <w:r>
        <w:rPr>
          <w:noProof/>
        </w:rPr>
        <w:drawing>
          <wp:inline distT="0" distB="0" distL="114300" distR="114300">
            <wp:extent cx="4549140" cy="1302385"/>
            <wp:effectExtent l="0" t="0" r="3810" b="12065"/>
            <wp:docPr id="43" name="图片 43" descr="8cc904014b176e18e60ca2978e0e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cc904014b176e18e60ca2978e0e802"/>
                    <pic:cNvPicPr>
                      <a:picLocks noChangeAspect="1"/>
                    </pic:cNvPicPr>
                  </pic:nvPicPr>
                  <pic:blipFill>
                    <a:blip r:embed="rId70" cstate="print"/>
                    <a:stretch>
                      <a:fillRect/>
                    </a:stretch>
                  </pic:blipFill>
                  <pic:spPr>
                    <a:xfrm>
                      <a:off x="0" y="0"/>
                      <a:ext cx="4549140" cy="1302385"/>
                    </a:xfrm>
                    <a:prstGeom prst="rect">
                      <a:avLst/>
                    </a:prstGeom>
                  </pic:spPr>
                </pic:pic>
              </a:graphicData>
            </a:graphic>
          </wp:inline>
        </w:drawing>
      </w:r>
    </w:p>
    <w:p w:rsidR="00BC07F0" w:rsidRDefault="00073EFB" w:rsidP="00C55F5E">
      <w:pPr>
        <w:ind w:firstLine="480"/>
      </w:pPr>
      <w:r>
        <w:t>本项目水污染物当量数见下表。</w:t>
      </w:r>
    </w:p>
    <w:p w:rsidR="00BC07F0" w:rsidRDefault="00073EFB">
      <w:pPr>
        <w:pStyle w:val="a7"/>
        <w:rPr>
          <w:rFonts w:hint="default"/>
          <w:b/>
          <w:bCs/>
        </w:rPr>
      </w:pPr>
      <w:r>
        <w:rPr>
          <w:rFonts w:hint="default"/>
          <w:b/>
          <w:bCs/>
        </w:rPr>
        <w:t>表</w:t>
      </w:r>
      <w:r>
        <w:rPr>
          <w:b/>
          <w:bCs/>
        </w:rPr>
        <w:t>6.1-2</w:t>
      </w:r>
      <w:r>
        <w:rPr>
          <w:rFonts w:hint="default"/>
          <w:b/>
          <w:bCs/>
        </w:rPr>
        <w:t>水污染物当量数</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6"/>
        <w:gridCol w:w="2275"/>
        <w:gridCol w:w="2477"/>
        <w:gridCol w:w="2479"/>
      </w:tblGrid>
      <w:tr w:rsidR="00BC07F0">
        <w:trPr>
          <w:trHeight w:val="397"/>
          <w:jc w:val="center"/>
        </w:trPr>
        <w:tc>
          <w:tcPr>
            <w:tcW w:w="715" w:type="pct"/>
            <w:tcBorders>
              <w:tl2br w:val="nil"/>
              <w:tr2bl w:val="nil"/>
            </w:tcBorders>
            <w:vAlign w:val="center"/>
          </w:tcPr>
          <w:p w:rsidR="00BC07F0" w:rsidRDefault="00073EFB">
            <w:pPr>
              <w:pStyle w:val="a7"/>
              <w:rPr>
                <w:rFonts w:hint="default"/>
              </w:rPr>
            </w:pPr>
            <w:r>
              <w:rPr>
                <w:rFonts w:hint="default"/>
              </w:rPr>
              <w:t>污染物</w:t>
            </w:r>
          </w:p>
        </w:tc>
        <w:tc>
          <w:tcPr>
            <w:tcW w:w="1347" w:type="pct"/>
            <w:tcBorders>
              <w:tl2br w:val="nil"/>
              <w:tr2bl w:val="nil"/>
            </w:tcBorders>
            <w:vAlign w:val="center"/>
          </w:tcPr>
          <w:p w:rsidR="00BC07F0" w:rsidRDefault="00073EFB">
            <w:pPr>
              <w:pStyle w:val="a7"/>
              <w:rPr>
                <w:rFonts w:hint="default"/>
              </w:rPr>
            </w:pPr>
            <w:r>
              <w:rPr>
                <w:rFonts w:hint="default"/>
              </w:rPr>
              <w:t>排放总量（</w:t>
            </w:r>
            <w:r>
              <w:rPr>
                <w:rFonts w:hint="default"/>
              </w:rPr>
              <w:t>kg/a</w:t>
            </w:r>
            <w:r>
              <w:rPr>
                <w:rFonts w:hint="default"/>
              </w:rPr>
              <w:t>）</w:t>
            </w:r>
          </w:p>
        </w:tc>
        <w:tc>
          <w:tcPr>
            <w:tcW w:w="1467" w:type="pct"/>
            <w:tcBorders>
              <w:tl2br w:val="nil"/>
              <w:tr2bl w:val="nil"/>
            </w:tcBorders>
            <w:vAlign w:val="center"/>
          </w:tcPr>
          <w:p w:rsidR="00BC07F0" w:rsidRDefault="00073EFB">
            <w:pPr>
              <w:pStyle w:val="a7"/>
              <w:rPr>
                <w:rFonts w:hint="default"/>
              </w:rPr>
            </w:pPr>
            <w:r>
              <w:rPr>
                <w:rFonts w:hint="default"/>
              </w:rPr>
              <w:t>污染物当量值</w:t>
            </w:r>
            <w:r>
              <w:rPr>
                <w:rFonts w:hint="default"/>
              </w:rPr>
              <w:t>/kg</w:t>
            </w:r>
          </w:p>
        </w:tc>
        <w:tc>
          <w:tcPr>
            <w:tcW w:w="1468" w:type="pct"/>
            <w:tcBorders>
              <w:tl2br w:val="nil"/>
              <w:tr2bl w:val="nil"/>
            </w:tcBorders>
            <w:vAlign w:val="center"/>
          </w:tcPr>
          <w:p w:rsidR="00BC07F0" w:rsidRDefault="00073EFB">
            <w:pPr>
              <w:pStyle w:val="a7"/>
              <w:rPr>
                <w:rFonts w:hint="default"/>
              </w:rPr>
            </w:pPr>
            <w:r>
              <w:rPr>
                <w:rFonts w:hint="default"/>
              </w:rPr>
              <w:t>当量数</w:t>
            </w:r>
            <w:r>
              <w:rPr>
                <w:rFonts w:hint="default"/>
              </w:rPr>
              <w:t>W/</w:t>
            </w:r>
            <w:r>
              <w:rPr>
                <w:rFonts w:hint="default"/>
              </w:rPr>
              <w:t>（无量纲）</w:t>
            </w:r>
          </w:p>
        </w:tc>
      </w:tr>
      <w:tr w:rsidR="00BC07F0">
        <w:trPr>
          <w:trHeight w:val="397"/>
          <w:jc w:val="center"/>
        </w:trPr>
        <w:tc>
          <w:tcPr>
            <w:tcW w:w="715" w:type="pct"/>
            <w:tcBorders>
              <w:tl2br w:val="nil"/>
              <w:tr2bl w:val="nil"/>
            </w:tcBorders>
            <w:vAlign w:val="center"/>
          </w:tcPr>
          <w:p w:rsidR="00BC07F0" w:rsidRDefault="00073EFB">
            <w:pPr>
              <w:pStyle w:val="a7"/>
              <w:rPr>
                <w:rFonts w:hint="default"/>
              </w:rPr>
            </w:pPr>
            <w:r>
              <w:rPr>
                <w:rFonts w:hint="default"/>
              </w:rPr>
              <w:t>CODcr</w:t>
            </w:r>
          </w:p>
        </w:tc>
        <w:tc>
          <w:tcPr>
            <w:tcW w:w="1347" w:type="pct"/>
            <w:tcBorders>
              <w:tl2br w:val="nil"/>
              <w:tr2bl w:val="nil"/>
            </w:tcBorders>
            <w:vAlign w:val="center"/>
          </w:tcPr>
          <w:p w:rsidR="00BC07F0" w:rsidRDefault="00073EFB">
            <w:pPr>
              <w:pStyle w:val="a7"/>
              <w:rPr>
                <w:rFonts w:hint="default"/>
              </w:rPr>
            </w:pPr>
            <w:r>
              <w:t>109500</w:t>
            </w:r>
          </w:p>
        </w:tc>
        <w:tc>
          <w:tcPr>
            <w:tcW w:w="1467" w:type="pct"/>
            <w:tcBorders>
              <w:tl2br w:val="nil"/>
              <w:tr2bl w:val="nil"/>
            </w:tcBorders>
            <w:vAlign w:val="center"/>
          </w:tcPr>
          <w:p w:rsidR="00BC07F0" w:rsidRDefault="00073EFB">
            <w:pPr>
              <w:pStyle w:val="a7"/>
              <w:rPr>
                <w:rFonts w:hint="default"/>
              </w:rPr>
            </w:pPr>
            <w:r>
              <w:rPr>
                <w:rFonts w:hint="default"/>
              </w:rPr>
              <w:t>1</w:t>
            </w:r>
          </w:p>
        </w:tc>
        <w:tc>
          <w:tcPr>
            <w:tcW w:w="1468" w:type="pct"/>
            <w:tcBorders>
              <w:tl2br w:val="nil"/>
              <w:tr2bl w:val="nil"/>
            </w:tcBorders>
            <w:vAlign w:val="center"/>
          </w:tcPr>
          <w:p w:rsidR="00BC07F0" w:rsidRDefault="00073EFB">
            <w:pPr>
              <w:pStyle w:val="a7"/>
              <w:rPr>
                <w:rFonts w:hint="default"/>
              </w:rPr>
            </w:pPr>
            <w:r>
              <w:t>109500</w:t>
            </w:r>
          </w:p>
        </w:tc>
      </w:tr>
      <w:tr w:rsidR="00BC07F0">
        <w:trPr>
          <w:trHeight w:val="397"/>
          <w:jc w:val="center"/>
        </w:trPr>
        <w:tc>
          <w:tcPr>
            <w:tcW w:w="715" w:type="pct"/>
            <w:tcBorders>
              <w:tl2br w:val="nil"/>
              <w:tr2bl w:val="nil"/>
            </w:tcBorders>
            <w:vAlign w:val="center"/>
          </w:tcPr>
          <w:p w:rsidR="00BC07F0" w:rsidRDefault="00073EFB">
            <w:pPr>
              <w:pStyle w:val="a7"/>
              <w:rPr>
                <w:rFonts w:hint="default"/>
              </w:rPr>
            </w:pPr>
            <w:r>
              <w:rPr>
                <w:rFonts w:hint="default"/>
              </w:rPr>
              <w:t>NH</w:t>
            </w:r>
            <w:r>
              <w:rPr>
                <w:rFonts w:hint="default"/>
                <w:vertAlign w:val="subscript"/>
              </w:rPr>
              <w:t>3</w:t>
            </w:r>
            <w:r>
              <w:rPr>
                <w:rFonts w:hint="default"/>
              </w:rPr>
              <w:t>-N</w:t>
            </w:r>
          </w:p>
        </w:tc>
        <w:tc>
          <w:tcPr>
            <w:tcW w:w="1347" w:type="pct"/>
            <w:tcBorders>
              <w:tl2br w:val="nil"/>
              <w:tr2bl w:val="nil"/>
            </w:tcBorders>
            <w:vAlign w:val="center"/>
          </w:tcPr>
          <w:p w:rsidR="00BC07F0" w:rsidRDefault="00073EFB">
            <w:pPr>
              <w:pStyle w:val="a7"/>
              <w:rPr>
                <w:rFonts w:hint="default"/>
              </w:rPr>
            </w:pPr>
            <w:r>
              <w:t>27375</w:t>
            </w:r>
          </w:p>
        </w:tc>
        <w:tc>
          <w:tcPr>
            <w:tcW w:w="1467" w:type="pct"/>
            <w:tcBorders>
              <w:tl2br w:val="nil"/>
              <w:tr2bl w:val="nil"/>
            </w:tcBorders>
            <w:vAlign w:val="center"/>
          </w:tcPr>
          <w:p w:rsidR="00BC07F0" w:rsidRDefault="00073EFB">
            <w:pPr>
              <w:pStyle w:val="a7"/>
              <w:rPr>
                <w:rFonts w:hint="default"/>
              </w:rPr>
            </w:pPr>
            <w:r>
              <w:rPr>
                <w:rFonts w:hint="default"/>
              </w:rPr>
              <w:t>0.8</w:t>
            </w:r>
          </w:p>
        </w:tc>
        <w:tc>
          <w:tcPr>
            <w:tcW w:w="1468" w:type="pct"/>
            <w:tcBorders>
              <w:tl2br w:val="nil"/>
              <w:tr2bl w:val="nil"/>
            </w:tcBorders>
            <w:vAlign w:val="center"/>
          </w:tcPr>
          <w:p w:rsidR="00BC07F0" w:rsidRDefault="00073EFB">
            <w:pPr>
              <w:pStyle w:val="a7"/>
              <w:rPr>
                <w:rFonts w:hint="default"/>
              </w:rPr>
            </w:pPr>
            <w:r>
              <w:t>21900</w:t>
            </w:r>
          </w:p>
        </w:tc>
      </w:tr>
    </w:tbl>
    <w:p w:rsidR="00BC07F0" w:rsidRDefault="00073EFB" w:rsidP="00C55F5E">
      <w:pPr>
        <w:ind w:firstLine="480"/>
      </w:pPr>
      <w:r>
        <w:t>本项目污水处理厂</w:t>
      </w:r>
      <w:r>
        <w:t>Q</w:t>
      </w:r>
      <w:r>
        <w:t>为</w:t>
      </w:r>
      <w:r>
        <w:rPr>
          <w:rFonts w:hint="eastAsia"/>
        </w:rPr>
        <w:t>1.5</w:t>
      </w:r>
      <w:r>
        <w:rPr>
          <w:rFonts w:hint="eastAsia"/>
        </w:rPr>
        <w:t>万</w:t>
      </w:r>
      <w:r>
        <w:t>，</w:t>
      </w:r>
      <w:r>
        <w:t>Wmax</w:t>
      </w:r>
      <w:r>
        <w:t>＜</w:t>
      </w:r>
      <w:r>
        <w:t>600000</w:t>
      </w:r>
      <w:r>
        <w:t>，污水处理厂尾水处理后满足《城镇污水处理厂污染物排放标准》（</w:t>
      </w:r>
      <w:r>
        <w:t>GB18918-2002</w:t>
      </w:r>
      <w:r>
        <w:t>）</w:t>
      </w:r>
      <w:r>
        <w:rPr>
          <w:rFonts w:hint="eastAsia"/>
        </w:rPr>
        <w:t>一级</w:t>
      </w:r>
      <w:r>
        <w:rPr>
          <w:rFonts w:hint="eastAsia"/>
        </w:rPr>
        <w:t>A</w:t>
      </w:r>
      <w:r>
        <w:t>标准排放至</w:t>
      </w:r>
      <w:r>
        <w:rPr>
          <w:rFonts w:hint="eastAsia"/>
        </w:rPr>
        <w:t>湘江</w:t>
      </w:r>
      <w:r>
        <w:t>，因此本项目地表水评价等级为二级。</w:t>
      </w:r>
    </w:p>
    <w:p w:rsidR="00BC07F0" w:rsidRDefault="00073EFB" w:rsidP="00C55F5E">
      <w:pPr>
        <w:pStyle w:val="2"/>
        <w:ind w:firstLine="482"/>
      </w:pPr>
      <w:bookmarkStart w:id="203" w:name="_Toc23056"/>
      <w:r>
        <w:rPr>
          <w:rFonts w:hint="eastAsia"/>
        </w:rPr>
        <w:t>5.2</w:t>
      </w:r>
      <w:r>
        <w:t>水污染物削减与减排产生的环境效益</w:t>
      </w:r>
      <w:bookmarkEnd w:id="203"/>
    </w:p>
    <w:p w:rsidR="00BC07F0" w:rsidRDefault="00073EFB" w:rsidP="00C55F5E">
      <w:pPr>
        <w:ind w:firstLine="480"/>
      </w:pPr>
      <w:r>
        <w:rPr>
          <w:rFonts w:hint="eastAsia"/>
        </w:rPr>
        <w:t>铜桥港污水处理厂</w:t>
      </w:r>
      <w:r>
        <w:t>收集</w:t>
      </w:r>
      <w:r>
        <w:rPr>
          <w:rFonts w:hint="eastAsia"/>
        </w:rPr>
        <w:t>纳污</w:t>
      </w:r>
      <w:r>
        <w:t>区域污水集中</w:t>
      </w:r>
      <w:r>
        <w:rPr>
          <w:rFonts w:hint="eastAsia"/>
        </w:rPr>
        <w:t>深度</w:t>
      </w:r>
      <w:r>
        <w:t>处理达到《城镇污水处理厂污染物排放标准》（</w:t>
      </w:r>
      <w:r>
        <w:t>GB18918-2002</w:t>
      </w:r>
      <w:r>
        <w:t>）及其修改单表</w:t>
      </w:r>
      <w:r>
        <w:t>1</w:t>
      </w:r>
      <w:r>
        <w:t>中一级标准</w:t>
      </w:r>
      <w:r>
        <w:rPr>
          <w:rFonts w:hint="eastAsia"/>
        </w:rPr>
        <w:t>A</w:t>
      </w:r>
      <w:r>
        <w:rPr>
          <w:rFonts w:hint="eastAsia"/>
        </w:rPr>
        <w:t>标</w:t>
      </w:r>
      <w:r>
        <w:t>准后</w:t>
      </w:r>
      <w:r>
        <w:rPr>
          <w:rFonts w:hint="eastAsia"/>
        </w:rPr>
        <w:t>先排入铜桥港湿地公园（</w:t>
      </w:r>
      <w:r>
        <w:t>洪水期污水厂尾水不排入湿地</w:t>
      </w:r>
      <w:r>
        <w:t>排入</w:t>
      </w:r>
      <w:r>
        <w:rPr>
          <w:rFonts w:hint="eastAsia"/>
        </w:rPr>
        <w:t>湘江）</w:t>
      </w:r>
      <w:r>
        <w:t>，</w:t>
      </w:r>
      <w:r>
        <w:rPr>
          <w:rFonts w:hint="eastAsia"/>
        </w:rPr>
        <w:t>后排入湘江</w:t>
      </w:r>
      <w:r>
        <w:t>。根据项目建设规模和</w:t>
      </w:r>
      <w:r>
        <w:rPr>
          <w:rFonts w:hint="eastAsia"/>
        </w:rPr>
        <w:t>污水处理厂</w:t>
      </w:r>
      <w:r>
        <w:t>的进出水设计水质，本项目建成后，污染物的削减量及排放量见</w:t>
      </w:r>
      <w:r>
        <w:rPr>
          <w:rFonts w:hint="eastAsia"/>
        </w:rPr>
        <w:t>下表</w:t>
      </w:r>
      <w:r>
        <w:t>。</w:t>
      </w:r>
    </w:p>
    <w:p w:rsidR="00BC07F0" w:rsidRDefault="00073EFB">
      <w:pPr>
        <w:pStyle w:val="a7"/>
        <w:rPr>
          <w:rFonts w:hint="default"/>
          <w:b/>
          <w:bCs/>
        </w:rPr>
      </w:pPr>
      <w:r>
        <w:rPr>
          <w:rFonts w:hint="default"/>
          <w:b/>
          <w:bCs/>
        </w:rPr>
        <w:t>表</w:t>
      </w:r>
      <w:r>
        <w:rPr>
          <w:b/>
          <w:bCs/>
        </w:rPr>
        <w:t>6.2-1</w:t>
      </w:r>
      <w:r>
        <w:rPr>
          <w:rFonts w:hint="default"/>
          <w:b/>
          <w:bCs/>
        </w:rPr>
        <w:t>污水处理厂污染物削减量表单位：</w:t>
      </w:r>
      <w:r>
        <w:rPr>
          <w:rFonts w:hint="default"/>
          <w:b/>
          <w:bCs/>
        </w:rPr>
        <w:t>t/a</w:t>
      </w:r>
    </w:p>
    <w:tbl>
      <w:tblPr>
        <w:tblW w:w="495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324"/>
        <w:gridCol w:w="1319"/>
        <w:gridCol w:w="1324"/>
        <w:gridCol w:w="1251"/>
        <w:gridCol w:w="1076"/>
        <w:gridCol w:w="1233"/>
        <w:gridCol w:w="910"/>
      </w:tblGrid>
      <w:tr w:rsidR="00BC07F0">
        <w:trPr>
          <w:trHeight w:val="397"/>
          <w:jc w:val="center"/>
        </w:trPr>
        <w:tc>
          <w:tcPr>
            <w:tcW w:w="784" w:type="pct"/>
            <w:tcBorders>
              <w:top w:val="single" w:sz="4" w:space="0" w:color="auto"/>
              <w:left w:val="single" w:sz="4" w:space="0" w:color="auto"/>
            </w:tcBorders>
            <w:vAlign w:val="center"/>
          </w:tcPr>
          <w:p w:rsidR="00BC07F0" w:rsidRDefault="00073EFB">
            <w:pPr>
              <w:pStyle w:val="a7"/>
              <w:rPr>
                <w:rFonts w:hint="default"/>
              </w:rPr>
            </w:pPr>
            <w:r>
              <w:rPr>
                <w:rFonts w:hint="default"/>
              </w:rPr>
              <w:t>项目</w:t>
            </w:r>
          </w:p>
        </w:tc>
        <w:tc>
          <w:tcPr>
            <w:tcW w:w="781" w:type="pct"/>
            <w:tcBorders>
              <w:top w:val="single" w:sz="4" w:space="0" w:color="auto"/>
            </w:tcBorders>
            <w:vAlign w:val="center"/>
          </w:tcPr>
          <w:p w:rsidR="00BC07F0" w:rsidRDefault="00073EFB">
            <w:pPr>
              <w:pStyle w:val="a7"/>
              <w:rPr>
                <w:rFonts w:hint="default"/>
              </w:rPr>
            </w:pPr>
            <w:r>
              <w:rPr>
                <w:rFonts w:hint="default"/>
              </w:rPr>
              <w:t>CODCr</w:t>
            </w:r>
          </w:p>
        </w:tc>
        <w:tc>
          <w:tcPr>
            <w:tcW w:w="784" w:type="pct"/>
            <w:tcBorders>
              <w:top w:val="single" w:sz="4" w:space="0" w:color="auto"/>
            </w:tcBorders>
            <w:vAlign w:val="center"/>
          </w:tcPr>
          <w:p w:rsidR="00BC07F0" w:rsidRDefault="00073EFB">
            <w:pPr>
              <w:pStyle w:val="a7"/>
              <w:rPr>
                <w:rFonts w:hint="default"/>
              </w:rPr>
            </w:pPr>
            <w:r>
              <w:rPr>
                <w:rFonts w:hint="default"/>
              </w:rPr>
              <w:t>BOD5</w:t>
            </w:r>
          </w:p>
        </w:tc>
        <w:tc>
          <w:tcPr>
            <w:tcW w:w="741" w:type="pct"/>
            <w:tcBorders>
              <w:top w:val="single" w:sz="4" w:space="0" w:color="auto"/>
            </w:tcBorders>
            <w:vAlign w:val="center"/>
          </w:tcPr>
          <w:p w:rsidR="00BC07F0" w:rsidRDefault="00073EFB">
            <w:pPr>
              <w:pStyle w:val="a7"/>
              <w:rPr>
                <w:rFonts w:hint="default"/>
              </w:rPr>
            </w:pPr>
            <w:r>
              <w:rPr>
                <w:rFonts w:hint="default"/>
              </w:rPr>
              <w:t>SS</w:t>
            </w:r>
          </w:p>
        </w:tc>
        <w:tc>
          <w:tcPr>
            <w:tcW w:w="637" w:type="pct"/>
            <w:tcBorders>
              <w:top w:val="single" w:sz="4" w:space="0" w:color="auto"/>
            </w:tcBorders>
            <w:vAlign w:val="center"/>
          </w:tcPr>
          <w:p w:rsidR="00BC07F0" w:rsidRDefault="00073EFB">
            <w:pPr>
              <w:pStyle w:val="a7"/>
              <w:rPr>
                <w:rFonts w:hint="default"/>
              </w:rPr>
            </w:pPr>
            <w:r>
              <w:rPr>
                <w:rFonts w:hint="default"/>
              </w:rPr>
              <w:t>TN</w:t>
            </w:r>
          </w:p>
        </w:tc>
        <w:tc>
          <w:tcPr>
            <w:tcW w:w="730" w:type="pct"/>
            <w:tcBorders>
              <w:top w:val="single" w:sz="4" w:space="0" w:color="auto"/>
            </w:tcBorders>
            <w:vAlign w:val="center"/>
          </w:tcPr>
          <w:p w:rsidR="00BC07F0" w:rsidRDefault="00073EFB">
            <w:pPr>
              <w:pStyle w:val="a7"/>
              <w:rPr>
                <w:rFonts w:hint="default"/>
              </w:rPr>
            </w:pPr>
            <w:r>
              <w:rPr>
                <w:rFonts w:hint="default"/>
              </w:rPr>
              <w:t>NH</w:t>
            </w:r>
            <w:r>
              <w:rPr>
                <w:rFonts w:hint="default"/>
                <w:vertAlign w:val="subscript"/>
              </w:rPr>
              <w:t>3</w:t>
            </w:r>
            <w:r>
              <w:rPr>
                <w:rFonts w:hint="default"/>
              </w:rPr>
              <w:t>-N</w:t>
            </w:r>
          </w:p>
        </w:tc>
        <w:tc>
          <w:tcPr>
            <w:tcW w:w="538" w:type="pct"/>
            <w:tcBorders>
              <w:top w:val="single" w:sz="4" w:space="0" w:color="auto"/>
              <w:right w:val="single" w:sz="4" w:space="0" w:color="auto"/>
            </w:tcBorders>
            <w:vAlign w:val="center"/>
          </w:tcPr>
          <w:p w:rsidR="00BC07F0" w:rsidRDefault="00073EFB">
            <w:pPr>
              <w:pStyle w:val="a7"/>
              <w:rPr>
                <w:rFonts w:hint="default"/>
              </w:rPr>
            </w:pPr>
            <w:r>
              <w:rPr>
                <w:rFonts w:hint="default"/>
              </w:rPr>
              <w:t>TP</w:t>
            </w:r>
          </w:p>
        </w:tc>
      </w:tr>
      <w:tr w:rsidR="00BC07F0">
        <w:trPr>
          <w:trHeight w:val="397"/>
          <w:jc w:val="center"/>
        </w:trPr>
        <w:tc>
          <w:tcPr>
            <w:tcW w:w="784" w:type="pct"/>
            <w:tcBorders>
              <w:left w:val="single" w:sz="4" w:space="0" w:color="auto"/>
            </w:tcBorders>
            <w:vAlign w:val="center"/>
          </w:tcPr>
          <w:p w:rsidR="00BC07F0" w:rsidRDefault="00073EFB">
            <w:pPr>
              <w:pStyle w:val="a7"/>
              <w:rPr>
                <w:rFonts w:hint="default"/>
              </w:rPr>
            </w:pPr>
            <w:r>
              <w:rPr>
                <w:rFonts w:hint="default"/>
              </w:rPr>
              <w:t>产生量</w:t>
            </w:r>
            <w:r>
              <w:rPr>
                <w:rFonts w:hint="default"/>
              </w:rPr>
              <w:t>(t/a)</w:t>
            </w:r>
          </w:p>
        </w:tc>
        <w:tc>
          <w:tcPr>
            <w:tcW w:w="781" w:type="pct"/>
            <w:vAlign w:val="center"/>
          </w:tcPr>
          <w:p w:rsidR="00BC07F0" w:rsidRDefault="00073EFB">
            <w:pPr>
              <w:pStyle w:val="a7"/>
              <w:rPr>
                <w:rFonts w:hint="default"/>
              </w:rPr>
            </w:pPr>
            <w:r>
              <w:t>547.5</w:t>
            </w:r>
          </w:p>
        </w:tc>
        <w:tc>
          <w:tcPr>
            <w:tcW w:w="784" w:type="pct"/>
            <w:vAlign w:val="center"/>
          </w:tcPr>
          <w:p w:rsidR="00BC07F0" w:rsidRDefault="00073EFB">
            <w:pPr>
              <w:pStyle w:val="a7"/>
              <w:rPr>
                <w:rFonts w:hint="default"/>
              </w:rPr>
            </w:pPr>
            <w:r>
              <w:t>255.5</w:t>
            </w:r>
          </w:p>
        </w:tc>
        <w:tc>
          <w:tcPr>
            <w:tcW w:w="741" w:type="pct"/>
            <w:vAlign w:val="center"/>
          </w:tcPr>
          <w:p w:rsidR="00BC07F0" w:rsidRDefault="00073EFB">
            <w:pPr>
              <w:pStyle w:val="a7"/>
              <w:rPr>
                <w:rFonts w:hint="default"/>
              </w:rPr>
            </w:pPr>
            <w:r>
              <w:t>547.5</w:t>
            </w:r>
          </w:p>
        </w:tc>
        <w:tc>
          <w:tcPr>
            <w:tcW w:w="637" w:type="pct"/>
            <w:vAlign w:val="center"/>
          </w:tcPr>
          <w:p w:rsidR="00BC07F0" w:rsidRDefault="00073EFB">
            <w:pPr>
              <w:pStyle w:val="a7"/>
              <w:rPr>
                <w:rFonts w:hint="default"/>
              </w:rPr>
            </w:pPr>
            <w:r>
              <w:t>63.875</w:t>
            </w:r>
          </w:p>
        </w:tc>
        <w:tc>
          <w:tcPr>
            <w:tcW w:w="730" w:type="pct"/>
            <w:vAlign w:val="center"/>
          </w:tcPr>
          <w:p w:rsidR="00BC07F0" w:rsidRDefault="00073EFB">
            <w:pPr>
              <w:pStyle w:val="a7"/>
              <w:rPr>
                <w:rFonts w:hint="default"/>
              </w:rPr>
            </w:pPr>
            <w:r>
              <w:t>54.75</w:t>
            </w:r>
          </w:p>
        </w:tc>
        <w:tc>
          <w:tcPr>
            <w:tcW w:w="538" w:type="pct"/>
            <w:tcBorders>
              <w:right w:val="single" w:sz="4" w:space="0" w:color="auto"/>
            </w:tcBorders>
            <w:vAlign w:val="center"/>
          </w:tcPr>
          <w:p w:rsidR="00BC07F0" w:rsidRDefault="00073EFB">
            <w:pPr>
              <w:pStyle w:val="a7"/>
              <w:rPr>
                <w:rFonts w:hint="default"/>
              </w:rPr>
            </w:pPr>
            <w:r>
              <w:t>7.3</w:t>
            </w:r>
          </w:p>
        </w:tc>
      </w:tr>
      <w:tr w:rsidR="00BC07F0">
        <w:trPr>
          <w:trHeight w:val="397"/>
          <w:jc w:val="center"/>
        </w:trPr>
        <w:tc>
          <w:tcPr>
            <w:tcW w:w="784" w:type="pct"/>
            <w:tcBorders>
              <w:left w:val="single" w:sz="4" w:space="0" w:color="auto"/>
            </w:tcBorders>
            <w:vAlign w:val="center"/>
          </w:tcPr>
          <w:p w:rsidR="00BC07F0" w:rsidRDefault="00073EFB">
            <w:pPr>
              <w:pStyle w:val="a7"/>
              <w:rPr>
                <w:rFonts w:hint="default"/>
              </w:rPr>
            </w:pPr>
            <w:r>
              <w:rPr>
                <w:rFonts w:hint="default"/>
              </w:rPr>
              <w:t>排放量</w:t>
            </w:r>
            <w:r>
              <w:rPr>
                <w:rFonts w:hint="default"/>
              </w:rPr>
              <w:t>(t/a)</w:t>
            </w:r>
          </w:p>
        </w:tc>
        <w:tc>
          <w:tcPr>
            <w:tcW w:w="781" w:type="pct"/>
            <w:vAlign w:val="center"/>
          </w:tcPr>
          <w:p w:rsidR="00BC07F0" w:rsidRDefault="00073EFB">
            <w:pPr>
              <w:pStyle w:val="a7"/>
              <w:rPr>
                <w:rFonts w:hint="default"/>
              </w:rPr>
            </w:pPr>
            <w:r>
              <w:t>109.5</w:t>
            </w:r>
          </w:p>
        </w:tc>
        <w:tc>
          <w:tcPr>
            <w:tcW w:w="784" w:type="pct"/>
            <w:vAlign w:val="center"/>
          </w:tcPr>
          <w:p w:rsidR="00BC07F0" w:rsidRDefault="00073EFB">
            <w:pPr>
              <w:pStyle w:val="a7"/>
              <w:rPr>
                <w:rFonts w:hint="default"/>
              </w:rPr>
            </w:pPr>
            <w:r>
              <w:t>36.5</w:t>
            </w:r>
          </w:p>
        </w:tc>
        <w:tc>
          <w:tcPr>
            <w:tcW w:w="741" w:type="pct"/>
            <w:vAlign w:val="center"/>
          </w:tcPr>
          <w:p w:rsidR="00BC07F0" w:rsidRDefault="00073EFB">
            <w:pPr>
              <w:pStyle w:val="a7"/>
              <w:rPr>
                <w:rFonts w:hint="default"/>
              </w:rPr>
            </w:pPr>
            <w:r>
              <w:t>36.5</w:t>
            </w:r>
          </w:p>
        </w:tc>
        <w:tc>
          <w:tcPr>
            <w:tcW w:w="637" w:type="pct"/>
            <w:vAlign w:val="center"/>
          </w:tcPr>
          <w:p w:rsidR="00BC07F0" w:rsidRDefault="00073EFB">
            <w:pPr>
              <w:pStyle w:val="a7"/>
              <w:rPr>
                <w:rFonts w:hint="default"/>
              </w:rPr>
            </w:pPr>
            <w:r>
              <w:t>36.5</w:t>
            </w:r>
          </w:p>
        </w:tc>
        <w:tc>
          <w:tcPr>
            <w:tcW w:w="730" w:type="pct"/>
            <w:vAlign w:val="center"/>
          </w:tcPr>
          <w:p w:rsidR="00BC07F0" w:rsidRDefault="00073EFB">
            <w:pPr>
              <w:pStyle w:val="a7"/>
              <w:rPr>
                <w:rFonts w:hint="default"/>
              </w:rPr>
            </w:pPr>
            <w:r>
              <w:t>27.375</w:t>
            </w:r>
          </w:p>
        </w:tc>
        <w:tc>
          <w:tcPr>
            <w:tcW w:w="538" w:type="pct"/>
            <w:tcBorders>
              <w:right w:val="single" w:sz="4" w:space="0" w:color="auto"/>
            </w:tcBorders>
            <w:vAlign w:val="center"/>
          </w:tcPr>
          <w:p w:rsidR="00BC07F0" w:rsidRDefault="00073EFB">
            <w:pPr>
              <w:pStyle w:val="a7"/>
              <w:rPr>
                <w:rFonts w:hint="default"/>
              </w:rPr>
            </w:pPr>
            <w:r>
              <w:t>1.825</w:t>
            </w:r>
          </w:p>
        </w:tc>
      </w:tr>
      <w:tr w:rsidR="00BC07F0">
        <w:trPr>
          <w:trHeight w:val="397"/>
          <w:jc w:val="center"/>
        </w:trPr>
        <w:tc>
          <w:tcPr>
            <w:tcW w:w="784" w:type="pct"/>
            <w:tcBorders>
              <w:left w:val="single" w:sz="4" w:space="0" w:color="auto"/>
              <w:bottom w:val="single" w:sz="4" w:space="0" w:color="auto"/>
            </w:tcBorders>
            <w:vAlign w:val="center"/>
          </w:tcPr>
          <w:p w:rsidR="00BC07F0" w:rsidRDefault="00073EFB">
            <w:pPr>
              <w:pStyle w:val="a7"/>
              <w:rPr>
                <w:rFonts w:hint="default"/>
              </w:rPr>
            </w:pPr>
            <w:r>
              <w:rPr>
                <w:rFonts w:hint="default"/>
              </w:rPr>
              <w:t>削减量</w:t>
            </w:r>
            <w:r>
              <w:rPr>
                <w:rFonts w:hint="default"/>
              </w:rPr>
              <w:t>(t/a)</w:t>
            </w:r>
          </w:p>
        </w:tc>
        <w:tc>
          <w:tcPr>
            <w:tcW w:w="781" w:type="pct"/>
            <w:tcBorders>
              <w:bottom w:val="single" w:sz="4" w:space="0" w:color="auto"/>
            </w:tcBorders>
            <w:vAlign w:val="center"/>
          </w:tcPr>
          <w:p w:rsidR="00BC07F0" w:rsidRDefault="00073EFB">
            <w:pPr>
              <w:pStyle w:val="a7"/>
              <w:rPr>
                <w:rFonts w:hint="default"/>
              </w:rPr>
            </w:pPr>
            <w:r>
              <w:t>438</w:t>
            </w:r>
          </w:p>
        </w:tc>
        <w:tc>
          <w:tcPr>
            <w:tcW w:w="784" w:type="pct"/>
            <w:tcBorders>
              <w:bottom w:val="single" w:sz="4" w:space="0" w:color="auto"/>
            </w:tcBorders>
            <w:vAlign w:val="center"/>
          </w:tcPr>
          <w:p w:rsidR="00BC07F0" w:rsidRDefault="00073EFB">
            <w:pPr>
              <w:pStyle w:val="a7"/>
              <w:rPr>
                <w:rFonts w:hint="default"/>
              </w:rPr>
            </w:pPr>
            <w:r>
              <w:t>219</w:t>
            </w:r>
          </w:p>
        </w:tc>
        <w:tc>
          <w:tcPr>
            <w:tcW w:w="741" w:type="pct"/>
            <w:tcBorders>
              <w:bottom w:val="single" w:sz="4" w:space="0" w:color="auto"/>
            </w:tcBorders>
            <w:vAlign w:val="center"/>
          </w:tcPr>
          <w:p w:rsidR="00BC07F0" w:rsidRDefault="00073EFB">
            <w:pPr>
              <w:pStyle w:val="a7"/>
              <w:rPr>
                <w:rFonts w:hint="default"/>
              </w:rPr>
            </w:pPr>
            <w:r>
              <w:t>511</w:t>
            </w:r>
          </w:p>
        </w:tc>
        <w:tc>
          <w:tcPr>
            <w:tcW w:w="637" w:type="pct"/>
            <w:tcBorders>
              <w:bottom w:val="single" w:sz="4" w:space="0" w:color="auto"/>
            </w:tcBorders>
            <w:vAlign w:val="center"/>
          </w:tcPr>
          <w:p w:rsidR="00BC07F0" w:rsidRDefault="00073EFB">
            <w:pPr>
              <w:pStyle w:val="a7"/>
              <w:rPr>
                <w:rFonts w:hint="default"/>
              </w:rPr>
            </w:pPr>
            <w:r>
              <w:t>27.375</w:t>
            </w:r>
          </w:p>
        </w:tc>
        <w:tc>
          <w:tcPr>
            <w:tcW w:w="730" w:type="pct"/>
            <w:tcBorders>
              <w:bottom w:val="single" w:sz="4" w:space="0" w:color="auto"/>
            </w:tcBorders>
            <w:vAlign w:val="center"/>
          </w:tcPr>
          <w:p w:rsidR="00BC07F0" w:rsidRDefault="00073EFB">
            <w:pPr>
              <w:pStyle w:val="a7"/>
              <w:rPr>
                <w:rFonts w:hint="default"/>
              </w:rPr>
            </w:pPr>
            <w:r>
              <w:t>27.375</w:t>
            </w:r>
          </w:p>
        </w:tc>
        <w:tc>
          <w:tcPr>
            <w:tcW w:w="538" w:type="pct"/>
            <w:tcBorders>
              <w:bottom w:val="single" w:sz="4" w:space="0" w:color="auto"/>
              <w:right w:val="single" w:sz="4" w:space="0" w:color="auto"/>
            </w:tcBorders>
            <w:vAlign w:val="center"/>
          </w:tcPr>
          <w:p w:rsidR="00BC07F0" w:rsidRDefault="00073EFB">
            <w:pPr>
              <w:pStyle w:val="a7"/>
              <w:rPr>
                <w:rFonts w:hint="default"/>
              </w:rPr>
            </w:pPr>
            <w:r>
              <w:t>5.475</w:t>
            </w:r>
          </w:p>
        </w:tc>
      </w:tr>
    </w:tbl>
    <w:p w:rsidR="00BC07F0" w:rsidRDefault="00073EFB" w:rsidP="00C55F5E">
      <w:pPr>
        <w:ind w:firstLine="480"/>
      </w:pPr>
      <w:r>
        <w:t>由</w:t>
      </w:r>
      <w:r>
        <w:rPr>
          <w:rFonts w:hint="eastAsia"/>
        </w:rPr>
        <w:t>上表</w:t>
      </w:r>
      <w:r>
        <w:t>可知，本项目建成营运后，全厂设计污水量污染物</w:t>
      </w:r>
      <w:r>
        <w:t>COD</w:t>
      </w:r>
      <w:r>
        <w:t>每年可削减</w:t>
      </w:r>
      <w:r>
        <w:rPr>
          <w:rFonts w:hint="eastAsia"/>
        </w:rPr>
        <w:t>438</w:t>
      </w:r>
      <w:r>
        <w:t>t</w:t>
      </w:r>
      <w:r>
        <w:t>，</w:t>
      </w:r>
      <w:r>
        <w:t>BOD</w:t>
      </w:r>
      <w:r>
        <w:rPr>
          <w:vertAlign w:val="subscript"/>
        </w:rPr>
        <w:t>5</w:t>
      </w:r>
      <w:r>
        <w:t>每年可削减</w:t>
      </w:r>
      <w:r>
        <w:rPr>
          <w:rFonts w:hint="eastAsia"/>
        </w:rPr>
        <w:t>219</w:t>
      </w:r>
      <w:r>
        <w:t>t</w:t>
      </w:r>
      <w:r>
        <w:t>，</w:t>
      </w:r>
      <w:r>
        <w:t>SS</w:t>
      </w:r>
      <w:r>
        <w:t>每年可削减</w:t>
      </w:r>
      <w:r>
        <w:rPr>
          <w:rFonts w:hint="eastAsia"/>
        </w:rPr>
        <w:t>511</w:t>
      </w:r>
      <w:r>
        <w:t>t</w:t>
      </w:r>
      <w:r>
        <w:t>，</w:t>
      </w:r>
      <w:r>
        <w:t>NH</w:t>
      </w:r>
      <w:r>
        <w:rPr>
          <w:vertAlign w:val="subscript"/>
        </w:rPr>
        <w:t>3</w:t>
      </w:r>
      <w:r>
        <w:t>-N</w:t>
      </w:r>
      <w:r>
        <w:t>每年可削减</w:t>
      </w:r>
      <w:r>
        <w:rPr>
          <w:rFonts w:hint="eastAsia"/>
        </w:rPr>
        <w:t>27.375</w:t>
      </w:r>
      <w:r>
        <w:t>t</w:t>
      </w:r>
      <w:r>
        <w:t>，</w:t>
      </w:r>
      <w:r>
        <w:t>TN</w:t>
      </w:r>
      <w:r>
        <w:t>每年可削减</w:t>
      </w:r>
      <w:r>
        <w:rPr>
          <w:rFonts w:hint="eastAsia"/>
        </w:rPr>
        <w:t>27.375</w:t>
      </w:r>
      <w:r>
        <w:t>t</w:t>
      </w:r>
      <w:r>
        <w:t>，</w:t>
      </w:r>
      <w:r>
        <w:t>TP</w:t>
      </w:r>
      <w:r>
        <w:t>每年可削减</w:t>
      </w:r>
      <w:r>
        <w:rPr>
          <w:rFonts w:hint="eastAsia"/>
        </w:rPr>
        <w:t>5.475</w:t>
      </w:r>
      <w:r>
        <w:t>t</w:t>
      </w:r>
      <w:r>
        <w:t>。</w:t>
      </w:r>
    </w:p>
    <w:p w:rsidR="00BC07F0" w:rsidRDefault="00073EFB" w:rsidP="00C55F5E">
      <w:pPr>
        <w:pStyle w:val="2"/>
        <w:ind w:firstLine="482"/>
      </w:pPr>
      <w:bookmarkStart w:id="204" w:name="_Toc17865"/>
      <w:r>
        <w:rPr>
          <w:rFonts w:hint="eastAsia"/>
        </w:rPr>
        <w:lastRenderedPageBreak/>
        <w:t>5.3</w:t>
      </w:r>
      <w:r>
        <w:t>地表水环境影响预测</w:t>
      </w:r>
      <w:bookmarkEnd w:id="204"/>
    </w:p>
    <w:p w:rsidR="00BC07F0" w:rsidRDefault="00073EFB" w:rsidP="00C55F5E">
      <w:pPr>
        <w:ind w:firstLine="480"/>
      </w:pPr>
      <w:r>
        <w:t>1</w:t>
      </w:r>
      <w:r>
        <w:t>）预测因子</w:t>
      </w:r>
    </w:p>
    <w:p w:rsidR="00BC07F0" w:rsidRDefault="00073EFB" w:rsidP="00C55F5E">
      <w:pPr>
        <w:ind w:firstLine="480"/>
      </w:pPr>
      <w:r>
        <w:t>预测因子选择</w:t>
      </w:r>
      <w:r>
        <w:t>COD</w:t>
      </w:r>
      <w:r>
        <w:t>、</w:t>
      </w:r>
      <w:r>
        <w:t>NH</w:t>
      </w:r>
      <w:r>
        <w:rPr>
          <w:vertAlign w:val="subscript"/>
        </w:rPr>
        <w:t>3</w:t>
      </w:r>
      <w:r>
        <w:t>-N</w:t>
      </w:r>
      <w:r>
        <w:t>。</w:t>
      </w:r>
    </w:p>
    <w:p w:rsidR="00BC07F0" w:rsidRDefault="00073EFB" w:rsidP="00C55F5E">
      <w:pPr>
        <w:ind w:firstLine="480"/>
      </w:pPr>
      <w:r>
        <w:t>2</w:t>
      </w:r>
      <w:r>
        <w:t>）预测内容</w:t>
      </w:r>
    </w:p>
    <w:p w:rsidR="00BC07F0" w:rsidRDefault="00073EFB" w:rsidP="00C55F5E">
      <w:pPr>
        <w:ind w:firstLine="480"/>
      </w:pPr>
      <w:r>
        <w:t>根据正常排放和事故排放（处理设施运行完全失效状态）时污染物的排放情况，计算两种工况下污染物在预测河段各断面不同位置的净增值，叠加现状值得到预测浓度，预测不同工况下污染物排放对</w:t>
      </w:r>
      <w:r>
        <w:rPr>
          <w:rFonts w:hint="eastAsia"/>
        </w:rPr>
        <w:t>湘江</w:t>
      </w:r>
      <w:r>
        <w:t>水质的影响程度，确定影响范围。</w:t>
      </w:r>
    </w:p>
    <w:p w:rsidR="00BC07F0" w:rsidRDefault="00073EFB" w:rsidP="00C55F5E">
      <w:pPr>
        <w:ind w:firstLine="480"/>
      </w:pPr>
      <w:r>
        <w:t>废水外排情况：</w:t>
      </w:r>
    </w:p>
    <w:p w:rsidR="00BC07F0" w:rsidRDefault="00073EFB" w:rsidP="00C55F5E">
      <w:pPr>
        <w:ind w:firstLine="480"/>
      </w:pPr>
      <w:r>
        <w:t>每天外排尾水</w:t>
      </w:r>
      <w:r>
        <w:rPr>
          <w:rFonts w:hint="eastAsia"/>
        </w:rPr>
        <w:t>1.5</w:t>
      </w:r>
      <w:r>
        <w:rPr>
          <w:rFonts w:hint="eastAsia"/>
        </w:rPr>
        <w:t>万</w:t>
      </w:r>
      <w:r>
        <w:rPr>
          <w:rFonts w:hint="eastAsia"/>
        </w:rPr>
        <w:t>t/d</w:t>
      </w:r>
      <w:r>
        <w:t>，正常排放和事故排放中尾水排放强度如下：</w:t>
      </w:r>
    </w:p>
    <w:p w:rsidR="00BC07F0" w:rsidRDefault="00073EFB">
      <w:pPr>
        <w:pStyle w:val="a7"/>
        <w:rPr>
          <w:rFonts w:hint="default"/>
          <w:b/>
          <w:bCs/>
        </w:rPr>
      </w:pPr>
      <w:r>
        <w:rPr>
          <w:rFonts w:hint="default"/>
          <w:b/>
          <w:bCs/>
        </w:rPr>
        <w:t>表</w:t>
      </w:r>
      <w:r>
        <w:rPr>
          <w:b/>
          <w:bCs/>
        </w:rPr>
        <w:t>6.3-1</w:t>
      </w:r>
      <w:r>
        <w:rPr>
          <w:rFonts w:hint="default"/>
          <w:b/>
          <w:bCs/>
        </w:rPr>
        <w:t>废水正常和非正常情况下排放浓度表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9"/>
        <w:gridCol w:w="2110"/>
        <w:gridCol w:w="2109"/>
        <w:gridCol w:w="2109"/>
      </w:tblGrid>
      <w:tr w:rsidR="00BC07F0">
        <w:trPr>
          <w:trHeight w:val="397"/>
          <w:jc w:val="center"/>
        </w:trPr>
        <w:tc>
          <w:tcPr>
            <w:tcW w:w="1249" w:type="pct"/>
            <w:tcBorders>
              <w:tl2br w:val="nil"/>
              <w:tr2bl w:val="nil"/>
            </w:tcBorders>
            <w:vAlign w:val="center"/>
          </w:tcPr>
          <w:p w:rsidR="00BC07F0" w:rsidRDefault="00073EFB">
            <w:pPr>
              <w:pStyle w:val="a7"/>
              <w:rPr>
                <w:rFonts w:hint="default"/>
              </w:rPr>
            </w:pPr>
            <w:r>
              <w:rPr>
                <w:rFonts w:hint="default"/>
              </w:rPr>
              <w:t>污染物</w:t>
            </w:r>
          </w:p>
        </w:tc>
        <w:tc>
          <w:tcPr>
            <w:tcW w:w="1250" w:type="pct"/>
            <w:vMerge w:val="restart"/>
            <w:tcBorders>
              <w:tl2br w:val="nil"/>
              <w:tr2bl w:val="nil"/>
            </w:tcBorders>
            <w:vAlign w:val="center"/>
          </w:tcPr>
          <w:p w:rsidR="00BC07F0" w:rsidRDefault="00073EFB">
            <w:pPr>
              <w:pStyle w:val="a7"/>
              <w:rPr>
                <w:rFonts w:hint="default"/>
              </w:rPr>
            </w:pPr>
            <w:r>
              <w:rPr>
                <w:rFonts w:hint="default"/>
              </w:rPr>
              <w:t>CODcr</w:t>
            </w:r>
          </w:p>
        </w:tc>
        <w:tc>
          <w:tcPr>
            <w:tcW w:w="1250" w:type="pct"/>
            <w:vMerge w:val="restart"/>
            <w:tcBorders>
              <w:tl2br w:val="nil"/>
              <w:tr2bl w:val="nil"/>
            </w:tcBorders>
            <w:vAlign w:val="center"/>
          </w:tcPr>
          <w:p w:rsidR="00BC07F0" w:rsidRDefault="00073EFB">
            <w:pPr>
              <w:pStyle w:val="a7"/>
              <w:rPr>
                <w:rFonts w:hint="default"/>
              </w:rPr>
            </w:pPr>
            <w:r>
              <w:rPr>
                <w:rFonts w:hint="default"/>
              </w:rPr>
              <w:t>NH</w:t>
            </w:r>
            <w:r>
              <w:rPr>
                <w:rFonts w:hint="default"/>
                <w:vertAlign w:val="subscript"/>
              </w:rPr>
              <w:t>3</w:t>
            </w:r>
            <w:r>
              <w:rPr>
                <w:rFonts w:hint="default"/>
              </w:rPr>
              <w:t>-N</w:t>
            </w:r>
          </w:p>
        </w:tc>
        <w:tc>
          <w:tcPr>
            <w:tcW w:w="1250" w:type="pct"/>
            <w:vMerge w:val="restart"/>
            <w:tcBorders>
              <w:tl2br w:val="nil"/>
              <w:tr2bl w:val="nil"/>
            </w:tcBorders>
            <w:vAlign w:val="center"/>
          </w:tcPr>
          <w:p w:rsidR="00BC07F0" w:rsidRDefault="00073EFB">
            <w:pPr>
              <w:pStyle w:val="a7"/>
              <w:rPr>
                <w:rFonts w:hint="default"/>
              </w:rPr>
            </w:pPr>
            <w:r>
              <w:rPr>
                <w:rFonts w:hint="default"/>
              </w:rPr>
              <w:t>废水量（</w:t>
            </w:r>
            <w:r>
              <w:rPr>
                <w:rFonts w:hint="default"/>
              </w:rPr>
              <w:t>m</w:t>
            </w:r>
            <w:r>
              <w:rPr>
                <w:rFonts w:hint="default"/>
                <w:vertAlign w:val="superscript"/>
              </w:rPr>
              <w:t>3</w:t>
            </w:r>
            <w:r>
              <w:rPr>
                <w:rFonts w:hint="default"/>
              </w:rPr>
              <w:t>/d</w:t>
            </w:r>
            <w:r>
              <w:rPr>
                <w:rFonts w:hint="default"/>
              </w:rPr>
              <w:t>）</w:t>
            </w:r>
          </w:p>
        </w:tc>
      </w:tr>
      <w:tr w:rsidR="00BC07F0">
        <w:trPr>
          <w:trHeight w:val="397"/>
          <w:jc w:val="center"/>
        </w:trPr>
        <w:tc>
          <w:tcPr>
            <w:tcW w:w="1249" w:type="pct"/>
            <w:tcBorders>
              <w:tl2br w:val="nil"/>
              <w:tr2bl w:val="nil"/>
            </w:tcBorders>
            <w:vAlign w:val="center"/>
          </w:tcPr>
          <w:p w:rsidR="00BC07F0" w:rsidRDefault="00073EFB">
            <w:pPr>
              <w:pStyle w:val="a7"/>
              <w:rPr>
                <w:rFonts w:hint="default"/>
              </w:rPr>
            </w:pPr>
            <w:r>
              <w:rPr>
                <w:rFonts w:hint="default"/>
              </w:rPr>
              <w:t>排污状态</w:t>
            </w:r>
          </w:p>
        </w:tc>
        <w:tc>
          <w:tcPr>
            <w:tcW w:w="1250" w:type="pct"/>
            <w:vMerge/>
            <w:tcBorders>
              <w:tl2br w:val="nil"/>
              <w:tr2bl w:val="nil"/>
            </w:tcBorders>
            <w:vAlign w:val="center"/>
          </w:tcPr>
          <w:p w:rsidR="00BC07F0" w:rsidRDefault="00BC07F0">
            <w:pPr>
              <w:pStyle w:val="a7"/>
              <w:rPr>
                <w:rFonts w:hint="default"/>
              </w:rPr>
            </w:pPr>
          </w:p>
        </w:tc>
        <w:tc>
          <w:tcPr>
            <w:tcW w:w="1250" w:type="pct"/>
            <w:vMerge/>
            <w:tcBorders>
              <w:tl2br w:val="nil"/>
              <w:tr2bl w:val="nil"/>
            </w:tcBorders>
            <w:vAlign w:val="center"/>
          </w:tcPr>
          <w:p w:rsidR="00BC07F0" w:rsidRDefault="00BC07F0">
            <w:pPr>
              <w:pStyle w:val="a7"/>
              <w:rPr>
                <w:rFonts w:hint="default"/>
              </w:rPr>
            </w:pPr>
          </w:p>
        </w:tc>
        <w:tc>
          <w:tcPr>
            <w:tcW w:w="1250" w:type="pct"/>
            <w:vMerge/>
            <w:tcBorders>
              <w:tl2br w:val="nil"/>
              <w:tr2bl w:val="nil"/>
            </w:tcBorders>
            <w:vAlign w:val="center"/>
          </w:tcPr>
          <w:p w:rsidR="00BC07F0" w:rsidRDefault="00BC07F0">
            <w:pPr>
              <w:pStyle w:val="a7"/>
              <w:rPr>
                <w:rFonts w:hint="default"/>
              </w:rPr>
            </w:pPr>
          </w:p>
        </w:tc>
      </w:tr>
      <w:tr w:rsidR="00BC07F0">
        <w:trPr>
          <w:trHeight w:val="397"/>
          <w:jc w:val="center"/>
        </w:trPr>
        <w:tc>
          <w:tcPr>
            <w:tcW w:w="1249" w:type="pct"/>
            <w:tcBorders>
              <w:tl2br w:val="nil"/>
              <w:tr2bl w:val="nil"/>
            </w:tcBorders>
            <w:vAlign w:val="center"/>
          </w:tcPr>
          <w:p w:rsidR="00BC07F0" w:rsidRDefault="00073EFB">
            <w:pPr>
              <w:pStyle w:val="a7"/>
              <w:rPr>
                <w:rFonts w:hint="default"/>
              </w:rPr>
            </w:pPr>
            <w:r>
              <w:rPr>
                <w:rFonts w:hint="default"/>
              </w:rPr>
              <w:t>正常达标排放浓度</w:t>
            </w:r>
          </w:p>
        </w:tc>
        <w:tc>
          <w:tcPr>
            <w:tcW w:w="1250" w:type="pct"/>
            <w:tcBorders>
              <w:tl2br w:val="nil"/>
              <w:tr2bl w:val="nil"/>
            </w:tcBorders>
            <w:vAlign w:val="center"/>
          </w:tcPr>
          <w:p w:rsidR="00BC07F0" w:rsidRDefault="00073EFB">
            <w:pPr>
              <w:pStyle w:val="a7"/>
              <w:rPr>
                <w:rFonts w:hint="default"/>
              </w:rPr>
            </w:pPr>
            <w:r>
              <w:t>60</w:t>
            </w:r>
          </w:p>
        </w:tc>
        <w:tc>
          <w:tcPr>
            <w:tcW w:w="1250" w:type="pct"/>
            <w:tcBorders>
              <w:tl2br w:val="nil"/>
              <w:tr2bl w:val="nil"/>
            </w:tcBorders>
            <w:vAlign w:val="center"/>
          </w:tcPr>
          <w:p w:rsidR="00BC07F0" w:rsidRDefault="00073EFB">
            <w:pPr>
              <w:pStyle w:val="a7"/>
              <w:rPr>
                <w:rFonts w:hint="default"/>
              </w:rPr>
            </w:pPr>
            <w:r>
              <w:t>15</w:t>
            </w:r>
          </w:p>
        </w:tc>
        <w:tc>
          <w:tcPr>
            <w:tcW w:w="1250" w:type="pct"/>
            <w:vMerge w:val="restart"/>
            <w:tcBorders>
              <w:tl2br w:val="nil"/>
              <w:tr2bl w:val="nil"/>
            </w:tcBorders>
            <w:vAlign w:val="center"/>
          </w:tcPr>
          <w:p w:rsidR="00BC07F0" w:rsidRDefault="00073EFB">
            <w:pPr>
              <w:pStyle w:val="a7"/>
              <w:rPr>
                <w:rFonts w:hint="default"/>
              </w:rPr>
            </w:pPr>
            <w:r>
              <w:t>15000</w:t>
            </w:r>
          </w:p>
        </w:tc>
      </w:tr>
      <w:tr w:rsidR="00BC07F0">
        <w:trPr>
          <w:trHeight w:val="397"/>
          <w:jc w:val="center"/>
        </w:trPr>
        <w:tc>
          <w:tcPr>
            <w:tcW w:w="1249" w:type="pct"/>
            <w:tcBorders>
              <w:tl2br w:val="nil"/>
              <w:tr2bl w:val="nil"/>
            </w:tcBorders>
            <w:vAlign w:val="center"/>
          </w:tcPr>
          <w:p w:rsidR="00BC07F0" w:rsidRDefault="00073EFB">
            <w:pPr>
              <w:pStyle w:val="a7"/>
              <w:rPr>
                <w:rFonts w:hint="default"/>
              </w:rPr>
            </w:pPr>
            <w:r>
              <w:rPr>
                <w:rFonts w:hint="default"/>
              </w:rPr>
              <w:t>非正常达标排放</w:t>
            </w:r>
          </w:p>
        </w:tc>
        <w:tc>
          <w:tcPr>
            <w:tcW w:w="1250" w:type="pct"/>
            <w:tcBorders>
              <w:tl2br w:val="nil"/>
              <w:tr2bl w:val="nil"/>
            </w:tcBorders>
            <w:vAlign w:val="center"/>
          </w:tcPr>
          <w:p w:rsidR="00BC07F0" w:rsidRDefault="00073EFB">
            <w:pPr>
              <w:pStyle w:val="a7"/>
              <w:rPr>
                <w:rFonts w:hint="default"/>
              </w:rPr>
            </w:pPr>
            <w:r>
              <w:t>300</w:t>
            </w:r>
          </w:p>
        </w:tc>
        <w:tc>
          <w:tcPr>
            <w:tcW w:w="1250" w:type="pct"/>
            <w:tcBorders>
              <w:tl2br w:val="nil"/>
              <w:tr2bl w:val="nil"/>
            </w:tcBorders>
            <w:vAlign w:val="center"/>
          </w:tcPr>
          <w:p w:rsidR="00BC07F0" w:rsidRDefault="00073EFB">
            <w:pPr>
              <w:pStyle w:val="a7"/>
              <w:rPr>
                <w:rFonts w:hint="default"/>
              </w:rPr>
            </w:pPr>
            <w:r>
              <w:t>30</w:t>
            </w:r>
          </w:p>
        </w:tc>
        <w:tc>
          <w:tcPr>
            <w:tcW w:w="1250" w:type="pct"/>
            <w:vMerge/>
            <w:tcBorders>
              <w:tl2br w:val="nil"/>
              <w:tr2bl w:val="nil"/>
            </w:tcBorders>
            <w:vAlign w:val="center"/>
          </w:tcPr>
          <w:p w:rsidR="00BC07F0" w:rsidRDefault="00BC07F0">
            <w:pPr>
              <w:pStyle w:val="a7"/>
              <w:rPr>
                <w:rFonts w:hint="default"/>
              </w:rPr>
            </w:pPr>
          </w:p>
        </w:tc>
      </w:tr>
    </w:tbl>
    <w:p w:rsidR="00BC07F0" w:rsidRDefault="00073EFB" w:rsidP="00C55F5E">
      <w:pPr>
        <w:ind w:firstLine="480"/>
      </w:pPr>
      <w:r>
        <w:rPr>
          <w:rFonts w:hint="eastAsia"/>
        </w:rPr>
        <w:t>污水处理厂</w:t>
      </w:r>
      <w:r>
        <w:t>按每天</w:t>
      </w:r>
      <w:r>
        <w:t>24h</w:t>
      </w:r>
      <w:r>
        <w:t>运行计，则尾水的排放强度为</w:t>
      </w:r>
      <w:r>
        <w:rPr>
          <w:rFonts w:hint="eastAsia"/>
        </w:rPr>
        <w:t>0.1736 m</w:t>
      </w:r>
      <w:r>
        <w:rPr>
          <w:rFonts w:hint="eastAsia"/>
          <w:vertAlign w:val="superscript"/>
        </w:rPr>
        <w:t>3</w:t>
      </w:r>
      <w:r>
        <w:rPr>
          <w:rFonts w:hint="eastAsia"/>
        </w:rPr>
        <w:t>/s</w:t>
      </w:r>
      <w:r>
        <w:t>。</w:t>
      </w:r>
    </w:p>
    <w:p w:rsidR="00BC07F0" w:rsidRDefault="00073EFB" w:rsidP="00C55F5E">
      <w:pPr>
        <w:ind w:firstLine="480"/>
      </w:pPr>
      <w:r>
        <w:t>3</w:t>
      </w:r>
      <w:r>
        <w:t>）水文参数</w:t>
      </w:r>
    </w:p>
    <w:p w:rsidR="00BC07F0" w:rsidRDefault="00073EFB" w:rsidP="00C55F5E">
      <w:pPr>
        <w:ind w:firstLine="480"/>
        <w:rPr>
          <w:rFonts w:eastAsia="仿宋" w:cs="Times New Roman"/>
          <w:color w:val="000000" w:themeColor="text1"/>
        </w:rPr>
      </w:pPr>
      <w:r>
        <w:t>本项目污水处理厂处理达标后的尾水外排至</w:t>
      </w:r>
      <w:r>
        <w:rPr>
          <w:rFonts w:hint="eastAsia"/>
        </w:rPr>
        <w:t>湘江</w:t>
      </w:r>
      <w:r>
        <w:t>，相关水文资料见</w:t>
      </w:r>
      <w:r>
        <w:rPr>
          <w:rFonts w:hint="eastAsia"/>
        </w:rPr>
        <w:t>下表</w:t>
      </w:r>
      <w:r>
        <w:t>。</w:t>
      </w:r>
    </w:p>
    <w:p w:rsidR="00BC07F0" w:rsidRDefault="00073EFB">
      <w:pPr>
        <w:pStyle w:val="a7"/>
        <w:rPr>
          <w:rFonts w:hint="default"/>
          <w:b/>
          <w:bCs/>
        </w:rPr>
      </w:pPr>
      <w:r>
        <w:rPr>
          <w:rFonts w:hint="default"/>
          <w:b/>
          <w:bCs/>
        </w:rPr>
        <w:t>表</w:t>
      </w:r>
      <w:r>
        <w:rPr>
          <w:b/>
          <w:bCs/>
        </w:rPr>
        <w:t>6.3-2</w:t>
      </w:r>
      <w:r>
        <w:rPr>
          <w:rFonts w:hint="default"/>
          <w:b/>
          <w:bCs/>
        </w:rPr>
        <w:t>受纳水体水文参数表（枯水期）</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6"/>
        <w:gridCol w:w="940"/>
        <w:gridCol w:w="959"/>
        <w:gridCol w:w="840"/>
        <w:gridCol w:w="1070"/>
        <w:gridCol w:w="1468"/>
        <w:gridCol w:w="1375"/>
        <w:gridCol w:w="1119"/>
      </w:tblGrid>
      <w:tr w:rsidR="00BC07F0">
        <w:trPr>
          <w:trHeight w:val="492"/>
          <w:jc w:val="center"/>
        </w:trPr>
        <w:tc>
          <w:tcPr>
            <w:tcW w:w="438" w:type="pct"/>
            <w:vMerge w:val="restart"/>
            <w:vAlign w:val="center"/>
          </w:tcPr>
          <w:p w:rsidR="00BC07F0" w:rsidRDefault="00073EFB">
            <w:pPr>
              <w:pStyle w:val="a7"/>
              <w:rPr>
                <w:rFonts w:hint="default"/>
              </w:rPr>
            </w:pPr>
            <w:r>
              <w:rPr>
                <w:rFonts w:hint="default"/>
              </w:rPr>
              <w:t>收纳水体</w:t>
            </w:r>
          </w:p>
        </w:tc>
        <w:tc>
          <w:tcPr>
            <w:tcW w:w="552" w:type="pct"/>
            <w:vMerge w:val="restart"/>
            <w:vAlign w:val="center"/>
          </w:tcPr>
          <w:p w:rsidR="00BC07F0" w:rsidRDefault="00073EFB">
            <w:pPr>
              <w:pStyle w:val="a7"/>
              <w:rPr>
                <w:rFonts w:hint="default"/>
              </w:rPr>
            </w:pPr>
            <w:r>
              <w:rPr>
                <w:rFonts w:hint="default"/>
              </w:rPr>
              <w:t>流速</w:t>
            </w:r>
            <w:r>
              <w:rPr>
                <w:rFonts w:hint="default"/>
              </w:rPr>
              <w:t>u</w:t>
            </w:r>
            <w:r>
              <w:rPr>
                <w:rFonts w:hint="default"/>
              </w:rPr>
              <w:t>（</w:t>
            </w:r>
            <w:r>
              <w:rPr>
                <w:rFonts w:hint="default"/>
              </w:rPr>
              <w:t>m/s</w:t>
            </w:r>
            <w:r>
              <w:rPr>
                <w:rFonts w:hint="default"/>
              </w:rPr>
              <w:t>）</w:t>
            </w:r>
          </w:p>
        </w:tc>
        <w:tc>
          <w:tcPr>
            <w:tcW w:w="563" w:type="pct"/>
            <w:vMerge w:val="restart"/>
            <w:vAlign w:val="center"/>
          </w:tcPr>
          <w:p w:rsidR="00BC07F0" w:rsidRDefault="00073EFB">
            <w:pPr>
              <w:pStyle w:val="a7"/>
              <w:rPr>
                <w:rFonts w:hint="default"/>
              </w:rPr>
            </w:pPr>
            <w:r>
              <w:rPr>
                <w:rFonts w:hint="default"/>
              </w:rPr>
              <w:t>水力坡降（</w:t>
            </w:r>
            <w:r>
              <w:rPr>
                <w:rFonts w:hint="default"/>
              </w:rPr>
              <w:t>%</w:t>
            </w:r>
            <w:r>
              <w:rPr>
                <w:rFonts w:hint="default"/>
              </w:rPr>
              <w:t>）</w:t>
            </w:r>
          </w:p>
        </w:tc>
        <w:tc>
          <w:tcPr>
            <w:tcW w:w="493" w:type="pct"/>
            <w:vMerge w:val="restart"/>
            <w:vAlign w:val="center"/>
          </w:tcPr>
          <w:p w:rsidR="00BC07F0" w:rsidRDefault="00073EFB">
            <w:pPr>
              <w:pStyle w:val="a7"/>
              <w:rPr>
                <w:rFonts w:hint="default"/>
              </w:rPr>
            </w:pPr>
            <w:r>
              <w:rPr>
                <w:rFonts w:hint="default"/>
              </w:rPr>
              <w:t>宽度</w:t>
            </w:r>
            <w:r>
              <w:rPr>
                <w:rFonts w:hint="default"/>
              </w:rPr>
              <w:t>B</w:t>
            </w:r>
            <w:r>
              <w:rPr>
                <w:rFonts w:hint="default"/>
              </w:rPr>
              <w:t>（</w:t>
            </w:r>
            <w:r>
              <w:rPr>
                <w:rFonts w:hint="default"/>
              </w:rPr>
              <w:t>m</w:t>
            </w:r>
            <w:r>
              <w:rPr>
                <w:rFonts w:hint="default"/>
              </w:rPr>
              <w:t>）</w:t>
            </w:r>
          </w:p>
        </w:tc>
        <w:tc>
          <w:tcPr>
            <w:tcW w:w="627" w:type="pct"/>
            <w:vMerge w:val="restart"/>
            <w:vAlign w:val="center"/>
          </w:tcPr>
          <w:p w:rsidR="00BC07F0" w:rsidRDefault="00073EFB">
            <w:pPr>
              <w:pStyle w:val="a7"/>
              <w:rPr>
                <w:rFonts w:hint="default"/>
              </w:rPr>
            </w:pPr>
            <w:r>
              <w:rPr>
                <w:rFonts w:hint="default"/>
              </w:rPr>
              <w:t>深度</w:t>
            </w:r>
            <w:r>
              <w:rPr>
                <w:rFonts w:hint="default"/>
              </w:rPr>
              <w:t>H</w:t>
            </w:r>
            <w:r>
              <w:rPr>
                <w:rFonts w:hint="default"/>
              </w:rPr>
              <w:t>（</w:t>
            </w:r>
            <w:r>
              <w:rPr>
                <w:rFonts w:hint="default"/>
              </w:rPr>
              <w:t>m</w:t>
            </w:r>
            <w:r>
              <w:rPr>
                <w:rFonts w:hint="default"/>
              </w:rPr>
              <w:t>）</w:t>
            </w:r>
          </w:p>
        </w:tc>
        <w:tc>
          <w:tcPr>
            <w:tcW w:w="861" w:type="pct"/>
            <w:vMerge w:val="restart"/>
            <w:vAlign w:val="center"/>
          </w:tcPr>
          <w:p w:rsidR="00BC07F0" w:rsidRDefault="00073EFB">
            <w:pPr>
              <w:pStyle w:val="a7"/>
              <w:rPr>
                <w:rFonts w:hint="default"/>
              </w:rPr>
            </w:pPr>
            <w:r>
              <w:rPr>
                <w:rFonts w:hint="default"/>
              </w:rPr>
              <w:t>流量</w:t>
            </w:r>
            <w:r>
              <w:rPr>
                <w:rFonts w:hint="default"/>
              </w:rPr>
              <w:t>Q</w:t>
            </w:r>
            <w:r>
              <w:rPr>
                <w:rFonts w:hint="default"/>
              </w:rPr>
              <w:t>（</w:t>
            </w:r>
            <w:r>
              <w:rPr>
                <w:rFonts w:hint="default"/>
              </w:rPr>
              <w:t>m</w:t>
            </w:r>
            <w:r>
              <w:rPr>
                <w:vertAlign w:val="superscript"/>
              </w:rPr>
              <w:t>3</w:t>
            </w:r>
            <w:r>
              <w:rPr>
                <w:rFonts w:hint="default"/>
              </w:rPr>
              <w:t>/s</w:t>
            </w:r>
            <w:r>
              <w:rPr>
                <w:rFonts w:hint="default"/>
              </w:rPr>
              <w:t>）</w:t>
            </w:r>
          </w:p>
        </w:tc>
        <w:tc>
          <w:tcPr>
            <w:tcW w:w="1462" w:type="pct"/>
            <w:gridSpan w:val="2"/>
            <w:vAlign w:val="center"/>
          </w:tcPr>
          <w:p w:rsidR="00BC07F0" w:rsidRDefault="00073EFB">
            <w:pPr>
              <w:pStyle w:val="a7"/>
              <w:rPr>
                <w:rFonts w:hint="default"/>
              </w:rPr>
            </w:pPr>
            <w:r>
              <w:rPr>
                <w:rFonts w:hint="default"/>
              </w:rPr>
              <w:t>污染物综合降解系数</w:t>
            </w:r>
            <w:r>
              <w:rPr>
                <w:rFonts w:hint="default"/>
              </w:rPr>
              <w:t>d-1</w:t>
            </w:r>
          </w:p>
        </w:tc>
      </w:tr>
      <w:tr w:rsidR="00BC07F0">
        <w:trPr>
          <w:trHeight w:val="474"/>
          <w:jc w:val="center"/>
        </w:trPr>
        <w:tc>
          <w:tcPr>
            <w:tcW w:w="438" w:type="pct"/>
            <w:vMerge/>
            <w:vAlign w:val="center"/>
          </w:tcPr>
          <w:p w:rsidR="00BC07F0" w:rsidRDefault="00BC07F0">
            <w:pPr>
              <w:pStyle w:val="a7"/>
              <w:rPr>
                <w:rFonts w:hint="default"/>
              </w:rPr>
            </w:pPr>
          </w:p>
        </w:tc>
        <w:tc>
          <w:tcPr>
            <w:tcW w:w="552" w:type="pct"/>
            <w:vMerge/>
            <w:vAlign w:val="center"/>
          </w:tcPr>
          <w:p w:rsidR="00BC07F0" w:rsidRDefault="00BC07F0">
            <w:pPr>
              <w:pStyle w:val="a7"/>
              <w:rPr>
                <w:rFonts w:hint="default"/>
              </w:rPr>
            </w:pPr>
          </w:p>
        </w:tc>
        <w:tc>
          <w:tcPr>
            <w:tcW w:w="563" w:type="pct"/>
            <w:vMerge/>
            <w:vAlign w:val="center"/>
          </w:tcPr>
          <w:p w:rsidR="00BC07F0" w:rsidRDefault="00BC07F0">
            <w:pPr>
              <w:pStyle w:val="a7"/>
              <w:rPr>
                <w:rFonts w:hint="default"/>
              </w:rPr>
            </w:pPr>
          </w:p>
        </w:tc>
        <w:tc>
          <w:tcPr>
            <w:tcW w:w="493" w:type="pct"/>
            <w:vMerge/>
            <w:vAlign w:val="center"/>
          </w:tcPr>
          <w:p w:rsidR="00BC07F0" w:rsidRDefault="00BC07F0">
            <w:pPr>
              <w:pStyle w:val="a7"/>
              <w:rPr>
                <w:rFonts w:hint="default"/>
              </w:rPr>
            </w:pPr>
          </w:p>
        </w:tc>
        <w:tc>
          <w:tcPr>
            <w:tcW w:w="627" w:type="pct"/>
            <w:vMerge/>
            <w:vAlign w:val="center"/>
          </w:tcPr>
          <w:p w:rsidR="00BC07F0" w:rsidRDefault="00BC07F0">
            <w:pPr>
              <w:pStyle w:val="a7"/>
              <w:rPr>
                <w:rFonts w:hint="default"/>
              </w:rPr>
            </w:pPr>
          </w:p>
        </w:tc>
        <w:tc>
          <w:tcPr>
            <w:tcW w:w="861" w:type="pct"/>
            <w:vMerge/>
            <w:vAlign w:val="center"/>
          </w:tcPr>
          <w:p w:rsidR="00BC07F0" w:rsidRDefault="00BC07F0">
            <w:pPr>
              <w:pStyle w:val="a7"/>
              <w:rPr>
                <w:rFonts w:hint="default"/>
              </w:rPr>
            </w:pPr>
          </w:p>
        </w:tc>
        <w:tc>
          <w:tcPr>
            <w:tcW w:w="806" w:type="pct"/>
            <w:vAlign w:val="center"/>
          </w:tcPr>
          <w:p w:rsidR="00BC07F0" w:rsidRDefault="00073EFB">
            <w:pPr>
              <w:pStyle w:val="a7"/>
              <w:rPr>
                <w:rFonts w:hint="default"/>
              </w:rPr>
            </w:pPr>
            <w:r>
              <w:rPr>
                <w:rFonts w:hint="default"/>
              </w:rPr>
              <w:t>k(COD)</w:t>
            </w:r>
          </w:p>
        </w:tc>
        <w:tc>
          <w:tcPr>
            <w:tcW w:w="656" w:type="pct"/>
            <w:vAlign w:val="center"/>
          </w:tcPr>
          <w:p w:rsidR="00BC07F0" w:rsidRDefault="00073EFB">
            <w:pPr>
              <w:pStyle w:val="a7"/>
              <w:rPr>
                <w:rFonts w:hint="default"/>
              </w:rPr>
            </w:pPr>
            <w:r>
              <w:rPr>
                <w:rFonts w:hint="default"/>
              </w:rPr>
              <w:t>K(</w:t>
            </w:r>
            <w:r>
              <w:rPr>
                <w:rFonts w:hint="default"/>
              </w:rPr>
              <w:t>氨氮</w:t>
            </w:r>
            <w:r>
              <w:rPr>
                <w:rFonts w:hint="default"/>
              </w:rPr>
              <w:t>)</w:t>
            </w:r>
          </w:p>
        </w:tc>
      </w:tr>
      <w:tr w:rsidR="00BC07F0">
        <w:trPr>
          <w:trHeight w:val="412"/>
          <w:jc w:val="center"/>
        </w:trPr>
        <w:tc>
          <w:tcPr>
            <w:tcW w:w="438" w:type="pct"/>
            <w:vAlign w:val="center"/>
          </w:tcPr>
          <w:p w:rsidR="00BC07F0" w:rsidRDefault="00073EFB">
            <w:pPr>
              <w:pStyle w:val="a7"/>
              <w:rPr>
                <w:rFonts w:hint="default"/>
              </w:rPr>
            </w:pPr>
            <w:r>
              <w:t>湘江</w:t>
            </w:r>
          </w:p>
        </w:tc>
        <w:tc>
          <w:tcPr>
            <w:tcW w:w="552" w:type="pct"/>
            <w:vAlign w:val="center"/>
          </w:tcPr>
          <w:p w:rsidR="00BC07F0" w:rsidRDefault="00073EFB">
            <w:pPr>
              <w:pStyle w:val="a7"/>
              <w:rPr>
                <w:rFonts w:hint="default"/>
              </w:rPr>
            </w:pPr>
            <w:r>
              <w:rPr>
                <w:rFonts w:hint="default"/>
              </w:rPr>
              <w:t>0.2</w:t>
            </w:r>
          </w:p>
        </w:tc>
        <w:tc>
          <w:tcPr>
            <w:tcW w:w="563" w:type="pct"/>
            <w:vAlign w:val="center"/>
          </w:tcPr>
          <w:p w:rsidR="00BC07F0" w:rsidRDefault="00073EFB">
            <w:pPr>
              <w:pStyle w:val="a7"/>
              <w:rPr>
                <w:rFonts w:hint="default"/>
              </w:rPr>
            </w:pPr>
            <w:r>
              <w:t>0.0006</w:t>
            </w:r>
          </w:p>
        </w:tc>
        <w:tc>
          <w:tcPr>
            <w:tcW w:w="493" w:type="pct"/>
            <w:vAlign w:val="center"/>
          </w:tcPr>
          <w:p w:rsidR="00BC07F0" w:rsidRDefault="00073EFB">
            <w:pPr>
              <w:pStyle w:val="a7"/>
              <w:rPr>
                <w:rFonts w:hint="default"/>
              </w:rPr>
            </w:pPr>
            <w:r>
              <w:t>520</w:t>
            </w:r>
          </w:p>
        </w:tc>
        <w:tc>
          <w:tcPr>
            <w:tcW w:w="627" w:type="pct"/>
            <w:vAlign w:val="center"/>
          </w:tcPr>
          <w:p w:rsidR="00BC07F0" w:rsidRDefault="00073EFB">
            <w:pPr>
              <w:pStyle w:val="a7"/>
              <w:rPr>
                <w:rFonts w:hint="default"/>
              </w:rPr>
            </w:pPr>
            <w:r>
              <w:t>7.3</w:t>
            </w:r>
          </w:p>
        </w:tc>
        <w:tc>
          <w:tcPr>
            <w:tcW w:w="861" w:type="pct"/>
            <w:vAlign w:val="center"/>
          </w:tcPr>
          <w:p w:rsidR="00BC07F0" w:rsidRDefault="00073EFB">
            <w:pPr>
              <w:pStyle w:val="a7"/>
              <w:rPr>
                <w:rFonts w:hint="default"/>
              </w:rPr>
            </w:pPr>
            <w:r>
              <w:t>1159</w:t>
            </w:r>
          </w:p>
        </w:tc>
        <w:tc>
          <w:tcPr>
            <w:tcW w:w="806" w:type="pct"/>
            <w:vAlign w:val="center"/>
          </w:tcPr>
          <w:p w:rsidR="00BC07F0" w:rsidRDefault="00073EFB">
            <w:pPr>
              <w:pStyle w:val="a7"/>
              <w:rPr>
                <w:rFonts w:hint="default"/>
              </w:rPr>
            </w:pPr>
            <w:r>
              <w:rPr>
                <w:rFonts w:hint="default"/>
              </w:rPr>
              <w:t>0.15</w:t>
            </w:r>
          </w:p>
        </w:tc>
        <w:tc>
          <w:tcPr>
            <w:tcW w:w="656" w:type="pct"/>
            <w:vAlign w:val="center"/>
          </w:tcPr>
          <w:p w:rsidR="00BC07F0" w:rsidRDefault="00073EFB">
            <w:pPr>
              <w:pStyle w:val="a7"/>
              <w:rPr>
                <w:rFonts w:hint="default"/>
              </w:rPr>
            </w:pPr>
            <w:r>
              <w:rPr>
                <w:rFonts w:hint="default"/>
              </w:rPr>
              <w:t>0.12</w:t>
            </w:r>
          </w:p>
        </w:tc>
      </w:tr>
    </w:tbl>
    <w:p w:rsidR="00BC07F0" w:rsidRDefault="00073EFB" w:rsidP="00C55F5E">
      <w:pPr>
        <w:ind w:firstLine="480"/>
      </w:pPr>
      <w:r>
        <w:t>4</w:t>
      </w:r>
      <w:r>
        <w:t>）水质参数设定</w:t>
      </w:r>
    </w:p>
    <w:p w:rsidR="00BC07F0" w:rsidRDefault="00073EFB" w:rsidP="00C55F5E">
      <w:pPr>
        <w:ind w:firstLine="480"/>
      </w:pPr>
      <w:r>
        <w:t>本次预测</w:t>
      </w:r>
      <w:r>
        <w:rPr>
          <w:rFonts w:hint="eastAsia"/>
        </w:rPr>
        <w:t>湘江</w:t>
      </w:r>
      <w:r>
        <w:t>背景值来自现状监测数据的平均值，即</w:t>
      </w:r>
      <w:r>
        <w:rPr>
          <w:rFonts w:hint="eastAsia"/>
        </w:rPr>
        <w:t>湘江</w:t>
      </w:r>
      <w:r>
        <w:t>COD</w:t>
      </w:r>
      <w:r>
        <w:t>：</w:t>
      </w:r>
      <w:r>
        <w:rPr>
          <w:rFonts w:hint="eastAsia"/>
        </w:rPr>
        <w:t>7</w:t>
      </w:r>
      <w:r>
        <w:t>mg/L</w:t>
      </w:r>
      <w:r>
        <w:t>，</w:t>
      </w:r>
      <w:r>
        <w:t>NH</w:t>
      </w:r>
      <w:r>
        <w:rPr>
          <w:vertAlign w:val="subscript"/>
        </w:rPr>
        <w:t>3</w:t>
      </w:r>
      <w:r>
        <w:t>-N</w:t>
      </w:r>
      <w:r>
        <w:t>：</w:t>
      </w:r>
      <w:r>
        <w:rPr>
          <w:rFonts w:hint="eastAsia"/>
        </w:rPr>
        <w:t>0.142</w:t>
      </w:r>
      <w:r>
        <w:t>mg/L</w:t>
      </w:r>
      <w:r>
        <w:t>。</w:t>
      </w:r>
    </w:p>
    <w:p w:rsidR="00BC07F0" w:rsidRDefault="00073EFB" w:rsidP="00C55F5E">
      <w:pPr>
        <w:ind w:firstLine="480"/>
      </w:pPr>
      <w:r>
        <w:t>5</w:t>
      </w:r>
      <w:r>
        <w:t>）混合过程段长度的计算</w:t>
      </w:r>
    </w:p>
    <w:p w:rsidR="00BC07F0" w:rsidRDefault="00073EFB" w:rsidP="00C55F5E">
      <w:pPr>
        <w:ind w:firstLine="480"/>
      </w:pPr>
      <w:r>
        <w:t>根据《环境影响评价技术导则地表水环境》</w:t>
      </w:r>
      <w:r>
        <w:t>(HJ2.3—2018)</w:t>
      </w:r>
      <w:r>
        <w:t>中的公式</w:t>
      </w:r>
      <w:r>
        <w:t>E1</w:t>
      </w:r>
      <w:r>
        <w:t>计算混合过程段长度。</w:t>
      </w:r>
    </w:p>
    <w:p w:rsidR="00BC07F0" w:rsidRDefault="00073EFB">
      <w:pPr>
        <w:pStyle w:val="a7"/>
        <w:jc w:val="left"/>
        <w:rPr>
          <w:rFonts w:hint="default"/>
        </w:rPr>
      </w:pPr>
      <w:r>
        <w:rPr>
          <w:noProof/>
        </w:rPr>
        <w:lastRenderedPageBreak/>
        <w:drawing>
          <wp:inline distT="0" distB="0" distL="114300" distR="114300">
            <wp:extent cx="2819400" cy="1579880"/>
            <wp:effectExtent l="0" t="0" r="0" b="0"/>
            <wp:docPr id="44" name="图片 44" descr="ab727b48d2361aec580740cb8565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ab727b48d2361aec580740cb8565a10"/>
                    <pic:cNvPicPr>
                      <a:picLocks noChangeAspect="1"/>
                    </pic:cNvPicPr>
                  </pic:nvPicPr>
                  <pic:blipFill>
                    <a:blip r:embed="rId71" cstate="print"/>
                    <a:srcRect t="2770" r="1661" b="2808"/>
                    <a:stretch>
                      <a:fillRect/>
                    </a:stretch>
                  </pic:blipFill>
                  <pic:spPr>
                    <a:xfrm>
                      <a:off x="0" y="0"/>
                      <a:ext cx="2819400" cy="1579880"/>
                    </a:xfrm>
                    <a:prstGeom prst="rect">
                      <a:avLst/>
                    </a:prstGeom>
                  </pic:spPr>
                </pic:pic>
              </a:graphicData>
            </a:graphic>
          </wp:inline>
        </w:drawing>
      </w:r>
    </w:p>
    <w:p w:rsidR="00BC07F0" w:rsidRDefault="00073EFB" w:rsidP="00C55F5E">
      <w:pPr>
        <w:ind w:firstLine="480"/>
      </w:pPr>
      <w:r>
        <w:t>污染物横向扩散系数</w:t>
      </w:r>
      <w:r>
        <w:t>Ey</w:t>
      </w:r>
      <w:r>
        <w:t>的确定：</w:t>
      </w:r>
      <w:r>
        <w:t>Ey</w:t>
      </w:r>
      <w:r>
        <w:t>的确定有多种方法。本报告采用</w:t>
      </w:r>
      <w:r>
        <w:rPr>
          <w:rFonts w:hint="eastAsia"/>
        </w:rPr>
        <w:t>STEFAN</w:t>
      </w:r>
      <w:r>
        <w:rPr>
          <w:rFonts w:hint="eastAsia"/>
        </w:rPr>
        <w:t>研究公式确定</w:t>
      </w:r>
      <w:r>
        <w:t>污染物横向扩散系数</w:t>
      </w:r>
      <w:r>
        <w:t>Ey</w:t>
      </w:r>
      <w:r>
        <w:rPr>
          <w:rFonts w:hint="eastAsia"/>
        </w:rPr>
        <w:t>，</w:t>
      </w:r>
      <w:r>
        <w:rPr>
          <w:rFonts w:hint="eastAsia"/>
        </w:rPr>
        <w:t>采用</w:t>
      </w:r>
      <w:r>
        <w:t>爱尔德公式</w:t>
      </w:r>
      <w:r>
        <w:rPr>
          <w:rFonts w:hint="eastAsia"/>
        </w:rPr>
        <w:t>确定</w:t>
      </w:r>
      <w:r>
        <w:t>E</w:t>
      </w:r>
      <w:r>
        <w:rPr>
          <w:rFonts w:hint="eastAsia"/>
        </w:rPr>
        <w:t>x</w:t>
      </w:r>
      <w:r>
        <w:t>：</w:t>
      </w:r>
    </w:p>
    <w:p w:rsidR="00BC07F0" w:rsidRDefault="00073EFB">
      <w:pPr>
        <w:ind w:firstLine="480"/>
        <w:jc w:val="center"/>
        <w:rPr>
          <w:rFonts w:eastAsia="仿宋" w:cs="Times New Roman"/>
          <w:color w:val="000000" w:themeColor="text1"/>
        </w:rPr>
      </w:pPr>
      <w:r>
        <w:rPr>
          <w:rFonts w:eastAsia="仿宋" w:cs="Times New Roman"/>
          <w:color w:val="000000" w:themeColor="text1"/>
        </w:rPr>
        <w:t>Ex=5.93*H*(gHI)</w:t>
      </w:r>
      <w:r>
        <w:rPr>
          <w:rFonts w:eastAsia="仿宋" w:cs="Times New Roman"/>
          <w:color w:val="000000" w:themeColor="text1"/>
          <w:vertAlign w:val="superscript"/>
        </w:rPr>
        <w:t>1/2</w:t>
      </w:r>
    </w:p>
    <w:p w:rsidR="00BC07F0" w:rsidRDefault="00073EFB" w:rsidP="00C55F5E">
      <w:pPr>
        <w:ind w:firstLine="480"/>
      </w:pPr>
      <w:r>
        <w:t>式中：</w:t>
      </w:r>
      <w:r>
        <w:t>H—</w:t>
      </w:r>
      <w:r>
        <w:t>河道断面平均水深，</w:t>
      </w:r>
      <w:r>
        <w:t>m</w:t>
      </w:r>
      <w:r>
        <w:t>；</w:t>
      </w:r>
      <w:r>
        <w:t>g—</w:t>
      </w:r>
      <w:r>
        <w:t>重力加速度，值为</w:t>
      </w:r>
      <w:r>
        <w:t>9.808m/s</w:t>
      </w:r>
      <w:r>
        <w:rPr>
          <w:vertAlign w:val="superscript"/>
        </w:rPr>
        <w:t>2</w:t>
      </w:r>
      <w:r>
        <w:t>；</w:t>
      </w:r>
      <w:r>
        <w:t>I—</w:t>
      </w:r>
      <w:r>
        <w:t>水力坡降，取</w:t>
      </w:r>
      <w:r>
        <w:rPr>
          <w:rFonts w:hint="eastAsia"/>
        </w:rPr>
        <w:t>0.0006</w:t>
      </w:r>
      <w:r>
        <w:t>；</w:t>
      </w:r>
    </w:p>
    <w:p w:rsidR="00BC07F0" w:rsidRDefault="00073EFB" w:rsidP="00C55F5E">
      <w:pPr>
        <w:ind w:firstLine="480"/>
        <w:rPr>
          <w:rFonts w:eastAsia="仿宋" w:cs="Times New Roman"/>
          <w:color w:val="000000" w:themeColor="text1"/>
        </w:rPr>
      </w:pPr>
      <w:r>
        <w:t>经计算，渠道枯水期</w:t>
      </w:r>
      <w:r>
        <w:t>Ex</w:t>
      </w:r>
      <w:r>
        <w:t>值为</w:t>
      </w:r>
      <w:r>
        <w:rPr>
          <w:rFonts w:eastAsia="仿宋" w:cs="Times New Roman" w:hint="eastAsia"/>
          <w:color w:val="000000" w:themeColor="text1"/>
        </w:rPr>
        <w:t>0.3854</w:t>
      </w:r>
      <w:r>
        <w:rPr>
          <w:rFonts w:eastAsia="仿宋" w:cs="Times New Roman"/>
          <w:color w:val="000000" w:themeColor="text1"/>
        </w:rPr>
        <w:t>m</w:t>
      </w:r>
      <w:r>
        <w:rPr>
          <w:rFonts w:eastAsia="仿宋" w:cs="Times New Roman"/>
          <w:color w:val="000000" w:themeColor="text1"/>
          <w:vertAlign w:val="superscript"/>
        </w:rPr>
        <w:t>2</w:t>
      </w:r>
      <w:r>
        <w:rPr>
          <w:rFonts w:eastAsia="仿宋" w:cs="Times New Roman"/>
          <w:color w:val="000000" w:themeColor="text1"/>
        </w:rPr>
        <w:t>/s</w:t>
      </w:r>
      <w:r>
        <w:rPr>
          <w:rFonts w:eastAsia="仿宋" w:cs="Times New Roman"/>
          <w:color w:val="000000" w:themeColor="text1"/>
        </w:rPr>
        <w:t>。</w:t>
      </w:r>
    </w:p>
    <w:p w:rsidR="00BC07F0" w:rsidRDefault="00BC07F0">
      <w:pPr>
        <w:ind w:firstLine="480"/>
        <w:jc w:val="center"/>
        <w:rPr>
          <w:rFonts w:eastAsia="仿宋" w:cs="Times New Roman"/>
          <w:color w:val="000000" w:themeColor="text1"/>
        </w:rPr>
      </w:pPr>
      <w:r w:rsidRPr="00BC07F0">
        <w:rPr>
          <w:rFonts w:eastAsia="仿宋" w:cs="Times New Roman"/>
          <w:color w:val="000000" w:themeColor="text1"/>
          <w:position w:val="-24"/>
        </w:rPr>
        <w:object w:dxaOrig="1740" w:dyaOrig="620">
          <v:shape id="_x0000_i1037" type="#_x0000_t75" style="width:86.85pt;height:30.85pt" o:ole="">
            <v:imagedata r:id="rId72" o:title=""/>
          </v:shape>
          <o:OLEObject Type="Embed" ProgID="Equations" ShapeID="_x0000_i1037" DrawAspect="Content" ObjectID="_1746346141" r:id="rId73"/>
        </w:object>
      </w:r>
    </w:p>
    <w:p w:rsidR="00BC07F0" w:rsidRDefault="00073EFB" w:rsidP="00C55F5E">
      <w:pPr>
        <w:ind w:firstLine="480"/>
      </w:pPr>
      <w:r>
        <w:t>式中：</w:t>
      </w:r>
      <w:r>
        <w:rPr>
          <w:rFonts w:hint="eastAsia"/>
        </w:rPr>
        <w:t>h</w:t>
      </w:r>
      <w:r>
        <w:t>—</w:t>
      </w:r>
      <w:r>
        <w:t>河道断面平均水深，</w:t>
      </w:r>
      <w:r>
        <w:t>m</w:t>
      </w:r>
      <w:r>
        <w:t>；</w:t>
      </w:r>
      <w:r>
        <w:rPr>
          <w:rFonts w:hint="eastAsia"/>
        </w:rPr>
        <w:t>W</w:t>
      </w:r>
      <w:r>
        <w:t>—</w:t>
      </w:r>
      <w:r>
        <w:t>河道断面宽度，</w:t>
      </w:r>
      <w:r>
        <w:t>m</w:t>
      </w:r>
      <w:r>
        <w:t>；</w:t>
      </w:r>
    </w:p>
    <w:p w:rsidR="00BC07F0" w:rsidRDefault="00073EFB" w:rsidP="00C55F5E">
      <w:pPr>
        <w:ind w:firstLine="480"/>
      </w:pPr>
      <w:r>
        <w:t>经计算，</w:t>
      </w:r>
      <w:r>
        <w:rPr>
          <w:rFonts w:hint="eastAsia"/>
        </w:rPr>
        <w:t>湘江</w:t>
      </w:r>
      <w:r>
        <w:t>枯水期</w:t>
      </w:r>
      <w:r>
        <w:t>Ey</w:t>
      </w:r>
      <w:r>
        <w:t>值为</w:t>
      </w:r>
      <w:r>
        <w:rPr>
          <w:rFonts w:hint="eastAsia"/>
        </w:rPr>
        <w:t>0.788</w:t>
      </w:r>
      <w:r>
        <w:t>m2/s</w:t>
      </w:r>
      <w:r>
        <w:t>。</w:t>
      </w:r>
    </w:p>
    <w:p w:rsidR="00BC07F0" w:rsidRDefault="00073EFB" w:rsidP="00C55F5E">
      <w:pPr>
        <w:ind w:firstLine="480"/>
      </w:pPr>
      <w:r>
        <w:t>结合本项目的废水排放情况以及环境质量情况，计算出计算混合过程段长度约为</w:t>
      </w:r>
      <w:r>
        <w:rPr>
          <w:rFonts w:hint="eastAsia"/>
        </w:rPr>
        <w:t>30.3km</w:t>
      </w:r>
      <w:r>
        <w:t>。</w:t>
      </w:r>
    </w:p>
    <w:p w:rsidR="00BC07F0" w:rsidRDefault="00073EFB" w:rsidP="00C55F5E">
      <w:pPr>
        <w:ind w:firstLine="480"/>
      </w:pPr>
      <w:r>
        <w:t>预测范围：考虑到污水处理厂建成运行后，污水处理厂出水影响将主要集中在排放口下游，确定预测范围为项目排污口上游</w:t>
      </w:r>
      <w:r>
        <w:t>500m</w:t>
      </w:r>
      <w:r>
        <w:t>至下游</w:t>
      </w:r>
      <w:r>
        <w:rPr>
          <w:rFonts w:hint="eastAsia"/>
        </w:rPr>
        <w:t>31</w:t>
      </w:r>
      <w:r>
        <w:t>km</w:t>
      </w:r>
      <w:r>
        <w:t>范围水域。</w:t>
      </w:r>
    </w:p>
    <w:p w:rsidR="00BC07F0" w:rsidRDefault="00073EFB" w:rsidP="00C55F5E">
      <w:pPr>
        <w:ind w:firstLine="480"/>
      </w:pPr>
      <w:r>
        <w:t>5</w:t>
      </w:r>
      <w:r>
        <w:t>）预测模式</w:t>
      </w:r>
    </w:p>
    <w:p w:rsidR="00BC07F0" w:rsidRDefault="00073EFB" w:rsidP="00C55F5E">
      <w:pPr>
        <w:ind w:firstLine="480"/>
      </w:pPr>
      <w:r>
        <w:t>根据《环境影响评价技术导则地</w:t>
      </w:r>
      <w:r>
        <w:rPr>
          <w:rFonts w:hint="eastAsia"/>
        </w:rPr>
        <w:t>表</w:t>
      </w:r>
      <w:r>
        <w:t>水环境》（</w:t>
      </w:r>
      <w:r>
        <w:t>HJ2.3-2018</w:t>
      </w:r>
      <w:r>
        <w:t>），</w:t>
      </w:r>
      <w:r>
        <w:rPr>
          <w:rFonts w:hint="eastAsia"/>
        </w:rPr>
        <w:t>本项目采用平面二维稳定连续排放模式（特点：垂向均匀混合，水流恒定，排污稳定）进行预测，不考虑岸边反射影响的宽浅平直恒定均匀河流，岸边点源稳定排放。</w:t>
      </w:r>
      <w:r>
        <w:t>计算公式如下：</w:t>
      </w:r>
    </w:p>
    <w:p w:rsidR="00BC07F0" w:rsidRDefault="00073EFB">
      <w:pPr>
        <w:pStyle w:val="a7"/>
        <w:rPr>
          <w:rFonts w:hint="default"/>
        </w:rPr>
      </w:pPr>
      <w:r>
        <w:rPr>
          <w:noProof/>
        </w:rPr>
        <w:drawing>
          <wp:inline distT="0" distB="0" distL="114300" distR="114300">
            <wp:extent cx="4576445" cy="1313815"/>
            <wp:effectExtent l="0" t="0" r="1460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74" cstate="print"/>
                    <a:stretch>
                      <a:fillRect/>
                    </a:stretch>
                  </pic:blipFill>
                  <pic:spPr>
                    <a:xfrm>
                      <a:off x="0" y="0"/>
                      <a:ext cx="4576445" cy="1313815"/>
                    </a:xfrm>
                    <a:prstGeom prst="rect">
                      <a:avLst/>
                    </a:prstGeom>
                    <a:noFill/>
                    <a:ln>
                      <a:noFill/>
                    </a:ln>
                  </pic:spPr>
                </pic:pic>
              </a:graphicData>
            </a:graphic>
          </wp:inline>
        </w:drawing>
      </w:r>
    </w:p>
    <w:p w:rsidR="00BC07F0" w:rsidRDefault="00073EFB" w:rsidP="00C55F5E">
      <w:pPr>
        <w:ind w:firstLine="480"/>
      </w:pPr>
      <w:r>
        <w:rPr>
          <w:rFonts w:hint="eastAsia"/>
        </w:rPr>
        <w:t>各系数计算结果见下表：</w:t>
      </w:r>
    </w:p>
    <w:p w:rsidR="00BC07F0" w:rsidRDefault="00073EFB">
      <w:pPr>
        <w:pStyle w:val="a7"/>
        <w:rPr>
          <w:rFonts w:hint="default"/>
          <w:b/>
          <w:bCs/>
        </w:rPr>
      </w:pPr>
      <w:r>
        <w:rPr>
          <w:rFonts w:hint="default"/>
          <w:b/>
          <w:bCs/>
        </w:rPr>
        <w:t>表</w:t>
      </w:r>
      <w:r>
        <w:rPr>
          <w:b/>
          <w:bCs/>
        </w:rPr>
        <w:t>6.3-3</w:t>
      </w:r>
      <w:r>
        <w:rPr>
          <w:b/>
          <w:bCs/>
        </w:rPr>
        <w:t>系数表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82"/>
        <w:gridCol w:w="1708"/>
        <w:gridCol w:w="949"/>
        <w:gridCol w:w="1736"/>
        <w:gridCol w:w="1068"/>
        <w:gridCol w:w="1231"/>
        <w:gridCol w:w="979"/>
      </w:tblGrid>
      <w:tr w:rsidR="00BC07F0">
        <w:trPr>
          <w:trHeight w:val="397"/>
          <w:jc w:val="center"/>
        </w:trPr>
        <w:tc>
          <w:tcPr>
            <w:tcW w:w="5000" w:type="pct"/>
            <w:gridSpan w:val="7"/>
            <w:tcBorders>
              <w:right w:val="single" w:sz="4" w:space="0" w:color="000000"/>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lastRenderedPageBreak/>
              <w:t>不考虑岸边反射影响</w:t>
            </w:r>
          </w:p>
        </w:tc>
      </w:tr>
      <w:tr w:rsidR="00BC07F0">
        <w:trPr>
          <w:trHeight w:val="397"/>
          <w:jc w:val="center"/>
        </w:trPr>
        <w:tc>
          <w:tcPr>
            <w:tcW w:w="352" w:type="pct"/>
            <w:vMerge w:val="restar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氨氮</w:t>
            </w:r>
          </w:p>
        </w:tc>
        <w:tc>
          <w:tcPr>
            <w:tcW w:w="1035" w:type="pc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m</w:t>
            </w:r>
            <w:r>
              <w:rPr>
                <w:rFonts w:hint="default"/>
              </w:rPr>
              <w:t>污染物排放速率</w:t>
            </w:r>
          </w:p>
          <w:p w:rsidR="00BC07F0" w:rsidRDefault="00073EFB">
            <w:pPr>
              <w:pStyle w:val="a7"/>
              <w:rPr>
                <w:rFonts w:hint="default"/>
              </w:rPr>
            </w:pPr>
            <w:r>
              <w:rPr>
                <w:rFonts w:hint="default"/>
              </w:rPr>
              <w:t>（正常排放）</w:t>
            </w:r>
          </w:p>
        </w:tc>
        <w:tc>
          <w:tcPr>
            <w:tcW w:w="575" w:type="pct"/>
            <w:tcBorders>
              <w:right w:val="single" w:sz="4" w:space="0" w:color="000000"/>
              <w:tl2br w:val="nil"/>
              <w:tr2bl w:val="nil"/>
            </w:tcBorders>
            <w:noWrap/>
            <w:tcMar>
              <w:top w:w="15" w:type="dxa"/>
              <w:left w:w="15" w:type="dxa"/>
              <w:right w:w="15" w:type="dxa"/>
            </w:tcMar>
            <w:vAlign w:val="center"/>
          </w:tcPr>
          <w:p w:rsidR="00BC07F0" w:rsidRDefault="00073EFB">
            <w:pPr>
              <w:pStyle w:val="a7"/>
              <w:rPr>
                <w:rFonts w:hint="default"/>
              </w:rPr>
            </w:pPr>
            <w:r>
              <w:t>0.4632</w:t>
            </w:r>
            <w:r>
              <w:rPr>
                <w:rFonts w:hint="default"/>
              </w:rPr>
              <w:t>g/s</w:t>
            </w:r>
          </w:p>
        </w:tc>
        <w:tc>
          <w:tcPr>
            <w:tcW w:w="1052" w:type="pct"/>
            <w:tcBorders>
              <w:left w:val="single" w:sz="4" w:space="0" w:color="000000"/>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h</w:t>
            </w:r>
            <w:r>
              <w:rPr>
                <w:rFonts w:hint="default"/>
              </w:rPr>
              <w:t>断面水深</w:t>
            </w:r>
          </w:p>
        </w:tc>
        <w:tc>
          <w:tcPr>
            <w:tcW w:w="647" w:type="pct"/>
            <w:tcBorders>
              <w:right w:val="single" w:sz="4" w:space="0" w:color="000000"/>
              <w:tl2br w:val="nil"/>
              <w:tr2bl w:val="nil"/>
            </w:tcBorders>
            <w:noWrap/>
            <w:tcMar>
              <w:top w:w="15" w:type="dxa"/>
              <w:left w:w="15" w:type="dxa"/>
              <w:right w:w="15" w:type="dxa"/>
            </w:tcMar>
            <w:vAlign w:val="center"/>
          </w:tcPr>
          <w:p w:rsidR="00BC07F0" w:rsidRDefault="00073EFB">
            <w:pPr>
              <w:pStyle w:val="a7"/>
              <w:rPr>
                <w:rFonts w:hint="default"/>
              </w:rPr>
            </w:pPr>
            <w:r>
              <w:t>7.3</w:t>
            </w:r>
            <w:r>
              <w:rPr>
                <w:rFonts w:hint="default"/>
              </w:rPr>
              <w:t>m</w:t>
            </w:r>
          </w:p>
        </w:tc>
        <w:tc>
          <w:tcPr>
            <w:tcW w:w="746" w:type="pct"/>
            <w:tcBorders>
              <w:left w:val="single" w:sz="4" w:space="0" w:color="000000"/>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u</w:t>
            </w:r>
            <w:r>
              <w:rPr>
                <w:rFonts w:hint="default"/>
              </w:rPr>
              <w:t>断面流速</w:t>
            </w:r>
          </w:p>
        </w:tc>
        <w:tc>
          <w:tcPr>
            <w:tcW w:w="588" w:type="pct"/>
            <w:tcBorders>
              <w:right w:val="single" w:sz="4" w:space="0" w:color="000000"/>
              <w:tl2br w:val="nil"/>
              <w:tr2bl w:val="nil"/>
            </w:tcBorders>
            <w:noWrap/>
            <w:tcMar>
              <w:top w:w="15" w:type="dxa"/>
              <w:left w:w="15" w:type="dxa"/>
              <w:right w:w="15" w:type="dxa"/>
            </w:tcMar>
            <w:vAlign w:val="center"/>
          </w:tcPr>
          <w:p w:rsidR="00BC07F0" w:rsidRDefault="00073EFB">
            <w:pPr>
              <w:pStyle w:val="a7"/>
              <w:rPr>
                <w:rFonts w:hint="default"/>
              </w:rPr>
            </w:pPr>
            <w:r>
              <w:t>0.2</w:t>
            </w:r>
            <w:r>
              <w:rPr>
                <w:rFonts w:hint="default"/>
              </w:rPr>
              <w:t>m/s</w:t>
            </w:r>
          </w:p>
        </w:tc>
      </w:tr>
      <w:tr w:rsidR="00BC07F0">
        <w:trPr>
          <w:trHeight w:val="397"/>
          <w:jc w:val="center"/>
        </w:trPr>
        <w:tc>
          <w:tcPr>
            <w:tcW w:w="352" w:type="pct"/>
            <w:vMerge/>
            <w:tcBorders>
              <w:tl2br w:val="nil"/>
              <w:tr2bl w:val="nil"/>
            </w:tcBorders>
            <w:noWrap/>
            <w:tcMar>
              <w:top w:w="15" w:type="dxa"/>
              <w:left w:w="15" w:type="dxa"/>
              <w:right w:w="15" w:type="dxa"/>
            </w:tcMar>
            <w:vAlign w:val="center"/>
          </w:tcPr>
          <w:p w:rsidR="00BC07F0" w:rsidRDefault="00BC07F0">
            <w:pPr>
              <w:pStyle w:val="a7"/>
              <w:rPr>
                <w:rFonts w:hint="default"/>
              </w:rPr>
            </w:pPr>
          </w:p>
        </w:tc>
        <w:tc>
          <w:tcPr>
            <w:tcW w:w="1035" w:type="pc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m</w:t>
            </w:r>
            <w:r>
              <w:rPr>
                <w:rFonts w:hint="default"/>
              </w:rPr>
              <w:t>污染物排放速率</w:t>
            </w:r>
          </w:p>
          <w:p w:rsidR="00BC07F0" w:rsidRDefault="00073EFB">
            <w:pPr>
              <w:pStyle w:val="a7"/>
              <w:rPr>
                <w:rFonts w:hint="default"/>
              </w:rPr>
            </w:pPr>
            <w:r>
              <w:rPr>
                <w:rFonts w:hint="default"/>
              </w:rPr>
              <w:t>（非正常排放）</w:t>
            </w:r>
          </w:p>
        </w:tc>
        <w:tc>
          <w:tcPr>
            <w:tcW w:w="575" w:type="pct"/>
            <w:tcBorders>
              <w:tl2br w:val="nil"/>
              <w:tr2bl w:val="nil"/>
            </w:tcBorders>
            <w:noWrap/>
            <w:tcMar>
              <w:top w:w="15" w:type="dxa"/>
              <w:left w:w="15" w:type="dxa"/>
              <w:right w:w="15" w:type="dxa"/>
            </w:tcMar>
            <w:vAlign w:val="center"/>
          </w:tcPr>
          <w:p w:rsidR="00BC07F0" w:rsidRDefault="00073EFB">
            <w:pPr>
              <w:pStyle w:val="a7"/>
              <w:rPr>
                <w:rFonts w:hint="default"/>
              </w:rPr>
            </w:pPr>
            <w:r>
              <w:t>1.737</w:t>
            </w:r>
            <w:r>
              <w:rPr>
                <w:rFonts w:hint="default"/>
              </w:rPr>
              <w:t>g/s</w:t>
            </w:r>
          </w:p>
        </w:tc>
        <w:tc>
          <w:tcPr>
            <w:tcW w:w="1052" w:type="pc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Ex</w:t>
            </w:r>
            <w:r>
              <w:rPr>
                <w:rFonts w:hint="default"/>
              </w:rPr>
              <w:t>纵向扩散系数</w:t>
            </w:r>
          </w:p>
        </w:tc>
        <w:tc>
          <w:tcPr>
            <w:tcW w:w="647" w:type="pct"/>
            <w:tcBorders>
              <w:tl2br w:val="nil"/>
              <w:tr2bl w:val="nil"/>
            </w:tcBorders>
            <w:noWrap/>
            <w:tcMar>
              <w:top w:w="15" w:type="dxa"/>
              <w:left w:w="15" w:type="dxa"/>
              <w:right w:w="15" w:type="dxa"/>
            </w:tcMar>
            <w:vAlign w:val="center"/>
          </w:tcPr>
          <w:p w:rsidR="00BC07F0" w:rsidRDefault="00073EFB">
            <w:pPr>
              <w:pStyle w:val="a7"/>
              <w:rPr>
                <w:rFonts w:hint="default"/>
              </w:rPr>
            </w:pPr>
            <w:r>
              <w:t>0.3854</w:t>
            </w:r>
            <w:r>
              <w:rPr>
                <w:rFonts w:hint="default"/>
              </w:rPr>
              <w:t>m</w:t>
            </w:r>
            <w:r>
              <w:rPr>
                <w:rFonts w:hint="default"/>
                <w:vertAlign w:val="superscript"/>
              </w:rPr>
              <w:t>2</w:t>
            </w:r>
            <w:r>
              <w:rPr>
                <w:rFonts w:hint="default"/>
              </w:rPr>
              <w:t>/s</w:t>
            </w:r>
          </w:p>
        </w:tc>
        <w:tc>
          <w:tcPr>
            <w:tcW w:w="746" w:type="pc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Ey</w:t>
            </w:r>
            <w:r>
              <w:rPr>
                <w:rFonts w:hint="default"/>
              </w:rPr>
              <w:t>横向扩散系数</w:t>
            </w:r>
          </w:p>
        </w:tc>
        <w:tc>
          <w:tcPr>
            <w:tcW w:w="588" w:type="pct"/>
            <w:tcBorders>
              <w:tl2br w:val="nil"/>
              <w:tr2bl w:val="nil"/>
            </w:tcBorders>
            <w:noWrap/>
            <w:tcMar>
              <w:top w:w="15" w:type="dxa"/>
              <w:left w:w="15" w:type="dxa"/>
              <w:right w:w="15" w:type="dxa"/>
            </w:tcMar>
            <w:vAlign w:val="center"/>
          </w:tcPr>
          <w:p w:rsidR="00BC07F0" w:rsidRDefault="00073EFB">
            <w:pPr>
              <w:pStyle w:val="a7"/>
              <w:rPr>
                <w:rFonts w:hint="default"/>
              </w:rPr>
            </w:pPr>
            <w:r>
              <w:t>0.78</w:t>
            </w:r>
            <w:r>
              <w:rPr>
                <w:rFonts w:hint="default"/>
              </w:rPr>
              <w:t>m2/s</w:t>
            </w:r>
          </w:p>
        </w:tc>
      </w:tr>
      <w:tr w:rsidR="00BC07F0">
        <w:trPr>
          <w:trHeight w:val="397"/>
          <w:jc w:val="center"/>
        </w:trPr>
        <w:tc>
          <w:tcPr>
            <w:tcW w:w="352" w:type="pct"/>
            <w:vMerge/>
            <w:tcBorders>
              <w:tl2br w:val="nil"/>
              <w:tr2bl w:val="nil"/>
            </w:tcBorders>
            <w:noWrap/>
            <w:tcMar>
              <w:top w:w="15" w:type="dxa"/>
              <w:left w:w="15" w:type="dxa"/>
              <w:right w:w="15" w:type="dxa"/>
            </w:tcMar>
            <w:vAlign w:val="center"/>
          </w:tcPr>
          <w:p w:rsidR="00BC07F0" w:rsidRDefault="00BC07F0">
            <w:pPr>
              <w:pStyle w:val="a7"/>
              <w:rPr>
                <w:rFonts w:hint="default"/>
              </w:rPr>
            </w:pPr>
          </w:p>
        </w:tc>
        <w:tc>
          <w:tcPr>
            <w:tcW w:w="1035" w:type="pct"/>
            <w:tcBorders>
              <w:tl2br w:val="nil"/>
              <w:tr2bl w:val="nil"/>
            </w:tcBorders>
            <w:noWrap/>
            <w:tcMar>
              <w:top w:w="15" w:type="dxa"/>
              <w:left w:w="15" w:type="dxa"/>
              <w:right w:w="15" w:type="dxa"/>
            </w:tcMar>
            <w:vAlign w:val="center"/>
          </w:tcPr>
          <w:p w:rsidR="00BC07F0" w:rsidRDefault="00073EFB">
            <w:pPr>
              <w:pStyle w:val="a7"/>
              <w:rPr>
                <w:rFonts w:hint="default"/>
              </w:rPr>
            </w:pPr>
            <w:r>
              <w:t>/</w:t>
            </w:r>
          </w:p>
        </w:tc>
        <w:tc>
          <w:tcPr>
            <w:tcW w:w="575" w:type="pct"/>
            <w:tcBorders>
              <w:tl2br w:val="nil"/>
              <w:tr2bl w:val="nil"/>
            </w:tcBorders>
            <w:noWrap/>
            <w:tcMar>
              <w:top w:w="15" w:type="dxa"/>
              <w:left w:w="15" w:type="dxa"/>
              <w:right w:w="15" w:type="dxa"/>
            </w:tcMar>
            <w:vAlign w:val="center"/>
          </w:tcPr>
          <w:p w:rsidR="00BC07F0" w:rsidRDefault="00073EFB">
            <w:pPr>
              <w:pStyle w:val="a7"/>
              <w:rPr>
                <w:rFonts w:hint="default"/>
              </w:rPr>
            </w:pPr>
            <w:r>
              <w:t>/</w:t>
            </w:r>
          </w:p>
        </w:tc>
        <w:tc>
          <w:tcPr>
            <w:tcW w:w="1052" w:type="pc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k</w:t>
            </w:r>
            <w:r>
              <w:rPr>
                <w:rFonts w:hint="default"/>
              </w:rPr>
              <w:t>污染物综合衰减系数</w:t>
            </w:r>
          </w:p>
        </w:tc>
        <w:tc>
          <w:tcPr>
            <w:tcW w:w="647" w:type="pc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1.38E-06</w:t>
            </w:r>
            <w:r>
              <w:t>1</w:t>
            </w:r>
            <w:r>
              <w:rPr>
                <w:rFonts w:hint="default"/>
              </w:rPr>
              <w:t>/s</w:t>
            </w:r>
          </w:p>
        </w:tc>
        <w:tc>
          <w:tcPr>
            <w:tcW w:w="746" w:type="pc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Ch</w:t>
            </w:r>
            <w:r>
              <w:rPr>
                <w:rFonts w:hint="default"/>
              </w:rPr>
              <w:t>（本底值）</w:t>
            </w:r>
          </w:p>
        </w:tc>
        <w:tc>
          <w:tcPr>
            <w:tcW w:w="588" w:type="pc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0.1</w:t>
            </w:r>
            <w:r>
              <w:t>45</w:t>
            </w:r>
            <w:r>
              <w:rPr>
                <w:rFonts w:hint="default"/>
              </w:rPr>
              <w:t>mg/</w:t>
            </w:r>
            <w:r>
              <w:t>L</w:t>
            </w:r>
          </w:p>
        </w:tc>
      </w:tr>
      <w:tr w:rsidR="00BC07F0">
        <w:trPr>
          <w:trHeight w:val="397"/>
          <w:jc w:val="center"/>
        </w:trPr>
        <w:tc>
          <w:tcPr>
            <w:tcW w:w="352" w:type="pct"/>
            <w:vMerge w:val="restart"/>
            <w:tcBorders>
              <w:tl2br w:val="nil"/>
              <w:tr2bl w:val="nil"/>
            </w:tcBorders>
            <w:noWrap/>
            <w:tcMar>
              <w:top w:w="15" w:type="dxa"/>
              <w:left w:w="15" w:type="dxa"/>
              <w:right w:w="15" w:type="dxa"/>
            </w:tcMar>
            <w:vAlign w:val="center"/>
          </w:tcPr>
          <w:p w:rsidR="00BC07F0" w:rsidRDefault="00073EFB">
            <w:pPr>
              <w:pStyle w:val="a7"/>
              <w:rPr>
                <w:rFonts w:hint="default"/>
              </w:rPr>
            </w:pPr>
            <w:r>
              <w:t>化学需氧量</w:t>
            </w:r>
          </w:p>
        </w:tc>
        <w:tc>
          <w:tcPr>
            <w:tcW w:w="1035" w:type="pc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m</w:t>
            </w:r>
            <w:r>
              <w:rPr>
                <w:rFonts w:hint="default"/>
              </w:rPr>
              <w:t>污染物排放速率</w:t>
            </w:r>
          </w:p>
          <w:p w:rsidR="00BC07F0" w:rsidRDefault="00073EFB">
            <w:pPr>
              <w:pStyle w:val="a7"/>
              <w:rPr>
                <w:rFonts w:hint="default"/>
              </w:rPr>
            </w:pPr>
            <w:r>
              <w:rPr>
                <w:rFonts w:hint="default"/>
              </w:rPr>
              <w:t>（正常排放）</w:t>
            </w:r>
          </w:p>
        </w:tc>
        <w:tc>
          <w:tcPr>
            <w:tcW w:w="575" w:type="pct"/>
            <w:tcBorders>
              <w:tl2br w:val="nil"/>
              <w:tr2bl w:val="nil"/>
            </w:tcBorders>
            <w:noWrap/>
            <w:tcMar>
              <w:top w:w="15" w:type="dxa"/>
              <w:left w:w="15" w:type="dxa"/>
              <w:right w:w="15" w:type="dxa"/>
            </w:tcMar>
            <w:vAlign w:val="center"/>
          </w:tcPr>
          <w:p w:rsidR="00BC07F0" w:rsidRDefault="00073EFB">
            <w:pPr>
              <w:pStyle w:val="a7"/>
              <w:rPr>
                <w:rFonts w:hint="default"/>
              </w:rPr>
            </w:pPr>
            <w:r>
              <w:t>2.895</w:t>
            </w:r>
            <w:r>
              <w:rPr>
                <w:rFonts w:hint="default"/>
              </w:rPr>
              <w:t>g/s</w:t>
            </w:r>
          </w:p>
        </w:tc>
        <w:tc>
          <w:tcPr>
            <w:tcW w:w="1052" w:type="pc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h</w:t>
            </w:r>
            <w:r>
              <w:rPr>
                <w:rFonts w:hint="default"/>
              </w:rPr>
              <w:t>断面水深</w:t>
            </w:r>
          </w:p>
        </w:tc>
        <w:tc>
          <w:tcPr>
            <w:tcW w:w="647" w:type="pct"/>
            <w:tcBorders>
              <w:tl2br w:val="nil"/>
              <w:tr2bl w:val="nil"/>
            </w:tcBorders>
            <w:noWrap/>
            <w:tcMar>
              <w:top w:w="15" w:type="dxa"/>
              <w:left w:w="15" w:type="dxa"/>
              <w:right w:w="15" w:type="dxa"/>
            </w:tcMar>
            <w:vAlign w:val="center"/>
          </w:tcPr>
          <w:p w:rsidR="00BC07F0" w:rsidRDefault="00073EFB">
            <w:pPr>
              <w:pStyle w:val="a7"/>
              <w:rPr>
                <w:rFonts w:hint="default"/>
              </w:rPr>
            </w:pPr>
            <w:r>
              <w:t>7.3</w:t>
            </w:r>
            <w:r>
              <w:rPr>
                <w:rFonts w:hint="default"/>
              </w:rPr>
              <w:t>m</w:t>
            </w:r>
          </w:p>
        </w:tc>
        <w:tc>
          <w:tcPr>
            <w:tcW w:w="746" w:type="pc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u</w:t>
            </w:r>
            <w:r>
              <w:rPr>
                <w:rFonts w:hint="default"/>
              </w:rPr>
              <w:t>断面流速</w:t>
            </w:r>
          </w:p>
        </w:tc>
        <w:tc>
          <w:tcPr>
            <w:tcW w:w="588" w:type="pct"/>
            <w:tcBorders>
              <w:tl2br w:val="nil"/>
              <w:tr2bl w:val="nil"/>
            </w:tcBorders>
            <w:noWrap/>
            <w:tcMar>
              <w:top w:w="15" w:type="dxa"/>
              <w:left w:w="15" w:type="dxa"/>
              <w:right w:w="15" w:type="dxa"/>
            </w:tcMar>
            <w:vAlign w:val="center"/>
          </w:tcPr>
          <w:p w:rsidR="00BC07F0" w:rsidRDefault="00073EFB">
            <w:pPr>
              <w:pStyle w:val="a7"/>
              <w:rPr>
                <w:rFonts w:hint="default"/>
              </w:rPr>
            </w:pPr>
            <w:r>
              <w:t>0.2</w:t>
            </w:r>
            <w:r>
              <w:rPr>
                <w:rFonts w:hint="default"/>
              </w:rPr>
              <w:t>m/s</w:t>
            </w:r>
          </w:p>
        </w:tc>
      </w:tr>
      <w:tr w:rsidR="00BC07F0">
        <w:trPr>
          <w:trHeight w:val="397"/>
          <w:jc w:val="center"/>
        </w:trPr>
        <w:tc>
          <w:tcPr>
            <w:tcW w:w="352" w:type="pct"/>
            <w:vMerge/>
            <w:tcBorders>
              <w:tl2br w:val="nil"/>
              <w:tr2bl w:val="nil"/>
            </w:tcBorders>
            <w:noWrap/>
            <w:tcMar>
              <w:top w:w="15" w:type="dxa"/>
              <w:left w:w="15" w:type="dxa"/>
              <w:right w:w="15" w:type="dxa"/>
            </w:tcMar>
            <w:vAlign w:val="center"/>
          </w:tcPr>
          <w:p w:rsidR="00BC07F0" w:rsidRDefault="00BC07F0">
            <w:pPr>
              <w:pStyle w:val="a7"/>
              <w:rPr>
                <w:rFonts w:hint="default"/>
              </w:rPr>
            </w:pPr>
          </w:p>
        </w:tc>
        <w:tc>
          <w:tcPr>
            <w:tcW w:w="1035" w:type="pc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m</w:t>
            </w:r>
            <w:r>
              <w:rPr>
                <w:rFonts w:hint="default"/>
              </w:rPr>
              <w:t>污染物排放速率</w:t>
            </w:r>
          </w:p>
          <w:p w:rsidR="00BC07F0" w:rsidRDefault="00073EFB">
            <w:pPr>
              <w:pStyle w:val="a7"/>
              <w:rPr>
                <w:rFonts w:hint="default"/>
              </w:rPr>
            </w:pPr>
            <w:r>
              <w:rPr>
                <w:rFonts w:hint="default"/>
              </w:rPr>
              <w:t>（非正常排放）</w:t>
            </w:r>
          </w:p>
        </w:tc>
        <w:tc>
          <w:tcPr>
            <w:tcW w:w="575" w:type="pct"/>
            <w:tcBorders>
              <w:tl2br w:val="nil"/>
              <w:tr2bl w:val="nil"/>
            </w:tcBorders>
            <w:noWrap/>
            <w:tcMar>
              <w:top w:w="15" w:type="dxa"/>
              <w:left w:w="15" w:type="dxa"/>
              <w:right w:w="15" w:type="dxa"/>
            </w:tcMar>
            <w:vAlign w:val="center"/>
          </w:tcPr>
          <w:p w:rsidR="00BC07F0" w:rsidRDefault="00073EFB">
            <w:pPr>
              <w:pStyle w:val="a7"/>
              <w:rPr>
                <w:rFonts w:hint="default"/>
              </w:rPr>
            </w:pPr>
            <w:r>
              <w:t>17.37</w:t>
            </w:r>
            <w:r>
              <w:rPr>
                <w:rFonts w:hint="default"/>
              </w:rPr>
              <w:t>g/s</w:t>
            </w:r>
          </w:p>
        </w:tc>
        <w:tc>
          <w:tcPr>
            <w:tcW w:w="1052" w:type="pc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Ex</w:t>
            </w:r>
            <w:r>
              <w:rPr>
                <w:rFonts w:hint="default"/>
              </w:rPr>
              <w:t>纵向扩散系数</w:t>
            </w:r>
          </w:p>
        </w:tc>
        <w:tc>
          <w:tcPr>
            <w:tcW w:w="647" w:type="pct"/>
            <w:tcBorders>
              <w:tl2br w:val="nil"/>
              <w:tr2bl w:val="nil"/>
            </w:tcBorders>
            <w:noWrap/>
            <w:tcMar>
              <w:top w:w="15" w:type="dxa"/>
              <w:left w:w="15" w:type="dxa"/>
              <w:right w:w="15" w:type="dxa"/>
            </w:tcMar>
            <w:vAlign w:val="center"/>
          </w:tcPr>
          <w:p w:rsidR="00BC07F0" w:rsidRDefault="00073EFB">
            <w:pPr>
              <w:pStyle w:val="a7"/>
              <w:rPr>
                <w:rFonts w:hint="default"/>
              </w:rPr>
            </w:pPr>
            <w:r>
              <w:t>0.3854</w:t>
            </w:r>
            <w:r>
              <w:rPr>
                <w:rFonts w:hint="default"/>
              </w:rPr>
              <w:t>m</w:t>
            </w:r>
            <w:r>
              <w:rPr>
                <w:rFonts w:hint="default"/>
                <w:vertAlign w:val="superscript"/>
              </w:rPr>
              <w:t>2</w:t>
            </w:r>
            <w:r>
              <w:rPr>
                <w:rFonts w:hint="default"/>
              </w:rPr>
              <w:t>/s</w:t>
            </w:r>
          </w:p>
        </w:tc>
        <w:tc>
          <w:tcPr>
            <w:tcW w:w="746" w:type="pc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Ey</w:t>
            </w:r>
            <w:r>
              <w:rPr>
                <w:rFonts w:hint="default"/>
              </w:rPr>
              <w:t>横向扩散系数</w:t>
            </w:r>
          </w:p>
        </w:tc>
        <w:tc>
          <w:tcPr>
            <w:tcW w:w="588" w:type="pct"/>
            <w:tcBorders>
              <w:tl2br w:val="nil"/>
              <w:tr2bl w:val="nil"/>
            </w:tcBorders>
            <w:noWrap/>
            <w:tcMar>
              <w:top w:w="15" w:type="dxa"/>
              <w:left w:w="15" w:type="dxa"/>
              <w:right w:w="15" w:type="dxa"/>
            </w:tcMar>
            <w:vAlign w:val="center"/>
          </w:tcPr>
          <w:p w:rsidR="00BC07F0" w:rsidRDefault="00073EFB">
            <w:pPr>
              <w:pStyle w:val="a7"/>
              <w:rPr>
                <w:rFonts w:hint="default"/>
              </w:rPr>
            </w:pPr>
            <w:r>
              <w:t>0.78</w:t>
            </w:r>
            <w:r>
              <w:rPr>
                <w:rFonts w:hint="default"/>
              </w:rPr>
              <w:t>m2/s</w:t>
            </w:r>
          </w:p>
        </w:tc>
      </w:tr>
      <w:tr w:rsidR="00BC07F0">
        <w:trPr>
          <w:trHeight w:val="397"/>
          <w:jc w:val="center"/>
        </w:trPr>
        <w:tc>
          <w:tcPr>
            <w:tcW w:w="352" w:type="pct"/>
            <w:vMerge/>
            <w:tcBorders>
              <w:tl2br w:val="nil"/>
              <w:tr2bl w:val="nil"/>
            </w:tcBorders>
            <w:noWrap/>
            <w:tcMar>
              <w:top w:w="15" w:type="dxa"/>
              <w:left w:w="15" w:type="dxa"/>
              <w:right w:w="15" w:type="dxa"/>
            </w:tcMar>
            <w:vAlign w:val="center"/>
          </w:tcPr>
          <w:p w:rsidR="00BC07F0" w:rsidRDefault="00BC07F0">
            <w:pPr>
              <w:pStyle w:val="a7"/>
              <w:rPr>
                <w:rFonts w:hint="default"/>
              </w:rPr>
            </w:pPr>
          </w:p>
        </w:tc>
        <w:tc>
          <w:tcPr>
            <w:tcW w:w="1035" w:type="pct"/>
            <w:tcBorders>
              <w:tl2br w:val="nil"/>
              <w:tr2bl w:val="nil"/>
            </w:tcBorders>
            <w:noWrap/>
            <w:tcMar>
              <w:top w:w="15" w:type="dxa"/>
              <w:left w:w="15" w:type="dxa"/>
              <w:right w:w="15" w:type="dxa"/>
            </w:tcMar>
            <w:vAlign w:val="center"/>
          </w:tcPr>
          <w:p w:rsidR="00BC07F0" w:rsidRDefault="00073EFB">
            <w:pPr>
              <w:pStyle w:val="a7"/>
              <w:rPr>
                <w:rFonts w:hint="default"/>
              </w:rPr>
            </w:pPr>
            <w:r>
              <w:t>/</w:t>
            </w:r>
          </w:p>
        </w:tc>
        <w:tc>
          <w:tcPr>
            <w:tcW w:w="575" w:type="pct"/>
            <w:tcBorders>
              <w:tl2br w:val="nil"/>
              <w:tr2bl w:val="nil"/>
            </w:tcBorders>
            <w:noWrap/>
            <w:tcMar>
              <w:top w:w="15" w:type="dxa"/>
              <w:left w:w="15" w:type="dxa"/>
              <w:right w:w="15" w:type="dxa"/>
            </w:tcMar>
            <w:vAlign w:val="center"/>
          </w:tcPr>
          <w:p w:rsidR="00BC07F0" w:rsidRDefault="00073EFB">
            <w:pPr>
              <w:pStyle w:val="a7"/>
              <w:rPr>
                <w:rFonts w:hint="default"/>
              </w:rPr>
            </w:pPr>
            <w:r>
              <w:t>/</w:t>
            </w:r>
          </w:p>
        </w:tc>
        <w:tc>
          <w:tcPr>
            <w:tcW w:w="1052" w:type="pc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k</w:t>
            </w:r>
            <w:r>
              <w:rPr>
                <w:rFonts w:hint="default"/>
              </w:rPr>
              <w:t>污染物综合衰减系数</w:t>
            </w:r>
          </w:p>
        </w:tc>
        <w:tc>
          <w:tcPr>
            <w:tcW w:w="647" w:type="pct"/>
            <w:tcBorders>
              <w:tl2br w:val="nil"/>
              <w:tr2bl w:val="nil"/>
            </w:tcBorders>
            <w:noWrap/>
            <w:tcMar>
              <w:top w:w="15" w:type="dxa"/>
              <w:left w:w="15" w:type="dxa"/>
              <w:right w:w="15" w:type="dxa"/>
            </w:tcMar>
            <w:vAlign w:val="center"/>
          </w:tcPr>
          <w:p w:rsidR="00BC07F0" w:rsidRDefault="00073EFB">
            <w:pPr>
              <w:pStyle w:val="a7"/>
              <w:rPr>
                <w:rFonts w:hint="default"/>
              </w:rPr>
            </w:pPr>
            <w:r>
              <w:t>1.74</w:t>
            </w:r>
            <w:r>
              <w:rPr>
                <w:rFonts w:hint="default"/>
              </w:rPr>
              <w:t>E-061/s</w:t>
            </w:r>
          </w:p>
        </w:tc>
        <w:tc>
          <w:tcPr>
            <w:tcW w:w="746" w:type="pct"/>
            <w:tcBorders>
              <w:tl2br w:val="nil"/>
              <w:tr2bl w:val="nil"/>
            </w:tcBorders>
            <w:noWrap/>
            <w:tcMar>
              <w:top w:w="15" w:type="dxa"/>
              <w:left w:w="15" w:type="dxa"/>
              <w:right w:w="15" w:type="dxa"/>
            </w:tcMar>
            <w:vAlign w:val="center"/>
          </w:tcPr>
          <w:p w:rsidR="00BC07F0" w:rsidRDefault="00073EFB">
            <w:pPr>
              <w:pStyle w:val="a7"/>
              <w:rPr>
                <w:rFonts w:hint="default"/>
              </w:rPr>
            </w:pPr>
            <w:r>
              <w:rPr>
                <w:rFonts w:hint="default"/>
              </w:rPr>
              <w:t>Ch</w:t>
            </w:r>
            <w:r>
              <w:rPr>
                <w:rFonts w:hint="default"/>
              </w:rPr>
              <w:t>（本底值）</w:t>
            </w:r>
          </w:p>
        </w:tc>
        <w:tc>
          <w:tcPr>
            <w:tcW w:w="588" w:type="pct"/>
            <w:tcBorders>
              <w:tl2br w:val="nil"/>
              <w:tr2bl w:val="nil"/>
            </w:tcBorders>
            <w:noWrap/>
            <w:tcMar>
              <w:top w:w="15" w:type="dxa"/>
              <w:left w:w="15" w:type="dxa"/>
              <w:right w:w="15" w:type="dxa"/>
            </w:tcMar>
            <w:vAlign w:val="center"/>
          </w:tcPr>
          <w:p w:rsidR="00BC07F0" w:rsidRDefault="00073EFB">
            <w:pPr>
              <w:pStyle w:val="a7"/>
              <w:rPr>
                <w:rFonts w:hint="default"/>
              </w:rPr>
            </w:pPr>
            <w:r>
              <w:t>14</w:t>
            </w:r>
            <w:r>
              <w:rPr>
                <w:rFonts w:hint="default"/>
              </w:rPr>
              <w:t>mg/</w:t>
            </w:r>
            <w:r>
              <w:t>L</w:t>
            </w:r>
          </w:p>
        </w:tc>
      </w:tr>
    </w:tbl>
    <w:p w:rsidR="00BC07F0" w:rsidRDefault="00073EFB" w:rsidP="00C55F5E">
      <w:pPr>
        <w:ind w:firstLine="480"/>
      </w:pPr>
      <w:r>
        <w:t>排放预测结果：</w:t>
      </w:r>
    </w:p>
    <w:p w:rsidR="00BC07F0" w:rsidRDefault="00073EFB">
      <w:pPr>
        <w:pStyle w:val="a7"/>
        <w:rPr>
          <w:rFonts w:hint="default"/>
          <w:b/>
          <w:bCs/>
        </w:rPr>
      </w:pPr>
      <w:r>
        <w:rPr>
          <w:rFonts w:hint="default"/>
          <w:b/>
          <w:bCs/>
        </w:rPr>
        <w:t>表</w:t>
      </w:r>
      <w:r>
        <w:rPr>
          <w:b/>
          <w:bCs/>
        </w:rPr>
        <w:t>6.3-4</w:t>
      </w:r>
      <w:r>
        <w:rPr>
          <w:rFonts w:hint="default"/>
          <w:b/>
          <w:bCs/>
        </w:rPr>
        <w:t>枯水期尾水河流预测点浓度预测值</w:t>
      </w:r>
      <w:r>
        <w:rPr>
          <w:rFonts w:hint="default"/>
          <w:b/>
          <w:bCs/>
        </w:rPr>
        <w:t>（</w:t>
      </w:r>
      <w:r>
        <w:rPr>
          <w:rFonts w:hint="default"/>
          <w:b/>
          <w:bCs/>
        </w:rPr>
        <w:t>正常排放</w:t>
      </w:r>
      <w:r>
        <w:rPr>
          <w:rFonts w:hint="default"/>
          <w:b/>
          <w:bCs/>
        </w:rPr>
        <w:t>COD</w:t>
      </w:r>
      <w:r>
        <w:rPr>
          <w:rFonts w:hint="default"/>
          <w:b/>
          <w:bCs/>
        </w:rPr>
        <w:t>）</w:t>
      </w:r>
      <w:r>
        <w:rPr>
          <w:rFonts w:hint="default"/>
          <w:b/>
          <w:bCs/>
        </w:rPr>
        <w:t>单位：</w:t>
      </w:r>
      <w:r>
        <w:rPr>
          <w:rFonts w:hint="default"/>
          <w:b/>
          <w:bCs/>
        </w:rPr>
        <w:t>mg/L</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5"/>
        <w:gridCol w:w="1098"/>
        <w:gridCol w:w="1098"/>
        <w:gridCol w:w="1098"/>
        <w:gridCol w:w="1098"/>
        <w:gridCol w:w="1098"/>
        <w:gridCol w:w="1099"/>
        <w:gridCol w:w="1103"/>
      </w:tblGrid>
      <w:tr w:rsidR="00BC07F0">
        <w:trPr>
          <w:trHeight w:val="397"/>
          <w:jc w:val="center"/>
        </w:trPr>
        <w:tc>
          <w:tcPr>
            <w:tcW w:w="751" w:type="pct"/>
            <w:tcBorders>
              <w:tl2br w:val="nil"/>
              <w:tr2bl w:val="nil"/>
            </w:tcBorders>
            <w:shd w:val="clear" w:color="auto" w:fill="auto"/>
            <w:noWrap/>
            <w:vAlign w:val="center"/>
          </w:tcPr>
          <w:p w:rsidR="00BC07F0" w:rsidRDefault="00073EFB">
            <w:pPr>
              <w:pStyle w:val="a7"/>
              <w:rPr>
                <w:rFonts w:hint="default"/>
              </w:rPr>
            </w:pPr>
            <w:r>
              <w:rPr>
                <w:rFonts w:hint="default"/>
              </w:rPr>
              <w:t>X</w:t>
            </w:r>
          </w:p>
          <w:p w:rsidR="00BC07F0" w:rsidRDefault="00073EFB">
            <w:pPr>
              <w:pStyle w:val="a7"/>
              <w:rPr>
                <w:rFonts w:hint="default"/>
              </w:rPr>
            </w:pPr>
            <w:r>
              <w:rPr>
                <w:rFonts w:hint="default"/>
              </w:rPr>
              <w:t>Y</w:t>
            </w:r>
          </w:p>
        </w:tc>
        <w:tc>
          <w:tcPr>
            <w:tcW w:w="606" w:type="pct"/>
            <w:tcBorders>
              <w:tl2br w:val="nil"/>
              <w:tr2bl w:val="nil"/>
            </w:tcBorders>
            <w:shd w:val="clear" w:color="auto" w:fill="DDEBF7"/>
            <w:vAlign w:val="center"/>
          </w:tcPr>
          <w:p w:rsidR="00BC07F0" w:rsidRDefault="00073EFB">
            <w:pPr>
              <w:pStyle w:val="a7"/>
              <w:rPr>
                <w:rFonts w:hint="default"/>
              </w:rPr>
            </w:pPr>
            <w:r>
              <w:t>1</w:t>
            </w:r>
          </w:p>
        </w:tc>
        <w:tc>
          <w:tcPr>
            <w:tcW w:w="606" w:type="pct"/>
            <w:tcBorders>
              <w:tl2br w:val="nil"/>
              <w:tr2bl w:val="nil"/>
            </w:tcBorders>
            <w:shd w:val="clear" w:color="auto" w:fill="DDEBF7"/>
            <w:vAlign w:val="center"/>
          </w:tcPr>
          <w:p w:rsidR="00BC07F0" w:rsidRDefault="00073EFB">
            <w:pPr>
              <w:pStyle w:val="a7"/>
              <w:rPr>
                <w:rFonts w:hint="default"/>
              </w:rPr>
            </w:pPr>
            <w:r>
              <w:t>10</w:t>
            </w:r>
          </w:p>
        </w:tc>
        <w:tc>
          <w:tcPr>
            <w:tcW w:w="606" w:type="pct"/>
            <w:tcBorders>
              <w:tl2br w:val="nil"/>
              <w:tr2bl w:val="nil"/>
            </w:tcBorders>
            <w:shd w:val="clear" w:color="auto" w:fill="DDEBF7"/>
            <w:vAlign w:val="center"/>
          </w:tcPr>
          <w:p w:rsidR="00BC07F0" w:rsidRDefault="00073EFB">
            <w:pPr>
              <w:pStyle w:val="a7"/>
              <w:rPr>
                <w:rFonts w:hint="default"/>
              </w:rPr>
            </w:pPr>
            <w:r>
              <w:t>50</w:t>
            </w:r>
          </w:p>
        </w:tc>
        <w:tc>
          <w:tcPr>
            <w:tcW w:w="606" w:type="pct"/>
            <w:tcBorders>
              <w:tl2br w:val="nil"/>
              <w:tr2bl w:val="nil"/>
            </w:tcBorders>
            <w:shd w:val="clear" w:color="auto" w:fill="DDEBF7"/>
            <w:vAlign w:val="center"/>
          </w:tcPr>
          <w:p w:rsidR="00BC07F0" w:rsidRDefault="00073EFB">
            <w:pPr>
              <w:pStyle w:val="a7"/>
              <w:rPr>
                <w:rFonts w:hint="default"/>
              </w:rPr>
            </w:pPr>
            <w:r>
              <w:t>100</w:t>
            </w:r>
          </w:p>
        </w:tc>
        <w:tc>
          <w:tcPr>
            <w:tcW w:w="606" w:type="pct"/>
            <w:tcBorders>
              <w:tl2br w:val="nil"/>
              <w:tr2bl w:val="nil"/>
            </w:tcBorders>
            <w:shd w:val="clear" w:color="auto" w:fill="DDEBF7"/>
            <w:vAlign w:val="center"/>
          </w:tcPr>
          <w:p w:rsidR="00BC07F0" w:rsidRDefault="00073EFB">
            <w:pPr>
              <w:pStyle w:val="a7"/>
              <w:rPr>
                <w:rFonts w:hint="default"/>
              </w:rPr>
            </w:pPr>
            <w:r>
              <w:t>200</w:t>
            </w:r>
          </w:p>
        </w:tc>
        <w:tc>
          <w:tcPr>
            <w:tcW w:w="606" w:type="pct"/>
            <w:tcBorders>
              <w:tl2br w:val="nil"/>
              <w:tr2bl w:val="nil"/>
            </w:tcBorders>
            <w:shd w:val="clear" w:color="auto" w:fill="DDEBF7"/>
            <w:vAlign w:val="center"/>
          </w:tcPr>
          <w:p w:rsidR="00BC07F0" w:rsidRDefault="00073EFB">
            <w:pPr>
              <w:pStyle w:val="a7"/>
              <w:rPr>
                <w:rFonts w:hint="default"/>
              </w:rPr>
            </w:pPr>
            <w:r>
              <w:t>250</w:t>
            </w:r>
          </w:p>
        </w:tc>
        <w:tc>
          <w:tcPr>
            <w:tcW w:w="608" w:type="pct"/>
            <w:tcBorders>
              <w:tl2br w:val="nil"/>
              <w:tr2bl w:val="nil"/>
            </w:tcBorders>
            <w:shd w:val="clear" w:color="auto" w:fill="DDEBF7"/>
            <w:vAlign w:val="center"/>
          </w:tcPr>
          <w:p w:rsidR="00BC07F0" w:rsidRDefault="00073EFB">
            <w:pPr>
              <w:pStyle w:val="a7"/>
              <w:rPr>
                <w:rFonts w:hint="default"/>
              </w:rPr>
            </w:pPr>
            <w:r>
              <w:t>520</w:t>
            </w:r>
          </w:p>
        </w:tc>
      </w:tr>
      <w:tr w:rsidR="00BC07F0">
        <w:trPr>
          <w:trHeight w:val="397"/>
          <w:jc w:val="center"/>
        </w:trPr>
        <w:tc>
          <w:tcPr>
            <w:tcW w:w="751" w:type="pct"/>
            <w:tcBorders>
              <w:tl2br w:val="nil"/>
              <w:tr2bl w:val="nil"/>
            </w:tcBorders>
            <w:shd w:val="clear" w:color="auto" w:fill="E2EFDA"/>
            <w:noWrap/>
            <w:vAlign w:val="center"/>
          </w:tcPr>
          <w:p w:rsidR="00BC07F0" w:rsidRDefault="00073EFB">
            <w:pPr>
              <w:pStyle w:val="a7"/>
              <w:rPr>
                <w:rFonts w:hint="default"/>
              </w:rPr>
            </w:pPr>
            <w:r>
              <w:rPr>
                <w:rFonts w:hint="default"/>
              </w:rPr>
              <w:t>10</w:t>
            </w:r>
          </w:p>
        </w:tc>
        <w:tc>
          <w:tcPr>
            <w:tcW w:w="1098" w:type="dxa"/>
            <w:tcBorders>
              <w:tl2br w:val="nil"/>
              <w:tr2bl w:val="nil"/>
            </w:tcBorders>
            <w:noWrap/>
            <w:vAlign w:val="center"/>
          </w:tcPr>
          <w:p w:rsidR="00BC07F0" w:rsidRDefault="00073EFB">
            <w:pPr>
              <w:pStyle w:val="a7"/>
              <w:rPr>
                <w:rFonts w:hint="default"/>
              </w:rPr>
            </w:pPr>
            <w:r>
              <w:t>14.213</w:t>
            </w:r>
          </w:p>
        </w:tc>
        <w:tc>
          <w:tcPr>
            <w:tcW w:w="1098" w:type="dxa"/>
            <w:tcBorders>
              <w:tl2br w:val="nil"/>
              <w:tr2bl w:val="nil"/>
            </w:tcBorders>
            <w:noWrap/>
            <w:vAlign w:val="center"/>
          </w:tcPr>
          <w:p w:rsidR="00BC07F0" w:rsidRDefault="00073EFB">
            <w:pPr>
              <w:pStyle w:val="a7"/>
              <w:rPr>
                <w:rFonts w:hint="default"/>
              </w:rPr>
            </w:pPr>
            <w:r>
              <w:t>14.113</w:t>
            </w:r>
          </w:p>
        </w:tc>
        <w:tc>
          <w:tcPr>
            <w:tcW w:w="1098" w:type="dxa"/>
            <w:tcBorders>
              <w:tl2br w:val="nil"/>
              <w:tr2bl w:val="nil"/>
            </w:tcBorders>
            <w:noWrap/>
            <w:vAlign w:val="center"/>
          </w:tcPr>
          <w:p w:rsidR="00BC07F0" w:rsidRDefault="00073EFB">
            <w:pPr>
              <w:pStyle w:val="a7"/>
              <w:rPr>
                <w:rFonts w:hint="default"/>
              </w:rPr>
            </w:pPr>
            <w:r>
              <w:t>14.000</w:t>
            </w:r>
          </w:p>
        </w:tc>
        <w:tc>
          <w:tcPr>
            <w:tcW w:w="1098" w:type="dxa"/>
            <w:tcBorders>
              <w:tl2br w:val="nil"/>
              <w:tr2bl w:val="nil"/>
            </w:tcBorders>
            <w:noWrap/>
            <w:vAlign w:val="center"/>
          </w:tcPr>
          <w:p w:rsidR="00BC07F0" w:rsidRDefault="00073EFB">
            <w:pPr>
              <w:pStyle w:val="a7"/>
              <w:rPr>
                <w:rFonts w:hint="default"/>
              </w:rPr>
            </w:pPr>
            <w:r>
              <w:t>14.000</w:t>
            </w:r>
          </w:p>
        </w:tc>
        <w:tc>
          <w:tcPr>
            <w:tcW w:w="1098" w:type="dxa"/>
            <w:tcBorders>
              <w:tl2br w:val="nil"/>
              <w:tr2bl w:val="nil"/>
            </w:tcBorders>
            <w:noWrap/>
            <w:vAlign w:val="center"/>
          </w:tcPr>
          <w:p w:rsidR="00BC07F0" w:rsidRDefault="00073EFB">
            <w:pPr>
              <w:pStyle w:val="a7"/>
              <w:rPr>
                <w:rFonts w:hint="default"/>
              </w:rPr>
            </w:pPr>
            <w:r>
              <w:t>14.000</w:t>
            </w:r>
          </w:p>
        </w:tc>
        <w:tc>
          <w:tcPr>
            <w:tcW w:w="1099" w:type="dxa"/>
            <w:tcBorders>
              <w:tl2br w:val="nil"/>
              <w:tr2bl w:val="nil"/>
            </w:tcBorders>
            <w:noWrap/>
            <w:vAlign w:val="center"/>
          </w:tcPr>
          <w:p w:rsidR="00BC07F0" w:rsidRDefault="00073EFB">
            <w:pPr>
              <w:pStyle w:val="a7"/>
              <w:rPr>
                <w:rFonts w:hint="default"/>
              </w:rPr>
            </w:pPr>
            <w:r>
              <w:t>14.000</w:t>
            </w:r>
          </w:p>
        </w:tc>
        <w:tc>
          <w:tcPr>
            <w:tcW w:w="1103" w:type="dxa"/>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751" w:type="pct"/>
            <w:tcBorders>
              <w:tl2br w:val="nil"/>
              <w:tr2bl w:val="nil"/>
            </w:tcBorders>
            <w:shd w:val="clear" w:color="auto" w:fill="E2EFDA"/>
            <w:noWrap/>
            <w:vAlign w:val="center"/>
          </w:tcPr>
          <w:p w:rsidR="00BC07F0" w:rsidRDefault="00073EFB">
            <w:pPr>
              <w:pStyle w:val="a7"/>
              <w:rPr>
                <w:rFonts w:hint="default"/>
              </w:rPr>
            </w:pPr>
            <w:r>
              <w:rPr>
                <w:rFonts w:hint="default"/>
              </w:rPr>
              <w:t>50</w:t>
            </w:r>
          </w:p>
        </w:tc>
        <w:tc>
          <w:tcPr>
            <w:tcW w:w="1098" w:type="dxa"/>
            <w:tcBorders>
              <w:tl2br w:val="nil"/>
              <w:tr2bl w:val="nil"/>
            </w:tcBorders>
            <w:noWrap/>
            <w:vAlign w:val="center"/>
          </w:tcPr>
          <w:p w:rsidR="00BC07F0" w:rsidRDefault="00073EFB">
            <w:pPr>
              <w:pStyle w:val="a7"/>
              <w:rPr>
                <w:rFonts w:hint="default"/>
              </w:rPr>
            </w:pPr>
            <w:r>
              <w:t>14.095</w:t>
            </w:r>
          </w:p>
        </w:tc>
        <w:tc>
          <w:tcPr>
            <w:tcW w:w="1098" w:type="dxa"/>
            <w:tcBorders>
              <w:tl2br w:val="nil"/>
              <w:tr2bl w:val="nil"/>
            </w:tcBorders>
            <w:noWrap/>
            <w:vAlign w:val="center"/>
          </w:tcPr>
          <w:p w:rsidR="00BC07F0" w:rsidRDefault="00073EFB">
            <w:pPr>
              <w:pStyle w:val="a7"/>
              <w:rPr>
                <w:rFonts w:hint="default"/>
              </w:rPr>
            </w:pPr>
            <w:r>
              <w:t>14.084</w:t>
            </w:r>
          </w:p>
        </w:tc>
        <w:tc>
          <w:tcPr>
            <w:tcW w:w="1098" w:type="dxa"/>
            <w:tcBorders>
              <w:tl2br w:val="nil"/>
              <w:tr2bl w:val="nil"/>
            </w:tcBorders>
            <w:noWrap/>
            <w:vAlign w:val="center"/>
          </w:tcPr>
          <w:p w:rsidR="00BC07F0" w:rsidRDefault="00073EFB">
            <w:pPr>
              <w:pStyle w:val="a7"/>
              <w:rPr>
                <w:rFonts w:hint="default"/>
              </w:rPr>
            </w:pPr>
            <w:r>
              <w:t>14.004</w:t>
            </w:r>
          </w:p>
        </w:tc>
        <w:tc>
          <w:tcPr>
            <w:tcW w:w="1098" w:type="dxa"/>
            <w:tcBorders>
              <w:tl2br w:val="nil"/>
              <w:tr2bl w:val="nil"/>
            </w:tcBorders>
            <w:noWrap/>
            <w:vAlign w:val="center"/>
          </w:tcPr>
          <w:p w:rsidR="00BC07F0" w:rsidRDefault="00073EFB">
            <w:pPr>
              <w:pStyle w:val="a7"/>
              <w:rPr>
                <w:rFonts w:hint="default"/>
              </w:rPr>
            </w:pPr>
            <w:r>
              <w:t>14.000</w:t>
            </w:r>
          </w:p>
        </w:tc>
        <w:tc>
          <w:tcPr>
            <w:tcW w:w="1098" w:type="dxa"/>
            <w:tcBorders>
              <w:tl2br w:val="nil"/>
              <w:tr2bl w:val="nil"/>
            </w:tcBorders>
            <w:noWrap/>
            <w:vAlign w:val="center"/>
          </w:tcPr>
          <w:p w:rsidR="00BC07F0" w:rsidRDefault="00073EFB">
            <w:pPr>
              <w:pStyle w:val="a7"/>
              <w:rPr>
                <w:rFonts w:hint="default"/>
              </w:rPr>
            </w:pPr>
            <w:r>
              <w:t>14.000</w:t>
            </w:r>
          </w:p>
        </w:tc>
        <w:tc>
          <w:tcPr>
            <w:tcW w:w="1099" w:type="dxa"/>
            <w:tcBorders>
              <w:tl2br w:val="nil"/>
              <w:tr2bl w:val="nil"/>
            </w:tcBorders>
            <w:noWrap/>
            <w:vAlign w:val="center"/>
          </w:tcPr>
          <w:p w:rsidR="00BC07F0" w:rsidRDefault="00073EFB">
            <w:pPr>
              <w:pStyle w:val="a7"/>
              <w:rPr>
                <w:rFonts w:hint="default"/>
              </w:rPr>
            </w:pPr>
            <w:r>
              <w:t>14.000</w:t>
            </w:r>
          </w:p>
        </w:tc>
        <w:tc>
          <w:tcPr>
            <w:tcW w:w="1103" w:type="dxa"/>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751" w:type="pct"/>
            <w:tcBorders>
              <w:tl2br w:val="nil"/>
              <w:tr2bl w:val="nil"/>
            </w:tcBorders>
            <w:shd w:val="clear" w:color="auto" w:fill="E2EFDA"/>
            <w:noWrap/>
            <w:vAlign w:val="center"/>
          </w:tcPr>
          <w:p w:rsidR="00BC07F0" w:rsidRDefault="00073EFB">
            <w:pPr>
              <w:pStyle w:val="a7"/>
              <w:rPr>
                <w:rFonts w:hint="default"/>
              </w:rPr>
            </w:pPr>
            <w:r>
              <w:rPr>
                <w:rFonts w:hint="default"/>
              </w:rPr>
              <w:t>100</w:t>
            </w:r>
          </w:p>
        </w:tc>
        <w:tc>
          <w:tcPr>
            <w:tcW w:w="1098" w:type="dxa"/>
            <w:tcBorders>
              <w:tl2br w:val="nil"/>
              <w:tr2bl w:val="nil"/>
            </w:tcBorders>
            <w:noWrap/>
            <w:vAlign w:val="center"/>
          </w:tcPr>
          <w:p w:rsidR="00BC07F0" w:rsidRDefault="00073EFB">
            <w:pPr>
              <w:pStyle w:val="a7"/>
              <w:rPr>
                <w:rFonts w:hint="default"/>
              </w:rPr>
            </w:pPr>
            <w:r>
              <w:t>14.068</w:t>
            </w:r>
          </w:p>
        </w:tc>
        <w:tc>
          <w:tcPr>
            <w:tcW w:w="1098" w:type="dxa"/>
            <w:tcBorders>
              <w:tl2br w:val="nil"/>
              <w:tr2bl w:val="nil"/>
            </w:tcBorders>
            <w:noWrap/>
            <w:vAlign w:val="center"/>
          </w:tcPr>
          <w:p w:rsidR="00BC07F0" w:rsidRDefault="00073EFB">
            <w:pPr>
              <w:pStyle w:val="a7"/>
              <w:rPr>
                <w:rFonts w:hint="default"/>
              </w:rPr>
            </w:pPr>
            <w:r>
              <w:t>14.063</w:t>
            </w:r>
          </w:p>
        </w:tc>
        <w:tc>
          <w:tcPr>
            <w:tcW w:w="1098" w:type="dxa"/>
            <w:tcBorders>
              <w:tl2br w:val="nil"/>
              <w:tr2bl w:val="nil"/>
            </w:tcBorders>
            <w:noWrap/>
            <w:vAlign w:val="center"/>
          </w:tcPr>
          <w:p w:rsidR="00BC07F0" w:rsidRDefault="00073EFB">
            <w:pPr>
              <w:pStyle w:val="a7"/>
              <w:rPr>
                <w:rFonts w:hint="default"/>
              </w:rPr>
            </w:pPr>
            <w:r>
              <w:t>14.014</w:t>
            </w:r>
          </w:p>
        </w:tc>
        <w:tc>
          <w:tcPr>
            <w:tcW w:w="1098" w:type="dxa"/>
            <w:tcBorders>
              <w:tl2br w:val="nil"/>
              <w:tr2bl w:val="nil"/>
            </w:tcBorders>
            <w:noWrap/>
            <w:vAlign w:val="center"/>
          </w:tcPr>
          <w:p w:rsidR="00BC07F0" w:rsidRDefault="00073EFB">
            <w:pPr>
              <w:pStyle w:val="a7"/>
              <w:rPr>
                <w:rFonts w:hint="default"/>
              </w:rPr>
            </w:pPr>
            <w:r>
              <w:t>14.000</w:t>
            </w:r>
          </w:p>
        </w:tc>
        <w:tc>
          <w:tcPr>
            <w:tcW w:w="1098" w:type="dxa"/>
            <w:tcBorders>
              <w:tl2br w:val="nil"/>
              <w:tr2bl w:val="nil"/>
            </w:tcBorders>
            <w:noWrap/>
            <w:vAlign w:val="center"/>
          </w:tcPr>
          <w:p w:rsidR="00BC07F0" w:rsidRDefault="00073EFB">
            <w:pPr>
              <w:pStyle w:val="a7"/>
              <w:rPr>
                <w:rFonts w:hint="default"/>
              </w:rPr>
            </w:pPr>
            <w:r>
              <w:t>14.000</w:t>
            </w:r>
          </w:p>
        </w:tc>
        <w:tc>
          <w:tcPr>
            <w:tcW w:w="1099" w:type="dxa"/>
            <w:tcBorders>
              <w:tl2br w:val="nil"/>
              <w:tr2bl w:val="nil"/>
            </w:tcBorders>
            <w:noWrap/>
            <w:vAlign w:val="center"/>
          </w:tcPr>
          <w:p w:rsidR="00BC07F0" w:rsidRDefault="00073EFB">
            <w:pPr>
              <w:pStyle w:val="a7"/>
              <w:rPr>
                <w:rFonts w:hint="default"/>
              </w:rPr>
            </w:pPr>
            <w:r>
              <w:t>14.000</w:t>
            </w:r>
          </w:p>
        </w:tc>
        <w:tc>
          <w:tcPr>
            <w:tcW w:w="1103" w:type="dxa"/>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751" w:type="pct"/>
            <w:tcBorders>
              <w:tl2br w:val="nil"/>
              <w:tr2bl w:val="nil"/>
            </w:tcBorders>
            <w:shd w:val="clear" w:color="auto" w:fill="E2EFDA"/>
            <w:noWrap/>
            <w:vAlign w:val="center"/>
          </w:tcPr>
          <w:p w:rsidR="00BC07F0" w:rsidRDefault="00073EFB">
            <w:pPr>
              <w:pStyle w:val="a7"/>
              <w:rPr>
                <w:rFonts w:hint="default"/>
              </w:rPr>
            </w:pPr>
            <w:r>
              <w:rPr>
                <w:rFonts w:hint="default"/>
              </w:rPr>
              <w:t>200</w:t>
            </w:r>
          </w:p>
        </w:tc>
        <w:tc>
          <w:tcPr>
            <w:tcW w:w="1098" w:type="dxa"/>
            <w:tcBorders>
              <w:tl2br w:val="nil"/>
              <w:tr2bl w:val="nil"/>
            </w:tcBorders>
            <w:noWrap/>
            <w:vAlign w:val="center"/>
          </w:tcPr>
          <w:p w:rsidR="00BC07F0" w:rsidRDefault="00073EFB">
            <w:pPr>
              <w:pStyle w:val="a7"/>
              <w:rPr>
                <w:rFonts w:hint="default"/>
              </w:rPr>
            </w:pPr>
            <w:r>
              <w:t>14.048</w:t>
            </w:r>
          </w:p>
        </w:tc>
        <w:tc>
          <w:tcPr>
            <w:tcW w:w="1098" w:type="dxa"/>
            <w:tcBorders>
              <w:tl2br w:val="nil"/>
              <w:tr2bl w:val="nil"/>
            </w:tcBorders>
            <w:noWrap/>
            <w:vAlign w:val="center"/>
          </w:tcPr>
          <w:p w:rsidR="00BC07F0" w:rsidRDefault="00073EFB">
            <w:pPr>
              <w:pStyle w:val="a7"/>
              <w:rPr>
                <w:rFonts w:hint="default"/>
              </w:rPr>
            </w:pPr>
            <w:r>
              <w:t>14.046</w:t>
            </w:r>
          </w:p>
        </w:tc>
        <w:tc>
          <w:tcPr>
            <w:tcW w:w="1098" w:type="dxa"/>
            <w:tcBorders>
              <w:tl2br w:val="nil"/>
              <w:tr2bl w:val="nil"/>
            </w:tcBorders>
            <w:noWrap/>
            <w:vAlign w:val="center"/>
          </w:tcPr>
          <w:p w:rsidR="00BC07F0" w:rsidRDefault="00073EFB">
            <w:pPr>
              <w:pStyle w:val="a7"/>
              <w:rPr>
                <w:rFonts w:hint="default"/>
              </w:rPr>
            </w:pPr>
            <w:r>
              <w:t>14.022</w:t>
            </w:r>
          </w:p>
        </w:tc>
        <w:tc>
          <w:tcPr>
            <w:tcW w:w="1098" w:type="dxa"/>
            <w:tcBorders>
              <w:tl2br w:val="nil"/>
              <w:tr2bl w:val="nil"/>
            </w:tcBorders>
            <w:noWrap/>
            <w:vAlign w:val="center"/>
          </w:tcPr>
          <w:p w:rsidR="00BC07F0" w:rsidRDefault="00073EFB">
            <w:pPr>
              <w:pStyle w:val="a7"/>
              <w:rPr>
                <w:rFonts w:hint="default"/>
              </w:rPr>
            </w:pPr>
            <w:r>
              <w:t>14.002</w:t>
            </w:r>
          </w:p>
        </w:tc>
        <w:tc>
          <w:tcPr>
            <w:tcW w:w="1098" w:type="dxa"/>
            <w:tcBorders>
              <w:tl2br w:val="nil"/>
              <w:tr2bl w:val="nil"/>
            </w:tcBorders>
            <w:noWrap/>
            <w:vAlign w:val="center"/>
          </w:tcPr>
          <w:p w:rsidR="00BC07F0" w:rsidRDefault="00073EFB">
            <w:pPr>
              <w:pStyle w:val="a7"/>
              <w:rPr>
                <w:rFonts w:hint="default"/>
              </w:rPr>
            </w:pPr>
            <w:r>
              <w:t>14.000</w:t>
            </w:r>
          </w:p>
        </w:tc>
        <w:tc>
          <w:tcPr>
            <w:tcW w:w="1099" w:type="dxa"/>
            <w:tcBorders>
              <w:tl2br w:val="nil"/>
              <w:tr2bl w:val="nil"/>
            </w:tcBorders>
            <w:noWrap/>
            <w:vAlign w:val="center"/>
          </w:tcPr>
          <w:p w:rsidR="00BC07F0" w:rsidRDefault="00073EFB">
            <w:pPr>
              <w:pStyle w:val="a7"/>
              <w:rPr>
                <w:rFonts w:hint="default"/>
              </w:rPr>
            </w:pPr>
            <w:r>
              <w:t>14.000</w:t>
            </w:r>
          </w:p>
        </w:tc>
        <w:tc>
          <w:tcPr>
            <w:tcW w:w="1103" w:type="dxa"/>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751" w:type="pct"/>
            <w:tcBorders>
              <w:tl2br w:val="nil"/>
              <w:tr2bl w:val="nil"/>
            </w:tcBorders>
            <w:shd w:val="clear" w:color="auto" w:fill="E2EFDA"/>
            <w:noWrap/>
            <w:vAlign w:val="center"/>
          </w:tcPr>
          <w:p w:rsidR="00BC07F0" w:rsidRDefault="00073EFB">
            <w:pPr>
              <w:pStyle w:val="a7"/>
              <w:rPr>
                <w:rFonts w:hint="default"/>
              </w:rPr>
            </w:pPr>
            <w:r>
              <w:rPr>
                <w:rFonts w:hint="default"/>
              </w:rPr>
              <w:t>400</w:t>
            </w:r>
          </w:p>
        </w:tc>
        <w:tc>
          <w:tcPr>
            <w:tcW w:w="1098" w:type="dxa"/>
            <w:tcBorders>
              <w:tl2br w:val="nil"/>
              <w:tr2bl w:val="nil"/>
            </w:tcBorders>
            <w:noWrap/>
            <w:vAlign w:val="center"/>
          </w:tcPr>
          <w:p w:rsidR="00BC07F0" w:rsidRDefault="00073EFB">
            <w:pPr>
              <w:pStyle w:val="a7"/>
              <w:rPr>
                <w:rFonts w:hint="default"/>
              </w:rPr>
            </w:pPr>
            <w:r>
              <w:t>14.034</w:t>
            </w:r>
          </w:p>
        </w:tc>
        <w:tc>
          <w:tcPr>
            <w:tcW w:w="1098" w:type="dxa"/>
            <w:tcBorders>
              <w:tl2br w:val="nil"/>
              <w:tr2bl w:val="nil"/>
            </w:tcBorders>
            <w:noWrap/>
            <w:vAlign w:val="center"/>
          </w:tcPr>
          <w:p w:rsidR="00BC07F0" w:rsidRDefault="00073EFB">
            <w:pPr>
              <w:pStyle w:val="a7"/>
              <w:rPr>
                <w:rFonts w:hint="default"/>
              </w:rPr>
            </w:pPr>
            <w:r>
              <w:t>14.033</w:t>
            </w:r>
          </w:p>
        </w:tc>
        <w:tc>
          <w:tcPr>
            <w:tcW w:w="1098" w:type="dxa"/>
            <w:tcBorders>
              <w:tl2br w:val="nil"/>
              <w:tr2bl w:val="nil"/>
            </w:tcBorders>
            <w:noWrap/>
            <w:vAlign w:val="center"/>
          </w:tcPr>
          <w:p w:rsidR="00BC07F0" w:rsidRDefault="00073EFB">
            <w:pPr>
              <w:pStyle w:val="a7"/>
              <w:rPr>
                <w:rFonts w:hint="default"/>
              </w:rPr>
            </w:pPr>
            <w:r>
              <w:t>14.023</w:t>
            </w:r>
          </w:p>
        </w:tc>
        <w:tc>
          <w:tcPr>
            <w:tcW w:w="1098" w:type="dxa"/>
            <w:tcBorders>
              <w:tl2br w:val="nil"/>
              <w:tr2bl w:val="nil"/>
            </w:tcBorders>
            <w:noWrap/>
            <w:vAlign w:val="center"/>
          </w:tcPr>
          <w:p w:rsidR="00BC07F0" w:rsidRDefault="00073EFB">
            <w:pPr>
              <w:pStyle w:val="a7"/>
              <w:rPr>
                <w:rFonts w:hint="default"/>
              </w:rPr>
            </w:pPr>
            <w:r>
              <w:t>14.007</w:t>
            </w:r>
          </w:p>
        </w:tc>
        <w:tc>
          <w:tcPr>
            <w:tcW w:w="1098" w:type="dxa"/>
            <w:tcBorders>
              <w:tl2br w:val="nil"/>
              <w:tr2bl w:val="nil"/>
            </w:tcBorders>
            <w:noWrap/>
            <w:vAlign w:val="center"/>
          </w:tcPr>
          <w:p w:rsidR="00BC07F0" w:rsidRDefault="00073EFB">
            <w:pPr>
              <w:pStyle w:val="a7"/>
              <w:rPr>
                <w:rFonts w:hint="default"/>
              </w:rPr>
            </w:pPr>
            <w:r>
              <w:t>14.000</w:t>
            </w:r>
          </w:p>
        </w:tc>
        <w:tc>
          <w:tcPr>
            <w:tcW w:w="1099" w:type="dxa"/>
            <w:tcBorders>
              <w:tl2br w:val="nil"/>
              <w:tr2bl w:val="nil"/>
            </w:tcBorders>
            <w:noWrap/>
            <w:vAlign w:val="center"/>
          </w:tcPr>
          <w:p w:rsidR="00BC07F0" w:rsidRDefault="00073EFB">
            <w:pPr>
              <w:pStyle w:val="a7"/>
              <w:rPr>
                <w:rFonts w:hint="default"/>
              </w:rPr>
            </w:pPr>
            <w:r>
              <w:t>14.000</w:t>
            </w:r>
          </w:p>
        </w:tc>
        <w:tc>
          <w:tcPr>
            <w:tcW w:w="1103" w:type="dxa"/>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751" w:type="pct"/>
            <w:tcBorders>
              <w:tl2br w:val="nil"/>
              <w:tr2bl w:val="nil"/>
            </w:tcBorders>
            <w:shd w:val="clear" w:color="auto" w:fill="E2EFDA"/>
            <w:noWrap/>
            <w:vAlign w:val="center"/>
          </w:tcPr>
          <w:p w:rsidR="00BC07F0" w:rsidRDefault="00073EFB">
            <w:pPr>
              <w:pStyle w:val="a7"/>
              <w:rPr>
                <w:rFonts w:hint="default"/>
              </w:rPr>
            </w:pPr>
            <w:r>
              <w:rPr>
                <w:rFonts w:hint="default"/>
              </w:rPr>
              <w:t>800</w:t>
            </w:r>
          </w:p>
        </w:tc>
        <w:tc>
          <w:tcPr>
            <w:tcW w:w="1098" w:type="dxa"/>
            <w:tcBorders>
              <w:tl2br w:val="nil"/>
              <w:tr2bl w:val="nil"/>
            </w:tcBorders>
            <w:noWrap/>
            <w:vAlign w:val="center"/>
          </w:tcPr>
          <w:p w:rsidR="00BC07F0" w:rsidRDefault="00073EFB">
            <w:pPr>
              <w:pStyle w:val="a7"/>
              <w:rPr>
                <w:rFonts w:hint="default"/>
              </w:rPr>
            </w:pPr>
            <w:r>
              <w:t>14.024</w:t>
            </w:r>
          </w:p>
        </w:tc>
        <w:tc>
          <w:tcPr>
            <w:tcW w:w="1098" w:type="dxa"/>
            <w:tcBorders>
              <w:tl2br w:val="nil"/>
              <w:tr2bl w:val="nil"/>
            </w:tcBorders>
            <w:noWrap/>
            <w:vAlign w:val="center"/>
          </w:tcPr>
          <w:p w:rsidR="00BC07F0" w:rsidRDefault="00073EFB">
            <w:pPr>
              <w:pStyle w:val="a7"/>
              <w:rPr>
                <w:rFonts w:hint="default"/>
              </w:rPr>
            </w:pPr>
            <w:r>
              <w:t>14.024</w:t>
            </w:r>
          </w:p>
        </w:tc>
        <w:tc>
          <w:tcPr>
            <w:tcW w:w="1098" w:type="dxa"/>
            <w:tcBorders>
              <w:tl2br w:val="nil"/>
              <w:tr2bl w:val="nil"/>
            </w:tcBorders>
            <w:noWrap/>
            <w:vAlign w:val="center"/>
          </w:tcPr>
          <w:p w:rsidR="00BC07F0" w:rsidRDefault="00073EFB">
            <w:pPr>
              <w:pStyle w:val="a7"/>
              <w:rPr>
                <w:rFonts w:hint="default"/>
              </w:rPr>
            </w:pPr>
            <w:r>
              <w:t>14.019</w:t>
            </w:r>
          </w:p>
        </w:tc>
        <w:tc>
          <w:tcPr>
            <w:tcW w:w="1098" w:type="dxa"/>
            <w:tcBorders>
              <w:tl2br w:val="nil"/>
              <w:tr2bl w:val="nil"/>
            </w:tcBorders>
            <w:noWrap/>
            <w:vAlign w:val="center"/>
          </w:tcPr>
          <w:p w:rsidR="00BC07F0" w:rsidRDefault="00073EFB">
            <w:pPr>
              <w:pStyle w:val="a7"/>
              <w:rPr>
                <w:rFonts w:hint="default"/>
              </w:rPr>
            </w:pPr>
            <w:r>
              <w:t>14.011</w:t>
            </w:r>
          </w:p>
        </w:tc>
        <w:tc>
          <w:tcPr>
            <w:tcW w:w="1098" w:type="dxa"/>
            <w:tcBorders>
              <w:tl2br w:val="nil"/>
              <w:tr2bl w:val="nil"/>
            </w:tcBorders>
            <w:noWrap/>
            <w:vAlign w:val="center"/>
          </w:tcPr>
          <w:p w:rsidR="00BC07F0" w:rsidRDefault="00073EFB">
            <w:pPr>
              <w:pStyle w:val="a7"/>
              <w:rPr>
                <w:rFonts w:hint="default"/>
              </w:rPr>
            </w:pPr>
            <w:r>
              <w:t>14.001</w:t>
            </w:r>
          </w:p>
        </w:tc>
        <w:tc>
          <w:tcPr>
            <w:tcW w:w="1099" w:type="dxa"/>
            <w:tcBorders>
              <w:tl2br w:val="nil"/>
              <w:tr2bl w:val="nil"/>
            </w:tcBorders>
            <w:noWrap/>
            <w:vAlign w:val="center"/>
          </w:tcPr>
          <w:p w:rsidR="00BC07F0" w:rsidRDefault="00073EFB">
            <w:pPr>
              <w:pStyle w:val="a7"/>
              <w:rPr>
                <w:rFonts w:hint="default"/>
              </w:rPr>
            </w:pPr>
            <w:r>
              <w:t>14.000</w:t>
            </w:r>
          </w:p>
        </w:tc>
        <w:tc>
          <w:tcPr>
            <w:tcW w:w="1103" w:type="dxa"/>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751" w:type="pct"/>
            <w:tcBorders>
              <w:tl2br w:val="nil"/>
              <w:tr2bl w:val="nil"/>
            </w:tcBorders>
            <w:shd w:val="clear" w:color="auto" w:fill="E2EFDA"/>
            <w:noWrap/>
            <w:vAlign w:val="center"/>
          </w:tcPr>
          <w:p w:rsidR="00BC07F0" w:rsidRDefault="00073EFB">
            <w:pPr>
              <w:pStyle w:val="a7"/>
              <w:rPr>
                <w:rFonts w:hint="default"/>
              </w:rPr>
            </w:pPr>
            <w:r>
              <w:rPr>
                <w:rFonts w:hint="default"/>
              </w:rPr>
              <w:t>1000</w:t>
            </w:r>
          </w:p>
        </w:tc>
        <w:tc>
          <w:tcPr>
            <w:tcW w:w="1098" w:type="dxa"/>
            <w:tcBorders>
              <w:tl2br w:val="nil"/>
              <w:tr2bl w:val="nil"/>
            </w:tcBorders>
            <w:noWrap/>
            <w:vAlign w:val="center"/>
          </w:tcPr>
          <w:p w:rsidR="00BC07F0" w:rsidRDefault="00073EFB">
            <w:pPr>
              <w:pStyle w:val="a7"/>
              <w:rPr>
                <w:rFonts w:hint="default"/>
              </w:rPr>
            </w:pPr>
            <w:r>
              <w:t>14.021</w:t>
            </w:r>
          </w:p>
        </w:tc>
        <w:tc>
          <w:tcPr>
            <w:tcW w:w="1098" w:type="dxa"/>
            <w:tcBorders>
              <w:tl2br w:val="nil"/>
              <w:tr2bl w:val="nil"/>
            </w:tcBorders>
            <w:noWrap/>
            <w:vAlign w:val="center"/>
          </w:tcPr>
          <w:p w:rsidR="00BC07F0" w:rsidRDefault="00073EFB">
            <w:pPr>
              <w:pStyle w:val="a7"/>
              <w:rPr>
                <w:rFonts w:hint="default"/>
              </w:rPr>
            </w:pPr>
            <w:r>
              <w:t>14.021</w:t>
            </w:r>
          </w:p>
        </w:tc>
        <w:tc>
          <w:tcPr>
            <w:tcW w:w="1098" w:type="dxa"/>
            <w:tcBorders>
              <w:tl2br w:val="nil"/>
              <w:tr2bl w:val="nil"/>
            </w:tcBorders>
            <w:noWrap/>
            <w:vAlign w:val="center"/>
          </w:tcPr>
          <w:p w:rsidR="00BC07F0" w:rsidRDefault="00073EFB">
            <w:pPr>
              <w:pStyle w:val="a7"/>
              <w:rPr>
                <w:rFonts w:hint="default"/>
              </w:rPr>
            </w:pPr>
            <w:r>
              <w:t>14.018</w:t>
            </w:r>
          </w:p>
        </w:tc>
        <w:tc>
          <w:tcPr>
            <w:tcW w:w="1098" w:type="dxa"/>
            <w:tcBorders>
              <w:tl2br w:val="nil"/>
              <w:tr2bl w:val="nil"/>
            </w:tcBorders>
            <w:noWrap/>
            <w:vAlign w:val="center"/>
          </w:tcPr>
          <w:p w:rsidR="00BC07F0" w:rsidRDefault="00073EFB">
            <w:pPr>
              <w:pStyle w:val="a7"/>
              <w:rPr>
                <w:rFonts w:hint="default"/>
              </w:rPr>
            </w:pPr>
            <w:r>
              <w:t>14.011</w:t>
            </w:r>
          </w:p>
        </w:tc>
        <w:tc>
          <w:tcPr>
            <w:tcW w:w="1098" w:type="dxa"/>
            <w:tcBorders>
              <w:tl2br w:val="nil"/>
              <w:tr2bl w:val="nil"/>
            </w:tcBorders>
            <w:noWrap/>
            <w:vAlign w:val="center"/>
          </w:tcPr>
          <w:p w:rsidR="00BC07F0" w:rsidRDefault="00073EFB">
            <w:pPr>
              <w:pStyle w:val="a7"/>
              <w:rPr>
                <w:rFonts w:hint="default"/>
              </w:rPr>
            </w:pPr>
            <w:r>
              <w:t>14.002</w:t>
            </w:r>
          </w:p>
        </w:tc>
        <w:tc>
          <w:tcPr>
            <w:tcW w:w="1099" w:type="dxa"/>
            <w:tcBorders>
              <w:tl2br w:val="nil"/>
              <w:tr2bl w:val="nil"/>
            </w:tcBorders>
            <w:noWrap/>
            <w:vAlign w:val="center"/>
          </w:tcPr>
          <w:p w:rsidR="00BC07F0" w:rsidRDefault="00073EFB">
            <w:pPr>
              <w:pStyle w:val="a7"/>
              <w:rPr>
                <w:rFonts w:hint="default"/>
              </w:rPr>
            </w:pPr>
            <w:r>
              <w:t>14.000</w:t>
            </w:r>
          </w:p>
        </w:tc>
        <w:tc>
          <w:tcPr>
            <w:tcW w:w="1103" w:type="dxa"/>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751" w:type="pct"/>
            <w:tcBorders>
              <w:tl2br w:val="nil"/>
              <w:tr2bl w:val="nil"/>
            </w:tcBorders>
            <w:shd w:val="clear" w:color="auto" w:fill="E2EFDA"/>
            <w:noWrap/>
            <w:vAlign w:val="center"/>
          </w:tcPr>
          <w:p w:rsidR="00BC07F0" w:rsidRDefault="00073EFB">
            <w:pPr>
              <w:pStyle w:val="a7"/>
              <w:rPr>
                <w:rFonts w:hint="default"/>
              </w:rPr>
            </w:pPr>
            <w:r>
              <w:rPr>
                <w:rFonts w:hint="default"/>
              </w:rPr>
              <w:t>1500</w:t>
            </w:r>
          </w:p>
        </w:tc>
        <w:tc>
          <w:tcPr>
            <w:tcW w:w="1098" w:type="dxa"/>
            <w:tcBorders>
              <w:tl2br w:val="nil"/>
              <w:tr2bl w:val="nil"/>
            </w:tcBorders>
            <w:noWrap/>
            <w:vAlign w:val="center"/>
          </w:tcPr>
          <w:p w:rsidR="00BC07F0" w:rsidRDefault="00073EFB">
            <w:pPr>
              <w:pStyle w:val="a7"/>
              <w:rPr>
                <w:rFonts w:hint="default"/>
              </w:rPr>
            </w:pPr>
            <w:r>
              <w:t>14.017</w:t>
            </w:r>
          </w:p>
        </w:tc>
        <w:tc>
          <w:tcPr>
            <w:tcW w:w="1098" w:type="dxa"/>
            <w:tcBorders>
              <w:tl2br w:val="nil"/>
              <w:tr2bl w:val="nil"/>
            </w:tcBorders>
            <w:noWrap/>
            <w:vAlign w:val="center"/>
          </w:tcPr>
          <w:p w:rsidR="00BC07F0" w:rsidRDefault="00073EFB">
            <w:pPr>
              <w:pStyle w:val="a7"/>
              <w:rPr>
                <w:rFonts w:hint="default"/>
              </w:rPr>
            </w:pPr>
            <w:r>
              <w:t>14.017</w:t>
            </w:r>
          </w:p>
        </w:tc>
        <w:tc>
          <w:tcPr>
            <w:tcW w:w="1098" w:type="dxa"/>
            <w:tcBorders>
              <w:tl2br w:val="nil"/>
              <w:tr2bl w:val="nil"/>
            </w:tcBorders>
            <w:noWrap/>
            <w:vAlign w:val="center"/>
          </w:tcPr>
          <w:p w:rsidR="00BC07F0" w:rsidRDefault="00073EFB">
            <w:pPr>
              <w:pStyle w:val="a7"/>
              <w:rPr>
                <w:rFonts w:hint="default"/>
              </w:rPr>
            </w:pPr>
            <w:r>
              <w:t>14.016</w:t>
            </w:r>
          </w:p>
        </w:tc>
        <w:tc>
          <w:tcPr>
            <w:tcW w:w="1098" w:type="dxa"/>
            <w:tcBorders>
              <w:tl2br w:val="nil"/>
              <w:tr2bl w:val="nil"/>
            </w:tcBorders>
            <w:noWrap/>
            <w:vAlign w:val="center"/>
          </w:tcPr>
          <w:p w:rsidR="00BC07F0" w:rsidRDefault="00073EFB">
            <w:pPr>
              <w:pStyle w:val="a7"/>
              <w:rPr>
                <w:rFonts w:hint="default"/>
              </w:rPr>
            </w:pPr>
            <w:r>
              <w:t>14.011</w:t>
            </w:r>
          </w:p>
        </w:tc>
        <w:tc>
          <w:tcPr>
            <w:tcW w:w="1098" w:type="dxa"/>
            <w:tcBorders>
              <w:tl2br w:val="nil"/>
              <w:tr2bl w:val="nil"/>
            </w:tcBorders>
            <w:noWrap/>
            <w:vAlign w:val="center"/>
          </w:tcPr>
          <w:p w:rsidR="00BC07F0" w:rsidRDefault="00073EFB">
            <w:pPr>
              <w:pStyle w:val="a7"/>
              <w:rPr>
                <w:rFonts w:hint="default"/>
              </w:rPr>
            </w:pPr>
            <w:r>
              <w:t>14.003</w:t>
            </w:r>
          </w:p>
        </w:tc>
        <w:tc>
          <w:tcPr>
            <w:tcW w:w="1099" w:type="dxa"/>
            <w:tcBorders>
              <w:tl2br w:val="nil"/>
              <w:tr2bl w:val="nil"/>
            </w:tcBorders>
            <w:noWrap/>
            <w:vAlign w:val="center"/>
          </w:tcPr>
          <w:p w:rsidR="00BC07F0" w:rsidRDefault="00073EFB">
            <w:pPr>
              <w:pStyle w:val="a7"/>
              <w:rPr>
                <w:rFonts w:hint="default"/>
              </w:rPr>
            </w:pPr>
            <w:r>
              <w:t>14.001</w:t>
            </w:r>
          </w:p>
        </w:tc>
        <w:tc>
          <w:tcPr>
            <w:tcW w:w="1103" w:type="dxa"/>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751" w:type="pct"/>
            <w:tcBorders>
              <w:tl2br w:val="nil"/>
              <w:tr2bl w:val="nil"/>
            </w:tcBorders>
            <w:shd w:val="clear" w:color="auto" w:fill="E2EFDA"/>
            <w:noWrap/>
            <w:vAlign w:val="center"/>
          </w:tcPr>
          <w:p w:rsidR="00BC07F0" w:rsidRDefault="00073EFB">
            <w:pPr>
              <w:pStyle w:val="a7"/>
              <w:rPr>
                <w:rFonts w:hint="default"/>
              </w:rPr>
            </w:pPr>
            <w:r>
              <w:rPr>
                <w:rFonts w:hint="default"/>
              </w:rPr>
              <w:t>2000</w:t>
            </w:r>
          </w:p>
        </w:tc>
        <w:tc>
          <w:tcPr>
            <w:tcW w:w="1098" w:type="dxa"/>
            <w:tcBorders>
              <w:tl2br w:val="nil"/>
              <w:tr2bl w:val="nil"/>
            </w:tcBorders>
            <w:noWrap/>
            <w:vAlign w:val="center"/>
          </w:tcPr>
          <w:p w:rsidR="00BC07F0" w:rsidRDefault="00073EFB">
            <w:pPr>
              <w:pStyle w:val="a7"/>
              <w:rPr>
                <w:rFonts w:hint="default"/>
              </w:rPr>
            </w:pPr>
            <w:r>
              <w:t>14.015</w:t>
            </w:r>
          </w:p>
        </w:tc>
        <w:tc>
          <w:tcPr>
            <w:tcW w:w="1098" w:type="dxa"/>
            <w:tcBorders>
              <w:tl2br w:val="nil"/>
              <w:tr2bl w:val="nil"/>
            </w:tcBorders>
            <w:noWrap/>
            <w:vAlign w:val="center"/>
          </w:tcPr>
          <w:p w:rsidR="00BC07F0" w:rsidRDefault="00073EFB">
            <w:pPr>
              <w:pStyle w:val="a7"/>
              <w:rPr>
                <w:rFonts w:hint="default"/>
              </w:rPr>
            </w:pPr>
            <w:r>
              <w:t>14.015</w:t>
            </w:r>
          </w:p>
        </w:tc>
        <w:tc>
          <w:tcPr>
            <w:tcW w:w="1098" w:type="dxa"/>
            <w:tcBorders>
              <w:tl2br w:val="nil"/>
              <w:tr2bl w:val="nil"/>
            </w:tcBorders>
            <w:noWrap/>
            <w:vAlign w:val="center"/>
          </w:tcPr>
          <w:p w:rsidR="00BC07F0" w:rsidRDefault="00073EFB">
            <w:pPr>
              <w:pStyle w:val="a7"/>
              <w:rPr>
                <w:rFonts w:hint="default"/>
              </w:rPr>
            </w:pPr>
            <w:r>
              <w:t>14.014</w:t>
            </w:r>
          </w:p>
        </w:tc>
        <w:tc>
          <w:tcPr>
            <w:tcW w:w="1098" w:type="dxa"/>
            <w:tcBorders>
              <w:tl2br w:val="nil"/>
              <w:tr2bl w:val="nil"/>
            </w:tcBorders>
            <w:noWrap/>
            <w:vAlign w:val="center"/>
          </w:tcPr>
          <w:p w:rsidR="00BC07F0" w:rsidRDefault="00073EFB">
            <w:pPr>
              <w:pStyle w:val="a7"/>
              <w:rPr>
                <w:rFonts w:hint="default"/>
              </w:rPr>
            </w:pPr>
            <w:r>
              <w:t>14.011</w:t>
            </w:r>
          </w:p>
        </w:tc>
        <w:tc>
          <w:tcPr>
            <w:tcW w:w="1098" w:type="dxa"/>
            <w:tcBorders>
              <w:tl2br w:val="nil"/>
              <w:tr2bl w:val="nil"/>
            </w:tcBorders>
            <w:noWrap/>
            <w:vAlign w:val="center"/>
          </w:tcPr>
          <w:p w:rsidR="00BC07F0" w:rsidRDefault="00073EFB">
            <w:pPr>
              <w:pStyle w:val="a7"/>
              <w:rPr>
                <w:rFonts w:hint="default"/>
              </w:rPr>
            </w:pPr>
            <w:r>
              <w:t>14.004</w:t>
            </w:r>
          </w:p>
        </w:tc>
        <w:tc>
          <w:tcPr>
            <w:tcW w:w="1099" w:type="dxa"/>
            <w:tcBorders>
              <w:tl2br w:val="nil"/>
              <w:tr2bl w:val="nil"/>
            </w:tcBorders>
            <w:noWrap/>
            <w:vAlign w:val="center"/>
          </w:tcPr>
          <w:p w:rsidR="00BC07F0" w:rsidRDefault="00073EFB">
            <w:pPr>
              <w:pStyle w:val="a7"/>
              <w:rPr>
                <w:rFonts w:hint="default"/>
              </w:rPr>
            </w:pPr>
            <w:r>
              <w:t>14.002</w:t>
            </w:r>
          </w:p>
        </w:tc>
        <w:tc>
          <w:tcPr>
            <w:tcW w:w="1103" w:type="dxa"/>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751" w:type="pct"/>
            <w:tcBorders>
              <w:tl2br w:val="nil"/>
              <w:tr2bl w:val="nil"/>
            </w:tcBorders>
            <w:shd w:val="clear" w:color="auto" w:fill="E2EFDA"/>
            <w:noWrap/>
            <w:vAlign w:val="center"/>
          </w:tcPr>
          <w:p w:rsidR="00BC07F0" w:rsidRDefault="00073EFB">
            <w:pPr>
              <w:pStyle w:val="a7"/>
              <w:rPr>
                <w:rFonts w:hint="default"/>
              </w:rPr>
            </w:pPr>
            <w:r>
              <w:rPr>
                <w:rFonts w:hint="default"/>
              </w:rPr>
              <w:t>2500</w:t>
            </w:r>
          </w:p>
        </w:tc>
        <w:tc>
          <w:tcPr>
            <w:tcW w:w="1098" w:type="dxa"/>
            <w:tcBorders>
              <w:tl2br w:val="nil"/>
              <w:tr2bl w:val="nil"/>
            </w:tcBorders>
            <w:noWrap/>
            <w:vAlign w:val="center"/>
          </w:tcPr>
          <w:p w:rsidR="00BC07F0" w:rsidRDefault="00073EFB">
            <w:pPr>
              <w:pStyle w:val="a7"/>
              <w:rPr>
                <w:rFonts w:hint="default"/>
              </w:rPr>
            </w:pPr>
            <w:r>
              <w:t>14.013</w:t>
            </w:r>
          </w:p>
        </w:tc>
        <w:tc>
          <w:tcPr>
            <w:tcW w:w="1098" w:type="dxa"/>
            <w:tcBorders>
              <w:tl2br w:val="nil"/>
              <w:tr2bl w:val="nil"/>
            </w:tcBorders>
            <w:noWrap/>
            <w:vAlign w:val="center"/>
          </w:tcPr>
          <w:p w:rsidR="00BC07F0" w:rsidRDefault="00073EFB">
            <w:pPr>
              <w:pStyle w:val="a7"/>
              <w:rPr>
                <w:rFonts w:hint="default"/>
              </w:rPr>
            </w:pPr>
            <w:r>
              <w:t>14.013</w:t>
            </w:r>
          </w:p>
        </w:tc>
        <w:tc>
          <w:tcPr>
            <w:tcW w:w="1098" w:type="dxa"/>
            <w:tcBorders>
              <w:tl2br w:val="nil"/>
              <w:tr2bl w:val="nil"/>
            </w:tcBorders>
            <w:noWrap/>
            <w:vAlign w:val="center"/>
          </w:tcPr>
          <w:p w:rsidR="00BC07F0" w:rsidRDefault="00073EFB">
            <w:pPr>
              <w:pStyle w:val="a7"/>
              <w:rPr>
                <w:rFonts w:hint="default"/>
              </w:rPr>
            </w:pPr>
            <w:r>
              <w:t>14.012</w:t>
            </w:r>
          </w:p>
        </w:tc>
        <w:tc>
          <w:tcPr>
            <w:tcW w:w="1098" w:type="dxa"/>
            <w:tcBorders>
              <w:tl2br w:val="nil"/>
              <w:tr2bl w:val="nil"/>
            </w:tcBorders>
            <w:noWrap/>
            <w:vAlign w:val="center"/>
          </w:tcPr>
          <w:p w:rsidR="00BC07F0" w:rsidRDefault="00073EFB">
            <w:pPr>
              <w:pStyle w:val="a7"/>
              <w:rPr>
                <w:rFonts w:hint="default"/>
              </w:rPr>
            </w:pPr>
            <w:r>
              <w:t>14.010</w:t>
            </w:r>
          </w:p>
        </w:tc>
        <w:tc>
          <w:tcPr>
            <w:tcW w:w="1098" w:type="dxa"/>
            <w:tcBorders>
              <w:tl2br w:val="nil"/>
              <w:tr2bl w:val="nil"/>
            </w:tcBorders>
            <w:noWrap/>
            <w:vAlign w:val="center"/>
          </w:tcPr>
          <w:p w:rsidR="00BC07F0" w:rsidRDefault="00073EFB">
            <w:pPr>
              <w:pStyle w:val="a7"/>
              <w:rPr>
                <w:rFonts w:hint="default"/>
              </w:rPr>
            </w:pPr>
            <w:r>
              <w:t>14.005</w:t>
            </w:r>
          </w:p>
        </w:tc>
        <w:tc>
          <w:tcPr>
            <w:tcW w:w="1099" w:type="dxa"/>
            <w:tcBorders>
              <w:tl2br w:val="nil"/>
              <w:tr2bl w:val="nil"/>
            </w:tcBorders>
            <w:noWrap/>
            <w:vAlign w:val="center"/>
          </w:tcPr>
          <w:p w:rsidR="00BC07F0" w:rsidRDefault="00073EFB">
            <w:pPr>
              <w:pStyle w:val="a7"/>
              <w:rPr>
                <w:rFonts w:hint="default"/>
              </w:rPr>
            </w:pPr>
            <w:r>
              <w:t>14.003</w:t>
            </w:r>
          </w:p>
        </w:tc>
        <w:tc>
          <w:tcPr>
            <w:tcW w:w="1103" w:type="dxa"/>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751" w:type="pct"/>
            <w:tcBorders>
              <w:tl2br w:val="nil"/>
              <w:tr2bl w:val="nil"/>
            </w:tcBorders>
            <w:shd w:val="clear" w:color="auto" w:fill="E2EFDA"/>
            <w:noWrap/>
            <w:vAlign w:val="center"/>
          </w:tcPr>
          <w:p w:rsidR="00BC07F0" w:rsidRDefault="00073EFB">
            <w:pPr>
              <w:pStyle w:val="a7"/>
              <w:rPr>
                <w:rFonts w:hint="default"/>
              </w:rPr>
            </w:pPr>
            <w:r>
              <w:t>31000</w:t>
            </w:r>
          </w:p>
        </w:tc>
        <w:tc>
          <w:tcPr>
            <w:tcW w:w="1098" w:type="dxa"/>
            <w:tcBorders>
              <w:tl2br w:val="nil"/>
              <w:tr2bl w:val="nil"/>
            </w:tcBorders>
            <w:noWrap/>
            <w:vAlign w:val="center"/>
          </w:tcPr>
          <w:p w:rsidR="00BC07F0" w:rsidRDefault="00073EFB">
            <w:pPr>
              <w:pStyle w:val="a7"/>
              <w:rPr>
                <w:rFonts w:hint="default"/>
              </w:rPr>
            </w:pPr>
            <w:r>
              <w:t>14.003</w:t>
            </w:r>
          </w:p>
        </w:tc>
        <w:tc>
          <w:tcPr>
            <w:tcW w:w="1098" w:type="dxa"/>
            <w:tcBorders>
              <w:tl2br w:val="nil"/>
              <w:tr2bl w:val="nil"/>
            </w:tcBorders>
            <w:noWrap/>
            <w:vAlign w:val="center"/>
          </w:tcPr>
          <w:p w:rsidR="00BC07F0" w:rsidRDefault="00073EFB">
            <w:pPr>
              <w:pStyle w:val="a7"/>
              <w:rPr>
                <w:rFonts w:hint="default"/>
              </w:rPr>
            </w:pPr>
            <w:r>
              <w:t>14.003</w:t>
            </w:r>
          </w:p>
        </w:tc>
        <w:tc>
          <w:tcPr>
            <w:tcW w:w="1098" w:type="dxa"/>
            <w:tcBorders>
              <w:tl2br w:val="nil"/>
              <w:tr2bl w:val="nil"/>
            </w:tcBorders>
            <w:noWrap/>
            <w:vAlign w:val="center"/>
          </w:tcPr>
          <w:p w:rsidR="00BC07F0" w:rsidRDefault="00073EFB">
            <w:pPr>
              <w:pStyle w:val="a7"/>
              <w:rPr>
                <w:rFonts w:hint="default"/>
              </w:rPr>
            </w:pPr>
            <w:r>
              <w:t>14.003</w:t>
            </w:r>
          </w:p>
        </w:tc>
        <w:tc>
          <w:tcPr>
            <w:tcW w:w="1098" w:type="dxa"/>
            <w:tcBorders>
              <w:tl2br w:val="nil"/>
              <w:tr2bl w:val="nil"/>
            </w:tcBorders>
            <w:noWrap/>
            <w:vAlign w:val="center"/>
          </w:tcPr>
          <w:p w:rsidR="00BC07F0" w:rsidRDefault="00073EFB">
            <w:pPr>
              <w:pStyle w:val="a7"/>
              <w:rPr>
                <w:rFonts w:hint="default"/>
              </w:rPr>
            </w:pPr>
            <w:r>
              <w:t>14.003</w:t>
            </w:r>
          </w:p>
        </w:tc>
        <w:tc>
          <w:tcPr>
            <w:tcW w:w="1098" w:type="dxa"/>
            <w:tcBorders>
              <w:tl2br w:val="nil"/>
              <w:tr2bl w:val="nil"/>
            </w:tcBorders>
            <w:noWrap/>
            <w:vAlign w:val="center"/>
          </w:tcPr>
          <w:p w:rsidR="00BC07F0" w:rsidRDefault="00073EFB">
            <w:pPr>
              <w:pStyle w:val="a7"/>
              <w:rPr>
                <w:rFonts w:hint="default"/>
              </w:rPr>
            </w:pPr>
            <w:r>
              <w:t>14.003</w:t>
            </w:r>
          </w:p>
        </w:tc>
        <w:tc>
          <w:tcPr>
            <w:tcW w:w="1099" w:type="dxa"/>
            <w:tcBorders>
              <w:tl2br w:val="nil"/>
              <w:tr2bl w:val="nil"/>
            </w:tcBorders>
            <w:noWrap/>
            <w:vAlign w:val="center"/>
          </w:tcPr>
          <w:p w:rsidR="00BC07F0" w:rsidRDefault="00073EFB">
            <w:pPr>
              <w:pStyle w:val="a7"/>
              <w:rPr>
                <w:rFonts w:hint="default"/>
              </w:rPr>
            </w:pPr>
            <w:r>
              <w:t>14.003</w:t>
            </w:r>
          </w:p>
        </w:tc>
        <w:tc>
          <w:tcPr>
            <w:tcW w:w="1103" w:type="dxa"/>
            <w:tcBorders>
              <w:tl2br w:val="nil"/>
              <w:tr2bl w:val="nil"/>
            </w:tcBorders>
            <w:noWrap/>
            <w:vAlign w:val="center"/>
          </w:tcPr>
          <w:p w:rsidR="00BC07F0" w:rsidRDefault="00073EFB">
            <w:pPr>
              <w:pStyle w:val="a7"/>
              <w:rPr>
                <w:rFonts w:hint="default"/>
              </w:rPr>
            </w:pPr>
            <w:r>
              <w:t>14.002</w:t>
            </w:r>
          </w:p>
        </w:tc>
      </w:tr>
    </w:tbl>
    <w:p w:rsidR="00BC07F0" w:rsidRDefault="00073EFB">
      <w:pPr>
        <w:pStyle w:val="a7"/>
        <w:rPr>
          <w:rFonts w:hint="default"/>
          <w:b/>
          <w:bCs/>
        </w:rPr>
      </w:pPr>
      <w:r>
        <w:rPr>
          <w:rFonts w:hint="default"/>
          <w:b/>
          <w:bCs/>
        </w:rPr>
        <w:t>表</w:t>
      </w:r>
      <w:r>
        <w:rPr>
          <w:b/>
          <w:bCs/>
        </w:rPr>
        <w:t>6.3-5</w:t>
      </w:r>
      <w:r>
        <w:rPr>
          <w:rFonts w:hint="default"/>
          <w:b/>
          <w:bCs/>
        </w:rPr>
        <w:t>枯水期尾水河流预测点浓度预测值</w:t>
      </w:r>
      <w:r>
        <w:rPr>
          <w:b/>
          <w:bCs/>
        </w:rPr>
        <w:t>（</w:t>
      </w:r>
      <w:r>
        <w:rPr>
          <w:b/>
          <w:bCs/>
        </w:rPr>
        <w:t>非正常排放</w:t>
      </w:r>
      <w:r>
        <w:rPr>
          <w:b/>
          <w:bCs/>
        </w:rPr>
        <w:t>COD</w:t>
      </w:r>
      <w:r>
        <w:rPr>
          <w:b/>
          <w:bCs/>
        </w:rPr>
        <w:t>）</w:t>
      </w:r>
      <w:r>
        <w:rPr>
          <w:rFonts w:hint="default"/>
          <w:b/>
          <w:bCs/>
        </w:rPr>
        <w:t>单位：</w:t>
      </w:r>
      <w:r>
        <w:rPr>
          <w:rFonts w:hint="default"/>
          <w:b/>
          <w:bCs/>
        </w:rPr>
        <w:t>mg/L</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1096"/>
        <w:gridCol w:w="1096"/>
        <w:gridCol w:w="1096"/>
        <w:gridCol w:w="1095"/>
        <w:gridCol w:w="1095"/>
        <w:gridCol w:w="1095"/>
        <w:gridCol w:w="1095"/>
      </w:tblGrid>
      <w:tr w:rsidR="00BC07F0">
        <w:trPr>
          <w:trHeight w:val="397"/>
          <w:jc w:val="center"/>
        </w:trPr>
        <w:tc>
          <w:tcPr>
            <w:tcW w:w="455" w:type="pct"/>
            <w:tcBorders>
              <w:tl2br w:val="nil"/>
              <w:tr2bl w:val="nil"/>
            </w:tcBorders>
            <w:shd w:val="clear" w:color="auto" w:fill="auto"/>
            <w:noWrap/>
            <w:vAlign w:val="center"/>
          </w:tcPr>
          <w:p w:rsidR="00BC07F0" w:rsidRDefault="00073EFB">
            <w:pPr>
              <w:pStyle w:val="a7"/>
              <w:rPr>
                <w:rFonts w:hint="default"/>
              </w:rPr>
            </w:pPr>
            <w:r>
              <w:rPr>
                <w:rFonts w:hint="default"/>
              </w:rPr>
              <w:t>X</w:t>
            </w:r>
          </w:p>
          <w:p w:rsidR="00BC07F0" w:rsidRDefault="00073EFB">
            <w:pPr>
              <w:pStyle w:val="a7"/>
              <w:rPr>
                <w:rFonts w:hint="default"/>
              </w:rPr>
            </w:pPr>
            <w:r>
              <w:rPr>
                <w:rFonts w:hint="default"/>
              </w:rPr>
              <w:t>Y</w:t>
            </w:r>
          </w:p>
        </w:tc>
        <w:tc>
          <w:tcPr>
            <w:tcW w:w="649" w:type="pct"/>
            <w:tcBorders>
              <w:tl2br w:val="nil"/>
              <w:tr2bl w:val="nil"/>
            </w:tcBorders>
            <w:shd w:val="clear" w:color="auto" w:fill="DDEBF7"/>
            <w:vAlign w:val="center"/>
          </w:tcPr>
          <w:p w:rsidR="00BC07F0" w:rsidRDefault="00073EFB">
            <w:pPr>
              <w:pStyle w:val="a7"/>
              <w:rPr>
                <w:rFonts w:hint="default"/>
              </w:rPr>
            </w:pPr>
            <w:r>
              <w:t>1</w:t>
            </w:r>
          </w:p>
        </w:tc>
        <w:tc>
          <w:tcPr>
            <w:tcW w:w="649" w:type="pct"/>
            <w:tcBorders>
              <w:tl2br w:val="nil"/>
              <w:tr2bl w:val="nil"/>
            </w:tcBorders>
            <w:shd w:val="clear" w:color="auto" w:fill="DDEBF7"/>
            <w:vAlign w:val="center"/>
          </w:tcPr>
          <w:p w:rsidR="00BC07F0" w:rsidRDefault="00073EFB">
            <w:pPr>
              <w:pStyle w:val="a7"/>
              <w:rPr>
                <w:rFonts w:hint="default"/>
              </w:rPr>
            </w:pPr>
            <w:r>
              <w:t>10</w:t>
            </w:r>
          </w:p>
        </w:tc>
        <w:tc>
          <w:tcPr>
            <w:tcW w:w="649" w:type="pct"/>
            <w:tcBorders>
              <w:tl2br w:val="nil"/>
              <w:tr2bl w:val="nil"/>
            </w:tcBorders>
            <w:shd w:val="clear" w:color="auto" w:fill="DDEBF7"/>
            <w:vAlign w:val="center"/>
          </w:tcPr>
          <w:p w:rsidR="00BC07F0" w:rsidRDefault="00073EFB">
            <w:pPr>
              <w:pStyle w:val="a7"/>
              <w:rPr>
                <w:rFonts w:hint="default"/>
              </w:rPr>
            </w:pPr>
            <w:r>
              <w:t>50</w:t>
            </w:r>
          </w:p>
        </w:tc>
        <w:tc>
          <w:tcPr>
            <w:tcW w:w="649" w:type="pct"/>
            <w:tcBorders>
              <w:tl2br w:val="nil"/>
              <w:tr2bl w:val="nil"/>
            </w:tcBorders>
            <w:shd w:val="clear" w:color="auto" w:fill="DDEBF7"/>
            <w:vAlign w:val="center"/>
          </w:tcPr>
          <w:p w:rsidR="00BC07F0" w:rsidRDefault="00073EFB">
            <w:pPr>
              <w:pStyle w:val="a7"/>
              <w:rPr>
                <w:rFonts w:hint="default"/>
              </w:rPr>
            </w:pPr>
            <w:r>
              <w:t>100</w:t>
            </w:r>
          </w:p>
        </w:tc>
        <w:tc>
          <w:tcPr>
            <w:tcW w:w="649" w:type="pct"/>
            <w:tcBorders>
              <w:tl2br w:val="nil"/>
              <w:tr2bl w:val="nil"/>
            </w:tcBorders>
            <w:shd w:val="clear" w:color="auto" w:fill="DDEBF7"/>
            <w:vAlign w:val="center"/>
          </w:tcPr>
          <w:p w:rsidR="00BC07F0" w:rsidRDefault="00073EFB">
            <w:pPr>
              <w:pStyle w:val="a7"/>
              <w:rPr>
                <w:rFonts w:hint="default"/>
              </w:rPr>
            </w:pPr>
            <w:r>
              <w:t>200</w:t>
            </w:r>
          </w:p>
        </w:tc>
        <w:tc>
          <w:tcPr>
            <w:tcW w:w="649" w:type="pct"/>
            <w:tcBorders>
              <w:tl2br w:val="nil"/>
              <w:tr2bl w:val="nil"/>
            </w:tcBorders>
            <w:shd w:val="clear" w:color="auto" w:fill="DDEBF7"/>
            <w:vAlign w:val="center"/>
          </w:tcPr>
          <w:p w:rsidR="00BC07F0" w:rsidRDefault="00073EFB">
            <w:pPr>
              <w:pStyle w:val="a7"/>
              <w:rPr>
                <w:rFonts w:hint="default"/>
              </w:rPr>
            </w:pPr>
            <w:r>
              <w:t>250</w:t>
            </w:r>
          </w:p>
        </w:tc>
        <w:tc>
          <w:tcPr>
            <w:tcW w:w="649" w:type="pct"/>
            <w:tcBorders>
              <w:tl2br w:val="nil"/>
              <w:tr2bl w:val="nil"/>
            </w:tcBorders>
            <w:shd w:val="clear" w:color="auto" w:fill="DDEBF7"/>
            <w:vAlign w:val="center"/>
          </w:tcPr>
          <w:p w:rsidR="00BC07F0" w:rsidRDefault="00073EFB">
            <w:pPr>
              <w:pStyle w:val="a7"/>
              <w:rPr>
                <w:rFonts w:hint="default"/>
              </w:rPr>
            </w:pPr>
            <w:r>
              <w:t>520</w:t>
            </w:r>
          </w:p>
        </w:tc>
      </w:tr>
      <w:tr w:rsidR="00BC07F0">
        <w:trPr>
          <w:trHeight w:val="397"/>
          <w:jc w:val="center"/>
        </w:trPr>
        <w:tc>
          <w:tcPr>
            <w:tcW w:w="455" w:type="pct"/>
            <w:tcBorders>
              <w:tl2br w:val="nil"/>
              <w:tr2bl w:val="nil"/>
            </w:tcBorders>
            <w:shd w:val="clear" w:color="auto" w:fill="E2EFDA"/>
            <w:noWrap/>
            <w:vAlign w:val="center"/>
          </w:tcPr>
          <w:p w:rsidR="00BC07F0" w:rsidRDefault="00073EFB">
            <w:pPr>
              <w:pStyle w:val="a7"/>
              <w:rPr>
                <w:rFonts w:hint="default"/>
              </w:rPr>
            </w:pPr>
            <w:r>
              <w:rPr>
                <w:rFonts w:hint="default"/>
              </w:rPr>
              <w:t>10</w:t>
            </w:r>
          </w:p>
        </w:tc>
        <w:tc>
          <w:tcPr>
            <w:tcW w:w="649" w:type="pct"/>
            <w:tcBorders>
              <w:tl2br w:val="nil"/>
              <w:tr2bl w:val="nil"/>
            </w:tcBorders>
            <w:noWrap/>
            <w:vAlign w:val="center"/>
          </w:tcPr>
          <w:p w:rsidR="00BC07F0" w:rsidRDefault="00073EFB">
            <w:pPr>
              <w:pStyle w:val="a7"/>
              <w:rPr>
                <w:rFonts w:hint="default"/>
              </w:rPr>
            </w:pPr>
            <w:r>
              <w:t>15.063</w:t>
            </w:r>
          </w:p>
        </w:tc>
        <w:tc>
          <w:tcPr>
            <w:tcW w:w="649" w:type="pct"/>
            <w:tcBorders>
              <w:tl2br w:val="nil"/>
              <w:tr2bl w:val="nil"/>
            </w:tcBorders>
            <w:noWrap/>
            <w:vAlign w:val="center"/>
          </w:tcPr>
          <w:p w:rsidR="00BC07F0" w:rsidRDefault="00073EFB">
            <w:pPr>
              <w:pStyle w:val="a7"/>
              <w:rPr>
                <w:rFonts w:hint="default"/>
              </w:rPr>
            </w:pPr>
            <w:r>
              <w:t>14.567</w:t>
            </w:r>
          </w:p>
        </w:tc>
        <w:tc>
          <w:tcPr>
            <w:tcW w:w="649" w:type="pct"/>
            <w:tcBorders>
              <w:tl2br w:val="nil"/>
              <w:tr2bl w:val="nil"/>
            </w:tcBorders>
            <w:noWrap/>
            <w:vAlign w:val="center"/>
          </w:tcPr>
          <w:p w:rsidR="00BC07F0" w:rsidRDefault="00073EFB">
            <w:pPr>
              <w:pStyle w:val="a7"/>
              <w:rPr>
                <w:rFonts w:hint="default"/>
              </w:rPr>
            </w:pPr>
            <w:r>
              <w:t>14.000</w:t>
            </w:r>
          </w:p>
        </w:tc>
        <w:tc>
          <w:tcPr>
            <w:tcW w:w="649" w:type="pct"/>
            <w:tcBorders>
              <w:tl2br w:val="nil"/>
              <w:tr2bl w:val="nil"/>
            </w:tcBorders>
            <w:noWrap/>
            <w:vAlign w:val="center"/>
          </w:tcPr>
          <w:p w:rsidR="00BC07F0" w:rsidRDefault="00073EFB">
            <w:pPr>
              <w:pStyle w:val="a7"/>
              <w:rPr>
                <w:rFonts w:hint="default"/>
              </w:rPr>
            </w:pPr>
            <w:r>
              <w:t>14.000</w:t>
            </w:r>
          </w:p>
        </w:tc>
        <w:tc>
          <w:tcPr>
            <w:tcW w:w="649" w:type="pct"/>
            <w:tcBorders>
              <w:tl2br w:val="nil"/>
              <w:tr2bl w:val="nil"/>
            </w:tcBorders>
            <w:noWrap/>
            <w:vAlign w:val="center"/>
          </w:tcPr>
          <w:p w:rsidR="00BC07F0" w:rsidRDefault="00073EFB">
            <w:pPr>
              <w:pStyle w:val="a7"/>
              <w:rPr>
                <w:rFonts w:hint="default"/>
              </w:rPr>
            </w:pPr>
            <w:r>
              <w:t>14.000</w:t>
            </w:r>
          </w:p>
        </w:tc>
        <w:tc>
          <w:tcPr>
            <w:tcW w:w="649" w:type="pct"/>
            <w:tcBorders>
              <w:tl2br w:val="nil"/>
              <w:tr2bl w:val="nil"/>
            </w:tcBorders>
            <w:noWrap/>
            <w:vAlign w:val="center"/>
          </w:tcPr>
          <w:p w:rsidR="00BC07F0" w:rsidRDefault="00073EFB">
            <w:pPr>
              <w:pStyle w:val="a7"/>
              <w:rPr>
                <w:rFonts w:hint="default"/>
              </w:rPr>
            </w:pPr>
            <w:r>
              <w:t>14.000</w:t>
            </w:r>
          </w:p>
        </w:tc>
        <w:tc>
          <w:tcPr>
            <w:tcW w:w="649" w:type="pct"/>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455" w:type="pct"/>
            <w:tcBorders>
              <w:tl2br w:val="nil"/>
              <w:tr2bl w:val="nil"/>
            </w:tcBorders>
            <w:shd w:val="clear" w:color="auto" w:fill="E2EFDA"/>
            <w:noWrap/>
            <w:vAlign w:val="center"/>
          </w:tcPr>
          <w:p w:rsidR="00BC07F0" w:rsidRDefault="00073EFB">
            <w:pPr>
              <w:pStyle w:val="a7"/>
              <w:rPr>
                <w:rFonts w:hint="default"/>
              </w:rPr>
            </w:pPr>
            <w:r>
              <w:rPr>
                <w:rFonts w:hint="default"/>
              </w:rPr>
              <w:t>50</w:t>
            </w:r>
          </w:p>
        </w:tc>
        <w:tc>
          <w:tcPr>
            <w:tcW w:w="649" w:type="pct"/>
            <w:tcBorders>
              <w:tl2br w:val="nil"/>
              <w:tr2bl w:val="nil"/>
            </w:tcBorders>
            <w:noWrap/>
            <w:vAlign w:val="center"/>
          </w:tcPr>
          <w:p w:rsidR="00BC07F0" w:rsidRDefault="00073EFB">
            <w:pPr>
              <w:pStyle w:val="a7"/>
              <w:rPr>
                <w:rFonts w:hint="default"/>
              </w:rPr>
            </w:pPr>
            <w:r>
              <w:t>14.477</w:t>
            </w:r>
          </w:p>
        </w:tc>
        <w:tc>
          <w:tcPr>
            <w:tcW w:w="649" w:type="pct"/>
            <w:tcBorders>
              <w:tl2br w:val="nil"/>
              <w:tr2bl w:val="nil"/>
            </w:tcBorders>
            <w:noWrap/>
            <w:vAlign w:val="center"/>
          </w:tcPr>
          <w:p w:rsidR="00BC07F0" w:rsidRDefault="00073EFB">
            <w:pPr>
              <w:pStyle w:val="a7"/>
              <w:rPr>
                <w:rFonts w:hint="default"/>
              </w:rPr>
            </w:pPr>
            <w:r>
              <w:t>14.421</w:t>
            </w:r>
          </w:p>
        </w:tc>
        <w:tc>
          <w:tcPr>
            <w:tcW w:w="649" w:type="pct"/>
            <w:tcBorders>
              <w:tl2br w:val="nil"/>
              <w:tr2bl w:val="nil"/>
            </w:tcBorders>
            <w:noWrap/>
            <w:vAlign w:val="center"/>
          </w:tcPr>
          <w:p w:rsidR="00BC07F0" w:rsidRDefault="00073EFB">
            <w:pPr>
              <w:pStyle w:val="a7"/>
              <w:rPr>
                <w:rFonts w:hint="default"/>
              </w:rPr>
            </w:pPr>
            <w:r>
              <w:t>14.020</w:t>
            </w:r>
          </w:p>
        </w:tc>
        <w:tc>
          <w:tcPr>
            <w:tcW w:w="649" w:type="pct"/>
            <w:tcBorders>
              <w:tl2br w:val="nil"/>
              <w:tr2bl w:val="nil"/>
            </w:tcBorders>
            <w:noWrap/>
            <w:vAlign w:val="center"/>
          </w:tcPr>
          <w:p w:rsidR="00BC07F0" w:rsidRDefault="00073EFB">
            <w:pPr>
              <w:pStyle w:val="a7"/>
              <w:rPr>
                <w:rFonts w:hint="default"/>
              </w:rPr>
            </w:pPr>
            <w:r>
              <w:t>14.000</w:t>
            </w:r>
          </w:p>
        </w:tc>
        <w:tc>
          <w:tcPr>
            <w:tcW w:w="649" w:type="pct"/>
            <w:tcBorders>
              <w:tl2br w:val="nil"/>
              <w:tr2bl w:val="nil"/>
            </w:tcBorders>
            <w:noWrap/>
            <w:vAlign w:val="center"/>
          </w:tcPr>
          <w:p w:rsidR="00BC07F0" w:rsidRDefault="00073EFB">
            <w:pPr>
              <w:pStyle w:val="a7"/>
              <w:rPr>
                <w:rFonts w:hint="default"/>
              </w:rPr>
            </w:pPr>
            <w:r>
              <w:t>14.000</w:t>
            </w:r>
          </w:p>
        </w:tc>
        <w:tc>
          <w:tcPr>
            <w:tcW w:w="649" w:type="pct"/>
            <w:tcBorders>
              <w:tl2br w:val="nil"/>
              <w:tr2bl w:val="nil"/>
            </w:tcBorders>
            <w:noWrap/>
            <w:vAlign w:val="center"/>
          </w:tcPr>
          <w:p w:rsidR="00BC07F0" w:rsidRDefault="00073EFB">
            <w:pPr>
              <w:pStyle w:val="a7"/>
              <w:rPr>
                <w:rFonts w:hint="default"/>
              </w:rPr>
            </w:pPr>
            <w:r>
              <w:t>14.000</w:t>
            </w:r>
          </w:p>
        </w:tc>
        <w:tc>
          <w:tcPr>
            <w:tcW w:w="649" w:type="pct"/>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455" w:type="pct"/>
            <w:tcBorders>
              <w:tl2br w:val="nil"/>
              <w:tr2bl w:val="nil"/>
            </w:tcBorders>
            <w:shd w:val="clear" w:color="auto" w:fill="E2EFDA"/>
            <w:noWrap/>
            <w:vAlign w:val="center"/>
          </w:tcPr>
          <w:p w:rsidR="00BC07F0" w:rsidRDefault="00073EFB">
            <w:pPr>
              <w:pStyle w:val="a7"/>
              <w:rPr>
                <w:rFonts w:hint="default"/>
              </w:rPr>
            </w:pPr>
            <w:r>
              <w:rPr>
                <w:rFonts w:hint="default"/>
              </w:rPr>
              <w:t>100</w:t>
            </w:r>
          </w:p>
        </w:tc>
        <w:tc>
          <w:tcPr>
            <w:tcW w:w="649" w:type="pct"/>
            <w:tcBorders>
              <w:tl2br w:val="nil"/>
              <w:tr2bl w:val="nil"/>
            </w:tcBorders>
            <w:noWrap/>
            <w:vAlign w:val="center"/>
          </w:tcPr>
          <w:p w:rsidR="00BC07F0" w:rsidRDefault="00073EFB">
            <w:pPr>
              <w:pStyle w:val="a7"/>
              <w:rPr>
                <w:rFonts w:hint="default"/>
              </w:rPr>
            </w:pPr>
            <w:r>
              <w:t>14.338</w:t>
            </w:r>
          </w:p>
        </w:tc>
        <w:tc>
          <w:tcPr>
            <w:tcW w:w="649" w:type="pct"/>
            <w:tcBorders>
              <w:tl2br w:val="nil"/>
              <w:tr2bl w:val="nil"/>
            </w:tcBorders>
            <w:noWrap/>
            <w:vAlign w:val="center"/>
          </w:tcPr>
          <w:p w:rsidR="00BC07F0" w:rsidRDefault="00073EFB">
            <w:pPr>
              <w:pStyle w:val="a7"/>
              <w:rPr>
                <w:rFonts w:hint="default"/>
              </w:rPr>
            </w:pPr>
            <w:r>
              <w:t>14.317</w:t>
            </w:r>
          </w:p>
        </w:tc>
        <w:tc>
          <w:tcPr>
            <w:tcW w:w="649" w:type="pct"/>
            <w:tcBorders>
              <w:tl2br w:val="nil"/>
              <w:tr2bl w:val="nil"/>
            </w:tcBorders>
            <w:noWrap/>
            <w:vAlign w:val="center"/>
          </w:tcPr>
          <w:p w:rsidR="00BC07F0" w:rsidRDefault="00073EFB">
            <w:pPr>
              <w:pStyle w:val="a7"/>
              <w:rPr>
                <w:rFonts w:hint="default"/>
              </w:rPr>
            </w:pPr>
            <w:r>
              <w:t>14.069</w:t>
            </w:r>
          </w:p>
        </w:tc>
        <w:tc>
          <w:tcPr>
            <w:tcW w:w="649" w:type="pct"/>
            <w:tcBorders>
              <w:tl2br w:val="nil"/>
              <w:tr2bl w:val="nil"/>
            </w:tcBorders>
            <w:noWrap/>
            <w:vAlign w:val="center"/>
          </w:tcPr>
          <w:p w:rsidR="00BC07F0" w:rsidRDefault="00073EFB">
            <w:pPr>
              <w:pStyle w:val="a7"/>
              <w:rPr>
                <w:rFonts w:hint="default"/>
              </w:rPr>
            </w:pPr>
            <w:r>
              <w:t>14.001</w:t>
            </w:r>
          </w:p>
        </w:tc>
        <w:tc>
          <w:tcPr>
            <w:tcW w:w="649" w:type="pct"/>
            <w:tcBorders>
              <w:tl2br w:val="nil"/>
              <w:tr2bl w:val="nil"/>
            </w:tcBorders>
            <w:noWrap/>
            <w:vAlign w:val="center"/>
          </w:tcPr>
          <w:p w:rsidR="00BC07F0" w:rsidRDefault="00073EFB">
            <w:pPr>
              <w:pStyle w:val="a7"/>
              <w:rPr>
                <w:rFonts w:hint="default"/>
              </w:rPr>
            </w:pPr>
            <w:r>
              <w:t>14.000</w:t>
            </w:r>
          </w:p>
        </w:tc>
        <w:tc>
          <w:tcPr>
            <w:tcW w:w="649" w:type="pct"/>
            <w:tcBorders>
              <w:tl2br w:val="nil"/>
              <w:tr2bl w:val="nil"/>
            </w:tcBorders>
            <w:noWrap/>
            <w:vAlign w:val="center"/>
          </w:tcPr>
          <w:p w:rsidR="00BC07F0" w:rsidRDefault="00073EFB">
            <w:pPr>
              <w:pStyle w:val="a7"/>
              <w:rPr>
                <w:rFonts w:hint="default"/>
              </w:rPr>
            </w:pPr>
            <w:r>
              <w:t>14.000</w:t>
            </w:r>
          </w:p>
        </w:tc>
        <w:tc>
          <w:tcPr>
            <w:tcW w:w="649" w:type="pct"/>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455" w:type="pct"/>
            <w:tcBorders>
              <w:tl2br w:val="nil"/>
              <w:tr2bl w:val="nil"/>
            </w:tcBorders>
            <w:shd w:val="clear" w:color="auto" w:fill="E2EFDA"/>
            <w:noWrap/>
            <w:vAlign w:val="center"/>
          </w:tcPr>
          <w:p w:rsidR="00BC07F0" w:rsidRDefault="00073EFB">
            <w:pPr>
              <w:pStyle w:val="a7"/>
              <w:rPr>
                <w:rFonts w:hint="default"/>
              </w:rPr>
            </w:pPr>
            <w:r>
              <w:rPr>
                <w:rFonts w:hint="default"/>
              </w:rPr>
              <w:t>200</w:t>
            </w:r>
          </w:p>
        </w:tc>
        <w:tc>
          <w:tcPr>
            <w:tcW w:w="649" w:type="pct"/>
            <w:tcBorders>
              <w:tl2br w:val="nil"/>
              <w:tr2bl w:val="nil"/>
            </w:tcBorders>
            <w:noWrap/>
            <w:vAlign w:val="center"/>
          </w:tcPr>
          <w:p w:rsidR="00BC07F0" w:rsidRDefault="00073EFB">
            <w:pPr>
              <w:pStyle w:val="a7"/>
              <w:rPr>
                <w:rFonts w:hint="default"/>
              </w:rPr>
            </w:pPr>
            <w:r>
              <w:t>14.239</w:t>
            </w:r>
          </w:p>
        </w:tc>
        <w:tc>
          <w:tcPr>
            <w:tcW w:w="649" w:type="pct"/>
            <w:tcBorders>
              <w:tl2br w:val="nil"/>
              <w:tr2bl w:val="nil"/>
            </w:tcBorders>
            <w:noWrap/>
            <w:vAlign w:val="center"/>
          </w:tcPr>
          <w:p w:rsidR="00BC07F0" w:rsidRDefault="00073EFB">
            <w:pPr>
              <w:pStyle w:val="a7"/>
              <w:rPr>
                <w:rFonts w:hint="default"/>
              </w:rPr>
            </w:pPr>
            <w:r>
              <w:t>14.231</w:t>
            </w:r>
          </w:p>
        </w:tc>
        <w:tc>
          <w:tcPr>
            <w:tcW w:w="649" w:type="pct"/>
            <w:tcBorders>
              <w:tl2br w:val="nil"/>
              <w:tr2bl w:val="nil"/>
            </w:tcBorders>
            <w:noWrap/>
            <w:vAlign w:val="center"/>
          </w:tcPr>
          <w:p w:rsidR="00BC07F0" w:rsidRDefault="00073EFB">
            <w:pPr>
              <w:pStyle w:val="a7"/>
              <w:rPr>
                <w:rFonts w:hint="default"/>
              </w:rPr>
            </w:pPr>
            <w:r>
              <w:t>14.108</w:t>
            </w:r>
          </w:p>
        </w:tc>
        <w:tc>
          <w:tcPr>
            <w:tcW w:w="649" w:type="pct"/>
            <w:tcBorders>
              <w:tl2br w:val="nil"/>
              <w:tr2bl w:val="nil"/>
            </w:tcBorders>
            <w:noWrap/>
            <w:vAlign w:val="center"/>
          </w:tcPr>
          <w:p w:rsidR="00BC07F0" w:rsidRDefault="00073EFB">
            <w:pPr>
              <w:pStyle w:val="a7"/>
              <w:rPr>
                <w:rFonts w:hint="default"/>
              </w:rPr>
            </w:pPr>
            <w:r>
              <w:t>14.010</w:t>
            </w:r>
          </w:p>
        </w:tc>
        <w:tc>
          <w:tcPr>
            <w:tcW w:w="649" w:type="pct"/>
            <w:tcBorders>
              <w:tl2br w:val="nil"/>
              <w:tr2bl w:val="nil"/>
            </w:tcBorders>
            <w:noWrap/>
            <w:vAlign w:val="center"/>
          </w:tcPr>
          <w:p w:rsidR="00BC07F0" w:rsidRDefault="00073EFB">
            <w:pPr>
              <w:pStyle w:val="a7"/>
              <w:rPr>
                <w:rFonts w:hint="default"/>
              </w:rPr>
            </w:pPr>
            <w:r>
              <w:t>14.000</w:t>
            </w:r>
          </w:p>
        </w:tc>
        <w:tc>
          <w:tcPr>
            <w:tcW w:w="649" w:type="pct"/>
            <w:tcBorders>
              <w:tl2br w:val="nil"/>
              <w:tr2bl w:val="nil"/>
            </w:tcBorders>
            <w:noWrap/>
            <w:vAlign w:val="center"/>
          </w:tcPr>
          <w:p w:rsidR="00BC07F0" w:rsidRDefault="00073EFB">
            <w:pPr>
              <w:pStyle w:val="a7"/>
              <w:rPr>
                <w:rFonts w:hint="default"/>
              </w:rPr>
            </w:pPr>
            <w:r>
              <w:t>14.000</w:t>
            </w:r>
          </w:p>
        </w:tc>
        <w:tc>
          <w:tcPr>
            <w:tcW w:w="649" w:type="pct"/>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455" w:type="pct"/>
            <w:tcBorders>
              <w:tl2br w:val="nil"/>
              <w:tr2bl w:val="nil"/>
            </w:tcBorders>
            <w:shd w:val="clear" w:color="auto" w:fill="E2EFDA"/>
            <w:noWrap/>
            <w:vAlign w:val="center"/>
          </w:tcPr>
          <w:p w:rsidR="00BC07F0" w:rsidRDefault="00073EFB">
            <w:pPr>
              <w:pStyle w:val="a7"/>
              <w:rPr>
                <w:rFonts w:hint="default"/>
              </w:rPr>
            </w:pPr>
            <w:r>
              <w:rPr>
                <w:rFonts w:hint="default"/>
              </w:rPr>
              <w:t>400</w:t>
            </w:r>
          </w:p>
        </w:tc>
        <w:tc>
          <w:tcPr>
            <w:tcW w:w="649" w:type="pct"/>
            <w:tcBorders>
              <w:tl2br w:val="nil"/>
              <w:tr2bl w:val="nil"/>
            </w:tcBorders>
            <w:noWrap/>
            <w:vAlign w:val="center"/>
          </w:tcPr>
          <w:p w:rsidR="00BC07F0" w:rsidRDefault="00073EFB">
            <w:pPr>
              <w:pStyle w:val="a7"/>
              <w:rPr>
                <w:rFonts w:hint="default"/>
              </w:rPr>
            </w:pPr>
            <w:r>
              <w:t>14.168</w:t>
            </w:r>
          </w:p>
        </w:tc>
        <w:tc>
          <w:tcPr>
            <w:tcW w:w="649" w:type="pct"/>
            <w:tcBorders>
              <w:tl2br w:val="nil"/>
              <w:tr2bl w:val="nil"/>
            </w:tcBorders>
            <w:noWrap/>
            <w:vAlign w:val="center"/>
          </w:tcPr>
          <w:p w:rsidR="00BC07F0" w:rsidRDefault="00073EFB">
            <w:pPr>
              <w:pStyle w:val="a7"/>
              <w:rPr>
                <w:rFonts w:hint="default"/>
              </w:rPr>
            </w:pPr>
            <w:r>
              <w:t>14.166</w:t>
            </w:r>
          </w:p>
        </w:tc>
        <w:tc>
          <w:tcPr>
            <w:tcW w:w="649" w:type="pct"/>
            <w:tcBorders>
              <w:tl2br w:val="nil"/>
              <w:tr2bl w:val="nil"/>
            </w:tcBorders>
            <w:noWrap/>
            <w:vAlign w:val="center"/>
          </w:tcPr>
          <w:p w:rsidR="00BC07F0" w:rsidRDefault="00073EFB">
            <w:pPr>
              <w:pStyle w:val="a7"/>
              <w:rPr>
                <w:rFonts w:hint="default"/>
              </w:rPr>
            </w:pPr>
            <w:r>
              <w:t>14.113</w:t>
            </w:r>
          </w:p>
        </w:tc>
        <w:tc>
          <w:tcPr>
            <w:tcW w:w="649" w:type="pct"/>
            <w:tcBorders>
              <w:tl2br w:val="nil"/>
              <w:tr2bl w:val="nil"/>
            </w:tcBorders>
            <w:noWrap/>
            <w:vAlign w:val="center"/>
          </w:tcPr>
          <w:p w:rsidR="00BC07F0" w:rsidRDefault="00073EFB">
            <w:pPr>
              <w:pStyle w:val="a7"/>
              <w:rPr>
                <w:rFonts w:hint="default"/>
              </w:rPr>
            </w:pPr>
            <w:r>
              <w:t>14.034</w:t>
            </w:r>
          </w:p>
        </w:tc>
        <w:tc>
          <w:tcPr>
            <w:tcW w:w="649" w:type="pct"/>
            <w:tcBorders>
              <w:tl2br w:val="nil"/>
              <w:tr2bl w:val="nil"/>
            </w:tcBorders>
            <w:noWrap/>
            <w:vAlign w:val="center"/>
          </w:tcPr>
          <w:p w:rsidR="00BC07F0" w:rsidRDefault="00073EFB">
            <w:pPr>
              <w:pStyle w:val="a7"/>
              <w:rPr>
                <w:rFonts w:hint="default"/>
              </w:rPr>
            </w:pPr>
            <w:r>
              <w:t>14.000</w:t>
            </w:r>
          </w:p>
        </w:tc>
        <w:tc>
          <w:tcPr>
            <w:tcW w:w="649" w:type="pct"/>
            <w:tcBorders>
              <w:tl2br w:val="nil"/>
              <w:tr2bl w:val="nil"/>
            </w:tcBorders>
            <w:noWrap/>
            <w:vAlign w:val="center"/>
          </w:tcPr>
          <w:p w:rsidR="00BC07F0" w:rsidRDefault="00073EFB">
            <w:pPr>
              <w:pStyle w:val="a7"/>
              <w:rPr>
                <w:rFonts w:hint="default"/>
              </w:rPr>
            </w:pPr>
            <w:r>
              <w:t>14.000</w:t>
            </w:r>
          </w:p>
        </w:tc>
        <w:tc>
          <w:tcPr>
            <w:tcW w:w="649" w:type="pct"/>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455" w:type="pct"/>
            <w:tcBorders>
              <w:tl2br w:val="nil"/>
              <w:tr2bl w:val="nil"/>
            </w:tcBorders>
            <w:shd w:val="clear" w:color="auto" w:fill="E2EFDA"/>
            <w:noWrap/>
            <w:vAlign w:val="center"/>
          </w:tcPr>
          <w:p w:rsidR="00BC07F0" w:rsidRDefault="00073EFB">
            <w:pPr>
              <w:pStyle w:val="a7"/>
              <w:rPr>
                <w:rFonts w:hint="default"/>
              </w:rPr>
            </w:pPr>
            <w:r>
              <w:rPr>
                <w:rFonts w:hint="default"/>
              </w:rPr>
              <w:t>800</w:t>
            </w:r>
          </w:p>
        </w:tc>
        <w:tc>
          <w:tcPr>
            <w:tcW w:w="649" w:type="pct"/>
            <w:tcBorders>
              <w:tl2br w:val="nil"/>
              <w:tr2bl w:val="nil"/>
            </w:tcBorders>
            <w:noWrap/>
            <w:vAlign w:val="center"/>
          </w:tcPr>
          <w:p w:rsidR="00BC07F0" w:rsidRDefault="00073EFB">
            <w:pPr>
              <w:pStyle w:val="a7"/>
              <w:rPr>
                <w:rFonts w:hint="default"/>
              </w:rPr>
            </w:pPr>
            <w:r>
              <w:t>14.119</w:t>
            </w:r>
          </w:p>
        </w:tc>
        <w:tc>
          <w:tcPr>
            <w:tcW w:w="649" w:type="pct"/>
            <w:tcBorders>
              <w:tl2br w:val="nil"/>
              <w:tr2bl w:val="nil"/>
            </w:tcBorders>
            <w:noWrap/>
            <w:vAlign w:val="center"/>
          </w:tcPr>
          <w:p w:rsidR="00BC07F0" w:rsidRDefault="00073EFB">
            <w:pPr>
              <w:pStyle w:val="a7"/>
              <w:rPr>
                <w:rFonts w:hint="default"/>
              </w:rPr>
            </w:pPr>
            <w:r>
              <w:t>14.118</w:t>
            </w:r>
          </w:p>
        </w:tc>
        <w:tc>
          <w:tcPr>
            <w:tcW w:w="649" w:type="pct"/>
            <w:tcBorders>
              <w:tl2br w:val="nil"/>
              <w:tr2bl w:val="nil"/>
            </w:tcBorders>
            <w:noWrap/>
            <w:vAlign w:val="center"/>
          </w:tcPr>
          <w:p w:rsidR="00BC07F0" w:rsidRDefault="00073EFB">
            <w:pPr>
              <w:pStyle w:val="a7"/>
              <w:rPr>
                <w:rFonts w:hint="default"/>
              </w:rPr>
            </w:pPr>
            <w:r>
              <w:t>14.097</w:t>
            </w:r>
          </w:p>
        </w:tc>
        <w:tc>
          <w:tcPr>
            <w:tcW w:w="649" w:type="pct"/>
            <w:tcBorders>
              <w:tl2br w:val="nil"/>
              <w:tr2bl w:val="nil"/>
            </w:tcBorders>
            <w:noWrap/>
            <w:vAlign w:val="center"/>
          </w:tcPr>
          <w:p w:rsidR="00BC07F0" w:rsidRDefault="00073EFB">
            <w:pPr>
              <w:pStyle w:val="a7"/>
              <w:rPr>
                <w:rFonts w:hint="default"/>
              </w:rPr>
            </w:pPr>
            <w:r>
              <w:t>14.054</w:t>
            </w:r>
          </w:p>
        </w:tc>
        <w:tc>
          <w:tcPr>
            <w:tcW w:w="649" w:type="pct"/>
            <w:tcBorders>
              <w:tl2br w:val="nil"/>
              <w:tr2bl w:val="nil"/>
            </w:tcBorders>
            <w:noWrap/>
            <w:vAlign w:val="center"/>
          </w:tcPr>
          <w:p w:rsidR="00BC07F0" w:rsidRDefault="00073EFB">
            <w:pPr>
              <w:pStyle w:val="a7"/>
              <w:rPr>
                <w:rFonts w:hint="default"/>
              </w:rPr>
            </w:pPr>
            <w:r>
              <w:t>14.005</w:t>
            </w:r>
          </w:p>
        </w:tc>
        <w:tc>
          <w:tcPr>
            <w:tcW w:w="649" w:type="pct"/>
            <w:tcBorders>
              <w:tl2br w:val="nil"/>
              <w:tr2bl w:val="nil"/>
            </w:tcBorders>
            <w:noWrap/>
            <w:vAlign w:val="center"/>
          </w:tcPr>
          <w:p w:rsidR="00BC07F0" w:rsidRDefault="00073EFB">
            <w:pPr>
              <w:pStyle w:val="a7"/>
              <w:rPr>
                <w:rFonts w:hint="default"/>
              </w:rPr>
            </w:pPr>
            <w:r>
              <w:t>14.001</w:t>
            </w:r>
          </w:p>
        </w:tc>
        <w:tc>
          <w:tcPr>
            <w:tcW w:w="649" w:type="pct"/>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455" w:type="pct"/>
            <w:tcBorders>
              <w:tl2br w:val="nil"/>
              <w:tr2bl w:val="nil"/>
            </w:tcBorders>
            <w:shd w:val="clear" w:color="auto" w:fill="E2EFDA"/>
            <w:noWrap/>
            <w:vAlign w:val="center"/>
          </w:tcPr>
          <w:p w:rsidR="00BC07F0" w:rsidRDefault="00073EFB">
            <w:pPr>
              <w:pStyle w:val="a7"/>
              <w:rPr>
                <w:rFonts w:hint="default"/>
              </w:rPr>
            </w:pPr>
            <w:r>
              <w:rPr>
                <w:rFonts w:hint="default"/>
              </w:rPr>
              <w:t>1000</w:t>
            </w:r>
          </w:p>
        </w:tc>
        <w:tc>
          <w:tcPr>
            <w:tcW w:w="649" w:type="pct"/>
            <w:tcBorders>
              <w:tl2br w:val="nil"/>
              <w:tr2bl w:val="nil"/>
            </w:tcBorders>
            <w:noWrap/>
            <w:vAlign w:val="center"/>
          </w:tcPr>
          <w:p w:rsidR="00BC07F0" w:rsidRDefault="00073EFB">
            <w:pPr>
              <w:pStyle w:val="a7"/>
              <w:rPr>
                <w:rFonts w:hint="default"/>
              </w:rPr>
            </w:pPr>
            <w:r>
              <w:t>14.106</w:t>
            </w:r>
          </w:p>
        </w:tc>
        <w:tc>
          <w:tcPr>
            <w:tcW w:w="649" w:type="pct"/>
            <w:tcBorders>
              <w:tl2br w:val="nil"/>
              <w:tr2bl w:val="nil"/>
            </w:tcBorders>
            <w:noWrap/>
            <w:vAlign w:val="center"/>
          </w:tcPr>
          <w:p w:rsidR="00BC07F0" w:rsidRDefault="00073EFB">
            <w:pPr>
              <w:pStyle w:val="a7"/>
              <w:rPr>
                <w:rFonts w:hint="default"/>
              </w:rPr>
            </w:pPr>
            <w:r>
              <w:t>14.105</w:t>
            </w:r>
          </w:p>
        </w:tc>
        <w:tc>
          <w:tcPr>
            <w:tcW w:w="649" w:type="pct"/>
            <w:tcBorders>
              <w:tl2br w:val="nil"/>
              <w:tr2bl w:val="nil"/>
            </w:tcBorders>
            <w:noWrap/>
            <w:vAlign w:val="center"/>
          </w:tcPr>
          <w:p w:rsidR="00BC07F0" w:rsidRDefault="00073EFB">
            <w:pPr>
              <w:pStyle w:val="a7"/>
              <w:rPr>
                <w:rFonts w:hint="default"/>
              </w:rPr>
            </w:pPr>
            <w:r>
              <w:t>14.090</w:t>
            </w:r>
          </w:p>
        </w:tc>
        <w:tc>
          <w:tcPr>
            <w:tcW w:w="649" w:type="pct"/>
            <w:tcBorders>
              <w:tl2br w:val="nil"/>
              <w:tr2bl w:val="nil"/>
            </w:tcBorders>
            <w:noWrap/>
            <w:vAlign w:val="center"/>
          </w:tcPr>
          <w:p w:rsidR="00BC07F0" w:rsidRDefault="00073EFB">
            <w:pPr>
              <w:pStyle w:val="a7"/>
              <w:rPr>
                <w:rFonts w:hint="default"/>
              </w:rPr>
            </w:pPr>
            <w:r>
              <w:t>14.056</w:t>
            </w:r>
          </w:p>
        </w:tc>
        <w:tc>
          <w:tcPr>
            <w:tcW w:w="649" w:type="pct"/>
            <w:tcBorders>
              <w:tl2br w:val="nil"/>
              <w:tr2bl w:val="nil"/>
            </w:tcBorders>
            <w:noWrap/>
            <w:vAlign w:val="center"/>
          </w:tcPr>
          <w:p w:rsidR="00BC07F0" w:rsidRDefault="00073EFB">
            <w:pPr>
              <w:pStyle w:val="a7"/>
              <w:rPr>
                <w:rFonts w:hint="default"/>
              </w:rPr>
            </w:pPr>
            <w:r>
              <w:t>14.008</w:t>
            </w:r>
          </w:p>
        </w:tc>
        <w:tc>
          <w:tcPr>
            <w:tcW w:w="649" w:type="pct"/>
            <w:tcBorders>
              <w:tl2br w:val="nil"/>
              <w:tr2bl w:val="nil"/>
            </w:tcBorders>
            <w:noWrap/>
            <w:vAlign w:val="center"/>
          </w:tcPr>
          <w:p w:rsidR="00BC07F0" w:rsidRDefault="00073EFB">
            <w:pPr>
              <w:pStyle w:val="a7"/>
              <w:rPr>
                <w:rFonts w:hint="default"/>
              </w:rPr>
            </w:pPr>
            <w:r>
              <w:t>14.002</w:t>
            </w:r>
          </w:p>
        </w:tc>
        <w:tc>
          <w:tcPr>
            <w:tcW w:w="649" w:type="pct"/>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455" w:type="pct"/>
            <w:tcBorders>
              <w:tl2br w:val="nil"/>
              <w:tr2bl w:val="nil"/>
            </w:tcBorders>
            <w:shd w:val="clear" w:color="auto" w:fill="E2EFDA"/>
            <w:noWrap/>
            <w:vAlign w:val="center"/>
          </w:tcPr>
          <w:p w:rsidR="00BC07F0" w:rsidRDefault="00073EFB">
            <w:pPr>
              <w:pStyle w:val="a7"/>
              <w:rPr>
                <w:rFonts w:hint="default"/>
              </w:rPr>
            </w:pPr>
            <w:r>
              <w:rPr>
                <w:rFonts w:hint="default"/>
              </w:rPr>
              <w:t>1500</w:t>
            </w:r>
          </w:p>
        </w:tc>
        <w:tc>
          <w:tcPr>
            <w:tcW w:w="649" w:type="pct"/>
            <w:tcBorders>
              <w:tl2br w:val="nil"/>
              <w:tr2bl w:val="nil"/>
            </w:tcBorders>
            <w:noWrap/>
            <w:vAlign w:val="center"/>
          </w:tcPr>
          <w:p w:rsidR="00BC07F0" w:rsidRDefault="00073EFB">
            <w:pPr>
              <w:pStyle w:val="a7"/>
              <w:rPr>
                <w:rFonts w:hint="default"/>
              </w:rPr>
            </w:pPr>
            <w:r>
              <w:t>14.086</w:t>
            </w:r>
          </w:p>
        </w:tc>
        <w:tc>
          <w:tcPr>
            <w:tcW w:w="649" w:type="pct"/>
            <w:tcBorders>
              <w:tl2br w:val="nil"/>
              <w:tr2bl w:val="nil"/>
            </w:tcBorders>
            <w:noWrap/>
            <w:vAlign w:val="center"/>
          </w:tcPr>
          <w:p w:rsidR="00BC07F0" w:rsidRDefault="00073EFB">
            <w:pPr>
              <w:pStyle w:val="a7"/>
              <w:rPr>
                <w:rFonts w:hint="default"/>
              </w:rPr>
            </w:pPr>
            <w:r>
              <w:t>14.086</w:t>
            </w:r>
          </w:p>
        </w:tc>
        <w:tc>
          <w:tcPr>
            <w:tcW w:w="649" w:type="pct"/>
            <w:tcBorders>
              <w:tl2br w:val="nil"/>
              <w:tr2bl w:val="nil"/>
            </w:tcBorders>
            <w:noWrap/>
            <w:vAlign w:val="center"/>
          </w:tcPr>
          <w:p w:rsidR="00BC07F0" w:rsidRDefault="00073EFB">
            <w:pPr>
              <w:pStyle w:val="a7"/>
              <w:rPr>
                <w:rFonts w:hint="default"/>
              </w:rPr>
            </w:pPr>
            <w:r>
              <w:t>14.078</w:t>
            </w:r>
          </w:p>
        </w:tc>
        <w:tc>
          <w:tcPr>
            <w:tcW w:w="649" w:type="pct"/>
            <w:tcBorders>
              <w:tl2br w:val="nil"/>
              <w:tr2bl w:val="nil"/>
            </w:tcBorders>
            <w:noWrap/>
            <w:vAlign w:val="center"/>
          </w:tcPr>
          <w:p w:rsidR="00BC07F0" w:rsidRDefault="00073EFB">
            <w:pPr>
              <w:pStyle w:val="a7"/>
              <w:rPr>
                <w:rFonts w:hint="default"/>
              </w:rPr>
            </w:pPr>
            <w:r>
              <w:t>14.056</w:t>
            </w:r>
          </w:p>
        </w:tc>
        <w:tc>
          <w:tcPr>
            <w:tcW w:w="649" w:type="pct"/>
            <w:tcBorders>
              <w:tl2br w:val="nil"/>
              <w:tr2bl w:val="nil"/>
            </w:tcBorders>
            <w:noWrap/>
            <w:vAlign w:val="center"/>
          </w:tcPr>
          <w:p w:rsidR="00BC07F0" w:rsidRDefault="00073EFB">
            <w:pPr>
              <w:pStyle w:val="a7"/>
              <w:rPr>
                <w:rFonts w:hint="default"/>
              </w:rPr>
            </w:pPr>
            <w:r>
              <w:t>14.016</w:t>
            </w:r>
          </w:p>
        </w:tc>
        <w:tc>
          <w:tcPr>
            <w:tcW w:w="649" w:type="pct"/>
            <w:tcBorders>
              <w:tl2br w:val="nil"/>
              <w:tr2bl w:val="nil"/>
            </w:tcBorders>
            <w:noWrap/>
            <w:vAlign w:val="center"/>
          </w:tcPr>
          <w:p w:rsidR="00BC07F0" w:rsidRDefault="00073EFB">
            <w:pPr>
              <w:pStyle w:val="a7"/>
              <w:rPr>
                <w:rFonts w:hint="default"/>
              </w:rPr>
            </w:pPr>
            <w:r>
              <w:t>14.006</w:t>
            </w:r>
          </w:p>
        </w:tc>
        <w:tc>
          <w:tcPr>
            <w:tcW w:w="649" w:type="pct"/>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455" w:type="pct"/>
            <w:tcBorders>
              <w:tl2br w:val="nil"/>
              <w:tr2bl w:val="nil"/>
            </w:tcBorders>
            <w:shd w:val="clear" w:color="auto" w:fill="E2EFDA"/>
            <w:noWrap/>
            <w:vAlign w:val="center"/>
          </w:tcPr>
          <w:p w:rsidR="00BC07F0" w:rsidRDefault="00073EFB">
            <w:pPr>
              <w:pStyle w:val="a7"/>
              <w:rPr>
                <w:rFonts w:hint="default"/>
              </w:rPr>
            </w:pPr>
            <w:r>
              <w:rPr>
                <w:rFonts w:hint="default"/>
              </w:rPr>
              <w:lastRenderedPageBreak/>
              <w:t>2000</w:t>
            </w:r>
          </w:p>
        </w:tc>
        <w:tc>
          <w:tcPr>
            <w:tcW w:w="649" w:type="pct"/>
            <w:tcBorders>
              <w:tl2br w:val="nil"/>
              <w:tr2bl w:val="nil"/>
            </w:tcBorders>
            <w:noWrap/>
            <w:vAlign w:val="center"/>
          </w:tcPr>
          <w:p w:rsidR="00BC07F0" w:rsidRDefault="00073EFB">
            <w:pPr>
              <w:pStyle w:val="a7"/>
              <w:rPr>
                <w:rFonts w:hint="default"/>
              </w:rPr>
            </w:pPr>
            <w:r>
              <w:t>14.074</w:t>
            </w:r>
          </w:p>
        </w:tc>
        <w:tc>
          <w:tcPr>
            <w:tcW w:w="649" w:type="pct"/>
            <w:tcBorders>
              <w:tl2br w:val="nil"/>
              <w:tr2bl w:val="nil"/>
            </w:tcBorders>
            <w:noWrap/>
            <w:vAlign w:val="center"/>
          </w:tcPr>
          <w:p w:rsidR="00BC07F0" w:rsidRDefault="00073EFB">
            <w:pPr>
              <w:pStyle w:val="a7"/>
              <w:rPr>
                <w:rFonts w:hint="default"/>
              </w:rPr>
            </w:pPr>
            <w:r>
              <w:t>14.074</w:t>
            </w:r>
          </w:p>
        </w:tc>
        <w:tc>
          <w:tcPr>
            <w:tcW w:w="649" w:type="pct"/>
            <w:tcBorders>
              <w:tl2br w:val="nil"/>
              <w:tr2bl w:val="nil"/>
            </w:tcBorders>
            <w:noWrap/>
            <w:vAlign w:val="center"/>
          </w:tcPr>
          <w:p w:rsidR="00BC07F0" w:rsidRDefault="00073EFB">
            <w:pPr>
              <w:pStyle w:val="a7"/>
              <w:rPr>
                <w:rFonts w:hint="default"/>
              </w:rPr>
            </w:pPr>
            <w:r>
              <w:t>14.069</w:t>
            </w:r>
          </w:p>
        </w:tc>
        <w:tc>
          <w:tcPr>
            <w:tcW w:w="649" w:type="pct"/>
            <w:tcBorders>
              <w:tl2br w:val="nil"/>
              <w:tr2bl w:val="nil"/>
            </w:tcBorders>
            <w:noWrap/>
            <w:vAlign w:val="center"/>
          </w:tcPr>
          <w:p w:rsidR="00BC07F0" w:rsidRDefault="00073EFB">
            <w:pPr>
              <w:pStyle w:val="a7"/>
              <w:rPr>
                <w:rFonts w:hint="default"/>
              </w:rPr>
            </w:pPr>
            <w:r>
              <w:t>14.054</w:t>
            </w:r>
          </w:p>
        </w:tc>
        <w:tc>
          <w:tcPr>
            <w:tcW w:w="649" w:type="pct"/>
            <w:tcBorders>
              <w:tl2br w:val="nil"/>
              <w:tr2bl w:val="nil"/>
            </w:tcBorders>
            <w:noWrap/>
            <w:vAlign w:val="center"/>
          </w:tcPr>
          <w:p w:rsidR="00BC07F0" w:rsidRDefault="00073EFB">
            <w:pPr>
              <w:pStyle w:val="a7"/>
              <w:rPr>
                <w:rFonts w:hint="default"/>
              </w:rPr>
            </w:pPr>
            <w:r>
              <w:t>14.021</w:t>
            </w:r>
          </w:p>
        </w:tc>
        <w:tc>
          <w:tcPr>
            <w:tcW w:w="649" w:type="pct"/>
            <w:tcBorders>
              <w:tl2br w:val="nil"/>
              <w:tr2bl w:val="nil"/>
            </w:tcBorders>
            <w:noWrap/>
            <w:vAlign w:val="center"/>
          </w:tcPr>
          <w:p w:rsidR="00BC07F0" w:rsidRDefault="00073EFB">
            <w:pPr>
              <w:pStyle w:val="a7"/>
              <w:rPr>
                <w:rFonts w:hint="default"/>
              </w:rPr>
            </w:pPr>
            <w:r>
              <w:t>14.010</w:t>
            </w:r>
          </w:p>
        </w:tc>
        <w:tc>
          <w:tcPr>
            <w:tcW w:w="649" w:type="pct"/>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455" w:type="pct"/>
            <w:tcBorders>
              <w:tl2br w:val="nil"/>
              <w:tr2bl w:val="nil"/>
            </w:tcBorders>
            <w:shd w:val="clear" w:color="auto" w:fill="E2EFDA"/>
            <w:noWrap/>
            <w:vAlign w:val="center"/>
          </w:tcPr>
          <w:p w:rsidR="00BC07F0" w:rsidRDefault="00073EFB">
            <w:pPr>
              <w:pStyle w:val="a7"/>
              <w:rPr>
                <w:rFonts w:hint="default"/>
              </w:rPr>
            </w:pPr>
            <w:r>
              <w:rPr>
                <w:rFonts w:hint="default"/>
              </w:rPr>
              <w:t>2500</w:t>
            </w:r>
          </w:p>
        </w:tc>
        <w:tc>
          <w:tcPr>
            <w:tcW w:w="649" w:type="pct"/>
            <w:tcBorders>
              <w:tl2br w:val="nil"/>
              <w:tr2bl w:val="nil"/>
            </w:tcBorders>
            <w:noWrap/>
            <w:vAlign w:val="center"/>
          </w:tcPr>
          <w:p w:rsidR="00BC07F0" w:rsidRDefault="00073EFB">
            <w:pPr>
              <w:pStyle w:val="a7"/>
              <w:rPr>
                <w:rFonts w:hint="default"/>
              </w:rPr>
            </w:pPr>
            <w:r>
              <w:t>14.066</w:t>
            </w:r>
          </w:p>
        </w:tc>
        <w:tc>
          <w:tcPr>
            <w:tcW w:w="649" w:type="pct"/>
            <w:tcBorders>
              <w:tl2br w:val="nil"/>
              <w:tr2bl w:val="nil"/>
            </w:tcBorders>
            <w:noWrap/>
            <w:vAlign w:val="center"/>
          </w:tcPr>
          <w:p w:rsidR="00BC07F0" w:rsidRDefault="00073EFB">
            <w:pPr>
              <w:pStyle w:val="a7"/>
              <w:rPr>
                <w:rFonts w:hint="default"/>
              </w:rPr>
            </w:pPr>
            <w:r>
              <w:t>14.066</w:t>
            </w:r>
          </w:p>
        </w:tc>
        <w:tc>
          <w:tcPr>
            <w:tcW w:w="649" w:type="pct"/>
            <w:tcBorders>
              <w:tl2br w:val="nil"/>
              <w:tr2bl w:val="nil"/>
            </w:tcBorders>
            <w:noWrap/>
            <w:vAlign w:val="center"/>
          </w:tcPr>
          <w:p w:rsidR="00BC07F0" w:rsidRDefault="00073EFB">
            <w:pPr>
              <w:pStyle w:val="a7"/>
              <w:rPr>
                <w:rFonts w:hint="default"/>
              </w:rPr>
            </w:pPr>
            <w:r>
              <w:t>14.062</w:t>
            </w:r>
          </w:p>
        </w:tc>
        <w:tc>
          <w:tcPr>
            <w:tcW w:w="649" w:type="pct"/>
            <w:tcBorders>
              <w:tl2br w:val="nil"/>
              <w:tr2bl w:val="nil"/>
            </w:tcBorders>
            <w:noWrap/>
            <w:vAlign w:val="center"/>
          </w:tcPr>
          <w:p w:rsidR="00BC07F0" w:rsidRDefault="00073EFB">
            <w:pPr>
              <w:pStyle w:val="a7"/>
              <w:rPr>
                <w:rFonts w:hint="default"/>
              </w:rPr>
            </w:pPr>
            <w:r>
              <w:t>14.051</w:t>
            </w:r>
          </w:p>
        </w:tc>
        <w:tc>
          <w:tcPr>
            <w:tcW w:w="649" w:type="pct"/>
            <w:tcBorders>
              <w:tl2br w:val="nil"/>
              <w:tr2bl w:val="nil"/>
            </w:tcBorders>
            <w:noWrap/>
            <w:vAlign w:val="center"/>
          </w:tcPr>
          <w:p w:rsidR="00BC07F0" w:rsidRDefault="00073EFB">
            <w:pPr>
              <w:pStyle w:val="a7"/>
              <w:rPr>
                <w:rFonts w:hint="default"/>
              </w:rPr>
            </w:pPr>
            <w:r>
              <w:t>14.024</w:t>
            </w:r>
          </w:p>
        </w:tc>
        <w:tc>
          <w:tcPr>
            <w:tcW w:w="649" w:type="pct"/>
            <w:tcBorders>
              <w:tl2br w:val="nil"/>
              <w:tr2bl w:val="nil"/>
            </w:tcBorders>
            <w:noWrap/>
            <w:vAlign w:val="center"/>
          </w:tcPr>
          <w:p w:rsidR="00BC07F0" w:rsidRDefault="00073EFB">
            <w:pPr>
              <w:pStyle w:val="a7"/>
              <w:rPr>
                <w:rFonts w:hint="default"/>
              </w:rPr>
            </w:pPr>
            <w:r>
              <w:t>14.014</w:t>
            </w:r>
          </w:p>
        </w:tc>
        <w:tc>
          <w:tcPr>
            <w:tcW w:w="649" w:type="pct"/>
            <w:tcBorders>
              <w:tl2br w:val="nil"/>
              <w:tr2bl w:val="nil"/>
            </w:tcBorders>
            <w:noWrap/>
            <w:vAlign w:val="center"/>
          </w:tcPr>
          <w:p w:rsidR="00BC07F0" w:rsidRDefault="00073EFB">
            <w:pPr>
              <w:pStyle w:val="a7"/>
              <w:rPr>
                <w:rFonts w:hint="default"/>
              </w:rPr>
            </w:pPr>
            <w:r>
              <w:t>14.000</w:t>
            </w:r>
          </w:p>
        </w:tc>
      </w:tr>
      <w:tr w:rsidR="00BC07F0">
        <w:trPr>
          <w:trHeight w:val="397"/>
          <w:jc w:val="center"/>
        </w:trPr>
        <w:tc>
          <w:tcPr>
            <w:tcW w:w="455" w:type="pct"/>
            <w:tcBorders>
              <w:tl2br w:val="nil"/>
              <w:tr2bl w:val="nil"/>
            </w:tcBorders>
            <w:shd w:val="clear" w:color="auto" w:fill="E2EFDA"/>
            <w:noWrap/>
            <w:vAlign w:val="center"/>
          </w:tcPr>
          <w:p w:rsidR="00BC07F0" w:rsidRDefault="00073EFB">
            <w:pPr>
              <w:pStyle w:val="a7"/>
              <w:rPr>
                <w:rFonts w:hint="default"/>
              </w:rPr>
            </w:pPr>
            <w:r>
              <w:t>31000</w:t>
            </w:r>
          </w:p>
        </w:tc>
        <w:tc>
          <w:tcPr>
            <w:tcW w:w="649" w:type="pct"/>
            <w:tcBorders>
              <w:tl2br w:val="nil"/>
              <w:tr2bl w:val="nil"/>
            </w:tcBorders>
            <w:noWrap/>
            <w:vAlign w:val="center"/>
          </w:tcPr>
          <w:p w:rsidR="00BC07F0" w:rsidRDefault="00073EFB">
            <w:pPr>
              <w:pStyle w:val="a7"/>
              <w:rPr>
                <w:rFonts w:hint="default"/>
              </w:rPr>
            </w:pPr>
            <w:r>
              <w:t>14.015</w:t>
            </w:r>
          </w:p>
        </w:tc>
        <w:tc>
          <w:tcPr>
            <w:tcW w:w="649" w:type="pct"/>
            <w:tcBorders>
              <w:tl2br w:val="nil"/>
              <w:tr2bl w:val="nil"/>
            </w:tcBorders>
            <w:noWrap/>
            <w:vAlign w:val="center"/>
          </w:tcPr>
          <w:p w:rsidR="00BC07F0" w:rsidRDefault="00073EFB">
            <w:pPr>
              <w:pStyle w:val="a7"/>
              <w:rPr>
                <w:rFonts w:hint="default"/>
              </w:rPr>
            </w:pPr>
            <w:r>
              <w:t>14.015</w:t>
            </w:r>
          </w:p>
        </w:tc>
        <w:tc>
          <w:tcPr>
            <w:tcW w:w="649" w:type="pct"/>
            <w:tcBorders>
              <w:tl2br w:val="nil"/>
              <w:tr2bl w:val="nil"/>
            </w:tcBorders>
            <w:noWrap/>
            <w:vAlign w:val="center"/>
          </w:tcPr>
          <w:p w:rsidR="00BC07F0" w:rsidRDefault="00073EFB">
            <w:pPr>
              <w:pStyle w:val="a7"/>
              <w:rPr>
                <w:rFonts w:hint="default"/>
              </w:rPr>
            </w:pPr>
            <w:r>
              <w:t>14.015</w:t>
            </w:r>
          </w:p>
        </w:tc>
        <w:tc>
          <w:tcPr>
            <w:tcW w:w="649" w:type="pct"/>
            <w:tcBorders>
              <w:tl2br w:val="nil"/>
              <w:tr2bl w:val="nil"/>
            </w:tcBorders>
            <w:noWrap/>
            <w:vAlign w:val="center"/>
          </w:tcPr>
          <w:p w:rsidR="00BC07F0" w:rsidRDefault="00073EFB">
            <w:pPr>
              <w:pStyle w:val="a7"/>
              <w:rPr>
                <w:rFonts w:hint="default"/>
              </w:rPr>
            </w:pPr>
            <w:r>
              <w:t>14.014</w:t>
            </w:r>
          </w:p>
        </w:tc>
        <w:tc>
          <w:tcPr>
            <w:tcW w:w="649" w:type="pct"/>
            <w:tcBorders>
              <w:tl2br w:val="nil"/>
              <w:tr2bl w:val="nil"/>
            </w:tcBorders>
            <w:noWrap/>
            <w:vAlign w:val="center"/>
          </w:tcPr>
          <w:p w:rsidR="00BC07F0" w:rsidRDefault="00073EFB">
            <w:pPr>
              <w:pStyle w:val="a7"/>
              <w:rPr>
                <w:rFonts w:hint="default"/>
              </w:rPr>
            </w:pPr>
            <w:r>
              <w:t>14.014</w:t>
            </w:r>
          </w:p>
        </w:tc>
        <w:tc>
          <w:tcPr>
            <w:tcW w:w="649" w:type="pct"/>
            <w:tcBorders>
              <w:tl2br w:val="nil"/>
              <w:tr2bl w:val="nil"/>
            </w:tcBorders>
            <w:noWrap/>
            <w:vAlign w:val="center"/>
          </w:tcPr>
          <w:p w:rsidR="00BC07F0" w:rsidRDefault="00073EFB">
            <w:pPr>
              <w:pStyle w:val="a7"/>
              <w:rPr>
                <w:rFonts w:hint="default"/>
              </w:rPr>
            </w:pPr>
            <w:r>
              <w:t>14.013</w:t>
            </w:r>
          </w:p>
        </w:tc>
        <w:tc>
          <w:tcPr>
            <w:tcW w:w="649" w:type="pct"/>
            <w:tcBorders>
              <w:tl2br w:val="nil"/>
              <w:tr2bl w:val="nil"/>
            </w:tcBorders>
            <w:noWrap/>
            <w:vAlign w:val="center"/>
          </w:tcPr>
          <w:p w:rsidR="00BC07F0" w:rsidRDefault="00073EFB">
            <w:pPr>
              <w:pStyle w:val="a7"/>
              <w:rPr>
                <w:rFonts w:hint="default"/>
              </w:rPr>
            </w:pPr>
            <w:r>
              <w:t>14.008</w:t>
            </w:r>
          </w:p>
        </w:tc>
      </w:tr>
    </w:tbl>
    <w:p w:rsidR="00BC07F0" w:rsidRDefault="00073EFB">
      <w:pPr>
        <w:pStyle w:val="a7"/>
        <w:rPr>
          <w:rFonts w:hint="default"/>
          <w:b/>
          <w:bCs/>
        </w:rPr>
      </w:pPr>
      <w:r>
        <w:rPr>
          <w:rFonts w:hint="default"/>
          <w:b/>
          <w:bCs/>
        </w:rPr>
        <w:t>表</w:t>
      </w:r>
      <w:r>
        <w:rPr>
          <w:b/>
          <w:bCs/>
        </w:rPr>
        <w:t>6.3-6</w:t>
      </w:r>
      <w:r>
        <w:rPr>
          <w:rFonts w:hint="default"/>
          <w:b/>
          <w:bCs/>
        </w:rPr>
        <w:t>枯水期尾水河流预测点浓度预测值</w:t>
      </w:r>
      <w:r>
        <w:rPr>
          <w:b/>
          <w:bCs/>
        </w:rPr>
        <w:t>（</w:t>
      </w:r>
      <w:r>
        <w:rPr>
          <w:b/>
          <w:bCs/>
        </w:rPr>
        <w:t>正常排放氨氮</w:t>
      </w:r>
      <w:r>
        <w:rPr>
          <w:b/>
          <w:bCs/>
        </w:rPr>
        <w:t>）</w:t>
      </w:r>
      <w:r>
        <w:rPr>
          <w:rFonts w:hint="default"/>
          <w:b/>
          <w:bCs/>
        </w:rPr>
        <w:t>单位：</w:t>
      </w:r>
      <w:r>
        <w:rPr>
          <w:rFonts w:hint="default"/>
          <w:b/>
          <w:bCs/>
        </w:rPr>
        <w:t>mg/L</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1099"/>
        <w:gridCol w:w="1099"/>
        <w:gridCol w:w="1099"/>
        <w:gridCol w:w="1099"/>
        <w:gridCol w:w="1099"/>
        <w:gridCol w:w="1099"/>
        <w:gridCol w:w="1102"/>
      </w:tblGrid>
      <w:tr w:rsidR="00BC07F0">
        <w:trPr>
          <w:trHeight w:val="397"/>
          <w:jc w:val="center"/>
        </w:trPr>
        <w:tc>
          <w:tcPr>
            <w:tcW w:w="749" w:type="pct"/>
            <w:tcBorders>
              <w:tl2br w:val="nil"/>
              <w:tr2bl w:val="nil"/>
            </w:tcBorders>
            <w:shd w:val="clear" w:color="auto" w:fill="auto"/>
            <w:noWrap/>
            <w:vAlign w:val="center"/>
          </w:tcPr>
          <w:p w:rsidR="00BC07F0" w:rsidRDefault="00073EFB">
            <w:pPr>
              <w:pStyle w:val="a7"/>
              <w:rPr>
                <w:rFonts w:hint="default"/>
              </w:rPr>
            </w:pPr>
            <w:r>
              <w:rPr>
                <w:rFonts w:hint="default"/>
              </w:rPr>
              <w:t>X</w:t>
            </w:r>
          </w:p>
          <w:p w:rsidR="00BC07F0" w:rsidRDefault="00073EFB">
            <w:pPr>
              <w:pStyle w:val="a7"/>
              <w:rPr>
                <w:rFonts w:hint="default"/>
              </w:rPr>
            </w:pPr>
            <w:r>
              <w:rPr>
                <w:rFonts w:hint="default"/>
              </w:rPr>
              <w:t>Y</w:t>
            </w:r>
          </w:p>
        </w:tc>
        <w:tc>
          <w:tcPr>
            <w:tcW w:w="606" w:type="pct"/>
            <w:tcBorders>
              <w:tl2br w:val="nil"/>
              <w:tr2bl w:val="nil"/>
            </w:tcBorders>
            <w:shd w:val="clear" w:color="auto" w:fill="DDEBF7"/>
            <w:vAlign w:val="center"/>
          </w:tcPr>
          <w:p w:rsidR="00BC07F0" w:rsidRDefault="00073EFB">
            <w:pPr>
              <w:pStyle w:val="a7"/>
              <w:rPr>
                <w:rFonts w:hint="default"/>
              </w:rPr>
            </w:pPr>
            <w:r>
              <w:t>1</w:t>
            </w:r>
          </w:p>
        </w:tc>
        <w:tc>
          <w:tcPr>
            <w:tcW w:w="606" w:type="pct"/>
            <w:tcBorders>
              <w:tl2br w:val="nil"/>
              <w:tr2bl w:val="nil"/>
            </w:tcBorders>
            <w:shd w:val="clear" w:color="auto" w:fill="DDEBF7"/>
            <w:vAlign w:val="center"/>
          </w:tcPr>
          <w:p w:rsidR="00BC07F0" w:rsidRDefault="00073EFB">
            <w:pPr>
              <w:pStyle w:val="a7"/>
              <w:rPr>
                <w:rFonts w:hint="default"/>
              </w:rPr>
            </w:pPr>
            <w:r>
              <w:t>10</w:t>
            </w:r>
          </w:p>
        </w:tc>
        <w:tc>
          <w:tcPr>
            <w:tcW w:w="606" w:type="pct"/>
            <w:tcBorders>
              <w:tl2br w:val="nil"/>
              <w:tr2bl w:val="nil"/>
            </w:tcBorders>
            <w:shd w:val="clear" w:color="auto" w:fill="DDEBF7"/>
            <w:vAlign w:val="center"/>
          </w:tcPr>
          <w:p w:rsidR="00BC07F0" w:rsidRDefault="00073EFB">
            <w:pPr>
              <w:pStyle w:val="a7"/>
              <w:rPr>
                <w:rFonts w:hint="default"/>
              </w:rPr>
            </w:pPr>
            <w:r>
              <w:t>50</w:t>
            </w:r>
          </w:p>
        </w:tc>
        <w:tc>
          <w:tcPr>
            <w:tcW w:w="606" w:type="pct"/>
            <w:tcBorders>
              <w:tl2br w:val="nil"/>
              <w:tr2bl w:val="nil"/>
            </w:tcBorders>
            <w:shd w:val="clear" w:color="auto" w:fill="DDEBF7"/>
            <w:vAlign w:val="center"/>
          </w:tcPr>
          <w:p w:rsidR="00BC07F0" w:rsidRDefault="00073EFB">
            <w:pPr>
              <w:pStyle w:val="a7"/>
              <w:rPr>
                <w:rFonts w:hint="default"/>
              </w:rPr>
            </w:pPr>
            <w:r>
              <w:t>100</w:t>
            </w:r>
          </w:p>
        </w:tc>
        <w:tc>
          <w:tcPr>
            <w:tcW w:w="606" w:type="pct"/>
            <w:tcBorders>
              <w:tl2br w:val="nil"/>
              <w:tr2bl w:val="nil"/>
            </w:tcBorders>
            <w:shd w:val="clear" w:color="auto" w:fill="DDEBF7"/>
            <w:vAlign w:val="center"/>
          </w:tcPr>
          <w:p w:rsidR="00BC07F0" w:rsidRDefault="00073EFB">
            <w:pPr>
              <w:pStyle w:val="a7"/>
              <w:rPr>
                <w:rFonts w:hint="default"/>
              </w:rPr>
            </w:pPr>
            <w:r>
              <w:t>200</w:t>
            </w:r>
          </w:p>
        </w:tc>
        <w:tc>
          <w:tcPr>
            <w:tcW w:w="606" w:type="pct"/>
            <w:tcBorders>
              <w:tl2br w:val="nil"/>
              <w:tr2bl w:val="nil"/>
            </w:tcBorders>
            <w:shd w:val="clear" w:color="auto" w:fill="DDEBF7"/>
            <w:vAlign w:val="center"/>
          </w:tcPr>
          <w:p w:rsidR="00BC07F0" w:rsidRDefault="00073EFB">
            <w:pPr>
              <w:pStyle w:val="a7"/>
              <w:rPr>
                <w:rFonts w:hint="default"/>
              </w:rPr>
            </w:pPr>
            <w:r>
              <w:t>250</w:t>
            </w:r>
          </w:p>
        </w:tc>
        <w:tc>
          <w:tcPr>
            <w:tcW w:w="608" w:type="pct"/>
            <w:tcBorders>
              <w:tl2br w:val="nil"/>
              <w:tr2bl w:val="nil"/>
            </w:tcBorders>
            <w:shd w:val="clear" w:color="auto" w:fill="DDEBF7"/>
            <w:vAlign w:val="center"/>
          </w:tcPr>
          <w:p w:rsidR="00BC07F0" w:rsidRDefault="00073EFB">
            <w:pPr>
              <w:pStyle w:val="a7"/>
              <w:rPr>
                <w:rFonts w:hint="default"/>
              </w:rPr>
            </w:pPr>
            <w:r>
              <w:t>520</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10</w:t>
            </w:r>
          </w:p>
        </w:tc>
        <w:tc>
          <w:tcPr>
            <w:tcW w:w="1099" w:type="dxa"/>
            <w:tcBorders>
              <w:tl2br w:val="nil"/>
              <w:tr2bl w:val="nil"/>
            </w:tcBorders>
            <w:noWrap/>
            <w:vAlign w:val="center"/>
          </w:tcPr>
          <w:p w:rsidR="00BC07F0" w:rsidRDefault="00073EFB">
            <w:pPr>
              <w:pStyle w:val="a7"/>
              <w:rPr>
                <w:rFonts w:hint="default"/>
              </w:rPr>
            </w:pPr>
            <w:r>
              <w:t>0.198</w:t>
            </w:r>
          </w:p>
        </w:tc>
        <w:tc>
          <w:tcPr>
            <w:tcW w:w="1099" w:type="dxa"/>
            <w:tcBorders>
              <w:tl2br w:val="nil"/>
              <w:tr2bl w:val="nil"/>
            </w:tcBorders>
            <w:noWrap/>
            <w:vAlign w:val="center"/>
          </w:tcPr>
          <w:p w:rsidR="00BC07F0" w:rsidRDefault="00073EFB">
            <w:pPr>
              <w:pStyle w:val="a7"/>
              <w:rPr>
                <w:rFonts w:hint="default"/>
              </w:rPr>
            </w:pPr>
            <w:r>
              <w:t>0.173</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50</w:t>
            </w:r>
          </w:p>
        </w:tc>
        <w:tc>
          <w:tcPr>
            <w:tcW w:w="1099" w:type="dxa"/>
            <w:tcBorders>
              <w:tl2br w:val="nil"/>
              <w:tr2bl w:val="nil"/>
            </w:tcBorders>
            <w:noWrap/>
            <w:vAlign w:val="center"/>
          </w:tcPr>
          <w:p w:rsidR="00BC07F0" w:rsidRDefault="00073EFB">
            <w:pPr>
              <w:pStyle w:val="a7"/>
              <w:rPr>
                <w:rFonts w:hint="default"/>
              </w:rPr>
            </w:pPr>
            <w:r>
              <w:t>0.169</w:t>
            </w:r>
          </w:p>
        </w:tc>
        <w:tc>
          <w:tcPr>
            <w:tcW w:w="1099" w:type="dxa"/>
            <w:tcBorders>
              <w:tl2br w:val="nil"/>
              <w:tr2bl w:val="nil"/>
            </w:tcBorders>
            <w:noWrap/>
            <w:vAlign w:val="center"/>
          </w:tcPr>
          <w:p w:rsidR="00BC07F0" w:rsidRDefault="00073EFB">
            <w:pPr>
              <w:pStyle w:val="a7"/>
              <w:rPr>
                <w:rFonts w:hint="default"/>
              </w:rPr>
            </w:pPr>
            <w:r>
              <w:t>0.166</w:t>
            </w:r>
          </w:p>
        </w:tc>
        <w:tc>
          <w:tcPr>
            <w:tcW w:w="1099" w:type="dxa"/>
            <w:tcBorders>
              <w:tl2br w:val="nil"/>
              <w:tr2bl w:val="nil"/>
            </w:tcBorders>
            <w:noWrap/>
            <w:vAlign w:val="center"/>
          </w:tcPr>
          <w:p w:rsidR="00BC07F0" w:rsidRDefault="00073EFB">
            <w:pPr>
              <w:pStyle w:val="a7"/>
              <w:rPr>
                <w:rFonts w:hint="default"/>
              </w:rPr>
            </w:pPr>
            <w:r>
              <w:t>0.146</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100</w:t>
            </w:r>
          </w:p>
        </w:tc>
        <w:tc>
          <w:tcPr>
            <w:tcW w:w="1099" w:type="dxa"/>
            <w:tcBorders>
              <w:tl2br w:val="nil"/>
              <w:tr2bl w:val="nil"/>
            </w:tcBorders>
            <w:noWrap/>
            <w:vAlign w:val="center"/>
          </w:tcPr>
          <w:p w:rsidR="00BC07F0" w:rsidRDefault="00073EFB">
            <w:pPr>
              <w:pStyle w:val="a7"/>
              <w:rPr>
                <w:rFonts w:hint="default"/>
              </w:rPr>
            </w:pPr>
            <w:r>
              <w:t>0.162</w:t>
            </w:r>
          </w:p>
        </w:tc>
        <w:tc>
          <w:tcPr>
            <w:tcW w:w="1099" w:type="dxa"/>
            <w:tcBorders>
              <w:tl2br w:val="nil"/>
              <w:tr2bl w:val="nil"/>
            </w:tcBorders>
            <w:noWrap/>
            <w:vAlign w:val="center"/>
          </w:tcPr>
          <w:p w:rsidR="00BC07F0" w:rsidRDefault="00073EFB">
            <w:pPr>
              <w:pStyle w:val="a7"/>
              <w:rPr>
                <w:rFonts w:hint="default"/>
              </w:rPr>
            </w:pPr>
            <w:r>
              <w:t>0.161</w:t>
            </w:r>
          </w:p>
        </w:tc>
        <w:tc>
          <w:tcPr>
            <w:tcW w:w="1099" w:type="dxa"/>
            <w:tcBorders>
              <w:tl2br w:val="nil"/>
              <w:tr2bl w:val="nil"/>
            </w:tcBorders>
            <w:noWrap/>
            <w:vAlign w:val="center"/>
          </w:tcPr>
          <w:p w:rsidR="00BC07F0" w:rsidRDefault="00073EFB">
            <w:pPr>
              <w:pStyle w:val="a7"/>
              <w:rPr>
                <w:rFonts w:hint="default"/>
              </w:rPr>
            </w:pPr>
            <w:r>
              <w:t>0.148</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200</w:t>
            </w:r>
          </w:p>
        </w:tc>
        <w:tc>
          <w:tcPr>
            <w:tcW w:w="1099" w:type="dxa"/>
            <w:tcBorders>
              <w:tl2br w:val="nil"/>
              <w:tr2bl w:val="nil"/>
            </w:tcBorders>
            <w:noWrap/>
            <w:vAlign w:val="center"/>
          </w:tcPr>
          <w:p w:rsidR="00BC07F0" w:rsidRDefault="00073EFB">
            <w:pPr>
              <w:pStyle w:val="a7"/>
              <w:rPr>
                <w:rFonts w:hint="default"/>
              </w:rPr>
            </w:pPr>
            <w:r>
              <w:t>0.157</w:t>
            </w:r>
          </w:p>
        </w:tc>
        <w:tc>
          <w:tcPr>
            <w:tcW w:w="1099" w:type="dxa"/>
            <w:tcBorders>
              <w:tl2br w:val="nil"/>
              <w:tr2bl w:val="nil"/>
            </w:tcBorders>
            <w:noWrap/>
            <w:vAlign w:val="center"/>
          </w:tcPr>
          <w:p w:rsidR="00BC07F0" w:rsidRDefault="00073EFB">
            <w:pPr>
              <w:pStyle w:val="a7"/>
              <w:rPr>
                <w:rFonts w:hint="default"/>
              </w:rPr>
            </w:pPr>
            <w:r>
              <w:t>0.157</w:t>
            </w:r>
          </w:p>
        </w:tc>
        <w:tc>
          <w:tcPr>
            <w:tcW w:w="1099" w:type="dxa"/>
            <w:tcBorders>
              <w:tl2br w:val="nil"/>
              <w:tr2bl w:val="nil"/>
            </w:tcBorders>
            <w:noWrap/>
            <w:vAlign w:val="center"/>
          </w:tcPr>
          <w:p w:rsidR="00BC07F0" w:rsidRDefault="00073EFB">
            <w:pPr>
              <w:pStyle w:val="a7"/>
              <w:rPr>
                <w:rFonts w:hint="default"/>
              </w:rPr>
            </w:pPr>
            <w:r>
              <w:t>0.150</w:t>
            </w:r>
          </w:p>
        </w:tc>
        <w:tc>
          <w:tcPr>
            <w:tcW w:w="1099" w:type="dxa"/>
            <w:tcBorders>
              <w:tl2br w:val="nil"/>
              <w:tr2bl w:val="nil"/>
            </w:tcBorders>
            <w:noWrap/>
            <w:vAlign w:val="center"/>
          </w:tcPr>
          <w:p w:rsidR="00BC07F0" w:rsidRDefault="00073EFB">
            <w:pPr>
              <w:pStyle w:val="a7"/>
              <w:rPr>
                <w:rFonts w:hint="default"/>
              </w:rPr>
            </w:pPr>
            <w:r>
              <w:t>0.146</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400</w:t>
            </w:r>
          </w:p>
        </w:tc>
        <w:tc>
          <w:tcPr>
            <w:tcW w:w="1099" w:type="dxa"/>
            <w:tcBorders>
              <w:tl2br w:val="nil"/>
              <w:tr2bl w:val="nil"/>
            </w:tcBorders>
            <w:noWrap/>
            <w:vAlign w:val="center"/>
          </w:tcPr>
          <w:p w:rsidR="00BC07F0" w:rsidRDefault="00073EFB">
            <w:pPr>
              <w:pStyle w:val="a7"/>
              <w:rPr>
                <w:rFonts w:hint="default"/>
              </w:rPr>
            </w:pPr>
            <w:r>
              <w:t>0.153</w:t>
            </w:r>
          </w:p>
        </w:tc>
        <w:tc>
          <w:tcPr>
            <w:tcW w:w="1099" w:type="dxa"/>
            <w:tcBorders>
              <w:tl2br w:val="nil"/>
              <w:tr2bl w:val="nil"/>
            </w:tcBorders>
            <w:noWrap/>
            <w:vAlign w:val="center"/>
          </w:tcPr>
          <w:p w:rsidR="00BC07F0" w:rsidRDefault="00073EFB">
            <w:pPr>
              <w:pStyle w:val="a7"/>
              <w:rPr>
                <w:rFonts w:hint="default"/>
              </w:rPr>
            </w:pPr>
            <w:r>
              <w:t>0.153</w:t>
            </w:r>
          </w:p>
        </w:tc>
        <w:tc>
          <w:tcPr>
            <w:tcW w:w="1099" w:type="dxa"/>
            <w:tcBorders>
              <w:tl2br w:val="nil"/>
              <w:tr2bl w:val="nil"/>
            </w:tcBorders>
            <w:noWrap/>
            <w:vAlign w:val="center"/>
          </w:tcPr>
          <w:p w:rsidR="00BC07F0" w:rsidRDefault="00073EFB">
            <w:pPr>
              <w:pStyle w:val="a7"/>
              <w:rPr>
                <w:rFonts w:hint="default"/>
              </w:rPr>
            </w:pPr>
            <w:r>
              <w:t>0.151</w:t>
            </w:r>
          </w:p>
        </w:tc>
        <w:tc>
          <w:tcPr>
            <w:tcW w:w="1099" w:type="dxa"/>
            <w:tcBorders>
              <w:tl2br w:val="nil"/>
              <w:tr2bl w:val="nil"/>
            </w:tcBorders>
            <w:noWrap/>
            <w:vAlign w:val="center"/>
          </w:tcPr>
          <w:p w:rsidR="00BC07F0" w:rsidRDefault="00073EFB">
            <w:pPr>
              <w:pStyle w:val="a7"/>
              <w:rPr>
                <w:rFonts w:hint="default"/>
              </w:rPr>
            </w:pPr>
            <w:r>
              <w:t>0.147</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800</w:t>
            </w:r>
          </w:p>
        </w:tc>
        <w:tc>
          <w:tcPr>
            <w:tcW w:w="1099" w:type="dxa"/>
            <w:tcBorders>
              <w:tl2br w:val="nil"/>
              <w:tr2bl w:val="nil"/>
            </w:tcBorders>
            <w:noWrap/>
            <w:vAlign w:val="center"/>
          </w:tcPr>
          <w:p w:rsidR="00BC07F0" w:rsidRDefault="00073EFB">
            <w:pPr>
              <w:pStyle w:val="a7"/>
              <w:rPr>
                <w:rFonts w:hint="default"/>
              </w:rPr>
            </w:pPr>
            <w:r>
              <w:t>0.151</w:t>
            </w:r>
          </w:p>
        </w:tc>
        <w:tc>
          <w:tcPr>
            <w:tcW w:w="1099" w:type="dxa"/>
            <w:tcBorders>
              <w:tl2br w:val="nil"/>
              <w:tr2bl w:val="nil"/>
            </w:tcBorders>
            <w:noWrap/>
            <w:vAlign w:val="center"/>
          </w:tcPr>
          <w:p w:rsidR="00BC07F0" w:rsidRDefault="00073EFB">
            <w:pPr>
              <w:pStyle w:val="a7"/>
              <w:rPr>
                <w:rFonts w:hint="default"/>
              </w:rPr>
            </w:pPr>
            <w:r>
              <w:t>0.151</w:t>
            </w:r>
          </w:p>
        </w:tc>
        <w:tc>
          <w:tcPr>
            <w:tcW w:w="1099" w:type="dxa"/>
            <w:tcBorders>
              <w:tl2br w:val="nil"/>
              <w:tr2bl w:val="nil"/>
            </w:tcBorders>
            <w:noWrap/>
            <w:vAlign w:val="center"/>
          </w:tcPr>
          <w:p w:rsidR="00BC07F0" w:rsidRDefault="00073EFB">
            <w:pPr>
              <w:pStyle w:val="a7"/>
              <w:rPr>
                <w:rFonts w:hint="default"/>
              </w:rPr>
            </w:pPr>
            <w:r>
              <w:t>0.150</w:t>
            </w:r>
          </w:p>
        </w:tc>
        <w:tc>
          <w:tcPr>
            <w:tcW w:w="1099" w:type="dxa"/>
            <w:tcBorders>
              <w:tl2br w:val="nil"/>
              <w:tr2bl w:val="nil"/>
            </w:tcBorders>
            <w:noWrap/>
            <w:vAlign w:val="center"/>
          </w:tcPr>
          <w:p w:rsidR="00BC07F0" w:rsidRDefault="00073EFB">
            <w:pPr>
              <w:pStyle w:val="a7"/>
              <w:rPr>
                <w:rFonts w:hint="default"/>
              </w:rPr>
            </w:pPr>
            <w:r>
              <w:t>0.148</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1000</w:t>
            </w:r>
          </w:p>
        </w:tc>
        <w:tc>
          <w:tcPr>
            <w:tcW w:w="1099" w:type="dxa"/>
            <w:tcBorders>
              <w:tl2br w:val="nil"/>
              <w:tr2bl w:val="nil"/>
            </w:tcBorders>
            <w:noWrap/>
            <w:vAlign w:val="center"/>
          </w:tcPr>
          <w:p w:rsidR="00BC07F0" w:rsidRDefault="00073EFB">
            <w:pPr>
              <w:pStyle w:val="a7"/>
              <w:rPr>
                <w:rFonts w:hint="default"/>
              </w:rPr>
            </w:pPr>
            <w:r>
              <w:t>0.150</w:t>
            </w:r>
          </w:p>
        </w:tc>
        <w:tc>
          <w:tcPr>
            <w:tcW w:w="1099" w:type="dxa"/>
            <w:tcBorders>
              <w:tl2br w:val="nil"/>
              <w:tr2bl w:val="nil"/>
            </w:tcBorders>
            <w:noWrap/>
            <w:vAlign w:val="center"/>
          </w:tcPr>
          <w:p w:rsidR="00BC07F0" w:rsidRDefault="00073EFB">
            <w:pPr>
              <w:pStyle w:val="a7"/>
              <w:rPr>
                <w:rFonts w:hint="default"/>
              </w:rPr>
            </w:pPr>
            <w:r>
              <w:t>0.150</w:t>
            </w:r>
          </w:p>
        </w:tc>
        <w:tc>
          <w:tcPr>
            <w:tcW w:w="1099" w:type="dxa"/>
            <w:tcBorders>
              <w:tl2br w:val="nil"/>
              <w:tr2bl w:val="nil"/>
            </w:tcBorders>
            <w:noWrap/>
            <w:vAlign w:val="center"/>
          </w:tcPr>
          <w:p w:rsidR="00BC07F0" w:rsidRDefault="00073EFB">
            <w:pPr>
              <w:pStyle w:val="a7"/>
              <w:rPr>
                <w:rFonts w:hint="default"/>
              </w:rPr>
            </w:pPr>
            <w:r>
              <w:t>0.150</w:t>
            </w:r>
          </w:p>
        </w:tc>
        <w:tc>
          <w:tcPr>
            <w:tcW w:w="1099" w:type="dxa"/>
            <w:tcBorders>
              <w:tl2br w:val="nil"/>
              <w:tr2bl w:val="nil"/>
            </w:tcBorders>
            <w:noWrap/>
            <w:vAlign w:val="center"/>
          </w:tcPr>
          <w:p w:rsidR="00BC07F0" w:rsidRDefault="00073EFB">
            <w:pPr>
              <w:pStyle w:val="a7"/>
              <w:rPr>
                <w:rFonts w:hint="default"/>
              </w:rPr>
            </w:pPr>
            <w:r>
              <w:t>0.148</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1500</w:t>
            </w:r>
          </w:p>
        </w:tc>
        <w:tc>
          <w:tcPr>
            <w:tcW w:w="1099" w:type="dxa"/>
            <w:tcBorders>
              <w:tl2br w:val="nil"/>
              <w:tr2bl w:val="nil"/>
            </w:tcBorders>
            <w:noWrap/>
            <w:vAlign w:val="center"/>
          </w:tcPr>
          <w:p w:rsidR="00BC07F0" w:rsidRDefault="00073EFB">
            <w:pPr>
              <w:pStyle w:val="a7"/>
              <w:rPr>
                <w:rFonts w:hint="default"/>
              </w:rPr>
            </w:pPr>
            <w:r>
              <w:t>0.149</w:t>
            </w:r>
          </w:p>
        </w:tc>
        <w:tc>
          <w:tcPr>
            <w:tcW w:w="1099" w:type="dxa"/>
            <w:tcBorders>
              <w:tl2br w:val="nil"/>
              <w:tr2bl w:val="nil"/>
            </w:tcBorders>
            <w:noWrap/>
            <w:vAlign w:val="center"/>
          </w:tcPr>
          <w:p w:rsidR="00BC07F0" w:rsidRDefault="00073EFB">
            <w:pPr>
              <w:pStyle w:val="a7"/>
              <w:rPr>
                <w:rFonts w:hint="default"/>
              </w:rPr>
            </w:pPr>
            <w:r>
              <w:t>0.149</w:t>
            </w:r>
          </w:p>
        </w:tc>
        <w:tc>
          <w:tcPr>
            <w:tcW w:w="1099" w:type="dxa"/>
            <w:tcBorders>
              <w:tl2br w:val="nil"/>
              <w:tr2bl w:val="nil"/>
            </w:tcBorders>
            <w:noWrap/>
            <w:vAlign w:val="center"/>
          </w:tcPr>
          <w:p w:rsidR="00BC07F0" w:rsidRDefault="00073EFB">
            <w:pPr>
              <w:pStyle w:val="a7"/>
              <w:rPr>
                <w:rFonts w:hint="default"/>
              </w:rPr>
            </w:pPr>
            <w:r>
              <w:t>0.149</w:t>
            </w:r>
          </w:p>
        </w:tc>
        <w:tc>
          <w:tcPr>
            <w:tcW w:w="1099" w:type="dxa"/>
            <w:tcBorders>
              <w:tl2br w:val="nil"/>
              <w:tr2bl w:val="nil"/>
            </w:tcBorders>
            <w:noWrap/>
            <w:vAlign w:val="center"/>
          </w:tcPr>
          <w:p w:rsidR="00BC07F0" w:rsidRDefault="00073EFB">
            <w:pPr>
              <w:pStyle w:val="a7"/>
              <w:rPr>
                <w:rFonts w:hint="default"/>
              </w:rPr>
            </w:pPr>
            <w:r>
              <w:t>0.148</w:t>
            </w:r>
          </w:p>
        </w:tc>
        <w:tc>
          <w:tcPr>
            <w:tcW w:w="1099" w:type="dxa"/>
            <w:tcBorders>
              <w:tl2br w:val="nil"/>
              <w:tr2bl w:val="nil"/>
            </w:tcBorders>
            <w:noWrap/>
            <w:vAlign w:val="center"/>
          </w:tcPr>
          <w:p w:rsidR="00BC07F0" w:rsidRDefault="00073EFB">
            <w:pPr>
              <w:pStyle w:val="a7"/>
              <w:rPr>
                <w:rFonts w:hint="default"/>
              </w:rPr>
            </w:pPr>
            <w:r>
              <w:t>0.146</w:t>
            </w:r>
          </w:p>
        </w:tc>
        <w:tc>
          <w:tcPr>
            <w:tcW w:w="1099" w:type="dxa"/>
            <w:tcBorders>
              <w:tl2br w:val="nil"/>
              <w:tr2bl w:val="nil"/>
            </w:tcBorders>
            <w:noWrap/>
            <w:vAlign w:val="center"/>
          </w:tcPr>
          <w:p w:rsidR="00BC07F0" w:rsidRDefault="00073EFB">
            <w:pPr>
              <w:pStyle w:val="a7"/>
              <w:rPr>
                <w:rFonts w:hint="default"/>
              </w:rPr>
            </w:pPr>
            <w:r>
              <w:t>0.145</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2000</w:t>
            </w:r>
          </w:p>
        </w:tc>
        <w:tc>
          <w:tcPr>
            <w:tcW w:w="1099" w:type="dxa"/>
            <w:tcBorders>
              <w:tl2br w:val="nil"/>
              <w:tr2bl w:val="nil"/>
            </w:tcBorders>
            <w:noWrap/>
            <w:vAlign w:val="center"/>
          </w:tcPr>
          <w:p w:rsidR="00BC07F0" w:rsidRDefault="00073EFB">
            <w:pPr>
              <w:pStyle w:val="a7"/>
              <w:rPr>
                <w:rFonts w:hint="default"/>
              </w:rPr>
            </w:pPr>
            <w:r>
              <w:t>0.149</w:t>
            </w:r>
          </w:p>
        </w:tc>
        <w:tc>
          <w:tcPr>
            <w:tcW w:w="1099" w:type="dxa"/>
            <w:tcBorders>
              <w:tl2br w:val="nil"/>
              <w:tr2bl w:val="nil"/>
            </w:tcBorders>
            <w:noWrap/>
            <w:vAlign w:val="center"/>
          </w:tcPr>
          <w:p w:rsidR="00BC07F0" w:rsidRDefault="00073EFB">
            <w:pPr>
              <w:pStyle w:val="a7"/>
              <w:rPr>
                <w:rFonts w:hint="default"/>
              </w:rPr>
            </w:pPr>
            <w:r>
              <w:t>0.149</w:t>
            </w:r>
          </w:p>
        </w:tc>
        <w:tc>
          <w:tcPr>
            <w:tcW w:w="1099" w:type="dxa"/>
            <w:tcBorders>
              <w:tl2br w:val="nil"/>
              <w:tr2bl w:val="nil"/>
            </w:tcBorders>
            <w:noWrap/>
            <w:vAlign w:val="center"/>
          </w:tcPr>
          <w:p w:rsidR="00BC07F0" w:rsidRDefault="00073EFB">
            <w:pPr>
              <w:pStyle w:val="a7"/>
              <w:rPr>
                <w:rFonts w:hint="default"/>
              </w:rPr>
            </w:pPr>
            <w:r>
              <w:t>0.148</w:t>
            </w:r>
          </w:p>
        </w:tc>
        <w:tc>
          <w:tcPr>
            <w:tcW w:w="1099" w:type="dxa"/>
            <w:tcBorders>
              <w:tl2br w:val="nil"/>
              <w:tr2bl w:val="nil"/>
            </w:tcBorders>
            <w:noWrap/>
            <w:vAlign w:val="center"/>
          </w:tcPr>
          <w:p w:rsidR="00BC07F0" w:rsidRDefault="00073EFB">
            <w:pPr>
              <w:pStyle w:val="a7"/>
              <w:rPr>
                <w:rFonts w:hint="default"/>
              </w:rPr>
            </w:pPr>
            <w:r>
              <w:t>0.148</w:t>
            </w:r>
          </w:p>
        </w:tc>
        <w:tc>
          <w:tcPr>
            <w:tcW w:w="1099" w:type="dxa"/>
            <w:tcBorders>
              <w:tl2br w:val="nil"/>
              <w:tr2bl w:val="nil"/>
            </w:tcBorders>
            <w:noWrap/>
            <w:vAlign w:val="center"/>
          </w:tcPr>
          <w:p w:rsidR="00BC07F0" w:rsidRDefault="00073EFB">
            <w:pPr>
              <w:pStyle w:val="a7"/>
              <w:rPr>
                <w:rFonts w:hint="default"/>
              </w:rPr>
            </w:pPr>
            <w:r>
              <w:t>0.146</w:t>
            </w:r>
          </w:p>
        </w:tc>
        <w:tc>
          <w:tcPr>
            <w:tcW w:w="1099" w:type="dxa"/>
            <w:tcBorders>
              <w:tl2br w:val="nil"/>
              <w:tr2bl w:val="nil"/>
            </w:tcBorders>
            <w:noWrap/>
            <w:vAlign w:val="center"/>
          </w:tcPr>
          <w:p w:rsidR="00BC07F0" w:rsidRDefault="00073EFB">
            <w:pPr>
              <w:pStyle w:val="a7"/>
              <w:rPr>
                <w:rFonts w:hint="default"/>
              </w:rPr>
            </w:pPr>
            <w:r>
              <w:t>0.146</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2500</w:t>
            </w:r>
          </w:p>
        </w:tc>
        <w:tc>
          <w:tcPr>
            <w:tcW w:w="1099" w:type="dxa"/>
            <w:tcBorders>
              <w:tl2br w:val="nil"/>
              <w:tr2bl w:val="nil"/>
            </w:tcBorders>
            <w:noWrap/>
            <w:vAlign w:val="center"/>
          </w:tcPr>
          <w:p w:rsidR="00BC07F0" w:rsidRDefault="00073EFB">
            <w:pPr>
              <w:pStyle w:val="a7"/>
              <w:rPr>
                <w:rFonts w:hint="default"/>
              </w:rPr>
            </w:pPr>
            <w:r>
              <w:t>0.148</w:t>
            </w:r>
          </w:p>
        </w:tc>
        <w:tc>
          <w:tcPr>
            <w:tcW w:w="1099" w:type="dxa"/>
            <w:tcBorders>
              <w:tl2br w:val="nil"/>
              <w:tr2bl w:val="nil"/>
            </w:tcBorders>
            <w:noWrap/>
            <w:vAlign w:val="center"/>
          </w:tcPr>
          <w:p w:rsidR="00BC07F0" w:rsidRDefault="00073EFB">
            <w:pPr>
              <w:pStyle w:val="a7"/>
              <w:rPr>
                <w:rFonts w:hint="default"/>
              </w:rPr>
            </w:pPr>
            <w:r>
              <w:t>0.148</w:t>
            </w:r>
          </w:p>
        </w:tc>
        <w:tc>
          <w:tcPr>
            <w:tcW w:w="1099" w:type="dxa"/>
            <w:tcBorders>
              <w:tl2br w:val="nil"/>
              <w:tr2bl w:val="nil"/>
            </w:tcBorders>
            <w:noWrap/>
            <w:vAlign w:val="center"/>
          </w:tcPr>
          <w:p w:rsidR="00BC07F0" w:rsidRDefault="00073EFB">
            <w:pPr>
              <w:pStyle w:val="a7"/>
              <w:rPr>
                <w:rFonts w:hint="default"/>
              </w:rPr>
            </w:pPr>
            <w:r>
              <w:t>0.148</w:t>
            </w:r>
          </w:p>
        </w:tc>
        <w:tc>
          <w:tcPr>
            <w:tcW w:w="1099" w:type="dxa"/>
            <w:tcBorders>
              <w:tl2br w:val="nil"/>
              <w:tr2bl w:val="nil"/>
            </w:tcBorders>
            <w:noWrap/>
            <w:vAlign w:val="center"/>
          </w:tcPr>
          <w:p w:rsidR="00BC07F0" w:rsidRDefault="00073EFB">
            <w:pPr>
              <w:pStyle w:val="a7"/>
              <w:rPr>
                <w:rFonts w:hint="default"/>
              </w:rPr>
            </w:pPr>
            <w:r>
              <w:t>0.148</w:t>
            </w:r>
          </w:p>
        </w:tc>
        <w:tc>
          <w:tcPr>
            <w:tcW w:w="1099" w:type="dxa"/>
            <w:tcBorders>
              <w:tl2br w:val="nil"/>
              <w:tr2bl w:val="nil"/>
            </w:tcBorders>
            <w:noWrap/>
            <w:vAlign w:val="center"/>
          </w:tcPr>
          <w:p w:rsidR="00BC07F0" w:rsidRDefault="00073EFB">
            <w:pPr>
              <w:pStyle w:val="a7"/>
              <w:rPr>
                <w:rFonts w:hint="default"/>
              </w:rPr>
            </w:pPr>
            <w:r>
              <w:t>0.146</w:t>
            </w:r>
          </w:p>
        </w:tc>
        <w:tc>
          <w:tcPr>
            <w:tcW w:w="1099" w:type="dxa"/>
            <w:tcBorders>
              <w:tl2br w:val="nil"/>
              <w:tr2bl w:val="nil"/>
            </w:tcBorders>
            <w:noWrap/>
            <w:vAlign w:val="center"/>
          </w:tcPr>
          <w:p w:rsidR="00BC07F0" w:rsidRDefault="00073EFB">
            <w:pPr>
              <w:pStyle w:val="a7"/>
              <w:rPr>
                <w:rFonts w:hint="default"/>
              </w:rPr>
            </w:pPr>
            <w:r>
              <w:t>0.146</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t>31000</w:t>
            </w:r>
          </w:p>
        </w:tc>
        <w:tc>
          <w:tcPr>
            <w:tcW w:w="1099" w:type="dxa"/>
            <w:tcBorders>
              <w:tl2br w:val="nil"/>
              <w:tr2bl w:val="nil"/>
            </w:tcBorders>
            <w:noWrap/>
            <w:vAlign w:val="center"/>
          </w:tcPr>
          <w:p w:rsidR="00BC07F0" w:rsidRDefault="00073EFB">
            <w:pPr>
              <w:pStyle w:val="a7"/>
              <w:rPr>
                <w:rFonts w:hint="default"/>
              </w:rPr>
            </w:pPr>
            <w:r>
              <w:t>0.146</w:t>
            </w:r>
          </w:p>
        </w:tc>
        <w:tc>
          <w:tcPr>
            <w:tcW w:w="1099" w:type="dxa"/>
            <w:tcBorders>
              <w:tl2br w:val="nil"/>
              <w:tr2bl w:val="nil"/>
            </w:tcBorders>
            <w:noWrap/>
            <w:vAlign w:val="center"/>
          </w:tcPr>
          <w:p w:rsidR="00BC07F0" w:rsidRDefault="00073EFB">
            <w:pPr>
              <w:pStyle w:val="a7"/>
              <w:rPr>
                <w:rFonts w:hint="default"/>
              </w:rPr>
            </w:pPr>
            <w:r>
              <w:t>0.146</w:t>
            </w:r>
          </w:p>
        </w:tc>
        <w:tc>
          <w:tcPr>
            <w:tcW w:w="1099" w:type="dxa"/>
            <w:tcBorders>
              <w:tl2br w:val="nil"/>
              <w:tr2bl w:val="nil"/>
            </w:tcBorders>
            <w:noWrap/>
            <w:vAlign w:val="center"/>
          </w:tcPr>
          <w:p w:rsidR="00BC07F0" w:rsidRDefault="00073EFB">
            <w:pPr>
              <w:pStyle w:val="a7"/>
              <w:rPr>
                <w:rFonts w:hint="default"/>
              </w:rPr>
            </w:pPr>
            <w:r>
              <w:t>0.146</w:t>
            </w:r>
          </w:p>
        </w:tc>
        <w:tc>
          <w:tcPr>
            <w:tcW w:w="1099" w:type="dxa"/>
            <w:tcBorders>
              <w:tl2br w:val="nil"/>
              <w:tr2bl w:val="nil"/>
            </w:tcBorders>
            <w:noWrap/>
            <w:vAlign w:val="center"/>
          </w:tcPr>
          <w:p w:rsidR="00BC07F0" w:rsidRDefault="00073EFB">
            <w:pPr>
              <w:pStyle w:val="a7"/>
              <w:rPr>
                <w:rFonts w:hint="default"/>
              </w:rPr>
            </w:pPr>
            <w:r>
              <w:t>0.146</w:t>
            </w:r>
          </w:p>
        </w:tc>
        <w:tc>
          <w:tcPr>
            <w:tcW w:w="1099" w:type="dxa"/>
            <w:tcBorders>
              <w:tl2br w:val="nil"/>
              <w:tr2bl w:val="nil"/>
            </w:tcBorders>
            <w:noWrap/>
            <w:vAlign w:val="center"/>
          </w:tcPr>
          <w:p w:rsidR="00BC07F0" w:rsidRDefault="00073EFB">
            <w:pPr>
              <w:pStyle w:val="a7"/>
              <w:rPr>
                <w:rFonts w:hint="default"/>
              </w:rPr>
            </w:pPr>
            <w:r>
              <w:t>0.146</w:t>
            </w:r>
          </w:p>
        </w:tc>
        <w:tc>
          <w:tcPr>
            <w:tcW w:w="1099" w:type="dxa"/>
            <w:tcBorders>
              <w:tl2br w:val="nil"/>
              <w:tr2bl w:val="nil"/>
            </w:tcBorders>
            <w:noWrap/>
            <w:vAlign w:val="center"/>
          </w:tcPr>
          <w:p w:rsidR="00BC07F0" w:rsidRDefault="00073EFB">
            <w:pPr>
              <w:pStyle w:val="a7"/>
              <w:rPr>
                <w:rFonts w:hint="default"/>
              </w:rPr>
            </w:pPr>
            <w:r>
              <w:t>0.146</w:t>
            </w:r>
          </w:p>
        </w:tc>
        <w:tc>
          <w:tcPr>
            <w:tcW w:w="1102" w:type="dxa"/>
            <w:tcBorders>
              <w:tl2br w:val="nil"/>
              <w:tr2bl w:val="nil"/>
            </w:tcBorders>
            <w:noWrap/>
            <w:vAlign w:val="center"/>
          </w:tcPr>
          <w:p w:rsidR="00BC07F0" w:rsidRDefault="00073EFB">
            <w:pPr>
              <w:pStyle w:val="a7"/>
              <w:rPr>
                <w:rFonts w:hint="default"/>
              </w:rPr>
            </w:pPr>
            <w:r>
              <w:t>0.145</w:t>
            </w:r>
          </w:p>
        </w:tc>
      </w:tr>
    </w:tbl>
    <w:p w:rsidR="00BC07F0" w:rsidRDefault="00073EFB">
      <w:pPr>
        <w:pStyle w:val="a7"/>
        <w:rPr>
          <w:rFonts w:hint="default"/>
          <w:b/>
          <w:bCs/>
        </w:rPr>
      </w:pPr>
      <w:r>
        <w:rPr>
          <w:rFonts w:hint="default"/>
          <w:b/>
          <w:bCs/>
        </w:rPr>
        <w:t>表</w:t>
      </w:r>
      <w:r>
        <w:rPr>
          <w:b/>
          <w:bCs/>
        </w:rPr>
        <w:t>6.3-4</w:t>
      </w:r>
      <w:r>
        <w:rPr>
          <w:rFonts w:hint="default"/>
          <w:b/>
          <w:bCs/>
        </w:rPr>
        <w:t>枯水期尾水河流预测点浓度预测值</w:t>
      </w:r>
      <w:r>
        <w:rPr>
          <w:b/>
          <w:bCs/>
        </w:rPr>
        <w:t>（</w:t>
      </w:r>
      <w:r>
        <w:rPr>
          <w:b/>
          <w:bCs/>
        </w:rPr>
        <w:t>非正常排放氨氮</w:t>
      </w:r>
      <w:r>
        <w:rPr>
          <w:b/>
          <w:bCs/>
        </w:rPr>
        <w:t>）</w:t>
      </w:r>
      <w:r>
        <w:rPr>
          <w:rFonts w:hint="default"/>
          <w:b/>
          <w:bCs/>
        </w:rPr>
        <w:t>单位：</w:t>
      </w:r>
      <w:r>
        <w:rPr>
          <w:rFonts w:hint="default"/>
          <w:b/>
          <w:bCs/>
        </w:rPr>
        <w:t>mg/L</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1099"/>
        <w:gridCol w:w="1099"/>
        <w:gridCol w:w="1099"/>
        <w:gridCol w:w="1099"/>
        <w:gridCol w:w="1099"/>
        <w:gridCol w:w="1099"/>
        <w:gridCol w:w="1102"/>
      </w:tblGrid>
      <w:tr w:rsidR="00BC07F0">
        <w:trPr>
          <w:trHeight w:val="397"/>
          <w:jc w:val="center"/>
        </w:trPr>
        <w:tc>
          <w:tcPr>
            <w:tcW w:w="749" w:type="pct"/>
            <w:tcBorders>
              <w:tl2br w:val="nil"/>
              <w:tr2bl w:val="nil"/>
            </w:tcBorders>
            <w:shd w:val="clear" w:color="auto" w:fill="auto"/>
            <w:noWrap/>
            <w:vAlign w:val="center"/>
          </w:tcPr>
          <w:p w:rsidR="00BC07F0" w:rsidRDefault="00073EFB">
            <w:pPr>
              <w:pStyle w:val="a7"/>
              <w:rPr>
                <w:rFonts w:hint="default"/>
              </w:rPr>
            </w:pPr>
            <w:r>
              <w:rPr>
                <w:rFonts w:hint="default"/>
              </w:rPr>
              <w:t>X</w:t>
            </w:r>
          </w:p>
          <w:p w:rsidR="00BC07F0" w:rsidRDefault="00073EFB">
            <w:pPr>
              <w:pStyle w:val="a7"/>
              <w:rPr>
                <w:rFonts w:hint="default"/>
              </w:rPr>
            </w:pPr>
            <w:r>
              <w:rPr>
                <w:rFonts w:hint="default"/>
              </w:rPr>
              <w:t>Y</w:t>
            </w:r>
          </w:p>
        </w:tc>
        <w:tc>
          <w:tcPr>
            <w:tcW w:w="606" w:type="pct"/>
            <w:tcBorders>
              <w:tl2br w:val="nil"/>
              <w:tr2bl w:val="nil"/>
            </w:tcBorders>
            <w:shd w:val="clear" w:color="auto" w:fill="DDEBF7"/>
            <w:vAlign w:val="center"/>
          </w:tcPr>
          <w:p w:rsidR="00BC07F0" w:rsidRDefault="00073EFB">
            <w:pPr>
              <w:pStyle w:val="a7"/>
              <w:rPr>
                <w:rFonts w:hint="default"/>
              </w:rPr>
            </w:pPr>
            <w:r>
              <w:t>1</w:t>
            </w:r>
          </w:p>
        </w:tc>
        <w:tc>
          <w:tcPr>
            <w:tcW w:w="606" w:type="pct"/>
            <w:tcBorders>
              <w:tl2br w:val="nil"/>
              <w:tr2bl w:val="nil"/>
            </w:tcBorders>
            <w:shd w:val="clear" w:color="auto" w:fill="DDEBF7"/>
            <w:vAlign w:val="center"/>
          </w:tcPr>
          <w:p w:rsidR="00BC07F0" w:rsidRDefault="00073EFB">
            <w:pPr>
              <w:pStyle w:val="a7"/>
              <w:rPr>
                <w:rFonts w:hint="default"/>
              </w:rPr>
            </w:pPr>
            <w:r>
              <w:t>10</w:t>
            </w:r>
          </w:p>
        </w:tc>
        <w:tc>
          <w:tcPr>
            <w:tcW w:w="606" w:type="pct"/>
            <w:tcBorders>
              <w:tl2br w:val="nil"/>
              <w:tr2bl w:val="nil"/>
            </w:tcBorders>
            <w:shd w:val="clear" w:color="auto" w:fill="DDEBF7"/>
            <w:vAlign w:val="center"/>
          </w:tcPr>
          <w:p w:rsidR="00BC07F0" w:rsidRDefault="00073EFB">
            <w:pPr>
              <w:pStyle w:val="a7"/>
              <w:rPr>
                <w:rFonts w:hint="default"/>
              </w:rPr>
            </w:pPr>
            <w:r>
              <w:t>50</w:t>
            </w:r>
          </w:p>
        </w:tc>
        <w:tc>
          <w:tcPr>
            <w:tcW w:w="606" w:type="pct"/>
            <w:tcBorders>
              <w:tl2br w:val="nil"/>
              <w:tr2bl w:val="nil"/>
            </w:tcBorders>
            <w:shd w:val="clear" w:color="auto" w:fill="DDEBF7"/>
            <w:vAlign w:val="center"/>
          </w:tcPr>
          <w:p w:rsidR="00BC07F0" w:rsidRDefault="00073EFB">
            <w:pPr>
              <w:pStyle w:val="a7"/>
              <w:rPr>
                <w:rFonts w:hint="default"/>
              </w:rPr>
            </w:pPr>
            <w:r>
              <w:t>100</w:t>
            </w:r>
          </w:p>
        </w:tc>
        <w:tc>
          <w:tcPr>
            <w:tcW w:w="606" w:type="pct"/>
            <w:tcBorders>
              <w:tl2br w:val="nil"/>
              <w:tr2bl w:val="nil"/>
            </w:tcBorders>
            <w:shd w:val="clear" w:color="auto" w:fill="DDEBF7"/>
            <w:vAlign w:val="center"/>
          </w:tcPr>
          <w:p w:rsidR="00BC07F0" w:rsidRDefault="00073EFB">
            <w:pPr>
              <w:pStyle w:val="a7"/>
              <w:rPr>
                <w:rFonts w:hint="default"/>
              </w:rPr>
            </w:pPr>
            <w:r>
              <w:t>200</w:t>
            </w:r>
          </w:p>
        </w:tc>
        <w:tc>
          <w:tcPr>
            <w:tcW w:w="606" w:type="pct"/>
            <w:tcBorders>
              <w:tl2br w:val="nil"/>
              <w:tr2bl w:val="nil"/>
            </w:tcBorders>
            <w:shd w:val="clear" w:color="auto" w:fill="DDEBF7"/>
            <w:vAlign w:val="center"/>
          </w:tcPr>
          <w:p w:rsidR="00BC07F0" w:rsidRDefault="00073EFB">
            <w:pPr>
              <w:pStyle w:val="a7"/>
              <w:rPr>
                <w:rFonts w:hint="default"/>
              </w:rPr>
            </w:pPr>
            <w:r>
              <w:t>250</w:t>
            </w:r>
          </w:p>
        </w:tc>
        <w:tc>
          <w:tcPr>
            <w:tcW w:w="608" w:type="pct"/>
            <w:tcBorders>
              <w:tl2br w:val="nil"/>
              <w:tr2bl w:val="nil"/>
            </w:tcBorders>
            <w:shd w:val="clear" w:color="auto" w:fill="DDEBF7"/>
            <w:vAlign w:val="center"/>
          </w:tcPr>
          <w:p w:rsidR="00BC07F0" w:rsidRDefault="00073EFB">
            <w:pPr>
              <w:pStyle w:val="a7"/>
              <w:rPr>
                <w:rFonts w:hint="default"/>
              </w:rPr>
            </w:pPr>
            <w:r>
              <w:t>520</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10</w:t>
            </w:r>
          </w:p>
        </w:tc>
        <w:tc>
          <w:tcPr>
            <w:tcW w:w="1099" w:type="dxa"/>
            <w:tcBorders>
              <w:tl2br w:val="nil"/>
              <w:tr2bl w:val="nil"/>
            </w:tcBorders>
            <w:noWrap/>
            <w:vAlign w:val="center"/>
          </w:tcPr>
          <w:p w:rsidR="00BC07F0" w:rsidRDefault="00073EFB">
            <w:pPr>
              <w:pStyle w:val="a7"/>
              <w:rPr>
                <w:rFonts w:hint="default"/>
              </w:rPr>
            </w:pPr>
            <w:r>
              <w:t>0.251</w:t>
            </w:r>
          </w:p>
        </w:tc>
        <w:tc>
          <w:tcPr>
            <w:tcW w:w="1099" w:type="dxa"/>
            <w:tcBorders>
              <w:tl2br w:val="nil"/>
              <w:tr2bl w:val="nil"/>
            </w:tcBorders>
            <w:noWrap/>
            <w:vAlign w:val="center"/>
          </w:tcPr>
          <w:p w:rsidR="00BC07F0" w:rsidRDefault="00073EFB">
            <w:pPr>
              <w:pStyle w:val="a7"/>
              <w:rPr>
                <w:rFonts w:hint="default"/>
              </w:rPr>
            </w:pPr>
            <w:r>
              <w:t>0.202</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50</w:t>
            </w:r>
          </w:p>
        </w:tc>
        <w:tc>
          <w:tcPr>
            <w:tcW w:w="1099" w:type="dxa"/>
            <w:tcBorders>
              <w:tl2br w:val="nil"/>
              <w:tr2bl w:val="nil"/>
            </w:tcBorders>
            <w:noWrap/>
            <w:vAlign w:val="center"/>
          </w:tcPr>
          <w:p w:rsidR="00BC07F0" w:rsidRDefault="00073EFB">
            <w:pPr>
              <w:pStyle w:val="a7"/>
              <w:rPr>
                <w:rFonts w:hint="default"/>
              </w:rPr>
            </w:pPr>
            <w:r>
              <w:t>0.193</w:t>
            </w:r>
          </w:p>
        </w:tc>
        <w:tc>
          <w:tcPr>
            <w:tcW w:w="1099" w:type="dxa"/>
            <w:tcBorders>
              <w:tl2br w:val="nil"/>
              <w:tr2bl w:val="nil"/>
            </w:tcBorders>
            <w:noWrap/>
            <w:vAlign w:val="center"/>
          </w:tcPr>
          <w:p w:rsidR="00BC07F0" w:rsidRDefault="00073EFB">
            <w:pPr>
              <w:pStyle w:val="a7"/>
              <w:rPr>
                <w:rFonts w:hint="default"/>
              </w:rPr>
            </w:pPr>
            <w:r>
              <w:t>0.187</w:t>
            </w:r>
          </w:p>
        </w:tc>
        <w:tc>
          <w:tcPr>
            <w:tcW w:w="1099" w:type="dxa"/>
            <w:tcBorders>
              <w:tl2br w:val="nil"/>
              <w:tr2bl w:val="nil"/>
            </w:tcBorders>
            <w:noWrap/>
            <w:vAlign w:val="center"/>
          </w:tcPr>
          <w:p w:rsidR="00BC07F0" w:rsidRDefault="00073EFB">
            <w:pPr>
              <w:pStyle w:val="a7"/>
              <w:rPr>
                <w:rFonts w:hint="default"/>
              </w:rPr>
            </w:pPr>
            <w:r>
              <w:t>0.147</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100</w:t>
            </w:r>
          </w:p>
        </w:tc>
        <w:tc>
          <w:tcPr>
            <w:tcW w:w="1099" w:type="dxa"/>
            <w:tcBorders>
              <w:tl2br w:val="nil"/>
              <w:tr2bl w:val="nil"/>
            </w:tcBorders>
            <w:noWrap/>
            <w:vAlign w:val="center"/>
          </w:tcPr>
          <w:p w:rsidR="00BC07F0" w:rsidRDefault="00073EFB">
            <w:pPr>
              <w:pStyle w:val="a7"/>
              <w:rPr>
                <w:rFonts w:hint="default"/>
              </w:rPr>
            </w:pPr>
            <w:r>
              <w:t>0.179</w:t>
            </w:r>
          </w:p>
        </w:tc>
        <w:tc>
          <w:tcPr>
            <w:tcW w:w="1099" w:type="dxa"/>
            <w:tcBorders>
              <w:tl2br w:val="nil"/>
              <w:tr2bl w:val="nil"/>
            </w:tcBorders>
            <w:noWrap/>
            <w:vAlign w:val="center"/>
          </w:tcPr>
          <w:p w:rsidR="00BC07F0" w:rsidRDefault="00073EFB">
            <w:pPr>
              <w:pStyle w:val="a7"/>
              <w:rPr>
                <w:rFonts w:hint="default"/>
              </w:rPr>
            </w:pPr>
            <w:r>
              <w:t>0.177</w:t>
            </w:r>
          </w:p>
        </w:tc>
        <w:tc>
          <w:tcPr>
            <w:tcW w:w="1099" w:type="dxa"/>
            <w:tcBorders>
              <w:tl2br w:val="nil"/>
              <w:tr2bl w:val="nil"/>
            </w:tcBorders>
            <w:noWrap/>
            <w:vAlign w:val="center"/>
          </w:tcPr>
          <w:p w:rsidR="00BC07F0" w:rsidRDefault="00073EFB">
            <w:pPr>
              <w:pStyle w:val="a7"/>
              <w:rPr>
                <w:rFonts w:hint="default"/>
              </w:rPr>
            </w:pPr>
            <w:r>
              <w:t>0.152</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200</w:t>
            </w:r>
          </w:p>
        </w:tc>
        <w:tc>
          <w:tcPr>
            <w:tcW w:w="1099" w:type="dxa"/>
            <w:tcBorders>
              <w:tl2br w:val="nil"/>
              <w:tr2bl w:val="nil"/>
            </w:tcBorders>
            <w:noWrap/>
            <w:vAlign w:val="center"/>
          </w:tcPr>
          <w:p w:rsidR="00BC07F0" w:rsidRDefault="00073EFB">
            <w:pPr>
              <w:pStyle w:val="a7"/>
              <w:rPr>
                <w:rFonts w:hint="default"/>
              </w:rPr>
            </w:pPr>
            <w:r>
              <w:t>0.169</w:t>
            </w:r>
          </w:p>
        </w:tc>
        <w:tc>
          <w:tcPr>
            <w:tcW w:w="1099" w:type="dxa"/>
            <w:tcBorders>
              <w:tl2br w:val="nil"/>
              <w:tr2bl w:val="nil"/>
            </w:tcBorders>
            <w:noWrap/>
            <w:vAlign w:val="center"/>
          </w:tcPr>
          <w:p w:rsidR="00BC07F0" w:rsidRDefault="00073EFB">
            <w:pPr>
              <w:pStyle w:val="a7"/>
              <w:rPr>
                <w:rFonts w:hint="default"/>
              </w:rPr>
            </w:pPr>
            <w:r>
              <w:t>0.168</w:t>
            </w:r>
          </w:p>
        </w:tc>
        <w:tc>
          <w:tcPr>
            <w:tcW w:w="1099" w:type="dxa"/>
            <w:tcBorders>
              <w:tl2br w:val="nil"/>
              <w:tr2bl w:val="nil"/>
            </w:tcBorders>
            <w:noWrap/>
            <w:vAlign w:val="center"/>
          </w:tcPr>
          <w:p w:rsidR="00BC07F0" w:rsidRDefault="00073EFB">
            <w:pPr>
              <w:pStyle w:val="a7"/>
              <w:rPr>
                <w:rFonts w:hint="default"/>
              </w:rPr>
            </w:pPr>
            <w:r>
              <w:t>0.156</w:t>
            </w:r>
          </w:p>
        </w:tc>
        <w:tc>
          <w:tcPr>
            <w:tcW w:w="1099" w:type="dxa"/>
            <w:tcBorders>
              <w:tl2br w:val="nil"/>
              <w:tr2bl w:val="nil"/>
            </w:tcBorders>
            <w:noWrap/>
            <w:vAlign w:val="center"/>
          </w:tcPr>
          <w:p w:rsidR="00BC07F0" w:rsidRDefault="00073EFB">
            <w:pPr>
              <w:pStyle w:val="a7"/>
              <w:rPr>
                <w:rFonts w:hint="default"/>
              </w:rPr>
            </w:pPr>
            <w:r>
              <w:t>0.146</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400</w:t>
            </w:r>
          </w:p>
        </w:tc>
        <w:tc>
          <w:tcPr>
            <w:tcW w:w="1099" w:type="dxa"/>
            <w:tcBorders>
              <w:tl2br w:val="nil"/>
              <w:tr2bl w:val="nil"/>
            </w:tcBorders>
            <w:noWrap/>
            <w:vAlign w:val="center"/>
          </w:tcPr>
          <w:p w:rsidR="00BC07F0" w:rsidRDefault="00073EFB">
            <w:pPr>
              <w:pStyle w:val="a7"/>
              <w:rPr>
                <w:rFonts w:hint="default"/>
              </w:rPr>
            </w:pPr>
            <w:r>
              <w:t>0.162</w:t>
            </w:r>
          </w:p>
        </w:tc>
        <w:tc>
          <w:tcPr>
            <w:tcW w:w="1099" w:type="dxa"/>
            <w:tcBorders>
              <w:tl2br w:val="nil"/>
              <w:tr2bl w:val="nil"/>
            </w:tcBorders>
            <w:noWrap/>
            <w:vAlign w:val="center"/>
          </w:tcPr>
          <w:p w:rsidR="00BC07F0" w:rsidRDefault="00073EFB">
            <w:pPr>
              <w:pStyle w:val="a7"/>
              <w:rPr>
                <w:rFonts w:hint="default"/>
              </w:rPr>
            </w:pPr>
            <w:r>
              <w:t>0.162</w:t>
            </w:r>
          </w:p>
        </w:tc>
        <w:tc>
          <w:tcPr>
            <w:tcW w:w="1099" w:type="dxa"/>
            <w:tcBorders>
              <w:tl2br w:val="nil"/>
              <w:tr2bl w:val="nil"/>
            </w:tcBorders>
            <w:noWrap/>
            <w:vAlign w:val="center"/>
          </w:tcPr>
          <w:p w:rsidR="00BC07F0" w:rsidRDefault="00073EFB">
            <w:pPr>
              <w:pStyle w:val="a7"/>
              <w:rPr>
                <w:rFonts w:hint="default"/>
              </w:rPr>
            </w:pPr>
            <w:r>
              <w:t>0.156</w:t>
            </w:r>
          </w:p>
        </w:tc>
        <w:tc>
          <w:tcPr>
            <w:tcW w:w="1099" w:type="dxa"/>
            <w:tcBorders>
              <w:tl2br w:val="nil"/>
              <w:tr2bl w:val="nil"/>
            </w:tcBorders>
            <w:noWrap/>
            <w:vAlign w:val="center"/>
          </w:tcPr>
          <w:p w:rsidR="00BC07F0" w:rsidRDefault="00073EFB">
            <w:pPr>
              <w:pStyle w:val="a7"/>
              <w:rPr>
                <w:rFonts w:hint="default"/>
              </w:rPr>
            </w:pPr>
            <w:r>
              <w:t>0.148</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800</w:t>
            </w:r>
          </w:p>
        </w:tc>
        <w:tc>
          <w:tcPr>
            <w:tcW w:w="1099" w:type="dxa"/>
            <w:tcBorders>
              <w:tl2br w:val="nil"/>
              <w:tr2bl w:val="nil"/>
            </w:tcBorders>
            <w:noWrap/>
            <w:vAlign w:val="center"/>
          </w:tcPr>
          <w:p w:rsidR="00BC07F0" w:rsidRDefault="00073EFB">
            <w:pPr>
              <w:pStyle w:val="a7"/>
              <w:rPr>
                <w:rFonts w:hint="default"/>
              </w:rPr>
            </w:pPr>
            <w:r>
              <w:t>0.157</w:t>
            </w:r>
          </w:p>
        </w:tc>
        <w:tc>
          <w:tcPr>
            <w:tcW w:w="1099" w:type="dxa"/>
            <w:tcBorders>
              <w:tl2br w:val="nil"/>
              <w:tr2bl w:val="nil"/>
            </w:tcBorders>
            <w:noWrap/>
            <w:vAlign w:val="center"/>
          </w:tcPr>
          <w:p w:rsidR="00BC07F0" w:rsidRDefault="00073EFB">
            <w:pPr>
              <w:pStyle w:val="a7"/>
              <w:rPr>
                <w:rFonts w:hint="default"/>
              </w:rPr>
            </w:pPr>
            <w:r>
              <w:t>0.157</w:t>
            </w:r>
          </w:p>
        </w:tc>
        <w:tc>
          <w:tcPr>
            <w:tcW w:w="1099" w:type="dxa"/>
            <w:tcBorders>
              <w:tl2br w:val="nil"/>
              <w:tr2bl w:val="nil"/>
            </w:tcBorders>
            <w:noWrap/>
            <w:vAlign w:val="center"/>
          </w:tcPr>
          <w:p w:rsidR="00BC07F0" w:rsidRDefault="00073EFB">
            <w:pPr>
              <w:pStyle w:val="a7"/>
              <w:rPr>
                <w:rFonts w:hint="default"/>
              </w:rPr>
            </w:pPr>
            <w:r>
              <w:t>0.155</w:t>
            </w:r>
          </w:p>
        </w:tc>
        <w:tc>
          <w:tcPr>
            <w:tcW w:w="1099" w:type="dxa"/>
            <w:tcBorders>
              <w:tl2br w:val="nil"/>
              <w:tr2bl w:val="nil"/>
            </w:tcBorders>
            <w:noWrap/>
            <w:vAlign w:val="center"/>
          </w:tcPr>
          <w:p w:rsidR="00BC07F0" w:rsidRDefault="00073EFB">
            <w:pPr>
              <w:pStyle w:val="a7"/>
              <w:rPr>
                <w:rFonts w:hint="default"/>
              </w:rPr>
            </w:pPr>
            <w:r>
              <w:t>0.150</w:t>
            </w:r>
          </w:p>
        </w:tc>
        <w:tc>
          <w:tcPr>
            <w:tcW w:w="1099" w:type="dxa"/>
            <w:tcBorders>
              <w:tl2br w:val="nil"/>
              <w:tr2bl w:val="nil"/>
            </w:tcBorders>
            <w:noWrap/>
            <w:vAlign w:val="center"/>
          </w:tcPr>
          <w:p w:rsidR="00BC07F0" w:rsidRDefault="00073EFB">
            <w:pPr>
              <w:pStyle w:val="a7"/>
              <w:rPr>
                <w:rFonts w:hint="default"/>
              </w:rPr>
            </w:pPr>
            <w:r>
              <w:t>0.145</w:t>
            </w:r>
          </w:p>
        </w:tc>
        <w:tc>
          <w:tcPr>
            <w:tcW w:w="1099" w:type="dxa"/>
            <w:tcBorders>
              <w:tl2br w:val="nil"/>
              <w:tr2bl w:val="nil"/>
            </w:tcBorders>
            <w:noWrap/>
            <w:vAlign w:val="center"/>
          </w:tcPr>
          <w:p w:rsidR="00BC07F0" w:rsidRDefault="00073EFB">
            <w:pPr>
              <w:pStyle w:val="a7"/>
              <w:rPr>
                <w:rFonts w:hint="default"/>
              </w:rPr>
            </w:pPr>
            <w:r>
              <w:t>0.145</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1000</w:t>
            </w:r>
          </w:p>
        </w:tc>
        <w:tc>
          <w:tcPr>
            <w:tcW w:w="1099" w:type="dxa"/>
            <w:tcBorders>
              <w:tl2br w:val="nil"/>
              <w:tr2bl w:val="nil"/>
            </w:tcBorders>
            <w:noWrap/>
            <w:vAlign w:val="center"/>
          </w:tcPr>
          <w:p w:rsidR="00BC07F0" w:rsidRDefault="00073EFB">
            <w:pPr>
              <w:pStyle w:val="a7"/>
              <w:rPr>
                <w:rFonts w:hint="default"/>
              </w:rPr>
            </w:pPr>
            <w:r>
              <w:t>0.156</w:t>
            </w:r>
          </w:p>
        </w:tc>
        <w:tc>
          <w:tcPr>
            <w:tcW w:w="1099" w:type="dxa"/>
            <w:tcBorders>
              <w:tl2br w:val="nil"/>
              <w:tr2bl w:val="nil"/>
            </w:tcBorders>
            <w:noWrap/>
            <w:vAlign w:val="center"/>
          </w:tcPr>
          <w:p w:rsidR="00BC07F0" w:rsidRDefault="00073EFB">
            <w:pPr>
              <w:pStyle w:val="a7"/>
              <w:rPr>
                <w:rFonts w:hint="default"/>
              </w:rPr>
            </w:pPr>
            <w:r>
              <w:t>0.156</w:t>
            </w:r>
          </w:p>
        </w:tc>
        <w:tc>
          <w:tcPr>
            <w:tcW w:w="1099" w:type="dxa"/>
            <w:tcBorders>
              <w:tl2br w:val="nil"/>
              <w:tr2bl w:val="nil"/>
            </w:tcBorders>
            <w:noWrap/>
            <w:vAlign w:val="center"/>
          </w:tcPr>
          <w:p w:rsidR="00BC07F0" w:rsidRDefault="00073EFB">
            <w:pPr>
              <w:pStyle w:val="a7"/>
              <w:rPr>
                <w:rFonts w:hint="default"/>
              </w:rPr>
            </w:pPr>
            <w:r>
              <w:t>0.154</w:t>
            </w:r>
          </w:p>
        </w:tc>
        <w:tc>
          <w:tcPr>
            <w:tcW w:w="1099" w:type="dxa"/>
            <w:tcBorders>
              <w:tl2br w:val="nil"/>
              <w:tr2bl w:val="nil"/>
            </w:tcBorders>
            <w:noWrap/>
            <w:vAlign w:val="center"/>
          </w:tcPr>
          <w:p w:rsidR="00BC07F0" w:rsidRDefault="00073EFB">
            <w:pPr>
              <w:pStyle w:val="a7"/>
              <w:rPr>
                <w:rFonts w:hint="default"/>
              </w:rPr>
            </w:pPr>
            <w:r>
              <w:t>0.151</w:t>
            </w:r>
          </w:p>
        </w:tc>
        <w:tc>
          <w:tcPr>
            <w:tcW w:w="1099" w:type="dxa"/>
            <w:tcBorders>
              <w:tl2br w:val="nil"/>
              <w:tr2bl w:val="nil"/>
            </w:tcBorders>
            <w:noWrap/>
            <w:vAlign w:val="center"/>
          </w:tcPr>
          <w:p w:rsidR="00BC07F0" w:rsidRDefault="00073EFB">
            <w:pPr>
              <w:pStyle w:val="a7"/>
              <w:rPr>
                <w:rFonts w:hint="default"/>
              </w:rPr>
            </w:pPr>
            <w:r>
              <w:t>0.146</w:t>
            </w:r>
          </w:p>
        </w:tc>
        <w:tc>
          <w:tcPr>
            <w:tcW w:w="1099" w:type="dxa"/>
            <w:tcBorders>
              <w:tl2br w:val="nil"/>
              <w:tr2bl w:val="nil"/>
            </w:tcBorders>
            <w:noWrap/>
            <w:vAlign w:val="center"/>
          </w:tcPr>
          <w:p w:rsidR="00BC07F0" w:rsidRDefault="00073EFB">
            <w:pPr>
              <w:pStyle w:val="a7"/>
              <w:rPr>
                <w:rFonts w:hint="default"/>
              </w:rPr>
            </w:pPr>
            <w:r>
              <w:t>0.145</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1500</w:t>
            </w:r>
          </w:p>
        </w:tc>
        <w:tc>
          <w:tcPr>
            <w:tcW w:w="1099" w:type="dxa"/>
            <w:tcBorders>
              <w:tl2br w:val="nil"/>
              <w:tr2bl w:val="nil"/>
            </w:tcBorders>
            <w:noWrap/>
            <w:vAlign w:val="center"/>
          </w:tcPr>
          <w:p w:rsidR="00BC07F0" w:rsidRDefault="00073EFB">
            <w:pPr>
              <w:pStyle w:val="a7"/>
              <w:rPr>
                <w:rFonts w:hint="default"/>
              </w:rPr>
            </w:pPr>
            <w:r>
              <w:t>0.154</w:t>
            </w:r>
          </w:p>
        </w:tc>
        <w:tc>
          <w:tcPr>
            <w:tcW w:w="1099" w:type="dxa"/>
            <w:tcBorders>
              <w:tl2br w:val="nil"/>
              <w:tr2bl w:val="nil"/>
            </w:tcBorders>
            <w:noWrap/>
            <w:vAlign w:val="center"/>
          </w:tcPr>
          <w:p w:rsidR="00BC07F0" w:rsidRDefault="00073EFB">
            <w:pPr>
              <w:pStyle w:val="a7"/>
              <w:rPr>
                <w:rFonts w:hint="default"/>
              </w:rPr>
            </w:pPr>
            <w:r>
              <w:t>0.154</w:t>
            </w:r>
          </w:p>
        </w:tc>
        <w:tc>
          <w:tcPr>
            <w:tcW w:w="1099" w:type="dxa"/>
            <w:tcBorders>
              <w:tl2br w:val="nil"/>
              <w:tr2bl w:val="nil"/>
            </w:tcBorders>
            <w:noWrap/>
            <w:vAlign w:val="center"/>
          </w:tcPr>
          <w:p w:rsidR="00BC07F0" w:rsidRDefault="00073EFB">
            <w:pPr>
              <w:pStyle w:val="a7"/>
              <w:rPr>
                <w:rFonts w:hint="default"/>
              </w:rPr>
            </w:pPr>
            <w:r>
              <w:t>0.153</w:t>
            </w:r>
          </w:p>
        </w:tc>
        <w:tc>
          <w:tcPr>
            <w:tcW w:w="1099" w:type="dxa"/>
            <w:tcBorders>
              <w:tl2br w:val="nil"/>
              <w:tr2bl w:val="nil"/>
            </w:tcBorders>
            <w:noWrap/>
            <w:vAlign w:val="center"/>
          </w:tcPr>
          <w:p w:rsidR="00BC07F0" w:rsidRDefault="00073EFB">
            <w:pPr>
              <w:pStyle w:val="a7"/>
              <w:rPr>
                <w:rFonts w:hint="default"/>
              </w:rPr>
            </w:pPr>
            <w:r>
              <w:t>0.151</w:t>
            </w:r>
          </w:p>
        </w:tc>
        <w:tc>
          <w:tcPr>
            <w:tcW w:w="1099" w:type="dxa"/>
            <w:tcBorders>
              <w:tl2br w:val="nil"/>
              <w:tr2bl w:val="nil"/>
            </w:tcBorders>
            <w:noWrap/>
            <w:vAlign w:val="center"/>
          </w:tcPr>
          <w:p w:rsidR="00BC07F0" w:rsidRDefault="00073EFB">
            <w:pPr>
              <w:pStyle w:val="a7"/>
              <w:rPr>
                <w:rFonts w:hint="default"/>
              </w:rPr>
            </w:pPr>
            <w:r>
              <w:t>0.147</w:t>
            </w:r>
          </w:p>
        </w:tc>
        <w:tc>
          <w:tcPr>
            <w:tcW w:w="1099" w:type="dxa"/>
            <w:tcBorders>
              <w:tl2br w:val="nil"/>
              <w:tr2bl w:val="nil"/>
            </w:tcBorders>
            <w:noWrap/>
            <w:vAlign w:val="center"/>
          </w:tcPr>
          <w:p w:rsidR="00BC07F0" w:rsidRDefault="00073EFB">
            <w:pPr>
              <w:pStyle w:val="a7"/>
              <w:rPr>
                <w:rFonts w:hint="default"/>
              </w:rPr>
            </w:pPr>
            <w:r>
              <w:t>0.146</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2000</w:t>
            </w:r>
          </w:p>
        </w:tc>
        <w:tc>
          <w:tcPr>
            <w:tcW w:w="1099" w:type="dxa"/>
            <w:tcBorders>
              <w:tl2br w:val="nil"/>
              <w:tr2bl w:val="nil"/>
            </w:tcBorders>
            <w:noWrap/>
            <w:vAlign w:val="center"/>
          </w:tcPr>
          <w:p w:rsidR="00BC07F0" w:rsidRDefault="00073EFB">
            <w:pPr>
              <w:pStyle w:val="a7"/>
              <w:rPr>
                <w:rFonts w:hint="default"/>
              </w:rPr>
            </w:pPr>
            <w:r>
              <w:t>0.152</w:t>
            </w:r>
          </w:p>
        </w:tc>
        <w:tc>
          <w:tcPr>
            <w:tcW w:w="1099" w:type="dxa"/>
            <w:tcBorders>
              <w:tl2br w:val="nil"/>
              <w:tr2bl w:val="nil"/>
            </w:tcBorders>
            <w:noWrap/>
            <w:vAlign w:val="center"/>
          </w:tcPr>
          <w:p w:rsidR="00BC07F0" w:rsidRDefault="00073EFB">
            <w:pPr>
              <w:pStyle w:val="a7"/>
              <w:rPr>
                <w:rFonts w:hint="default"/>
              </w:rPr>
            </w:pPr>
            <w:r>
              <w:t>0.152</w:t>
            </w:r>
          </w:p>
        </w:tc>
        <w:tc>
          <w:tcPr>
            <w:tcW w:w="1099" w:type="dxa"/>
            <w:tcBorders>
              <w:tl2br w:val="nil"/>
              <w:tr2bl w:val="nil"/>
            </w:tcBorders>
            <w:noWrap/>
            <w:vAlign w:val="center"/>
          </w:tcPr>
          <w:p w:rsidR="00BC07F0" w:rsidRDefault="00073EFB">
            <w:pPr>
              <w:pStyle w:val="a7"/>
              <w:rPr>
                <w:rFonts w:hint="default"/>
              </w:rPr>
            </w:pPr>
            <w:r>
              <w:t>0.152</w:t>
            </w:r>
          </w:p>
        </w:tc>
        <w:tc>
          <w:tcPr>
            <w:tcW w:w="1099" w:type="dxa"/>
            <w:tcBorders>
              <w:tl2br w:val="nil"/>
              <w:tr2bl w:val="nil"/>
            </w:tcBorders>
            <w:noWrap/>
            <w:vAlign w:val="center"/>
          </w:tcPr>
          <w:p w:rsidR="00BC07F0" w:rsidRDefault="00073EFB">
            <w:pPr>
              <w:pStyle w:val="a7"/>
              <w:rPr>
                <w:rFonts w:hint="default"/>
              </w:rPr>
            </w:pPr>
            <w:r>
              <w:t>0.150</w:t>
            </w:r>
          </w:p>
        </w:tc>
        <w:tc>
          <w:tcPr>
            <w:tcW w:w="1099" w:type="dxa"/>
            <w:tcBorders>
              <w:tl2br w:val="nil"/>
              <w:tr2bl w:val="nil"/>
            </w:tcBorders>
            <w:noWrap/>
            <w:vAlign w:val="center"/>
          </w:tcPr>
          <w:p w:rsidR="00BC07F0" w:rsidRDefault="00073EFB">
            <w:pPr>
              <w:pStyle w:val="a7"/>
              <w:rPr>
                <w:rFonts w:hint="default"/>
              </w:rPr>
            </w:pPr>
            <w:r>
              <w:t>0.147</w:t>
            </w:r>
          </w:p>
        </w:tc>
        <w:tc>
          <w:tcPr>
            <w:tcW w:w="1099" w:type="dxa"/>
            <w:tcBorders>
              <w:tl2br w:val="nil"/>
              <w:tr2bl w:val="nil"/>
            </w:tcBorders>
            <w:noWrap/>
            <w:vAlign w:val="center"/>
          </w:tcPr>
          <w:p w:rsidR="00BC07F0" w:rsidRDefault="00073EFB">
            <w:pPr>
              <w:pStyle w:val="a7"/>
              <w:rPr>
                <w:rFonts w:hint="default"/>
              </w:rPr>
            </w:pPr>
            <w:r>
              <w:t>0.146</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rPr>
                <w:rFonts w:hint="default"/>
              </w:rPr>
              <w:t>2500</w:t>
            </w:r>
          </w:p>
        </w:tc>
        <w:tc>
          <w:tcPr>
            <w:tcW w:w="1099" w:type="dxa"/>
            <w:tcBorders>
              <w:tl2br w:val="nil"/>
              <w:tr2bl w:val="nil"/>
            </w:tcBorders>
            <w:noWrap/>
            <w:vAlign w:val="center"/>
          </w:tcPr>
          <w:p w:rsidR="00BC07F0" w:rsidRDefault="00073EFB">
            <w:pPr>
              <w:pStyle w:val="a7"/>
              <w:rPr>
                <w:rFonts w:hint="default"/>
              </w:rPr>
            </w:pPr>
            <w:r>
              <w:t>0.152</w:t>
            </w:r>
          </w:p>
        </w:tc>
        <w:tc>
          <w:tcPr>
            <w:tcW w:w="1099" w:type="dxa"/>
            <w:tcBorders>
              <w:tl2br w:val="nil"/>
              <w:tr2bl w:val="nil"/>
            </w:tcBorders>
            <w:noWrap/>
            <w:vAlign w:val="center"/>
          </w:tcPr>
          <w:p w:rsidR="00BC07F0" w:rsidRDefault="00073EFB">
            <w:pPr>
              <w:pStyle w:val="a7"/>
              <w:rPr>
                <w:rFonts w:hint="default"/>
              </w:rPr>
            </w:pPr>
            <w:r>
              <w:t>0.152</w:t>
            </w:r>
          </w:p>
        </w:tc>
        <w:tc>
          <w:tcPr>
            <w:tcW w:w="1099" w:type="dxa"/>
            <w:tcBorders>
              <w:tl2br w:val="nil"/>
              <w:tr2bl w:val="nil"/>
            </w:tcBorders>
            <w:noWrap/>
            <w:vAlign w:val="center"/>
          </w:tcPr>
          <w:p w:rsidR="00BC07F0" w:rsidRDefault="00073EFB">
            <w:pPr>
              <w:pStyle w:val="a7"/>
              <w:rPr>
                <w:rFonts w:hint="default"/>
              </w:rPr>
            </w:pPr>
            <w:r>
              <w:t>0.151</w:t>
            </w:r>
          </w:p>
        </w:tc>
        <w:tc>
          <w:tcPr>
            <w:tcW w:w="1099" w:type="dxa"/>
            <w:tcBorders>
              <w:tl2br w:val="nil"/>
              <w:tr2bl w:val="nil"/>
            </w:tcBorders>
            <w:noWrap/>
            <w:vAlign w:val="center"/>
          </w:tcPr>
          <w:p w:rsidR="00BC07F0" w:rsidRDefault="00073EFB">
            <w:pPr>
              <w:pStyle w:val="a7"/>
              <w:rPr>
                <w:rFonts w:hint="default"/>
              </w:rPr>
            </w:pPr>
            <w:r>
              <w:t>0.150</w:t>
            </w:r>
          </w:p>
        </w:tc>
        <w:tc>
          <w:tcPr>
            <w:tcW w:w="1099" w:type="dxa"/>
            <w:tcBorders>
              <w:tl2br w:val="nil"/>
              <w:tr2bl w:val="nil"/>
            </w:tcBorders>
            <w:noWrap/>
            <w:vAlign w:val="center"/>
          </w:tcPr>
          <w:p w:rsidR="00BC07F0" w:rsidRDefault="00073EFB">
            <w:pPr>
              <w:pStyle w:val="a7"/>
              <w:rPr>
                <w:rFonts w:hint="default"/>
              </w:rPr>
            </w:pPr>
            <w:r>
              <w:t>0.147</w:t>
            </w:r>
          </w:p>
        </w:tc>
        <w:tc>
          <w:tcPr>
            <w:tcW w:w="1099" w:type="dxa"/>
            <w:tcBorders>
              <w:tl2br w:val="nil"/>
              <w:tr2bl w:val="nil"/>
            </w:tcBorders>
            <w:noWrap/>
            <w:vAlign w:val="center"/>
          </w:tcPr>
          <w:p w:rsidR="00BC07F0" w:rsidRDefault="00073EFB">
            <w:pPr>
              <w:pStyle w:val="a7"/>
              <w:rPr>
                <w:rFonts w:hint="default"/>
              </w:rPr>
            </w:pPr>
            <w:r>
              <w:t>0.146</w:t>
            </w:r>
          </w:p>
        </w:tc>
        <w:tc>
          <w:tcPr>
            <w:tcW w:w="1102" w:type="dxa"/>
            <w:tcBorders>
              <w:tl2br w:val="nil"/>
              <w:tr2bl w:val="nil"/>
            </w:tcBorders>
            <w:noWrap/>
            <w:vAlign w:val="center"/>
          </w:tcPr>
          <w:p w:rsidR="00BC07F0" w:rsidRDefault="00073EFB">
            <w:pPr>
              <w:pStyle w:val="a7"/>
              <w:rPr>
                <w:rFonts w:hint="default"/>
              </w:rPr>
            </w:pPr>
            <w:r>
              <w:t>0.145</w:t>
            </w:r>
          </w:p>
        </w:tc>
      </w:tr>
      <w:tr w:rsidR="00BC07F0">
        <w:trPr>
          <w:trHeight w:val="397"/>
          <w:jc w:val="center"/>
        </w:trPr>
        <w:tc>
          <w:tcPr>
            <w:tcW w:w="749" w:type="pct"/>
            <w:tcBorders>
              <w:tl2br w:val="nil"/>
              <w:tr2bl w:val="nil"/>
            </w:tcBorders>
            <w:shd w:val="clear" w:color="auto" w:fill="E2EFDA"/>
            <w:noWrap/>
            <w:vAlign w:val="center"/>
          </w:tcPr>
          <w:p w:rsidR="00BC07F0" w:rsidRDefault="00073EFB">
            <w:pPr>
              <w:pStyle w:val="a7"/>
              <w:rPr>
                <w:rFonts w:hint="default"/>
              </w:rPr>
            </w:pPr>
            <w:r>
              <w:t>31000</w:t>
            </w:r>
          </w:p>
        </w:tc>
        <w:tc>
          <w:tcPr>
            <w:tcW w:w="1099" w:type="dxa"/>
            <w:tcBorders>
              <w:tl2br w:val="nil"/>
              <w:tr2bl w:val="nil"/>
            </w:tcBorders>
            <w:noWrap/>
            <w:vAlign w:val="center"/>
          </w:tcPr>
          <w:p w:rsidR="00BC07F0" w:rsidRDefault="00073EFB">
            <w:pPr>
              <w:pStyle w:val="a7"/>
              <w:rPr>
                <w:rFonts w:hint="default"/>
              </w:rPr>
            </w:pPr>
            <w:r>
              <w:t>0.147</w:t>
            </w:r>
          </w:p>
        </w:tc>
        <w:tc>
          <w:tcPr>
            <w:tcW w:w="1099" w:type="dxa"/>
            <w:tcBorders>
              <w:tl2br w:val="nil"/>
              <w:tr2bl w:val="nil"/>
            </w:tcBorders>
            <w:noWrap/>
            <w:vAlign w:val="center"/>
          </w:tcPr>
          <w:p w:rsidR="00BC07F0" w:rsidRDefault="00073EFB">
            <w:pPr>
              <w:pStyle w:val="a7"/>
              <w:rPr>
                <w:rFonts w:hint="default"/>
              </w:rPr>
            </w:pPr>
            <w:r>
              <w:t>0.147</w:t>
            </w:r>
          </w:p>
        </w:tc>
        <w:tc>
          <w:tcPr>
            <w:tcW w:w="1099" w:type="dxa"/>
            <w:tcBorders>
              <w:tl2br w:val="nil"/>
              <w:tr2bl w:val="nil"/>
            </w:tcBorders>
            <w:noWrap/>
            <w:vAlign w:val="center"/>
          </w:tcPr>
          <w:p w:rsidR="00BC07F0" w:rsidRDefault="00073EFB">
            <w:pPr>
              <w:pStyle w:val="a7"/>
              <w:rPr>
                <w:rFonts w:hint="default"/>
              </w:rPr>
            </w:pPr>
            <w:r>
              <w:t>0.147</w:t>
            </w:r>
          </w:p>
        </w:tc>
        <w:tc>
          <w:tcPr>
            <w:tcW w:w="1099" w:type="dxa"/>
            <w:tcBorders>
              <w:tl2br w:val="nil"/>
              <w:tr2bl w:val="nil"/>
            </w:tcBorders>
            <w:noWrap/>
            <w:vAlign w:val="center"/>
          </w:tcPr>
          <w:p w:rsidR="00BC07F0" w:rsidRDefault="00073EFB">
            <w:pPr>
              <w:pStyle w:val="a7"/>
              <w:rPr>
                <w:rFonts w:hint="default"/>
              </w:rPr>
            </w:pPr>
            <w:r>
              <w:t>0.147</w:t>
            </w:r>
          </w:p>
        </w:tc>
        <w:tc>
          <w:tcPr>
            <w:tcW w:w="1099" w:type="dxa"/>
            <w:tcBorders>
              <w:tl2br w:val="nil"/>
              <w:tr2bl w:val="nil"/>
            </w:tcBorders>
            <w:noWrap/>
            <w:vAlign w:val="center"/>
          </w:tcPr>
          <w:p w:rsidR="00BC07F0" w:rsidRDefault="00073EFB">
            <w:pPr>
              <w:pStyle w:val="a7"/>
              <w:rPr>
                <w:rFonts w:hint="default"/>
              </w:rPr>
            </w:pPr>
            <w:r>
              <w:t>0.146</w:t>
            </w:r>
          </w:p>
        </w:tc>
        <w:tc>
          <w:tcPr>
            <w:tcW w:w="1099" w:type="dxa"/>
            <w:tcBorders>
              <w:tl2br w:val="nil"/>
              <w:tr2bl w:val="nil"/>
            </w:tcBorders>
            <w:noWrap/>
            <w:vAlign w:val="center"/>
          </w:tcPr>
          <w:p w:rsidR="00BC07F0" w:rsidRDefault="00073EFB">
            <w:pPr>
              <w:pStyle w:val="a7"/>
              <w:rPr>
                <w:rFonts w:hint="default"/>
              </w:rPr>
            </w:pPr>
            <w:r>
              <w:t>0.146</w:t>
            </w:r>
          </w:p>
        </w:tc>
        <w:tc>
          <w:tcPr>
            <w:tcW w:w="1102" w:type="dxa"/>
            <w:tcBorders>
              <w:tl2br w:val="nil"/>
              <w:tr2bl w:val="nil"/>
            </w:tcBorders>
            <w:noWrap/>
            <w:vAlign w:val="center"/>
          </w:tcPr>
          <w:p w:rsidR="00BC07F0" w:rsidRDefault="00073EFB">
            <w:pPr>
              <w:pStyle w:val="a7"/>
              <w:rPr>
                <w:rFonts w:hint="default"/>
              </w:rPr>
            </w:pPr>
            <w:r>
              <w:t>0.146</w:t>
            </w:r>
          </w:p>
        </w:tc>
      </w:tr>
    </w:tbl>
    <w:p w:rsidR="00BC07F0" w:rsidRDefault="00073EFB" w:rsidP="00C55F5E">
      <w:pPr>
        <w:ind w:firstLine="480"/>
      </w:pPr>
      <w:r>
        <w:t>经预测，正常排放情况</w:t>
      </w:r>
      <w:r>
        <w:rPr>
          <w:rFonts w:hint="eastAsia"/>
        </w:rPr>
        <w:t>湘江</w:t>
      </w:r>
      <w:r>
        <w:t>下游，</w:t>
      </w:r>
      <w:r>
        <w:t>COD</w:t>
      </w:r>
      <w:r>
        <w:t>、</w:t>
      </w:r>
      <w:r>
        <w:t>NH</w:t>
      </w:r>
      <w:r>
        <w:rPr>
          <w:vertAlign w:val="subscript"/>
        </w:rPr>
        <w:t>3</w:t>
      </w:r>
      <w:r>
        <w:t>-N</w:t>
      </w:r>
      <w:r>
        <w:t>浓度均未超过《地表水环境质量标准》（</w:t>
      </w:r>
      <w:r>
        <w:t>GB3838-2002</w:t>
      </w:r>
      <w:r>
        <w:t>）</w:t>
      </w:r>
      <w:r>
        <w:t>III</w:t>
      </w:r>
      <w:r>
        <w:t>类标准。非正常情况下，</w:t>
      </w:r>
      <w:r>
        <w:rPr>
          <w:rFonts w:hint="eastAsia"/>
        </w:rPr>
        <w:t>湘江</w:t>
      </w:r>
      <w:r>
        <w:t>下游</w:t>
      </w:r>
      <w:r>
        <w:t>COD</w:t>
      </w:r>
      <w:r>
        <w:t>浓度为、</w:t>
      </w:r>
      <w:r>
        <w:t>NH3-N</w:t>
      </w:r>
      <w:r>
        <w:t>浓度均未超过《地表水环境质量标准》（</w:t>
      </w:r>
      <w:r>
        <w:t>GB3838-2002</w:t>
      </w:r>
      <w:r>
        <w:t>）</w:t>
      </w:r>
      <w:r>
        <w:t>III</w:t>
      </w:r>
      <w:r>
        <w:t>类标准</w:t>
      </w:r>
      <w:r>
        <w:rPr>
          <w:rFonts w:hint="eastAsia"/>
        </w:rPr>
        <w:t>非正常排放</w:t>
      </w:r>
      <w:r>
        <w:t>浓度均未超过《地表水环境质量标准》（</w:t>
      </w:r>
      <w:r>
        <w:t>GB3838-2002</w:t>
      </w:r>
      <w:r>
        <w:t>）</w:t>
      </w:r>
      <w:r>
        <w:t>III</w:t>
      </w:r>
      <w:r>
        <w:t>类标准</w:t>
      </w:r>
      <w:r>
        <w:rPr>
          <w:rFonts w:hint="eastAsia"/>
        </w:rPr>
        <w:t>，非正常</w:t>
      </w:r>
      <w:r>
        <w:t>由于本项目污水排放量较小，正常情况排放污染物对受纳水体无明显影响，</w:t>
      </w:r>
      <w:r>
        <w:lastRenderedPageBreak/>
        <w:t>非正常情况排放污染物会造成水体</w:t>
      </w:r>
      <w:r>
        <w:t>COD</w:t>
      </w:r>
      <w:r>
        <w:t>、</w:t>
      </w:r>
      <w:r>
        <w:t>NH</w:t>
      </w:r>
      <w:r>
        <w:rPr>
          <w:vertAlign w:val="subscript"/>
        </w:rPr>
        <w:t>3</w:t>
      </w:r>
      <w:r>
        <w:t>-N</w:t>
      </w:r>
      <w:r>
        <w:t>浓度有一定上升，因此要加强污水处理系统使用过程中日常维护及管理，保持出水水质稳定，避免非正常排污情况发生。</w:t>
      </w:r>
    </w:p>
    <w:p w:rsidR="00BC07F0" w:rsidRDefault="00073EFB" w:rsidP="00C55F5E">
      <w:pPr>
        <w:pStyle w:val="2"/>
        <w:ind w:firstLine="482"/>
      </w:pPr>
      <w:r>
        <w:rPr>
          <w:rFonts w:hint="eastAsia"/>
        </w:rPr>
        <w:t>5.4</w:t>
      </w:r>
      <w:r>
        <w:rPr>
          <w:rFonts w:hint="eastAsia"/>
        </w:rPr>
        <w:t>监测计划</w:t>
      </w:r>
    </w:p>
    <w:p w:rsidR="00BC07F0" w:rsidRDefault="00073EFB" w:rsidP="00C55F5E">
      <w:pPr>
        <w:ind w:firstLine="480"/>
      </w:pPr>
      <w:r>
        <w:t>依据《排污单位自行监测技术指南</w:t>
      </w:r>
      <w:r>
        <w:tab/>
      </w:r>
      <w:r>
        <w:t>水处理》（</w:t>
      </w:r>
      <w:r>
        <w:t>HJ1083-2020</w:t>
      </w:r>
      <w:r>
        <w:t>）要求，确定本项目污染源监测计划，监测计划见下表。</w:t>
      </w:r>
    </w:p>
    <w:p w:rsidR="00BC07F0" w:rsidRDefault="00073EFB">
      <w:pPr>
        <w:pStyle w:val="a7"/>
        <w:rPr>
          <w:rFonts w:hint="default"/>
          <w:b/>
          <w:bCs/>
        </w:rPr>
      </w:pPr>
      <w:r>
        <w:rPr>
          <w:b/>
          <w:bCs/>
        </w:rPr>
        <w:t>表</w:t>
      </w:r>
      <w:r>
        <w:rPr>
          <w:b/>
          <w:bCs/>
        </w:rPr>
        <w:t>6.4-1</w:t>
      </w:r>
      <w:r>
        <w:rPr>
          <w:rFonts w:hint="default"/>
          <w:b/>
          <w:bCs/>
        </w:rPr>
        <w:tab/>
      </w:r>
      <w:r>
        <w:rPr>
          <w:b/>
          <w:bCs/>
        </w:rPr>
        <w:t>环境监测计划</w:t>
      </w:r>
    </w:p>
    <w:tbl>
      <w:tblPr>
        <w:tblW w:w="4959" w:type="pct"/>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CellMar>
          <w:left w:w="0" w:type="dxa"/>
          <w:right w:w="0" w:type="dxa"/>
        </w:tblCellMar>
        <w:tblLook w:val="04A0"/>
      </w:tblPr>
      <w:tblGrid>
        <w:gridCol w:w="1475"/>
        <w:gridCol w:w="5302"/>
        <w:gridCol w:w="1477"/>
      </w:tblGrid>
      <w:tr w:rsidR="00BC07F0">
        <w:trPr>
          <w:trHeight w:val="397"/>
          <w:jc w:val="center"/>
        </w:trPr>
        <w:tc>
          <w:tcPr>
            <w:tcW w:w="893" w:type="pct"/>
            <w:tcBorders>
              <w:tl2br w:val="nil"/>
              <w:tr2bl w:val="nil"/>
            </w:tcBorders>
            <w:vAlign w:val="center"/>
          </w:tcPr>
          <w:p w:rsidR="00BC07F0" w:rsidRDefault="00073EFB">
            <w:pPr>
              <w:pStyle w:val="a7"/>
              <w:rPr>
                <w:rFonts w:hint="default"/>
              </w:rPr>
            </w:pPr>
            <w:r>
              <w:rPr>
                <w:rFonts w:hint="default"/>
              </w:rPr>
              <w:t>监测点位</w:t>
            </w:r>
          </w:p>
        </w:tc>
        <w:tc>
          <w:tcPr>
            <w:tcW w:w="3211" w:type="pct"/>
            <w:tcBorders>
              <w:tl2br w:val="nil"/>
              <w:tr2bl w:val="nil"/>
            </w:tcBorders>
            <w:vAlign w:val="center"/>
          </w:tcPr>
          <w:p w:rsidR="00BC07F0" w:rsidRDefault="00073EFB">
            <w:pPr>
              <w:pStyle w:val="a7"/>
              <w:rPr>
                <w:rFonts w:hint="default"/>
              </w:rPr>
            </w:pPr>
            <w:r>
              <w:rPr>
                <w:rFonts w:hint="default"/>
              </w:rPr>
              <w:t>监测指标</w:t>
            </w:r>
          </w:p>
        </w:tc>
        <w:tc>
          <w:tcPr>
            <w:tcW w:w="895" w:type="pct"/>
            <w:tcBorders>
              <w:tl2br w:val="nil"/>
              <w:tr2bl w:val="nil"/>
            </w:tcBorders>
            <w:vAlign w:val="center"/>
          </w:tcPr>
          <w:p w:rsidR="00BC07F0" w:rsidRDefault="00073EFB">
            <w:pPr>
              <w:pStyle w:val="a7"/>
              <w:rPr>
                <w:rFonts w:hint="default"/>
              </w:rPr>
            </w:pPr>
            <w:r>
              <w:rPr>
                <w:rFonts w:hint="default"/>
              </w:rPr>
              <w:t>监测频次</w:t>
            </w:r>
          </w:p>
        </w:tc>
      </w:tr>
      <w:tr w:rsidR="00BC07F0">
        <w:trPr>
          <w:trHeight w:val="397"/>
          <w:jc w:val="center"/>
        </w:trPr>
        <w:tc>
          <w:tcPr>
            <w:tcW w:w="893" w:type="pct"/>
            <w:vMerge w:val="restart"/>
            <w:tcBorders>
              <w:tl2br w:val="nil"/>
              <w:tr2bl w:val="nil"/>
            </w:tcBorders>
            <w:vAlign w:val="center"/>
          </w:tcPr>
          <w:p w:rsidR="00BC07F0" w:rsidRDefault="00073EFB">
            <w:pPr>
              <w:pStyle w:val="a7"/>
              <w:rPr>
                <w:rFonts w:hint="default"/>
              </w:rPr>
            </w:pPr>
            <w:r>
              <w:rPr>
                <w:rFonts w:hint="default"/>
              </w:rPr>
              <w:t>进水总管</w:t>
            </w:r>
          </w:p>
        </w:tc>
        <w:tc>
          <w:tcPr>
            <w:tcW w:w="3211" w:type="pct"/>
            <w:tcBorders>
              <w:tl2br w:val="nil"/>
              <w:tr2bl w:val="nil"/>
            </w:tcBorders>
            <w:vAlign w:val="center"/>
          </w:tcPr>
          <w:p w:rsidR="00BC07F0" w:rsidRDefault="00073EFB">
            <w:pPr>
              <w:pStyle w:val="a7"/>
              <w:rPr>
                <w:rFonts w:hint="default"/>
              </w:rPr>
            </w:pPr>
            <w:r>
              <w:rPr>
                <w:rFonts w:hint="default"/>
              </w:rPr>
              <w:t>流量、化学需氧量、氨氮</w:t>
            </w:r>
          </w:p>
        </w:tc>
        <w:tc>
          <w:tcPr>
            <w:tcW w:w="895" w:type="pct"/>
            <w:tcBorders>
              <w:tl2br w:val="nil"/>
              <w:tr2bl w:val="nil"/>
            </w:tcBorders>
            <w:vAlign w:val="center"/>
          </w:tcPr>
          <w:p w:rsidR="00BC07F0" w:rsidRDefault="00073EFB">
            <w:pPr>
              <w:pStyle w:val="a7"/>
              <w:rPr>
                <w:rFonts w:hint="default"/>
              </w:rPr>
            </w:pPr>
            <w:r>
              <w:rPr>
                <w:rFonts w:hint="default"/>
              </w:rPr>
              <w:t>自动监测</w:t>
            </w:r>
          </w:p>
        </w:tc>
      </w:tr>
      <w:tr w:rsidR="00BC07F0">
        <w:trPr>
          <w:trHeight w:val="397"/>
          <w:jc w:val="center"/>
        </w:trPr>
        <w:tc>
          <w:tcPr>
            <w:tcW w:w="893" w:type="pct"/>
            <w:vMerge/>
            <w:tcBorders>
              <w:tl2br w:val="nil"/>
              <w:tr2bl w:val="nil"/>
            </w:tcBorders>
            <w:vAlign w:val="center"/>
          </w:tcPr>
          <w:p w:rsidR="00BC07F0" w:rsidRDefault="00BC07F0">
            <w:pPr>
              <w:pStyle w:val="a7"/>
              <w:rPr>
                <w:rFonts w:hint="default"/>
              </w:rPr>
            </w:pPr>
          </w:p>
        </w:tc>
        <w:tc>
          <w:tcPr>
            <w:tcW w:w="3211" w:type="pct"/>
            <w:tcBorders>
              <w:tl2br w:val="nil"/>
              <w:tr2bl w:val="nil"/>
            </w:tcBorders>
            <w:vAlign w:val="center"/>
          </w:tcPr>
          <w:p w:rsidR="00BC07F0" w:rsidRDefault="00073EFB">
            <w:pPr>
              <w:pStyle w:val="a7"/>
              <w:rPr>
                <w:rFonts w:hint="default"/>
              </w:rPr>
            </w:pPr>
            <w:r>
              <w:rPr>
                <w:rFonts w:hint="default"/>
              </w:rPr>
              <w:t>总磷、总氮</w:t>
            </w:r>
          </w:p>
        </w:tc>
        <w:tc>
          <w:tcPr>
            <w:tcW w:w="895" w:type="pct"/>
            <w:tcBorders>
              <w:tl2br w:val="nil"/>
              <w:tr2bl w:val="nil"/>
            </w:tcBorders>
            <w:vAlign w:val="center"/>
          </w:tcPr>
          <w:p w:rsidR="00BC07F0" w:rsidRDefault="00073EFB">
            <w:pPr>
              <w:pStyle w:val="a7"/>
              <w:rPr>
                <w:rFonts w:hint="default"/>
              </w:rPr>
            </w:pPr>
            <w:r>
              <w:rPr>
                <w:rFonts w:hint="default"/>
              </w:rPr>
              <w:t>一次</w:t>
            </w:r>
            <w:r>
              <w:rPr>
                <w:rFonts w:hint="default"/>
              </w:rPr>
              <w:t>/</w:t>
            </w:r>
            <w:r>
              <w:rPr>
                <w:rFonts w:hint="default"/>
              </w:rPr>
              <w:t>日</w:t>
            </w:r>
          </w:p>
        </w:tc>
      </w:tr>
      <w:tr w:rsidR="00BC07F0">
        <w:trPr>
          <w:trHeight w:val="397"/>
          <w:jc w:val="center"/>
        </w:trPr>
        <w:tc>
          <w:tcPr>
            <w:tcW w:w="893" w:type="pct"/>
            <w:tcBorders>
              <w:tl2br w:val="nil"/>
              <w:tr2bl w:val="nil"/>
            </w:tcBorders>
            <w:vAlign w:val="center"/>
          </w:tcPr>
          <w:p w:rsidR="00BC07F0" w:rsidRDefault="00073EFB">
            <w:pPr>
              <w:pStyle w:val="a7"/>
              <w:rPr>
                <w:rFonts w:hint="default"/>
              </w:rPr>
            </w:pPr>
            <w:r>
              <w:rPr>
                <w:rFonts w:hint="default"/>
              </w:rPr>
              <w:t>废水总排放口</w:t>
            </w:r>
            <w:r>
              <w:rPr>
                <w:rFonts w:hint="default"/>
              </w:rPr>
              <w:t>a</w:t>
            </w:r>
          </w:p>
        </w:tc>
        <w:tc>
          <w:tcPr>
            <w:tcW w:w="3211" w:type="pct"/>
            <w:tcBorders>
              <w:tl2br w:val="nil"/>
              <w:tr2bl w:val="nil"/>
            </w:tcBorders>
            <w:vAlign w:val="center"/>
          </w:tcPr>
          <w:p w:rsidR="00BC07F0" w:rsidRDefault="00073EFB">
            <w:pPr>
              <w:pStyle w:val="a7"/>
              <w:rPr>
                <w:rFonts w:hint="default"/>
              </w:rPr>
            </w:pPr>
            <w:r>
              <w:rPr>
                <w:rFonts w:hint="default"/>
              </w:rPr>
              <w:t>流量、</w:t>
            </w:r>
            <w:r>
              <w:rPr>
                <w:rFonts w:hint="default"/>
              </w:rPr>
              <w:t>pH</w:t>
            </w:r>
            <w:r>
              <w:rPr>
                <w:rFonts w:hint="default"/>
              </w:rPr>
              <w:t>值、水温、化学需氧量、氨氮、总磷、总氮</w:t>
            </w:r>
            <w:r>
              <w:rPr>
                <w:rFonts w:hint="default"/>
              </w:rPr>
              <w:t>b</w:t>
            </w:r>
          </w:p>
        </w:tc>
        <w:tc>
          <w:tcPr>
            <w:tcW w:w="895" w:type="pct"/>
            <w:tcBorders>
              <w:tl2br w:val="nil"/>
              <w:tr2bl w:val="nil"/>
            </w:tcBorders>
            <w:vAlign w:val="center"/>
          </w:tcPr>
          <w:p w:rsidR="00BC07F0" w:rsidRDefault="00073EFB">
            <w:pPr>
              <w:pStyle w:val="a7"/>
              <w:rPr>
                <w:rFonts w:hint="default"/>
              </w:rPr>
            </w:pPr>
            <w:r>
              <w:rPr>
                <w:rFonts w:hint="default"/>
              </w:rPr>
              <w:t>自动监测</w:t>
            </w:r>
          </w:p>
        </w:tc>
      </w:tr>
      <w:tr w:rsidR="00BC07F0">
        <w:trPr>
          <w:trHeight w:val="397"/>
          <w:jc w:val="center"/>
        </w:trPr>
        <w:tc>
          <w:tcPr>
            <w:tcW w:w="893" w:type="pct"/>
            <w:tcBorders>
              <w:tl2br w:val="nil"/>
              <w:tr2bl w:val="nil"/>
            </w:tcBorders>
            <w:vAlign w:val="center"/>
          </w:tcPr>
          <w:p w:rsidR="00BC07F0" w:rsidRDefault="00073EFB">
            <w:pPr>
              <w:pStyle w:val="a7"/>
              <w:rPr>
                <w:rFonts w:hint="default"/>
              </w:rPr>
            </w:pPr>
            <w:r>
              <w:rPr>
                <w:rFonts w:hint="default"/>
              </w:rPr>
              <w:t>监测点位</w:t>
            </w:r>
          </w:p>
        </w:tc>
        <w:tc>
          <w:tcPr>
            <w:tcW w:w="3211" w:type="pct"/>
            <w:tcBorders>
              <w:tl2br w:val="nil"/>
              <w:tr2bl w:val="nil"/>
            </w:tcBorders>
            <w:vAlign w:val="center"/>
          </w:tcPr>
          <w:p w:rsidR="00BC07F0" w:rsidRDefault="00073EFB">
            <w:pPr>
              <w:pStyle w:val="a7"/>
              <w:rPr>
                <w:rFonts w:hint="default"/>
              </w:rPr>
            </w:pPr>
            <w:r>
              <w:rPr>
                <w:rFonts w:hint="default"/>
              </w:rPr>
              <w:t>监测指标</w:t>
            </w:r>
          </w:p>
        </w:tc>
        <w:tc>
          <w:tcPr>
            <w:tcW w:w="895" w:type="pct"/>
            <w:tcBorders>
              <w:tl2br w:val="nil"/>
              <w:tr2bl w:val="nil"/>
            </w:tcBorders>
            <w:vAlign w:val="center"/>
          </w:tcPr>
          <w:p w:rsidR="00BC07F0" w:rsidRDefault="00073EFB">
            <w:pPr>
              <w:pStyle w:val="a7"/>
              <w:rPr>
                <w:rFonts w:hint="default"/>
              </w:rPr>
            </w:pPr>
            <w:r>
              <w:rPr>
                <w:rFonts w:hint="default"/>
              </w:rPr>
              <w:t>监测频次</w:t>
            </w:r>
          </w:p>
        </w:tc>
      </w:tr>
      <w:tr w:rsidR="00BC07F0">
        <w:trPr>
          <w:trHeight w:val="397"/>
          <w:jc w:val="center"/>
        </w:trPr>
        <w:tc>
          <w:tcPr>
            <w:tcW w:w="893" w:type="pct"/>
            <w:tcBorders>
              <w:tl2br w:val="nil"/>
              <w:tr2bl w:val="nil"/>
            </w:tcBorders>
            <w:vAlign w:val="center"/>
          </w:tcPr>
          <w:p w:rsidR="00BC07F0" w:rsidRDefault="00BC07F0">
            <w:pPr>
              <w:pStyle w:val="a7"/>
              <w:rPr>
                <w:rFonts w:hint="default"/>
              </w:rPr>
            </w:pPr>
          </w:p>
        </w:tc>
        <w:tc>
          <w:tcPr>
            <w:tcW w:w="3211" w:type="pct"/>
            <w:tcBorders>
              <w:tl2br w:val="nil"/>
              <w:tr2bl w:val="nil"/>
            </w:tcBorders>
            <w:vAlign w:val="center"/>
          </w:tcPr>
          <w:p w:rsidR="00BC07F0" w:rsidRDefault="00073EFB">
            <w:pPr>
              <w:pStyle w:val="a7"/>
              <w:rPr>
                <w:rFonts w:hint="default"/>
              </w:rPr>
            </w:pPr>
            <w:r>
              <w:rPr>
                <w:rFonts w:hint="default"/>
              </w:rPr>
              <w:t>悬浮物、五日生化需氧量、粪大肠菌群数</w:t>
            </w:r>
          </w:p>
        </w:tc>
        <w:tc>
          <w:tcPr>
            <w:tcW w:w="895" w:type="pct"/>
            <w:tcBorders>
              <w:tl2br w:val="nil"/>
              <w:tr2bl w:val="nil"/>
            </w:tcBorders>
            <w:vAlign w:val="center"/>
          </w:tcPr>
          <w:p w:rsidR="00BC07F0" w:rsidRDefault="00073EFB">
            <w:pPr>
              <w:pStyle w:val="a7"/>
              <w:rPr>
                <w:rFonts w:hint="default"/>
              </w:rPr>
            </w:pPr>
            <w:r>
              <w:rPr>
                <w:rFonts w:hint="default"/>
              </w:rPr>
              <w:t>一次</w:t>
            </w:r>
            <w:r>
              <w:rPr>
                <w:rFonts w:hint="default"/>
              </w:rPr>
              <w:t>/</w:t>
            </w:r>
            <w:r>
              <w:rPr>
                <w:rFonts w:hint="default"/>
              </w:rPr>
              <w:t>季度</w:t>
            </w:r>
          </w:p>
        </w:tc>
      </w:tr>
    </w:tbl>
    <w:p w:rsidR="00BC07F0" w:rsidRDefault="00073EFB" w:rsidP="00C55F5E">
      <w:pPr>
        <w:ind w:firstLine="480"/>
      </w:pPr>
      <w:r>
        <w:t>注：</w:t>
      </w:r>
      <w:r>
        <w:t>①</w:t>
      </w:r>
      <w:r>
        <w:t>进水总管自动监测数据须与地方生态环境主管部门污染源自动监控系统平台联网。</w:t>
      </w:r>
    </w:p>
    <w:p w:rsidR="00BC07F0" w:rsidRDefault="00073EFB" w:rsidP="00C55F5E">
      <w:pPr>
        <w:ind w:firstLine="480"/>
      </w:pPr>
      <w:r>
        <w:t>②a</w:t>
      </w:r>
      <w:r>
        <w:t>废水排入环境水体之前，有其他排污单位废水混入的，应在混入前后均设置监测点位。</w:t>
      </w:r>
    </w:p>
    <w:p w:rsidR="00BC07F0" w:rsidRDefault="00073EFB" w:rsidP="00C55F5E">
      <w:pPr>
        <w:ind w:firstLine="480"/>
      </w:pPr>
      <w:r>
        <w:t>③b</w:t>
      </w:r>
      <w:r>
        <w:t>总氮自动监测技术规范发布实施前，按日监测。</w:t>
      </w:r>
    </w:p>
    <w:p w:rsidR="00BC07F0" w:rsidRDefault="00BC07F0">
      <w:pPr>
        <w:pStyle w:val="1"/>
        <w:sectPr w:rsidR="00BC07F0">
          <w:pgSz w:w="11906" w:h="16838"/>
          <w:pgMar w:top="1440" w:right="1800" w:bottom="1440" w:left="1800" w:header="567" w:footer="567" w:gutter="0"/>
          <w:cols w:space="720"/>
          <w:docGrid w:linePitch="312"/>
        </w:sectPr>
      </w:pPr>
      <w:bookmarkStart w:id="205" w:name="_Toc21626"/>
      <w:bookmarkStart w:id="206" w:name="_Toc8683"/>
    </w:p>
    <w:p w:rsidR="00BC07F0" w:rsidRDefault="00073EFB">
      <w:pPr>
        <w:pStyle w:val="1"/>
      </w:pPr>
      <w:bookmarkStart w:id="207" w:name="_Toc2387"/>
      <w:r>
        <w:rPr>
          <w:rFonts w:hint="eastAsia"/>
        </w:rPr>
        <w:lastRenderedPageBreak/>
        <w:t>6</w:t>
      </w:r>
      <w:r>
        <w:rPr>
          <w:rFonts w:hint="eastAsia"/>
        </w:rPr>
        <w:t>环境保护措施</w:t>
      </w:r>
      <w:bookmarkEnd w:id="205"/>
      <w:bookmarkEnd w:id="206"/>
      <w:bookmarkEnd w:id="207"/>
    </w:p>
    <w:p w:rsidR="00BC07F0" w:rsidRDefault="00073EFB" w:rsidP="00C55F5E">
      <w:pPr>
        <w:pStyle w:val="2"/>
        <w:ind w:firstLine="482"/>
      </w:pPr>
      <w:bookmarkStart w:id="208" w:name="_Toc29059"/>
      <w:r>
        <w:rPr>
          <w:rFonts w:hint="eastAsia"/>
        </w:rPr>
        <w:t>6</w:t>
      </w:r>
      <w:r>
        <w:t>.1</w:t>
      </w:r>
      <w:r>
        <w:rPr>
          <w:rFonts w:hint="eastAsia"/>
        </w:rPr>
        <w:t>施工期环境保护措施</w:t>
      </w:r>
      <w:bookmarkEnd w:id="208"/>
    </w:p>
    <w:p w:rsidR="00BC07F0" w:rsidRDefault="00073EFB" w:rsidP="00C55F5E">
      <w:pPr>
        <w:ind w:firstLine="480"/>
      </w:pPr>
      <w:r>
        <w:t>施工人员基本来自当地村落，项目施工期间不设施工营地，项目不设施工临时生活区，不设食堂及宿舍，施工人员不在项目地食宿，因此施工过程中产生的废水主要为施工废水。项目区土地平整、道路施工、管</w:t>
      </w:r>
      <w:r>
        <w:t>道涉水施工时，因地表的开挖，疏松的地表受降水冲洗；施工机械的擦洗、修理、跑冒滴漏将有少量含油污水产出，若不经处理，直接排入，则有可能导致纳污水体的严重污染事故。为此，应注重施工期水污染防范工作。环评要求废水不得随意排放，建议建设单位采取如下措施进行处理：</w:t>
      </w:r>
    </w:p>
    <w:p w:rsidR="00BC07F0" w:rsidRDefault="00073EFB" w:rsidP="00C55F5E">
      <w:pPr>
        <w:ind w:firstLine="480"/>
      </w:pPr>
      <w:r>
        <w:t>①</w:t>
      </w:r>
      <w:r>
        <w:t>运输、施工机械机修油污应集中采取隔油池和砂滤处理。</w:t>
      </w:r>
    </w:p>
    <w:p w:rsidR="00BC07F0" w:rsidRDefault="00073EFB" w:rsidP="00C55F5E">
      <w:pPr>
        <w:ind w:firstLine="480"/>
      </w:pPr>
      <w:r>
        <w:t>②</w:t>
      </w:r>
      <w:r>
        <w:t>要做好建筑材料和建设废料的管理，设备堆放场、材料堆放场的防径流冲刷措施应加强，废土、废渣应及时清运填埋，不得随意堆放，防止出现废土、渣处置不当导致的水土流失，避免它们成为地面水的二次污染源。</w:t>
      </w:r>
    </w:p>
    <w:p w:rsidR="00BC07F0" w:rsidRDefault="00073EFB" w:rsidP="00C55F5E">
      <w:pPr>
        <w:ind w:firstLine="480"/>
      </w:pPr>
      <w:r>
        <w:t>③</w:t>
      </w:r>
      <w:r>
        <w:t>施工废水不得随意排放。由沉淀池收集处理后回用于场地洒水抑尘，以有效控制施工废水超标排放造成当地的水质污染影响问题，应加强管理及施工人员的素质教育，禁止将施工废水外排周边水体。</w:t>
      </w:r>
    </w:p>
    <w:p w:rsidR="00BC07F0" w:rsidRDefault="00BC07F0" w:rsidP="00C55F5E">
      <w:pPr>
        <w:ind w:firstLine="480"/>
      </w:pPr>
      <w:r>
        <w:fldChar w:fldCharType="begin"/>
      </w:r>
      <w:r w:rsidR="00073EFB">
        <w:instrText xml:space="preserve"> = 4 \* GB3 \* MERGEFORMAT </w:instrText>
      </w:r>
      <w:r>
        <w:fldChar w:fldCharType="separate"/>
      </w:r>
      <w:r w:rsidR="00073EFB">
        <w:t>④</w:t>
      </w:r>
      <w:r>
        <w:fldChar w:fldCharType="end"/>
      </w:r>
      <w:r w:rsidR="00073EFB">
        <w:t>对涉水管网采用混泥土包管、养护为防止河水对管道冲刷、浸泡，影响管道使用寿命，管道安装毕后对管道进行原槽浇筑。管沟开挖时遇到坚石严禁爆破，管沟开挖前在管沟边同时挖集水坑，开挖的土方全部由人工运至河岸上车，再用装卸车外运至渣土场处理。完工后拆除围堰，并及时清理河道内的建筑垃圾</w:t>
      </w:r>
      <w:r w:rsidR="00073EFB">
        <w:t>，恢复河岸河堤。</w:t>
      </w:r>
    </w:p>
    <w:p w:rsidR="00BC07F0" w:rsidRDefault="00073EFB" w:rsidP="00C55F5E">
      <w:pPr>
        <w:ind w:firstLine="480"/>
      </w:pPr>
      <w:r>
        <w:t>由于本工程施工持续时间较短，废水经沉淀处理后回用，对周边环境的影响较小。</w:t>
      </w:r>
    </w:p>
    <w:p w:rsidR="00BC07F0" w:rsidRDefault="00073EFB" w:rsidP="00C55F5E">
      <w:pPr>
        <w:pStyle w:val="2"/>
        <w:ind w:firstLine="482"/>
      </w:pPr>
      <w:bookmarkStart w:id="209" w:name="_Toc27602"/>
      <w:r>
        <w:rPr>
          <w:rFonts w:hint="eastAsia"/>
        </w:rPr>
        <w:t>6</w:t>
      </w:r>
      <w:r>
        <w:t>.2</w:t>
      </w:r>
      <w:r>
        <w:rPr>
          <w:rFonts w:hint="eastAsia"/>
        </w:rPr>
        <w:t>运营期环境保护措施</w:t>
      </w:r>
      <w:bookmarkEnd w:id="209"/>
    </w:p>
    <w:p w:rsidR="00BC07F0" w:rsidRDefault="00073EFB" w:rsidP="00C55F5E">
      <w:pPr>
        <w:pStyle w:val="3"/>
        <w:ind w:firstLine="482"/>
      </w:pPr>
      <w:bookmarkStart w:id="210" w:name="8.1.1_厂内运行管理措施"/>
      <w:bookmarkEnd w:id="210"/>
      <w:r>
        <w:rPr>
          <w:rFonts w:hint="eastAsia"/>
        </w:rPr>
        <w:t>6.2.1</w:t>
      </w:r>
      <w:r>
        <w:rPr>
          <w:rFonts w:hint="eastAsia"/>
        </w:rPr>
        <w:t>厂内运行管理措施</w:t>
      </w:r>
    </w:p>
    <w:p w:rsidR="00BC07F0" w:rsidRDefault="00073EFB" w:rsidP="00C55F5E">
      <w:pPr>
        <w:ind w:firstLine="480"/>
      </w:pPr>
      <w:r>
        <w:t>为保证拟建项目出水水质稳定达标排放，高效运转，减少运行费用，提高能源利用率，应加强对拟建项目内部的运行管理。</w:t>
      </w:r>
    </w:p>
    <w:p w:rsidR="00BC07F0" w:rsidRDefault="00073EFB" w:rsidP="00C55F5E">
      <w:pPr>
        <w:ind w:firstLine="480"/>
      </w:pPr>
      <w:r>
        <w:t>（</w:t>
      </w:r>
      <w:r>
        <w:t>1</w:t>
      </w:r>
      <w:r>
        <w:t>）</w:t>
      </w:r>
      <w:r>
        <w:t>拟建项目投入运行前，对操作人员进行专业化培训和考核，特别是对主要操作人员进行理论和实际操作的培训。组织专业技术人员提前进岗，参与污</w:t>
      </w:r>
      <w:r>
        <w:lastRenderedPageBreak/>
        <w:t>水处理厂施工、安装、调试和验收的全过程。</w:t>
      </w:r>
    </w:p>
    <w:p w:rsidR="00BC07F0" w:rsidRDefault="00073EFB" w:rsidP="00C55F5E">
      <w:pPr>
        <w:ind w:firstLine="480"/>
      </w:pPr>
      <w:r>
        <w:t>（</w:t>
      </w:r>
      <w:r>
        <w:t>2</w:t>
      </w:r>
      <w:r>
        <w:t>）</w:t>
      </w:r>
      <w:r>
        <w:t>污水处理厂的操作人员，需根据水质变化情况，及时改变运行状况，实现最佳运行</w:t>
      </w:r>
      <w:r>
        <w:t>条件，在确保污水达标排放前提下减少运转费用。</w:t>
      </w:r>
    </w:p>
    <w:p w:rsidR="00BC07F0" w:rsidRDefault="00073EFB" w:rsidP="00C55F5E">
      <w:pPr>
        <w:ind w:firstLine="480"/>
      </w:pPr>
      <w:r>
        <w:t>（</w:t>
      </w:r>
      <w:r>
        <w:t>3</w:t>
      </w:r>
      <w:r>
        <w:t>）</w:t>
      </w:r>
      <w:r>
        <w:t>建立先进的自动控制系统，同时加强自动化仪器仪表的维护管理。</w:t>
      </w:r>
    </w:p>
    <w:p w:rsidR="00BC07F0" w:rsidRDefault="00073EFB" w:rsidP="00C55F5E">
      <w:pPr>
        <w:ind w:firstLine="480"/>
      </w:pPr>
      <w:r>
        <w:t>（</w:t>
      </w:r>
      <w:r>
        <w:t>4</w:t>
      </w:r>
      <w:r>
        <w:t>）</w:t>
      </w:r>
      <w:r>
        <w:t>建立一个完整的管理机构，制订一套完善的管理制度。</w:t>
      </w:r>
    </w:p>
    <w:p w:rsidR="00BC07F0" w:rsidRDefault="00073EFB" w:rsidP="00C55F5E">
      <w:pPr>
        <w:pStyle w:val="3"/>
        <w:ind w:firstLine="482"/>
      </w:pPr>
      <w:bookmarkStart w:id="211" w:name="8.1.2_污水处理厂事故性排放污染控制对策与措施"/>
      <w:bookmarkEnd w:id="211"/>
      <w:r>
        <w:rPr>
          <w:rFonts w:hint="eastAsia"/>
        </w:rPr>
        <w:t>6.2.2</w:t>
      </w:r>
      <w:r>
        <w:rPr>
          <w:rFonts w:hint="eastAsia"/>
        </w:rPr>
        <w:t>污水处理厂事故性排放污染控制对策与措施</w:t>
      </w:r>
    </w:p>
    <w:p w:rsidR="00BC07F0" w:rsidRDefault="00073EFB" w:rsidP="00C55F5E">
      <w:pPr>
        <w:ind w:firstLine="480"/>
      </w:pPr>
      <w:r>
        <w:t>污水处理厂事故排放主要有三种情况，一是工艺发生故障或其它事故，未能达到设计处理效果，处理后的废水不能达到排放标准；二是由于停电等重大原因造成污水处理厂全面停止运行，废水全部直接排放；三是违反操作规程，未达到处理效果。针对以上三种情况制定污水处理厂事故排污的防治措施与对策。</w:t>
      </w:r>
    </w:p>
    <w:p w:rsidR="00BC07F0" w:rsidRDefault="00073EFB" w:rsidP="00C55F5E">
      <w:pPr>
        <w:ind w:firstLine="480"/>
      </w:pPr>
      <w:r>
        <w:t>严格规范化操作</w:t>
      </w:r>
      <w:r>
        <w:rPr>
          <w:rFonts w:hint="eastAsia"/>
        </w:rPr>
        <w:t>，</w:t>
      </w:r>
      <w:r>
        <w:t>污水处理厂不能达标排放的机率较小，只要加强管理完全可以防止。为此，污水处理厂要制定污水处理厂装置操作管理规程、岗位责任制、奖惩条例等规章制度，对污水处理厂实现规范化、制度化管理，操作人员必须持证上岗，严格执行操作管理规定，最大限度控制由于操作失误因素造成的废水事故性排放发生机率。</w:t>
      </w:r>
    </w:p>
    <w:p w:rsidR="00BC07F0" w:rsidRDefault="00073EFB" w:rsidP="00C55F5E">
      <w:pPr>
        <w:ind w:firstLine="480"/>
      </w:pPr>
      <w:r>
        <w:t>建立必要的预备系统或设备</w:t>
      </w:r>
      <w:r>
        <w:rPr>
          <w:rFonts w:hint="eastAsia"/>
        </w:rPr>
        <w:t>，</w:t>
      </w:r>
      <w:r>
        <w:t>污水处理厂内应设超越管线，以便在事故发生时，使污水能超越一部分或全部构筑物，进入下一级构筑物或事故溢流。污水处理厂主要动力设备，如水泵、污泥泵等应设</w:t>
      </w:r>
      <w:r>
        <w:t>1-2</w:t>
      </w:r>
      <w:r>
        <w:t>台备用设备，以备设备出现事故时，及时更换。采用双电</w:t>
      </w:r>
      <w:r>
        <w:t>源供电，以便尽可能减少停电事故的发生。为了使污水能在处理构筑物之间通畅流动，必须确定各处理构筑物的高程，特别是两个以上并联运行的构筑物，应考虑到某一构筑物发生故障时，其余构筑物须负担全部流量的情况。因此高程的确定必须留有充分的余地，以防止水头不够而发生涌水现象，影响构筑物正常运行。污水处理厂在设计时，厂内应设雨水管，及时将雨水排入雨水处理系统，以免发生积水事故及污染环境。出水管渠高程，需不受水体洪水的顶托，并能自流通畅排水。</w:t>
      </w:r>
    </w:p>
    <w:p w:rsidR="00BC07F0" w:rsidRDefault="00073EFB" w:rsidP="00C55F5E">
      <w:pPr>
        <w:ind w:firstLine="480"/>
      </w:pPr>
      <w:r>
        <w:t>制定事故及时处理计划</w:t>
      </w:r>
      <w:r>
        <w:rPr>
          <w:rFonts w:hint="eastAsia"/>
        </w:rPr>
        <w:t>，</w:t>
      </w:r>
      <w:r>
        <w:t>制定事故处理应急计划，建立事故处理机构，落实各部分、各岗位、</w:t>
      </w:r>
      <w:r>
        <w:t>各操作管理人员的责任，一旦发生事故，及时采取处理措施并通知环保、市政、水利管理部门在最短时间内排除故障。</w:t>
      </w:r>
    </w:p>
    <w:p w:rsidR="00BC07F0" w:rsidRDefault="00073EFB" w:rsidP="00C55F5E">
      <w:pPr>
        <w:pStyle w:val="3"/>
        <w:ind w:firstLine="482"/>
      </w:pPr>
      <w:bookmarkStart w:id="212" w:name="8.1.3_管网维护措施_"/>
      <w:bookmarkEnd w:id="212"/>
      <w:r>
        <w:rPr>
          <w:rFonts w:hint="eastAsia"/>
        </w:rPr>
        <w:t>6.2.3</w:t>
      </w:r>
      <w:r>
        <w:rPr>
          <w:rFonts w:hint="eastAsia"/>
        </w:rPr>
        <w:t>管网维护措施</w:t>
      </w:r>
    </w:p>
    <w:p w:rsidR="00BC07F0" w:rsidRDefault="00073EFB" w:rsidP="00C55F5E">
      <w:pPr>
        <w:ind w:firstLine="480"/>
      </w:pPr>
      <w:r>
        <w:t>为保证污水处理工程的稳定运行，应加强沿线日常巡查、做好管网的维护和</w:t>
      </w:r>
      <w:r>
        <w:lastRenderedPageBreak/>
        <w:t>管理工作，防止泥砂沉积堵塞影响管道过水能力</w:t>
      </w:r>
      <w:r>
        <w:rPr>
          <w:rFonts w:hint="eastAsia"/>
        </w:rPr>
        <w:t>。</w:t>
      </w:r>
    </w:p>
    <w:p w:rsidR="00BC07F0" w:rsidRDefault="00073EFB">
      <w:pPr>
        <w:pStyle w:val="1"/>
      </w:pPr>
      <w:bookmarkStart w:id="213" w:name="_bookmark39"/>
      <w:bookmarkStart w:id="214" w:name="8.2_项目的环境效益分析"/>
      <w:bookmarkEnd w:id="213"/>
      <w:bookmarkEnd w:id="214"/>
      <w:r>
        <w:br w:type="page"/>
      </w:r>
      <w:bookmarkStart w:id="215" w:name="_Toc21652"/>
      <w:bookmarkStart w:id="216" w:name="_Toc4122"/>
      <w:bookmarkStart w:id="217" w:name="_Toc3918"/>
      <w:r>
        <w:rPr>
          <w:rFonts w:hint="eastAsia"/>
        </w:rPr>
        <w:lastRenderedPageBreak/>
        <w:t>7</w:t>
      </w:r>
      <w:r>
        <w:rPr>
          <w:rFonts w:hint="eastAsia"/>
        </w:rPr>
        <w:t>评价结论</w:t>
      </w:r>
      <w:bookmarkEnd w:id="215"/>
      <w:bookmarkEnd w:id="216"/>
      <w:bookmarkEnd w:id="217"/>
    </w:p>
    <w:p w:rsidR="00BC07F0" w:rsidRDefault="00073EFB" w:rsidP="00C55F5E">
      <w:pPr>
        <w:pStyle w:val="2"/>
        <w:ind w:firstLine="482"/>
      </w:pPr>
      <w:bookmarkStart w:id="218" w:name="_Toc17552"/>
      <w:bookmarkStart w:id="219" w:name="_Toc26391"/>
      <w:r>
        <w:rPr>
          <w:rFonts w:hint="eastAsia"/>
        </w:rPr>
        <w:t>7.</w:t>
      </w:r>
      <w:r>
        <w:t>1</w:t>
      </w:r>
      <w:r>
        <w:t>项目概况</w:t>
      </w:r>
      <w:bookmarkEnd w:id="218"/>
      <w:bookmarkEnd w:id="219"/>
    </w:p>
    <w:p w:rsidR="00BC07F0" w:rsidRDefault="00073EFB" w:rsidP="00C55F5E">
      <w:pPr>
        <w:ind w:firstLine="480"/>
      </w:pPr>
      <w:r>
        <w:rPr>
          <w:rFonts w:hint="eastAsia"/>
        </w:rPr>
        <w:t>铜桥港湿地公园主要是表面流人工湿地，总用地面积</w:t>
      </w:r>
      <w:r>
        <w:rPr>
          <w:rFonts w:hint="eastAsia"/>
        </w:rPr>
        <w:t>135385.44m2</w:t>
      </w:r>
      <w:r>
        <w:rPr>
          <w:rFonts w:hint="eastAsia"/>
        </w:rPr>
        <w:t>，其中水体用地面积</w:t>
      </w:r>
      <w:r>
        <w:rPr>
          <w:rFonts w:hint="eastAsia"/>
        </w:rPr>
        <w:t>56661.26m2</w:t>
      </w:r>
      <w:r>
        <w:rPr>
          <w:rFonts w:hint="eastAsia"/>
        </w:rPr>
        <w:t>，陆地用地面积</w:t>
      </w:r>
      <w:r>
        <w:rPr>
          <w:rFonts w:hint="eastAsia"/>
        </w:rPr>
        <w:t>78724.18m2</w:t>
      </w:r>
      <w:r>
        <w:rPr>
          <w:rFonts w:hint="eastAsia"/>
        </w:rPr>
        <w:t>，主要功能是深度净化衡阳市铜桥港污水处理厂尾水和中水再利用，洪水期污水厂尾水不排入湿地，工程不新建排</w:t>
      </w:r>
      <w:r>
        <w:rPr>
          <w:rFonts w:hint="eastAsia"/>
        </w:rPr>
        <w:t>污口</w:t>
      </w:r>
      <w:r>
        <w:t>。</w:t>
      </w:r>
    </w:p>
    <w:p w:rsidR="00BC07F0" w:rsidRDefault="00073EFB" w:rsidP="00C55F5E">
      <w:pPr>
        <w:pStyle w:val="2"/>
        <w:ind w:firstLine="482"/>
      </w:pPr>
      <w:bookmarkStart w:id="220" w:name="_Toc12807"/>
      <w:bookmarkStart w:id="221" w:name="_Toc217"/>
      <w:r>
        <w:rPr>
          <w:rFonts w:hint="eastAsia"/>
        </w:rPr>
        <w:t>7.2</w:t>
      </w:r>
      <w:r>
        <w:t>环境质量评价现状</w:t>
      </w:r>
      <w:bookmarkEnd w:id="220"/>
      <w:bookmarkEnd w:id="221"/>
    </w:p>
    <w:p w:rsidR="00BC07F0" w:rsidRDefault="00073EFB" w:rsidP="00C55F5E">
      <w:pPr>
        <w:ind w:firstLine="480"/>
      </w:pPr>
      <w:r>
        <w:t>评价河段</w:t>
      </w:r>
      <w:r>
        <w:rPr>
          <w:rFonts w:hint="eastAsia"/>
        </w:rPr>
        <w:t>湘江段</w:t>
      </w:r>
      <w:r>
        <w:t>地表水水质达到《地表水环境质量标准》（</w:t>
      </w:r>
      <w:r>
        <w:t>GB3838-2002</w:t>
      </w:r>
      <w:r>
        <w:t>）中</w:t>
      </w:r>
      <w:r>
        <w:rPr>
          <w:rFonts w:hint="eastAsia"/>
        </w:rPr>
        <w:t>工业用水</w:t>
      </w:r>
      <w:r>
        <w:rPr>
          <w:rFonts w:hint="eastAsia"/>
        </w:rPr>
        <w:t>Ⅲ</w:t>
      </w:r>
      <w:r>
        <w:t>类标准。</w:t>
      </w:r>
    </w:p>
    <w:p w:rsidR="00BC07F0" w:rsidRDefault="00073EFB" w:rsidP="00C55F5E">
      <w:pPr>
        <w:pStyle w:val="2"/>
        <w:ind w:firstLine="482"/>
      </w:pPr>
      <w:bookmarkStart w:id="222" w:name="_Toc22777"/>
      <w:bookmarkStart w:id="223" w:name="_Toc17980"/>
      <w:r>
        <w:rPr>
          <w:rFonts w:hint="eastAsia"/>
        </w:rPr>
        <w:t>7.3</w:t>
      </w:r>
      <w:r>
        <w:rPr>
          <w:rFonts w:hint="eastAsia"/>
        </w:rPr>
        <w:t>水</w:t>
      </w:r>
      <w:r>
        <w:t>影响分析结论</w:t>
      </w:r>
      <w:bookmarkEnd w:id="222"/>
      <w:bookmarkEnd w:id="223"/>
    </w:p>
    <w:p w:rsidR="00BC07F0" w:rsidRDefault="00073EFB" w:rsidP="00C55F5E">
      <w:pPr>
        <w:ind w:firstLine="480"/>
      </w:pPr>
      <w:r>
        <w:t>经预测可知，污水处理厂正常排放情况下，尾水排入基本不会形成高污染带，排污口不会对</w:t>
      </w:r>
      <w:r>
        <w:rPr>
          <w:rFonts w:hint="eastAsia"/>
        </w:rPr>
        <w:t>湘江</w:t>
      </w:r>
      <w:r>
        <w:t>水质产生不利影响影响；不会对</w:t>
      </w:r>
      <w:r>
        <w:rPr>
          <w:rFonts w:hint="eastAsia"/>
        </w:rPr>
        <w:t>湘江</w:t>
      </w:r>
      <w:r>
        <w:t>水生生物的生存环境及生态环境造成明显的改变，也不会造成明显不利影响，地表水环境将有较大改善。事故排放时，各污染物浓度将超（</w:t>
      </w:r>
      <w:r>
        <w:t>GB3838-2002</w:t>
      </w:r>
      <w:r>
        <w:t>）</w:t>
      </w:r>
      <w:r>
        <w:t>III</w:t>
      </w:r>
      <w:r>
        <w:t>类标准，对下游水质及景观产生一定不利影响。因此，在污水处理厂营运期间应采取严格的工作制度及管</w:t>
      </w:r>
      <w:r>
        <w:t>理措施，严防事故排污。本项目建成后将改变</w:t>
      </w:r>
      <w:r>
        <w:rPr>
          <w:rFonts w:hint="eastAsia"/>
        </w:rPr>
        <w:t>区域</w:t>
      </w:r>
      <w:r>
        <w:t>污水未经处理直接排放至周边水体的现状，使其由分散排放变为集中收集，并经污水处理站处理后达标放。因此，本项目建成后对水环境的影响以有利影响为主，将能够大大削减片区排水的污染物排放，有利于保护周边水体与湘江的水质，环保效益突出。</w:t>
      </w:r>
    </w:p>
    <w:p w:rsidR="00BC07F0" w:rsidRDefault="00073EFB" w:rsidP="00C55F5E">
      <w:pPr>
        <w:pStyle w:val="2"/>
        <w:ind w:firstLine="482"/>
      </w:pPr>
      <w:bookmarkStart w:id="224" w:name="_Toc24398"/>
      <w:bookmarkStart w:id="225" w:name="_Toc7178"/>
      <w:r>
        <w:rPr>
          <w:rFonts w:hint="eastAsia"/>
        </w:rPr>
        <w:t>7.4</w:t>
      </w:r>
      <w:r>
        <w:rPr>
          <w:rFonts w:hint="eastAsia"/>
        </w:rPr>
        <w:t>水污染防治措施</w:t>
      </w:r>
      <w:bookmarkEnd w:id="224"/>
      <w:bookmarkEnd w:id="225"/>
    </w:p>
    <w:p w:rsidR="00BC07F0" w:rsidRDefault="00073EFB" w:rsidP="00C55F5E">
      <w:pPr>
        <w:ind w:firstLine="480"/>
      </w:pPr>
      <w:r>
        <w:t>本项目出水水质达到《城镇污水处理厂污染物排放标准》（</w:t>
      </w:r>
      <w:r>
        <w:t>GB18918-2002</w:t>
      </w:r>
      <w:r>
        <w:t>）</w:t>
      </w:r>
      <w:r>
        <w:rPr>
          <w:rFonts w:hint="eastAsia"/>
        </w:rPr>
        <w:t>一级</w:t>
      </w:r>
      <w:r>
        <w:rPr>
          <w:rFonts w:hint="eastAsia"/>
        </w:rPr>
        <w:t>A</w:t>
      </w:r>
      <w:r>
        <w:t>标准后排放至</w:t>
      </w:r>
      <w:r>
        <w:rPr>
          <w:rFonts w:hint="eastAsia"/>
        </w:rPr>
        <w:t>湘江</w:t>
      </w:r>
      <w:r>
        <w:t>，运营期应做好事故应急预案以及事故池等防范措施，杜绝污水事故排放的发生。</w:t>
      </w:r>
    </w:p>
    <w:p w:rsidR="00BC07F0" w:rsidRDefault="00073EFB" w:rsidP="00C55F5E">
      <w:pPr>
        <w:pStyle w:val="2"/>
        <w:ind w:firstLine="482"/>
      </w:pPr>
      <w:bookmarkStart w:id="226" w:name="9.1.5_综合结论"/>
      <w:bookmarkStart w:id="227" w:name="_Toc10921"/>
      <w:bookmarkStart w:id="228" w:name="_Toc25474"/>
      <w:bookmarkEnd w:id="226"/>
      <w:r>
        <w:rPr>
          <w:rFonts w:hint="eastAsia"/>
        </w:rPr>
        <w:t>7.5</w:t>
      </w:r>
      <w:r>
        <w:rPr>
          <w:rFonts w:hint="eastAsia"/>
        </w:rPr>
        <w:t>综合结论</w:t>
      </w:r>
      <w:bookmarkEnd w:id="227"/>
      <w:bookmarkEnd w:id="228"/>
    </w:p>
    <w:p w:rsidR="00BC07F0" w:rsidRDefault="00073EFB" w:rsidP="00C55F5E">
      <w:pPr>
        <w:ind w:firstLine="480"/>
      </w:pPr>
      <w:r>
        <w:rPr>
          <w:rFonts w:hint="eastAsia"/>
        </w:rPr>
        <w:t>衡阳市湘江南岸水环境水安全治理工程中的</w:t>
      </w:r>
      <w:r>
        <w:rPr>
          <w:rFonts w:hint="eastAsia"/>
        </w:rPr>
        <w:t>铜桥港湿地公园</w:t>
      </w:r>
      <w:r>
        <w:rPr>
          <w:rFonts w:hint="eastAsia"/>
        </w:rPr>
        <w:t>工程</w:t>
      </w:r>
      <w:r>
        <w:t>是一项治理环境污染的市政基础设施工程，也是一项民生工程，项目建设符合国家及</w:t>
      </w:r>
      <w:r>
        <w:rPr>
          <w:rFonts w:hint="eastAsia"/>
        </w:rPr>
        <w:t>湖南</w:t>
      </w:r>
      <w:r>
        <w:t>省地方产业政策，用地符合规划要求，选址、污水处理工艺、环境保护措施等合理可行，运营期采取各项污染治理措施，确保各项污染物达标排放的前提下，项目对环境的影响较小，对当地及区域的地表水环境质量具有整体改善作用。因此，</w:t>
      </w:r>
      <w:r>
        <w:lastRenderedPageBreak/>
        <w:t>从环境保护的角度分析，项目的建设是可行的。</w:t>
      </w:r>
    </w:p>
    <w:p w:rsidR="00BC07F0" w:rsidRDefault="00073EFB" w:rsidP="00C55F5E">
      <w:pPr>
        <w:pStyle w:val="2"/>
        <w:ind w:firstLine="482"/>
      </w:pPr>
      <w:bookmarkStart w:id="229" w:name="9.2_建议"/>
      <w:bookmarkStart w:id="230" w:name="_bookmark42"/>
      <w:bookmarkStart w:id="231" w:name="_Toc14147"/>
      <w:bookmarkStart w:id="232" w:name="_Toc2274"/>
      <w:bookmarkEnd w:id="229"/>
      <w:bookmarkEnd w:id="230"/>
      <w:r>
        <w:rPr>
          <w:rFonts w:hint="eastAsia"/>
        </w:rPr>
        <w:t>7.6</w:t>
      </w:r>
      <w:r>
        <w:rPr>
          <w:rFonts w:hint="eastAsia"/>
        </w:rPr>
        <w:t>建议</w:t>
      </w:r>
      <w:bookmarkEnd w:id="231"/>
      <w:bookmarkEnd w:id="232"/>
    </w:p>
    <w:p w:rsidR="00BC07F0" w:rsidRDefault="00073EFB" w:rsidP="00C55F5E">
      <w:pPr>
        <w:ind w:firstLine="480"/>
      </w:pPr>
      <w:r>
        <w:rPr>
          <w:rFonts w:hint="eastAsia"/>
        </w:rPr>
        <w:t>（</w:t>
      </w:r>
      <w:r>
        <w:rPr>
          <w:rFonts w:hint="eastAsia"/>
        </w:rPr>
        <w:t>1</w:t>
      </w:r>
      <w:r>
        <w:rPr>
          <w:rFonts w:hint="eastAsia"/>
        </w:rPr>
        <w:t>）</w:t>
      </w:r>
      <w:r>
        <w:t>加强环境管理，强化环保意识，建立必要的管理制度。</w:t>
      </w:r>
    </w:p>
    <w:p w:rsidR="00BC07F0" w:rsidRDefault="00073EFB" w:rsidP="00C55F5E">
      <w:pPr>
        <w:ind w:firstLine="480"/>
      </w:pPr>
      <w:r>
        <w:rPr>
          <w:rFonts w:hint="eastAsia"/>
        </w:rPr>
        <w:t>（</w:t>
      </w:r>
      <w:r>
        <w:rPr>
          <w:rFonts w:hint="eastAsia"/>
        </w:rPr>
        <w:t>2</w:t>
      </w:r>
      <w:r>
        <w:rPr>
          <w:rFonts w:hint="eastAsia"/>
        </w:rPr>
        <w:t>）</w:t>
      </w:r>
      <w:r>
        <w:t>严格在岗人员操作管理，操作人员须通过培训和定期考</w:t>
      </w:r>
      <w:r>
        <w:t>核，方可上岗。</w:t>
      </w:r>
    </w:p>
    <w:p w:rsidR="00BC07F0" w:rsidRDefault="00073EFB" w:rsidP="00C55F5E">
      <w:pPr>
        <w:ind w:firstLine="480"/>
      </w:pPr>
      <w:r>
        <w:rPr>
          <w:rFonts w:hint="eastAsia"/>
        </w:rPr>
        <w:t>（</w:t>
      </w:r>
      <w:r>
        <w:rPr>
          <w:rFonts w:hint="eastAsia"/>
        </w:rPr>
        <w:t>3</w:t>
      </w:r>
      <w:r>
        <w:rPr>
          <w:rFonts w:hint="eastAsia"/>
        </w:rPr>
        <w:t>）</w:t>
      </w:r>
      <w:r>
        <w:t>加强设备、管道、各项治污措施的定期检修和维护工作，避免跑、冒、滴、漏。</w:t>
      </w:r>
    </w:p>
    <w:p w:rsidR="00BC07F0" w:rsidRDefault="00BC07F0" w:rsidP="00C55F5E">
      <w:pPr>
        <w:ind w:firstLine="480"/>
        <w:rPr>
          <w:u w:val="single"/>
        </w:rPr>
      </w:pPr>
    </w:p>
    <w:p w:rsidR="00BC07F0" w:rsidRDefault="00BC07F0" w:rsidP="00BC07F0">
      <w:pPr>
        <w:ind w:firstLine="480"/>
      </w:pPr>
    </w:p>
    <w:sectPr w:rsidR="00BC07F0" w:rsidSect="00BC07F0">
      <w:pgSz w:w="11906" w:h="16838"/>
      <w:pgMar w:top="1440" w:right="1800" w:bottom="1440" w:left="1800" w:header="567" w:footer="567"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EFB" w:rsidRDefault="00073EFB">
      <w:pPr>
        <w:spacing w:line="240" w:lineRule="auto"/>
        <w:ind w:firstLine="480"/>
      </w:pPr>
      <w:r>
        <w:separator/>
      </w:r>
    </w:p>
  </w:endnote>
  <w:endnote w:type="continuationSeparator" w:id="0">
    <w:p w:rsidR="00073EFB" w:rsidRDefault="00073EFB">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黑体"/>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F5E" w:rsidRDefault="00C55F5E" w:rsidP="00C55F5E">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F0" w:rsidRDefault="00BC07F0" w:rsidP="00C55F5E">
    <w:pPr>
      <w:ind w:firstLine="48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F5E" w:rsidRDefault="00C55F5E" w:rsidP="00C55F5E">
    <w:pPr>
      <w:pStyle w:val="a4"/>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F0" w:rsidRDefault="00BC07F0" w:rsidP="00C55F5E">
    <w:pPr>
      <w:ind w:firstLine="480"/>
    </w:pPr>
    <w: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4U2Rn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4U2RneAgAAJgYAAA4AAAAAAAAAAQAgAAAAHwEAAGRycy9lMm9Eb2MueG1sUEsF&#10;BgAAAAAGAAYAWQEAAG8GAAAAAA==&#10;" filled="f" stroked="f" strokeweight=".5pt">
          <v:textbox style="mso-fit-shape-to-text:t" inset="0,0,0,0">
            <w:txbxContent>
              <w:p w:rsidR="00BC07F0" w:rsidRDefault="00BC07F0" w:rsidP="00C55F5E">
                <w:pPr>
                  <w:pStyle w:val="a4"/>
                  <w:ind w:firstLine="360"/>
                </w:pPr>
                <w:r>
                  <w:fldChar w:fldCharType="begin"/>
                </w:r>
                <w:r w:rsidR="00073EFB">
                  <w:instrText xml:space="preserve"> PAGE  \* MERGEFORMAT </w:instrText>
                </w:r>
                <w:r>
                  <w:fldChar w:fldCharType="separate"/>
                </w:r>
                <w:r w:rsidR="00C55F5E">
                  <w:rPr>
                    <w:noProof/>
                  </w:rPr>
                  <w:t>2</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F0" w:rsidRDefault="00BC07F0" w:rsidP="00C55F5E">
    <w:pPr>
      <w:ind w:firstLine="480"/>
    </w:pPr>
    <w:r>
      <w:pict>
        <v:shapetype id="_x0000_t202" coordsize="21600,21600" o:spt="202" path="m,l,21600r21600,l21600,xe">
          <v:stroke joinstyle="miter"/>
          <v:path gradientshapeok="t" o:connecttype="rect"/>
        </v:shapetype>
        <v:shape id="_x0000_s1031"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gr57PdAgAAJg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Cvns90CAAAmBgAADgAAAAAAAAABACAAAAAfAQAAZHJzL2Uyb0RvYy54bWxQSwUG&#10;AAAAAAYABgBZAQAAbgYAAAAA&#10;" filled="f" stroked="f" strokeweight=".5pt">
          <v:textbox style="mso-fit-shape-to-text:t" inset="0,0,0,0">
            <w:txbxContent>
              <w:p w:rsidR="00BC07F0" w:rsidRDefault="00BC07F0" w:rsidP="00C55F5E">
                <w:pPr>
                  <w:pStyle w:val="a4"/>
                  <w:ind w:firstLine="360"/>
                </w:pPr>
                <w:r>
                  <w:fldChar w:fldCharType="begin"/>
                </w:r>
                <w:r w:rsidR="00073EFB">
                  <w:instrText xml:space="preserve"> PAGE  \* MERGEFORMAT </w:instrText>
                </w:r>
                <w:r>
                  <w:fldChar w:fldCharType="separate"/>
                </w:r>
                <w:r w:rsidR="00DC6973">
                  <w:rPr>
                    <w:noProof/>
                  </w:rPr>
                  <w:t>11</w:t>
                </w:r>
                <w: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F0" w:rsidRDefault="00BC07F0" w:rsidP="00C55F5E">
    <w:pPr>
      <w:tabs>
        <w:tab w:val="center" w:pos="4153"/>
        <w:tab w:val="right" w:pos="8306"/>
      </w:tabs>
      <w:ind w:right="360" w:firstLine="480"/>
    </w:pPr>
    <w:r>
      <w:pict>
        <v:shapetype id="_x0000_t202" coordsize="21600,21600" o:spt="202" path="m,l,21600r21600,l21600,xe">
          <v:stroke joinstyle="miter"/>
          <v:path gradientshapeok="t" o:connecttype="rect"/>
        </v:shapetype>
        <v:shape id="_x0000_s1030"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T6jzeAgAAJg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cYCdJC&#10;xe+/fb3//vP+xxcEeyDQVpkJxN0qiLS7S7mDtun3DWw63rtKt+4fGCHwg7x3B3nZziLqDqWDNI3A&#10;RcHXLwA/PB5X2thXTLbIGRnWUD8vK9ksjO1C+xB3m5BFw7mvIRdom+HR8DTyBw4eAOfCxUIWgLG3&#10;utp8Gkfjq/QqTYJkMLoKkijPg1kxT4JREZ+d5sN8Ps/jzw4vTiZ1U5ZMuPv6PomT59Vh3ytdhQ+d&#10;YiRvSgfnUjJ6tZxzjTYE+rTwP6cwJP8gLHychncDqyeU4kESXQ7GQTFKz4KkSE6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VT6jzeAgAAJgYAAA4AAAAAAAAAAQAgAAAAHwEAAGRycy9lMm9Eb2MueG1sUEsF&#10;BgAAAAAGAAYAWQEAAG8GAAAAAA==&#10;" filled="f" stroked="f" strokeweight=".5pt">
          <v:textbox style="mso-fit-shape-to-text:t" inset="0,0,0,0">
            <w:txbxContent>
              <w:p w:rsidR="00BC07F0" w:rsidRDefault="00BC07F0" w:rsidP="00C55F5E">
                <w:pPr>
                  <w:pStyle w:val="a4"/>
                  <w:ind w:firstLine="360"/>
                </w:pPr>
                <w:r>
                  <w:fldChar w:fldCharType="begin"/>
                </w:r>
                <w:r w:rsidR="00073EFB">
                  <w:instrText xml:space="preserve"> PAGE  \* MERGEFORMAT </w:instrText>
                </w:r>
                <w:r>
                  <w:fldChar w:fldCharType="separate"/>
                </w:r>
                <w:r w:rsidR="00947D5B">
                  <w:rPr>
                    <w:noProof/>
                  </w:rPr>
                  <w:t>83</w:t>
                </w:r>
                <w: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F0" w:rsidRDefault="00BC07F0" w:rsidP="00C55F5E">
    <w:pPr>
      <w:kinsoku w:val="0"/>
      <w:overflowPunct w:val="0"/>
      <w:spacing w:line="14" w:lineRule="auto"/>
      <w:ind w:firstLine="400"/>
      <w:rPr>
        <w:sz w:val="20"/>
      </w:rPr>
    </w:pPr>
    <w:r>
      <w:rPr>
        <w:sz w:val="20"/>
      </w:rPr>
      <w:pict>
        <v:shapetype id="_x0000_t202" coordsize="21600,21600" o:spt="202" path="m,l,21600r21600,l21600,xe">
          <v:stroke joinstyle="miter"/>
          <v:path gradientshapeok="t" o:connecttype="rect"/>
        </v:shapetype>
        <v:shape id="_x0000_s1029"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jstz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XjstzeAgAAJgYAAA4AAAAAAAAAAQAgAAAAHwEAAGRycy9lMm9Eb2MueG1sUEsF&#10;BgAAAAAGAAYAWQEAAG8GAAAAAA==&#10;" filled="f" stroked="f" strokeweight=".5pt">
          <v:textbox style="mso-fit-shape-to-text:t" inset="0,0,0,0">
            <w:txbxContent>
              <w:p w:rsidR="00BC07F0" w:rsidRDefault="00BC07F0" w:rsidP="00C55F5E">
                <w:pPr>
                  <w:pStyle w:val="a4"/>
                  <w:ind w:firstLine="360"/>
                </w:pPr>
                <w:r>
                  <w:fldChar w:fldCharType="begin"/>
                </w:r>
                <w:r w:rsidR="00073EFB">
                  <w:instrText xml:space="preserve"> PAGE  \* MERGEFORMAT </w:instrText>
                </w:r>
                <w:r>
                  <w:fldChar w:fldCharType="separate"/>
                </w:r>
                <w:r w:rsidR="00947D5B">
                  <w:rPr>
                    <w:noProof/>
                  </w:rPr>
                  <w:t>113</w:t>
                </w:r>
                <w: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F0" w:rsidRDefault="00BC07F0" w:rsidP="00C55F5E">
    <w:pPr>
      <w:tabs>
        <w:tab w:val="center" w:pos="4153"/>
        <w:tab w:val="right" w:pos="8306"/>
      </w:tabs>
      <w:ind w:right="360" w:firstLine="480"/>
    </w:pPr>
    <w:r>
      <w:pict>
        <v:shapetype id="_x0000_t202" coordsize="21600,21600" o:spt="202" path="m,l,21600r21600,l21600,xe">
          <v:stroke joinstyle="miter"/>
          <v:path gradientshapeok="t" o:connecttype="rect"/>
        </v:shapetype>
        <v:shape id="_x0000_s1028"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cjHb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nw4xEqSF&#10;it9/+3r//ef9jy8I9kCgrTITiLtVEGl3l3IHbdPvG9h0vHeVbt0/MELgB3nvDvKynUXUHUoHaRqB&#10;i4KvXwB+eDyutLGvmGyRMzKsoX5eVrJZGNuF9iHuNiGLhnNfQy7QNsOj02HkDxw8AM6Fi4UsAGNv&#10;dbX5NI7GV+lVmgTJYHQVJFGeB7NingSjIj4b5qf5fJ7Hnx1enEzqpiyZcPf1fRInz6vDvle6Ch86&#10;xUjelA7OpWT0ajnnGm0I9Gnhf05hSP5BWPg4De8GVk8oxYMkuhyMg2KUngVJkQy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PcjHbeAgAAJgYAAA4AAAAAAAAAAQAgAAAAHwEAAGRycy9lMm9Eb2MueG1sUEsF&#10;BgAAAAAGAAYAWQEAAG8GAAAAAA==&#10;" filled="f" stroked="f" strokeweight=".5pt">
          <v:textbox style="mso-fit-shape-to-text:t" inset="0,0,0,0">
            <w:txbxContent>
              <w:p w:rsidR="00BC07F0" w:rsidRDefault="00BC07F0" w:rsidP="00C55F5E">
                <w:pPr>
                  <w:pStyle w:val="a4"/>
                  <w:ind w:firstLine="360"/>
                </w:pPr>
                <w:r>
                  <w:fldChar w:fldCharType="begin"/>
                </w:r>
                <w:r w:rsidR="00073EFB">
                  <w:instrText xml:space="preserve"> PAGE  \* MERGEFORMAT </w:instrText>
                </w:r>
                <w:r>
                  <w:fldChar w:fldCharType="separate"/>
                </w:r>
                <w:r w:rsidR="00947D5B">
                  <w:rPr>
                    <w:noProof/>
                  </w:rPr>
                  <w:t>114</w:t>
                </w:r>
                <w: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F0" w:rsidRDefault="00BC07F0" w:rsidP="00C55F5E">
    <w:pPr>
      <w:tabs>
        <w:tab w:val="center" w:pos="4153"/>
        <w:tab w:val="right" w:pos="8306"/>
      </w:tabs>
      <w:ind w:right="360" w:firstLine="480"/>
    </w:pPr>
    <w:r>
      <w:pict>
        <v:shapetype id="_x0000_t202" coordsize="21600,21600" o:spt="202" path="m,l,21600r21600,l21600,xe">
          <v:stroke joinstyle="miter"/>
          <v:path gradientshapeok="t" o:connecttype="rect"/>
        </v:shapetype>
        <v:shape id="_x0000_s1027" type="#_x0000_t202" style="position:absolute;left:0;text-align:left;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bv1P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4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ibv1PeAgAAJgYAAA4AAAAAAAAAAQAgAAAAHwEAAGRycy9lMm9Eb2MueG1sUEsF&#10;BgAAAAAGAAYAWQEAAG8GAAAAAA==&#10;" filled="f" stroked="f" strokeweight=".5pt">
          <v:textbox style="mso-fit-shape-to-text:t" inset="0,0,0,0">
            <w:txbxContent>
              <w:p w:rsidR="00BC07F0" w:rsidRDefault="00BC07F0" w:rsidP="00C55F5E">
                <w:pPr>
                  <w:pStyle w:val="a4"/>
                  <w:ind w:firstLine="360"/>
                </w:pPr>
                <w:r>
                  <w:fldChar w:fldCharType="begin"/>
                </w:r>
                <w:r w:rsidR="00073EFB">
                  <w:instrText xml:space="preserve"> PAGE  \* MERGEFORMAT </w:instrText>
                </w:r>
                <w:r>
                  <w:fldChar w:fldCharType="separate"/>
                </w:r>
                <w:r w:rsidR="00947D5B">
                  <w:rPr>
                    <w:noProof/>
                  </w:rPr>
                  <w:t>135</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EFB" w:rsidRDefault="00073EFB">
      <w:pPr>
        <w:ind w:firstLine="480"/>
      </w:pPr>
      <w:r>
        <w:separator/>
      </w:r>
    </w:p>
  </w:footnote>
  <w:footnote w:type="continuationSeparator" w:id="0">
    <w:p w:rsidR="00073EFB" w:rsidRDefault="00073EFB">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F5E" w:rsidRDefault="00C55F5E" w:rsidP="00C55F5E">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F5E" w:rsidRDefault="00C55F5E" w:rsidP="00C55F5E">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F5E" w:rsidRDefault="00C55F5E" w:rsidP="00C55F5E">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87EDA6"/>
    <w:multiLevelType w:val="singleLevel"/>
    <w:tmpl w:val="9987EDA6"/>
    <w:lvl w:ilvl="0">
      <w:start w:val="1"/>
      <w:numFmt w:val="decimal"/>
      <w:lvlText w:val="(%1)"/>
      <w:lvlJc w:val="left"/>
      <w:pPr>
        <w:ind w:left="425" w:hanging="425"/>
      </w:pPr>
      <w:rPr>
        <w:rFonts w:hint="default"/>
      </w:rPr>
    </w:lvl>
  </w:abstractNum>
  <w:abstractNum w:abstractNumId="1">
    <w:nsid w:val="A41E334B"/>
    <w:multiLevelType w:val="singleLevel"/>
    <w:tmpl w:val="A41E334B"/>
    <w:lvl w:ilvl="0">
      <w:start w:val="1"/>
      <w:numFmt w:val="decimalEnclosedCircleChinese"/>
      <w:suff w:val="nothing"/>
      <w:lvlText w:val="%1　"/>
      <w:lvlJc w:val="left"/>
      <w:pPr>
        <w:ind w:left="0" w:firstLine="400"/>
      </w:pPr>
      <w:rPr>
        <w:rFonts w:hint="eastAsia"/>
      </w:rPr>
    </w:lvl>
  </w:abstractNum>
  <w:abstractNum w:abstractNumId="2">
    <w:nsid w:val="AE905609"/>
    <w:multiLevelType w:val="singleLevel"/>
    <w:tmpl w:val="AE905609"/>
    <w:lvl w:ilvl="0">
      <w:start w:val="1"/>
      <w:numFmt w:val="decimalEnclosedCircleChinese"/>
      <w:suff w:val="nothing"/>
      <w:lvlText w:val="%1　"/>
      <w:lvlJc w:val="left"/>
      <w:pPr>
        <w:ind w:left="0" w:firstLine="400"/>
      </w:pPr>
      <w:rPr>
        <w:rFonts w:hint="eastAsia"/>
      </w:rPr>
    </w:lvl>
  </w:abstractNum>
  <w:abstractNum w:abstractNumId="3">
    <w:nsid w:val="C3A5FC9E"/>
    <w:multiLevelType w:val="singleLevel"/>
    <w:tmpl w:val="C3A5FC9E"/>
    <w:lvl w:ilvl="0">
      <w:start w:val="1"/>
      <w:numFmt w:val="decimal"/>
      <w:lvlText w:val="(%1)"/>
      <w:lvlJc w:val="left"/>
      <w:pPr>
        <w:ind w:left="425" w:hanging="425"/>
      </w:pPr>
      <w:rPr>
        <w:rFonts w:hint="default"/>
      </w:rPr>
    </w:lvl>
  </w:abstractNum>
  <w:abstractNum w:abstractNumId="4">
    <w:nsid w:val="49387740"/>
    <w:multiLevelType w:val="singleLevel"/>
    <w:tmpl w:val="49387740"/>
    <w:lvl w:ilvl="0">
      <w:start w:val="1"/>
      <w:numFmt w:val="decimal"/>
      <w:lvlText w:val="(%1)"/>
      <w:lvlJc w:val="left"/>
      <w:pPr>
        <w:ind w:left="425" w:hanging="425"/>
      </w:pPr>
      <w:rPr>
        <w:rFonts w:hint="default"/>
      </w:rPr>
    </w:lvl>
  </w:abstractNum>
  <w:abstractNum w:abstractNumId="5">
    <w:nsid w:val="54F3A9B1"/>
    <w:multiLevelType w:val="singleLevel"/>
    <w:tmpl w:val="54F3A9B1"/>
    <w:lvl w:ilvl="0">
      <w:start w:val="1"/>
      <w:numFmt w:val="decimal"/>
      <w:lvlText w:val="(%1)"/>
      <w:lvlJc w:val="left"/>
      <w:pPr>
        <w:ind w:left="425" w:hanging="425"/>
      </w:pPr>
      <w:rPr>
        <w:rFonts w:hint="default"/>
      </w:rPr>
    </w:lvl>
  </w:abstractNum>
  <w:abstractNum w:abstractNumId="6">
    <w:nsid w:val="5616783B"/>
    <w:multiLevelType w:val="singleLevel"/>
    <w:tmpl w:val="5616783B"/>
    <w:lvl w:ilvl="0">
      <w:start w:val="1"/>
      <w:numFmt w:val="decimalEnclosedCircleChinese"/>
      <w:suff w:val="nothing"/>
      <w:lvlText w:val="%1　"/>
      <w:lvlJc w:val="left"/>
      <w:pPr>
        <w:ind w:left="0" w:firstLine="400"/>
      </w:pPr>
      <w:rPr>
        <w:rFonts w:hint="eastAsia"/>
      </w:rPr>
    </w:lvl>
  </w:abstractNum>
  <w:abstractNum w:abstractNumId="7">
    <w:nsid w:val="579A7421"/>
    <w:multiLevelType w:val="singleLevel"/>
    <w:tmpl w:val="579A7421"/>
    <w:lvl w:ilvl="0">
      <w:start w:val="1"/>
      <w:numFmt w:val="decimal"/>
      <w:lvlText w:val="(%1)"/>
      <w:lvlJc w:val="left"/>
      <w:pPr>
        <w:ind w:left="425" w:hanging="425"/>
      </w:pPr>
      <w:rPr>
        <w:rFonts w:hint="default"/>
      </w:rPr>
    </w:lvl>
  </w:abstractNum>
  <w:abstractNum w:abstractNumId="8">
    <w:nsid w:val="5D92B9C2"/>
    <w:multiLevelType w:val="singleLevel"/>
    <w:tmpl w:val="5D92B9C2"/>
    <w:lvl w:ilvl="0">
      <w:start w:val="1"/>
      <w:numFmt w:val="decimal"/>
      <w:lvlText w:val="(%1)"/>
      <w:lvlJc w:val="left"/>
      <w:pPr>
        <w:ind w:left="425" w:hanging="425"/>
      </w:pPr>
      <w:rPr>
        <w:rFonts w:hint="default"/>
      </w:rPr>
    </w:lvl>
  </w:abstractNum>
  <w:abstractNum w:abstractNumId="9">
    <w:nsid w:val="62F23E7C"/>
    <w:multiLevelType w:val="singleLevel"/>
    <w:tmpl w:val="62F23E7C"/>
    <w:lvl w:ilvl="0">
      <w:start w:val="1"/>
      <w:numFmt w:val="decimal"/>
      <w:lvlText w:val="(%1)"/>
      <w:lvlJc w:val="left"/>
      <w:pPr>
        <w:ind w:left="425" w:hanging="425"/>
      </w:pPr>
      <w:rPr>
        <w:rFonts w:hint="default"/>
      </w:rPr>
    </w:lvl>
  </w:abstractNum>
  <w:abstractNum w:abstractNumId="10">
    <w:nsid w:val="73C2A851"/>
    <w:multiLevelType w:val="singleLevel"/>
    <w:tmpl w:val="73C2A851"/>
    <w:lvl w:ilvl="0">
      <w:start w:val="1"/>
      <w:numFmt w:val="decimalEnclosedCircleChinese"/>
      <w:suff w:val="nothing"/>
      <w:lvlText w:val="%1　"/>
      <w:lvlJc w:val="left"/>
      <w:pPr>
        <w:ind w:left="0" w:firstLine="400"/>
      </w:pPr>
      <w:rPr>
        <w:rFonts w:hint="eastAsia"/>
      </w:rPr>
    </w:lvl>
  </w:abstractNum>
  <w:abstractNum w:abstractNumId="11">
    <w:nsid w:val="777C6CE8"/>
    <w:multiLevelType w:val="singleLevel"/>
    <w:tmpl w:val="777C6CE8"/>
    <w:lvl w:ilvl="0">
      <w:start w:val="1"/>
      <w:numFmt w:val="decimalEnclosedCircleChinese"/>
      <w:suff w:val="nothing"/>
      <w:lvlText w:val="%1　"/>
      <w:lvlJc w:val="left"/>
      <w:pPr>
        <w:ind w:left="0" w:firstLine="400"/>
      </w:pPr>
      <w:rPr>
        <w:rFonts w:hint="eastAsia"/>
      </w:rPr>
    </w:lvl>
  </w:abstractNum>
  <w:num w:numId="1">
    <w:abstractNumId w:val="0"/>
  </w:num>
  <w:num w:numId="2">
    <w:abstractNumId w:val="2"/>
  </w:num>
  <w:num w:numId="3">
    <w:abstractNumId w:val="10"/>
  </w:num>
  <w:num w:numId="4">
    <w:abstractNumId w:val="6"/>
  </w:num>
  <w:num w:numId="5">
    <w:abstractNumId w:val="8"/>
  </w:num>
  <w:num w:numId="6">
    <w:abstractNumId w:val="11"/>
  </w:num>
  <w:num w:numId="7">
    <w:abstractNumId w:val="1"/>
  </w:num>
  <w:num w:numId="8">
    <w:abstractNumId w:val="7"/>
  </w:num>
  <w:num w:numId="9">
    <w:abstractNumId w:val="5"/>
  </w:num>
  <w:num w:numId="10">
    <w:abstractNumId w:val="9"/>
  </w:num>
  <w:num w:numId="11">
    <w:abstractNumId w:val="4"/>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embedSystemFonts/>
  <w:hideSpellingErrors/>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GVkYTMxMWEzYjJmODY5MTgwNDc0OTMyNjQyMDBjNzEifQ=="/>
  </w:docVars>
  <w:rsids>
    <w:rsidRoot w:val="68B64E4E"/>
    <w:rsid w:val="0002117A"/>
    <w:rsid w:val="00033CD5"/>
    <w:rsid w:val="00073EFB"/>
    <w:rsid w:val="00097F13"/>
    <w:rsid w:val="000D1465"/>
    <w:rsid w:val="00215AA4"/>
    <w:rsid w:val="002E01C1"/>
    <w:rsid w:val="003B53F7"/>
    <w:rsid w:val="00417EF4"/>
    <w:rsid w:val="004E69F8"/>
    <w:rsid w:val="005E0AA6"/>
    <w:rsid w:val="00621C19"/>
    <w:rsid w:val="0065769C"/>
    <w:rsid w:val="006B31C3"/>
    <w:rsid w:val="00715B44"/>
    <w:rsid w:val="00726300"/>
    <w:rsid w:val="007C2754"/>
    <w:rsid w:val="007C2CDB"/>
    <w:rsid w:val="007D0463"/>
    <w:rsid w:val="009269A2"/>
    <w:rsid w:val="00947D5B"/>
    <w:rsid w:val="009846DD"/>
    <w:rsid w:val="00997D30"/>
    <w:rsid w:val="00A569E6"/>
    <w:rsid w:val="00AD4B0B"/>
    <w:rsid w:val="00BC07F0"/>
    <w:rsid w:val="00C55F5E"/>
    <w:rsid w:val="00C80E44"/>
    <w:rsid w:val="00DC6973"/>
    <w:rsid w:val="00E80370"/>
    <w:rsid w:val="00ED5986"/>
    <w:rsid w:val="00F73936"/>
    <w:rsid w:val="010A29DC"/>
    <w:rsid w:val="010A31D0"/>
    <w:rsid w:val="010D7DD7"/>
    <w:rsid w:val="011D26F6"/>
    <w:rsid w:val="01211AD4"/>
    <w:rsid w:val="012617A2"/>
    <w:rsid w:val="013C690E"/>
    <w:rsid w:val="0143581A"/>
    <w:rsid w:val="01507D34"/>
    <w:rsid w:val="0156177E"/>
    <w:rsid w:val="015E03B4"/>
    <w:rsid w:val="015E6C75"/>
    <w:rsid w:val="01610122"/>
    <w:rsid w:val="01660A28"/>
    <w:rsid w:val="01710365"/>
    <w:rsid w:val="01781329"/>
    <w:rsid w:val="017B2F92"/>
    <w:rsid w:val="01A26771"/>
    <w:rsid w:val="01A71449"/>
    <w:rsid w:val="01AC75F0"/>
    <w:rsid w:val="01AF7682"/>
    <w:rsid w:val="01D10C3E"/>
    <w:rsid w:val="01D23F28"/>
    <w:rsid w:val="01D31020"/>
    <w:rsid w:val="01E87AB2"/>
    <w:rsid w:val="01F66B96"/>
    <w:rsid w:val="01FF3BC3"/>
    <w:rsid w:val="020B679E"/>
    <w:rsid w:val="020E4AE3"/>
    <w:rsid w:val="022005C5"/>
    <w:rsid w:val="02225B04"/>
    <w:rsid w:val="02377801"/>
    <w:rsid w:val="024617F2"/>
    <w:rsid w:val="02561839"/>
    <w:rsid w:val="02572D69"/>
    <w:rsid w:val="0261582D"/>
    <w:rsid w:val="02641C78"/>
    <w:rsid w:val="0270061D"/>
    <w:rsid w:val="02732A09"/>
    <w:rsid w:val="027A557D"/>
    <w:rsid w:val="02840426"/>
    <w:rsid w:val="0286634E"/>
    <w:rsid w:val="02877081"/>
    <w:rsid w:val="029F0253"/>
    <w:rsid w:val="02A12ECC"/>
    <w:rsid w:val="02A76009"/>
    <w:rsid w:val="02A8425B"/>
    <w:rsid w:val="02AD361F"/>
    <w:rsid w:val="02C866AB"/>
    <w:rsid w:val="02CB619B"/>
    <w:rsid w:val="02CD1F13"/>
    <w:rsid w:val="02CF7A3A"/>
    <w:rsid w:val="02D432A2"/>
    <w:rsid w:val="02DF39F5"/>
    <w:rsid w:val="02EA7E81"/>
    <w:rsid w:val="02EB05EB"/>
    <w:rsid w:val="030D2310"/>
    <w:rsid w:val="03167028"/>
    <w:rsid w:val="031713E0"/>
    <w:rsid w:val="03190CB5"/>
    <w:rsid w:val="03231B33"/>
    <w:rsid w:val="032A2EC2"/>
    <w:rsid w:val="032F2286"/>
    <w:rsid w:val="034629C7"/>
    <w:rsid w:val="03514610"/>
    <w:rsid w:val="03535B3A"/>
    <w:rsid w:val="03546191"/>
    <w:rsid w:val="035B12CD"/>
    <w:rsid w:val="03604B36"/>
    <w:rsid w:val="038A7E04"/>
    <w:rsid w:val="038B1487"/>
    <w:rsid w:val="039E740C"/>
    <w:rsid w:val="03A65D25"/>
    <w:rsid w:val="03A964DC"/>
    <w:rsid w:val="03BE185C"/>
    <w:rsid w:val="03BE1B57"/>
    <w:rsid w:val="03BE360A"/>
    <w:rsid w:val="03C03826"/>
    <w:rsid w:val="03C42B10"/>
    <w:rsid w:val="03C95D49"/>
    <w:rsid w:val="03D35307"/>
    <w:rsid w:val="03D6311C"/>
    <w:rsid w:val="03DE5A5A"/>
    <w:rsid w:val="03E33071"/>
    <w:rsid w:val="040000C7"/>
    <w:rsid w:val="040E6340"/>
    <w:rsid w:val="04163446"/>
    <w:rsid w:val="041F054D"/>
    <w:rsid w:val="042518DB"/>
    <w:rsid w:val="044004C3"/>
    <w:rsid w:val="045417B2"/>
    <w:rsid w:val="04740E9E"/>
    <w:rsid w:val="047900FF"/>
    <w:rsid w:val="047D4218"/>
    <w:rsid w:val="04802389"/>
    <w:rsid w:val="04904FA7"/>
    <w:rsid w:val="04932CE9"/>
    <w:rsid w:val="049637BF"/>
    <w:rsid w:val="049B37FD"/>
    <w:rsid w:val="049E2C49"/>
    <w:rsid w:val="04A22F2C"/>
    <w:rsid w:val="04A24CDA"/>
    <w:rsid w:val="04A44EF6"/>
    <w:rsid w:val="04AD7905"/>
    <w:rsid w:val="04C60CE8"/>
    <w:rsid w:val="04CC606F"/>
    <w:rsid w:val="04D550AF"/>
    <w:rsid w:val="04D84F29"/>
    <w:rsid w:val="04DC01EC"/>
    <w:rsid w:val="04DC4690"/>
    <w:rsid w:val="04E13A54"/>
    <w:rsid w:val="04E70BCB"/>
    <w:rsid w:val="04E96525"/>
    <w:rsid w:val="04ED06BA"/>
    <w:rsid w:val="04F54577"/>
    <w:rsid w:val="04F62DE5"/>
    <w:rsid w:val="04F6755D"/>
    <w:rsid w:val="05065269"/>
    <w:rsid w:val="05104339"/>
    <w:rsid w:val="051853D0"/>
    <w:rsid w:val="051E6A56"/>
    <w:rsid w:val="05290E6D"/>
    <w:rsid w:val="052A61F4"/>
    <w:rsid w:val="052C440D"/>
    <w:rsid w:val="052D0A47"/>
    <w:rsid w:val="052E6336"/>
    <w:rsid w:val="054110B3"/>
    <w:rsid w:val="054B313A"/>
    <w:rsid w:val="054C68A7"/>
    <w:rsid w:val="055A5676"/>
    <w:rsid w:val="0563090D"/>
    <w:rsid w:val="05654685"/>
    <w:rsid w:val="057448C8"/>
    <w:rsid w:val="057523EE"/>
    <w:rsid w:val="057743B8"/>
    <w:rsid w:val="05834B0B"/>
    <w:rsid w:val="058A40EC"/>
    <w:rsid w:val="05947D96"/>
    <w:rsid w:val="059F4F4E"/>
    <w:rsid w:val="05A351AD"/>
    <w:rsid w:val="05B24429"/>
    <w:rsid w:val="05BD626F"/>
    <w:rsid w:val="05C56ED2"/>
    <w:rsid w:val="05C72C4A"/>
    <w:rsid w:val="05C82C12"/>
    <w:rsid w:val="05CF75E5"/>
    <w:rsid w:val="05E51322"/>
    <w:rsid w:val="06106D92"/>
    <w:rsid w:val="061816F7"/>
    <w:rsid w:val="061E4834"/>
    <w:rsid w:val="06231E4A"/>
    <w:rsid w:val="062A4F87"/>
    <w:rsid w:val="06345E06"/>
    <w:rsid w:val="064160FC"/>
    <w:rsid w:val="0641740F"/>
    <w:rsid w:val="065A7A13"/>
    <w:rsid w:val="06620BC5"/>
    <w:rsid w:val="067B752D"/>
    <w:rsid w:val="067F5D18"/>
    <w:rsid w:val="068943A3"/>
    <w:rsid w:val="06933D53"/>
    <w:rsid w:val="06C74A53"/>
    <w:rsid w:val="06CD66BE"/>
    <w:rsid w:val="06CE1DB6"/>
    <w:rsid w:val="06F2019A"/>
    <w:rsid w:val="06FA2BAB"/>
    <w:rsid w:val="070103DE"/>
    <w:rsid w:val="070556ED"/>
    <w:rsid w:val="071E0F8F"/>
    <w:rsid w:val="072F7E16"/>
    <w:rsid w:val="073F0F06"/>
    <w:rsid w:val="074862E0"/>
    <w:rsid w:val="076369A2"/>
    <w:rsid w:val="0768045D"/>
    <w:rsid w:val="07683FB9"/>
    <w:rsid w:val="07806DCF"/>
    <w:rsid w:val="07990616"/>
    <w:rsid w:val="079A613C"/>
    <w:rsid w:val="07AF4222"/>
    <w:rsid w:val="07B42921"/>
    <w:rsid w:val="07B62F76"/>
    <w:rsid w:val="07CB0DF0"/>
    <w:rsid w:val="07CC09EB"/>
    <w:rsid w:val="07D1741F"/>
    <w:rsid w:val="07DB790B"/>
    <w:rsid w:val="07E6312F"/>
    <w:rsid w:val="07F67816"/>
    <w:rsid w:val="07F876E4"/>
    <w:rsid w:val="08021140"/>
    <w:rsid w:val="081952B3"/>
    <w:rsid w:val="0828199A"/>
    <w:rsid w:val="082C3238"/>
    <w:rsid w:val="08346591"/>
    <w:rsid w:val="084235C5"/>
    <w:rsid w:val="084E7652"/>
    <w:rsid w:val="085602B5"/>
    <w:rsid w:val="08564759"/>
    <w:rsid w:val="085E53BC"/>
    <w:rsid w:val="08634780"/>
    <w:rsid w:val="086A1404"/>
    <w:rsid w:val="088875E7"/>
    <w:rsid w:val="08955281"/>
    <w:rsid w:val="08B35707"/>
    <w:rsid w:val="08C01BD2"/>
    <w:rsid w:val="08C20CCF"/>
    <w:rsid w:val="08C77405"/>
    <w:rsid w:val="08FA3336"/>
    <w:rsid w:val="08FD1B2B"/>
    <w:rsid w:val="08FF7E1C"/>
    <w:rsid w:val="090441B5"/>
    <w:rsid w:val="09074930"/>
    <w:rsid w:val="090917CB"/>
    <w:rsid w:val="09110F69"/>
    <w:rsid w:val="091C0974"/>
    <w:rsid w:val="09367318"/>
    <w:rsid w:val="09385C0D"/>
    <w:rsid w:val="093A7C38"/>
    <w:rsid w:val="09440A55"/>
    <w:rsid w:val="0946032A"/>
    <w:rsid w:val="094603D4"/>
    <w:rsid w:val="09463FB2"/>
    <w:rsid w:val="09475E50"/>
    <w:rsid w:val="09540656"/>
    <w:rsid w:val="09623A2D"/>
    <w:rsid w:val="097828ED"/>
    <w:rsid w:val="097906FF"/>
    <w:rsid w:val="098037C2"/>
    <w:rsid w:val="09896468"/>
    <w:rsid w:val="09A129E2"/>
    <w:rsid w:val="09A52B18"/>
    <w:rsid w:val="09A72BAB"/>
    <w:rsid w:val="09D27E0F"/>
    <w:rsid w:val="09D43B87"/>
    <w:rsid w:val="09E65607"/>
    <w:rsid w:val="09E71B0D"/>
    <w:rsid w:val="09E7549D"/>
    <w:rsid w:val="09F2225F"/>
    <w:rsid w:val="09F67E30"/>
    <w:rsid w:val="0A073F5D"/>
    <w:rsid w:val="0A0C02E8"/>
    <w:rsid w:val="0A12645E"/>
    <w:rsid w:val="0A176175"/>
    <w:rsid w:val="0A1D552E"/>
    <w:rsid w:val="0A232419"/>
    <w:rsid w:val="0A2870FB"/>
    <w:rsid w:val="0A391C3C"/>
    <w:rsid w:val="0A3B59B5"/>
    <w:rsid w:val="0A3B7763"/>
    <w:rsid w:val="0A426D43"/>
    <w:rsid w:val="0A4C7BC2"/>
    <w:rsid w:val="0A682522"/>
    <w:rsid w:val="0A693B63"/>
    <w:rsid w:val="0A7417FB"/>
    <w:rsid w:val="0A752C53"/>
    <w:rsid w:val="0A782765"/>
    <w:rsid w:val="0A7D1BC1"/>
    <w:rsid w:val="0A805ABD"/>
    <w:rsid w:val="0A876F85"/>
    <w:rsid w:val="0AA5395E"/>
    <w:rsid w:val="0AAC603C"/>
    <w:rsid w:val="0AB14D46"/>
    <w:rsid w:val="0AB614DF"/>
    <w:rsid w:val="0AC01458"/>
    <w:rsid w:val="0AC0410C"/>
    <w:rsid w:val="0AC92FC0"/>
    <w:rsid w:val="0ADC1E7D"/>
    <w:rsid w:val="0AE20526"/>
    <w:rsid w:val="0AE2112E"/>
    <w:rsid w:val="0AED6EE1"/>
    <w:rsid w:val="0AF366EB"/>
    <w:rsid w:val="0AFD710E"/>
    <w:rsid w:val="0B0009AC"/>
    <w:rsid w:val="0B095AB3"/>
    <w:rsid w:val="0B354A73"/>
    <w:rsid w:val="0B354AFA"/>
    <w:rsid w:val="0B4F4D16"/>
    <w:rsid w:val="0B544018"/>
    <w:rsid w:val="0B612356"/>
    <w:rsid w:val="0B7A0DF9"/>
    <w:rsid w:val="0B7D3DAB"/>
    <w:rsid w:val="0BA16207"/>
    <w:rsid w:val="0BB2614A"/>
    <w:rsid w:val="0BC83F1D"/>
    <w:rsid w:val="0BCD088E"/>
    <w:rsid w:val="0BD240F7"/>
    <w:rsid w:val="0BD72483"/>
    <w:rsid w:val="0BDC6D23"/>
    <w:rsid w:val="0BE300B2"/>
    <w:rsid w:val="0BEA58E4"/>
    <w:rsid w:val="0BF70001"/>
    <w:rsid w:val="0BF87683"/>
    <w:rsid w:val="0BFB189F"/>
    <w:rsid w:val="0C0369A6"/>
    <w:rsid w:val="0C0C2D55"/>
    <w:rsid w:val="0C1110C3"/>
    <w:rsid w:val="0C1C7A68"/>
    <w:rsid w:val="0C1E4963"/>
    <w:rsid w:val="0C233522"/>
    <w:rsid w:val="0C264442"/>
    <w:rsid w:val="0C321039"/>
    <w:rsid w:val="0C3C5A14"/>
    <w:rsid w:val="0C4D19CF"/>
    <w:rsid w:val="0C540FAF"/>
    <w:rsid w:val="0C5745FC"/>
    <w:rsid w:val="0C5823BF"/>
    <w:rsid w:val="0C596987"/>
    <w:rsid w:val="0C603D76"/>
    <w:rsid w:val="0C7C4062"/>
    <w:rsid w:val="0C872AD3"/>
    <w:rsid w:val="0C8F3D96"/>
    <w:rsid w:val="0CA65850"/>
    <w:rsid w:val="0CAA0BCF"/>
    <w:rsid w:val="0CB101B0"/>
    <w:rsid w:val="0CB3217A"/>
    <w:rsid w:val="0CB33E12"/>
    <w:rsid w:val="0CDB6D52"/>
    <w:rsid w:val="0CF926D3"/>
    <w:rsid w:val="0CFA1B57"/>
    <w:rsid w:val="0CFB016A"/>
    <w:rsid w:val="0D044784"/>
    <w:rsid w:val="0D065FC8"/>
    <w:rsid w:val="0D1F15BD"/>
    <w:rsid w:val="0D314E4D"/>
    <w:rsid w:val="0D374B59"/>
    <w:rsid w:val="0D4A5F0F"/>
    <w:rsid w:val="0D554FDF"/>
    <w:rsid w:val="0D5B011C"/>
    <w:rsid w:val="0D611BD6"/>
    <w:rsid w:val="0D6577AF"/>
    <w:rsid w:val="0D674D12"/>
    <w:rsid w:val="0D6F031F"/>
    <w:rsid w:val="0D760198"/>
    <w:rsid w:val="0D8B0A01"/>
    <w:rsid w:val="0D8E04F1"/>
    <w:rsid w:val="0D9A3628"/>
    <w:rsid w:val="0D9E2395"/>
    <w:rsid w:val="0DA00C42"/>
    <w:rsid w:val="0DA27214"/>
    <w:rsid w:val="0DB77A48"/>
    <w:rsid w:val="0DB81FB0"/>
    <w:rsid w:val="0DD34156"/>
    <w:rsid w:val="0DD56120"/>
    <w:rsid w:val="0DDC125D"/>
    <w:rsid w:val="0DE57770"/>
    <w:rsid w:val="0DEA1BCB"/>
    <w:rsid w:val="0DF5231E"/>
    <w:rsid w:val="0DF65922"/>
    <w:rsid w:val="0DF93183"/>
    <w:rsid w:val="0E06277D"/>
    <w:rsid w:val="0E123872"/>
    <w:rsid w:val="0E460DCC"/>
    <w:rsid w:val="0E466290"/>
    <w:rsid w:val="0E4A2B61"/>
    <w:rsid w:val="0E4D483E"/>
    <w:rsid w:val="0E4F5ED2"/>
    <w:rsid w:val="0E543FA7"/>
    <w:rsid w:val="0E5B222E"/>
    <w:rsid w:val="0E76345F"/>
    <w:rsid w:val="0E81124B"/>
    <w:rsid w:val="0E8C2C83"/>
    <w:rsid w:val="0EAB29D3"/>
    <w:rsid w:val="0EBE6504"/>
    <w:rsid w:val="0EC107E0"/>
    <w:rsid w:val="0EC87A33"/>
    <w:rsid w:val="0ECA5559"/>
    <w:rsid w:val="0EE06B2A"/>
    <w:rsid w:val="0EE57E6C"/>
    <w:rsid w:val="0EF00994"/>
    <w:rsid w:val="0EF12AE6"/>
    <w:rsid w:val="0F022F45"/>
    <w:rsid w:val="0F055BCD"/>
    <w:rsid w:val="0F113188"/>
    <w:rsid w:val="0F114F36"/>
    <w:rsid w:val="0F16079E"/>
    <w:rsid w:val="0F1E7653"/>
    <w:rsid w:val="0F234C69"/>
    <w:rsid w:val="0F242EBB"/>
    <w:rsid w:val="0F32771F"/>
    <w:rsid w:val="0F331350"/>
    <w:rsid w:val="0F336A77"/>
    <w:rsid w:val="0F377B9F"/>
    <w:rsid w:val="0F3E3970"/>
    <w:rsid w:val="0F4A5C7C"/>
    <w:rsid w:val="0F501F02"/>
    <w:rsid w:val="0F67724C"/>
    <w:rsid w:val="0F6C03BE"/>
    <w:rsid w:val="0F76123D"/>
    <w:rsid w:val="0F824086"/>
    <w:rsid w:val="0F9F69E6"/>
    <w:rsid w:val="0FB12F47"/>
    <w:rsid w:val="0FB36066"/>
    <w:rsid w:val="0FD77F2D"/>
    <w:rsid w:val="0FD83CA6"/>
    <w:rsid w:val="0FDA6077"/>
    <w:rsid w:val="0FDF10D4"/>
    <w:rsid w:val="0FDF3525"/>
    <w:rsid w:val="0FF02E93"/>
    <w:rsid w:val="0FFA00C0"/>
    <w:rsid w:val="1001264F"/>
    <w:rsid w:val="10046849"/>
    <w:rsid w:val="10063B4A"/>
    <w:rsid w:val="10077B30"/>
    <w:rsid w:val="10141507"/>
    <w:rsid w:val="1021389E"/>
    <w:rsid w:val="102723E9"/>
    <w:rsid w:val="102D2243"/>
    <w:rsid w:val="104B58B5"/>
    <w:rsid w:val="105E23FD"/>
    <w:rsid w:val="10612DB1"/>
    <w:rsid w:val="1066330F"/>
    <w:rsid w:val="106F0166"/>
    <w:rsid w:val="10872D51"/>
    <w:rsid w:val="10AD6EE0"/>
    <w:rsid w:val="10B464C1"/>
    <w:rsid w:val="10BB33AB"/>
    <w:rsid w:val="10C22219"/>
    <w:rsid w:val="10C7094A"/>
    <w:rsid w:val="10D10E21"/>
    <w:rsid w:val="10E90DE2"/>
    <w:rsid w:val="10F13271"/>
    <w:rsid w:val="10F41847"/>
    <w:rsid w:val="10F42D61"/>
    <w:rsid w:val="10FB43DC"/>
    <w:rsid w:val="10FD1C16"/>
    <w:rsid w:val="10FE65A5"/>
    <w:rsid w:val="1102547E"/>
    <w:rsid w:val="110A4333"/>
    <w:rsid w:val="11114836"/>
    <w:rsid w:val="11153FE2"/>
    <w:rsid w:val="11194576"/>
    <w:rsid w:val="1120547F"/>
    <w:rsid w:val="112453F4"/>
    <w:rsid w:val="11405FA6"/>
    <w:rsid w:val="114A2981"/>
    <w:rsid w:val="116531EF"/>
    <w:rsid w:val="11661EBA"/>
    <w:rsid w:val="118005E0"/>
    <w:rsid w:val="1180294C"/>
    <w:rsid w:val="11812847"/>
    <w:rsid w:val="11976BFB"/>
    <w:rsid w:val="119A7465"/>
    <w:rsid w:val="11A85DB2"/>
    <w:rsid w:val="11AB1672"/>
    <w:rsid w:val="11B06C88"/>
    <w:rsid w:val="11B36778"/>
    <w:rsid w:val="11BD6E3E"/>
    <w:rsid w:val="11BD75F7"/>
    <w:rsid w:val="11C269BB"/>
    <w:rsid w:val="11C40985"/>
    <w:rsid w:val="11C646FD"/>
    <w:rsid w:val="11DC2455"/>
    <w:rsid w:val="11DF30C9"/>
    <w:rsid w:val="120B2110"/>
    <w:rsid w:val="120D5E88"/>
    <w:rsid w:val="12107727"/>
    <w:rsid w:val="1223727C"/>
    <w:rsid w:val="12274D34"/>
    <w:rsid w:val="122907E8"/>
    <w:rsid w:val="122E4051"/>
    <w:rsid w:val="12486EC1"/>
    <w:rsid w:val="12493F57"/>
    <w:rsid w:val="1252559A"/>
    <w:rsid w:val="125F420A"/>
    <w:rsid w:val="12631F4C"/>
    <w:rsid w:val="126420E9"/>
    <w:rsid w:val="127B5977"/>
    <w:rsid w:val="128A74D9"/>
    <w:rsid w:val="12A04F4F"/>
    <w:rsid w:val="12A2762F"/>
    <w:rsid w:val="12A32349"/>
    <w:rsid w:val="12A367ED"/>
    <w:rsid w:val="12AF0CEE"/>
    <w:rsid w:val="12B96010"/>
    <w:rsid w:val="12C013F0"/>
    <w:rsid w:val="12C329EB"/>
    <w:rsid w:val="12CD1ABC"/>
    <w:rsid w:val="12D6271E"/>
    <w:rsid w:val="12D8770A"/>
    <w:rsid w:val="12D93307"/>
    <w:rsid w:val="12D966CC"/>
    <w:rsid w:val="12DE7825"/>
    <w:rsid w:val="12EC70DB"/>
    <w:rsid w:val="130152C1"/>
    <w:rsid w:val="13076D7C"/>
    <w:rsid w:val="13160B8C"/>
    <w:rsid w:val="131B2827"/>
    <w:rsid w:val="131B6383"/>
    <w:rsid w:val="13201BEB"/>
    <w:rsid w:val="132818B7"/>
    <w:rsid w:val="133B50BF"/>
    <w:rsid w:val="13427DB4"/>
    <w:rsid w:val="13441D7E"/>
    <w:rsid w:val="13533D6F"/>
    <w:rsid w:val="13586A75"/>
    <w:rsid w:val="136F1CA1"/>
    <w:rsid w:val="137141F5"/>
    <w:rsid w:val="13815B74"/>
    <w:rsid w:val="13867752"/>
    <w:rsid w:val="138C102F"/>
    <w:rsid w:val="138E2FF9"/>
    <w:rsid w:val="139B74C4"/>
    <w:rsid w:val="139D4FEA"/>
    <w:rsid w:val="13A302CE"/>
    <w:rsid w:val="13A4001D"/>
    <w:rsid w:val="13A50343"/>
    <w:rsid w:val="13A97E33"/>
    <w:rsid w:val="13AA5959"/>
    <w:rsid w:val="13B27CB2"/>
    <w:rsid w:val="13BA2418"/>
    <w:rsid w:val="13BF768D"/>
    <w:rsid w:val="13C83228"/>
    <w:rsid w:val="13D604FC"/>
    <w:rsid w:val="13E23345"/>
    <w:rsid w:val="13F07810"/>
    <w:rsid w:val="13F56528"/>
    <w:rsid w:val="13FD75DE"/>
    <w:rsid w:val="13FE2870"/>
    <w:rsid w:val="14025795"/>
    <w:rsid w:val="14027543"/>
    <w:rsid w:val="14131750"/>
    <w:rsid w:val="1417616F"/>
    <w:rsid w:val="14215C1B"/>
    <w:rsid w:val="142676D5"/>
    <w:rsid w:val="143051C3"/>
    <w:rsid w:val="14425B91"/>
    <w:rsid w:val="1444190A"/>
    <w:rsid w:val="14515DD5"/>
    <w:rsid w:val="145204CA"/>
    <w:rsid w:val="14665D24"/>
    <w:rsid w:val="14681327"/>
    <w:rsid w:val="146D2C0E"/>
    <w:rsid w:val="147613DD"/>
    <w:rsid w:val="147E354D"/>
    <w:rsid w:val="14885C9A"/>
    <w:rsid w:val="149840F4"/>
    <w:rsid w:val="14A3531F"/>
    <w:rsid w:val="14B459D5"/>
    <w:rsid w:val="14B52807"/>
    <w:rsid w:val="14B60A59"/>
    <w:rsid w:val="14BE16BC"/>
    <w:rsid w:val="14C56525"/>
    <w:rsid w:val="14C72840"/>
    <w:rsid w:val="14CB7C52"/>
    <w:rsid w:val="14CC0840"/>
    <w:rsid w:val="15064E11"/>
    <w:rsid w:val="151439D2"/>
    <w:rsid w:val="15187863"/>
    <w:rsid w:val="151C60C5"/>
    <w:rsid w:val="151E6C0C"/>
    <w:rsid w:val="1537146E"/>
    <w:rsid w:val="153A46EC"/>
    <w:rsid w:val="154241EF"/>
    <w:rsid w:val="1546449C"/>
    <w:rsid w:val="15466355"/>
    <w:rsid w:val="1550479D"/>
    <w:rsid w:val="155F468B"/>
    <w:rsid w:val="1562473D"/>
    <w:rsid w:val="156706B8"/>
    <w:rsid w:val="1574621E"/>
    <w:rsid w:val="15897F1C"/>
    <w:rsid w:val="158C22C9"/>
    <w:rsid w:val="15940E1E"/>
    <w:rsid w:val="15973CBB"/>
    <w:rsid w:val="159D5775"/>
    <w:rsid w:val="159E5049"/>
    <w:rsid w:val="15AA7BC7"/>
    <w:rsid w:val="15B66808"/>
    <w:rsid w:val="15B8610B"/>
    <w:rsid w:val="15C251DC"/>
    <w:rsid w:val="15CA22E2"/>
    <w:rsid w:val="15D372A6"/>
    <w:rsid w:val="15FF5E46"/>
    <w:rsid w:val="16023A61"/>
    <w:rsid w:val="16030762"/>
    <w:rsid w:val="1606331B"/>
    <w:rsid w:val="160F6C02"/>
    <w:rsid w:val="161C0D90"/>
    <w:rsid w:val="161C0E60"/>
    <w:rsid w:val="162C583E"/>
    <w:rsid w:val="16467BBB"/>
    <w:rsid w:val="16565924"/>
    <w:rsid w:val="16685D83"/>
    <w:rsid w:val="166B5873"/>
    <w:rsid w:val="16730284"/>
    <w:rsid w:val="167518D5"/>
    <w:rsid w:val="167E2426"/>
    <w:rsid w:val="16816E45"/>
    <w:rsid w:val="1697360A"/>
    <w:rsid w:val="16A375EE"/>
    <w:rsid w:val="16A8124A"/>
    <w:rsid w:val="16B5089D"/>
    <w:rsid w:val="16B9038D"/>
    <w:rsid w:val="16BD44F8"/>
    <w:rsid w:val="16BE5A72"/>
    <w:rsid w:val="16CA259A"/>
    <w:rsid w:val="16CC39B3"/>
    <w:rsid w:val="16CD5BE6"/>
    <w:rsid w:val="16EA49EA"/>
    <w:rsid w:val="16F61BEB"/>
    <w:rsid w:val="16F73631"/>
    <w:rsid w:val="17020FAB"/>
    <w:rsid w:val="170B2BB3"/>
    <w:rsid w:val="170D70BC"/>
    <w:rsid w:val="17163A31"/>
    <w:rsid w:val="17190E2C"/>
    <w:rsid w:val="172B73EB"/>
    <w:rsid w:val="172D48D7"/>
    <w:rsid w:val="17306175"/>
    <w:rsid w:val="17312619"/>
    <w:rsid w:val="1739327C"/>
    <w:rsid w:val="17400AAE"/>
    <w:rsid w:val="17577BA6"/>
    <w:rsid w:val="176127D3"/>
    <w:rsid w:val="176B795D"/>
    <w:rsid w:val="177B0B01"/>
    <w:rsid w:val="177C55A8"/>
    <w:rsid w:val="17854713"/>
    <w:rsid w:val="17B86896"/>
    <w:rsid w:val="17BA2A25"/>
    <w:rsid w:val="17C074F9"/>
    <w:rsid w:val="17CA3A94"/>
    <w:rsid w:val="17CE60BA"/>
    <w:rsid w:val="17DB22FD"/>
    <w:rsid w:val="180D1DB1"/>
    <w:rsid w:val="18116C69"/>
    <w:rsid w:val="18133ACD"/>
    <w:rsid w:val="18134176"/>
    <w:rsid w:val="181635BD"/>
    <w:rsid w:val="1823063E"/>
    <w:rsid w:val="18237CD8"/>
    <w:rsid w:val="182657AA"/>
    <w:rsid w:val="182E5BC5"/>
    <w:rsid w:val="1831773D"/>
    <w:rsid w:val="18323044"/>
    <w:rsid w:val="18493992"/>
    <w:rsid w:val="185F4F64"/>
    <w:rsid w:val="18620683"/>
    <w:rsid w:val="18643F78"/>
    <w:rsid w:val="18716A45"/>
    <w:rsid w:val="187A7D80"/>
    <w:rsid w:val="1881137E"/>
    <w:rsid w:val="1881312C"/>
    <w:rsid w:val="18826EA4"/>
    <w:rsid w:val="18A4506D"/>
    <w:rsid w:val="18AA12BD"/>
    <w:rsid w:val="18AD6F38"/>
    <w:rsid w:val="18B36AFB"/>
    <w:rsid w:val="18B90E67"/>
    <w:rsid w:val="18B977E5"/>
    <w:rsid w:val="18CF5A0E"/>
    <w:rsid w:val="18D524FF"/>
    <w:rsid w:val="18E9167E"/>
    <w:rsid w:val="18EB43EE"/>
    <w:rsid w:val="18ED431E"/>
    <w:rsid w:val="18FA6A3B"/>
    <w:rsid w:val="18FE652B"/>
    <w:rsid w:val="190873AA"/>
    <w:rsid w:val="19121FD6"/>
    <w:rsid w:val="191241AF"/>
    <w:rsid w:val="192609CE"/>
    <w:rsid w:val="19297320"/>
    <w:rsid w:val="192E75F5"/>
    <w:rsid w:val="192F0DDA"/>
    <w:rsid w:val="193E101D"/>
    <w:rsid w:val="193E3604"/>
    <w:rsid w:val="1940115B"/>
    <w:rsid w:val="194344C3"/>
    <w:rsid w:val="19573E8D"/>
    <w:rsid w:val="19632832"/>
    <w:rsid w:val="196656B5"/>
    <w:rsid w:val="196A1E12"/>
    <w:rsid w:val="196B16E7"/>
    <w:rsid w:val="196D1954"/>
    <w:rsid w:val="197C1B46"/>
    <w:rsid w:val="19865256"/>
    <w:rsid w:val="1996103A"/>
    <w:rsid w:val="19993C89"/>
    <w:rsid w:val="19A215AC"/>
    <w:rsid w:val="19A277FE"/>
    <w:rsid w:val="19B4308D"/>
    <w:rsid w:val="19C534ED"/>
    <w:rsid w:val="19CE0DB0"/>
    <w:rsid w:val="19CF1C75"/>
    <w:rsid w:val="19D41982"/>
    <w:rsid w:val="19D92AF4"/>
    <w:rsid w:val="19EF2361"/>
    <w:rsid w:val="19F618F8"/>
    <w:rsid w:val="19FA13E8"/>
    <w:rsid w:val="1A07140F"/>
    <w:rsid w:val="1A0933D9"/>
    <w:rsid w:val="1A0D658B"/>
    <w:rsid w:val="1A0D716D"/>
    <w:rsid w:val="1A141D7E"/>
    <w:rsid w:val="1A165D16"/>
    <w:rsid w:val="1A1832D2"/>
    <w:rsid w:val="1A187AC0"/>
    <w:rsid w:val="1A1A48E3"/>
    <w:rsid w:val="1A2024D1"/>
    <w:rsid w:val="1A292634"/>
    <w:rsid w:val="1A2C356C"/>
    <w:rsid w:val="1A330EE8"/>
    <w:rsid w:val="1A352420"/>
    <w:rsid w:val="1A4E5290"/>
    <w:rsid w:val="1A58610F"/>
    <w:rsid w:val="1A620D3B"/>
    <w:rsid w:val="1A670100"/>
    <w:rsid w:val="1A6C021E"/>
    <w:rsid w:val="1A6C639B"/>
    <w:rsid w:val="1A714EBB"/>
    <w:rsid w:val="1A722FA1"/>
    <w:rsid w:val="1A873050"/>
    <w:rsid w:val="1A9D6217"/>
    <w:rsid w:val="1AB4072E"/>
    <w:rsid w:val="1ABA5A2A"/>
    <w:rsid w:val="1ABF7F3C"/>
    <w:rsid w:val="1AC82188"/>
    <w:rsid w:val="1AE25D7E"/>
    <w:rsid w:val="1AF51BB0"/>
    <w:rsid w:val="1AFF658A"/>
    <w:rsid w:val="1B027E29"/>
    <w:rsid w:val="1B140288"/>
    <w:rsid w:val="1B175E11"/>
    <w:rsid w:val="1B2129A5"/>
    <w:rsid w:val="1B245F4B"/>
    <w:rsid w:val="1B3721C8"/>
    <w:rsid w:val="1B395F40"/>
    <w:rsid w:val="1B3C77DE"/>
    <w:rsid w:val="1B440441"/>
    <w:rsid w:val="1B455918"/>
    <w:rsid w:val="1B4955A1"/>
    <w:rsid w:val="1B495A57"/>
    <w:rsid w:val="1B586FF5"/>
    <w:rsid w:val="1B5B6B72"/>
    <w:rsid w:val="1B5E1503"/>
    <w:rsid w:val="1B634D6B"/>
    <w:rsid w:val="1B697EA8"/>
    <w:rsid w:val="1B753723"/>
    <w:rsid w:val="1B783374"/>
    <w:rsid w:val="1B7F088E"/>
    <w:rsid w:val="1B8B6070"/>
    <w:rsid w:val="1B927C9C"/>
    <w:rsid w:val="1B944F25"/>
    <w:rsid w:val="1B990D30"/>
    <w:rsid w:val="1BA63D15"/>
    <w:rsid w:val="1BB455C7"/>
    <w:rsid w:val="1BB5374C"/>
    <w:rsid w:val="1BBB4BA7"/>
    <w:rsid w:val="1BCF121F"/>
    <w:rsid w:val="1BDA438A"/>
    <w:rsid w:val="1BDE0896"/>
    <w:rsid w:val="1BE063BC"/>
    <w:rsid w:val="1BF142A3"/>
    <w:rsid w:val="1BF46C21"/>
    <w:rsid w:val="1BFB31F6"/>
    <w:rsid w:val="1C1918CE"/>
    <w:rsid w:val="1C1D5511"/>
    <w:rsid w:val="1C24274C"/>
    <w:rsid w:val="1C2D338A"/>
    <w:rsid w:val="1C2D7127"/>
    <w:rsid w:val="1C362480"/>
    <w:rsid w:val="1C461572"/>
    <w:rsid w:val="1C5A616E"/>
    <w:rsid w:val="1C5E0959"/>
    <w:rsid w:val="1C7775C6"/>
    <w:rsid w:val="1C80194D"/>
    <w:rsid w:val="1C956B84"/>
    <w:rsid w:val="1CAB29B3"/>
    <w:rsid w:val="1CB33AD0"/>
    <w:rsid w:val="1CC7757C"/>
    <w:rsid w:val="1CCB4BE8"/>
    <w:rsid w:val="1CCE064F"/>
    <w:rsid w:val="1CD13F56"/>
    <w:rsid w:val="1CD328A7"/>
    <w:rsid w:val="1CD35F20"/>
    <w:rsid w:val="1CDF48C5"/>
    <w:rsid w:val="1CEB14BC"/>
    <w:rsid w:val="1CEE4113"/>
    <w:rsid w:val="1CF917B6"/>
    <w:rsid w:val="1CFB0451"/>
    <w:rsid w:val="1D047E88"/>
    <w:rsid w:val="1D083E1C"/>
    <w:rsid w:val="1D182FE8"/>
    <w:rsid w:val="1D1F2F14"/>
    <w:rsid w:val="1D306ECF"/>
    <w:rsid w:val="1D3637B7"/>
    <w:rsid w:val="1D38099C"/>
    <w:rsid w:val="1D475678"/>
    <w:rsid w:val="1D4B781B"/>
    <w:rsid w:val="1D5716FF"/>
    <w:rsid w:val="1D584BAA"/>
    <w:rsid w:val="1D750D86"/>
    <w:rsid w:val="1D886D0B"/>
    <w:rsid w:val="1D8E3FE2"/>
    <w:rsid w:val="1DA36FBD"/>
    <w:rsid w:val="1DBF010E"/>
    <w:rsid w:val="1DC064A5"/>
    <w:rsid w:val="1DC41628"/>
    <w:rsid w:val="1DC75A85"/>
    <w:rsid w:val="1DD22755"/>
    <w:rsid w:val="1DDC7057"/>
    <w:rsid w:val="1DF0665E"/>
    <w:rsid w:val="1DFE6FCD"/>
    <w:rsid w:val="1E0701C4"/>
    <w:rsid w:val="1E087E4C"/>
    <w:rsid w:val="1E14059F"/>
    <w:rsid w:val="1E14234D"/>
    <w:rsid w:val="1E147594"/>
    <w:rsid w:val="1E1578D9"/>
    <w:rsid w:val="1E1950DD"/>
    <w:rsid w:val="1E1C7453"/>
    <w:rsid w:val="1E1F6FD4"/>
    <w:rsid w:val="1E220F0E"/>
    <w:rsid w:val="1E2E1013"/>
    <w:rsid w:val="1E2F3C7A"/>
    <w:rsid w:val="1E39187C"/>
    <w:rsid w:val="1E3C6438"/>
    <w:rsid w:val="1E6037E4"/>
    <w:rsid w:val="1E62755C"/>
    <w:rsid w:val="1E74103D"/>
    <w:rsid w:val="1E74728F"/>
    <w:rsid w:val="1E82375A"/>
    <w:rsid w:val="1E827A99"/>
    <w:rsid w:val="1E8A0B5C"/>
    <w:rsid w:val="1E8E65A3"/>
    <w:rsid w:val="1E90231B"/>
    <w:rsid w:val="1E91399D"/>
    <w:rsid w:val="1E984D2C"/>
    <w:rsid w:val="1EB51D82"/>
    <w:rsid w:val="1EB61656"/>
    <w:rsid w:val="1EBA6808"/>
    <w:rsid w:val="1EC12AD3"/>
    <w:rsid w:val="1ED63AA6"/>
    <w:rsid w:val="1ED85DEA"/>
    <w:rsid w:val="1ED90803"/>
    <w:rsid w:val="1EDC23DC"/>
    <w:rsid w:val="1F02489B"/>
    <w:rsid w:val="1F040613"/>
    <w:rsid w:val="1F086E69"/>
    <w:rsid w:val="1F0A08B1"/>
    <w:rsid w:val="1F0A4DEF"/>
    <w:rsid w:val="1F0F73FB"/>
    <w:rsid w:val="1F106FB8"/>
    <w:rsid w:val="1F127502"/>
    <w:rsid w:val="1F1F31C1"/>
    <w:rsid w:val="1F242A63"/>
    <w:rsid w:val="1F2E38E2"/>
    <w:rsid w:val="1F325EC7"/>
    <w:rsid w:val="1F364345"/>
    <w:rsid w:val="1F525822"/>
    <w:rsid w:val="1F576995"/>
    <w:rsid w:val="1F5C21FD"/>
    <w:rsid w:val="1F621BE6"/>
    <w:rsid w:val="1F647304"/>
    <w:rsid w:val="1F657148"/>
    <w:rsid w:val="1F6966C8"/>
    <w:rsid w:val="1F6E6866"/>
    <w:rsid w:val="1F843502"/>
    <w:rsid w:val="1F880A49"/>
    <w:rsid w:val="1F980D5B"/>
    <w:rsid w:val="1FBB0EF7"/>
    <w:rsid w:val="1FC36B03"/>
    <w:rsid w:val="1FC85AE5"/>
    <w:rsid w:val="1FD53D5E"/>
    <w:rsid w:val="1FEA15B7"/>
    <w:rsid w:val="1FED10A7"/>
    <w:rsid w:val="1FF73CD4"/>
    <w:rsid w:val="1FFC12EA"/>
    <w:rsid w:val="2000527E"/>
    <w:rsid w:val="200F7270"/>
    <w:rsid w:val="20164E6F"/>
    <w:rsid w:val="201D6424"/>
    <w:rsid w:val="2020147D"/>
    <w:rsid w:val="2034611A"/>
    <w:rsid w:val="203E33E9"/>
    <w:rsid w:val="203F5CE6"/>
    <w:rsid w:val="20436F19"/>
    <w:rsid w:val="204F58BE"/>
    <w:rsid w:val="20661F44"/>
    <w:rsid w:val="206F7D0E"/>
    <w:rsid w:val="2079252D"/>
    <w:rsid w:val="208611D8"/>
    <w:rsid w:val="208C266E"/>
    <w:rsid w:val="208F03B0"/>
    <w:rsid w:val="20997B62"/>
    <w:rsid w:val="20A91472"/>
    <w:rsid w:val="20B65FAF"/>
    <w:rsid w:val="20B83463"/>
    <w:rsid w:val="20C242E2"/>
    <w:rsid w:val="20C75D9C"/>
    <w:rsid w:val="20CC5161"/>
    <w:rsid w:val="20E802BA"/>
    <w:rsid w:val="210448FA"/>
    <w:rsid w:val="21090163"/>
    <w:rsid w:val="210F6034"/>
    <w:rsid w:val="21111FD1"/>
    <w:rsid w:val="21185C68"/>
    <w:rsid w:val="211A411E"/>
    <w:rsid w:val="21271BF9"/>
    <w:rsid w:val="21303941"/>
    <w:rsid w:val="21393C43"/>
    <w:rsid w:val="21423675"/>
    <w:rsid w:val="21454BB2"/>
    <w:rsid w:val="2153751F"/>
    <w:rsid w:val="21570ECE"/>
    <w:rsid w:val="21645399"/>
    <w:rsid w:val="2169499E"/>
    <w:rsid w:val="216B2BCB"/>
    <w:rsid w:val="21703FC9"/>
    <w:rsid w:val="2172663E"/>
    <w:rsid w:val="217A1EA3"/>
    <w:rsid w:val="2186530F"/>
    <w:rsid w:val="21B803BA"/>
    <w:rsid w:val="21B87493"/>
    <w:rsid w:val="21BA320B"/>
    <w:rsid w:val="21CB76A1"/>
    <w:rsid w:val="21D4251F"/>
    <w:rsid w:val="21EA18A9"/>
    <w:rsid w:val="21EB07A6"/>
    <w:rsid w:val="21ED4214"/>
    <w:rsid w:val="21FA73E0"/>
    <w:rsid w:val="21FF50C2"/>
    <w:rsid w:val="22026FD6"/>
    <w:rsid w:val="22055B57"/>
    <w:rsid w:val="220A4589"/>
    <w:rsid w:val="2221328A"/>
    <w:rsid w:val="22327245"/>
    <w:rsid w:val="22461994"/>
    <w:rsid w:val="224F1BA5"/>
    <w:rsid w:val="2250591D"/>
    <w:rsid w:val="225545E5"/>
    <w:rsid w:val="22582B2D"/>
    <w:rsid w:val="2268710B"/>
    <w:rsid w:val="226A7B95"/>
    <w:rsid w:val="226C09A9"/>
    <w:rsid w:val="22732057"/>
    <w:rsid w:val="22804455"/>
    <w:rsid w:val="228F6446"/>
    <w:rsid w:val="22925F36"/>
    <w:rsid w:val="229879F0"/>
    <w:rsid w:val="22A53EBB"/>
    <w:rsid w:val="22A719E1"/>
    <w:rsid w:val="22AD4B1E"/>
    <w:rsid w:val="22AE59A2"/>
    <w:rsid w:val="22AF4D3A"/>
    <w:rsid w:val="22D476BC"/>
    <w:rsid w:val="22E449E3"/>
    <w:rsid w:val="22E63D24"/>
    <w:rsid w:val="22E7611F"/>
    <w:rsid w:val="22EE13BE"/>
    <w:rsid w:val="22EE7610"/>
    <w:rsid w:val="23040BE2"/>
    <w:rsid w:val="230F7587"/>
    <w:rsid w:val="231177A3"/>
    <w:rsid w:val="231B417D"/>
    <w:rsid w:val="231C5EB2"/>
    <w:rsid w:val="23244DE0"/>
    <w:rsid w:val="23266AC7"/>
    <w:rsid w:val="23273161"/>
    <w:rsid w:val="232A77A0"/>
    <w:rsid w:val="23324813"/>
    <w:rsid w:val="23332CA9"/>
    <w:rsid w:val="233F28CD"/>
    <w:rsid w:val="23411E36"/>
    <w:rsid w:val="2343110D"/>
    <w:rsid w:val="234C2977"/>
    <w:rsid w:val="234D0F7C"/>
    <w:rsid w:val="2355143D"/>
    <w:rsid w:val="23580F2E"/>
    <w:rsid w:val="2358717F"/>
    <w:rsid w:val="23594528"/>
    <w:rsid w:val="23614286"/>
    <w:rsid w:val="23623B5A"/>
    <w:rsid w:val="236E69A3"/>
    <w:rsid w:val="2378337E"/>
    <w:rsid w:val="238735C1"/>
    <w:rsid w:val="238B30B1"/>
    <w:rsid w:val="23977CA8"/>
    <w:rsid w:val="23B14AC1"/>
    <w:rsid w:val="23B343B6"/>
    <w:rsid w:val="23C10881"/>
    <w:rsid w:val="23CD5478"/>
    <w:rsid w:val="23D305B4"/>
    <w:rsid w:val="23F724F4"/>
    <w:rsid w:val="23F74B1D"/>
    <w:rsid w:val="23FE7D27"/>
    <w:rsid w:val="23FF75FB"/>
    <w:rsid w:val="240E783E"/>
    <w:rsid w:val="24374860"/>
    <w:rsid w:val="24417B7C"/>
    <w:rsid w:val="24456840"/>
    <w:rsid w:val="245331CC"/>
    <w:rsid w:val="24552767"/>
    <w:rsid w:val="2459087D"/>
    <w:rsid w:val="246851A0"/>
    <w:rsid w:val="246A716A"/>
    <w:rsid w:val="246B4C91"/>
    <w:rsid w:val="24704055"/>
    <w:rsid w:val="2472601F"/>
    <w:rsid w:val="247753E3"/>
    <w:rsid w:val="24894F42"/>
    <w:rsid w:val="24896F9C"/>
    <w:rsid w:val="248F3BA6"/>
    <w:rsid w:val="24912949"/>
    <w:rsid w:val="249441E7"/>
    <w:rsid w:val="249C5BDF"/>
    <w:rsid w:val="24A0580F"/>
    <w:rsid w:val="24BB1774"/>
    <w:rsid w:val="24C543A1"/>
    <w:rsid w:val="24C70119"/>
    <w:rsid w:val="24D4382A"/>
    <w:rsid w:val="24DB5972"/>
    <w:rsid w:val="24E32A79"/>
    <w:rsid w:val="24E62DC1"/>
    <w:rsid w:val="24E94533"/>
    <w:rsid w:val="24EA2059"/>
    <w:rsid w:val="24F66C50"/>
    <w:rsid w:val="24FB6014"/>
    <w:rsid w:val="24FF3177"/>
    <w:rsid w:val="25052E0F"/>
    <w:rsid w:val="252E63EA"/>
    <w:rsid w:val="25302162"/>
    <w:rsid w:val="25425A58"/>
    <w:rsid w:val="25440E2B"/>
    <w:rsid w:val="254B79CC"/>
    <w:rsid w:val="254E4396"/>
    <w:rsid w:val="255120D8"/>
    <w:rsid w:val="255B4D05"/>
    <w:rsid w:val="2566569A"/>
    <w:rsid w:val="256F4D07"/>
    <w:rsid w:val="25777D91"/>
    <w:rsid w:val="25781413"/>
    <w:rsid w:val="25856273"/>
    <w:rsid w:val="25920E87"/>
    <w:rsid w:val="25972DB8"/>
    <w:rsid w:val="25982C2A"/>
    <w:rsid w:val="25BA5ED0"/>
    <w:rsid w:val="25C1725E"/>
    <w:rsid w:val="25D24FC7"/>
    <w:rsid w:val="25DA0320"/>
    <w:rsid w:val="25DB38CA"/>
    <w:rsid w:val="25E62821"/>
    <w:rsid w:val="25E940BF"/>
    <w:rsid w:val="25EB3B3B"/>
    <w:rsid w:val="25F0369F"/>
    <w:rsid w:val="25F3318F"/>
    <w:rsid w:val="25F41D23"/>
    <w:rsid w:val="25F81E87"/>
    <w:rsid w:val="25F82554"/>
    <w:rsid w:val="25F90BA3"/>
    <w:rsid w:val="260E7FC9"/>
    <w:rsid w:val="26127ABA"/>
    <w:rsid w:val="26296BB1"/>
    <w:rsid w:val="262E235B"/>
    <w:rsid w:val="26415CA9"/>
    <w:rsid w:val="2650617A"/>
    <w:rsid w:val="265064E5"/>
    <w:rsid w:val="26541E80"/>
    <w:rsid w:val="2666570F"/>
    <w:rsid w:val="2668592C"/>
    <w:rsid w:val="266B66D7"/>
    <w:rsid w:val="266C79C5"/>
    <w:rsid w:val="26704B8B"/>
    <w:rsid w:val="26720558"/>
    <w:rsid w:val="26771A81"/>
    <w:rsid w:val="26857F36"/>
    <w:rsid w:val="268A58A2"/>
    <w:rsid w:val="269B6890"/>
    <w:rsid w:val="26A1499A"/>
    <w:rsid w:val="26A7782B"/>
    <w:rsid w:val="26B65329"/>
    <w:rsid w:val="26C2328E"/>
    <w:rsid w:val="26CE55A7"/>
    <w:rsid w:val="26DD1E76"/>
    <w:rsid w:val="26E11330"/>
    <w:rsid w:val="26E50D2A"/>
    <w:rsid w:val="26E82BE8"/>
    <w:rsid w:val="26F1147D"/>
    <w:rsid w:val="26FD2518"/>
    <w:rsid w:val="26FE04C1"/>
    <w:rsid w:val="26FE4EB7"/>
    <w:rsid w:val="270040D0"/>
    <w:rsid w:val="2711135F"/>
    <w:rsid w:val="27125405"/>
    <w:rsid w:val="271C2272"/>
    <w:rsid w:val="271D6716"/>
    <w:rsid w:val="27201A4F"/>
    <w:rsid w:val="27220C40"/>
    <w:rsid w:val="27351CB2"/>
    <w:rsid w:val="27391076"/>
    <w:rsid w:val="273B196C"/>
    <w:rsid w:val="27402404"/>
    <w:rsid w:val="274041B2"/>
    <w:rsid w:val="275B0C55"/>
    <w:rsid w:val="275B28C6"/>
    <w:rsid w:val="27663A9D"/>
    <w:rsid w:val="277667ED"/>
    <w:rsid w:val="27806CA5"/>
    <w:rsid w:val="278528FC"/>
    <w:rsid w:val="27965F66"/>
    <w:rsid w:val="279D4F06"/>
    <w:rsid w:val="27AC5069"/>
    <w:rsid w:val="27C923FA"/>
    <w:rsid w:val="27C933D0"/>
    <w:rsid w:val="27CA6AC0"/>
    <w:rsid w:val="27CB56CE"/>
    <w:rsid w:val="27D56FF1"/>
    <w:rsid w:val="27D74B17"/>
    <w:rsid w:val="27E9484A"/>
    <w:rsid w:val="27F07987"/>
    <w:rsid w:val="27FC632B"/>
    <w:rsid w:val="27FD20A3"/>
    <w:rsid w:val="27FE6547"/>
    <w:rsid w:val="280B4FF2"/>
    <w:rsid w:val="280F6FAD"/>
    <w:rsid w:val="28101DD7"/>
    <w:rsid w:val="28212236"/>
    <w:rsid w:val="282662BB"/>
    <w:rsid w:val="282A48B7"/>
    <w:rsid w:val="28341F69"/>
    <w:rsid w:val="28355CE1"/>
    <w:rsid w:val="284877C3"/>
    <w:rsid w:val="284952E9"/>
    <w:rsid w:val="286771ED"/>
    <w:rsid w:val="28683AAB"/>
    <w:rsid w:val="287B1D7D"/>
    <w:rsid w:val="287C746C"/>
    <w:rsid w:val="289F545D"/>
    <w:rsid w:val="28A6273B"/>
    <w:rsid w:val="28BA1D43"/>
    <w:rsid w:val="28BF5E7F"/>
    <w:rsid w:val="28C11DAA"/>
    <w:rsid w:val="28C606E7"/>
    <w:rsid w:val="28CA467C"/>
    <w:rsid w:val="28CD7CC8"/>
    <w:rsid w:val="28D459DB"/>
    <w:rsid w:val="28D948BF"/>
    <w:rsid w:val="28DC7F0B"/>
    <w:rsid w:val="28E219C5"/>
    <w:rsid w:val="28EF7C3E"/>
    <w:rsid w:val="28FC5319"/>
    <w:rsid w:val="28FF674B"/>
    <w:rsid w:val="29001E4B"/>
    <w:rsid w:val="29004DBA"/>
    <w:rsid w:val="29026BF4"/>
    <w:rsid w:val="290731DA"/>
    <w:rsid w:val="29096BD2"/>
    <w:rsid w:val="2910443B"/>
    <w:rsid w:val="29233D8C"/>
    <w:rsid w:val="29245D79"/>
    <w:rsid w:val="29257B04"/>
    <w:rsid w:val="292813A2"/>
    <w:rsid w:val="292C2C40"/>
    <w:rsid w:val="29311FCC"/>
    <w:rsid w:val="293164A9"/>
    <w:rsid w:val="29424212"/>
    <w:rsid w:val="29581C87"/>
    <w:rsid w:val="295E2EFD"/>
    <w:rsid w:val="2964062C"/>
    <w:rsid w:val="2975419D"/>
    <w:rsid w:val="298F31CF"/>
    <w:rsid w:val="29934A6D"/>
    <w:rsid w:val="29A924E3"/>
    <w:rsid w:val="29AA1DB7"/>
    <w:rsid w:val="29B03871"/>
    <w:rsid w:val="29B6525D"/>
    <w:rsid w:val="29BB2216"/>
    <w:rsid w:val="29BB4E8F"/>
    <w:rsid w:val="29BD5F8E"/>
    <w:rsid w:val="29C15A7E"/>
    <w:rsid w:val="29C27101"/>
    <w:rsid w:val="29D357B2"/>
    <w:rsid w:val="29D47CDA"/>
    <w:rsid w:val="29EF3C6E"/>
    <w:rsid w:val="29F11912"/>
    <w:rsid w:val="29F37C02"/>
    <w:rsid w:val="2A1D07DB"/>
    <w:rsid w:val="2A247DBB"/>
    <w:rsid w:val="2A292B60"/>
    <w:rsid w:val="2A2B2EF8"/>
    <w:rsid w:val="2A2E0C3A"/>
    <w:rsid w:val="2A353D77"/>
    <w:rsid w:val="2A3E70CF"/>
    <w:rsid w:val="2A4B359A"/>
    <w:rsid w:val="2A4E61A8"/>
    <w:rsid w:val="2A502FEB"/>
    <w:rsid w:val="2A522B7B"/>
    <w:rsid w:val="2A6B59EA"/>
    <w:rsid w:val="2A6C52BE"/>
    <w:rsid w:val="2A6D3510"/>
    <w:rsid w:val="2A77613D"/>
    <w:rsid w:val="2A866380"/>
    <w:rsid w:val="2AA44A58"/>
    <w:rsid w:val="2AAF7B00"/>
    <w:rsid w:val="2AB01024"/>
    <w:rsid w:val="2ABE1FBE"/>
    <w:rsid w:val="2AC31382"/>
    <w:rsid w:val="2AE92A77"/>
    <w:rsid w:val="2AF07F0D"/>
    <w:rsid w:val="2B053749"/>
    <w:rsid w:val="2B0F1B07"/>
    <w:rsid w:val="2B195446"/>
    <w:rsid w:val="2B2160A9"/>
    <w:rsid w:val="2B2D2CA0"/>
    <w:rsid w:val="2B3B360F"/>
    <w:rsid w:val="2B5E10AB"/>
    <w:rsid w:val="2B5E72FD"/>
    <w:rsid w:val="2B65068C"/>
    <w:rsid w:val="2B666CD9"/>
    <w:rsid w:val="2B715282"/>
    <w:rsid w:val="2B74267D"/>
    <w:rsid w:val="2B786611"/>
    <w:rsid w:val="2B7E34FB"/>
    <w:rsid w:val="2B852687"/>
    <w:rsid w:val="2B974E32"/>
    <w:rsid w:val="2B9D7E25"/>
    <w:rsid w:val="2B9E76FA"/>
    <w:rsid w:val="2BB1742D"/>
    <w:rsid w:val="2BB37649"/>
    <w:rsid w:val="2BBE7D9C"/>
    <w:rsid w:val="2BC453B2"/>
    <w:rsid w:val="2BCC4267"/>
    <w:rsid w:val="2BE4499D"/>
    <w:rsid w:val="2BEF44BB"/>
    <w:rsid w:val="2BF0264B"/>
    <w:rsid w:val="2BFF463C"/>
    <w:rsid w:val="2C047EA4"/>
    <w:rsid w:val="2C057779"/>
    <w:rsid w:val="2C0B1233"/>
    <w:rsid w:val="2C1F34A5"/>
    <w:rsid w:val="2C302A48"/>
    <w:rsid w:val="2C332538"/>
    <w:rsid w:val="2C365B84"/>
    <w:rsid w:val="2C5A1872"/>
    <w:rsid w:val="2C5A5D16"/>
    <w:rsid w:val="2C602C01"/>
    <w:rsid w:val="2C626979"/>
    <w:rsid w:val="2C680433"/>
    <w:rsid w:val="2C6E531E"/>
    <w:rsid w:val="2C747754"/>
    <w:rsid w:val="2C77465E"/>
    <w:rsid w:val="2C83526D"/>
    <w:rsid w:val="2C867B54"/>
    <w:rsid w:val="2C9137DF"/>
    <w:rsid w:val="2C9D7BF4"/>
    <w:rsid w:val="2CA3146B"/>
    <w:rsid w:val="2CAB40B4"/>
    <w:rsid w:val="2CAC543D"/>
    <w:rsid w:val="2CCA6AD3"/>
    <w:rsid w:val="2CE20EC6"/>
    <w:rsid w:val="2CE455E0"/>
    <w:rsid w:val="2CE51A84"/>
    <w:rsid w:val="2CE70878"/>
    <w:rsid w:val="2CE8602F"/>
    <w:rsid w:val="2D12214D"/>
    <w:rsid w:val="2D183C20"/>
    <w:rsid w:val="2D200D0E"/>
    <w:rsid w:val="2D2500D2"/>
    <w:rsid w:val="2D375814"/>
    <w:rsid w:val="2D377E06"/>
    <w:rsid w:val="2D3E1DC4"/>
    <w:rsid w:val="2D3F3458"/>
    <w:rsid w:val="2D4B37FC"/>
    <w:rsid w:val="2D5922EF"/>
    <w:rsid w:val="2D6836EB"/>
    <w:rsid w:val="2D765371"/>
    <w:rsid w:val="2D766B80"/>
    <w:rsid w:val="2D7B5F44"/>
    <w:rsid w:val="2D856A36"/>
    <w:rsid w:val="2D893826"/>
    <w:rsid w:val="2D8C0151"/>
    <w:rsid w:val="2D8C6675"/>
    <w:rsid w:val="2D8F505B"/>
    <w:rsid w:val="2D940DB4"/>
    <w:rsid w:val="2D9B045C"/>
    <w:rsid w:val="2D9B7BAD"/>
    <w:rsid w:val="2DA059AB"/>
    <w:rsid w:val="2DAC25A2"/>
    <w:rsid w:val="2DAF2092"/>
    <w:rsid w:val="2DB43204"/>
    <w:rsid w:val="2DBD655D"/>
    <w:rsid w:val="2DCF6290"/>
    <w:rsid w:val="2DE330C2"/>
    <w:rsid w:val="2DF1175B"/>
    <w:rsid w:val="2E00644A"/>
    <w:rsid w:val="2E0903C4"/>
    <w:rsid w:val="2E0C4DEE"/>
    <w:rsid w:val="2E162111"/>
    <w:rsid w:val="2E350646"/>
    <w:rsid w:val="2E447BF1"/>
    <w:rsid w:val="2E496043"/>
    <w:rsid w:val="2E4E5407"/>
    <w:rsid w:val="2E5549E7"/>
    <w:rsid w:val="2E5F7614"/>
    <w:rsid w:val="2E650E2E"/>
    <w:rsid w:val="2E7B7D04"/>
    <w:rsid w:val="2E833432"/>
    <w:rsid w:val="2E894691"/>
    <w:rsid w:val="2E9A689E"/>
    <w:rsid w:val="2E9D1DFB"/>
    <w:rsid w:val="2EA8720D"/>
    <w:rsid w:val="2EB37960"/>
    <w:rsid w:val="2EB57234"/>
    <w:rsid w:val="2EC1207D"/>
    <w:rsid w:val="2EE47B19"/>
    <w:rsid w:val="2EE921A3"/>
    <w:rsid w:val="2EED4C20"/>
    <w:rsid w:val="2EEE0998"/>
    <w:rsid w:val="2EF131ED"/>
    <w:rsid w:val="2EF53AD4"/>
    <w:rsid w:val="2EFB5495"/>
    <w:rsid w:val="2F011C12"/>
    <w:rsid w:val="2F032695"/>
    <w:rsid w:val="2F2D14C0"/>
    <w:rsid w:val="2F345823"/>
    <w:rsid w:val="2F350375"/>
    <w:rsid w:val="2F3C7955"/>
    <w:rsid w:val="2F49023B"/>
    <w:rsid w:val="2F671B2F"/>
    <w:rsid w:val="2F6A6270"/>
    <w:rsid w:val="2F715851"/>
    <w:rsid w:val="2F8D6403"/>
    <w:rsid w:val="2FA86D99"/>
    <w:rsid w:val="2FBB2F70"/>
    <w:rsid w:val="2FCD436A"/>
    <w:rsid w:val="2FD45DE0"/>
    <w:rsid w:val="2FD74A44"/>
    <w:rsid w:val="2FE51D9B"/>
    <w:rsid w:val="2FF14922"/>
    <w:rsid w:val="2FF71A70"/>
    <w:rsid w:val="30032221"/>
    <w:rsid w:val="30073ABF"/>
    <w:rsid w:val="300A35B0"/>
    <w:rsid w:val="300C557A"/>
    <w:rsid w:val="30146BDF"/>
    <w:rsid w:val="30182170"/>
    <w:rsid w:val="301C5A08"/>
    <w:rsid w:val="302503E9"/>
    <w:rsid w:val="30474804"/>
    <w:rsid w:val="304C1E1A"/>
    <w:rsid w:val="305E4E61"/>
    <w:rsid w:val="306058C5"/>
    <w:rsid w:val="306E3B3E"/>
    <w:rsid w:val="3082649B"/>
    <w:rsid w:val="3086532C"/>
    <w:rsid w:val="30901D07"/>
    <w:rsid w:val="30954A7B"/>
    <w:rsid w:val="3095556F"/>
    <w:rsid w:val="30986D57"/>
    <w:rsid w:val="30A05CC2"/>
    <w:rsid w:val="30A734F4"/>
    <w:rsid w:val="30C16364"/>
    <w:rsid w:val="30C65728"/>
    <w:rsid w:val="30CB71E3"/>
    <w:rsid w:val="30D145D3"/>
    <w:rsid w:val="30D467E0"/>
    <w:rsid w:val="30D83E02"/>
    <w:rsid w:val="30DC58E0"/>
    <w:rsid w:val="30E014BB"/>
    <w:rsid w:val="30E43E01"/>
    <w:rsid w:val="30E67A18"/>
    <w:rsid w:val="30EE1C38"/>
    <w:rsid w:val="30F71D86"/>
    <w:rsid w:val="30FC739C"/>
    <w:rsid w:val="310570DC"/>
    <w:rsid w:val="310F17F5"/>
    <w:rsid w:val="312D39F9"/>
    <w:rsid w:val="313E5C07"/>
    <w:rsid w:val="31472781"/>
    <w:rsid w:val="31540F86"/>
    <w:rsid w:val="315947EF"/>
    <w:rsid w:val="3159659D"/>
    <w:rsid w:val="31603DCF"/>
    <w:rsid w:val="31655A89"/>
    <w:rsid w:val="316D3DF6"/>
    <w:rsid w:val="317678CF"/>
    <w:rsid w:val="317A6513"/>
    <w:rsid w:val="318D6246"/>
    <w:rsid w:val="3199108F"/>
    <w:rsid w:val="319C5692"/>
    <w:rsid w:val="31A31F0E"/>
    <w:rsid w:val="31A35A6A"/>
    <w:rsid w:val="31AD6A0A"/>
    <w:rsid w:val="31BA0D5D"/>
    <w:rsid w:val="31BE278D"/>
    <w:rsid w:val="31C0486E"/>
    <w:rsid w:val="31CA7F73"/>
    <w:rsid w:val="31E57E30"/>
    <w:rsid w:val="31E85B72"/>
    <w:rsid w:val="31FE0EF2"/>
    <w:rsid w:val="31FE39F4"/>
    <w:rsid w:val="31FE7144"/>
    <w:rsid w:val="3205790A"/>
    <w:rsid w:val="3206456A"/>
    <w:rsid w:val="321102CB"/>
    <w:rsid w:val="32117DAA"/>
    <w:rsid w:val="321B5F48"/>
    <w:rsid w:val="321E1594"/>
    <w:rsid w:val="322070BA"/>
    <w:rsid w:val="322F554F"/>
    <w:rsid w:val="323808A8"/>
    <w:rsid w:val="3239017C"/>
    <w:rsid w:val="323A2CC6"/>
    <w:rsid w:val="323E777D"/>
    <w:rsid w:val="325B6344"/>
    <w:rsid w:val="32601BAD"/>
    <w:rsid w:val="32716A9B"/>
    <w:rsid w:val="327D275F"/>
    <w:rsid w:val="32823E47"/>
    <w:rsid w:val="3297404E"/>
    <w:rsid w:val="32A63A63"/>
    <w:rsid w:val="32B160CC"/>
    <w:rsid w:val="32B670C6"/>
    <w:rsid w:val="32B95C3B"/>
    <w:rsid w:val="32C30B4D"/>
    <w:rsid w:val="32C75788"/>
    <w:rsid w:val="32C959A4"/>
    <w:rsid w:val="330A725F"/>
    <w:rsid w:val="331A5854"/>
    <w:rsid w:val="33240E2C"/>
    <w:rsid w:val="33263C60"/>
    <w:rsid w:val="333F17C2"/>
    <w:rsid w:val="334D2131"/>
    <w:rsid w:val="33576B0C"/>
    <w:rsid w:val="33677B8F"/>
    <w:rsid w:val="33697190"/>
    <w:rsid w:val="337376BE"/>
    <w:rsid w:val="33784ED5"/>
    <w:rsid w:val="337A6C9E"/>
    <w:rsid w:val="33835B53"/>
    <w:rsid w:val="33883B0D"/>
    <w:rsid w:val="339E1438"/>
    <w:rsid w:val="33A44776"/>
    <w:rsid w:val="33A65CE5"/>
    <w:rsid w:val="33AB050A"/>
    <w:rsid w:val="33AD2BD0"/>
    <w:rsid w:val="33B73835"/>
    <w:rsid w:val="33B9042F"/>
    <w:rsid w:val="33DE7BB0"/>
    <w:rsid w:val="33E02FA5"/>
    <w:rsid w:val="33EA74EE"/>
    <w:rsid w:val="33F26834"/>
    <w:rsid w:val="33F64577"/>
    <w:rsid w:val="33FE167D"/>
    <w:rsid w:val="34000D04"/>
    <w:rsid w:val="3412737F"/>
    <w:rsid w:val="34191AED"/>
    <w:rsid w:val="342A06C4"/>
    <w:rsid w:val="342A6A66"/>
    <w:rsid w:val="34441786"/>
    <w:rsid w:val="34580D8D"/>
    <w:rsid w:val="346403C4"/>
    <w:rsid w:val="346F2601"/>
    <w:rsid w:val="346F4329"/>
    <w:rsid w:val="346F66D1"/>
    <w:rsid w:val="34761214"/>
    <w:rsid w:val="34A320BF"/>
    <w:rsid w:val="34A42225"/>
    <w:rsid w:val="34A47E5D"/>
    <w:rsid w:val="34A57D4B"/>
    <w:rsid w:val="34A67DE5"/>
    <w:rsid w:val="34A71D15"/>
    <w:rsid w:val="34AB4CD9"/>
    <w:rsid w:val="34B14942"/>
    <w:rsid w:val="34B23E72"/>
    <w:rsid w:val="34B25DEE"/>
    <w:rsid w:val="34BD6E42"/>
    <w:rsid w:val="34BE6629"/>
    <w:rsid w:val="34C1077A"/>
    <w:rsid w:val="34C73F94"/>
    <w:rsid w:val="34CA1554"/>
    <w:rsid w:val="34E846A5"/>
    <w:rsid w:val="34F30AB6"/>
    <w:rsid w:val="34F82570"/>
    <w:rsid w:val="35020CF9"/>
    <w:rsid w:val="35067DDE"/>
    <w:rsid w:val="351530B1"/>
    <w:rsid w:val="351822E6"/>
    <w:rsid w:val="3518676F"/>
    <w:rsid w:val="352B46F4"/>
    <w:rsid w:val="352C502F"/>
    <w:rsid w:val="35305866"/>
    <w:rsid w:val="354B26A0"/>
    <w:rsid w:val="355C0AD5"/>
    <w:rsid w:val="355F5352"/>
    <w:rsid w:val="356035C6"/>
    <w:rsid w:val="356E45E1"/>
    <w:rsid w:val="35725E7F"/>
    <w:rsid w:val="357F234A"/>
    <w:rsid w:val="35803B17"/>
    <w:rsid w:val="35876C0D"/>
    <w:rsid w:val="359A3628"/>
    <w:rsid w:val="359F6E8B"/>
    <w:rsid w:val="35A41DB0"/>
    <w:rsid w:val="35A818A1"/>
    <w:rsid w:val="35B00755"/>
    <w:rsid w:val="35B65600"/>
    <w:rsid w:val="35BD1429"/>
    <w:rsid w:val="35C0308E"/>
    <w:rsid w:val="35CD7559"/>
    <w:rsid w:val="35D408E8"/>
    <w:rsid w:val="35DA3A24"/>
    <w:rsid w:val="35DA71EC"/>
    <w:rsid w:val="35ED3757"/>
    <w:rsid w:val="360B2661"/>
    <w:rsid w:val="360B3258"/>
    <w:rsid w:val="360D3DFA"/>
    <w:rsid w:val="36252EF1"/>
    <w:rsid w:val="36343134"/>
    <w:rsid w:val="363870C8"/>
    <w:rsid w:val="36413AA3"/>
    <w:rsid w:val="36482669"/>
    <w:rsid w:val="36533F02"/>
    <w:rsid w:val="36565B90"/>
    <w:rsid w:val="366322EF"/>
    <w:rsid w:val="36641184"/>
    <w:rsid w:val="366D22D5"/>
    <w:rsid w:val="367231E6"/>
    <w:rsid w:val="36745C27"/>
    <w:rsid w:val="36851BE2"/>
    <w:rsid w:val="368A369C"/>
    <w:rsid w:val="368E7538"/>
    <w:rsid w:val="369812C8"/>
    <w:rsid w:val="36AA789A"/>
    <w:rsid w:val="36AF4EB1"/>
    <w:rsid w:val="36B94939"/>
    <w:rsid w:val="36BD75CE"/>
    <w:rsid w:val="36DC2029"/>
    <w:rsid w:val="36DD1A1E"/>
    <w:rsid w:val="36E7464B"/>
    <w:rsid w:val="36E96615"/>
    <w:rsid w:val="36F70DDA"/>
    <w:rsid w:val="36FD79CA"/>
    <w:rsid w:val="37066BBE"/>
    <w:rsid w:val="37081AB9"/>
    <w:rsid w:val="37152F66"/>
    <w:rsid w:val="372C6501"/>
    <w:rsid w:val="372F062C"/>
    <w:rsid w:val="3733163E"/>
    <w:rsid w:val="373C3D5D"/>
    <w:rsid w:val="37436C8E"/>
    <w:rsid w:val="3756532C"/>
    <w:rsid w:val="375D66BB"/>
    <w:rsid w:val="376932B2"/>
    <w:rsid w:val="376A257E"/>
    <w:rsid w:val="3772655E"/>
    <w:rsid w:val="377E4605"/>
    <w:rsid w:val="37895702"/>
    <w:rsid w:val="378A3513"/>
    <w:rsid w:val="378B7D89"/>
    <w:rsid w:val="378C0D4E"/>
    <w:rsid w:val="379854D9"/>
    <w:rsid w:val="37A30E83"/>
    <w:rsid w:val="37AE6D14"/>
    <w:rsid w:val="37BA1D5F"/>
    <w:rsid w:val="37D270A9"/>
    <w:rsid w:val="37D56B99"/>
    <w:rsid w:val="37DC0EC1"/>
    <w:rsid w:val="37E34BD0"/>
    <w:rsid w:val="37EE328C"/>
    <w:rsid w:val="37F37C92"/>
    <w:rsid w:val="37F67A54"/>
    <w:rsid w:val="37F7266B"/>
    <w:rsid w:val="3810372D"/>
    <w:rsid w:val="381948B8"/>
    <w:rsid w:val="381C6576"/>
    <w:rsid w:val="38242B87"/>
    <w:rsid w:val="38303DCF"/>
    <w:rsid w:val="38304134"/>
    <w:rsid w:val="384C2862"/>
    <w:rsid w:val="38507FCD"/>
    <w:rsid w:val="38514471"/>
    <w:rsid w:val="385C4BC4"/>
    <w:rsid w:val="386D5023"/>
    <w:rsid w:val="387463B2"/>
    <w:rsid w:val="387A7301"/>
    <w:rsid w:val="387B14EE"/>
    <w:rsid w:val="387D4F88"/>
    <w:rsid w:val="388365F5"/>
    <w:rsid w:val="38841336"/>
    <w:rsid w:val="38897C33"/>
    <w:rsid w:val="388D4D7E"/>
    <w:rsid w:val="389D7539"/>
    <w:rsid w:val="38A071A7"/>
    <w:rsid w:val="38A4483B"/>
    <w:rsid w:val="38AF73EA"/>
    <w:rsid w:val="38B15295"/>
    <w:rsid w:val="38B60DFD"/>
    <w:rsid w:val="38C509BB"/>
    <w:rsid w:val="38D356E1"/>
    <w:rsid w:val="38D3668F"/>
    <w:rsid w:val="38E26F5B"/>
    <w:rsid w:val="38E47094"/>
    <w:rsid w:val="38E726E0"/>
    <w:rsid w:val="38EF5A38"/>
    <w:rsid w:val="38F1355F"/>
    <w:rsid w:val="38FB262F"/>
    <w:rsid w:val="38FF5DE7"/>
    <w:rsid w:val="390E2362"/>
    <w:rsid w:val="390F4D4F"/>
    <w:rsid w:val="391D4354"/>
    <w:rsid w:val="391D7F6D"/>
    <w:rsid w:val="3922234B"/>
    <w:rsid w:val="392B4CC2"/>
    <w:rsid w:val="392C1632"/>
    <w:rsid w:val="392C4597"/>
    <w:rsid w:val="39355B41"/>
    <w:rsid w:val="39404403"/>
    <w:rsid w:val="39454BB6"/>
    <w:rsid w:val="39544AFE"/>
    <w:rsid w:val="395A7356"/>
    <w:rsid w:val="396226AE"/>
    <w:rsid w:val="39635BC8"/>
    <w:rsid w:val="39671A73"/>
    <w:rsid w:val="39810D86"/>
    <w:rsid w:val="39814D26"/>
    <w:rsid w:val="39830040"/>
    <w:rsid w:val="39837E8B"/>
    <w:rsid w:val="398C0E17"/>
    <w:rsid w:val="399C171C"/>
    <w:rsid w:val="399D7242"/>
    <w:rsid w:val="39AA4CDB"/>
    <w:rsid w:val="39CE6256"/>
    <w:rsid w:val="39D92970"/>
    <w:rsid w:val="39E37FDB"/>
    <w:rsid w:val="39EB4452"/>
    <w:rsid w:val="39FA6443"/>
    <w:rsid w:val="3A03179B"/>
    <w:rsid w:val="3A056ACA"/>
    <w:rsid w:val="3A0A0D7C"/>
    <w:rsid w:val="3A0B68A2"/>
    <w:rsid w:val="3A0F57EA"/>
    <w:rsid w:val="3A144021"/>
    <w:rsid w:val="3A281202"/>
    <w:rsid w:val="3A2C0A0E"/>
    <w:rsid w:val="3A2C2B3E"/>
    <w:rsid w:val="3A357076"/>
    <w:rsid w:val="3A430DC5"/>
    <w:rsid w:val="3A4B3142"/>
    <w:rsid w:val="3A5835DF"/>
    <w:rsid w:val="3A6A67D9"/>
    <w:rsid w:val="3A6D30B9"/>
    <w:rsid w:val="3A6D4E67"/>
    <w:rsid w:val="3A7461F5"/>
    <w:rsid w:val="3A83468A"/>
    <w:rsid w:val="3A850402"/>
    <w:rsid w:val="3A896114"/>
    <w:rsid w:val="3A900B55"/>
    <w:rsid w:val="3A995C5C"/>
    <w:rsid w:val="3AA12D62"/>
    <w:rsid w:val="3AB46BCD"/>
    <w:rsid w:val="3ABB2076"/>
    <w:rsid w:val="3AC52EF5"/>
    <w:rsid w:val="3ACA72AB"/>
    <w:rsid w:val="3AD30819"/>
    <w:rsid w:val="3AD604B2"/>
    <w:rsid w:val="3ADA7801"/>
    <w:rsid w:val="3AED0BAA"/>
    <w:rsid w:val="3AEE41FA"/>
    <w:rsid w:val="3AF45588"/>
    <w:rsid w:val="3AF64E5C"/>
    <w:rsid w:val="3AFB5E8D"/>
    <w:rsid w:val="3AFC5601"/>
    <w:rsid w:val="3B035FAC"/>
    <w:rsid w:val="3B0752BD"/>
    <w:rsid w:val="3B0D0D25"/>
    <w:rsid w:val="3B251BE5"/>
    <w:rsid w:val="3B255741"/>
    <w:rsid w:val="3B343BD6"/>
    <w:rsid w:val="3B3720B6"/>
    <w:rsid w:val="3B377BC2"/>
    <w:rsid w:val="3B385475"/>
    <w:rsid w:val="3B3D0CDD"/>
    <w:rsid w:val="3B462B12"/>
    <w:rsid w:val="3B4A5604"/>
    <w:rsid w:val="3B4E3A69"/>
    <w:rsid w:val="3B5A363D"/>
    <w:rsid w:val="3B5F6EA5"/>
    <w:rsid w:val="3B6169A1"/>
    <w:rsid w:val="3B6312E8"/>
    <w:rsid w:val="3B6D1E23"/>
    <w:rsid w:val="3B6F28E9"/>
    <w:rsid w:val="3B7364AD"/>
    <w:rsid w:val="3B7A5A8D"/>
    <w:rsid w:val="3B7A783B"/>
    <w:rsid w:val="3B8E6FF2"/>
    <w:rsid w:val="3B99218B"/>
    <w:rsid w:val="3B9B5A04"/>
    <w:rsid w:val="3B9D279F"/>
    <w:rsid w:val="3B9F3746"/>
    <w:rsid w:val="3BA1126C"/>
    <w:rsid w:val="3BA650FC"/>
    <w:rsid w:val="3BA66882"/>
    <w:rsid w:val="3BA725FA"/>
    <w:rsid w:val="3BA940FC"/>
    <w:rsid w:val="3BB23479"/>
    <w:rsid w:val="3BB735F0"/>
    <w:rsid w:val="3BD553B9"/>
    <w:rsid w:val="3BDD426E"/>
    <w:rsid w:val="3BEA46FC"/>
    <w:rsid w:val="3BF35840"/>
    <w:rsid w:val="3BFA4E20"/>
    <w:rsid w:val="3BFE6384"/>
    <w:rsid w:val="3BFF6A4F"/>
    <w:rsid w:val="3C0F7EFE"/>
    <w:rsid w:val="3C19752B"/>
    <w:rsid w:val="3C1F3408"/>
    <w:rsid w:val="3C2F4ACA"/>
    <w:rsid w:val="3C333E8E"/>
    <w:rsid w:val="3C3D7460"/>
    <w:rsid w:val="3C423D71"/>
    <w:rsid w:val="3C5E592C"/>
    <w:rsid w:val="3C5E715D"/>
    <w:rsid w:val="3C677EC4"/>
    <w:rsid w:val="3C687FDC"/>
    <w:rsid w:val="3C6A4C21"/>
    <w:rsid w:val="3C6E30A3"/>
    <w:rsid w:val="3C77306C"/>
    <w:rsid w:val="3C7C3A87"/>
    <w:rsid w:val="3C884E28"/>
    <w:rsid w:val="3C8A2E1F"/>
    <w:rsid w:val="3C957D9D"/>
    <w:rsid w:val="3CAD1E92"/>
    <w:rsid w:val="3CAF6A22"/>
    <w:rsid w:val="3CB56DB6"/>
    <w:rsid w:val="3CBC123C"/>
    <w:rsid w:val="3CC85F9C"/>
    <w:rsid w:val="3CCC056A"/>
    <w:rsid w:val="3CCF5BD4"/>
    <w:rsid w:val="3CDA7D7B"/>
    <w:rsid w:val="3CDE204C"/>
    <w:rsid w:val="3CE31410"/>
    <w:rsid w:val="3CE5157D"/>
    <w:rsid w:val="3CEA48ED"/>
    <w:rsid w:val="3D001BF6"/>
    <w:rsid w:val="3D0B5180"/>
    <w:rsid w:val="3D172824"/>
    <w:rsid w:val="3D2A34E3"/>
    <w:rsid w:val="3D361E88"/>
    <w:rsid w:val="3D3E2AEA"/>
    <w:rsid w:val="3D3F6F8E"/>
    <w:rsid w:val="3D4E0F7F"/>
    <w:rsid w:val="3D566086"/>
    <w:rsid w:val="3D5B544A"/>
    <w:rsid w:val="3D6B2084"/>
    <w:rsid w:val="3D8A74CF"/>
    <w:rsid w:val="3D8E5117"/>
    <w:rsid w:val="3D94095C"/>
    <w:rsid w:val="3DA037A5"/>
    <w:rsid w:val="3DA05553"/>
    <w:rsid w:val="3DAF2FF4"/>
    <w:rsid w:val="3DB334D8"/>
    <w:rsid w:val="3DB86202"/>
    <w:rsid w:val="3DBF59D9"/>
    <w:rsid w:val="3DC12F7F"/>
    <w:rsid w:val="3DCA6F9F"/>
    <w:rsid w:val="3DD1395F"/>
    <w:rsid w:val="3DE04ECC"/>
    <w:rsid w:val="3DED3F4B"/>
    <w:rsid w:val="3DF945F4"/>
    <w:rsid w:val="3DFA4C63"/>
    <w:rsid w:val="3E1F291C"/>
    <w:rsid w:val="3E2B6F65"/>
    <w:rsid w:val="3E2E2B5F"/>
    <w:rsid w:val="3E30750E"/>
    <w:rsid w:val="3E353EED"/>
    <w:rsid w:val="3E3B7F54"/>
    <w:rsid w:val="3E4827C7"/>
    <w:rsid w:val="3E491747"/>
    <w:rsid w:val="3E494E5B"/>
    <w:rsid w:val="3E5D51F2"/>
    <w:rsid w:val="3E5E3444"/>
    <w:rsid w:val="3E611186"/>
    <w:rsid w:val="3E704F26"/>
    <w:rsid w:val="3E716647"/>
    <w:rsid w:val="3E726506"/>
    <w:rsid w:val="3E7D4168"/>
    <w:rsid w:val="3E886713"/>
    <w:rsid w:val="3E894239"/>
    <w:rsid w:val="3E8A73CA"/>
    <w:rsid w:val="3E8F1762"/>
    <w:rsid w:val="3E9275F9"/>
    <w:rsid w:val="3ED27799"/>
    <w:rsid w:val="3EE33949"/>
    <w:rsid w:val="3EEA117C"/>
    <w:rsid w:val="3EEC54CF"/>
    <w:rsid w:val="3EF5367D"/>
    <w:rsid w:val="3EFB5137"/>
    <w:rsid w:val="3F020DB9"/>
    <w:rsid w:val="3F057D64"/>
    <w:rsid w:val="3F1958EE"/>
    <w:rsid w:val="3F1B557D"/>
    <w:rsid w:val="3F1E2BD3"/>
    <w:rsid w:val="3F1E45AB"/>
    <w:rsid w:val="3F3A29A8"/>
    <w:rsid w:val="3F3E3276"/>
    <w:rsid w:val="3F400D9C"/>
    <w:rsid w:val="3F446ADE"/>
    <w:rsid w:val="3F485DF7"/>
    <w:rsid w:val="3F535120"/>
    <w:rsid w:val="3F59528C"/>
    <w:rsid w:val="3F5E56C6"/>
    <w:rsid w:val="3F650802"/>
    <w:rsid w:val="3F656B63"/>
    <w:rsid w:val="3F6C6ECE"/>
    <w:rsid w:val="3F8073EA"/>
    <w:rsid w:val="3F84512C"/>
    <w:rsid w:val="3F8A5E35"/>
    <w:rsid w:val="3F8E1B07"/>
    <w:rsid w:val="3F945626"/>
    <w:rsid w:val="3FA56E51"/>
    <w:rsid w:val="3FB6105E"/>
    <w:rsid w:val="3FC51C6A"/>
    <w:rsid w:val="3FE77469"/>
    <w:rsid w:val="3FF46985"/>
    <w:rsid w:val="3FFB789E"/>
    <w:rsid w:val="3FFD0A3B"/>
    <w:rsid w:val="3FFF22C1"/>
    <w:rsid w:val="4001677D"/>
    <w:rsid w:val="400370E7"/>
    <w:rsid w:val="40063244"/>
    <w:rsid w:val="4013200C"/>
    <w:rsid w:val="401C3086"/>
    <w:rsid w:val="401F09B1"/>
    <w:rsid w:val="40207DBF"/>
    <w:rsid w:val="403703F1"/>
    <w:rsid w:val="40456856"/>
    <w:rsid w:val="404B697A"/>
    <w:rsid w:val="404E573A"/>
    <w:rsid w:val="40524017"/>
    <w:rsid w:val="405D597D"/>
    <w:rsid w:val="406867FC"/>
    <w:rsid w:val="407451A1"/>
    <w:rsid w:val="407E181D"/>
    <w:rsid w:val="40823B59"/>
    <w:rsid w:val="409C584F"/>
    <w:rsid w:val="409E7E7E"/>
    <w:rsid w:val="40A16C21"/>
    <w:rsid w:val="40AF5E62"/>
    <w:rsid w:val="40BD72A3"/>
    <w:rsid w:val="40C024EF"/>
    <w:rsid w:val="40CA0841"/>
    <w:rsid w:val="41004C87"/>
    <w:rsid w:val="410C72EF"/>
    <w:rsid w:val="41105E87"/>
    <w:rsid w:val="411859AC"/>
    <w:rsid w:val="41263FC1"/>
    <w:rsid w:val="413E130B"/>
    <w:rsid w:val="414C3A28"/>
    <w:rsid w:val="41682D3C"/>
    <w:rsid w:val="417C1E33"/>
    <w:rsid w:val="417E204F"/>
    <w:rsid w:val="417E3DFD"/>
    <w:rsid w:val="41950879"/>
    <w:rsid w:val="41990C37"/>
    <w:rsid w:val="419B6A3A"/>
    <w:rsid w:val="41A069E2"/>
    <w:rsid w:val="41A76CDF"/>
    <w:rsid w:val="41AF045B"/>
    <w:rsid w:val="41C16954"/>
    <w:rsid w:val="41C2018E"/>
    <w:rsid w:val="41C55588"/>
    <w:rsid w:val="41D20053"/>
    <w:rsid w:val="41EA3241"/>
    <w:rsid w:val="41EE4ADF"/>
    <w:rsid w:val="41F145CF"/>
    <w:rsid w:val="41F93516"/>
    <w:rsid w:val="42084ABF"/>
    <w:rsid w:val="420A46F2"/>
    <w:rsid w:val="4214206C"/>
    <w:rsid w:val="42196C84"/>
    <w:rsid w:val="422229DB"/>
    <w:rsid w:val="42253E56"/>
    <w:rsid w:val="422E5823"/>
    <w:rsid w:val="424566C9"/>
    <w:rsid w:val="42507548"/>
    <w:rsid w:val="4267663F"/>
    <w:rsid w:val="42687C81"/>
    <w:rsid w:val="42750D5C"/>
    <w:rsid w:val="427A21B6"/>
    <w:rsid w:val="427D58A7"/>
    <w:rsid w:val="427F44AC"/>
    <w:rsid w:val="42812E8D"/>
    <w:rsid w:val="42870A90"/>
    <w:rsid w:val="42997141"/>
    <w:rsid w:val="429A4C67"/>
    <w:rsid w:val="429D5507"/>
    <w:rsid w:val="429E4757"/>
    <w:rsid w:val="42A33B1C"/>
    <w:rsid w:val="42A67168"/>
    <w:rsid w:val="42CD0B98"/>
    <w:rsid w:val="42D361F6"/>
    <w:rsid w:val="42DF08CC"/>
    <w:rsid w:val="42F84106"/>
    <w:rsid w:val="42F8459D"/>
    <w:rsid w:val="43086840"/>
    <w:rsid w:val="430B1A01"/>
    <w:rsid w:val="430C4C8B"/>
    <w:rsid w:val="432D1637"/>
    <w:rsid w:val="433B01F8"/>
    <w:rsid w:val="43412AFC"/>
    <w:rsid w:val="43432C09"/>
    <w:rsid w:val="434C281A"/>
    <w:rsid w:val="436533AE"/>
    <w:rsid w:val="439416B6"/>
    <w:rsid w:val="43972F54"/>
    <w:rsid w:val="439F2F04"/>
    <w:rsid w:val="43A0005B"/>
    <w:rsid w:val="43A01E09"/>
    <w:rsid w:val="43AD2778"/>
    <w:rsid w:val="43B356BB"/>
    <w:rsid w:val="43C57AC2"/>
    <w:rsid w:val="43CA50D8"/>
    <w:rsid w:val="43CB06B5"/>
    <w:rsid w:val="43D22F67"/>
    <w:rsid w:val="43D46DDA"/>
    <w:rsid w:val="43DB1093"/>
    <w:rsid w:val="43DD305D"/>
    <w:rsid w:val="43F31105"/>
    <w:rsid w:val="43FB34E3"/>
    <w:rsid w:val="4404683C"/>
    <w:rsid w:val="44200C81"/>
    <w:rsid w:val="442C18EF"/>
    <w:rsid w:val="4432388E"/>
    <w:rsid w:val="4436276D"/>
    <w:rsid w:val="443B5FD6"/>
    <w:rsid w:val="443B7D84"/>
    <w:rsid w:val="446B5B00"/>
    <w:rsid w:val="44727C49"/>
    <w:rsid w:val="447B1636"/>
    <w:rsid w:val="447D214A"/>
    <w:rsid w:val="448E07FB"/>
    <w:rsid w:val="44937BC0"/>
    <w:rsid w:val="44A45929"/>
    <w:rsid w:val="44B33DBE"/>
    <w:rsid w:val="44B57A0B"/>
    <w:rsid w:val="44B813D4"/>
    <w:rsid w:val="44B90FD0"/>
    <w:rsid w:val="44BC0F21"/>
    <w:rsid w:val="44F248E6"/>
    <w:rsid w:val="44FA7C3F"/>
    <w:rsid w:val="45036AF3"/>
    <w:rsid w:val="450458AF"/>
    <w:rsid w:val="4508410A"/>
    <w:rsid w:val="45216F7A"/>
    <w:rsid w:val="452B604A"/>
    <w:rsid w:val="4530540F"/>
    <w:rsid w:val="45367129"/>
    <w:rsid w:val="456E1722"/>
    <w:rsid w:val="456F4189"/>
    <w:rsid w:val="45701CAF"/>
    <w:rsid w:val="4574179F"/>
    <w:rsid w:val="45833790"/>
    <w:rsid w:val="458A0FC3"/>
    <w:rsid w:val="458C5CEC"/>
    <w:rsid w:val="458F65D9"/>
    <w:rsid w:val="459B0313"/>
    <w:rsid w:val="45A8769B"/>
    <w:rsid w:val="45B002FD"/>
    <w:rsid w:val="45C5024D"/>
    <w:rsid w:val="45C85647"/>
    <w:rsid w:val="45D66CA4"/>
    <w:rsid w:val="45E05087"/>
    <w:rsid w:val="45E16709"/>
    <w:rsid w:val="45E32B60"/>
    <w:rsid w:val="45ED3300"/>
    <w:rsid w:val="45EF52CA"/>
    <w:rsid w:val="45F60406"/>
    <w:rsid w:val="45F679AF"/>
    <w:rsid w:val="45F86744"/>
    <w:rsid w:val="4608146B"/>
    <w:rsid w:val="461A0599"/>
    <w:rsid w:val="461E795D"/>
    <w:rsid w:val="46584C1D"/>
    <w:rsid w:val="46675B6D"/>
    <w:rsid w:val="4670640B"/>
    <w:rsid w:val="46933EA7"/>
    <w:rsid w:val="469367CD"/>
    <w:rsid w:val="46965745"/>
    <w:rsid w:val="469C1FB7"/>
    <w:rsid w:val="469C2B5F"/>
    <w:rsid w:val="469D0882"/>
    <w:rsid w:val="46A165C4"/>
    <w:rsid w:val="46AF5982"/>
    <w:rsid w:val="46B651A1"/>
    <w:rsid w:val="46B856BC"/>
    <w:rsid w:val="46BD7176"/>
    <w:rsid w:val="46C71DA3"/>
    <w:rsid w:val="46C8610F"/>
    <w:rsid w:val="46CA0775"/>
    <w:rsid w:val="46CA4A71"/>
    <w:rsid w:val="46D36999"/>
    <w:rsid w:val="46D70238"/>
    <w:rsid w:val="46DD105A"/>
    <w:rsid w:val="46F94130"/>
    <w:rsid w:val="470B7EE1"/>
    <w:rsid w:val="471A6376"/>
    <w:rsid w:val="471C3E9C"/>
    <w:rsid w:val="47280A93"/>
    <w:rsid w:val="47282841"/>
    <w:rsid w:val="474B7B20"/>
    <w:rsid w:val="474E27EB"/>
    <w:rsid w:val="47501D98"/>
    <w:rsid w:val="475F3D89"/>
    <w:rsid w:val="47625498"/>
    <w:rsid w:val="476B6AB9"/>
    <w:rsid w:val="4789516E"/>
    <w:rsid w:val="47901FA0"/>
    <w:rsid w:val="47905C5D"/>
    <w:rsid w:val="479F1F62"/>
    <w:rsid w:val="47A44213"/>
    <w:rsid w:val="47AB17F6"/>
    <w:rsid w:val="47B6600E"/>
    <w:rsid w:val="47B6609F"/>
    <w:rsid w:val="47BC11DC"/>
    <w:rsid w:val="47C40755"/>
    <w:rsid w:val="47C61378"/>
    <w:rsid w:val="47C86DC7"/>
    <w:rsid w:val="47CB7671"/>
    <w:rsid w:val="47D72C44"/>
    <w:rsid w:val="47D91D8D"/>
    <w:rsid w:val="47DE1152"/>
    <w:rsid w:val="47DE73A4"/>
    <w:rsid w:val="47E10C42"/>
    <w:rsid w:val="47F170D7"/>
    <w:rsid w:val="47F92430"/>
    <w:rsid w:val="48017A71"/>
    <w:rsid w:val="4805359A"/>
    <w:rsid w:val="480967B9"/>
    <w:rsid w:val="481B05F8"/>
    <w:rsid w:val="48207A26"/>
    <w:rsid w:val="48243022"/>
    <w:rsid w:val="48256D81"/>
    <w:rsid w:val="48276F9D"/>
    <w:rsid w:val="483671E0"/>
    <w:rsid w:val="483E7E42"/>
    <w:rsid w:val="48474F49"/>
    <w:rsid w:val="4852627F"/>
    <w:rsid w:val="48545075"/>
    <w:rsid w:val="486378A9"/>
    <w:rsid w:val="4867383D"/>
    <w:rsid w:val="48735D3E"/>
    <w:rsid w:val="487675DC"/>
    <w:rsid w:val="487E46E3"/>
    <w:rsid w:val="489108BA"/>
    <w:rsid w:val="489675A2"/>
    <w:rsid w:val="48A27589"/>
    <w:rsid w:val="48AC318F"/>
    <w:rsid w:val="48AD6E5F"/>
    <w:rsid w:val="48B9450D"/>
    <w:rsid w:val="48BD520B"/>
    <w:rsid w:val="48C04CFB"/>
    <w:rsid w:val="48C20A74"/>
    <w:rsid w:val="48C77E38"/>
    <w:rsid w:val="48C91E02"/>
    <w:rsid w:val="48D72771"/>
    <w:rsid w:val="48EB3AB9"/>
    <w:rsid w:val="48F21359"/>
    <w:rsid w:val="48FF3A76"/>
    <w:rsid w:val="490966A2"/>
    <w:rsid w:val="491A08B0"/>
    <w:rsid w:val="491C19C4"/>
    <w:rsid w:val="491C4628"/>
    <w:rsid w:val="492509CD"/>
    <w:rsid w:val="493C4382"/>
    <w:rsid w:val="49423962"/>
    <w:rsid w:val="494C6142"/>
    <w:rsid w:val="49535B70"/>
    <w:rsid w:val="4956284F"/>
    <w:rsid w:val="49621A93"/>
    <w:rsid w:val="496A5C71"/>
    <w:rsid w:val="496C5792"/>
    <w:rsid w:val="4977360C"/>
    <w:rsid w:val="497A68DE"/>
    <w:rsid w:val="498541E7"/>
    <w:rsid w:val="49866B1B"/>
    <w:rsid w:val="499248EA"/>
    <w:rsid w:val="49995C78"/>
    <w:rsid w:val="499A554C"/>
    <w:rsid w:val="499C5C2A"/>
    <w:rsid w:val="499C7FF5"/>
    <w:rsid w:val="49A6332D"/>
    <w:rsid w:val="49AD647A"/>
    <w:rsid w:val="49B177BF"/>
    <w:rsid w:val="49D56585"/>
    <w:rsid w:val="49DC7913"/>
    <w:rsid w:val="49EA0282"/>
    <w:rsid w:val="49F17862"/>
    <w:rsid w:val="49F301B9"/>
    <w:rsid w:val="49FE5A5F"/>
    <w:rsid w:val="4A0333C5"/>
    <w:rsid w:val="4A050C18"/>
    <w:rsid w:val="4A183615"/>
    <w:rsid w:val="4A1962B3"/>
    <w:rsid w:val="4A203CA4"/>
    <w:rsid w:val="4A215054"/>
    <w:rsid w:val="4A252F67"/>
    <w:rsid w:val="4A25750C"/>
    <w:rsid w:val="4A2A68D0"/>
    <w:rsid w:val="4A3E412A"/>
    <w:rsid w:val="4A4110E0"/>
    <w:rsid w:val="4A431F7F"/>
    <w:rsid w:val="4A484FA8"/>
    <w:rsid w:val="4A767D68"/>
    <w:rsid w:val="4A7E72E8"/>
    <w:rsid w:val="4A820975"/>
    <w:rsid w:val="4A91694F"/>
    <w:rsid w:val="4A9B77CE"/>
    <w:rsid w:val="4AA94448"/>
    <w:rsid w:val="4AB35810"/>
    <w:rsid w:val="4AB826A0"/>
    <w:rsid w:val="4AB83EDC"/>
    <w:rsid w:val="4ABF7BCA"/>
    <w:rsid w:val="4AC1342E"/>
    <w:rsid w:val="4AC62A9D"/>
    <w:rsid w:val="4AC72C8D"/>
    <w:rsid w:val="4AD8632C"/>
    <w:rsid w:val="4ADC2719"/>
    <w:rsid w:val="4AE03433"/>
    <w:rsid w:val="4AE567C4"/>
    <w:rsid w:val="4AF869CF"/>
    <w:rsid w:val="4B143967"/>
    <w:rsid w:val="4B1747FF"/>
    <w:rsid w:val="4B1F03FF"/>
    <w:rsid w:val="4B201DD0"/>
    <w:rsid w:val="4B2509CF"/>
    <w:rsid w:val="4B307F16"/>
    <w:rsid w:val="4B337A07"/>
    <w:rsid w:val="4B381A95"/>
    <w:rsid w:val="4B4832C5"/>
    <w:rsid w:val="4B49547C"/>
    <w:rsid w:val="4B4B72D8"/>
    <w:rsid w:val="4B677C21"/>
    <w:rsid w:val="4B7A69FB"/>
    <w:rsid w:val="4B995DC4"/>
    <w:rsid w:val="4BAB3A41"/>
    <w:rsid w:val="4BB70638"/>
    <w:rsid w:val="4BBD6F52"/>
    <w:rsid w:val="4BC90725"/>
    <w:rsid w:val="4BCE3C8F"/>
    <w:rsid w:val="4BED4059"/>
    <w:rsid w:val="4BF03B4A"/>
    <w:rsid w:val="4BF41FBC"/>
    <w:rsid w:val="4BFA22D2"/>
    <w:rsid w:val="4BFF5B3B"/>
    <w:rsid w:val="4C1D3C2F"/>
    <w:rsid w:val="4C2F6420"/>
    <w:rsid w:val="4C3E6663"/>
    <w:rsid w:val="4C417657"/>
    <w:rsid w:val="4C50415B"/>
    <w:rsid w:val="4C5145E8"/>
    <w:rsid w:val="4C59349D"/>
    <w:rsid w:val="4C5A0678"/>
    <w:rsid w:val="4C5D24D7"/>
    <w:rsid w:val="4C5E4F57"/>
    <w:rsid w:val="4C6A38FC"/>
    <w:rsid w:val="4C6D0622"/>
    <w:rsid w:val="4C6D6562"/>
    <w:rsid w:val="4C7044A1"/>
    <w:rsid w:val="4C714C8A"/>
    <w:rsid w:val="4C79261D"/>
    <w:rsid w:val="4C7D6CC5"/>
    <w:rsid w:val="4C88631A"/>
    <w:rsid w:val="4C8C73CE"/>
    <w:rsid w:val="4C8F3363"/>
    <w:rsid w:val="4CAA1F4A"/>
    <w:rsid w:val="4CB25B15"/>
    <w:rsid w:val="4CBB7CB4"/>
    <w:rsid w:val="4CE10E12"/>
    <w:rsid w:val="4CF3744D"/>
    <w:rsid w:val="4CF731EB"/>
    <w:rsid w:val="4CFF2296"/>
    <w:rsid w:val="4D022D79"/>
    <w:rsid w:val="4D094EC3"/>
    <w:rsid w:val="4D135D42"/>
    <w:rsid w:val="4D19111E"/>
    <w:rsid w:val="4D1B69A4"/>
    <w:rsid w:val="4D205718"/>
    <w:rsid w:val="4D2B2FC8"/>
    <w:rsid w:val="4D302450"/>
    <w:rsid w:val="4D3E5C01"/>
    <w:rsid w:val="4D423F31"/>
    <w:rsid w:val="4D48080E"/>
    <w:rsid w:val="4D52686A"/>
    <w:rsid w:val="4D6D5452"/>
    <w:rsid w:val="4D73058E"/>
    <w:rsid w:val="4D7344EC"/>
    <w:rsid w:val="4D9120E7"/>
    <w:rsid w:val="4D987FF5"/>
    <w:rsid w:val="4D9C5D37"/>
    <w:rsid w:val="4D9D385D"/>
    <w:rsid w:val="4D9F75D5"/>
    <w:rsid w:val="4DA1334D"/>
    <w:rsid w:val="4DA54095"/>
    <w:rsid w:val="4DB0533F"/>
    <w:rsid w:val="4DB50BA7"/>
    <w:rsid w:val="4DBC29E8"/>
    <w:rsid w:val="4DC96400"/>
    <w:rsid w:val="4DD3168B"/>
    <w:rsid w:val="4DDE1EAC"/>
    <w:rsid w:val="4DF15EB4"/>
    <w:rsid w:val="4DF815B6"/>
    <w:rsid w:val="4E0833CC"/>
    <w:rsid w:val="4E094A4F"/>
    <w:rsid w:val="4E0D7E35"/>
    <w:rsid w:val="4E151645"/>
    <w:rsid w:val="4E2146FA"/>
    <w:rsid w:val="4E296E9F"/>
    <w:rsid w:val="4E2F73B3"/>
    <w:rsid w:val="4E3715BC"/>
    <w:rsid w:val="4E3B0734"/>
    <w:rsid w:val="4E3E066C"/>
    <w:rsid w:val="4E4C150B"/>
    <w:rsid w:val="4E4F3B28"/>
    <w:rsid w:val="4E51609D"/>
    <w:rsid w:val="4E617D73"/>
    <w:rsid w:val="4E630603"/>
    <w:rsid w:val="4E6525CD"/>
    <w:rsid w:val="4E6A7A98"/>
    <w:rsid w:val="4E8011B5"/>
    <w:rsid w:val="4E843D5E"/>
    <w:rsid w:val="4E9702AC"/>
    <w:rsid w:val="4EA06726"/>
    <w:rsid w:val="4EA2112B"/>
    <w:rsid w:val="4EA408F5"/>
    <w:rsid w:val="4EA604F0"/>
    <w:rsid w:val="4EB3158A"/>
    <w:rsid w:val="4EB8094F"/>
    <w:rsid w:val="4ED40995"/>
    <w:rsid w:val="4ED96B17"/>
    <w:rsid w:val="4EE221C8"/>
    <w:rsid w:val="4EE554BC"/>
    <w:rsid w:val="4EF31987"/>
    <w:rsid w:val="4EF413C1"/>
    <w:rsid w:val="4EFD4F1D"/>
    <w:rsid w:val="4F02606E"/>
    <w:rsid w:val="4F03788A"/>
    <w:rsid w:val="4F195165"/>
    <w:rsid w:val="4F1D07B2"/>
    <w:rsid w:val="4F323738"/>
    <w:rsid w:val="4F3842E2"/>
    <w:rsid w:val="4F390EE0"/>
    <w:rsid w:val="4F3E0A38"/>
    <w:rsid w:val="4F56098E"/>
    <w:rsid w:val="4F7D74A2"/>
    <w:rsid w:val="4F8E16AF"/>
    <w:rsid w:val="4F9C0232"/>
    <w:rsid w:val="4FAC5493"/>
    <w:rsid w:val="4FBA3171"/>
    <w:rsid w:val="4FC7121C"/>
    <w:rsid w:val="4FCC3F86"/>
    <w:rsid w:val="4FD30759"/>
    <w:rsid w:val="4FD32844"/>
    <w:rsid w:val="4FE15C83"/>
    <w:rsid w:val="4FE70DC0"/>
    <w:rsid w:val="4FEA6F0B"/>
    <w:rsid w:val="4FEE214E"/>
    <w:rsid w:val="4FFF120E"/>
    <w:rsid w:val="4FFF25AD"/>
    <w:rsid w:val="50054F94"/>
    <w:rsid w:val="500D4CCA"/>
    <w:rsid w:val="50100316"/>
    <w:rsid w:val="501C4114"/>
    <w:rsid w:val="50267B3A"/>
    <w:rsid w:val="50475F52"/>
    <w:rsid w:val="5051229A"/>
    <w:rsid w:val="50546455"/>
    <w:rsid w:val="506D39BB"/>
    <w:rsid w:val="50803FA6"/>
    <w:rsid w:val="50901EE7"/>
    <w:rsid w:val="50B2610E"/>
    <w:rsid w:val="50B43398"/>
    <w:rsid w:val="50BB64D4"/>
    <w:rsid w:val="50C64E79"/>
    <w:rsid w:val="50C7131D"/>
    <w:rsid w:val="50D6330E"/>
    <w:rsid w:val="50DF62FA"/>
    <w:rsid w:val="50E748BB"/>
    <w:rsid w:val="50F9524E"/>
    <w:rsid w:val="511B3417"/>
    <w:rsid w:val="51257B8B"/>
    <w:rsid w:val="51290D6E"/>
    <w:rsid w:val="512D6CA6"/>
    <w:rsid w:val="513774C0"/>
    <w:rsid w:val="513B74F9"/>
    <w:rsid w:val="5150751B"/>
    <w:rsid w:val="515406D7"/>
    <w:rsid w:val="51622DF4"/>
    <w:rsid w:val="51730B5D"/>
    <w:rsid w:val="517B5A7B"/>
    <w:rsid w:val="5184487E"/>
    <w:rsid w:val="518A5EA7"/>
    <w:rsid w:val="519F7BA4"/>
    <w:rsid w:val="51AE6039"/>
    <w:rsid w:val="51C66CCF"/>
    <w:rsid w:val="51CD19A5"/>
    <w:rsid w:val="51D830B6"/>
    <w:rsid w:val="51DE2BE6"/>
    <w:rsid w:val="51EE6435"/>
    <w:rsid w:val="52011CB2"/>
    <w:rsid w:val="52067C23"/>
    <w:rsid w:val="5208399B"/>
    <w:rsid w:val="520B2D7F"/>
    <w:rsid w:val="520B348B"/>
    <w:rsid w:val="520B5239"/>
    <w:rsid w:val="521A722A"/>
    <w:rsid w:val="521C7BCD"/>
    <w:rsid w:val="524E70C2"/>
    <w:rsid w:val="524F00AA"/>
    <w:rsid w:val="52545CDE"/>
    <w:rsid w:val="525E7A5F"/>
    <w:rsid w:val="525F10E1"/>
    <w:rsid w:val="526B5CD8"/>
    <w:rsid w:val="527F70E7"/>
    <w:rsid w:val="52860D64"/>
    <w:rsid w:val="529C2921"/>
    <w:rsid w:val="52B02227"/>
    <w:rsid w:val="52BF7DD2"/>
    <w:rsid w:val="52CB49C9"/>
    <w:rsid w:val="52CD6993"/>
    <w:rsid w:val="52D11560"/>
    <w:rsid w:val="52F10B4A"/>
    <w:rsid w:val="53000B16"/>
    <w:rsid w:val="530219FE"/>
    <w:rsid w:val="530B738C"/>
    <w:rsid w:val="530E5635"/>
    <w:rsid w:val="53116E11"/>
    <w:rsid w:val="53166BE9"/>
    <w:rsid w:val="531837F7"/>
    <w:rsid w:val="532F4613"/>
    <w:rsid w:val="5338205E"/>
    <w:rsid w:val="533D7674"/>
    <w:rsid w:val="533E4B1C"/>
    <w:rsid w:val="53422EDD"/>
    <w:rsid w:val="535248BD"/>
    <w:rsid w:val="535350EA"/>
    <w:rsid w:val="535E583D"/>
    <w:rsid w:val="5374210C"/>
    <w:rsid w:val="53754134"/>
    <w:rsid w:val="53760DD8"/>
    <w:rsid w:val="537647B1"/>
    <w:rsid w:val="53964FD7"/>
    <w:rsid w:val="53A94D0A"/>
    <w:rsid w:val="53B13BBE"/>
    <w:rsid w:val="53B86AFC"/>
    <w:rsid w:val="53B9178D"/>
    <w:rsid w:val="53C51418"/>
    <w:rsid w:val="53CC6C4A"/>
    <w:rsid w:val="53CE4770"/>
    <w:rsid w:val="53CE651E"/>
    <w:rsid w:val="53DA435F"/>
    <w:rsid w:val="53E30D08"/>
    <w:rsid w:val="53FF492A"/>
    <w:rsid w:val="54040192"/>
    <w:rsid w:val="540B4634"/>
    <w:rsid w:val="54177EC5"/>
    <w:rsid w:val="542551E1"/>
    <w:rsid w:val="542E3461"/>
    <w:rsid w:val="543636AC"/>
    <w:rsid w:val="54370568"/>
    <w:rsid w:val="54422A68"/>
    <w:rsid w:val="54534C76"/>
    <w:rsid w:val="546D18E3"/>
    <w:rsid w:val="546D5D37"/>
    <w:rsid w:val="547075D6"/>
    <w:rsid w:val="54720CF8"/>
    <w:rsid w:val="547277F2"/>
    <w:rsid w:val="54795CDD"/>
    <w:rsid w:val="547C241E"/>
    <w:rsid w:val="54837309"/>
    <w:rsid w:val="548412D3"/>
    <w:rsid w:val="54882B71"/>
    <w:rsid w:val="54AB710B"/>
    <w:rsid w:val="54AD38AA"/>
    <w:rsid w:val="54B03E76"/>
    <w:rsid w:val="54B7159A"/>
    <w:rsid w:val="54BC628D"/>
    <w:rsid w:val="54C8216A"/>
    <w:rsid w:val="54D933CD"/>
    <w:rsid w:val="54DC110F"/>
    <w:rsid w:val="54E72C65"/>
    <w:rsid w:val="54EF499E"/>
    <w:rsid w:val="54F85711"/>
    <w:rsid w:val="54FE2E33"/>
    <w:rsid w:val="55023A07"/>
    <w:rsid w:val="55061B79"/>
    <w:rsid w:val="55085A60"/>
    <w:rsid w:val="550C37A2"/>
    <w:rsid w:val="550D12C8"/>
    <w:rsid w:val="55230FA5"/>
    <w:rsid w:val="552C79A0"/>
    <w:rsid w:val="553A16CD"/>
    <w:rsid w:val="553E52D5"/>
    <w:rsid w:val="55456CB4"/>
    <w:rsid w:val="55573840"/>
    <w:rsid w:val="556670B3"/>
    <w:rsid w:val="55684751"/>
    <w:rsid w:val="556C4241"/>
    <w:rsid w:val="556D1D67"/>
    <w:rsid w:val="55711857"/>
    <w:rsid w:val="557650C0"/>
    <w:rsid w:val="55823A64"/>
    <w:rsid w:val="558C043F"/>
    <w:rsid w:val="559A68BB"/>
    <w:rsid w:val="55A23005"/>
    <w:rsid w:val="55AD3642"/>
    <w:rsid w:val="55C93441"/>
    <w:rsid w:val="55CF47D0"/>
    <w:rsid w:val="55D83684"/>
    <w:rsid w:val="55E02539"/>
    <w:rsid w:val="55E26FF6"/>
    <w:rsid w:val="55EB2B02"/>
    <w:rsid w:val="55F12998"/>
    <w:rsid w:val="55FB7373"/>
    <w:rsid w:val="56064695"/>
    <w:rsid w:val="561315FA"/>
    <w:rsid w:val="561D19DF"/>
    <w:rsid w:val="562543F0"/>
    <w:rsid w:val="56466840"/>
    <w:rsid w:val="56551179"/>
    <w:rsid w:val="56570A4D"/>
    <w:rsid w:val="565877C4"/>
    <w:rsid w:val="565B6C4D"/>
    <w:rsid w:val="56633896"/>
    <w:rsid w:val="5666172C"/>
    <w:rsid w:val="56690780"/>
    <w:rsid w:val="56807EC7"/>
    <w:rsid w:val="56892BD1"/>
    <w:rsid w:val="569E48CE"/>
    <w:rsid w:val="56B57E6A"/>
    <w:rsid w:val="56D93B58"/>
    <w:rsid w:val="56E37F83"/>
    <w:rsid w:val="56E801F8"/>
    <w:rsid w:val="57091F5B"/>
    <w:rsid w:val="570F757A"/>
    <w:rsid w:val="571A1A7B"/>
    <w:rsid w:val="57213B42"/>
    <w:rsid w:val="57256D9D"/>
    <w:rsid w:val="572957ED"/>
    <w:rsid w:val="573568B4"/>
    <w:rsid w:val="573C40E7"/>
    <w:rsid w:val="573C7C43"/>
    <w:rsid w:val="573E39BB"/>
    <w:rsid w:val="574C257C"/>
    <w:rsid w:val="57597E07"/>
    <w:rsid w:val="575C02E5"/>
    <w:rsid w:val="57680A38"/>
    <w:rsid w:val="576C4D27"/>
    <w:rsid w:val="57747B59"/>
    <w:rsid w:val="57783371"/>
    <w:rsid w:val="57842C6E"/>
    <w:rsid w:val="578A30A4"/>
    <w:rsid w:val="57945CD1"/>
    <w:rsid w:val="57995095"/>
    <w:rsid w:val="579C4AA3"/>
    <w:rsid w:val="579E445A"/>
    <w:rsid w:val="579F00DA"/>
    <w:rsid w:val="57A23F4A"/>
    <w:rsid w:val="57A31A70"/>
    <w:rsid w:val="57CC63EF"/>
    <w:rsid w:val="57CE45CA"/>
    <w:rsid w:val="57D34F8E"/>
    <w:rsid w:val="57D52571"/>
    <w:rsid w:val="57DB3900"/>
    <w:rsid w:val="57DB745C"/>
    <w:rsid w:val="57FB7AFE"/>
    <w:rsid w:val="5806097D"/>
    <w:rsid w:val="580C3AB9"/>
    <w:rsid w:val="580D6A12"/>
    <w:rsid w:val="5818420C"/>
    <w:rsid w:val="582157B7"/>
    <w:rsid w:val="583851F5"/>
    <w:rsid w:val="583A0626"/>
    <w:rsid w:val="583D3C73"/>
    <w:rsid w:val="58543FB2"/>
    <w:rsid w:val="58607961"/>
    <w:rsid w:val="58686F74"/>
    <w:rsid w:val="586B07E0"/>
    <w:rsid w:val="587F24DD"/>
    <w:rsid w:val="58825B29"/>
    <w:rsid w:val="588F6E1D"/>
    <w:rsid w:val="58900246"/>
    <w:rsid w:val="58907E48"/>
    <w:rsid w:val="58977827"/>
    <w:rsid w:val="58A12453"/>
    <w:rsid w:val="58A14202"/>
    <w:rsid w:val="58B31A8B"/>
    <w:rsid w:val="58B8511B"/>
    <w:rsid w:val="58D07DF4"/>
    <w:rsid w:val="58F24A5D"/>
    <w:rsid w:val="58F5454D"/>
    <w:rsid w:val="58FC58DC"/>
    <w:rsid w:val="59097FF9"/>
    <w:rsid w:val="590C5C18"/>
    <w:rsid w:val="592310BA"/>
    <w:rsid w:val="59266ED9"/>
    <w:rsid w:val="593727F5"/>
    <w:rsid w:val="59401C6C"/>
    <w:rsid w:val="596A7545"/>
    <w:rsid w:val="596F7613"/>
    <w:rsid w:val="59796F2C"/>
    <w:rsid w:val="598633F7"/>
    <w:rsid w:val="5991283D"/>
    <w:rsid w:val="599B3347"/>
    <w:rsid w:val="59AA5338"/>
    <w:rsid w:val="59AF3A4D"/>
    <w:rsid w:val="59B14DBB"/>
    <w:rsid w:val="59B83EF9"/>
    <w:rsid w:val="59BB12F3"/>
    <w:rsid w:val="59BB7545"/>
    <w:rsid w:val="59C52172"/>
    <w:rsid w:val="59CC1752"/>
    <w:rsid w:val="59CC3500"/>
    <w:rsid w:val="59CF2BC9"/>
    <w:rsid w:val="59D24F7D"/>
    <w:rsid w:val="59D423B5"/>
    <w:rsid w:val="59DE7AE5"/>
    <w:rsid w:val="59E47353"/>
    <w:rsid w:val="59E92304"/>
    <w:rsid w:val="59EF5441"/>
    <w:rsid w:val="59F45A45"/>
    <w:rsid w:val="59FB6D28"/>
    <w:rsid w:val="5A001D7C"/>
    <w:rsid w:val="5A094754"/>
    <w:rsid w:val="5A0E3B19"/>
    <w:rsid w:val="5A113609"/>
    <w:rsid w:val="5A1B4488"/>
    <w:rsid w:val="5A2068C3"/>
    <w:rsid w:val="5A307F33"/>
    <w:rsid w:val="5A4412E8"/>
    <w:rsid w:val="5A5359CF"/>
    <w:rsid w:val="5A6279C1"/>
    <w:rsid w:val="5A636344"/>
    <w:rsid w:val="5A6C0942"/>
    <w:rsid w:val="5A6C515F"/>
    <w:rsid w:val="5A775C92"/>
    <w:rsid w:val="5A854D8F"/>
    <w:rsid w:val="5A875679"/>
    <w:rsid w:val="5A8A6572"/>
    <w:rsid w:val="5A8D7133"/>
    <w:rsid w:val="5AA0484E"/>
    <w:rsid w:val="5AA955EF"/>
    <w:rsid w:val="5AAE2C06"/>
    <w:rsid w:val="5ABE2263"/>
    <w:rsid w:val="5AC16DDD"/>
    <w:rsid w:val="5AC643F3"/>
    <w:rsid w:val="5AC8210F"/>
    <w:rsid w:val="5AD3387B"/>
    <w:rsid w:val="5AD77038"/>
    <w:rsid w:val="5AEB3E5A"/>
    <w:rsid w:val="5AEC4DDF"/>
    <w:rsid w:val="5AF01470"/>
    <w:rsid w:val="5AF21780"/>
    <w:rsid w:val="5AFD593B"/>
    <w:rsid w:val="5B0A0784"/>
    <w:rsid w:val="5B1142DF"/>
    <w:rsid w:val="5B150ED7"/>
    <w:rsid w:val="5B172EA1"/>
    <w:rsid w:val="5B251FD7"/>
    <w:rsid w:val="5B290765"/>
    <w:rsid w:val="5B2B4256"/>
    <w:rsid w:val="5B2D71A3"/>
    <w:rsid w:val="5B2D7FCE"/>
    <w:rsid w:val="5B3E040C"/>
    <w:rsid w:val="5B3F69F0"/>
    <w:rsid w:val="5B5437AD"/>
    <w:rsid w:val="5B6B4252"/>
    <w:rsid w:val="5B750FA2"/>
    <w:rsid w:val="5B7C0F56"/>
    <w:rsid w:val="5B8B1DE2"/>
    <w:rsid w:val="5B8B2F47"/>
    <w:rsid w:val="5B93080E"/>
    <w:rsid w:val="5B953DC6"/>
    <w:rsid w:val="5B98279E"/>
    <w:rsid w:val="5BA419F8"/>
    <w:rsid w:val="5BA74225"/>
    <w:rsid w:val="5BA760CF"/>
    <w:rsid w:val="5BAA5AC3"/>
    <w:rsid w:val="5BAB6C05"/>
    <w:rsid w:val="5BB56AE7"/>
    <w:rsid w:val="5BC4531C"/>
    <w:rsid w:val="5BCC1717"/>
    <w:rsid w:val="5BDB6A45"/>
    <w:rsid w:val="5BF154A0"/>
    <w:rsid w:val="5BFE196B"/>
    <w:rsid w:val="5C0276AD"/>
    <w:rsid w:val="5C074CC3"/>
    <w:rsid w:val="5C0C052C"/>
    <w:rsid w:val="5C0F3B78"/>
    <w:rsid w:val="5C115B42"/>
    <w:rsid w:val="5C2C0286"/>
    <w:rsid w:val="5C386BA0"/>
    <w:rsid w:val="5C6C2D78"/>
    <w:rsid w:val="5C6F1B50"/>
    <w:rsid w:val="5C7922E1"/>
    <w:rsid w:val="5C7A634D"/>
    <w:rsid w:val="5C8207EE"/>
    <w:rsid w:val="5C877BB2"/>
    <w:rsid w:val="5C9C2725"/>
    <w:rsid w:val="5C9C5700"/>
    <w:rsid w:val="5CAB03AC"/>
    <w:rsid w:val="5CB70498"/>
    <w:rsid w:val="5CC8534F"/>
    <w:rsid w:val="5CCD6BA5"/>
    <w:rsid w:val="5CE03458"/>
    <w:rsid w:val="5CFB5EAA"/>
    <w:rsid w:val="5CFC40FC"/>
    <w:rsid w:val="5CFF3BED"/>
    <w:rsid w:val="5D0905C7"/>
    <w:rsid w:val="5D0B07E3"/>
    <w:rsid w:val="5D0D455B"/>
    <w:rsid w:val="5D1433FF"/>
    <w:rsid w:val="5D1A0558"/>
    <w:rsid w:val="5D223C5B"/>
    <w:rsid w:val="5D315D07"/>
    <w:rsid w:val="5D335644"/>
    <w:rsid w:val="5D4149B4"/>
    <w:rsid w:val="5D4D3B1C"/>
    <w:rsid w:val="5D591219"/>
    <w:rsid w:val="5D6F4A8D"/>
    <w:rsid w:val="5D8D744A"/>
    <w:rsid w:val="5D8F31C2"/>
    <w:rsid w:val="5D927755"/>
    <w:rsid w:val="5D9E2531"/>
    <w:rsid w:val="5DA3681C"/>
    <w:rsid w:val="5DB04EE7"/>
    <w:rsid w:val="5DB46785"/>
    <w:rsid w:val="5DB61C96"/>
    <w:rsid w:val="5DB70023"/>
    <w:rsid w:val="5DCD3CEB"/>
    <w:rsid w:val="5DD9443E"/>
    <w:rsid w:val="5DDE1A54"/>
    <w:rsid w:val="5DEF19B9"/>
    <w:rsid w:val="5DF41277"/>
    <w:rsid w:val="5DF748C4"/>
    <w:rsid w:val="5DF9063C"/>
    <w:rsid w:val="5DFE3EA4"/>
    <w:rsid w:val="5E045733"/>
    <w:rsid w:val="5E07636F"/>
    <w:rsid w:val="5E0A5B42"/>
    <w:rsid w:val="5E0D5AFE"/>
    <w:rsid w:val="5E0F60B1"/>
    <w:rsid w:val="5E196F30"/>
    <w:rsid w:val="5E317DD6"/>
    <w:rsid w:val="5E3C677A"/>
    <w:rsid w:val="5E3E6996"/>
    <w:rsid w:val="5E437B09"/>
    <w:rsid w:val="5E455888"/>
    <w:rsid w:val="5E4567E9"/>
    <w:rsid w:val="5E457785"/>
    <w:rsid w:val="5E4618CD"/>
    <w:rsid w:val="5E473A9D"/>
    <w:rsid w:val="5E4C10B3"/>
    <w:rsid w:val="5E4E4E2C"/>
    <w:rsid w:val="5E544E92"/>
    <w:rsid w:val="5E793037"/>
    <w:rsid w:val="5E84084D"/>
    <w:rsid w:val="5E852A92"/>
    <w:rsid w:val="5E8A15DB"/>
    <w:rsid w:val="5E8D2BCF"/>
    <w:rsid w:val="5E8D6C0D"/>
    <w:rsid w:val="5E940365"/>
    <w:rsid w:val="5EA848A7"/>
    <w:rsid w:val="5EB01642"/>
    <w:rsid w:val="5EB558FD"/>
    <w:rsid w:val="5EC450EE"/>
    <w:rsid w:val="5ED4172E"/>
    <w:rsid w:val="5EEC58F5"/>
    <w:rsid w:val="5EED7300"/>
    <w:rsid w:val="5EFA245D"/>
    <w:rsid w:val="5F030A38"/>
    <w:rsid w:val="5F087B73"/>
    <w:rsid w:val="5F0E6369"/>
    <w:rsid w:val="5F116103"/>
    <w:rsid w:val="5F256B29"/>
    <w:rsid w:val="5F2E2567"/>
    <w:rsid w:val="5F301C24"/>
    <w:rsid w:val="5F351B48"/>
    <w:rsid w:val="5F3F4774"/>
    <w:rsid w:val="5F446F5E"/>
    <w:rsid w:val="5F473629"/>
    <w:rsid w:val="5F4F0E5B"/>
    <w:rsid w:val="5F5F0972"/>
    <w:rsid w:val="5F742670"/>
    <w:rsid w:val="5F8022D9"/>
    <w:rsid w:val="5F8B1768"/>
    <w:rsid w:val="5F926F9A"/>
    <w:rsid w:val="5F9E6F73"/>
    <w:rsid w:val="5FAF36A8"/>
    <w:rsid w:val="5FC652A4"/>
    <w:rsid w:val="5FCC7CD0"/>
    <w:rsid w:val="5FD250A1"/>
    <w:rsid w:val="5FD41360"/>
    <w:rsid w:val="5FD4310E"/>
    <w:rsid w:val="5FE13A7D"/>
    <w:rsid w:val="5FE57EFF"/>
    <w:rsid w:val="5FF13A3C"/>
    <w:rsid w:val="60174AD8"/>
    <w:rsid w:val="60326087"/>
    <w:rsid w:val="60341DFF"/>
    <w:rsid w:val="603C4F45"/>
    <w:rsid w:val="604066B4"/>
    <w:rsid w:val="604858AA"/>
    <w:rsid w:val="604869AE"/>
    <w:rsid w:val="604A6A10"/>
    <w:rsid w:val="604F4829"/>
    <w:rsid w:val="6051475F"/>
    <w:rsid w:val="60567FC7"/>
    <w:rsid w:val="605F1E70"/>
    <w:rsid w:val="606C00AE"/>
    <w:rsid w:val="6071052B"/>
    <w:rsid w:val="607E12CC"/>
    <w:rsid w:val="608508AD"/>
    <w:rsid w:val="608A7C71"/>
    <w:rsid w:val="608B58E7"/>
    <w:rsid w:val="608C055C"/>
    <w:rsid w:val="608F34D9"/>
    <w:rsid w:val="60917251"/>
    <w:rsid w:val="609309F4"/>
    <w:rsid w:val="6099078C"/>
    <w:rsid w:val="60A24FBB"/>
    <w:rsid w:val="60A60507"/>
    <w:rsid w:val="60A6475A"/>
    <w:rsid w:val="60A800F7"/>
    <w:rsid w:val="60AD1A12"/>
    <w:rsid w:val="60BF3DBF"/>
    <w:rsid w:val="60C50CA9"/>
    <w:rsid w:val="60CD7D73"/>
    <w:rsid w:val="60E0295D"/>
    <w:rsid w:val="60E806EB"/>
    <w:rsid w:val="60E87D80"/>
    <w:rsid w:val="60EA0710"/>
    <w:rsid w:val="60EC092C"/>
    <w:rsid w:val="60FF5A53"/>
    <w:rsid w:val="6106379C"/>
    <w:rsid w:val="610C6769"/>
    <w:rsid w:val="610D044D"/>
    <w:rsid w:val="61131A15"/>
    <w:rsid w:val="6122664B"/>
    <w:rsid w:val="612A5555"/>
    <w:rsid w:val="612B3202"/>
    <w:rsid w:val="613023AA"/>
    <w:rsid w:val="613025C6"/>
    <w:rsid w:val="61493688"/>
    <w:rsid w:val="614C3178"/>
    <w:rsid w:val="614E6EF1"/>
    <w:rsid w:val="615755BD"/>
    <w:rsid w:val="61785D1C"/>
    <w:rsid w:val="617D7E6A"/>
    <w:rsid w:val="617E1D72"/>
    <w:rsid w:val="617F39BA"/>
    <w:rsid w:val="61834CF3"/>
    <w:rsid w:val="618446C0"/>
    <w:rsid w:val="61954B1F"/>
    <w:rsid w:val="61985561"/>
    <w:rsid w:val="61993472"/>
    <w:rsid w:val="619A3EE4"/>
    <w:rsid w:val="61A644C1"/>
    <w:rsid w:val="61A8587F"/>
    <w:rsid w:val="61A927B6"/>
    <w:rsid w:val="61AC2D1E"/>
    <w:rsid w:val="61B825BC"/>
    <w:rsid w:val="61B9080E"/>
    <w:rsid w:val="61BA27D8"/>
    <w:rsid w:val="61C40F61"/>
    <w:rsid w:val="61CB22EF"/>
    <w:rsid w:val="61D94A0C"/>
    <w:rsid w:val="61DF25F1"/>
    <w:rsid w:val="61E741EB"/>
    <w:rsid w:val="61E810F3"/>
    <w:rsid w:val="61F31885"/>
    <w:rsid w:val="61FC06FB"/>
    <w:rsid w:val="620F4796"/>
    <w:rsid w:val="621517BC"/>
    <w:rsid w:val="6222429B"/>
    <w:rsid w:val="62334397"/>
    <w:rsid w:val="623E089F"/>
    <w:rsid w:val="624058E7"/>
    <w:rsid w:val="624E361E"/>
    <w:rsid w:val="625B657B"/>
    <w:rsid w:val="62621AF5"/>
    <w:rsid w:val="62630F00"/>
    <w:rsid w:val="6280650B"/>
    <w:rsid w:val="62833433"/>
    <w:rsid w:val="629D7D01"/>
    <w:rsid w:val="62A019CE"/>
    <w:rsid w:val="62A44DD0"/>
    <w:rsid w:val="62A9666D"/>
    <w:rsid w:val="62BB05B6"/>
    <w:rsid w:val="62BF0A61"/>
    <w:rsid w:val="62C16803"/>
    <w:rsid w:val="62D460A8"/>
    <w:rsid w:val="62D80B9A"/>
    <w:rsid w:val="62DA4EE0"/>
    <w:rsid w:val="62DD22DA"/>
    <w:rsid w:val="62E0001C"/>
    <w:rsid w:val="62E820EE"/>
    <w:rsid w:val="62F260C5"/>
    <w:rsid w:val="62FF66F4"/>
    <w:rsid w:val="63013101"/>
    <w:rsid w:val="631A352E"/>
    <w:rsid w:val="632F6399"/>
    <w:rsid w:val="63314756"/>
    <w:rsid w:val="633F11E7"/>
    <w:rsid w:val="633F4D43"/>
    <w:rsid w:val="634A37EB"/>
    <w:rsid w:val="634F07DE"/>
    <w:rsid w:val="63512CC8"/>
    <w:rsid w:val="63533B27"/>
    <w:rsid w:val="635F53E5"/>
    <w:rsid w:val="63614411"/>
    <w:rsid w:val="636C365E"/>
    <w:rsid w:val="63772C3C"/>
    <w:rsid w:val="63796F4E"/>
    <w:rsid w:val="637B17D3"/>
    <w:rsid w:val="637D3ABD"/>
    <w:rsid w:val="63813CD0"/>
    <w:rsid w:val="63906E1F"/>
    <w:rsid w:val="63927568"/>
    <w:rsid w:val="63976D65"/>
    <w:rsid w:val="639C0548"/>
    <w:rsid w:val="63A86D8C"/>
    <w:rsid w:val="63AE3127"/>
    <w:rsid w:val="63C90AB0"/>
    <w:rsid w:val="63CD585D"/>
    <w:rsid w:val="63DB1067"/>
    <w:rsid w:val="63E37DC4"/>
    <w:rsid w:val="63E458EA"/>
    <w:rsid w:val="63F21DB5"/>
    <w:rsid w:val="63FA6EBC"/>
    <w:rsid w:val="63FB5F93"/>
    <w:rsid w:val="640246BC"/>
    <w:rsid w:val="64077B7B"/>
    <w:rsid w:val="640B266D"/>
    <w:rsid w:val="6410048D"/>
    <w:rsid w:val="642B52C7"/>
    <w:rsid w:val="643028DD"/>
    <w:rsid w:val="64337DCC"/>
    <w:rsid w:val="644F259F"/>
    <w:rsid w:val="64562EA8"/>
    <w:rsid w:val="64570A13"/>
    <w:rsid w:val="646870C7"/>
    <w:rsid w:val="647025F4"/>
    <w:rsid w:val="64744EC0"/>
    <w:rsid w:val="64754794"/>
    <w:rsid w:val="648273DA"/>
    <w:rsid w:val="648F1CFA"/>
    <w:rsid w:val="64990483"/>
    <w:rsid w:val="64994927"/>
    <w:rsid w:val="649C565F"/>
    <w:rsid w:val="64AC63B8"/>
    <w:rsid w:val="64B80398"/>
    <w:rsid w:val="64BF74AD"/>
    <w:rsid w:val="64C80D68"/>
    <w:rsid w:val="64C86FBA"/>
    <w:rsid w:val="64D12164"/>
    <w:rsid w:val="64DF023C"/>
    <w:rsid w:val="64F658D5"/>
    <w:rsid w:val="6502023B"/>
    <w:rsid w:val="65055B18"/>
    <w:rsid w:val="65075D34"/>
    <w:rsid w:val="650E5509"/>
    <w:rsid w:val="651915C4"/>
    <w:rsid w:val="651A1369"/>
    <w:rsid w:val="651B7C8F"/>
    <w:rsid w:val="65262EA9"/>
    <w:rsid w:val="652776B9"/>
    <w:rsid w:val="65285A6C"/>
    <w:rsid w:val="65346E5E"/>
    <w:rsid w:val="65525C64"/>
    <w:rsid w:val="655645C6"/>
    <w:rsid w:val="65565F75"/>
    <w:rsid w:val="655E1BCB"/>
    <w:rsid w:val="655F347A"/>
    <w:rsid w:val="65901116"/>
    <w:rsid w:val="65AB12E7"/>
    <w:rsid w:val="65AD670F"/>
    <w:rsid w:val="65B5753E"/>
    <w:rsid w:val="65CB6D62"/>
    <w:rsid w:val="65E330C1"/>
    <w:rsid w:val="65E73470"/>
    <w:rsid w:val="65EC0A86"/>
    <w:rsid w:val="65F71905"/>
    <w:rsid w:val="66186012"/>
    <w:rsid w:val="66287D10"/>
    <w:rsid w:val="66293A88"/>
    <w:rsid w:val="6632293D"/>
    <w:rsid w:val="664B1C51"/>
    <w:rsid w:val="6659436D"/>
    <w:rsid w:val="665A1E94"/>
    <w:rsid w:val="665E1984"/>
    <w:rsid w:val="665F5F74"/>
    <w:rsid w:val="66636F9A"/>
    <w:rsid w:val="66666A8A"/>
    <w:rsid w:val="667C1E0A"/>
    <w:rsid w:val="66862C89"/>
    <w:rsid w:val="668A626C"/>
    <w:rsid w:val="668D04BB"/>
    <w:rsid w:val="669B2BD8"/>
    <w:rsid w:val="669C7D8C"/>
    <w:rsid w:val="66AC6B93"/>
    <w:rsid w:val="66AD290B"/>
    <w:rsid w:val="66C31F0C"/>
    <w:rsid w:val="66D103A8"/>
    <w:rsid w:val="66D35132"/>
    <w:rsid w:val="66E63727"/>
    <w:rsid w:val="66E75E1D"/>
    <w:rsid w:val="66EF082E"/>
    <w:rsid w:val="66F3297C"/>
    <w:rsid w:val="66F75934"/>
    <w:rsid w:val="66FB3677"/>
    <w:rsid w:val="66FD5574"/>
    <w:rsid w:val="67065B78"/>
    <w:rsid w:val="670D469D"/>
    <w:rsid w:val="670F75E6"/>
    <w:rsid w:val="672A1C50"/>
    <w:rsid w:val="67315764"/>
    <w:rsid w:val="67472418"/>
    <w:rsid w:val="674974BA"/>
    <w:rsid w:val="675D7E8D"/>
    <w:rsid w:val="6779459B"/>
    <w:rsid w:val="677E0D69"/>
    <w:rsid w:val="678361D2"/>
    <w:rsid w:val="6790738C"/>
    <w:rsid w:val="67AC2BC3"/>
    <w:rsid w:val="67B779CB"/>
    <w:rsid w:val="67C577E1"/>
    <w:rsid w:val="67C779FD"/>
    <w:rsid w:val="67CB0460"/>
    <w:rsid w:val="67EE0FC7"/>
    <w:rsid w:val="67FB439B"/>
    <w:rsid w:val="68024591"/>
    <w:rsid w:val="6808604B"/>
    <w:rsid w:val="680C18FD"/>
    <w:rsid w:val="68210EBB"/>
    <w:rsid w:val="683152C0"/>
    <w:rsid w:val="68354966"/>
    <w:rsid w:val="683706DE"/>
    <w:rsid w:val="68441D23"/>
    <w:rsid w:val="684D1CB0"/>
    <w:rsid w:val="684E4620"/>
    <w:rsid w:val="685017A0"/>
    <w:rsid w:val="685718E3"/>
    <w:rsid w:val="685A43CD"/>
    <w:rsid w:val="685C6397"/>
    <w:rsid w:val="687F04C6"/>
    <w:rsid w:val="68877872"/>
    <w:rsid w:val="68993147"/>
    <w:rsid w:val="689E42BA"/>
    <w:rsid w:val="68B64E4E"/>
    <w:rsid w:val="68B65AA7"/>
    <w:rsid w:val="68B910F3"/>
    <w:rsid w:val="68D221B5"/>
    <w:rsid w:val="68ED2C18"/>
    <w:rsid w:val="68F06F2B"/>
    <w:rsid w:val="690F0FFE"/>
    <w:rsid w:val="69124CA8"/>
    <w:rsid w:val="69222494"/>
    <w:rsid w:val="69232A11"/>
    <w:rsid w:val="692E3389"/>
    <w:rsid w:val="69310AF9"/>
    <w:rsid w:val="69407A67"/>
    <w:rsid w:val="69557143"/>
    <w:rsid w:val="6965127B"/>
    <w:rsid w:val="69692B1A"/>
    <w:rsid w:val="69717C20"/>
    <w:rsid w:val="6981459E"/>
    <w:rsid w:val="69AD50D5"/>
    <w:rsid w:val="69B93B42"/>
    <w:rsid w:val="69B95123"/>
    <w:rsid w:val="69BD2E65"/>
    <w:rsid w:val="69C947A8"/>
    <w:rsid w:val="69CB2F4D"/>
    <w:rsid w:val="69D464F3"/>
    <w:rsid w:val="69DB0FEE"/>
    <w:rsid w:val="69DF102E"/>
    <w:rsid w:val="69E14DA6"/>
    <w:rsid w:val="69EE301F"/>
    <w:rsid w:val="69F0373D"/>
    <w:rsid w:val="69F34AD9"/>
    <w:rsid w:val="69F47232"/>
    <w:rsid w:val="69F957DD"/>
    <w:rsid w:val="6A002D52"/>
    <w:rsid w:val="6A045939"/>
    <w:rsid w:val="6A140BE4"/>
    <w:rsid w:val="6A22716C"/>
    <w:rsid w:val="6A26622F"/>
    <w:rsid w:val="6A270980"/>
    <w:rsid w:val="6A366774"/>
    <w:rsid w:val="6A55309E"/>
    <w:rsid w:val="6A570766"/>
    <w:rsid w:val="6A6D6E40"/>
    <w:rsid w:val="6A773014"/>
    <w:rsid w:val="6A7C4ACE"/>
    <w:rsid w:val="6A7F45BF"/>
    <w:rsid w:val="6A871B04"/>
    <w:rsid w:val="6A876FCF"/>
    <w:rsid w:val="6A90057A"/>
    <w:rsid w:val="6A9A6D03"/>
    <w:rsid w:val="6A9C6F1F"/>
    <w:rsid w:val="6AB029CA"/>
    <w:rsid w:val="6ABA1153"/>
    <w:rsid w:val="6AC10733"/>
    <w:rsid w:val="6ADA35A3"/>
    <w:rsid w:val="6ADC731B"/>
    <w:rsid w:val="6AE03B49"/>
    <w:rsid w:val="6AEF52A0"/>
    <w:rsid w:val="6AFA41DD"/>
    <w:rsid w:val="6B036F9E"/>
    <w:rsid w:val="6B0574A6"/>
    <w:rsid w:val="6B0A032C"/>
    <w:rsid w:val="6B122D3D"/>
    <w:rsid w:val="6B170353"/>
    <w:rsid w:val="6B1C5D1F"/>
    <w:rsid w:val="6B225676"/>
    <w:rsid w:val="6B282560"/>
    <w:rsid w:val="6B2F3624"/>
    <w:rsid w:val="6B303E8A"/>
    <w:rsid w:val="6B3E1281"/>
    <w:rsid w:val="6B43739A"/>
    <w:rsid w:val="6B4A2ECC"/>
    <w:rsid w:val="6B513865"/>
    <w:rsid w:val="6B527703"/>
    <w:rsid w:val="6B54608E"/>
    <w:rsid w:val="6B564A55"/>
    <w:rsid w:val="6B5C220A"/>
    <w:rsid w:val="6B6A0DCB"/>
    <w:rsid w:val="6B6E3BE6"/>
    <w:rsid w:val="6B7632CC"/>
    <w:rsid w:val="6B782738"/>
    <w:rsid w:val="6B7C01FB"/>
    <w:rsid w:val="6B7D28AC"/>
    <w:rsid w:val="6B7E03D2"/>
    <w:rsid w:val="6B8F740B"/>
    <w:rsid w:val="6B9E7BDB"/>
    <w:rsid w:val="6B9F7803"/>
    <w:rsid w:val="6BA54C7D"/>
    <w:rsid w:val="6BAE515B"/>
    <w:rsid w:val="6BB90270"/>
    <w:rsid w:val="6BC44D2C"/>
    <w:rsid w:val="6BC56001"/>
    <w:rsid w:val="6BC9131C"/>
    <w:rsid w:val="6BCF0C2E"/>
    <w:rsid w:val="6BD213B3"/>
    <w:rsid w:val="6BE04BE9"/>
    <w:rsid w:val="6BE2226A"/>
    <w:rsid w:val="6BEC7A32"/>
    <w:rsid w:val="6BF13766"/>
    <w:rsid w:val="6C276CBC"/>
    <w:rsid w:val="6C33740F"/>
    <w:rsid w:val="6C36516A"/>
    <w:rsid w:val="6C395827"/>
    <w:rsid w:val="6C3D0CB9"/>
    <w:rsid w:val="6C731457"/>
    <w:rsid w:val="6C7D68DC"/>
    <w:rsid w:val="6C81461E"/>
    <w:rsid w:val="6C904861"/>
    <w:rsid w:val="6CA95923"/>
    <w:rsid w:val="6CAA1644"/>
    <w:rsid w:val="6CC462B9"/>
    <w:rsid w:val="6CC91EF5"/>
    <w:rsid w:val="6CDF5F5D"/>
    <w:rsid w:val="6CE96FD8"/>
    <w:rsid w:val="6CF05300"/>
    <w:rsid w:val="6CF22E26"/>
    <w:rsid w:val="6D013069"/>
    <w:rsid w:val="6D061E46"/>
    <w:rsid w:val="6D0D7C60"/>
    <w:rsid w:val="6D154D66"/>
    <w:rsid w:val="6D156B14"/>
    <w:rsid w:val="6D203E37"/>
    <w:rsid w:val="6D260D22"/>
    <w:rsid w:val="6D350F65"/>
    <w:rsid w:val="6D4437AE"/>
    <w:rsid w:val="6D461CDD"/>
    <w:rsid w:val="6D486EEA"/>
    <w:rsid w:val="6D561607"/>
    <w:rsid w:val="6D7E290C"/>
    <w:rsid w:val="6D803973"/>
    <w:rsid w:val="6D827BB1"/>
    <w:rsid w:val="6D88378A"/>
    <w:rsid w:val="6D892F10"/>
    <w:rsid w:val="6D893D5F"/>
    <w:rsid w:val="6D8A305E"/>
    <w:rsid w:val="6D953F3E"/>
    <w:rsid w:val="6D9E4008"/>
    <w:rsid w:val="6DA72BE9"/>
    <w:rsid w:val="6DB86AA0"/>
    <w:rsid w:val="6DD662A4"/>
    <w:rsid w:val="6DD864C0"/>
    <w:rsid w:val="6DE94229"/>
    <w:rsid w:val="6DEF55B7"/>
    <w:rsid w:val="6DFA6436"/>
    <w:rsid w:val="6E0077C5"/>
    <w:rsid w:val="6E0252EB"/>
    <w:rsid w:val="6E072901"/>
    <w:rsid w:val="6E0C6169"/>
    <w:rsid w:val="6E13201E"/>
    <w:rsid w:val="6E1554D2"/>
    <w:rsid w:val="6E2F0E6E"/>
    <w:rsid w:val="6E4E6782"/>
    <w:rsid w:val="6E6164B5"/>
    <w:rsid w:val="6E693893"/>
    <w:rsid w:val="6E69536A"/>
    <w:rsid w:val="6E6C4E5A"/>
    <w:rsid w:val="6E7837FF"/>
    <w:rsid w:val="6E851A78"/>
    <w:rsid w:val="6E894D7F"/>
    <w:rsid w:val="6E8B3532"/>
    <w:rsid w:val="6E9248C1"/>
    <w:rsid w:val="6E9323E7"/>
    <w:rsid w:val="6EA56E20"/>
    <w:rsid w:val="6EA6211A"/>
    <w:rsid w:val="6EB365E5"/>
    <w:rsid w:val="6EB40202"/>
    <w:rsid w:val="6EC06CF5"/>
    <w:rsid w:val="6ED8429D"/>
    <w:rsid w:val="6EE968E4"/>
    <w:rsid w:val="6EEB5D7F"/>
    <w:rsid w:val="6F046E40"/>
    <w:rsid w:val="6F0B4673"/>
    <w:rsid w:val="6F0F3400"/>
    <w:rsid w:val="6F1426B4"/>
    <w:rsid w:val="6F177B94"/>
    <w:rsid w:val="6F1E36A7"/>
    <w:rsid w:val="6F235101"/>
    <w:rsid w:val="6F323CF6"/>
    <w:rsid w:val="6F3C6EA4"/>
    <w:rsid w:val="6F4479B0"/>
    <w:rsid w:val="6F6618A9"/>
    <w:rsid w:val="6F6C3363"/>
    <w:rsid w:val="6F7264A0"/>
    <w:rsid w:val="6F7C10CD"/>
    <w:rsid w:val="6F865AA7"/>
    <w:rsid w:val="6F8B1298"/>
    <w:rsid w:val="6F8F2BAE"/>
    <w:rsid w:val="6F987BBF"/>
    <w:rsid w:val="6F9A6345"/>
    <w:rsid w:val="6FA128E1"/>
    <w:rsid w:val="6FA36659"/>
    <w:rsid w:val="6FA91941"/>
    <w:rsid w:val="6FAC7C04"/>
    <w:rsid w:val="6FBD3BBF"/>
    <w:rsid w:val="6FC30AAA"/>
    <w:rsid w:val="6FC37383"/>
    <w:rsid w:val="6FC7059A"/>
    <w:rsid w:val="6FD40F09"/>
    <w:rsid w:val="6FD46C64"/>
    <w:rsid w:val="6FE17402"/>
    <w:rsid w:val="6FF0316A"/>
    <w:rsid w:val="6FF375E1"/>
    <w:rsid w:val="701966F0"/>
    <w:rsid w:val="701B2B03"/>
    <w:rsid w:val="701B6F23"/>
    <w:rsid w:val="701E2184"/>
    <w:rsid w:val="701E3F32"/>
    <w:rsid w:val="702A0B29"/>
    <w:rsid w:val="702E23C7"/>
    <w:rsid w:val="702F613F"/>
    <w:rsid w:val="70390D88"/>
    <w:rsid w:val="703E7DEB"/>
    <w:rsid w:val="70553DF8"/>
    <w:rsid w:val="70742775"/>
    <w:rsid w:val="70A90AD2"/>
    <w:rsid w:val="70AE6124"/>
    <w:rsid w:val="70B53CD0"/>
    <w:rsid w:val="70BD199D"/>
    <w:rsid w:val="70C112E2"/>
    <w:rsid w:val="70C66AA3"/>
    <w:rsid w:val="70CB5E68"/>
    <w:rsid w:val="70D2369A"/>
    <w:rsid w:val="70DC1E23"/>
    <w:rsid w:val="70E53128"/>
    <w:rsid w:val="70F73101"/>
    <w:rsid w:val="70FA7B0B"/>
    <w:rsid w:val="71055353"/>
    <w:rsid w:val="710B095A"/>
    <w:rsid w:val="710C022E"/>
    <w:rsid w:val="710F044A"/>
    <w:rsid w:val="711B5D6B"/>
    <w:rsid w:val="71211E57"/>
    <w:rsid w:val="7126635D"/>
    <w:rsid w:val="712D267F"/>
    <w:rsid w:val="713300D8"/>
    <w:rsid w:val="7148086A"/>
    <w:rsid w:val="714C195A"/>
    <w:rsid w:val="71573B9F"/>
    <w:rsid w:val="715C3909"/>
    <w:rsid w:val="715F4802"/>
    <w:rsid w:val="71612EB5"/>
    <w:rsid w:val="716D6F1F"/>
    <w:rsid w:val="717B0394"/>
    <w:rsid w:val="719428A4"/>
    <w:rsid w:val="719C06EE"/>
    <w:rsid w:val="71A1260E"/>
    <w:rsid w:val="71A628FF"/>
    <w:rsid w:val="71A65C9F"/>
    <w:rsid w:val="71B72890"/>
    <w:rsid w:val="71BB2380"/>
    <w:rsid w:val="71BB5107"/>
    <w:rsid w:val="71C207CE"/>
    <w:rsid w:val="71C254BD"/>
    <w:rsid w:val="71CC2BAA"/>
    <w:rsid w:val="71E371E1"/>
    <w:rsid w:val="71E511AB"/>
    <w:rsid w:val="71E80C9B"/>
    <w:rsid w:val="71F16BB3"/>
    <w:rsid w:val="71F83CEB"/>
    <w:rsid w:val="71F86D8D"/>
    <w:rsid w:val="71FD64F5"/>
    <w:rsid w:val="72037883"/>
    <w:rsid w:val="720C38DB"/>
    <w:rsid w:val="72111FA0"/>
    <w:rsid w:val="72161365"/>
    <w:rsid w:val="721769E7"/>
    <w:rsid w:val="721A4935"/>
    <w:rsid w:val="721C27BC"/>
    <w:rsid w:val="721E46BD"/>
    <w:rsid w:val="72254ED4"/>
    <w:rsid w:val="72280238"/>
    <w:rsid w:val="723637B5"/>
    <w:rsid w:val="72365EE2"/>
    <w:rsid w:val="723B0DCB"/>
    <w:rsid w:val="724C3314"/>
    <w:rsid w:val="724E6D84"/>
    <w:rsid w:val="72507332"/>
    <w:rsid w:val="725D51E5"/>
    <w:rsid w:val="72606A84"/>
    <w:rsid w:val="72693B8A"/>
    <w:rsid w:val="726C71D7"/>
    <w:rsid w:val="726F6CC7"/>
    <w:rsid w:val="727B233D"/>
    <w:rsid w:val="729270E5"/>
    <w:rsid w:val="72952BD1"/>
    <w:rsid w:val="7295497F"/>
    <w:rsid w:val="729624A5"/>
    <w:rsid w:val="729C3F60"/>
    <w:rsid w:val="72A03324"/>
    <w:rsid w:val="72A526E9"/>
    <w:rsid w:val="72AC7F1B"/>
    <w:rsid w:val="72AE6A98"/>
    <w:rsid w:val="72C25048"/>
    <w:rsid w:val="72C76B03"/>
    <w:rsid w:val="72DA014C"/>
    <w:rsid w:val="72DA2FB0"/>
    <w:rsid w:val="72E565C0"/>
    <w:rsid w:val="72FA2A34"/>
    <w:rsid w:val="73220490"/>
    <w:rsid w:val="732F1FBA"/>
    <w:rsid w:val="733655C7"/>
    <w:rsid w:val="7349152B"/>
    <w:rsid w:val="734B7734"/>
    <w:rsid w:val="73502E3D"/>
    <w:rsid w:val="735C36EF"/>
    <w:rsid w:val="736C000D"/>
    <w:rsid w:val="73785B6E"/>
    <w:rsid w:val="73934CDB"/>
    <w:rsid w:val="739B53E3"/>
    <w:rsid w:val="73A155A6"/>
    <w:rsid w:val="73BC23E0"/>
    <w:rsid w:val="73C05A2C"/>
    <w:rsid w:val="73C179F6"/>
    <w:rsid w:val="73CD1EF7"/>
    <w:rsid w:val="73D82886"/>
    <w:rsid w:val="73DC2DCE"/>
    <w:rsid w:val="73EA4857"/>
    <w:rsid w:val="73F92CEC"/>
    <w:rsid w:val="74087220"/>
    <w:rsid w:val="740A58F3"/>
    <w:rsid w:val="740F42BD"/>
    <w:rsid w:val="742064CB"/>
    <w:rsid w:val="7439758C"/>
    <w:rsid w:val="743D707D"/>
    <w:rsid w:val="74562CED"/>
    <w:rsid w:val="74577C67"/>
    <w:rsid w:val="745D6B90"/>
    <w:rsid w:val="74795BDB"/>
    <w:rsid w:val="74832F17"/>
    <w:rsid w:val="74890514"/>
    <w:rsid w:val="74992BF1"/>
    <w:rsid w:val="74A4007B"/>
    <w:rsid w:val="74A94712"/>
    <w:rsid w:val="74AE7F7A"/>
    <w:rsid w:val="74B60BDD"/>
    <w:rsid w:val="74CA5F2D"/>
    <w:rsid w:val="74CC0400"/>
    <w:rsid w:val="74CE23CA"/>
    <w:rsid w:val="74D06143"/>
    <w:rsid w:val="74D84FF7"/>
    <w:rsid w:val="74E53270"/>
    <w:rsid w:val="74EE481B"/>
    <w:rsid w:val="74FA6D1C"/>
    <w:rsid w:val="74FD4A5E"/>
    <w:rsid w:val="75053C12"/>
    <w:rsid w:val="75063912"/>
    <w:rsid w:val="7507768A"/>
    <w:rsid w:val="751122B7"/>
    <w:rsid w:val="751B4C2F"/>
    <w:rsid w:val="752A69CA"/>
    <w:rsid w:val="754937FF"/>
    <w:rsid w:val="756B5E6B"/>
    <w:rsid w:val="756D4E2F"/>
    <w:rsid w:val="758D193E"/>
    <w:rsid w:val="75976C60"/>
    <w:rsid w:val="759929D8"/>
    <w:rsid w:val="75A924F0"/>
    <w:rsid w:val="75AB6268"/>
    <w:rsid w:val="75BC7538"/>
    <w:rsid w:val="75BF3AC1"/>
    <w:rsid w:val="75C27283"/>
    <w:rsid w:val="75C859A4"/>
    <w:rsid w:val="75E63744"/>
    <w:rsid w:val="75E70E46"/>
    <w:rsid w:val="75EC1BAC"/>
    <w:rsid w:val="75EC246C"/>
    <w:rsid w:val="75FF1B3B"/>
    <w:rsid w:val="760A7432"/>
    <w:rsid w:val="760D2A7F"/>
    <w:rsid w:val="761107C1"/>
    <w:rsid w:val="761B33ED"/>
    <w:rsid w:val="76236746"/>
    <w:rsid w:val="763929FA"/>
    <w:rsid w:val="763B0C2D"/>
    <w:rsid w:val="763B583E"/>
    <w:rsid w:val="764158CF"/>
    <w:rsid w:val="76424E1E"/>
    <w:rsid w:val="764A782F"/>
    <w:rsid w:val="76597570"/>
    <w:rsid w:val="76602E5A"/>
    <w:rsid w:val="76747524"/>
    <w:rsid w:val="768E0063"/>
    <w:rsid w:val="769C2A9B"/>
    <w:rsid w:val="76A553AD"/>
    <w:rsid w:val="76AF1D88"/>
    <w:rsid w:val="76B06A71"/>
    <w:rsid w:val="76B63116"/>
    <w:rsid w:val="76BA6FD4"/>
    <w:rsid w:val="76C375E1"/>
    <w:rsid w:val="76C80F10"/>
    <w:rsid w:val="76C9109B"/>
    <w:rsid w:val="76D33CC8"/>
    <w:rsid w:val="76DF08BF"/>
    <w:rsid w:val="76E00193"/>
    <w:rsid w:val="76E35644"/>
    <w:rsid w:val="76E9529A"/>
    <w:rsid w:val="76EA2E1A"/>
    <w:rsid w:val="76EB7264"/>
    <w:rsid w:val="76F65C09"/>
    <w:rsid w:val="770579FA"/>
    <w:rsid w:val="7709679A"/>
    <w:rsid w:val="771A5453"/>
    <w:rsid w:val="771F6F0D"/>
    <w:rsid w:val="77275DC2"/>
    <w:rsid w:val="772937FE"/>
    <w:rsid w:val="774424D0"/>
    <w:rsid w:val="77517EEC"/>
    <w:rsid w:val="77576792"/>
    <w:rsid w:val="776808B4"/>
    <w:rsid w:val="776F3F7C"/>
    <w:rsid w:val="77756B2D"/>
    <w:rsid w:val="777803CC"/>
    <w:rsid w:val="777C0999"/>
    <w:rsid w:val="77830F37"/>
    <w:rsid w:val="778925D9"/>
    <w:rsid w:val="77925931"/>
    <w:rsid w:val="77B238DE"/>
    <w:rsid w:val="77B50825"/>
    <w:rsid w:val="77B51620"/>
    <w:rsid w:val="77BE6754"/>
    <w:rsid w:val="77D01FB6"/>
    <w:rsid w:val="77F24622"/>
    <w:rsid w:val="78054355"/>
    <w:rsid w:val="780835EF"/>
    <w:rsid w:val="78141133"/>
    <w:rsid w:val="78302628"/>
    <w:rsid w:val="783B4121"/>
    <w:rsid w:val="783F155F"/>
    <w:rsid w:val="784114CD"/>
    <w:rsid w:val="7851759A"/>
    <w:rsid w:val="78551FDB"/>
    <w:rsid w:val="78590BE8"/>
    <w:rsid w:val="786442B2"/>
    <w:rsid w:val="786D3CA8"/>
    <w:rsid w:val="787B154A"/>
    <w:rsid w:val="787B7B43"/>
    <w:rsid w:val="788372C7"/>
    <w:rsid w:val="78880AE2"/>
    <w:rsid w:val="78895C63"/>
    <w:rsid w:val="788D7EA7"/>
    <w:rsid w:val="78A31478"/>
    <w:rsid w:val="78A551F0"/>
    <w:rsid w:val="78A91184"/>
    <w:rsid w:val="78AC48FA"/>
    <w:rsid w:val="78AC7C52"/>
    <w:rsid w:val="78AF6B87"/>
    <w:rsid w:val="78B70862"/>
    <w:rsid w:val="78CC2A74"/>
    <w:rsid w:val="78D57D23"/>
    <w:rsid w:val="78E0447A"/>
    <w:rsid w:val="78E55F35"/>
    <w:rsid w:val="79134850"/>
    <w:rsid w:val="791E3FC8"/>
    <w:rsid w:val="792118DD"/>
    <w:rsid w:val="79297B73"/>
    <w:rsid w:val="792C3B64"/>
    <w:rsid w:val="79333388"/>
    <w:rsid w:val="79372177"/>
    <w:rsid w:val="79464C25"/>
    <w:rsid w:val="794762A8"/>
    <w:rsid w:val="79497F22"/>
    <w:rsid w:val="79536517"/>
    <w:rsid w:val="79655CFE"/>
    <w:rsid w:val="796C5D0E"/>
    <w:rsid w:val="796E1A86"/>
    <w:rsid w:val="79722769"/>
    <w:rsid w:val="79725A1A"/>
    <w:rsid w:val="797B3246"/>
    <w:rsid w:val="797F1EE5"/>
    <w:rsid w:val="798A2C03"/>
    <w:rsid w:val="798E3ED6"/>
    <w:rsid w:val="79913C1E"/>
    <w:rsid w:val="79960FDD"/>
    <w:rsid w:val="799C7E94"/>
    <w:rsid w:val="79B24069"/>
    <w:rsid w:val="79B53B59"/>
    <w:rsid w:val="79D8521D"/>
    <w:rsid w:val="79DD09BA"/>
    <w:rsid w:val="79DD6C0C"/>
    <w:rsid w:val="79F24D77"/>
    <w:rsid w:val="79FF2246"/>
    <w:rsid w:val="7A017D37"/>
    <w:rsid w:val="7A0E7A94"/>
    <w:rsid w:val="7A187C44"/>
    <w:rsid w:val="7A26659F"/>
    <w:rsid w:val="7A2E1215"/>
    <w:rsid w:val="7A401675"/>
    <w:rsid w:val="7A4322BE"/>
    <w:rsid w:val="7A477088"/>
    <w:rsid w:val="7A4A5A80"/>
    <w:rsid w:val="7A601041"/>
    <w:rsid w:val="7A6C06BC"/>
    <w:rsid w:val="7A721D5D"/>
    <w:rsid w:val="7A8C2B0C"/>
    <w:rsid w:val="7AA27159"/>
    <w:rsid w:val="7AAC32B2"/>
    <w:rsid w:val="7AB636E5"/>
    <w:rsid w:val="7AC35892"/>
    <w:rsid w:val="7ACA49A1"/>
    <w:rsid w:val="7AE7143A"/>
    <w:rsid w:val="7AEF309B"/>
    <w:rsid w:val="7AF4245F"/>
    <w:rsid w:val="7AFB47C4"/>
    <w:rsid w:val="7AFE6E3A"/>
    <w:rsid w:val="7B045ED3"/>
    <w:rsid w:val="7B0D52CF"/>
    <w:rsid w:val="7B0F7299"/>
    <w:rsid w:val="7B13748E"/>
    <w:rsid w:val="7B242D44"/>
    <w:rsid w:val="7B2B1D58"/>
    <w:rsid w:val="7B3922D8"/>
    <w:rsid w:val="7B3B62E0"/>
    <w:rsid w:val="7B4513CA"/>
    <w:rsid w:val="7B4A207F"/>
    <w:rsid w:val="7B5B428C"/>
    <w:rsid w:val="7B5D193D"/>
    <w:rsid w:val="7B625A8D"/>
    <w:rsid w:val="7B65510B"/>
    <w:rsid w:val="7B6F748B"/>
    <w:rsid w:val="7B797300"/>
    <w:rsid w:val="7BAE4CB1"/>
    <w:rsid w:val="7BAF3B3A"/>
    <w:rsid w:val="7BCB0BC0"/>
    <w:rsid w:val="7BD32074"/>
    <w:rsid w:val="7BDF0A19"/>
    <w:rsid w:val="7BF1074D"/>
    <w:rsid w:val="7BF30969"/>
    <w:rsid w:val="7C0A652A"/>
    <w:rsid w:val="7C136915"/>
    <w:rsid w:val="7C2428D0"/>
    <w:rsid w:val="7C2D3E7B"/>
    <w:rsid w:val="7C30396B"/>
    <w:rsid w:val="7C3475CF"/>
    <w:rsid w:val="7C3A20F4"/>
    <w:rsid w:val="7C3E59B8"/>
    <w:rsid w:val="7C3E7E36"/>
    <w:rsid w:val="7C4411C4"/>
    <w:rsid w:val="7C570EF7"/>
    <w:rsid w:val="7C5A5AC4"/>
    <w:rsid w:val="7C6F6241"/>
    <w:rsid w:val="7C75137E"/>
    <w:rsid w:val="7C7C6F68"/>
    <w:rsid w:val="7C887303"/>
    <w:rsid w:val="7C887FF1"/>
    <w:rsid w:val="7C9932BE"/>
    <w:rsid w:val="7CA0499F"/>
    <w:rsid w:val="7CA73299"/>
    <w:rsid w:val="7CAB0170"/>
    <w:rsid w:val="7CAB2FF1"/>
    <w:rsid w:val="7CAB4469"/>
    <w:rsid w:val="7CB567BC"/>
    <w:rsid w:val="7CBE0F77"/>
    <w:rsid w:val="7CC540B3"/>
    <w:rsid w:val="7CD67907"/>
    <w:rsid w:val="7CDF2F10"/>
    <w:rsid w:val="7D033FB0"/>
    <w:rsid w:val="7D0E27DE"/>
    <w:rsid w:val="7D1D3EEF"/>
    <w:rsid w:val="7D1E3CED"/>
    <w:rsid w:val="7D2B7277"/>
    <w:rsid w:val="7D2C5EE0"/>
    <w:rsid w:val="7D2D1C58"/>
    <w:rsid w:val="7D2D3A06"/>
    <w:rsid w:val="7D3134F6"/>
    <w:rsid w:val="7D380D29"/>
    <w:rsid w:val="7D384885"/>
    <w:rsid w:val="7D3923AB"/>
    <w:rsid w:val="7D450D50"/>
    <w:rsid w:val="7D4C70C2"/>
    <w:rsid w:val="7D4F6073"/>
    <w:rsid w:val="7D500D23"/>
    <w:rsid w:val="7D5B78DF"/>
    <w:rsid w:val="7D605B8A"/>
    <w:rsid w:val="7D6E64F9"/>
    <w:rsid w:val="7D8555F0"/>
    <w:rsid w:val="7D871368"/>
    <w:rsid w:val="7D9C12B8"/>
    <w:rsid w:val="7DA05D3C"/>
    <w:rsid w:val="7DA912DF"/>
    <w:rsid w:val="7DAD1D32"/>
    <w:rsid w:val="7DAE4B47"/>
    <w:rsid w:val="7DB52379"/>
    <w:rsid w:val="7DD16A88"/>
    <w:rsid w:val="7DE25FEC"/>
    <w:rsid w:val="7DE642E1"/>
    <w:rsid w:val="7E1C7D03"/>
    <w:rsid w:val="7E307C52"/>
    <w:rsid w:val="7E352137"/>
    <w:rsid w:val="7E3F2705"/>
    <w:rsid w:val="7E435BD1"/>
    <w:rsid w:val="7E555BD1"/>
    <w:rsid w:val="7E5C0A47"/>
    <w:rsid w:val="7E6D67B0"/>
    <w:rsid w:val="7E71193F"/>
    <w:rsid w:val="7E837D82"/>
    <w:rsid w:val="7E9006F1"/>
    <w:rsid w:val="7E98069B"/>
    <w:rsid w:val="7EA321D2"/>
    <w:rsid w:val="7EAF0B77"/>
    <w:rsid w:val="7EB50157"/>
    <w:rsid w:val="7EBE0DBA"/>
    <w:rsid w:val="7EC65E37"/>
    <w:rsid w:val="7EC700C0"/>
    <w:rsid w:val="7ED607F9"/>
    <w:rsid w:val="7ED625A7"/>
    <w:rsid w:val="7EE10F4C"/>
    <w:rsid w:val="7EED08E2"/>
    <w:rsid w:val="7EFF5D4D"/>
    <w:rsid w:val="7F080287"/>
    <w:rsid w:val="7F0D3769"/>
    <w:rsid w:val="7F0D67F7"/>
    <w:rsid w:val="7F201A75"/>
    <w:rsid w:val="7F2501FB"/>
    <w:rsid w:val="7F25708B"/>
    <w:rsid w:val="7F372A6A"/>
    <w:rsid w:val="7F495EC4"/>
    <w:rsid w:val="7F4A6AF1"/>
    <w:rsid w:val="7F596D35"/>
    <w:rsid w:val="7F623E3B"/>
    <w:rsid w:val="7F625BE9"/>
    <w:rsid w:val="7F694AB2"/>
    <w:rsid w:val="7F81059C"/>
    <w:rsid w:val="7F89761A"/>
    <w:rsid w:val="7F9A1827"/>
    <w:rsid w:val="7FB65A40"/>
    <w:rsid w:val="7FB83A5B"/>
    <w:rsid w:val="7FBB79EF"/>
    <w:rsid w:val="7FC91FBF"/>
    <w:rsid w:val="7FD73EBA"/>
    <w:rsid w:val="7FD91C23"/>
    <w:rsid w:val="7FDC2FE3"/>
    <w:rsid w:val="7FDD1714"/>
    <w:rsid w:val="7FE200A1"/>
    <w:rsid w:val="7FE5681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07F0"/>
    <w:pPr>
      <w:widowControl w:val="0"/>
      <w:spacing w:line="360" w:lineRule="auto"/>
      <w:ind w:firstLineChars="200" w:firstLine="420"/>
    </w:pPr>
    <w:rPr>
      <w:rFonts w:cstheme="minorBidi"/>
      <w:kern w:val="2"/>
      <w:sz w:val="24"/>
      <w:szCs w:val="24"/>
    </w:rPr>
  </w:style>
  <w:style w:type="paragraph" w:styleId="1">
    <w:name w:val="heading 1"/>
    <w:basedOn w:val="a"/>
    <w:next w:val="a"/>
    <w:link w:val="1Char"/>
    <w:qFormat/>
    <w:rsid w:val="00BC07F0"/>
    <w:pPr>
      <w:keepNext/>
      <w:keepLines/>
      <w:snapToGrid w:val="0"/>
      <w:ind w:firstLineChars="0" w:firstLine="0"/>
      <w:jc w:val="center"/>
      <w:outlineLvl w:val="0"/>
    </w:pPr>
    <w:rPr>
      <w:b/>
      <w:bCs/>
      <w:kern w:val="44"/>
      <w:sz w:val="30"/>
      <w:szCs w:val="36"/>
    </w:rPr>
  </w:style>
  <w:style w:type="paragraph" w:styleId="2">
    <w:name w:val="heading 2"/>
    <w:basedOn w:val="a"/>
    <w:next w:val="a"/>
    <w:link w:val="2Char"/>
    <w:unhideWhenUsed/>
    <w:qFormat/>
    <w:rsid w:val="00BC07F0"/>
    <w:pPr>
      <w:keepNext/>
      <w:keepLines/>
      <w:ind w:firstLine="0"/>
      <w:outlineLvl w:val="1"/>
    </w:pPr>
    <w:rPr>
      <w:b/>
      <w:bCs/>
      <w:szCs w:val="32"/>
    </w:rPr>
  </w:style>
  <w:style w:type="paragraph" w:styleId="3">
    <w:name w:val="heading 3"/>
    <w:basedOn w:val="a"/>
    <w:next w:val="a"/>
    <w:link w:val="3Char"/>
    <w:unhideWhenUsed/>
    <w:qFormat/>
    <w:rsid w:val="00BC07F0"/>
    <w:pPr>
      <w:keepNext/>
      <w:keepLines/>
      <w:adjustRightInd w:val="0"/>
      <w:snapToGrid w:val="0"/>
      <w:ind w:firstLine="0"/>
      <w:outlineLvl w:val="2"/>
    </w:pPr>
    <w:rPr>
      <w:b/>
      <w:bCs/>
      <w:szCs w:val="32"/>
    </w:rPr>
  </w:style>
  <w:style w:type="paragraph" w:styleId="4">
    <w:name w:val="heading 4"/>
    <w:basedOn w:val="a"/>
    <w:next w:val="a"/>
    <w:unhideWhenUsed/>
    <w:qFormat/>
    <w:rsid w:val="00BC07F0"/>
    <w:pPr>
      <w:keepNext/>
      <w:keepLines/>
      <w:ind w:firstLine="0"/>
      <w:outlineLvl w:val="3"/>
    </w:pPr>
    <w:rPr>
      <w:b/>
      <w:bCs/>
      <w:sz w:val="30"/>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sid w:val="00BC07F0"/>
  </w:style>
  <w:style w:type="paragraph" w:styleId="a4">
    <w:name w:val="footer"/>
    <w:basedOn w:val="a"/>
    <w:qFormat/>
    <w:rsid w:val="00BC07F0"/>
    <w:pPr>
      <w:tabs>
        <w:tab w:val="center" w:pos="4153"/>
        <w:tab w:val="right" w:pos="8306"/>
      </w:tabs>
      <w:snapToGrid w:val="0"/>
    </w:pPr>
    <w:rPr>
      <w:sz w:val="18"/>
    </w:rPr>
  </w:style>
  <w:style w:type="paragraph" w:styleId="a5">
    <w:name w:val="header"/>
    <w:basedOn w:val="a"/>
    <w:qFormat/>
    <w:rsid w:val="00BC07F0"/>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qFormat/>
    <w:rsid w:val="00BC07F0"/>
  </w:style>
  <w:style w:type="table" w:styleId="a6">
    <w:name w:val="Table Grid"/>
    <w:basedOn w:val="a1"/>
    <w:qFormat/>
    <w:rsid w:val="00BC07F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表格文字"/>
    <w:basedOn w:val="a"/>
    <w:next w:val="a"/>
    <w:qFormat/>
    <w:rsid w:val="00BC07F0"/>
    <w:pPr>
      <w:adjustRightInd w:val="0"/>
      <w:snapToGrid w:val="0"/>
      <w:spacing w:line="240" w:lineRule="auto"/>
      <w:ind w:firstLineChars="0" w:firstLine="0"/>
      <w:jc w:val="center"/>
    </w:pPr>
    <w:rPr>
      <w:rFonts w:hint="eastAsia"/>
      <w:sz w:val="21"/>
      <w:szCs w:val="36"/>
    </w:rPr>
  </w:style>
  <w:style w:type="character" w:customStyle="1" w:styleId="2Char">
    <w:name w:val="标题 2 Char"/>
    <w:link w:val="2"/>
    <w:uiPriority w:val="9"/>
    <w:qFormat/>
    <w:locked/>
    <w:rsid w:val="00BC07F0"/>
    <w:rPr>
      <w:rFonts w:ascii="Times New Roman" w:eastAsia="宋体" w:hAnsi="Times New Roman"/>
      <w:b/>
      <w:bCs/>
      <w:kern w:val="2"/>
      <w:sz w:val="24"/>
      <w:szCs w:val="32"/>
      <w:lang w:val="en-US" w:eastAsia="zh-CN" w:bidi="ar-SA"/>
    </w:rPr>
  </w:style>
  <w:style w:type="character" w:customStyle="1" w:styleId="1Char">
    <w:name w:val="标题 1 Char"/>
    <w:link w:val="1"/>
    <w:uiPriority w:val="9"/>
    <w:qFormat/>
    <w:locked/>
    <w:rsid w:val="00BC07F0"/>
    <w:rPr>
      <w:rFonts w:ascii="Times New Roman" w:eastAsia="宋体" w:hAnsi="Times New Roman"/>
      <w:b/>
      <w:bCs/>
      <w:kern w:val="44"/>
      <w:sz w:val="30"/>
      <w:szCs w:val="36"/>
    </w:rPr>
  </w:style>
  <w:style w:type="character" w:customStyle="1" w:styleId="3Char">
    <w:name w:val="标题 3 Char"/>
    <w:link w:val="3"/>
    <w:qFormat/>
    <w:rsid w:val="00BC07F0"/>
    <w:rPr>
      <w:rFonts w:ascii="Times New Roman" w:eastAsia="宋体" w:hAnsi="Times New Roman"/>
      <w:b/>
      <w:bCs/>
      <w:kern w:val="2"/>
      <w:sz w:val="24"/>
      <w:szCs w:val="32"/>
    </w:rPr>
  </w:style>
  <w:style w:type="table" w:customStyle="1" w:styleId="TableNormal">
    <w:name w:val="Table Normal"/>
    <w:semiHidden/>
    <w:unhideWhenUsed/>
    <w:qFormat/>
    <w:rsid w:val="00BC07F0"/>
    <w:tblPr>
      <w:tblCellMar>
        <w:top w:w="0" w:type="dxa"/>
        <w:left w:w="0" w:type="dxa"/>
        <w:bottom w:w="0" w:type="dxa"/>
        <w:right w:w="0" w:type="dxa"/>
      </w:tblCellMar>
    </w:tblPr>
  </w:style>
  <w:style w:type="paragraph" w:styleId="a8">
    <w:name w:val="Balloon Text"/>
    <w:basedOn w:val="a"/>
    <w:link w:val="Char"/>
    <w:rsid w:val="00C55F5E"/>
    <w:pPr>
      <w:spacing w:line="240" w:lineRule="auto"/>
    </w:pPr>
    <w:rPr>
      <w:sz w:val="18"/>
      <w:szCs w:val="18"/>
    </w:rPr>
  </w:style>
  <w:style w:type="character" w:customStyle="1" w:styleId="Char">
    <w:name w:val="批注框文本 Char"/>
    <w:basedOn w:val="a0"/>
    <w:link w:val="a8"/>
    <w:rsid w:val="00C55F5E"/>
    <w:rPr>
      <w:rFonts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7.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3.wmf"/><Relationship Id="rId47" Type="http://schemas.openxmlformats.org/officeDocument/2006/relationships/oleObject" Target="embeddings/oleObject5.bin"/><Relationship Id="rId50" Type="http://schemas.openxmlformats.org/officeDocument/2006/relationships/image" Target="media/image27.emf"/><Relationship Id="rId55" Type="http://schemas.openxmlformats.org/officeDocument/2006/relationships/image" Target="media/image30.wmf"/><Relationship Id="rId63" Type="http://schemas.openxmlformats.org/officeDocument/2006/relationships/image" Target="media/image35.wmf"/><Relationship Id="rId68" Type="http://schemas.openxmlformats.org/officeDocument/2006/relationships/footer" Target="footer8.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oleObject" Target="embeddings/oleObject1.bin"/><Relationship Id="rId40" Type="http://schemas.openxmlformats.org/officeDocument/2006/relationships/image" Target="media/image22.wmf"/><Relationship Id="rId45" Type="http://schemas.openxmlformats.org/officeDocument/2006/relationships/oleObject" Target="embeddings/oleObject4.bin"/><Relationship Id="rId53" Type="http://schemas.openxmlformats.org/officeDocument/2006/relationships/image" Target="media/image29.wmf"/><Relationship Id="rId58" Type="http://schemas.openxmlformats.org/officeDocument/2006/relationships/oleObject" Target="embeddings/oleObject10.bin"/><Relationship Id="rId66" Type="http://schemas.openxmlformats.org/officeDocument/2006/relationships/image" Target="media/image37.png"/><Relationship Id="rId74"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wmf"/><Relationship Id="rId49" Type="http://schemas.openxmlformats.org/officeDocument/2006/relationships/oleObject" Target="embeddings/oleObject6.bin"/><Relationship Id="rId57" Type="http://schemas.openxmlformats.org/officeDocument/2006/relationships/image" Target="media/image31.wmf"/><Relationship Id="rId61" Type="http://schemas.openxmlformats.org/officeDocument/2006/relationships/image" Target="media/image34.wmf"/><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4.wmf"/><Relationship Id="rId52" Type="http://schemas.openxmlformats.org/officeDocument/2006/relationships/oleObject" Target="embeddings/oleObject7.bin"/><Relationship Id="rId60" Type="http://schemas.openxmlformats.org/officeDocument/2006/relationships/image" Target="media/image33.png"/><Relationship Id="rId65" Type="http://schemas.openxmlformats.org/officeDocument/2006/relationships/image" Target="media/image36.wmf"/><Relationship Id="rId73"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oleObject" Target="embeddings/oleObject3.bin"/><Relationship Id="rId48" Type="http://schemas.openxmlformats.org/officeDocument/2006/relationships/image" Target="media/image26.wmf"/><Relationship Id="rId56" Type="http://schemas.openxmlformats.org/officeDocument/2006/relationships/oleObject" Target="embeddings/oleObject9.bin"/><Relationship Id="rId64" Type="http://schemas.openxmlformats.org/officeDocument/2006/relationships/oleObject" Target="embeddings/oleObject12.bin"/><Relationship Id="rId69" Type="http://schemas.openxmlformats.org/officeDocument/2006/relationships/footer" Target="footer9.xml"/><Relationship Id="rId8" Type="http://schemas.openxmlformats.org/officeDocument/2006/relationships/header" Target="header1.xml"/><Relationship Id="rId51" Type="http://schemas.openxmlformats.org/officeDocument/2006/relationships/image" Target="media/image28.wmf"/><Relationship Id="rId72" Type="http://schemas.openxmlformats.org/officeDocument/2006/relationships/image" Target="media/image41.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6.xml"/><Relationship Id="rId46" Type="http://schemas.openxmlformats.org/officeDocument/2006/relationships/image" Target="media/image25.wmf"/><Relationship Id="rId59" Type="http://schemas.openxmlformats.org/officeDocument/2006/relationships/image" Target="media/image32.emf"/><Relationship Id="rId67" Type="http://schemas.openxmlformats.org/officeDocument/2006/relationships/image" Target="media/image38.png"/><Relationship Id="rId20" Type="http://schemas.openxmlformats.org/officeDocument/2006/relationships/image" Target="media/image5.png"/><Relationship Id="rId41" Type="http://schemas.openxmlformats.org/officeDocument/2006/relationships/oleObject" Target="embeddings/oleObject2.bin"/><Relationship Id="rId54" Type="http://schemas.openxmlformats.org/officeDocument/2006/relationships/oleObject" Target="embeddings/oleObject8.bin"/><Relationship Id="rId62" Type="http://schemas.openxmlformats.org/officeDocument/2006/relationships/oleObject" Target="embeddings/oleObject11.bin"/><Relationship Id="rId70" Type="http://schemas.openxmlformats.org/officeDocument/2006/relationships/image" Target="media/image3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138</Pages>
  <Words>15314</Words>
  <Characters>87296</Characters>
  <Application>Microsoft Office Word</Application>
  <DocSecurity>0</DocSecurity>
  <Lines>727</Lines>
  <Paragraphs>204</Paragraphs>
  <ScaleCrop>false</ScaleCrop>
  <Company/>
  <LinksUpToDate>false</LinksUpToDate>
  <CharactersWithSpaces>102406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9</cp:revision>
  <dcterms:created xsi:type="dcterms:W3CDTF">2023-03-07T09:54:00Z</dcterms:created>
  <dcterms:modified xsi:type="dcterms:W3CDTF">2023-05-23T03:21:00Z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26CED0442B0F4BEAB1C60D1D6A9D80D0</vt:lpwstr>
  </property>
</Properties>
</file>