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2020年度部门整体支出绩效评价报告</w:t>
      </w:r>
    </w:p>
    <w:p>
      <w:pPr>
        <w:ind w:firstLine="640" w:firstLineChars="200"/>
        <w:jc w:val="left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为了切实做好2020年度部门整体支出绩效自评工作，提高财政资金使用效益，根据财政院关于开展财政资金绩效自评工作的有关精神，结合实际，我们组织开展了绩效评价工作，经过对各项财务资料和统计数据的分析，对部门整体支出预算执行和管理的合法性、完整性、使用效益等方面进行了分析计算，总结，现将本单位2020年整体支出</w:t>
      </w:r>
      <w:bookmarkStart w:id="0" w:name="_GoBack"/>
      <w:bookmarkEnd w:id="0"/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绩效评价结果报告如下：</w:t>
      </w:r>
    </w:p>
    <w:p>
      <w:pPr>
        <w:pStyle w:val="3"/>
        <w:widowControl/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一、部门概况</w:t>
      </w:r>
    </w:p>
    <w:p>
      <w:pPr>
        <w:pStyle w:val="3"/>
        <w:widowControl/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（一）、基本情况</w:t>
      </w:r>
    </w:p>
    <w:p>
      <w:pPr>
        <w:widowControl/>
        <w:spacing w:line="600" w:lineRule="exact"/>
        <w:ind w:firstLine="960" w:firstLineChars="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雁峰区中医院(口腔医院)，是雁峰区差额预算拨款的行政事业单位1个。我院现有在编职工124人，退休人员96人，医院设口腔内科、外科、镶牙科等九个科室，另设综合住院部，中医全科，等14个医疗科室。</w:t>
      </w:r>
    </w:p>
    <w:p>
      <w:pPr>
        <w:pStyle w:val="3"/>
        <w:widowControl/>
        <w:numPr>
          <w:ilvl w:val="0"/>
          <w:numId w:val="1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、主要职责</w:t>
      </w:r>
    </w:p>
    <w:p>
      <w:pPr>
        <w:widowControl/>
        <w:spacing w:line="600" w:lineRule="exact"/>
        <w:ind w:firstLine="960" w:firstLineChars="300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我院是集医疗、预防、保健、临床教学为一体的二级综合性医院，是市职工医保、城镇居民医保、新型农村合作医疗及雁峰区城乡医疗救助定点医院，卫生部儿童口腔疾病干预项目免费窝沟封闭、口腔健康教育基地等定点单位，现在是一套班子、两块牌子、承担着衡阳市口腔医疗保健、公共卫生保健和雁峰区急救援助工作任务。</w:t>
      </w:r>
    </w:p>
    <w:p>
      <w:pPr>
        <w:pStyle w:val="3"/>
        <w:widowControl/>
        <w:numPr>
          <w:ilvl w:val="0"/>
          <w:numId w:val="1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、部门整体支出总体情况</w:t>
      </w:r>
    </w:p>
    <w:p>
      <w:pPr>
        <w:pStyle w:val="3"/>
        <w:widowControl/>
        <w:spacing w:line="480" w:lineRule="atLeas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本单位2020年全年收入总计</w:t>
      </w:r>
      <w:r>
        <w:rPr>
          <w:rFonts w:ascii="仿宋" w:hAnsi="仿宋" w:eastAsia="仿宋" w:cs="仿宋"/>
          <w:sz w:val="32"/>
          <w:szCs w:val="32"/>
        </w:rPr>
        <w:t>1138.23</w:t>
      </w:r>
      <w:r>
        <w:rPr>
          <w:rFonts w:hint="eastAsia" w:ascii="仿宋" w:hAnsi="仿宋" w:eastAsia="仿宋" w:cs="仿宋"/>
          <w:sz w:val="32"/>
          <w:szCs w:val="32"/>
        </w:rPr>
        <w:t>万元，全年完成实际支出　</w:t>
      </w:r>
      <w:r>
        <w:rPr>
          <w:rFonts w:ascii="仿宋" w:hAnsi="仿宋" w:eastAsia="仿宋" w:cs="仿宋"/>
          <w:sz w:val="32"/>
          <w:szCs w:val="32"/>
        </w:rPr>
        <w:t>1138.23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ascii="仿宋" w:hAnsi="仿宋" w:eastAsia="仿宋" w:cs="仿宋"/>
          <w:sz w:val="32"/>
          <w:szCs w:val="32"/>
        </w:rPr>
        <w:t>1138.23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widowControl/>
        <w:numPr>
          <w:ilvl w:val="0"/>
          <w:numId w:val="2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部门整体支出管理及使用情况</w:t>
      </w:r>
    </w:p>
    <w:p>
      <w:pPr>
        <w:pStyle w:val="3"/>
        <w:widowControl/>
        <w:numPr>
          <w:ilvl w:val="0"/>
          <w:numId w:val="3"/>
        </w:numPr>
        <w:spacing w:line="480" w:lineRule="atLeas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</w:t>
      </w:r>
    </w:p>
    <w:p>
      <w:pPr>
        <w:pStyle w:val="3"/>
        <w:widowControl/>
        <w:spacing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2020年部门整体支出</w:t>
      </w:r>
      <w:r>
        <w:rPr>
          <w:rFonts w:ascii="仿宋" w:hAnsi="仿宋" w:eastAsia="仿宋" w:cs="仿宋"/>
          <w:sz w:val="32"/>
          <w:szCs w:val="32"/>
        </w:rPr>
        <w:t>1138.23</w:t>
      </w:r>
      <w:r>
        <w:rPr>
          <w:rFonts w:hint="eastAsia" w:ascii="仿宋" w:hAnsi="仿宋" w:eastAsia="仿宋" w:cs="仿宋"/>
          <w:sz w:val="32"/>
          <w:szCs w:val="32"/>
        </w:rPr>
        <w:t>万元，其中基本支出</w:t>
      </w:r>
      <w:r>
        <w:rPr>
          <w:rFonts w:ascii="仿宋" w:hAnsi="仿宋" w:eastAsia="仿宋" w:cs="仿宋"/>
          <w:sz w:val="32"/>
          <w:szCs w:val="32"/>
        </w:rPr>
        <w:t>1138.23</w:t>
      </w:r>
      <w:r>
        <w:rPr>
          <w:rFonts w:hint="eastAsia" w:ascii="仿宋" w:hAnsi="仿宋" w:eastAsia="仿宋" w:cs="仿宋"/>
          <w:sz w:val="32"/>
          <w:szCs w:val="32"/>
        </w:rPr>
        <w:t>万元（工资福利支出</w:t>
      </w:r>
      <w:r>
        <w:rPr>
          <w:rFonts w:ascii="仿宋" w:hAnsi="仿宋" w:eastAsia="仿宋" w:cs="仿宋"/>
          <w:sz w:val="32"/>
          <w:szCs w:val="32"/>
        </w:rPr>
        <w:t>901.17</w:t>
      </w:r>
      <w:r>
        <w:rPr>
          <w:rFonts w:hint="eastAsia" w:ascii="仿宋" w:hAnsi="仿宋" w:eastAsia="仿宋" w:cs="仿宋"/>
          <w:sz w:val="32"/>
          <w:szCs w:val="32"/>
        </w:rPr>
        <w:t>万元、商品和服务支出</w:t>
      </w:r>
      <w:r>
        <w:rPr>
          <w:rFonts w:ascii="仿宋" w:hAnsi="仿宋" w:eastAsia="仿宋" w:cs="仿宋"/>
          <w:sz w:val="32"/>
          <w:szCs w:val="32"/>
        </w:rPr>
        <w:t>212.50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</w:t>
      </w:r>
      <w:r>
        <w:rPr>
          <w:rFonts w:ascii="仿宋" w:hAnsi="仿宋" w:eastAsia="仿宋" w:cs="仿宋"/>
          <w:sz w:val="32"/>
          <w:szCs w:val="32"/>
        </w:rPr>
        <w:t>24.56</w:t>
      </w:r>
      <w:r>
        <w:rPr>
          <w:rFonts w:hint="eastAsia" w:ascii="仿宋" w:hAnsi="仿宋" w:eastAsia="仿宋" w:cs="仿宋"/>
          <w:sz w:val="32"/>
          <w:szCs w:val="32"/>
        </w:rPr>
        <w:t>万元。三公经费支出无。</w:t>
      </w:r>
    </w:p>
    <w:p>
      <w:pPr>
        <w:pStyle w:val="3"/>
        <w:widowControl/>
        <w:spacing w:line="480" w:lineRule="atLeas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2020年严格按照年初预算以及各级部门相关要求，严控经费支出，强化制度执行，降低行政成本。严格公务接待费、差旅费、会议费培训费申报审批程序，做到一事一审批，一事一结账，严格报账程序，重大事项遵守“三重一大”制度，全年整体部门支出严格控制在年初预算范围之内。</w:t>
      </w:r>
    </w:p>
    <w:p>
      <w:pPr>
        <w:pStyle w:val="3"/>
        <w:widowControl/>
        <w:numPr>
          <w:ilvl w:val="0"/>
          <w:numId w:val="2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资产管理情况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固定资产实行统一管理、统一调配，并按使用人建立了资产卡片管理台账，对固定资产实行统一采购、多人经办，年初根据各部门需求制定采购计划，实行多方询价、货比三家，按政府采购程序和有关规定加强采购手续。年底对财产物资进行清查、盘点，杜绝了国有资产的流失。</w:t>
      </w:r>
    </w:p>
    <w:p>
      <w:pPr>
        <w:pStyle w:val="3"/>
        <w:widowControl/>
        <w:numPr>
          <w:ilvl w:val="0"/>
          <w:numId w:val="2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部门整体支出绩效情况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我处部门整体支出绩效自评结果反映我院2020年绩效目标完成较好，确保了政府的正常运行，在预算配置、预算执行、预算管理等方面较好的支持办事处的中心工作，根据部门整体支出绩效评价指标体系，我处2020年部门整体支出绩效自评98分。</w:t>
      </w:r>
    </w:p>
    <w:p>
      <w:pPr>
        <w:pStyle w:val="3"/>
        <w:widowControl/>
        <w:numPr>
          <w:ilvl w:val="0"/>
          <w:numId w:val="2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存在的主要问题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1、预算控制率有待降低。因政策因素外，由于部分临时、紧急或突发的工作任务导致年终追加预算。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2、专项资金较多导致资金管理有待进一步系统化。</w:t>
      </w:r>
    </w:p>
    <w:p>
      <w:pPr>
        <w:pStyle w:val="3"/>
        <w:widowControl/>
        <w:numPr>
          <w:ilvl w:val="0"/>
          <w:numId w:val="2"/>
        </w:numPr>
        <w:spacing w:line="480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改进措施及建议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1、进一步细化预算编制工作，认真做好预算的编制，加强预算管理意识，严格预算执行。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2、进一步加强财务管理，严格财务审核，健全财务管理制度，规范单位财务行为，杜绝财务违规现象的发生。</w:t>
      </w:r>
    </w:p>
    <w:p>
      <w:pPr>
        <w:pStyle w:val="3"/>
        <w:widowControl/>
        <w:spacing w:line="480" w:lineRule="atLeast"/>
        <w:ind w:left="42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3、进一步完善资产管理，严控三公经费。加强单位内部资产管理，严格编制采购预算和计划，杜绝资产流失，严把三公经费支出审核审批关，合理压缩三公经费支出。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4、进一步加强对财务人员的培训，规范部门预算收支核算，切实提高部门预算收支管理水平。</w:t>
      </w:r>
    </w:p>
    <w:tbl>
      <w:tblPr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78"/>
        <w:gridCol w:w="1205"/>
        <w:gridCol w:w="1072"/>
        <w:gridCol w:w="1072"/>
        <w:gridCol w:w="1079"/>
        <w:gridCol w:w="1119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45" w:type="dxa"/>
            <w:gridSpan w:val="8"/>
            <w:tcBorders>
              <w:top w:val="nil"/>
              <w:left w:val="nil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填报单位(盖章)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73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衡阳市口腔医院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年度预算申请（万元）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资金总额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按收入性质分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政府性基金拨款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国有资本经营预算拨款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纳入专户的非税收入拨款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1138.23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999999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部门职能职责描述</w:t>
            </w:r>
          </w:p>
        </w:tc>
        <w:tc>
          <w:tcPr>
            <w:tcW w:w="73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院是集医疗、预防、保健、临床教学为一体的二级综合性医院，是市职工医保、城镇居民医保、新型农村合作医疗及雁峰区城乡医疗救助定点医院，卫生部儿童口腔疾病干预项目免费窝沟封闭、口腔健康教育基地等定点单位，现在是一套班子、两块牌子、承担着衡阳市口腔医疗保健、公共卫生保健和雁峰区急救援助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整体绩效目标</w:t>
            </w:r>
          </w:p>
        </w:tc>
        <w:tc>
          <w:tcPr>
            <w:tcW w:w="73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年初工作规划和重点性工作，围绕区委、区政府全面发展蓝图，积极履职，强化管理，较好地完成了年度工作目标。通过加强预算收支管理，不断建立健全内部管理制度，梳理内部管理流程，部门整体支出管理情况得到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部门整体支出年度绩效目标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产出目标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为口腔疾病人员服务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开展口腔疾病、窝沟封闭等口腔疾病防治服务行动。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一年内在康复、防治等方面落实上级各项业务指标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≤1138.23万元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通过外在竞争压力，促使内部转换经营机制，强化管理，提高经济效益。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改善人文环境，社会公益事业得到发展。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逐年改善窝沟封闭人群数量。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社会公众或服务对象满意度指标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社会满意度达到90%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财政部门预算管理部门审核意见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财政绩效管理部门审核意见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999999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填报人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999999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999999" w:sz="8" w:space="0"/>
              <w:right w:val="single" w:color="999999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填报日期：2020.5.17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914DE"/>
    <w:multiLevelType w:val="singleLevel"/>
    <w:tmpl w:val="2D2914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C4788E"/>
    <w:multiLevelType w:val="singleLevel"/>
    <w:tmpl w:val="34C478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7AF4E34"/>
    <w:multiLevelType w:val="singleLevel"/>
    <w:tmpl w:val="47AF4E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A982FFC"/>
    <w:rsid w:val="00037FDC"/>
    <w:rsid w:val="00105423"/>
    <w:rsid w:val="00474B58"/>
    <w:rsid w:val="009F64AF"/>
    <w:rsid w:val="00A03838"/>
    <w:rsid w:val="00EF57C6"/>
    <w:rsid w:val="4E331E9B"/>
    <w:rsid w:val="56301B77"/>
    <w:rsid w:val="5A982FFC"/>
    <w:rsid w:val="6A7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4</TotalTime>
  <ScaleCrop>false</ScaleCrop>
  <LinksUpToDate>false</LinksUpToDate>
  <CharactersWithSpaces>1326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2020-10-13T09:25:00Z</dcterms:created>
  <dc:creator>orange</dc:creator>
  <cp:lastModifiedBy>Administrator</cp:lastModifiedBy>
  <dcterms:modified xsi:type="dcterms:W3CDTF">2021-10-08T02:43:45Z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DBF6ADF428004A1487CA547CC663CE02</vt:lpwstr>
  </property>
</Properties>
</file>