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雁峰区教育局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2020年度部门整体支出绩效评价报告</w:t>
      </w:r>
    </w:p>
    <w:p>
      <w:pPr>
        <w:ind w:firstLine="640" w:firstLineChars="200"/>
        <w:jc w:val="both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为做好2020年度部门整体支出绩效自评工作，强化绩效和责任意识，提高财政资金使用效益，根据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雁峰区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财政局要求，我局对2020年度部门整体支出开展绩效自评，具体情况如下：</w:t>
      </w:r>
    </w:p>
    <w:p>
      <w:pPr>
        <w:ind w:firstLine="723" w:firstLineChars="200"/>
        <w:jc w:val="both"/>
        <w:rPr>
          <w:rFonts w:hint="eastAsia" w:ascii="方正楷体简体" w:hAnsi="方正楷体简体" w:eastAsia="方正楷体简体" w:cs="方正楷体简体"/>
          <w:b/>
          <w:bCs/>
          <w:sz w:val="22"/>
          <w:szCs w:val="2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6"/>
          <w:szCs w:val="36"/>
        </w:rPr>
        <w:t>一、单位基本情况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部门基本情况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（一）贯彻落实国家教育工作的方针、政策和法律、法规、规章，结合本区制定具体实施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局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法和管理制度，并监督实施。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（二）研究提出全区教育改革与发展战略和教育事业发展规划、年度计划及发展的重点、结构、速度和步骤，指导并协调实施。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（三）负责全区的基础教育、职业技术教育、成人教育、幼儿教育、特殊教育、民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局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教育的管理工作。协调对少数民族地区的教育援助。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（四）负责推进义务教育均衡发展和促进教育公平，负责义务教育的宏观指导与协调，指导幼儿教育和特殊教育工作，全面实施素质教育。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五）统筹管理本部门教育经费。会同有关部门拟订教育经费预算、经费筹措、教育拨款、教育基建投资的政策并组织实施，完善教育经费管理制度。检查监督全区教育经费的投入和使用情况。负责管理区本级的教育经费。监管教育系统国有资产。指导、管理全区资助经济困难学生工作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六）主管全区教师工作。组织指导中小学教师的资格认定、注册、招聘录用、职务评聘、培养培训、调配交流、档案管理和考核奖惩等工作。制定全区师资建设发展规划、教职工管理制度和培训计划并组织实施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（七）规划并指导全区学校的思想政治工作、德育工作、体育卫生与艺术教育及国防教育等工作。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（八）管理成人高校、成人中专的招生考试工作及高等教育的自学考试工作。协调指导大中专毕业生就业工作。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　（九）负责全区勤工俭学、教育技术装备、体育设施器材装备和图书建设工作。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（十）组织指导全区教育行政执法工作和全区教育系统的纪检、监察工作以及内部审计等工作。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（十一）统筹管理全区语言文字工作。拟定全区语言文字规划并组织实施。指导推广普通话和规范汉字及普通话师资培训工作。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（十二）负责全区教育基本信息的统计、分析和发布。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（十三）统筹全区教育信息化建设与应用工作。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（十四）组织、指导全区教育督导工作。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（十五）负责本行业、领域的应急管理工作，对本行业、领域的安全生产工作实施监督管理。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（十六）负责全区教育工会工作。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</w:rPr>
        <w:t>（十七）完成区委、区政府交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局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的其他任务。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机构设置及决算单位构成</w:t>
      </w:r>
    </w:p>
    <w:p>
      <w:pPr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（一）内设机构设置。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教育局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内设机构包括：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个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股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计划财务审计股、基础教育股、局公室、行政审批服务股、教育技术装备站、人事师训股、民局教育股、综治校车局、教育督导局公室、自学考试中心、教学研究中心；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个二级机构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资助服务站、教育技术装备站、教育教研中心、自考局；17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个下属单位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白沙学校、城南电大、飞雁学校、广场小学、环城南路小学、联盟山学校、六一小学、天后街小学、铜桥港小学、湘江乡中心校、雁城路小学、雁峰中学、岳屏镇中心校、中南路小学、白沙实验学校、奇峰小学、奇峰幼儿园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。</w:t>
      </w:r>
    </w:p>
    <w:p>
      <w:pPr>
        <w:pStyle w:val="2"/>
        <w:jc w:val="both"/>
        <w:rPr>
          <w:rFonts w:hint="eastAsia"/>
        </w:rPr>
      </w:pPr>
    </w:p>
    <w:p>
      <w:pPr>
        <w:ind w:firstLine="723" w:firstLineChars="200"/>
        <w:jc w:val="both"/>
        <w:rPr>
          <w:rFonts w:hint="eastAsia" w:ascii="方正楷体简体" w:hAnsi="方正楷体简体" w:eastAsia="方正楷体简体" w:cs="方正楷体简体"/>
          <w:b/>
          <w:bCs/>
          <w:sz w:val="36"/>
          <w:szCs w:val="36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6"/>
          <w:szCs w:val="36"/>
          <w:lang w:val="en-US" w:eastAsia="zh-CN"/>
        </w:rPr>
        <w:t>二、决</w:t>
      </w:r>
      <w:r>
        <w:rPr>
          <w:rFonts w:hint="eastAsia" w:ascii="方正楷体简体" w:hAnsi="方正楷体简体" w:eastAsia="方正楷体简体" w:cs="方正楷体简体"/>
          <w:b/>
          <w:bCs/>
          <w:sz w:val="36"/>
          <w:szCs w:val="36"/>
        </w:rPr>
        <w:t>算支出及绩效情况</w:t>
      </w:r>
    </w:p>
    <w:p>
      <w:pPr>
        <w:ind w:firstLine="640" w:firstLineChars="200"/>
        <w:jc w:val="both"/>
        <w:rPr>
          <w:rFonts w:hint="eastAsia"/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（一）决算公开情况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2020年部门决算收入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合计14,758.93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万元。部门决算支出合计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14,758.93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万元，其中基本支出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12,649.31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万元，项目支出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2,109.62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（二）资金使用情况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我局在部门整体支出中，严格遵守资金管理制度，强化监督，专款专用。</w:t>
      </w:r>
    </w:p>
    <w:p>
      <w:pPr>
        <w:pStyle w:val="5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年度财政拨款基本支出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12,649.31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万元，其中：人员经费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11,779.18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万元，占基本支出的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93.12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%,主要包括基本工资、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绩效工资、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津贴补贴、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机关事业单位基本养老保险缴费、职工基本医疗保险缴费、住房公积金、其他工资福利支出等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；公用经费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870.13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万元，占基本支出的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6.88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%，主要包括办公费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及办公设备购置等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pStyle w:val="2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年度“三公”经费财政拨款支出决算中，公务接待费支出决算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0.78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因公出国（境）费支出决算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%,公务用车购置费及运行维护费支出决算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pStyle w:val="2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2020年度财政拨款项目支出2,109.62万元，系我区教育系统为完成事业发展目标所发生的支出。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严格执行各项财经法规制度，切实降低行政运行成本。坚持精打细算、勤俭节约，大力压减一般性支出，持续严控“三公经费”，严格执行因公出国（境）管理规定，严格控制因公出国（境）经费支出；加强公务接待管理，严格执行公务接待公函、清单、审批以及公务活动的有关规定，严控公务接待费用支出。</w:t>
      </w:r>
    </w:p>
    <w:p>
      <w:pPr>
        <w:pStyle w:val="6"/>
        <w:spacing w:line="520" w:lineRule="exact"/>
        <w:ind w:firstLine="480"/>
        <w:jc w:val="both"/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color w:val="auto"/>
          <w:kern w:val="2"/>
          <w:sz w:val="32"/>
          <w:szCs w:val="32"/>
          <w:lang w:val="en-US" w:eastAsia="zh-CN" w:bidi="ar-SA"/>
        </w:rPr>
        <w:t>2020年完成国省培各类培训计划660人次；春秋两季免费教科书68705人次；春秋两季学前教育入园补助共作惠及52所幼儿园798人次贫困幼儿；中职教育资助，春秋两季享受国家免学费人数11576人次，享受国家助学金2987人次。</w:t>
      </w:r>
    </w:p>
    <w:p>
      <w:pPr>
        <w:ind w:firstLine="723" w:firstLineChars="200"/>
        <w:jc w:val="both"/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lang w:val="en-US" w:eastAsia="zh-CN"/>
        </w:rPr>
        <w:t>四、存在的不足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运用绩效指标评价体系还不够深入；全面绩效责任约束作用不强，预算执行绩效目标完成率有待进一步提高。</w:t>
      </w:r>
    </w:p>
    <w:p>
      <w:pPr>
        <w:pStyle w:val="2"/>
        <w:ind w:firstLine="640" w:firstLineChars="200"/>
        <w:jc w:val="both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C2C94"/>
    <w:rsid w:val="1E2817C7"/>
    <w:rsid w:val="43CC2C94"/>
    <w:rsid w:val="49524EE5"/>
    <w:rsid w:val="4FB16A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2021-09-27T01:28:00Z</dcterms:created>
  <dc:creator>lenovo</dc:creator>
  <cp:lastModifiedBy>lenovo</cp:lastModifiedBy>
  <dcterms:modified xsi:type="dcterms:W3CDTF">2021-09-29T02:53:46Z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