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bookmarkStart w:id="0" w:name="_GoBack"/>
      <w:bookmarkEnd w:id="0"/>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lang w:eastAsia="zh-CN"/>
        </w:rPr>
        <w:t>雁峰区城乡社会救助服务中心</w:t>
      </w:r>
      <w:r>
        <w:rPr>
          <w:rFonts w:hint="eastAsia" w:ascii="Times New Roman" w:hAnsi="Times New Roman" w:eastAsia="方正小标宋_GBK" w:cs="Times New Roman"/>
          <w:bCs/>
          <w:kern w:val="0"/>
          <w:sz w:val="72"/>
          <w:szCs w:val="72"/>
        </w:rPr>
        <w:t>2018年度</w:t>
      </w: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rPr>
        <w:t>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雁峰区城乡社会救助服务中心</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雁峰区城乡社会救助服务中心</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雁峰区城乡社会救助服务中心</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雁峰区城乡社会救助服务中心</w:t>
      </w:r>
      <w:r>
        <w:rPr>
          <w:rFonts w:ascii="Times New Roman" w:hAnsi="Times New Roman" w:eastAsia="黑体" w:cs="Times New Roman"/>
          <w:bCs/>
          <w:kern w:val="0"/>
          <w:sz w:val="32"/>
          <w:szCs w:val="32"/>
        </w:rPr>
        <w:t>概况</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hd w:val="clear" w:color="auto" w:fill="FFFFFF"/>
        <w:spacing w:line="520" w:lineRule="exact"/>
        <w:ind w:firstLine="640" w:firstLineChars="200"/>
        <w:jc w:val="left"/>
        <w:rPr>
          <w:rFonts w:hint="eastAsia" w:ascii="仿宋" w:hAnsi="仿宋" w:eastAsia="仿宋" w:cs="宋体"/>
          <w:kern w:val="0"/>
          <w:sz w:val="32"/>
          <w:szCs w:val="32"/>
        </w:rPr>
      </w:pPr>
      <w:r>
        <w:rPr>
          <w:rFonts w:hint="eastAsia" w:ascii="仿宋" w:hAnsi="仿宋" w:eastAsia="仿宋" w:cs="宋体"/>
          <w:bCs/>
          <w:color w:val="000000"/>
          <w:kern w:val="0"/>
          <w:sz w:val="32"/>
          <w:szCs w:val="32"/>
        </w:rPr>
        <w:t>（一）</w:t>
      </w:r>
      <w:r>
        <w:rPr>
          <w:rFonts w:ascii="仿宋" w:hAnsi="仿宋" w:eastAsia="仿宋" w:cs="宋体"/>
          <w:kern w:val="0"/>
          <w:sz w:val="32"/>
          <w:szCs w:val="32"/>
        </w:rPr>
        <w:t>负责全区城乡社会救助工作的管理工作。</w:t>
      </w:r>
    </w:p>
    <w:p>
      <w:pPr>
        <w:widowControl/>
        <w:shd w:val="clear" w:color="auto" w:fill="FFFFFF"/>
        <w:spacing w:line="520" w:lineRule="exact"/>
        <w:ind w:firstLine="640" w:firstLineChars="200"/>
        <w:jc w:val="left"/>
        <w:rPr>
          <w:rFonts w:hint="eastAsia" w:ascii="仿宋" w:hAnsi="仿宋" w:eastAsia="仿宋" w:cs="宋体"/>
          <w:kern w:val="0"/>
          <w:sz w:val="32"/>
          <w:szCs w:val="32"/>
        </w:rPr>
      </w:pPr>
      <w:r>
        <w:rPr>
          <w:rFonts w:hint="eastAsia" w:ascii="仿宋" w:hAnsi="仿宋" w:eastAsia="仿宋" w:cs="宋体"/>
          <w:bCs/>
          <w:color w:val="000000"/>
          <w:kern w:val="0"/>
          <w:sz w:val="32"/>
          <w:szCs w:val="32"/>
        </w:rPr>
        <w:t>（二）</w:t>
      </w:r>
      <w:r>
        <w:rPr>
          <w:rFonts w:ascii="仿宋" w:hAnsi="仿宋" w:eastAsia="仿宋" w:cs="宋体"/>
          <w:kern w:val="0"/>
          <w:sz w:val="32"/>
          <w:szCs w:val="32"/>
        </w:rPr>
        <w:t>负责全区城乡社会救助申请对象的基本情况调查、核实和审批工作。</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宋体"/>
          <w:bCs/>
          <w:color w:val="000000"/>
          <w:kern w:val="0"/>
          <w:sz w:val="32"/>
          <w:szCs w:val="32"/>
        </w:rPr>
        <w:t>（三）</w:t>
      </w:r>
      <w:r>
        <w:rPr>
          <w:rFonts w:ascii="仿宋" w:hAnsi="仿宋" w:eastAsia="仿宋" w:cs="宋体"/>
          <w:kern w:val="0"/>
          <w:sz w:val="32"/>
          <w:szCs w:val="32"/>
        </w:rPr>
        <w:t>负责全区城乡社会救助工作的政策咨询、培训及来信来访。</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宋体"/>
          <w:bCs/>
          <w:color w:val="000000"/>
          <w:kern w:val="0"/>
          <w:sz w:val="32"/>
          <w:szCs w:val="32"/>
        </w:rPr>
        <w:t>（四）</w:t>
      </w:r>
      <w:r>
        <w:rPr>
          <w:rFonts w:ascii="仿宋" w:hAnsi="仿宋" w:eastAsia="仿宋" w:cs="宋体"/>
          <w:kern w:val="0"/>
          <w:sz w:val="32"/>
          <w:szCs w:val="32"/>
        </w:rPr>
        <w:t>负责全区城乡社会救助资金的管理和发放。</w:t>
      </w:r>
      <w:r>
        <w:rPr>
          <w:rFonts w:hint="eastAsia" w:ascii="仿宋" w:hAnsi="仿宋" w:eastAsia="仿宋" w:cs="宋体"/>
          <w:kern w:val="0"/>
          <w:sz w:val="32"/>
          <w:szCs w:val="32"/>
        </w:rPr>
        <w:t xml:space="preserve"> </w:t>
      </w:r>
    </w:p>
    <w:p>
      <w:pPr>
        <w:widowControl/>
        <w:shd w:val="clear" w:color="auto" w:fill="FFFFFF"/>
        <w:spacing w:line="520" w:lineRule="exact"/>
        <w:ind w:firstLine="640" w:firstLineChars="200"/>
        <w:jc w:val="left"/>
        <w:rPr>
          <w:rFonts w:hint="eastAsia" w:ascii="仿宋" w:hAnsi="仿宋" w:eastAsia="仿宋" w:cs="宋体"/>
          <w:kern w:val="0"/>
          <w:sz w:val="32"/>
          <w:szCs w:val="32"/>
        </w:rPr>
      </w:pPr>
      <w:r>
        <w:rPr>
          <w:rFonts w:hint="eastAsia" w:ascii="仿宋" w:hAnsi="仿宋" w:eastAsia="仿宋" w:cs="宋体"/>
          <w:bCs/>
          <w:color w:val="000000"/>
          <w:kern w:val="0"/>
          <w:sz w:val="32"/>
          <w:szCs w:val="32"/>
        </w:rPr>
        <w:t>（五）</w:t>
      </w:r>
      <w:r>
        <w:rPr>
          <w:rFonts w:ascii="仿宋" w:hAnsi="仿宋" w:eastAsia="仿宋" w:cs="宋体"/>
          <w:kern w:val="0"/>
          <w:sz w:val="32"/>
          <w:szCs w:val="32"/>
        </w:rPr>
        <w:t>负责全区城乡社会救助信息网络管理及数据上报工作。</w:t>
      </w:r>
      <w:r>
        <w:rPr>
          <w:rFonts w:ascii="仿宋" w:hAnsi="仿宋" w:eastAsia="仿宋" w:cs="宋体"/>
          <w:kern w:val="0"/>
          <w:sz w:val="32"/>
          <w:szCs w:val="32"/>
        </w:rPr>
        <w:br w:type="textWrapping"/>
      </w:r>
      <w:r>
        <w:rPr>
          <w:rFonts w:hint="eastAsia" w:ascii="仿宋" w:hAnsi="仿宋" w:eastAsia="仿宋" w:cs="宋体"/>
          <w:kern w:val="0"/>
          <w:sz w:val="32"/>
          <w:szCs w:val="32"/>
        </w:rPr>
        <w:t xml:space="preserve">    </w:t>
      </w:r>
      <w:r>
        <w:rPr>
          <w:rFonts w:hint="eastAsia" w:ascii="仿宋" w:hAnsi="仿宋" w:eastAsia="仿宋" w:cs="宋体"/>
          <w:bCs/>
          <w:color w:val="000000"/>
          <w:kern w:val="0"/>
          <w:sz w:val="32"/>
          <w:szCs w:val="32"/>
        </w:rPr>
        <w:t>（六）</w:t>
      </w:r>
      <w:r>
        <w:rPr>
          <w:rFonts w:ascii="仿宋" w:hAnsi="仿宋" w:eastAsia="仿宋" w:cs="宋体"/>
          <w:kern w:val="0"/>
          <w:sz w:val="32"/>
          <w:szCs w:val="32"/>
        </w:rPr>
        <w:t>负责全区城乡社会救助档案管理工作。</w:t>
      </w:r>
    </w:p>
    <w:p>
      <w:pPr>
        <w:widowControl/>
        <w:spacing w:line="600" w:lineRule="exact"/>
        <w:ind w:firstLine="640" w:firstLineChars="200"/>
        <w:rPr>
          <w:rFonts w:ascii="仿宋" w:hAnsi="仿宋" w:eastAsia="仿宋" w:cs="宋体"/>
          <w:kern w:val="0"/>
          <w:sz w:val="32"/>
          <w:szCs w:val="32"/>
        </w:rPr>
      </w:pPr>
      <w:r>
        <w:rPr>
          <w:rFonts w:hint="eastAsia" w:ascii="仿宋" w:hAnsi="仿宋" w:eastAsia="仿宋" w:cs="宋体"/>
          <w:bCs/>
          <w:color w:val="000000"/>
          <w:kern w:val="0"/>
          <w:sz w:val="32"/>
          <w:szCs w:val="32"/>
        </w:rPr>
        <w:t>（七）</w:t>
      </w:r>
      <w:r>
        <w:rPr>
          <w:rFonts w:ascii="仿宋" w:hAnsi="仿宋" w:eastAsia="仿宋" w:cs="宋体"/>
          <w:kern w:val="0"/>
          <w:sz w:val="32"/>
          <w:szCs w:val="32"/>
        </w:rPr>
        <w:t>承担区委、区政府和区城乡社会救助工作领导小组及上级主管部门的安排的其它工作。</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r>
        <w:rPr>
          <w:rFonts w:hint="eastAsia" w:ascii="Times New Roman" w:hAnsi="Times New Roman" w:eastAsia="仿宋_GB2312" w:cs="Times New Roman"/>
          <w:bCs/>
          <w:kern w:val="0"/>
          <w:sz w:val="32"/>
          <w:szCs w:val="32"/>
        </w:rPr>
        <w:t>及决算单位构成</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（一）内设机构设置。</w:t>
      </w:r>
      <w:r>
        <w:rPr>
          <w:rFonts w:hint="eastAsia" w:ascii="Times New Roman" w:hAnsi="Times New Roman" w:eastAsia="仿宋_GB2312" w:cs="Times New Roman"/>
          <w:bCs/>
          <w:kern w:val="0"/>
          <w:sz w:val="32"/>
          <w:szCs w:val="32"/>
          <w:lang w:eastAsia="zh-CN"/>
        </w:rPr>
        <w:t>雁峰区城乡社会救助服务中心</w:t>
      </w:r>
      <w:r>
        <w:rPr>
          <w:rFonts w:hint="eastAsia" w:ascii="Times New Roman" w:hAnsi="Times New Roman" w:eastAsia="仿宋_GB2312" w:cs="Times New Roman"/>
          <w:bCs/>
          <w:kern w:val="0"/>
          <w:sz w:val="32"/>
          <w:szCs w:val="32"/>
        </w:rPr>
        <w:t>内设机构</w:t>
      </w:r>
      <w:r>
        <w:rPr>
          <w:rFonts w:hint="eastAsia" w:ascii="Times New Roman" w:hAnsi="Times New Roman" w:eastAsia="仿宋_GB2312" w:cs="Times New Roman"/>
          <w:bCs/>
          <w:kern w:val="0"/>
          <w:sz w:val="32"/>
          <w:szCs w:val="32"/>
          <w:lang w:eastAsia="zh-CN"/>
        </w:rPr>
        <w:t>无。</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eastAsia="zh-CN"/>
        </w:rPr>
        <w:t>雁峰区城乡社会救助服务中心</w:t>
      </w:r>
      <w:r>
        <w:rPr>
          <w:rFonts w:hint="eastAsia" w:ascii="Times New Roman" w:hAnsi="Times New Roman" w:eastAsia="仿宋_GB2312" w:cs="Times New Roman"/>
          <w:bCs/>
          <w:kern w:val="0"/>
          <w:sz w:val="32"/>
          <w:szCs w:val="32"/>
        </w:rPr>
        <w:t>2018年部门决算汇总公开单位构成包括：</w:t>
      </w:r>
      <w:r>
        <w:rPr>
          <w:rFonts w:hint="eastAsia" w:ascii="Times New Roman" w:hAnsi="Times New Roman" w:eastAsia="仿宋_GB2312" w:cs="Times New Roman"/>
          <w:bCs/>
          <w:kern w:val="0"/>
          <w:sz w:val="32"/>
          <w:szCs w:val="32"/>
          <w:lang w:eastAsia="zh-CN"/>
        </w:rPr>
        <w:t>雁峰区城乡社会救助服务中心基本户和专户两个账套的数据。</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雁峰区城乡社会救助服务中心</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ind w:firstLine="640" w:firstLineChars="200"/>
        <w:rPr>
          <w:rFonts w:hint="eastAsia" w:eastAsia="仿宋_GB2312"/>
          <w:bCs/>
          <w:kern w:val="0"/>
          <w:sz w:val="32"/>
          <w:szCs w:val="32"/>
          <w:lang w:eastAsia="zh-CN"/>
        </w:rPr>
      </w:pPr>
      <w:r>
        <w:rPr>
          <w:rFonts w:hint="eastAsia" w:eastAsia="仿宋_GB2312"/>
          <w:bCs/>
          <w:kern w:val="0"/>
          <w:sz w:val="32"/>
          <w:szCs w:val="32"/>
          <w:lang w:eastAsia="zh-CN"/>
        </w:rPr>
        <w:t>（公开表格附后）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雁峰区城乡社会救助服务中心</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hint="eastAsia" w:ascii="仿宋" w:hAnsi="仿宋" w:eastAsia="仿宋" w:cs="仿宋"/>
          <w:bCs/>
          <w:kern w:val="0"/>
          <w:sz w:val="32"/>
          <w:szCs w:val="32"/>
        </w:rPr>
      </w:pPr>
      <w:r>
        <w:rPr>
          <w:rFonts w:hint="eastAsia" w:ascii="仿宋" w:hAnsi="仿宋" w:eastAsia="仿宋" w:cs="仿宋"/>
          <w:kern w:val="0"/>
          <w:sz w:val="32"/>
          <w:szCs w:val="32"/>
        </w:rPr>
        <w:t>一、收入支出决算总体情况说明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bCs/>
          <w:kern w:val="0"/>
          <w:sz w:val="32"/>
          <w:szCs w:val="32"/>
        </w:rPr>
        <w:t>201</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年度</w:t>
      </w:r>
      <w:r>
        <w:rPr>
          <w:rFonts w:hint="eastAsia" w:ascii="仿宋" w:hAnsi="仿宋" w:eastAsia="仿宋" w:cs="仿宋"/>
          <w:bCs/>
          <w:kern w:val="0"/>
          <w:sz w:val="32"/>
          <w:szCs w:val="32"/>
          <w:lang w:val="en-US" w:eastAsia="zh-CN"/>
        </w:rPr>
        <w:t>年初结转和结余3，518.19万元，本年</w:t>
      </w:r>
      <w:r>
        <w:rPr>
          <w:rFonts w:hint="eastAsia" w:ascii="仿宋" w:hAnsi="仿宋" w:eastAsia="仿宋" w:cs="仿宋"/>
          <w:bCs/>
          <w:kern w:val="0"/>
          <w:sz w:val="32"/>
          <w:szCs w:val="32"/>
        </w:rPr>
        <w:t>收入总计</w:t>
      </w:r>
      <w:r>
        <w:rPr>
          <w:rFonts w:hint="eastAsia" w:ascii="仿宋" w:hAnsi="仿宋" w:eastAsia="仿宋" w:cs="仿宋"/>
          <w:bCs/>
          <w:kern w:val="0"/>
          <w:sz w:val="32"/>
          <w:szCs w:val="32"/>
          <w:lang w:val="en-US" w:eastAsia="zh-CN"/>
        </w:rPr>
        <w:t>4，413.24</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其中：财政拨款收入</w:t>
      </w:r>
      <w:r>
        <w:rPr>
          <w:rFonts w:hint="eastAsia" w:ascii="仿宋" w:hAnsi="仿宋" w:eastAsia="仿宋" w:cs="仿宋"/>
          <w:bCs/>
          <w:kern w:val="0"/>
          <w:sz w:val="32"/>
          <w:szCs w:val="32"/>
          <w:lang w:val="en-US" w:eastAsia="zh-CN"/>
        </w:rPr>
        <w:t>4，380.53万元，其他收入32.72万元</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本</w:t>
      </w:r>
      <w:r>
        <w:rPr>
          <w:rFonts w:hint="eastAsia" w:ascii="仿宋" w:hAnsi="仿宋" w:eastAsia="仿宋" w:cs="仿宋"/>
          <w:bCs/>
          <w:kern w:val="0"/>
          <w:sz w:val="32"/>
          <w:szCs w:val="32"/>
        </w:rPr>
        <w:t>年支出总计</w:t>
      </w:r>
      <w:r>
        <w:rPr>
          <w:rFonts w:hint="eastAsia" w:ascii="仿宋" w:hAnsi="仿宋" w:eastAsia="仿宋" w:cs="仿宋"/>
          <w:bCs/>
          <w:kern w:val="0"/>
          <w:sz w:val="32"/>
          <w:szCs w:val="32"/>
          <w:lang w:val="en-US" w:eastAsia="zh-CN"/>
        </w:rPr>
        <w:t>4，742.48</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其中：社会保障和就业支出</w:t>
      </w:r>
      <w:r>
        <w:rPr>
          <w:rFonts w:hint="eastAsia" w:ascii="仿宋" w:hAnsi="仿宋" w:eastAsia="仿宋" w:cs="仿宋"/>
          <w:bCs/>
          <w:kern w:val="0"/>
          <w:sz w:val="32"/>
          <w:szCs w:val="32"/>
          <w:lang w:val="en-US" w:eastAsia="zh-CN"/>
        </w:rPr>
        <w:t>4，303.5万元，医疗卫生与计划生育支出406.41万元。年末结转和结余3，188.95万元</w:t>
      </w:r>
      <w:r>
        <w:rPr>
          <w:rFonts w:hint="eastAsia" w:ascii="仿宋" w:hAnsi="仿宋" w:eastAsia="仿宋" w:cs="仿宋"/>
          <w:bCs/>
          <w:kern w:val="0"/>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二、收入决算情况说明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年收入4,</w:t>
      </w:r>
      <w:r>
        <w:rPr>
          <w:rFonts w:hint="eastAsia" w:ascii="仿宋" w:hAnsi="仿宋" w:eastAsia="仿宋" w:cs="仿宋"/>
          <w:sz w:val="32"/>
          <w:szCs w:val="32"/>
          <w:lang w:val="en-US" w:eastAsia="zh-CN"/>
        </w:rPr>
        <w:t>413.24</w:t>
      </w:r>
      <w:r>
        <w:rPr>
          <w:rFonts w:hint="eastAsia" w:ascii="仿宋" w:hAnsi="仿宋" w:eastAsia="仿宋" w:cs="仿宋"/>
          <w:sz w:val="32"/>
          <w:szCs w:val="32"/>
          <w:lang w:eastAsia="zh-CN"/>
        </w:rPr>
        <w:t>万</w:t>
      </w:r>
      <w:r>
        <w:rPr>
          <w:rFonts w:hint="eastAsia" w:ascii="仿宋" w:hAnsi="仿宋" w:eastAsia="仿宋" w:cs="仿宋"/>
          <w:sz w:val="32"/>
          <w:szCs w:val="32"/>
        </w:rPr>
        <w:t>元，其中：财政拨款收入</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val="en-US" w:eastAsia="zh-CN"/>
        </w:rPr>
        <w:t>380.53</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收入</w:t>
      </w:r>
      <w:r>
        <w:rPr>
          <w:rFonts w:hint="eastAsia" w:ascii="仿宋" w:hAnsi="仿宋" w:eastAsia="仿宋" w:cs="仿宋"/>
          <w:sz w:val="32"/>
          <w:szCs w:val="32"/>
          <w:lang w:val="en-US" w:eastAsia="zh-CN"/>
        </w:rPr>
        <w:t>99.26</w:t>
      </w:r>
      <w:r>
        <w:rPr>
          <w:rFonts w:hint="eastAsia" w:ascii="仿宋" w:hAnsi="仿宋" w:eastAsia="仿宋" w:cs="仿宋"/>
          <w:sz w:val="32"/>
          <w:szCs w:val="32"/>
        </w:rPr>
        <w:t>%；</w:t>
      </w:r>
      <w:r>
        <w:rPr>
          <w:rFonts w:hint="eastAsia" w:ascii="仿宋" w:hAnsi="仿宋" w:eastAsia="仿宋" w:cs="仿宋"/>
          <w:sz w:val="32"/>
          <w:szCs w:val="32"/>
          <w:lang w:val="en-US" w:eastAsia="zh-CN"/>
        </w:rPr>
        <w:t>其他收入32.72万元，占本年收入0.74%</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三、支出决算情况说明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lang w:eastAsia="zh-CN"/>
        </w:rPr>
        <w:t>本年</w:t>
      </w:r>
      <w:r>
        <w:rPr>
          <w:rFonts w:hint="eastAsia" w:ascii="仿宋" w:hAnsi="仿宋" w:eastAsia="仿宋" w:cs="仿宋"/>
          <w:sz w:val="32"/>
          <w:szCs w:val="32"/>
        </w:rPr>
        <w:t>支出4,</w:t>
      </w:r>
      <w:r>
        <w:rPr>
          <w:rFonts w:hint="eastAsia" w:ascii="仿宋" w:hAnsi="仿宋" w:eastAsia="仿宋" w:cs="仿宋"/>
          <w:sz w:val="32"/>
          <w:szCs w:val="32"/>
          <w:lang w:val="en-US" w:eastAsia="zh-CN"/>
        </w:rPr>
        <w:t>742.48</w:t>
      </w:r>
      <w:r>
        <w:rPr>
          <w:rFonts w:hint="eastAsia" w:ascii="仿宋" w:hAnsi="仿宋" w:eastAsia="仿宋" w:cs="仿宋"/>
          <w:sz w:val="32"/>
          <w:szCs w:val="32"/>
          <w:lang w:eastAsia="zh-CN"/>
        </w:rPr>
        <w:t>万</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66.44</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1.4</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4，676.04</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98.6</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四、财政拨款收入支出决算总体情况说明</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2018年财政拨款收入4，380.53万元，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15.53%。其中一般公共预算财政拨款4，356.33万元，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15.99%，是因为上级专项减少。政府性基金预算24.2万元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100%，是因为在彩票公益金资金中安排了城乡医疗救助24.2万元。</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2018年财政拨款支出4,740.75万元，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8.37%。其中：一般公共预算4,716.55元，</w:t>
      </w:r>
      <w:r>
        <w:rPr>
          <w:rFonts w:hint="eastAsia" w:ascii="仿宋" w:hAnsi="仿宋" w:eastAsia="仿宋" w:cs="仿宋"/>
          <w:sz w:val="32"/>
          <w:szCs w:val="32"/>
        </w:rPr>
        <w:t>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8.84%，是因为低保动态管理清退了部分人员；政府性基金预算24.2万元，</w:t>
      </w:r>
      <w:r>
        <w:rPr>
          <w:rFonts w:hint="eastAsia" w:ascii="仿宋" w:hAnsi="仿宋" w:eastAsia="仿宋" w:cs="仿宋"/>
          <w:sz w:val="32"/>
          <w:szCs w:val="32"/>
        </w:rPr>
        <w:t>与上年对比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100%，因为在彩票公益金资金中安排了城乡医疗救助资金</w:t>
      </w:r>
      <w:r>
        <w:rPr>
          <w:rFonts w:hint="eastAsia" w:ascii="仿宋" w:hAnsi="仿宋" w:eastAsia="仿宋" w:cs="仿宋"/>
          <w:sz w:val="32"/>
          <w:szCs w:val="32"/>
          <w:lang w:eastAsia="zh-CN"/>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（一）财政拨款支出决算总体情况。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2018年一般公共预算财政拨款支出4,716.55万元，占本年支出99.49%，</w:t>
      </w:r>
      <w:r>
        <w:rPr>
          <w:rFonts w:hint="eastAsia" w:ascii="仿宋" w:hAnsi="仿宋" w:eastAsia="仿宋" w:cs="仿宋"/>
          <w:sz w:val="32"/>
          <w:szCs w:val="32"/>
        </w:rPr>
        <w:t>上年对比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8.84%，是因为低保动态管理清退了部分人员。</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（二）财政拨款支出决算结构情况。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基本支出64.71万元，占一般公共预算财政拨款支出1.37%。项目支出4，651.84万元，占一般公共预算财政拨款支出98.63%。</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bCs/>
          <w:kern w:val="0"/>
          <w:sz w:val="32"/>
          <w:szCs w:val="32"/>
        </w:rPr>
        <w:t>（三）财政拨款支出决算具体情况。</w:t>
      </w:r>
    </w:p>
    <w:p>
      <w:pPr>
        <w:widowControl/>
        <w:spacing w:line="600" w:lineRule="exact"/>
        <w:ind w:firstLine="640" w:firstLineChars="200"/>
        <w:rPr>
          <w:rFonts w:hint="eastAsia" w:ascii="仿宋" w:hAnsi="仿宋" w:eastAsia="仿宋" w:cs="仿宋"/>
          <w:b/>
          <w:bCs/>
          <w:kern w:val="0"/>
          <w:sz w:val="32"/>
          <w:szCs w:val="32"/>
          <w:lang w:val="en-US"/>
        </w:rPr>
      </w:pPr>
      <w:r>
        <w:rPr>
          <w:rFonts w:hint="eastAsia" w:ascii="仿宋" w:hAnsi="仿宋" w:eastAsia="仿宋" w:cs="仿宋"/>
          <w:sz w:val="32"/>
          <w:szCs w:val="32"/>
          <w:lang w:val="en-US" w:eastAsia="zh-CN"/>
        </w:rPr>
        <w:t>2018年一般公共预算财政拨款年初预算5，809.18万元，实际支出4,716.55万元，比年初预算减少1092.63万元，是因为低保动态管理清退了部分人员。</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六、一般公共预算财政拨款基本支出决算情况说明</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kern w:val="0"/>
          <w:sz w:val="32"/>
          <w:szCs w:val="32"/>
          <w:lang w:val="en-US" w:eastAsia="zh-CN"/>
        </w:rPr>
        <w:t>2018年一般公共预算财政拨款基本支出64.71万元：人员经费62.06万元，占基本支出95.9%，为工资福利支出；公用经费2.65万元，占基本支出4.1%</w:t>
      </w:r>
      <w:r>
        <w:rPr>
          <w:rFonts w:hint="eastAsia" w:ascii="仿宋" w:hAnsi="仿宋" w:eastAsia="仿宋" w:cs="仿宋"/>
          <w:kern w:val="0"/>
          <w:sz w:val="32"/>
          <w:szCs w:val="32"/>
          <w:lang w:eastAsia="zh-CN"/>
        </w:rPr>
        <w:t>，为商品和服务支出</w:t>
      </w:r>
      <w:r>
        <w:rPr>
          <w:rFonts w:hint="eastAsia" w:ascii="仿宋" w:hAnsi="仿宋" w:eastAsia="仿宋" w:cs="仿宋"/>
          <w:kern w:val="0"/>
          <w:sz w:val="32"/>
          <w:szCs w:val="32"/>
          <w:lang w:val="en-US" w:eastAsia="zh-CN"/>
        </w:rPr>
        <w:t>。</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七、一般公共预算财政拨款“三公”经费支出决算情况说明</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（一）“三公”经费财政拨款支出决算总体情况说明。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财政未拨付相关经费，在民政局列支。</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（二）“三公”经费财政拨款支出决算具体情况说明。</w:t>
      </w:r>
    </w:p>
    <w:p>
      <w:pPr>
        <w:snapToGrid w:val="0"/>
        <w:spacing w:line="52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lang w:eastAsia="zh-CN"/>
        </w:rPr>
        <w:t>财政未拨付相关经费，在民政局列支。</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八、政府性基金预算收入支出决算情况</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kern w:val="0"/>
          <w:sz w:val="32"/>
          <w:szCs w:val="32"/>
          <w:lang w:val="en-US" w:eastAsia="zh-CN"/>
        </w:rPr>
        <w:t>2018年政府性基金预算收入24.2万元，支出24.2万元，用于城乡医疗救助的彩票公益金支出。</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九、关于2018年度预算绩效情况说明</w:t>
      </w:r>
    </w:p>
    <w:p>
      <w:pPr>
        <w:widowControl/>
        <w:numPr>
          <w:ilvl w:val="0"/>
          <w:numId w:val="0"/>
        </w:numPr>
        <w:spacing w:line="600" w:lineRule="exact"/>
        <w:ind w:leftChars="0"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 xml:space="preserve">2018年我单位按要求积极开展了预算绩效管理工作，通过全面实施预算项目绩效目标管理，积极探索绩效跟踪监控，大力推进项目绩效评价，完善评价指标体系建设，深化绩效评价结果运用，加强培训和宣传等具体措施，在全系统提升了“讲绩效，重绩效，用绩效”的意识。     </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lang w:val="en-US" w:eastAsia="zh-CN"/>
        </w:rPr>
        <w:t>2018年度部门预算数为</w:t>
      </w:r>
      <w:r>
        <w:rPr>
          <w:rFonts w:hint="eastAsia" w:ascii="仿宋" w:hAnsi="仿宋" w:eastAsia="仿宋" w:cs="仿宋"/>
          <w:sz w:val="32"/>
          <w:szCs w:val="32"/>
          <w:lang w:val="en-US" w:eastAsia="zh-CN"/>
        </w:rPr>
        <w:t>5，809.18</w:t>
      </w:r>
      <w:r>
        <w:rPr>
          <w:rFonts w:hint="eastAsia" w:ascii="仿宋" w:hAnsi="仿宋" w:eastAsia="仿宋" w:cs="仿宋"/>
          <w:color w:val="auto"/>
          <w:sz w:val="32"/>
          <w:szCs w:val="32"/>
          <w:lang w:eastAsia="zh-CN"/>
        </w:rPr>
        <w:t>万元，支出决算数为</w:t>
      </w:r>
      <w:r>
        <w:rPr>
          <w:rFonts w:hint="eastAsia" w:ascii="仿宋" w:hAnsi="仿宋" w:eastAsia="仿宋" w:cs="仿宋"/>
          <w:sz w:val="32"/>
          <w:szCs w:val="32"/>
        </w:rPr>
        <w:t>4,</w:t>
      </w:r>
      <w:r>
        <w:rPr>
          <w:rFonts w:hint="eastAsia" w:ascii="仿宋" w:hAnsi="仿宋" w:eastAsia="仿宋" w:cs="仿宋"/>
          <w:sz w:val="32"/>
          <w:szCs w:val="32"/>
          <w:lang w:val="en-US" w:eastAsia="zh-CN"/>
        </w:rPr>
        <w:t>742.48</w:t>
      </w:r>
      <w:r>
        <w:rPr>
          <w:rFonts w:hint="eastAsia" w:ascii="仿宋" w:hAnsi="仿宋" w:eastAsia="仿宋" w:cs="仿宋"/>
          <w:color w:val="auto"/>
          <w:sz w:val="32"/>
          <w:szCs w:val="32"/>
          <w:lang w:val="en-US" w:eastAsia="zh-CN"/>
        </w:rPr>
        <w:t>万元，预算完成率81.64%。</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十、其他重要事项</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（一）机关运行经费支出情况。本部门2018年度机关运行经费支出</w:t>
      </w:r>
      <w:r>
        <w:rPr>
          <w:rFonts w:hint="eastAsia" w:ascii="仿宋" w:hAnsi="仿宋" w:eastAsia="仿宋" w:cs="仿宋"/>
          <w:kern w:val="0"/>
          <w:sz w:val="32"/>
          <w:szCs w:val="32"/>
          <w:lang w:val="en-US" w:eastAsia="zh-CN"/>
        </w:rPr>
        <w:t>2.65</w:t>
      </w:r>
      <w:r>
        <w:rPr>
          <w:rFonts w:hint="eastAsia" w:ascii="仿宋" w:hAnsi="仿宋" w:eastAsia="仿宋" w:cs="仿宋"/>
          <w:kern w:val="0"/>
          <w:sz w:val="32"/>
          <w:szCs w:val="32"/>
        </w:rPr>
        <w:t>万元。</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（二）政府采购支出情况。本部门2018年度政府采购支出总额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万元，其中：政府采购货物支出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万元、政府采购工程支出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万元、政府采购服务支出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万元。授予中小企业合同金额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万元，其中：授予小微企业合同金额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万元，占政府采购支出金额的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hint="eastAsia" w:ascii="仿宋" w:hAnsi="仿宋" w:eastAsia="仿宋" w:cs="仿宋"/>
          <w:kern w:val="0"/>
          <w:sz w:val="32"/>
          <w:szCs w:val="32"/>
        </w:rPr>
        <w:t>（三）国有资产占用情况。截至2018年12 月31 日，本部门共有车辆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辆，其中，部级领导干部用车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辆；单位价值50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台（套），单价100 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w:t>
      </w:r>
    </w:p>
    <w:p>
      <w:pPr>
        <w:widowControl/>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（一）财政拨款收入：是指市财政当年拨付的资金。</w:t>
      </w:r>
    </w:p>
    <w:p>
      <w:pPr>
        <w:widowControl/>
        <w:spacing w:line="600" w:lineRule="exact"/>
        <w:ind w:firstLine="640" w:firstLineChars="200"/>
        <w:rPr>
          <w:rFonts w:eastAsia="仿宋_GB2312"/>
          <w:bCs/>
          <w:kern w:val="0"/>
          <w:sz w:val="32"/>
          <w:szCs w:val="32"/>
        </w:rPr>
      </w:pPr>
      <w:r>
        <w:rPr>
          <w:rFonts w:eastAsia="仿宋_GB2312"/>
          <w:bCs/>
          <w:kern w:val="0"/>
          <w:sz w:val="32"/>
          <w:szCs w:val="32"/>
        </w:rPr>
        <w:t>（二）其他收入：是指部门取得的除“财政拨款”、“事业收入”、“经营收入”等以外的收入。</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三</w:t>
      </w:r>
      <w:r>
        <w:rPr>
          <w:rFonts w:eastAsia="仿宋_GB2312"/>
          <w:bCs/>
          <w:kern w:val="0"/>
          <w:sz w:val="32"/>
          <w:szCs w:val="32"/>
        </w:rPr>
        <w:t>）</w:t>
      </w:r>
      <w:r>
        <w:rPr>
          <w:rFonts w:hint="eastAsia" w:eastAsia="仿宋_GB2312"/>
          <w:bCs/>
          <w:kern w:val="0"/>
          <w:sz w:val="32"/>
          <w:szCs w:val="32"/>
        </w:rPr>
        <w:t>基本支出：指为保障机构正常运转、完成日常工作任务而发生的人员支出和公用支出。</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四</w:t>
      </w:r>
      <w:r>
        <w:rPr>
          <w:rFonts w:eastAsia="仿宋_GB2312"/>
          <w:bCs/>
          <w:kern w:val="0"/>
          <w:sz w:val="32"/>
          <w:szCs w:val="32"/>
        </w:rPr>
        <w:t>）项目支出：：</w:t>
      </w:r>
      <w:r>
        <w:rPr>
          <w:rFonts w:hint="eastAsia" w:eastAsia="仿宋_GB2312"/>
          <w:bCs/>
          <w:kern w:val="0"/>
          <w:sz w:val="32"/>
          <w:szCs w:val="32"/>
        </w:rPr>
        <w:t>指在基本支出之外为完成特定行政任务和事业发展目标所发生的支出。</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五</w:t>
      </w:r>
      <w:r>
        <w:rPr>
          <w:rFonts w:eastAsia="仿宋_GB2312"/>
          <w:bCs/>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rPr>
          <w:rFonts w:ascii="Times New Roman" w:hAnsi="Times New Roman" w:eastAsia="黑体" w:cs="Times New Roman"/>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62B233F"/>
    <w:rsid w:val="07966808"/>
    <w:rsid w:val="08282C5A"/>
    <w:rsid w:val="11A10CCE"/>
    <w:rsid w:val="160B2685"/>
    <w:rsid w:val="18CE43B7"/>
    <w:rsid w:val="1CB51895"/>
    <w:rsid w:val="23604094"/>
    <w:rsid w:val="26702FA5"/>
    <w:rsid w:val="2C6C1D9E"/>
    <w:rsid w:val="2CCD3976"/>
    <w:rsid w:val="2F8A7541"/>
    <w:rsid w:val="30905F6A"/>
    <w:rsid w:val="31CB09EF"/>
    <w:rsid w:val="34361213"/>
    <w:rsid w:val="37F972AE"/>
    <w:rsid w:val="39E00514"/>
    <w:rsid w:val="3A49693F"/>
    <w:rsid w:val="3C236EF5"/>
    <w:rsid w:val="3CC57687"/>
    <w:rsid w:val="50725C1E"/>
    <w:rsid w:val="60765DB5"/>
    <w:rsid w:val="639A79BA"/>
    <w:rsid w:val="643F4017"/>
    <w:rsid w:val="64FC4734"/>
    <w:rsid w:val="68DC4038"/>
    <w:rsid w:val="6AD95595"/>
    <w:rsid w:val="6F0021E5"/>
    <w:rsid w:val="700760EE"/>
    <w:rsid w:val="75A03572"/>
    <w:rsid w:val="76B25D11"/>
    <w:rsid w:val="7C42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2</TotalTime>
  <ScaleCrop>false</ScaleCrop>
  <LinksUpToDate>false</LinksUpToDate>
  <CharactersWithSpaces>1747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刘大萌神刘大厨神刘大车神</cp:lastModifiedBy>
  <dcterms:modified xsi:type="dcterms:W3CDTF">2022-01-17T01:19:30Z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C4B5803BA17A43989829AE5F47786EBC</vt:lpwstr>
  </property>
</Properties>
</file>