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23" w:rsidRDefault="00DF70D8">
      <w:pPr>
        <w:widowControl/>
        <w:spacing w:line="60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雁峰区医疗保障局</w:t>
      </w:r>
    </w:p>
    <w:p w:rsidR="001E0123" w:rsidRDefault="00DF70D8">
      <w:pPr>
        <w:widowControl/>
        <w:spacing w:line="60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2020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年度部门整体支出绩效自评报告</w:t>
      </w:r>
    </w:p>
    <w:p w:rsidR="001E0123" w:rsidRDefault="001E0123">
      <w:pPr>
        <w:widowControl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E0123" w:rsidRDefault="00DF70D8">
      <w:pPr>
        <w:widowControl/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根据《中</w:t>
      </w:r>
      <w:r>
        <w:rPr>
          <w:rFonts w:ascii="宋体" w:eastAsia="宋体" w:hAnsi="宋体" w:cs="宋体" w:hint="eastAsia"/>
          <w:sz w:val="32"/>
          <w:szCs w:val="32"/>
        </w:rPr>
        <w:t>华</w:t>
      </w:r>
      <w:r>
        <w:rPr>
          <w:rFonts w:ascii="___WRD_EMBED_SUB_39" w:eastAsia="___WRD_EMBED_SUB_39" w:hAnsi="___WRD_EMBED_SUB_39" w:cs="___WRD_EMBED_SUB_39" w:hint="eastAsia"/>
          <w:sz w:val="32"/>
          <w:szCs w:val="32"/>
        </w:rPr>
        <w:t>人民共和国预算法》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有关“各级政府、各部门、各单位应当对预算支出情况开展绩效评价”的规定，结合实际情况，我局对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2020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年度部门整体支出进行了绩效自评，现报告如下：</w:t>
      </w:r>
    </w:p>
    <w:p w:rsidR="001E0123" w:rsidRDefault="00DF70D8">
      <w:pPr>
        <w:widowControl/>
        <w:spacing w:line="600" w:lineRule="exact"/>
        <w:rPr>
          <w:rFonts w:ascii="方正仿宋_GB2312" w:eastAsia="方正仿宋_GB2312" w:hAnsi="方正仿宋_GB2312" w:cs="方正仿宋_GB2312"/>
          <w:b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一、基本情况</w:t>
      </w:r>
    </w:p>
    <w:p w:rsidR="001E0123" w:rsidRDefault="00DF70D8">
      <w:pPr>
        <w:snapToGrid w:val="0"/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．主要职能</w:t>
      </w:r>
    </w:p>
    <w:p w:rsidR="001E0123" w:rsidRDefault="00DF70D8">
      <w:pPr>
        <w:widowControl/>
        <w:shd w:val="clear" w:color="auto" w:fill="FFFFFF"/>
        <w:tabs>
          <w:tab w:val="left" w:pos="5400"/>
        </w:tabs>
        <w:spacing w:line="600" w:lineRule="exact"/>
        <w:ind w:firstLine="645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区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医疗保障局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的主要职责是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: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ab/>
      </w:r>
    </w:p>
    <w:p w:rsidR="001E0123" w:rsidRDefault="00DF70D8">
      <w:pPr>
        <w:widowControl/>
        <w:shd w:val="clear" w:color="auto" w:fill="FFFFFF"/>
        <w:spacing w:line="600" w:lineRule="exact"/>
        <w:ind w:firstLine="645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（一）负责区内城镇职工基本医疗保险、城乡居民基本医疗保险、城镇职工生育保险参保登记，保险关系转移（异动）接续。</w:t>
      </w:r>
    </w:p>
    <w:p w:rsidR="001E0123" w:rsidRDefault="00DF70D8">
      <w:pPr>
        <w:widowControl/>
        <w:shd w:val="clear" w:color="auto" w:fill="FFFFFF"/>
        <w:spacing w:line="600" w:lineRule="exact"/>
        <w:ind w:firstLine="645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（二）实施各类医保基金征收工作，核定缴费基数，建立城镇职工基本医疗保险统筹基金和个人账户，并对个人账户基金进行计入、调整、清算、结转等管理工作。</w:t>
      </w:r>
    </w:p>
    <w:p w:rsidR="001E0123" w:rsidRDefault="00DF70D8">
      <w:pPr>
        <w:widowControl/>
        <w:shd w:val="clear" w:color="auto" w:fill="FFFFFF"/>
        <w:spacing w:line="600" w:lineRule="exact"/>
        <w:ind w:firstLine="645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（三）负责各类医疗、生育待遇审核及支付。</w:t>
      </w:r>
    </w:p>
    <w:p w:rsidR="001E0123" w:rsidRDefault="00DF70D8">
      <w:pPr>
        <w:widowControl/>
        <w:shd w:val="clear" w:color="auto" w:fill="FFFFFF"/>
        <w:spacing w:line="600" w:lineRule="exact"/>
        <w:ind w:firstLine="645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（四）承办与本区医疗、生育保险定点（协议）。医疗机构和协议零售药店签订协议，对其执行医疗、生育保险政策规定和协议履行情况进行监督检查及评价；负责对区级医疗、生育保险基金的审核结算工作。</w:t>
      </w:r>
    </w:p>
    <w:p w:rsidR="001E0123" w:rsidRDefault="00DF70D8">
      <w:pPr>
        <w:widowControl/>
        <w:shd w:val="clear" w:color="auto" w:fill="FFFFFF"/>
        <w:spacing w:line="600" w:lineRule="exact"/>
        <w:ind w:firstLine="645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（五）办理本区各类医疗、生育保险备案和参保人员个人垫付资金的核报。</w:t>
      </w:r>
    </w:p>
    <w:p w:rsidR="001E0123" w:rsidRDefault="00DF70D8">
      <w:pPr>
        <w:widowControl/>
        <w:shd w:val="clear" w:color="auto" w:fill="FFFFFF"/>
        <w:spacing w:line="600" w:lineRule="exact"/>
        <w:ind w:firstLine="645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lastRenderedPageBreak/>
        <w:t>（六）依法实施医疗、生育保险稽核，受理医疗、生育保险违规行为的投诉举报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，开展医疗、生育保险稽查。</w:t>
      </w:r>
    </w:p>
    <w:p w:rsidR="001E0123" w:rsidRDefault="00DF70D8">
      <w:pPr>
        <w:widowControl/>
        <w:shd w:val="clear" w:color="auto" w:fill="FFFFFF"/>
        <w:spacing w:line="600" w:lineRule="exact"/>
        <w:ind w:firstLine="645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（七）负责本区医疗、生育保险基金的财务、统计报表的编制及汇审。</w:t>
      </w:r>
    </w:p>
    <w:p w:rsidR="001E0123" w:rsidRDefault="00DF70D8">
      <w:pPr>
        <w:widowControl/>
        <w:shd w:val="clear" w:color="auto" w:fill="FFFFFF"/>
        <w:spacing w:line="600" w:lineRule="exact"/>
        <w:ind w:firstLine="645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（八）负责本区公务员医疗补助基金筹集、管理和医疗费用的结算工作。</w:t>
      </w:r>
    </w:p>
    <w:p w:rsidR="001E0123" w:rsidRDefault="00DF70D8">
      <w:pPr>
        <w:widowControl/>
        <w:shd w:val="clear" w:color="auto" w:fill="FFFFFF"/>
        <w:spacing w:line="600" w:lineRule="exact"/>
        <w:ind w:firstLine="645"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（九）承办区政府、区人力资源和社会保障局交办的其它事项。</w:t>
      </w:r>
    </w:p>
    <w:p w:rsidR="001E0123" w:rsidRDefault="00DF70D8">
      <w:pPr>
        <w:snapToGrid w:val="0"/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．人员情况</w:t>
      </w:r>
    </w:p>
    <w:p w:rsidR="001E0123" w:rsidRDefault="00DF70D8">
      <w:pPr>
        <w:snapToGrid w:val="0"/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雁峰区医保中心</w:t>
      </w:r>
      <w:bookmarkStart w:id="0" w:name="_GoBack"/>
      <w:bookmarkEnd w:id="0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2019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4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月更名为雁峰区医疗保障局，局本级核定领导班子职数，共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个行政编，设局长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名，副局长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名。下设二级机构：雁峰区医疗保障事务中心，为副科级公益一类事业单位，核定全额拨款事业编制数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名，已转隶原区医保中心在编在岗人员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9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人。编办核算编制人数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人，实际在编在岗年末数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人，临聘人员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人，退休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人。</w:t>
      </w:r>
    </w:p>
    <w:p w:rsidR="001E0123" w:rsidRDefault="00DF70D8">
      <w:pPr>
        <w:widowControl/>
        <w:spacing w:line="600" w:lineRule="exact"/>
        <w:rPr>
          <w:rFonts w:ascii="方正仿宋_GB2312" w:eastAsia="方正仿宋_GB2312" w:hAnsi="方正仿宋_GB2312" w:cs="方正仿宋_GB2312"/>
          <w:b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kern w:val="0"/>
          <w:sz w:val="32"/>
          <w:szCs w:val="32"/>
        </w:rPr>
        <w:t>二、机构设置及决算单位构成</w:t>
      </w:r>
    </w:p>
    <w:p w:rsidR="001E0123" w:rsidRDefault="00DF70D8">
      <w:pPr>
        <w:widowControl/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kern w:val="0"/>
          <w:sz w:val="32"/>
          <w:szCs w:val="32"/>
        </w:rPr>
        <w:t>（一）内设机构设置。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雁峰区医疗保障局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内设机构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个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，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为雁峰区医疗保障事务中心，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本单位为财政独立核算单位。</w:t>
      </w:r>
    </w:p>
    <w:p w:rsidR="001E0123" w:rsidRDefault="00DF70D8">
      <w:pPr>
        <w:widowControl/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kern w:val="0"/>
          <w:sz w:val="32"/>
          <w:szCs w:val="32"/>
        </w:rPr>
        <w:t>（二）决算单位构成。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雁峰区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医疗保障局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2020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年部门决算汇总公开单位构成包括：雁峰区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医疗保障事务中心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。</w:t>
      </w:r>
    </w:p>
    <w:p w:rsidR="001E0123" w:rsidRDefault="00DF70D8">
      <w:pPr>
        <w:spacing w:line="600" w:lineRule="exact"/>
        <w:rPr>
          <w:rFonts w:ascii="方正仿宋_GB2312" w:eastAsia="方正仿宋_GB2312" w:hAnsi="方正仿宋_GB2312" w:cs="方正仿宋_GB2312"/>
          <w:b/>
          <w:bCs/>
          <w:color w:val="000000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kern w:val="0"/>
          <w:sz w:val="32"/>
          <w:szCs w:val="32"/>
        </w:rPr>
        <w:t>三、部门整体支出管理及使用情况</w:t>
      </w:r>
    </w:p>
    <w:p w:rsidR="001E0123" w:rsidRDefault="00DF70D8">
      <w:pPr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color w:val="000000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</w:rPr>
        <w:lastRenderedPageBreak/>
        <w:t>（一）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</w:rPr>
        <w:t>2020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</w:rPr>
        <w:t>年部门预算情况</w:t>
      </w:r>
    </w:p>
    <w:p w:rsidR="001E0123" w:rsidRDefault="00DF70D8">
      <w:pPr>
        <w:snapToGrid w:val="0"/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我局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2020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年度收入预算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5472.73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万元（其中：一般公共预算拨款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5472.73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万元），其中：基本支出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114.73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万元（工资福利支出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107.55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万元，商品和服务支出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4.4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万元，对个人和家庭补助支出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2.78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）；项目支出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5358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万元。</w:t>
      </w:r>
    </w:p>
    <w:p w:rsidR="001E0123" w:rsidRDefault="00DF70D8">
      <w:pPr>
        <w:snapToGrid w:val="0"/>
        <w:spacing w:line="600" w:lineRule="exact"/>
        <w:ind w:firstLineChars="100" w:firstLine="32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（二）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2020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年部门决算情况</w:t>
      </w:r>
    </w:p>
    <w:p w:rsidR="001E0123" w:rsidRDefault="00DF70D8">
      <w:pPr>
        <w:widowControl/>
        <w:spacing w:line="600" w:lineRule="exact"/>
        <w:ind w:firstLineChars="150" w:firstLine="48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2020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年度收入总计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5867.95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万元，与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2019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年相比，增加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359.25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万元，主要是因为：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一、上级各级财政对城乡居民医疗保险参保人员的补助水平提高；二、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2019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年成立局之后，业务范围扩大，工作人员增加，相关的工作配套费用和人员经费相应增加。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三、医疗救助职能从民政划转至医保局，医疗救助性资金增加。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2020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年度支出总计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5868.09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万元，与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2019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年相比，增加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359.39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万元，主要是因为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: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一、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医疗救助职能从民政划转至医保局，医疗救助报销支出增加。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。二、成立局之后，随着业务范围的扩大，跟工作相关的配套费用，如：平台建设费、信息维护费、扶贫等与业务相关工作费用支出加大。</w:t>
      </w:r>
    </w:p>
    <w:p w:rsidR="001E0123" w:rsidRDefault="00DF70D8">
      <w:pPr>
        <w:snapToGrid w:val="0"/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（三）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2020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年支出分类情况</w:t>
      </w:r>
    </w:p>
    <w:p w:rsidR="001E0123" w:rsidRDefault="00DF70D8">
      <w:pPr>
        <w:snapToGrid w:val="0"/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.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基本支出</w:t>
      </w:r>
    </w:p>
    <w:p w:rsidR="001E0123" w:rsidRDefault="00DF70D8">
      <w:pPr>
        <w:snapToGrid w:val="0"/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基本支出系保障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我单位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正常运转、完成日常工作任务而发生的各项支出，包括用于在职和离退休人员基本工资、津贴补贴等人员经费以及办公费、印刷费、水电费、维修（护）费等日常公用经费。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2020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年基本支出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216.27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万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lastRenderedPageBreak/>
        <w:t>元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占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总支出的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3.7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%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。</w:t>
      </w:r>
    </w:p>
    <w:p w:rsidR="001E0123" w:rsidRDefault="00DF70D8">
      <w:pPr>
        <w:snapToGrid w:val="0"/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2.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项目支出</w:t>
      </w:r>
    </w:p>
    <w:p w:rsidR="001E0123" w:rsidRDefault="00DF70D8">
      <w:pPr>
        <w:snapToGrid w:val="0"/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项目支出系我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单位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为城乡居民医保各级财政补助和医疗救助财政补助的支出。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2020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年项目支出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5651.82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万元，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占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总支出的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96.3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%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。</w:t>
      </w:r>
    </w:p>
    <w:p w:rsidR="001E0123" w:rsidRDefault="00DF70D8">
      <w:pPr>
        <w:snapToGrid w:val="0"/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 xml:space="preserve"> 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3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、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“三公”经费情况</w:t>
      </w:r>
    </w:p>
    <w:p w:rsidR="001E0123" w:rsidRDefault="00DF70D8">
      <w:pPr>
        <w:snapToGrid w:val="0"/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“三公”经费财政拨款支出预算为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0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万元，支出决算为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0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万元，完成预算的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0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%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，其中：</w:t>
      </w:r>
    </w:p>
    <w:p w:rsidR="001E0123" w:rsidRDefault="00DF70D8">
      <w:pPr>
        <w:snapToGrid w:val="0"/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公务接待费支出预算为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0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万元，支出决算为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0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万元。</w:t>
      </w:r>
    </w:p>
    <w:p w:rsidR="001E0123" w:rsidRDefault="00DF70D8">
      <w:pPr>
        <w:snapToGrid w:val="0"/>
        <w:spacing w:line="600" w:lineRule="exact"/>
        <w:jc w:val="left"/>
        <w:rPr>
          <w:rFonts w:ascii="方正仿宋_GB2312" w:eastAsia="方正仿宋_GB2312" w:hAnsi="方正仿宋_GB2312" w:cs="方正仿宋_GB2312"/>
          <w:b/>
          <w:bCs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kern w:val="0"/>
          <w:sz w:val="32"/>
          <w:szCs w:val="32"/>
        </w:rPr>
        <w:t>四、部门整体支出绩效情况</w:t>
      </w:r>
    </w:p>
    <w:p w:rsidR="001E0123" w:rsidRDefault="00DF70D8">
      <w:pPr>
        <w:pStyle w:val="a3"/>
        <w:widowControl/>
        <w:spacing w:beforeAutospacing="0" w:after="120" w:afterAutospacing="0" w:line="600" w:lineRule="exact"/>
        <w:ind w:firstLineChars="200" w:firstLine="640"/>
        <w:rPr>
          <w:rFonts w:ascii="方正仿宋_GB2312" w:eastAsia="方正仿宋_GB2312" w:hAnsi="方正仿宋_GB2312" w:cs="方正仿宋_GB2312"/>
          <w:kern w:val="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</w:rPr>
        <w:t>2020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</w:rPr>
        <w:t>年，根据我局年初工作规划和重点工作，围绕区委、区政府的工作部署，积极履行职责，强化管理，较好地完成了年度工作目标，同时加强预算收支的管理，建立健全内部管理制度，严格内部管理流程，部门整体支出管理得到了提升。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</w:rPr>
        <w:t>2020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</w:rPr>
        <w:t>年度部门整体支出绩效情况如下：</w:t>
      </w:r>
    </w:p>
    <w:p w:rsidR="001E0123" w:rsidRDefault="00DF70D8">
      <w:pPr>
        <w:pStyle w:val="a3"/>
        <w:widowControl/>
        <w:spacing w:beforeAutospacing="0" w:after="120" w:afterAutospacing="0" w:line="600" w:lineRule="exact"/>
        <w:ind w:firstLineChars="200" w:firstLine="640"/>
        <w:rPr>
          <w:rFonts w:ascii="方正仿宋_GB2312" w:eastAsia="方正仿宋_GB2312" w:hAnsi="方正仿宋_GB2312" w:cs="方正仿宋_GB2312"/>
          <w:kern w:val="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</w:rPr>
        <w:t>、本年预算配置控制较好，财政供养人员控制在预算编制以内。</w:t>
      </w:r>
    </w:p>
    <w:p w:rsidR="001E0123" w:rsidRDefault="00DF70D8">
      <w:pPr>
        <w:pStyle w:val="a3"/>
        <w:widowControl/>
        <w:spacing w:beforeAutospacing="0" w:after="120" w:afterAutospacing="0" w:line="600" w:lineRule="exact"/>
        <w:ind w:firstLineChars="200" w:firstLine="640"/>
        <w:rPr>
          <w:rFonts w:ascii="方正仿宋_GB2312" w:eastAsia="方正仿宋_GB2312" w:hAnsi="方正仿宋_GB2312" w:cs="方正仿宋_GB2312"/>
          <w:kern w:val="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</w:rPr>
        <w:t>2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</w:rPr>
        <w:t>、预算管理方面，区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</w:rPr>
        <w:t>医保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</w:rPr>
        <w:t>局制定了切实有效的内部财务、车辆、资产内部管理制度，执行总体较为有效。根据考核评分细则，自评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</w:rPr>
        <w:t>2020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</w:rPr>
        <w:t>年整体支出是严格按照国家的相关财务管理制度规定，财务制度健全、会计核算规范，依照计划管理使用，整体支出对本部门工作的正常运行、贯</w:t>
      </w:r>
      <w:r>
        <w:rPr>
          <w:rFonts w:ascii="方正仿宋_GB2312" w:eastAsia="方正仿宋_GB2312" w:hAnsi="方正仿宋_GB2312" w:cs="方正仿宋_GB2312" w:hint="eastAsia"/>
          <w:kern w:val="2"/>
          <w:sz w:val="32"/>
          <w:szCs w:val="32"/>
        </w:rPr>
        <w:lastRenderedPageBreak/>
        <w:t>彻执行上级各部门的方针、政策、法律法规发挥了重要作用，并取得了一定的成绩。</w:t>
      </w:r>
    </w:p>
    <w:p w:rsidR="001E0123" w:rsidRDefault="00DF70D8">
      <w:pPr>
        <w:pStyle w:val="a3"/>
        <w:widowControl/>
        <w:spacing w:beforeAutospacing="0" w:after="120" w:afterAutospacing="0" w:line="600" w:lineRule="exact"/>
        <w:rPr>
          <w:rFonts w:ascii="方正仿宋_GB2312" w:eastAsia="方正仿宋_GB2312" w:hAnsi="方正仿宋_GB2312" w:cs="方正仿宋_GB2312"/>
          <w:color w:val="000000"/>
          <w:kern w:val="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kern w:val="2"/>
          <w:sz w:val="32"/>
          <w:szCs w:val="32"/>
        </w:rPr>
        <w:t>五</w:t>
      </w:r>
      <w:r>
        <w:rPr>
          <w:rFonts w:ascii="方正仿宋_GB2312" w:eastAsia="方正仿宋_GB2312" w:hAnsi="方正仿宋_GB2312" w:cs="方正仿宋_GB2312" w:hint="eastAsia"/>
          <w:b/>
          <w:bCs/>
          <w:color w:val="000000"/>
          <w:kern w:val="2"/>
          <w:sz w:val="32"/>
          <w:szCs w:val="32"/>
        </w:rPr>
        <w:t>、存在的问题</w:t>
      </w:r>
    </w:p>
    <w:p w:rsidR="001E0123" w:rsidRDefault="00DF70D8">
      <w:pPr>
        <w:snapToGrid w:val="0"/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kern w:val="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运用绩效指标评价体系还不够深入；全面绩效责任约束作用不强，预算执行绩效目标完成率有待进一步提高。</w:t>
      </w:r>
    </w:p>
    <w:p w:rsidR="001E0123" w:rsidRDefault="00DF70D8">
      <w:pPr>
        <w:pStyle w:val="a3"/>
        <w:widowControl/>
        <w:spacing w:beforeAutospacing="0" w:after="120" w:afterAutospacing="0" w:line="600" w:lineRule="exact"/>
        <w:rPr>
          <w:rFonts w:ascii="方正仿宋_GB2312" w:eastAsia="方正仿宋_GB2312" w:hAnsi="方正仿宋_GB2312" w:cs="方正仿宋_GB2312"/>
          <w:b/>
          <w:bCs/>
          <w:color w:val="000000"/>
          <w:kern w:val="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/>
          <w:bCs/>
          <w:color w:val="000000"/>
          <w:kern w:val="2"/>
          <w:sz w:val="32"/>
          <w:szCs w:val="32"/>
        </w:rPr>
        <w:t>六</w:t>
      </w:r>
      <w:r>
        <w:rPr>
          <w:rFonts w:ascii="方正仿宋_GB2312" w:eastAsia="方正仿宋_GB2312" w:hAnsi="方正仿宋_GB2312" w:cs="方正仿宋_GB2312" w:hint="eastAsia"/>
          <w:b/>
          <w:bCs/>
          <w:color w:val="000000"/>
          <w:kern w:val="2"/>
          <w:sz w:val="32"/>
          <w:szCs w:val="32"/>
        </w:rPr>
        <w:t>、工作建议</w:t>
      </w:r>
    </w:p>
    <w:p w:rsidR="001E0123" w:rsidRDefault="00DF70D8">
      <w:pPr>
        <w:pStyle w:val="a3"/>
        <w:widowControl/>
        <w:spacing w:beforeAutospacing="0" w:after="120" w:afterAutospacing="0" w:line="600" w:lineRule="exact"/>
        <w:ind w:firstLineChars="200" w:firstLine="640"/>
        <w:rPr>
          <w:rFonts w:ascii="方正仿宋_GB2312" w:eastAsia="方正仿宋_GB2312" w:hAnsi="方正仿宋_GB2312" w:cs="方正仿宋_GB2312"/>
          <w:color w:val="000000"/>
          <w:kern w:val="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2"/>
          <w:sz w:val="32"/>
          <w:szCs w:val="32"/>
        </w:rPr>
        <w:t>一是按照预算规定的项目和用途严格财务审核，经费支出严格按预算规定项目的财务支出内容进行财务核算，在预算金额内严格控制费用的支出。</w:t>
      </w:r>
    </w:p>
    <w:p w:rsidR="001E0123" w:rsidRDefault="00DF70D8">
      <w:pPr>
        <w:pStyle w:val="a3"/>
        <w:widowControl/>
        <w:spacing w:beforeAutospacing="0" w:after="120" w:afterAutospacing="0" w:line="600" w:lineRule="exact"/>
        <w:ind w:firstLineChars="200" w:firstLine="640"/>
        <w:rPr>
          <w:rFonts w:ascii="方正仿宋_GB2312" w:eastAsia="方正仿宋_GB2312" w:hAnsi="方正仿宋_GB2312" w:cs="方正仿宋_GB2312"/>
          <w:color w:val="000000"/>
          <w:kern w:val="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2"/>
          <w:sz w:val="32"/>
          <w:szCs w:val="32"/>
        </w:rPr>
        <w:t>二是严格控制“三公经费”支出，杜绝挪用和挤占其他预算资金；进一步细化“三公经费”管理，压缩“三公经费”支出。</w:t>
      </w:r>
    </w:p>
    <w:p w:rsidR="001E0123" w:rsidRDefault="00DF70D8">
      <w:pPr>
        <w:snapToGrid w:val="0"/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三是预算财务分析常态化，定期做好预算支出财务分析，做好部门整体支出预算评价工作。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                      </w:t>
      </w:r>
    </w:p>
    <w:p w:rsidR="001E0123" w:rsidRDefault="001E0123">
      <w:pPr>
        <w:widowControl/>
        <w:spacing w:line="6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sectPr w:rsidR="001E0123" w:rsidSect="001E0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C5E26394-BB4E-4DA7-AD12-6325AE34055C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AD6AF6AE-A8DA-4447-9403-C992478DE844}"/>
    <w:embedBold r:id="rId3" w:subsetted="1" w:fontKey="{981DC46F-6F99-4394-865E-697C4AEC3DD6}"/>
  </w:font>
  <w:font w:name="___WRD_EMBED_SUB_39">
    <w:altName w:val="微软雅黑"/>
    <w:panose1 w:val="02000000000000000000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F7467DC"/>
    <w:rsid w:val="001E0123"/>
    <w:rsid w:val="00DF70D8"/>
    <w:rsid w:val="0C824EC4"/>
    <w:rsid w:val="1E1C4948"/>
    <w:rsid w:val="1F7467DC"/>
    <w:rsid w:val="3A0252B9"/>
    <w:rsid w:val="41376995"/>
    <w:rsid w:val="4AB37306"/>
    <w:rsid w:val="4C1D2D52"/>
    <w:rsid w:val="52CE0A6A"/>
    <w:rsid w:val="61FC525B"/>
    <w:rsid w:val="6763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1E01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E0123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3">
    <w:name w:val="Normal (Web)"/>
    <w:basedOn w:val="a"/>
    <w:qFormat/>
    <w:rsid w:val="001E012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2</cp:revision>
  <dcterms:created xsi:type="dcterms:W3CDTF">2021-06-06T03:16:00Z</dcterms:created>
  <dcterms:modified xsi:type="dcterms:W3CDTF">2023-03-21T08:16:00Z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A40A1138D0B640D4AAEC30B44ED20B9A</vt:lpwstr>
  </property>
</Properties>
</file>