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22</w:t>
      </w:r>
      <w:r>
        <w:rPr>
          <w:rFonts w:hint="eastAsia" w:eastAsia="黑体"/>
          <w:color w:val="000000"/>
          <w:sz w:val="32"/>
          <w:szCs w:val="32"/>
          <w:lang w:eastAsia="zh-CN"/>
        </w:rPr>
        <w:t>年</w:t>
      </w:r>
      <w:r>
        <w:rPr>
          <w:rFonts w:eastAsia="黑体"/>
          <w:color w:val="000000"/>
          <w:sz w:val="32"/>
          <w:szCs w:val="32"/>
        </w:rPr>
        <w:t>税收返还和转移支付预算说明</w:t>
      </w: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1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、</w:t>
      </w:r>
      <w:r>
        <w:rPr>
          <w:rFonts w:hint="eastAsia" w:eastAsia="仿宋_GB2312"/>
          <w:color w:val="000000"/>
          <w:sz w:val="32"/>
          <w:szCs w:val="32"/>
        </w:rPr>
        <w:t>返还性支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收入5026万</w:t>
      </w:r>
      <w:r>
        <w:rPr>
          <w:rFonts w:hint="eastAsia" w:eastAsia="仿宋_GB2312"/>
          <w:color w:val="000000"/>
          <w:sz w:val="32"/>
          <w:szCs w:val="32"/>
        </w:rPr>
        <w:t>元。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其中：增值税返还收入1036万元，所得税返还收入740万元，其他税收返还3250万元。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2、</w:t>
      </w:r>
      <w:r>
        <w:rPr>
          <w:rFonts w:hint="eastAsia" w:eastAsia="仿宋_GB2312"/>
          <w:color w:val="000000"/>
          <w:sz w:val="32"/>
          <w:szCs w:val="32"/>
        </w:rPr>
        <w:t>一般性转移支付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收入23082万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hint="eastAsia" w:eastAsia="仿宋_GB2312"/>
          <w:sz w:val="32"/>
          <w:szCs w:val="32"/>
        </w:rPr>
        <w:t>其中，均衡性转移支付</w:t>
      </w:r>
      <w:r>
        <w:rPr>
          <w:rFonts w:hint="eastAsia" w:eastAsia="仿宋_GB2312"/>
          <w:sz w:val="32"/>
          <w:szCs w:val="32"/>
          <w:lang w:val="en-US" w:eastAsia="zh-CN"/>
        </w:rPr>
        <w:t>11374万</w:t>
      </w:r>
      <w:r>
        <w:rPr>
          <w:rFonts w:hint="eastAsia" w:eastAsia="仿宋_GB2312"/>
          <w:sz w:val="32"/>
          <w:szCs w:val="32"/>
        </w:rPr>
        <w:t>元，县级基本财力保障机制奖补资金</w:t>
      </w:r>
      <w:r>
        <w:rPr>
          <w:rFonts w:hint="eastAsia" w:eastAsia="仿宋_GB2312"/>
          <w:sz w:val="32"/>
          <w:szCs w:val="32"/>
          <w:lang w:val="en-US" w:eastAsia="zh-CN"/>
        </w:rPr>
        <w:t>4481万</w:t>
      </w:r>
      <w:r>
        <w:rPr>
          <w:rFonts w:hint="eastAsia" w:eastAsia="仿宋_GB2312"/>
          <w:sz w:val="32"/>
          <w:szCs w:val="32"/>
        </w:rPr>
        <w:t>元，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其他一般性转移支付收入7227万元</w:t>
      </w:r>
      <w:r>
        <w:rPr>
          <w:rFonts w:hint="eastAsia" w:eastAsia="仿宋_GB2312"/>
          <w:color w:val="000000"/>
          <w:sz w:val="32"/>
          <w:szCs w:val="32"/>
        </w:rPr>
        <w:t xml:space="preserve">。 </w:t>
      </w: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3、市体制补助收入-7610万元。</w:t>
      </w: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4、带专项性质的一般性转移支付收入3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  <w:lang w:val="en-US" w:eastAsia="zh-CN"/>
        </w:rPr>
        <w:t>9848万元，主要用于一般公共服务304万元，公共安全229万，义务教育保障机制、薄弱学校改造等教育类资金4666万元，科学技术类资金2888万元，文化体育传媒628万元，城乡居民养老补助、困难救助、优抚抚恤等社会保障类资金7786万元，城乡居民医疗保险补助、公立医院改革补助、基本公共卫生服务、基本药物制度改革、城乡医疗救助等卫生健康类资金7384万元，城乡社区事务7416万元，农林水利1679万元，交通运输12万元，资源勘探信息等支出500万元，商业服务业等支出26万元，金融支出73万元，住房保障支出6150万元，灾害防治及应急管理支出105万元。</w:t>
      </w:r>
    </w:p>
    <w:p/>
    <w:p>
      <w:pPr>
        <w:rPr>
          <w:rFonts w:hint="eastAsia" w:eastAsia="宋体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注：雁峰区无对下级转移支付支出。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zY2MDg0ODk0NTVhZmRlNmY1ODQ4NDQyMGRjNTYifQ=="/>
  </w:docVars>
  <w:rsids>
    <w:rsidRoot w:val="43F1241A"/>
    <w:rsid w:val="43F1241A"/>
    <w:rsid w:val="79B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2022-08-19T00:58:00Z</dcterms:created>
  <dc:creator>A</dc:creator>
  <cp:lastModifiedBy>小罐子</cp:lastModifiedBy>
  <dcterms:modified xsi:type="dcterms:W3CDTF">2023-09-06T09:06:59Z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337D6AB8420743949A20255AF98DB842</vt:lpwstr>
  </property>
</Properties>
</file>