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宋体" w:hAnsi="宋体" w:eastAsia="宋体" w:cs="宋体"/>
          <w:b w:val="0"/>
          <w:bCs w:val="0"/>
          <w:i w:val="0"/>
          <w:iCs w:val="0"/>
          <w:caps w:val="0"/>
          <w:color w:val="333333"/>
          <w:spacing w:val="0"/>
          <w:sz w:val="24"/>
          <w:szCs w:val="24"/>
        </w:rPr>
      </w:pPr>
      <w:r>
        <w:rPr>
          <w:rFonts w:ascii="楷体" w:hAnsi="楷体" w:eastAsia="楷体" w:cs="楷体"/>
          <w:b w:val="0"/>
          <w:bCs w:val="0"/>
          <w:i w:val="0"/>
          <w:iCs w:val="0"/>
          <w:caps w:val="0"/>
          <w:color w:val="333333"/>
          <w:spacing w:val="0"/>
          <w:kern w:val="0"/>
          <w:sz w:val="32"/>
          <w:szCs w:val="32"/>
          <w:shd w:val="clear" w:fill="FFFFFF"/>
          <w:lang w:val="en-US" w:eastAsia="zh-CN" w:bidi="ar"/>
        </w:rPr>
        <w:t>（一）</w:t>
      </w:r>
      <w:r>
        <w:rPr>
          <w:rFonts w:hint="eastAsia" w:ascii="楷体" w:hAnsi="楷体" w:eastAsia="楷体" w:cs="楷体"/>
          <w:b/>
          <w:bCs/>
          <w:i w:val="0"/>
          <w:iCs w:val="0"/>
          <w:caps w:val="0"/>
          <w:color w:val="000000"/>
          <w:spacing w:val="0"/>
          <w:kern w:val="0"/>
          <w:sz w:val="32"/>
          <w:szCs w:val="32"/>
          <w:shd w:val="clear" w:fill="FFFFFF"/>
          <w:lang w:val="en-US" w:eastAsia="zh-CN" w:bidi="ar"/>
        </w:rPr>
        <w:t>债务规模及结构情况（2021年度执行情况）。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截至2021年</w:t>
      </w:r>
      <w:r>
        <w:rPr>
          <w:rFonts w:hint="default" w:ascii="仿宋" w:hAnsi="仿宋" w:eastAsia="仿宋" w:cs="仿宋"/>
          <w:b w:val="0"/>
          <w:bCs w:val="0"/>
          <w:i w:val="0"/>
          <w:iCs w:val="0"/>
          <w:caps w:val="0"/>
          <w:color w:val="333333"/>
          <w:spacing w:val="0"/>
          <w:kern w:val="0"/>
          <w:sz w:val="32"/>
          <w:szCs w:val="32"/>
          <w:shd w:val="clear" w:fill="FFFFFF"/>
          <w:lang w:val="en-US" w:eastAsia="zh-CN" w:bidi="ar"/>
        </w:rPr>
        <w:t>12</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月底，我区全口径债务总额</w:t>
      </w:r>
      <w:r>
        <w:rPr>
          <w:rFonts w:hint="default" w:ascii="仿宋" w:hAnsi="仿宋" w:eastAsia="仿宋" w:cs="仿宋"/>
          <w:b w:val="0"/>
          <w:bCs w:val="0"/>
          <w:i w:val="0"/>
          <w:iCs w:val="0"/>
          <w:caps w:val="0"/>
          <w:color w:val="333333"/>
          <w:spacing w:val="0"/>
          <w:kern w:val="0"/>
          <w:sz w:val="32"/>
          <w:szCs w:val="32"/>
          <w:shd w:val="clear" w:fill="FFFFFF"/>
          <w:lang w:val="en-US" w:eastAsia="zh-CN" w:bidi="ar"/>
        </w:rPr>
        <w:t>170895.49</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万元，其中政府债务</w:t>
      </w:r>
      <w:r>
        <w:rPr>
          <w:rFonts w:hint="default" w:ascii="仿宋" w:hAnsi="仿宋" w:eastAsia="仿宋" w:cs="仿宋"/>
          <w:b w:val="0"/>
          <w:bCs w:val="0"/>
          <w:i w:val="0"/>
          <w:iCs w:val="0"/>
          <w:caps w:val="0"/>
          <w:color w:val="333333"/>
          <w:spacing w:val="0"/>
          <w:kern w:val="0"/>
          <w:sz w:val="32"/>
          <w:szCs w:val="32"/>
          <w:shd w:val="clear" w:fill="FFFFFF"/>
          <w:lang w:val="en-US" w:eastAsia="zh-CN" w:bidi="ar"/>
        </w:rPr>
        <w:t>62563.49</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万元，占比</w:t>
      </w:r>
      <w:r>
        <w:rPr>
          <w:rFonts w:hint="default" w:ascii="仿宋" w:hAnsi="仿宋" w:eastAsia="仿宋" w:cs="仿宋"/>
          <w:b w:val="0"/>
          <w:bCs w:val="0"/>
          <w:i w:val="0"/>
          <w:iCs w:val="0"/>
          <w:caps w:val="0"/>
          <w:color w:val="333333"/>
          <w:spacing w:val="0"/>
          <w:kern w:val="0"/>
          <w:sz w:val="32"/>
          <w:szCs w:val="32"/>
          <w:shd w:val="clear" w:fill="FFFFFF"/>
          <w:lang w:val="en-US" w:eastAsia="zh-CN" w:bidi="ar"/>
        </w:rPr>
        <w:t>36.6%</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；隐性债务</w:t>
      </w:r>
      <w:r>
        <w:rPr>
          <w:rFonts w:hint="default" w:ascii="仿宋" w:hAnsi="仿宋" w:eastAsia="仿宋" w:cs="仿宋"/>
          <w:b w:val="0"/>
          <w:bCs w:val="0"/>
          <w:i w:val="0"/>
          <w:iCs w:val="0"/>
          <w:caps w:val="0"/>
          <w:color w:val="333333"/>
          <w:spacing w:val="0"/>
          <w:kern w:val="0"/>
          <w:sz w:val="32"/>
          <w:szCs w:val="32"/>
          <w:shd w:val="clear" w:fill="FFFFFF"/>
          <w:lang w:val="en-US" w:eastAsia="zh-CN" w:bidi="ar"/>
        </w:rPr>
        <w:t>28100</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万元，占比</w:t>
      </w:r>
      <w:r>
        <w:rPr>
          <w:rFonts w:hint="default" w:ascii="仿宋" w:hAnsi="仿宋" w:eastAsia="仿宋" w:cs="仿宋"/>
          <w:b w:val="0"/>
          <w:bCs w:val="0"/>
          <w:i w:val="0"/>
          <w:iCs w:val="0"/>
          <w:caps w:val="0"/>
          <w:color w:val="333333"/>
          <w:spacing w:val="0"/>
          <w:kern w:val="0"/>
          <w:sz w:val="32"/>
          <w:szCs w:val="32"/>
          <w:shd w:val="clear" w:fill="FFFFFF"/>
          <w:lang w:val="en-US" w:eastAsia="zh-CN" w:bidi="ar"/>
        </w:rPr>
        <w:t>16.44%</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；市财政转贷棚改专项债券</w:t>
      </w:r>
      <w:r>
        <w:rPr>
          <w:rFonts w:hint="default" w:ascii="仿宋" w:hAnsi="仿宋" w:eastAsia="仿宋" w:cs="仿宋"/>
          <w:b w:val="0"/>
          <w:bCs w:val="0"/>
          <w:i w:val="0"/>
          <w:iCs w:val="0"/>
          <w:caps w:val="0"/>
          <w:color w:val="333333"/>
          <w:spacing w:val="0"/>
          <w:kern w:val="0"/>
          <w:sz w:val="32"/>
          <w:szCs w:val="32"/>
          <w:shd w:val="clear" w:fill="FFFFFF"/>
          <w:lang w:val="en-US" w:eastAsia="zh-CN" w:bidi="ar"/>
        </w:rPr>
        <w:t>77832</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万元，占比</w:t>
      </w:r>
      <w:r>
        <w:rPr>
          <w:rFonts w:hint="default" w:ascii="仿宋" w:hAnsi="仿宋" w:eastAsia="仿宋" w:cs="仿宋"/>
          <w:b w:val="0"/>
          <w:bCs w:val="0"/>
          <w:i w:val="0"/>
          <w:iCs w:val="0"/>
          <w:caps w:val="0"/>
          <w:color w:val="333333"/>
          <w:spacing w:val="0"/>
          <w:kern w:val="0"/>
          <w:sz w:val="32"/>
          <w:szCs w:val="32"/>
          <w:shd w:val="clear" w:fill="FFFFFF"/>
          <w:lang w:val="en-US" w:eastAsia="zh-CN" w:bidi="ar"/>
        </w:rPr>
        <w:t>45.54%</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；抗疫特别国债</w:t>
      </w:r>
      <w:r>
        <w:rPr>
          <w:rFonts w:hint="default" w:ascii="仿宋" w:hAnsi="仿宋" w:eastAsia="仿宋" w:cs="仿宋"/>
          <w:b w:val="0"/>
          <w:bCs w:val="0"/>
          <w:i w:val="0"/>
          <w:iCs w:val="0"/>
          <w:caps w:val="0"/>
          <w:color w:val="333333"/>
          <w:spacing w:val="0"/>
          <w:kern w:val="0"/>
          <w:sz w:val="32"/>
          <w:szCs w:val="32"/>
          <w:shd w:val="clear" w:fill="FFFFFF"/>
          <w:lang w:val="en-US" w:eastAsia="zh-CN" w:bidi="ar"/>
        </w:rPr>
        <w:t>2400</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万元，占比</w:t>
      </w:r>
      <w:r>
        <w:rPr>
          <w:rFonts w:hint="default" w:ascii="仿宋" w:hAnsi="仿宋" w:eastAsia="仿宋" w:cs="仿宋"/>
          <w:b w:val="0"/>
          <w:bCs w:val="0"/>
          <w:i w:val="0"/>
          <w:iCs w:val="0"/>
          <w:caps w:val="0"/>
          <w:color w:val="333333"/>
          <w:spacing w:val="0"/>
          <w:kern w:val="0"/>
          <w:sz w:val="32"/>
          <w:szCs w:val="32"/>
          <w:shd w:val="clear" w:fill="FFFFFF"/>
          <w:lang w:val="en-US" w:eastAsia="zh-CN" w:bidi="ar"/>
        </w:rPr>
        <w:t>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left"/>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（二）债务发行及还本付息情况（</w:t>
      </w:r>
      <w:r>
        <w:rPr>
          <w:rFonts w:hint="eastAsia" w:ascii="楷体" w:hAnsi="楷体" w:eastAsia="楷体" w:cs="楷体"/>
          <w:b/>
          <w:bCs/>
          <w:i w:val="0"/>
          <w:iCs w:val="0"/>
          <w:caps w:val="0"/>
          <w:color w:val="000000"/>
          <w:spacing w:val="0"/>
          <w:kern w:val="0"/>
          <w:sz w:val="32"/>
          <w:szCs w:val="32"/>
          <w:shd w:val="clear" w:fill="FFFFFF"/>
          <w:lang w:val="en-US" w:eastAsia="zh-CN" w:bidi="ar"/>
        </w:rPr>
        <w:t>2021年度执行情况）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按照预算法规定，区级政府确需举借政府债务的，由省级政府发行地方政府债券代为举借，因此新增债务由“发行”改为“转贷”，截至2021年12月底，我区债务转贷收入（含再融资）25345万元，其中新增一般债6100万元，再融资4045万元，新增专项债15200万元；还本付息5698万元，其中一般债付息898万元，一般债还本4045万元，专项债付息755万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left"/>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债务还本付息情况（2022年预算情况）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2022年我区预算安排1300万元用于债务还本付息。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left"/>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（四</w:t>
      </w:r>
      <w:bookmarkStart w:id="0" w:name="_GoBack"/>
      <w:bookmarkEnd w:id="0"/>
      <w:r>
        <w:rPr>
          <w:rFonts w:hint="eastAsia" w:ascii="楷体" w:hAnsi="楷体" w:eastAsia="楷体" w:cs="楷体"/>
          <w:b/>
          <w:bCs/>
          <w:i w:val="0"/>
          <w:iCs w:val="0"/>
          <w:caps w:val="0"/>
          <w:color w:val="333333"/>
          <w:spacing w:val="0"/>
          <w:kern w:val="0"/>
          <w:sz w:val="32"/>
          <w:szCs w:val="32"/>
          <w:shd w:val="clear" w:fill="FFFFFF"/>
          <w:lang w:val="en-US" w:eastAsia="zh-CN" w:bidi="ar"/>
        </w:rPr>
        <w:t>）政府债务资金举借及安排使用情况（2021年执行及2022年预算情况）。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2021年新增政府债券21300万元。新增地方政府一般债券资金6100万元，地方政府专项债券资金15200万元，根据省财政厅对2021年地方政府新增债券资金使用有关文件精神的要求，我区将新增地方政府一般债券资金用于衡阳市雁峰区农村人居环境整治建设工程1030万元，高兴村人居环境整治30万元，山林村乡村振兴及人居环境整治100万元，前进小学新建项目1800万元，红色故事教育基地800万元，雁峰文化古街建设550万元，基础设施维护建设300万元，基础设施维护建设（含老旧小区改造）200万元，农村公路（资源产业路建设项目）240万元，区政务服务社会保障大厅提质改造项目200万元，执勤综合指挥中心建设200万元，“一县一特”建设150万元，党群服务中心建设150万元，智慧雁峰100万元，五星村村级道路100万元，直播室建设64万元，市政设施建设50万元，小二型水库除险加固工程36万元；新增地方政府专项债券资金用于衡山工业集中区雁峰大数据产业园项目15200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按照预算法规定，区级政府确需举借政府债务的，由省级政府发行地方政府债券代为举借。2022年我区将在政府债务限额内，积极争取政府债券资金。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5514B"/>
    <w:multiLevelType w:val="singleLevel"/>
    <w:tmpl w:val="189551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ZTc2YTM3MDU4ZDdmMjRjOWFlYjAzZmYxMjU4ZjAifQ=="/>
  </w:docVars>
  <w:rsids>
    <w:rsidRoot w:val="0B304BB9"/>
    <w:rsid w:val="0B304BB9"/>
    <w:rsid w:val="6D96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2023-09-06T09:13:00Z</dcterms:created>
  <dc:creator>小罐子</dc:creator>
  <cp:lastModifiedBy>ATAo</cp:lastModifiedBy>
  <dcterms:modified xsi:type="dcterms:W3CDTF">2023-09-25T04:18:02Z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A3309C7CBBFC422086D34D04E57460E9_11</vt:lpwstr>
  </property>
</Properties>
</file>