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AF24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雁峰区工商联2022年度部门整体支出绩效评价报告</w:t>
      </w:r>
    </w:p>
    <w:p w14:paraId="440E80B9">
      <w:pPr>
        <w:rPr>
          <w:rFonts w:ascii="方正仿宋简体" w:hAnsi="方正仿宋简体" w:eastAsia="方正仿宋简体" w:cs="方正仿宋简体"/>
          <w:sz w:val="32"/>
          <w:szCs w:val="32"/>
        </w:rPr>
      </w:pPr>
    </w:p>
    <w:p w14:paraId="73563D2B">
      <w:pPr>
        <w:ind w:firstLine="640" w:firstLineChars="200"/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为做好2022年度部门整体支出绩效自评工作，强化绩效和责任意识，提高财政资金使用效益，根据雁峰区财政局要求，我局对2022年度部门整体支出开展绩效自评，具体情况如下：</w:t>
      </w:r>
    </w:p>
    <w:p w14:paraId="4E80916B">
      <w:pPr>
        <w:ind w:firstLine="640" w:firstLineChars="200"/>
        <w:rPr>
          <w:rFonts w:ascii="方正楷体简体" w:hAnsi="方正楷体简体" w:eastAsia="方正楷体简体" w:cs="方正楷体简体"/>
          <w:b/>
          <w:bCs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一、单位基本情况</w:t>
      </w:r>
    </w:p>
    <w:p w14:paraId="705B07F5">
      <w:pPr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部门职能职责：</w:t>
      </w:r>
    </w:p>
    <w:p w14:paraId="7D793741">
      <w:pPr>
        <w:ind w:firstLine="640" w:firstLineChars="200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（一）加强和改进非公有制经济人士思想道德教育工作。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二）引导非公经济人士参与政治协商，发挥民主监督作用，积极参政议政。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三）协助政府管理和服务非公有制经济。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四）促进行业协会、商会的发展和完善。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五）代表并维护会员的合法权益，反映会员的意见、要求和建议，参与经济纠纷的调解、仲裁。</w:t>
      </w:r>
    </w:p>
    <w:p w14:paraId="1A32094A">
      <w:pPr>
        <w:widowControl/>
        <w:spacing w:line="600" w:lineRule="exact"/>
        <w:ind w:firstLine="640" w:firstLineChars="200"/>
        <w:rPr>
          <w:rFonts w:ascii="方正楷体简体" w:hAnsi="方正楷体简体" w:eastAsia="方正楷体简体" w:cs="方正楷体简体"/>
          <w:b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</w:rPr>
        <w:t>二、机构设置及决算单位构成</w:t>
      </w:r>
    </w:p>
    <w:p w14:paraId="611AA3FC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内设机构设置。</w:t>
      </w:r>
    </w:p>
    <w:p w14:paraId="545C6938">
      <w:pPr>
        <w:spacing w:line="500" w:lineRule="exact"/>
        <w:ind w:firstLine="640" w:firstLineChars="200"/>
        <w:rPr>
          <w:rFonts w:ascii="方正仿宋简体" w:hAnsi="方正仿宋简体" w:eastAsia="方正仿宋简体" w:cs="方正仿宋简体"/>
          <w:kern w:val="1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11"/>
          <w:sz w:val="32"/>
          <w:szCs w:val="32"/>
        </w:rPr>
        <w:t>区工商联设1个内设机构。</w:t>
      </w:r>
    </w:p>
    <w:p w14:paraId="41C9765D">
      <w:pPr>
        <w:ind w:firstLine="640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三、决算支出及绩效情况</w:t>
      </w:r>
    </w:p>
    <w:p w14:paraId="2273615B">
      <w:pPr>
        <w:ind w:firstLine="640" w:firstLineChars="200"/>
        <w:rPr>
          <w:b/>
          <w:bCs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（一）决算公开情况</w:t>
      </w:r>
    </w:p>
    <w:p w14:paraId="25AE93A6">
      <w:pPr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2022年部门决算收入合计43.33万元。部门决算支出合计44.42万元，其中基本支出36.55万元，项目支出7.87万元。年初结转和结余1.09万元，年末结转和结余0万元。</w:t>
      </w:r>
    </w:p>
    <w:p w14:paraId="36166FF0">
      <w:pPr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（二）资金使用情况</w:t>
      </w:r>
    </w:p>
    <w:p w14:paraId="05BDA537">
      <w:pPr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我局在部门整体支出中，严格遵守资金管理制度，强化监督，专款专用。</w:t>
      </w:r>
    </w:p>
    <w:p w14:paraId="61A58DCA">
      <w:pPr>
        <w:pStyle w:val="2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2022年度财政拨款基本支出36.55万元，其中：人员经费34.48万元，占基本支出的94.34%,主要包括基本工资、津贴补贴、奖金、机关事业单位基本养老保险缴费、职工基本医疗保险缴费、住房公积金、其他工资福利支出、退休费、奖励金；公用经费2.07万元，占基本支出的5.66%，主要包括办公费。</w:t>
      </w:r>
    </w:p>
    <w:p w14:paraId="6273AC3A">
      <w:pPr>
        <w:pStyle w:val="2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2022年度财政拨款项目支出6.54万元，主要用于一般行政管理事务支出6.45万元，占项目支出的98.62%；其他民主党派及工商联事务支出0.09万元，占项目支出的1.38%。</w:t>
      </w:r>
    </w:p>
    <w:p w14:paraId="4CF8600D">
      <w:pPr>
        <w:numPr>
          <w:ilvl w:val="0"/>
          <w:numId w:val="1"/>
        </w:numPr>
        <w:ind w:firstLine="64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部门整体支出绩效情况</w:t>
      </w:r>
    </w:p>
    <w:p w14:paraId="2FEFBFD5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2022年，通过加强预算收支管理，不断建立健全内部管理制度，梳理内部管理流程，部门整体支出管理情况得到提升，绩效评分98分，绩效评价为优秀。根据2022年度部门整体支出状况的概述和分析，部门整体支出绩效情况如下：</w:t>
      </w:r>
    </w:p>
    <w:p w14:paraId="159E24F8">
      <w:pPr>
        <w:ind w:firstLine="643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1、经济效益评价</w:t>
      </w:r>
    </w:p>
    <w:p w14:paraId="3A30D352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①</w:t>
      </w:r>
      <w:r>
        <w:rPr>
          <w:rFonts w:hint="eastAsia" w:eastAsia="仿宋_GB2312" w:cs="仿宋_GB2312"/>
          <w:sz w:val="32"/>
          <w:szCs w:val="32"/>
        </w:rPr>
        <w:t>预算控制方面，本年预算配置控制较好。</w:t>
      </w:r>
    </w:p>
    <w:p w14:paraId="7F75DED7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②</w:t>
      </w:r>
      <w:r>
        <w:rPr>
          <w:rFonts w:hint="eastAsia" w:eastAsia="仿宋_GB2312" w:cs="仿宋_GB2312"/>
          <w:sz w:val="32"/>
          <w:szCs w:val="32"/>
        </w:rPr>
        <w:t>预算执行方面。支出总额控制在预算总额以内。</w:t>
      </w:r>
    </w:p>
    <w:p w14:paraId="0BC83B50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③</w:t>
      </w:r>
      <w:r>
        <w:rPr>
          <w:rFonts w:hint="eastAsia" w:eastAsia="仿宋_GB2312" w:cs="仿宋_GB2312"/>
          <w:sz w:val="32"/>
          <w:szCs w:val="32"/>
        </w:rPr>
        <w:t>预算管理方面，资金使用严格依照相关财务管理规定执行，特别重视量财办事、量力而行，严格控制标准、注重节约，各项支出都在合理范围内。</w:t>
      </w:r>
    </w:p>
    <w:p w14:paraId="068391E8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④</w:t>
      </w:r>
      <w:r>
        <w:rPr>
          <w:rFonts w:hint="eastAsia" w:eastAsia="仿宋_GB2312" w:cs="仿宋_GB2312"/>
          <w:sz w:val="32"/>
          <w:szCs w:val="32"/>
        </w:rPr>
        <w:t>资产管理方面，制度执行总体较为有效，仍需进一步强化。</w:t>
      </w:r>
    </w:p>
    <w:p w14:paraId="2F23C231">
      <w:pPr>
        <w:ind w:firstLine="643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2、效率性评价</w:t>
      </w:r>
    </w:p>
    <w:p w14:paraId="6D8DEBC9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 xml:space="preserve"> 严格遵守各项财经纪律的，在资金的使用上严格按时规章制度执行。</w:t>
      </w:r>
    </w:p>
    <w:p w14:paraId="2FBDF3BC">
      <w:pPr>
        <w:widowControl/>
        <w:numPr>
          <w:ilvl w:val="0"/>
          <w:numId w:val="2"/>
        </w:numPr>
        <w:spacing w:line="580" w:lineRule="exact"/>
        <w:ind w:firstLine="643" w:firstLineChars="2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有效性分析</w:t>
      </w:r>
    </w:p>
    <w:p w14:paraId="39947C82">
      <w:pPr>
        <w:widowControl/>
        <w:spacing w:line="580" w:lineRule="exact"/>
        <w:ind w:firstLine="643" w:firstLineChars="200"/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shd w:val="clear" w:color="0A0000" w:fill="FFFFFF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shd w:val="clear" w:color="0A0000" w:fill="FFFFFF"/>
        </w:rPr>
        <w:t>（一）坚持思想政治引领，深入推进理想信念教育</w:t>
      </w:r>
    </w:p>
    <w:p w14:paraId="5425265D">
      <w:pPr>
        <w:spacing w:line="58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1.深入学习宣传贯彻党的十九届六中全会精神。</w:t>
      </w:r>
      <w:r>
        <w:rPr>
          <w:rFonts w:hint="eastAsia" w:ascii="仿宋" w:hAnsi="仿宋" w:eastAsia="仿宋" w:cs="仿宋"/>
          <w:sz w:val="32"/>
          <w:szCs w:val="32"/>
        </w:rPr>
        <w:t>通过微信分享、走访调研、宣讲报告会和召开工商联常委会等多种方式，学习宣传习近平总书记关于民营经济发展的重要论述、党的十九届五中、六中全会精神和省、市、区党代会精神。组织工商联执委参加市工商联组织的政策宣讲报告会，进一步深化对习近平新时代中国特色社会主义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想和党的十九届六中全会精神</w:t>
      </w:r>
      <w:r>
        <w:rPr>
          <w:rFonts w:hint="eastAsia" w:ascii="仿宋" w:hAnsi="仿宋" w:eastAsia="仿宋" w:cs="仿宋"/>
          <w:sz w:val="32"/>
          <w:szCs w:val="32"/>
        </w:rPr>
        <w:t>的理解和把握。</w:t>
      </w:r>
    </w:p>
    <w:p w14:paraId="16028425">
      <w:pPr>
        <w:spacing w:line="58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2.深入开展党史学习教育。</w:t>
      </w:r>
      <w:r>
        <w:rPr>
          <w:rFonts w:hint="eastAsia" w:ascii="仿宋" w:hAnsi="仿宋" w:eastAsia="仿宋" w:cs="仿宋"/>
          <w:sz w:val="32"/>
          <w:szCs w:val="32"/>
        </w:rPr>
        <w:t>坚持党组领学、班子带学、机关先学、企业送学，统筹抓好工商联系统党史学习教育，向民营企业家赠送党史学习书籍，举办党史学习教育宣传报告会，组织企业代表参加市工商联组织的“我心向党、忠诚为国”建党100周年党史知识竞赛活动，引导民营经济人士以习近平新时代中国特色社会主义思想武装头脑、指导实践。</w:t>
      </w:r>
    </w:p>
    <w:p w14:paraId="0A67C572">
      <w:pPr>
        <w:spacing w:line="58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3.深入开展理想信念教育。</w:t>
      </w:r>
      <w:r>
        <w:rPr>
          <w:rFonts w:hint="eastAsia" w:ascii="仿宋" w:hAnsi="仿宋" w:eastAsia="仿宋" w:cs="仿宋"/>
          <w:sz w:val="32"/>
          <w:szCs w:val="32"/>
        </w:rPr>
        <w:t>以庆祝中国共产党成立100周年为契机，开展“学党史、颂党恩、跟党走”为主题的理想信念教育，组织民营经济代表人士参加全区统一战线庆祝中国共产党成立100周年座谈会，大力宣传中国共产党百年辉煌成就，引导民营经济人士做爱国敬业、守法经营、创业创新、回报社会的典范。全区民营经济人士以主人翁精神争当“衡阳群众”，积极投身到创文、巩卫、抗疫等工作中，以实际行动彰显听党话、感党恩、跟党走。</w:t>
      </w:r>
    </w:p>
    <w:p w14:paraId="445A79BB">
      <w:pPr>
        <w:spacing w:line="58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（二）发挥桥梁纽带作用，全力服务民营经济高质量发展</w:t>
      </w:r>
    </w:p>
    <w:p w14:paraId="1AAC4B8A">
      <w:pPr>
        <w:spacing w:line="58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1.零距离开展企业服务。</w:t>
      </w:r>
      <w:r>
        <w:rPr>
          <w:rFonts w:hint="eastAsia" w:ascii="仿宋" w:hAnsi="仿宋" w:eastAsia="仿宋" w:cs="仿宋"/>
          <w:sz w:val="32"/>
          <w:szCs w:val="32"/>
        </w:rPr>
        <w:t>区委、区政府高度重视民营企业发展，搭建政企沟通平台，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建立了“书记、区长企业家恳谈日”机制，区委书记王燕、区政府区长谢韬定期邀请辖区内民营企业家召开恳谈座谈会，</w:t>
      </w:r>
      <w:r>
        <w:rPr>
          <w:rFonts w:hint="eastAsia" w:ascii="仿宋" w:hAnsi="仿宋" w:eastAsia="仿宋" w:cs="仿宋"/>
          <w:sz w:val="32"/>
          <w:szCs w:val="32"/>
        </w:rPr>
        <w:t>帮助企业解决发展难题。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县级领导联点民营企业制度有效落实，全区县级领导与企业家交朋友，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倾听企业心声，传递政府呼声，推动政商沟通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。区委统战部、工商联结合党史学习教育为群众办实事，深入80家民营企业开展大走访、大调研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，协助</w:t>
      </w:r>
      <w:r>
        <w:rPr>
          <w:rFonts w:hint="eastAsia" w:ascii="仿宋" w:hAnsi="仿宋" w:eastAsia="仿宋" w:cs="仿宋"/>
          <w:kern w:val="0"/>
          <w:sz w:val="32"/>
          <w:szCs w:val="32"/>
        </w:rPr>
        <w:t>民营企业解决问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题11个，为构建亲清新型政商关系发挥了桥梁纽带作用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0CC3899A">
      <w:pPr>
        <w:spacing w:line="58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0A0000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2.多渠道推进融资服务。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0A0000" w:fill="FFFFFF"/>
        </w:rPr>
        <w:t>积极搭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0A0000" w:fill="FFFFFF"/>
        </w:rPr>
        <w:t>建银企之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0A0000" w:fill="FFFFFF"/>
        </w:rPr>
        <w:t>间沟通互动平台，举办融资信贷项目产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0A0000" w:fill="FFFFFF"/>
        </w:rPr>
        <w:t>品推介会，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0A0000" w:fill="FFFFFF"/>
        </w:rPr>
        <w:t>对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0A0000" w:fill="FFFFFF"/>
        </w:rPr>
        <w:t>接建设银行开展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0A0000" w:fill="FFFFFF"/>
        </w:rPr>
        <w:t>普惠金融政策宣讲，</w:t>
      </w:r>
      <w:r>
        <w:rPr>
          <w:rFonts w:hint="eastAsia" w:ascii="仿宋" w:hAnsi="仿宋" w:eastAsia="仿宋" w:cs="仿宋"/>
          <w:sz w:val="32"/>
          <w:szCs w:val="32"/>
        </w:rPr>
        <w:t>推动缓解民营企业融资难问题。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0A0000" w:fill="FFFFFF"/>
        </w:rPr>
        <w:t>开展“下企业、听呼声、送温暖”活动，向企业宣传各项惠企、融资政策，联合民生银行、华融湘江银行，推出简便、快捷的“信用卡融资”及小微企业“税联贷”等资金解决方案，为企业解决流动资金紧缺的难题。</w:t>
      </w:r>
    </w:p>
    <w:p w14:paraId="2D52FA70">
      <w:pPr>
        <w:spacing w:line="580" w:lineRule="exact"/>
        <w:ind w:firstLine="643" w:firstLineChars="200"/>
        <w:rPr>
          <w:rFonts w:ascii="仿宋" w:hAnsi="仿宋" w:eastAsia="仿宋" w:cs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3.全方位推进法律服务。</w:t>
      </w:r>
      <w:r>
        <w:rPr>
          <w:rFonts w:hint="eastAsia" w:ascii="仿宋" w:hAnsi="仿宋" w:eastAsia="仿宋" w:cs="仿宋"/>
          <w:sz w:val="32"/>
          <w:szCs w:val="32"/>
        </w:rPr>
        <w:t>通过各类网络平台，开展线上对接，及时宣传财税金融、社保补贴等惠企政策，积极引领，及时发声。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0A0000" w:fill="FFFFFF"/>
        </w:rPr>
        <w:t>邀请税务专家举办税法知识讲座，帮助企业进一步了解现行财税政策、熟悉中小企业税费减负等相关优惠措施。积极开展“国家安全教育日”法律进企业、“12·4”国家宪法日宣传、新冠肺炎防控税费政策操作指南培训等活动，深入企业分发法律知识手册，宣传宪法和优化营商环境等方面法律法规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推动营造公平竞争环境。</w:t>
      </w:r>
    </w:p>
    <w:p w14:paraId="7ECFA4AF">
      <w:pPr>
        <w:spacing w:line="58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（三）汇聚雁峰民企力量，主动服务雁峰发展大局</w:t>
      </w:r>
    </w:p>
    <w:p w14:paraId="3142FBA3">
      <w:pPr>
        <w:spacing w:line="58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1.积极引导民企投身光彩事业。</w:t>
      </w:r>
      <w:r>
        <w:rPr>
          <w:rFonts w:hint="eastAsia" w:ascii="仿宋" w:hAnsi="仿宋" w:eastAsia="仿宋" w:cs="仿宋"/>
          <w:sz w:val="32"/>
          <w:szCs w:val="32"/>
        </w:rPr>
        <w:t>引导民营经济人士履行社会责任，广泛参与社会公益活动，积极投身到乡村振兴、志愿服务等行动中，充分调动民营企业家发挥优势、作出贡献。组织动员会员企业捐款捐物价值10万元，开展了“同心齐抗疫·雁商在行动”慰问抗疫一线工作人员活动。指导金杯电缆申报中国民营企业社会责任优秀案例，宣传企业积极参与、主动承担社会责任的典型经验，在会员中起到了积极的导向作用。特变电工、禹班建设荣登2022年度“衡阳慈善排行榜”企业榜单，民营企业家何忠诚、孙文清荣登个人榜单。</w:t>
      </w:r>
    </w:p>
    <w:p w14:paraId="376E616E">
      <w:pPr>
        <w:spacing w:line="58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2.积极搭建民企参政议政平台。</w:t>
      </w:r>
      <w:r>
        <w:rPr>
          <w:rFonts w:hint="eastAsia" w:ascii="仿宋" w:hAnsi="仿宋" w:eastAsia="仿宋" w:cs="仿宋"/>
          <w:sz w:val="32"/>
          <w:szCs w:val="32"/>
        </w:rPr>
        <w:t>去年4月，区工商联（总商会）在四城区中率先完成换届工作，219家民营企业加入工商联组织，选举产生工商联执常委68人。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0A0000" w:fill="FFFFFF"/>
        </w:rPr>
        <w:t>坚持思想政治强、行业代表性强、参政议政能力强和社会信誉好的</w:t>
      </w:r>
      <w:r>
        <w:rPr>
          <w:rFonts w:hint="eastAsia" w:ascii="仿宋" w:hAnsi="仿宋" w:eastAsia="仿宋" w:cs="仿宋"/>
          <w:sz w:val="32"/>
          <w:szCs w:val="32"/>
        </w:rPr>
        <w:t>“三强一好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0A0000" w:fill="FFFFFF"/>
        </w:rPr>
        <w:t>”标准，推荐12位执常委担任区人大代表和政协委员。积极引导会员企业参加区委、区政府重大决策的意见征求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0A0000" w:fill="FFFFFF"/>
        </w:rPr>
        <w:t>，鼓励人大代表和政协委员中的民营企业家积极参政议政，换届以来，工商联会员共提交人大建14件、政协提案16件，为我区经济社会发展建言献策。</w:t>
      </w:r>
    </w:p>
    <w:p w14:paraId="4B54E337">
      <w:pPr>
        <w:spacing w:line="580" w:lineRule="exact"/>
        <w:ind w:firstLine="643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0A0000" w:fill="FFFFFF"/>
        </w:rPr>
        <w:t>3.积极助力营商环境优化。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0A0000" w:fill="FFFFFF"/>
        </w:rPr>
        <w:t>开展优化营商环境“企业感受”调查活动，对部分会员企业开展实地走访，组织企业家填写调查问卷、个别谈话，了解企业目前的生产经营状况，宣传雁峰爱企护企、重企兴企举措，梳理汇总涉及影响政商关系和政务环境的突出问题，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及时向相关部门反映，推动问题解决并向企业做好反馈。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0A0000" w:fill="FFFFFF"/>
        </w:rPr>
        <w:t>在去年底，万家民营企业评价营商环境工作中，我区40家民营企业参与“万企评价”，大家积极为雁峰点赞、为家乡代言，我区各项评价指标排位靠前，得到了市工商联的充分肯定。</w:t>
      </w:r>
    </w:p>
    <w:p w14:paraId="62070B2C">
      <w:pPr>
        <w:ind w:firstLine="640" w:firstLineChars="200"/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四、资金管理及绩效存在的主要问题及下一步改进措施</w:t>
      </w:r>
    </w:p>
    <w:p w14:paraId="5DC35739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（一）确保人员经费足额到位。争取区委、区政府及人大的支持，适当增加人员及工作运转经费，摆脱</w:t>
      </w:r>
      <w:r>
        <w:rPr>
          <w:rFonts w:hint="eastAsia" w:ascii="仿宋" w:hAnsi="仿宋" w:eastAsia="仿宋"/>
          <w:sz w:val="32"/>
          <w:szCs w:val="32"/>
        </w:rPr>
        <w:t>挤占专项资金的现象</w:t>
      </w:r>
      <w:r>
        <w:rPr>
          <w:rFonts w:hint="eastAsia" w:eastAsia="仿宋_GB2312" w:cs="仿宋_GB2312"/>
          <w:sz w:val="32"/>
          <w:szCs w:val="32"/>
        </w:rPr>
        <w:t>。</w:t>
      </w:r>
    </w:p>
    <w:p w14:paraId="5A9BC9C3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（二）完善管理制度，进一步加强资产管理</w:t>
      </w:r>
    </w:p>
    <w:p w14:paraId="6A321175">
      <w:pPr>
        <w:ind w:firstLine="640" w:firstLineChars="200"/>
      </w:pPr>
      <w:r>
        <w:rPr>
          <w:rFonts w:hint="eastAsia" w:eastAsia="仿宋_GB2312"/>
          <w:sz w:val="32"/>
          <w:szCs w:val="32"/>
        </w:rPr>
        <w:t>严格按照《固定资产管理办法》的规定加强固定资产管理，及时登记、更新台账，加强资产卡片管理，年终前对各类实物资产进行全面盘点，确保账账、账实相符。</w:t>
      </w:r>
    </w:p>
    <w:p w14:paraId="74788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2EBAA"/>
    <w:multiLevelType w:val="singleLevel"/>
    <w:tmpl w:val="5EF2EBAA"/>
    <w:lvl w:ilvl="0" w:tentative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 w:ascii="方正仿宋简体" w:hAnsi="方正仿宋简体" w:eastAsia="方正仿宋简体" w:cs="方正仿宋简体"/>
        <w:b/>
        <w:bCs/>
      </w:rPr>
    </w:lvl>
  </w:abstractNum>
  <w:abstractNum w:abstractNumId="1">
    <w:nsid w:val="69D258BC"/>
    <w:multiLevelType w:val="singleLevel"/>
    <w:tmpl w:val="69D258B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CAA3611"/>
    <w:rsid w:val="000076C3"/>
    <w:rsid w:val="003A39DC"/>
    <w:rsid w:val="005A4279"/>
    <w:rsid w:val="007F3ABD"/>
    <w:rsid w:val="00DD64EC"/>
    <w:rsid w:val="3CAA3611"/>
    <w:rsid w:val="4D8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2916</Words>
  <Characters>3027</Characters>
  <Lines>21</Lines>
  <Paragraphs>6</Paragraphs>
  <TotalTime>25</TotalTime>
  <ScaleCrop>false</ScaleCrop>
  <LinksUpToDate>false</LinksUpToDate>
  <CharactersWithSpaces>3038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2023-10-11T13:27:00Z</dcterms:created>
  <dc:creator>Administrator</dc:creator>
  <cp:lastModifiedBy>邓婷</cp:lastModifiedBy>
  <dcterms:modified xsi:type="dcterms:W3CDTF">2025-05-14T04:25:18Z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eyJoZGlkIjoiN2Y2YTkzM2Q3ZjFmZDA3MzYxZmZlNThiZjdiNmYxNGYiLCJ1c2VySWQiOiIxMDY5MjgzMDcxIn0=</vt:lpwstr>
  </property>
  <property fmtid="{D5CDD505-2E9C-101B-9397-08002B2CF9AE}" pid="4" name="ICV">
    <vt:lpwstr>5FAE3B68BFEF474189C140592DF8838E_12</vt:lpwstr>
  </property>
</Properties>
</file>