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C1" w:rsidRDefault="004C2666">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sidR="005447FE">
        <w:rPr>
          <w:rFonts w:ascii="方正小标宋_GBK" w:eastAsia="方正小标宋_GBK" w:hAnsi="方正小标宋_GBK" w:cs="方正小标宋_GBK" w:hint="eastAsia"/>
          <w:sz w:val="36"/>
          <w:szCs w:val="36"/>
        </w:rPr>
        <w:t>2</w:t>
      </w:r>
      <w:r>
        <w:rPr>
          <w:rFonts w:ascii="方正小标宋_GBK" w:eastAsia="方正小标宋_GBK" w:hAnsi="方正小标宋_GBK" w:cs="方正小标宋_GBK" w:hint="eastAsia"/>
          <w:sz w:val="36"/>
          <w:szCs w:val="36"/>
        </w:rPr>
        <w:t>年度部门整体支出绩效自评报告</w:t>
      </w:r>
    </w:p>
    <w:p w:rsidR="00BE4FC1" w:rsidRDefault="00BE4FC1">
      <w:pPr>
        <w:jc w:val="center"/>
        <w:rPr>
          <w:rFonts w:ascii="方正小标宋_GBK" w:eastAsia="方正小标宋_GBK" w:hAnsi="方正小标宋_GBK" w:cs="方正小标宋_GBK"/>
          <w:sz w:val="40"/>
          <w:szCs w:val="40"/>
        </w:rPr>
      </w:pPr>
    </w:p>
    <w:p w:rsidR="00BE4FC1" w:rsidRDefault="004C266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w:t>
      </w:r>
      <w:r w:rsidR="004375E9">
        <w:rPr>
          <w:rFonts w:asciiTheme="minorEastAsia" w:hAnsiTheme="minorEastAsia" w:cs="黑体" w:hint="eastAsia"/>
          <w:color w:val="000000"/>
          <w:kern w:val="0"/>
          <w:sz w:val="32"/>
          <w:szCs w:val="32"/>
        </w:rPr>
        <w:t>中华人民共和国</w:t>
      </w:r>
      <w:r>
        <w:rPr>
          <w:rFonts w:asciiTheme="minorEastAsia" w:hAnsiTheme="minorEastAsia" w:cs="黑体" w:hint="eastAsia"/>
          <w:color w:val="000000"/>
          <w:kern w:val="0"/>
          <w:sz w:val="32"/>
          <w:szCs w:val="32"/>
        </w:rPr>
        <w:t>预算法》有关“各级政府、各部门、各单位应当对预算支出情况开展绩效评价”的规定，结合实际情况，我办对202</w:t>
      </w:r>
      <w:r w:rsidR="005447FE">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年度部门整体支出进行了绩效自评，现报告如下：</w:t>
      </w:r>
    </w:p>
    <w:p w:rsidR="00BE4FC1" w:rsidRDefault="004C266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BE4FC1" w:rsidRDefault="004C266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（一）贯彻实施国家、省、市、区关于重点项目建设的方针、政策及决定。</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二）参与重点项目建设的中长期规划和前期工作；建立重点项目库，会同区发展改革和科学技术局编制区重点项目建设投资与建设进度计划，向市发改委、市重点办上报、申列省、市重点项目；协助有关部门论证和落实重点项目。</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（三）负责对年度重点项目的建设实行全程跟踪管理，督查督办重点项目建设的前期工作、施工进度和投资完成情况。 </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（四）协助区属省、市重点项目法人向市政府、市重点办申请落实优惠政策。</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五）协助各项目指挥部按有关政策和实际情况确定征收补偿标准、拆迁安置方案实施办法，报领导小组审核批准；配合区委督查室、区政府督查室对重点工程项目征地拆迁补偿和安置政策执行落实情况进行督查。</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（六）配合区监察局、区城建投审核重点项目安置方案；</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（七）收集、汇总、分析重点项目建设的信息和运行态势，对存在的问题提出解决建议和措施；协助区统计局、区发改局做好固定资产投资报表的报送工作。</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（八）配合区委督查室、区政府督查室对全区重点工程协调领导小组、项目座落的乡镇政府、街道办事处年度责任目标任务执行情况进行检查、</w:t>
      </w:r>
      <w:r w:rsidRPr="00DB0968">
        <w:rPr>
          <w:rFonts w:asciiTheme="minorEastAsia" w:hAnsiTheme="minorEastAsia" w:cs="黑体" w:hint="eastAsia"/>
          <w:color w:val="000000"/>
          <w:kern w:val="0"/>
          <w:sz w:val="32"/>
          <w:szCs w:val="32"/>
        </w:rPr>
        <w:lastRenderedPageBreak/>
        <w:t>考核、评比，并提出奖罚意见报区委、区政府。</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（九）会同乡镇街道、国土资源机构对重点工程项目实施调查测算、分类汇总，衔接征地拆迁评审。</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（十）组织并指导各街道、乡镇服务辖区重点项目建设，协调解决重点项目建设实施过程中出现的问题，全面优化施工环境。</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（十一）协调各重点项目协调领导小组成立和管理文件的起草，并按程序呈报区委、区政府同意后下文予以明确。</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（十二）做好市委、市政府和区委、区政府关于重点项目建设的各项考核工作。</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（十三）督促各重点项目协调领导小组向区档案局移交重点项目、工程的档案资料。</w:t>
      </w:r>
    </w:p>
    <w:p w:rsidR="00FA145A" w:rsidRPr="00DB0968" w:rsidRDefault="00FA145A" w:rsidP="00FA145A">
      <w:pPr>
        <w:spacing w:line="54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（十四）承办区委、区政府交办的其他工作。</w:t>
      </w:r>
    </w:p>
    <w:p w:rsidR="00BE4FC1" w:rsidRDefault="00FA145A">
      <w:pPr>
        <w:widowControl/>
        <w:spacing w:line="600" w:lineRule="exac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sidR="004C2666">
        <w:rPr>
          <w:rFonts w:asciiTheme="minorEastAsia" w:hAnsiTheme="minorEastAsia" w:cs="黑体" w:hint="eastAsia"/>
          <w:color w:val="000000"/>
          <w:kern w:val="0"/>
          <w:sz w:val="32"/>
          <w:szCs w:val="32"/>
        </w:rPr>
        <w:t>2、机构设置及决算单位构成</w:t>
      </w:r>
    </w:p>
    <w:p w:rsidR="00FA145A" w:rsidRPr="00DB0968" w:rsidRDefault="00FA145A" w:rsidP="00FA145A">
      <w:pPr>
        <w:widowControl/>
        <w:spacing w:line="600" w:lineRule="exact"/>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w:t>
      </w:r>
      <w:r w:rsidR="004C2666" w:rsidRPr="00DB0968">
        <w:rPr>
          <w:rFonts w:asciiTheme="minorEastAsia" w:hAnsiTheme="minorEastAsia" w:cs="黑体" w:hint="eastAsia"/>
          <w:color w:val="000000"/>
          <w:kern w:val="0"/>
          <w:sz w:val="32"/>
          <w:szCs w:val="32"/>
        </w:rPr>
        <w:t>（一）内设机构设置。</w:t>
      </w:r>
      <w:r w:rsidRPr="00DB0968">
        <w:rPr>
          <w:rFonts w:asciiTheme="minorEastAsia" w:hAnsiTheme="minorEastAsia" w:cs="黑体" w:hint="eastAsia"/>
          <w:color w:val="000000"/>
          <w:kern w:val="0"/>
          <w:sz w:val="32"/>
          <w:szCs w:val="32"/>
        </w:rPr>
        <w:t>雁峰区重点建设项目事务中心单位内设机构包括：综合股，业务股，征拆股。</w:t>
      </w:r>
    </w:p>
    <w:p w:rsidR="00BE4FC1" w:rsidRPr="00DB0968" w:rsidRDefault="00FA145A">
      <w:pPr>
        <w:widowControl/>
        <w:spacing w:line="600" w:lineRule="exact"/>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w:t>
      </w:r>
      <w:r w:rsidR="004C2666" w:rsidRPr="00DB0968">
        <w:rPr>
          <w:rFonts w:asciiTheme="minorEastAsia" w:hAnsiTheme="minorEastAsia" w:cs="黑体" w:hint="eastAsia"/>
          <w:color w:val="000000"/>
          <w:kern w:val="0"/>
          <w:sz w:val="32"/>
          <w:szCs w:val="32"/>
        </w:rPr>
        <w:t>（二）决算单位构成。</w:t>
      </w:r>
      <w:r w:rsidRPr="00DB0968">
        <w:rPr>
          <w:rFonts w:asciiTheme="minorEastAsia" w:hAnsiTheme="minorEastAsia" w:cs="黑体" w:hint="eastAsia"/>
          <w:color w:val="000000"/>
          <w:kern w:val="0"/>
          <w:sz w:val="32"/>
          <w:szCs w:val="32"/>
        </w:rPr>
        <w:t>雁峰区重点建设项目事务中心单位</w:t>
      </w:r>
      <w:r w:rsidRPr="00DB0968">
        <w:rPr>
          <w:rFonts w:asciiTheme="minorEastAsia" w:hAnsiTheme="minorEastAsia" w:cs="黑体"/>
          <w:color w:val="000000"/>
          <w:kern w:val="0"/>
          <w:sz w:val="32"/>
          <w:szCs w:val="32"/>
        </w:rPr>
        <w:t>20</w:t>
      </w:r>
      <w:r w:rsidRPr="00DB0968">
        <w:rPr>
          <w:rFonts w:asciiTheme="minorEastAsia" w:hAnsiTheme="minorEastAsia" w:cs="黑体" w:hint="eastAsia"/>
          <w:color w:val="000000"/>
          <w:kern w:val="0"/>
          <w:sz w:val="32"/>
          <w:szCs w:val="32"/>
        </w:rPr>
        <w:t>2</w:t>
      </w:r>
      <w:r w:rsidR="005447FE" w:rsidRPr="00DB0968">
        <w:rPr>
          <w:rFonts w:asciiTheme="minorEastAsia" w:hAnsiTheme="minorEastAsia" w:cs="黑体" w:hint="eastAsia"/>
          <w:color w:val="000000"/>
          <w:kern w:val="0"/>
          <w:sz w:val="32"/>
          <w:szCs w:val="32"/>
        </w:rPr>
        <w:t>2</w:t>
      </w:r>
      <w:r w:rsidRPr="00DB0968">
        <w:rPr>
          <w:rFonts w:asciiTheme="minorEastAsia" w:hAnsiTheme="minorEastAsia" w:cs="黑体" w:hint="eastAsia"/>
          <w:color w:val="000000"/>
          <w:kern w:val="0"/>
          <w:sz w:val="32"/>
          <w:szCs w:val="32"/>
        </w:rPr>
        <w:t>年部门决算汇总公开单位构成包括：雁峰区重点建设项目事务中心单位本级。</w:t>
      </w:r>
    </w:p>
    <w:p w:rsidR="00BE4FC1" w:rsidRDefault="00FA145A" w:rsidP="00FA145A">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sidR="004C2666">
        <w:rPr>
          <w:rFonts w:asciiTheme="minorEastAsia" w:hAnsiTheme="minorEastAsia" w:cs="黑体" w:hint="eastAsia"/>
          <w:color w:val="000000"/>
          <w:kern w:val="0"/>
          <w:sz w:val="32"/>
          <w:szCs w:val="32"/>
        </w:rPr>
        <w:t>3、人员情况</w:t>
      </w:r>
    </w:p>
    <w:p w:rsidR="00BE4FC1" w:rsidRPr="00DB0968" w:rsidRDefault="004C2666" w:rsidP="00DB0968">
      <w:pPr>
        <w:spacing w:line="29" w:lineRule="atLeas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202</w:t>
      </w:r>
      <w:r w:rsidR="005447FE" w:rsidRPr="00DB0968">
        <w:rPr>
          <w:rFonts w:asciiTheme="minorEastAsia" w:hAnsiTheme="minorEastAsia" w:cs="黑体" w:hint="eastAsia"/>
          <w:color w:val="000000"/>
          <w:kern w:val="0"/>
          <w:sz w:val="32"/>
          <w:szCs w:val="32"/>
        </w:rPr>
        <w:t>2</w:t>
      </w:r>
      <w:r w:rsidRPr="00DB0968">
        <w:rPr>
          <w:rFonts w:asciiTheme="minorEastAsia" w:hAnsiTheme="minorEastAsia" w:cs="黑体" w:hint="eastAsia"/>
          <w:color w:val="000000"/>
          <w:kern w:val="0"/>
          <w:sz w:val="32"/>
          <w:szCs w:val="32"/>
        </w:rPr>
        <w:t>年12月31日止我办在职人员</w:t>
      </w:r>
      <w:r w:rsidR="005447FE" w:rsidRPr="00DB0968">
        <w:rPr>
          <w:rFonts w:asciiTheme="minorEastAsia" w:hAnsiTheme="minorEastAsia" w:cs="黑体" w:hint="eastAsia"/>
          <w:color w:val="000000"/>
          <w:kern w:val="0"/>
          <w:sz w:val="32"/>
          <w:szCs w:val="32"/>
        </w:rPr>
        <w:t>8</w:t>
      </w:r>
      <w:r w:rsidRPr="00DB0968">
        <w:rPr>
          <w:rFonts w:asciiTheme="minorEastAsia" w:hAnsiTheme="minorEastAsia" w:cs="黑体" w:hint="eastAsia"/>
          <w:color w:val="000000"/>
          <w:kern w:val="0"/>
          <w:sz w:val="32"/>
          <w:szCs w:val="32"/>
        </w:rPr>
        <w:t>人。</w:t>
      </w:r>
    </w:p>
    <w:p w:rsidR="00BE4FC1" w:rsidRPr="00DB0968" w:rsidRDefault="004C2666" w:rsidP="00DB0968">
      <w:pPr>
        <w:spacing w:line="29" w:lineRule="atLeast"/>
        <w:ind w:firstLineChars="200" w:firstLine="640"/>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二、一般公共预算支出情况</w:t>
      </w:r>
    </w:p>
    <w:p w:rsidR="00BE4FC1" w:rsidRPr="00DB0968" w:rsidRDefault="004C2666">
      <w:pPr>
        <w:spacing w:before="1" w:line="29" w:lineRule="atLeast"/>
        <w:ind w:left="669"/>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(一)基本支出情况</w:t>
      </w:r>
    </w:p>
    <w:p w:rsidR="00FA145A" w:rsidRPr="00DB0968" w:rsidRDefault="004C2666" w:rsidP="00FA145A">
      <w:pPr>
        <w:spacing w:before="204" w:line="29" w:lineRule="atLeast"/>
        <w:ind w:left="20" w:firstLine="627"/>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基本支出是保障机构正常运转、完成日常工作任务而发生的各项支出，包括用于在职和离退休人员基本工资、津贴补贴等人员经费以及办公费、印刷费、水电费、办公设备购置等日常公用经费。202</w:t>
      </w:r>
      <w:r w:rsidR="005447FE" w:rsidRPr="00DB0968">
        <w:rPr>
          <w:rFonts w:asciiTheme="minorEastAsia" w:hAnsiTheme="minorEastAsia" w:cs="黑体" w:hint="eastAsia"/>
          <w:color w:val="000000"/>
          <w:kern w:val="0"/>
          <w:sz w:val="32"/>
          <w:szCs w:val="32"/>
        </w:rPr>
        <w:t>2</w:t>
      </w:r>
      <w:r w:rsidRPr="00DB0968">
        <w:rPr>
          <w:rFonts w:asciiTheme="minorEastAsia" w:hAnsiTheme="minorEastAsia" w:cs="黑体"/>
          <w:color w:val="000000"/>
          <w:kern w:val="0"/>
          <w:sz w:val="32"/>
          <w:szCs w:val="32"/>
        </w:rPr>
        <w:t>年基本支出预算安排</w:t>
      </w:r>
      <w:r w:rsidR="005447FE" w:rsidRPr="00DB0968">
        <w:rPr>
          <w:rFonts w:asciiTheme="minorEastAsia" w:hAnsiTheme="minorEastAsia" w:cs="黑体" w:hint="eastAsia"/>
          <w:color w:val="000000"/>
          <w:kern w:val="0"/>
          <w:sz w:val="32"/>
          <w:szCs w:val="32"/>
        </w:rPr>
        <w:t>153.2</w:t>
      </w:r>
      <w:r w:rsidRPr="00DB0968">
        <w:rPr>
          <w:rFonts w:asciiTheme="minorEastAsia" w:hAnsiTheme="minorEastAsia" w:cs="黑体"/>
          <w:color w:val="000000"/>
          <w:kern w:val="0"/>
          <w:sz w:val="32"/>
          <w:szCs w:val="32"/>
        </w:rPr>
        <w:t>万元，实际支出</w:t>
      </w:r>
      <w:r w:rsidR="005447FE" w:rsidRPr="00DB0968">
        <w:rPr>
          <w:rFonts w:asciiTheme="minorEastAsia" w:hAnsiTheme="minorEastAsia" w:cs="黑体" w:hint="eastAsia"/>
          <w:color w:val="000000"/>
          <w:kern w:val="0"/>
          <w:sz w:val="32"/>
          <w:szCs w:val="32"/>
        </w:rPr>
        <w:t>153.2</w:t>
      </w:r>
      <w:r w:rsidRPr="00DB0968">
        <w:rPr>
          <w:rFonts w:asciiTheme="minorEastAsia" w:hAnsiTheme="minorEastAsia" w:cs="黑体"/>
          <w:color w:val="000000"/>
          <w:kern w:val="0"/>
          <w:sz w:val="32"/>
          <w:szCs w:val="32"/>
        </w:rPr>
        <w:t>万元，完成预算安排的</w:t>
      </w:r>
      <w:r w:rsidR="005447FE" w:rsidRPr="00DB0968">
        <w:rPr>
          <w:rFonts w:asciiTheme="minorEastAsia" w:hAnsiTheme="minorEastAsia" w:cs="黑体" w:hint="eastAsia"/>
          <w:color w:val="000000"/>
          <w:kern w:val="0"/>
          <w:sz w:val="32"/>
          <w:szCs w:val="32"/>
        </w:rPr>
        <w:t>100</w:t>
      </w:r>
      <w:r w:rsidRPr="00DB0968">
        <w:rPr>
          <w:rFonts w:asciiTheme="minorEastAsia" w:hAnsiTheme="minorEastAsia" w:cs="黑体"/>
          <w:color w:val="000000"/>
          <w:kern w:val="0"/>
          <w:sz w:val="32"/>
          <w:szCs w:val="32"/>
        </w:rPr>
        <w:t>%。人员经费支出</w:t>
      </w:r>
      <w:r w:rsidR="005447FE" w:rsidRPr="00DB0968">
        <w:rPr>
          <w:rFonts w:asciiTheme="minorEastAsia" w:hAnsiTheme="minorEastAsia" w:cs="黑体" w:hint="eastAsia"/>
          <w:color w:val="000000"/>
          <w:kern w:val="0"/>
          <w:sz w:val="32"/>
          <w:szCs w:val="32"/>
        </w:rPr>
        <w:t>140.57</w:t>
      </w:r>
      <w:r w:rsidRPr="00DB0968">
        <w:rPr>
          <w:rFonts w:asciiTheme="minorEastAsia" w:hAnsiTheme="minorEastAsia" w:cs="黑体"/>
          <w:color w:val="000000"/>
          <w:kern w:val="0"/>
          <w:sz w:val="32"/>
          <w:szCs w:val="32"/>
        </w:rPr>
        <w:t>万元，占基本支出的</w:t>
      </w:r>
      <w:r w:rsidR="005447FE" w:rsidRPr="00DB0968">
        <w:rPr>
          <w:rFonts w:asciiTheme="minorEastAsia" w:hAnsiTheme="minorEastAsia" w:cs="黑体" w:hint="eastAsia"/>
          <w:color w:val="000000"/>
          <w:kern w:val="0"/>
          <w:sz w:val="32"/>
          <w:szCs w:val="32"/>
        </w:rPr>
        <w:t>91.76</w:t>
      </w:r>
      <w:r w:rsidRPr="00DB0968">
        <w:rPr>
          <w:rFonts w:asciiTheme="minorEastAsia" w:hAnsiTheme="minorEastAsia" w:cs="黑体"/>
          <w:color w:val="000000"/>
          <w:kern w:val="0"/>
          <w:sz w:val="32"/>
          <w:szCs w:val="32"/>
        </w:rPr>
        <w:t>%；日常公用经费支出</w:t>
      </w:r>
      <w:r w:rsidR="005447FE" w:rsidRPr="00DB0968">
        <w:rPr>
          <w:rFonts w:asciiTheme="minorEastAsia" w:hAnsiTheme="minorEastAsia" w:cs="黑体" w:hint="eastAsia"/>
          <w:color w:val="000000"/>
          <w:kern w:val="0"/>
          <w:sz w:val="32"/>
          <w:szCs w:val="32"/>
        </w:rPr>
        <w:t>12.63</w:t>
      </w:r>
      <w:r w:rsidRPr="00DB0968">
        <w:rPr>
          <w:rFonts w:asciiTheme="minorEastAsia" w:hAnsiTheme="minorEastAsia" w:cs="黑体"/>
          <w:color w:val="000000"/>
          <w:kern w:val="0"/>
          <w:sz w:val="32"/>
          <w:szCs w:val="32"/>
        </w:rPr>
        <w:t>万元，</w:t>
      </w:r>
      <w:r w:rsidRPr="00DB0968">
        <w:rPr>
          <w:rFonts w:asciiTheme="minorEastAsia" w:hAnsiTheme="minorEastAsia" w:cs="黑体"/>
          <w:color w:val="000000"/>
          <w:kern w:val="0"/>
          <w:sz w:val="32"/>
          <w:szCs w:val="32"/>
        </w:rPr>
        <w:lastRenderedPageBreak/>
        <w:t>占基本支出的</w:t>
      </w:r>
      <w:r w:rsidR="005447FE" w:rsidRPr="00DB0968">
        <w:rPr>
          <w:rFonts w:asciiTheme="minorEastAsia" w:hAnsiTheme="minorEastAsia" w:cs="黑体" w:hint="eastAsia"/>
          <w:color w:val="000000"/>
          <w:kern w:val="0"/>
          <w:sz w:val="32"/>
          <w:szCs w:val="32"/>
        </w:rPr>
        <w:t>8.24</w:t>
      </w:r>
      <w:r w:rsidRPr="00DB0968">
        <w:rPr>
          <w:rFonts w:asciiTheme="minorEastAsia" w:hAnsiTheme="minorEastAsia" w:cs="黑体"/>
          <w:color w:val="000000"/>
          <w:kern w:val="0"/>
          <w:sz w:val="32"/>
          <w:szCs w:val="32"/>
        </w:rPr>
        <w:t>%。</w:t>
      </w:r>
    </w:p>
    <w:p w:rsidR="00BE4FC1" w:rsidRPr="00DB0968" w:rsidRDefault="00FA145A" w:rsidP="00FA145A">
      <w:pPr>
        <w:spacing w:before="204" w:line="29" w:lineRule="atLeast"/>
        <w:ind w:left="20" w:firstLine="627"/>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w:t>
      </w:r>
      <w:r w:rsidRPr="00DB0968">
        <w:rPr>
          <w:rFonts w:asciiTheme="minorEastAsia" w:hAnsiTheme="minorEastAsia" w:cs="黑体" w:hint="eastAsia"/>
          <w:color w:val="000000"/>
          <w:kern w:val="0"/>
          <w:sz w:val="32"/>
          <w:szCs w:val="32"/>
        </w:rPr>
        <w:t>二</w:t>
      </w:r>
      <w:r w:rsidRPr="00DB0968">
        <w:rPr>
          <w:rFonts w:asciiTheme="minorEastAsia" w:hAnsiTheme="minorEastAsia" w:cs="黑体"/>
          <w:color w:val="000000"/>
          <w:kern w:val="0"/>
          <w:sz w:val="32"/>
          <w:szCs w:val="32"/>
        </w:rPr>
        <w:t>)</w:t>
      </w:r>
      <w:r w:rsidR="004C2666" w:rsidRPr="00DB0968">
        <w:rPr>
          <w:rFonts w:asciiTheme="minorEastAsia" w:hAnsiTheme="minorEastAsia" w:cs="黑体"/>
          <w:color w:val="000000"/>
          <w:kern w:val="0"/>
          <w:sz w:val="32"/>
          <w:szCs w:val="32"/>
        </w:rPr>
        <w:t>项目支出情况项目支出是单位为完成特定行政工作任务或事业发展目标而发生的支出。202</w:t>
      </w:r>
      <w:r w:rsidR="005447FE" w:rsidRPr="00DB0968">
        <w:rPr>
          <w:rFonts w:asciiTheme="minorEastAsia" w:hAnsiTheme="minorEastAsia" w:cs="黑体" w:hint="eastAsia"/>
          <w:color w:val="000000"/>
          <w:kern w:val="0"/>
          <w:sz w:val="32"/>
          <w:szCs w:val="32"/>
        </w:rPr>
        <w:t>2</w:t>
      </w:r>
      <w:r w:rsidR="004C2666" w:rsidRPr="00DB0968">
        <w:rPr>
          <w:rFonts w:asciiTheme="minorEastAsia" w:hAnsiTheme="minorEastAsia" w:cs="黑体"/>
          <w:color w:val="000000"/>
          <w:kern w:val="0"/>
          <w:sz w:val="32"/>
          <w:szCs w:val="32"/>
        </w:rPr>
        <w:t>年度项目预算安排</w:t>
      </w:r>
      <w:r w:rsidR="005447FE" w:rsidRPr="00DB0968">
        <w:rPr>
          <w:rFonts w:asciiTheme="minorEastAsia" w:hAnsiTheme="minorEastAsia" w:cs="黑体" w:hint="eastAsia"/>
          <w:color w:val="000000"/>
          <w:kern w:val="0"/>
          <w:sz w:val="32"/>
          <w:szCs w:val="32"/>
        </w:rPr>
        <w:t>22796.54</w:t>
      </w:r>
      <w:r w:rsidR="004C2666" w:rsidRPr="00DB0968">
        <w:rPr>
          <w:rFonts w:asciiTheme="minorEastAsia" w:hAnsiTheme="minorEastAsia" w:cs="黑体"/>
          <w:color w:val="000000"/>
          <w:kern w:val="0"/>
          <w:sz w:val="32"/>
          <w:szCs w:val="32"/>
        </w:rPr>
        <w:t>万元，实际支出</w:t>
      </w:r>
      <w:r w:rsidR="005447FE" w:rsidRPr="00DB0968">
        <w:rPr>
          <w:rFonts w:asciiTheme="minorEastAsia" w:hAnsiTheme="minorEastAsia" w:cs="黑体" w:hint="eastAsia"/>
          <w:color w:val="000000"/>
          <w:kern w:val="0"/>
          <w:sz w:val="32"/>
          <w:szCs w:val="32"/>
        </w:rPr>
        <w:t>22796.54</w:t>
      </w:r>
      <w:r w:rsidR="004C2666" w:rsidRPr="00DB0968">
        <w:rPr>
          <w:rFonts w:asciiTheme="minorEastAsia" w:hAnsiTheme="minorEastAsia" w:cs="黑体"/>
          <w:color w:val="000000"/>
          <w:kern w:val="0"/>
          <w:sz w:val="32"/>
          <w:szCs w:val="32"/>
        </w:rPr>
        <w:t>万元，完成预算安排的</w:t>
      </w:r>
      <w:r w:rsidR="005447FE" w:rsidRPr="00DB0968">
        <w:rPr>
          <w:rFonts w:asciiTheme="minorEastAsia" w:hAnsiTheme="minorEastAsia" w:cs="黑体" w:hint="eastAsia"/>
          <w:color w:val="000000"/>
          <w:kern w:val="0"/>
          <w:sz w:val="32"/>
          <w:szCs w:val="32"/>
        </w:rPr>
        <w:t>100</w:t>
      </w:r>
      <w:r w:rsidR="004C2666" w:rsidRPr="00DB0968">
        <w:rPr>
          <w:rFonts w:asciiTheme="minorEastAsia" w:hAnsiTheme="minorEastAsia" w:cs="黑体"/>
          <w:color w:val="000000"/>
          <w:kern w:val="0"/>
          <w:sz w:val="32"/>
          <w:szCs w:val="32"/>
        </w:rPr>
        <w:t>%。</w:t>
      </w:r>
      <w:r w:rsidR="004C2666" w:rsidRPr="00DB0968">
        <w:rPr>
          <w:rFonts w:asciiTheme="minorEastAsia" w:hAnsiTheme="minorEastAsia" w:cs="黑体" w:hint="eastAsia"/>
          <w:color w:val="000000"/>
          <w:kern w:val="0"/>
          <w:sz w:val="32"/>
          <w:szCs w:val="32"/>
        </w:rPr>
        <w:t>项目</w:t>
      </w:r>
      <w:r w:rsidRPr="00DB0968">
        <w:rPr>
          <w:rFonts w:asciiTheme="minorEastAsia" w:hAnsiTheme="minorEastAsia" w:cs="黑体" w:hint="eastAsia"/>
          <w:color w:val="000000"/>
          <w:kern w:val="0"/>
          <w:sz w:val="32"/>
          <w:szCs w:val="32"/>
        </w:rPr>
        <w:t>是重点项目管理经费、</w:t>
      </w:r>
      <w:r w:rsidR="005447FE" w:rsidRPr="00DB0968">
        <w:rPr>
          <w:rFonts w:asciiTheme="minorEastAsia" w:hAnsiTheme="minorEastAsia" w:cs="黑体" w:hint="eastAsia"/>
          <w:color w:val="000000"/>
          <w:kern w:val="0"/>
          <w:sz w:val="32"/>
          <w:szCs w:val="32"/>
        </w:rPr>
        <w:t>恒飞电缆智能化产业园建设</w:t>
      </w:r>
      <w:r w:rsidRPr="00DB0968">
        <w:rPr>
          <w:rFonts w:asciiTheme="minorEastAsia" w:hAnsiTheme="minorEastAsia" w:cs="黑体" w:hint="eastAsia"/>
          <w:color w:val="000000"/>
          <w:kern w:val="0"/>
          <w:sz w:val="32"/>
          <w:szCs w:val="32"/>
        </w:rPr>
        <w:t>、</w:t>
      </w:r>
      <w:r w:rsidR="005447FE" w:rsidRPr="00DB0968">
        <w:rPr>
          <w:rFonts w:asciiTheme="minorEastAsia" w:hAnsiTheme="minorEastAsia" w:cs="黑体" w:hint="eastAsia"/>
          <w:color w:val="000000"/>
          <w:kern w:val="0"/>
          <w:sz w:val="32"/>
          <w:szCs w:val="32"/>
        </w:rPr>
        <w:t>征拆安置经费、安置房项目资金、重点项目资金</w:t>
      </w:r>
      <w:r w:rsidR="004C2666" w:rsidRPr="00DB0968">
        <w:rPr>
          <w:rFonts w:asciiTheme="minorEastAsia" w:hAnsiTheme="minorEastAsia" w:cs="黑体" w:hint="eastAsia"/>
          <w:color w:val="000000"/>
          <w:kern w:val="0"/>
          <w:sz w:val="32"/>
          <w:szCs w:val="32"/>
        </w:rPr>
        <w:t>等</w:t>
      </w:r>
    </w:p>
    <w:p w:rsidR="00BE4FC1" w:rsidRPr="00DB0968" w:rsidRDefault="004C2666" w:rsidP="00BE4FC1">
      <w:pPr>
        <w:spacing w:before="160" w:line="353" w:lineRule="auto"/>
        <w:ind w:leftChars="-159" w:left="248" w:rightChars="316" w:right="664" w:hanging="582"/>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三、政府性基金预算支出情况</w:t>
      </w:r>
    </w:p>
    <w:p w:rsidR="00BE4FC1" w:rsidRPr="00DB0968" w:rsidRDefault="00FA145A" w:rsidP="00BE4FC1">
      <w:pPr>
        <w:spacing w:before="160" w:line="353" w:lineRule="auto"/>
        <w:ind w:leftChars="-159" w:left="248" w:rightChars="316" w:right="664" w:hanging="582"/>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w:t>
      </w:r>
      <w:r w:rsidR="004C2666" w:rsidRPr="00DB0968">
        <w:rPr>
          <w:rFonts w:asciiTheme="minorEastAsia" w:hAnsiTheme="minorEastAsia" w:cs="黑体"/>
          <w:color w:val="000000"/>
          <w:kern w:val="0"/>
          <w:sz w:val="32"/>
          <w:szCs w:val="32"/>
        </w:rPr>
        <w:t>202</w:t>
      </w:r>
      <w:r w:rsidR="005447FE" w:rsidRPr="00DB0968">
        <w:rPr>
          <w:rFonts w:asciiTheme="minorEastAsia" w:hAnsiTheme="minorEastAsia" w:cs="黑体" w:hint="eastAsia"/>
          <w:color w:val="000000"/>
          <w:kern w:val="0"/>
          <w:sz w:val="32"/>
          <w:szCs w:val="32"/>
        </w:rPr>
        <w:t>2</w:t>
      </w:r>
      <w:r w:rsidR="004C2666" w:rsidRPr="00DB0968">
        <w:rPr>
          <w:rFonts w:asciiTheme="minorEastAsia" w:hAnsiTheme="minorEastAsia" w:cs="黑体"/>
          <w:color w:val="000000"/>
          <w:kern w:val="0"/>
          <w:sz w:val="32"/>
          <w:szCs w:val="32"/>
        </w:rPr>
        <w:t>年度无政府性基金预算支出。</w:t>
      </w:r>
    </w:p>
    <w:p w:rsidR="00BE4FC1" w:rsidRPr="00DB0968" w:rsidRDefault="004C2666" w:rsidP="00BE4FC1">
      <w:pPr>
        <w:spacing w:before="160" w:line="353" w:lineRule="auto"/>
        <w:ind w:leftChars="-159" w:left="248" w:rightChars="316" w:right="664" w:hanging="582"/>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四、国有资本经营预算支出情况</w:t>
      </w:r>
    </w:p>
    <w:p w:rsidR="00BE4FC1" w:rsidRPr="00DB0968" w:rsidRDefault="00FA145A" w:rsidP="00BE4FC1">
      <w:pPr>
        <w:spacing w:before="160" w:line="353" w:lineRule="auto"/>
        <w:ind w:leftChars="-159" w:left="248" w:rightChars="316" w:right="664" w:hanging="582"/>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w:t>
      </w:r>
      <w:r w:rsidR="004C2666" w:rsidRPr="00DB0968">
        <w:rPr>
          <w:rFonts w:asciiTheme="minorEastAsia" w:hAnsiTheme="minorEastAsia" w:cs="黑体"/>
          <w:color w:val="000000"/>
          <w:kern w:val="0"/>
          <w:sz w:val="32"/>
          <w:szCs w:val="32"/>
        </w:rPr>
        <w:t>202</w:t>
      </w:r>
      <w:r w:rsidR="005447FE" w:rsidRPr="00DB0968">
        <w:rPr>
          <w:rFonts w:asciiTheme="minorEastAsia" w:hAnsiTheme="minorEastAsia" w:cs="黑体" w:hint="eastAsia"/>
          <w:color w:val="000000"/>
          <w:kern w:val="0"/>
          <w:sz w:val="32"/>
          <w:szCs w:val="32"/>
        </w:rPr>
        <w:t>2</w:t>
      </w:r>
      <w:r w:rsidR="004C2666" w:rsidRPr="00DB0968">
        <w:rPr>
          <w:rFonts w:asciiTheme="minorEastAsia" w:hAnsiTheme="minorEastAsia" w:cs="黑体"/>
          <w:color w:val="000000"/>
          <w:kern w:val="0"/>
          <w:sz w:val="32"/>
          <w:szCs w:val="32"/>
        </w:rPr>
        <w:t>年度无国有资本经营预算支出。</w:t>
      </w:r>
    </w:p>
    <w:p w:rsidR="00BE4FC1" w:rsidRPr="00DB0968" w:rsidRDefault="004C2666" w:rsidP="00BE4FC1">
      <w:pPr>
        <w:spacing w:before="160" w:line="353" w:lineRule="auto"/>
        <w:ind w:leftChars="-159" w:left="248" w:rightChars="316" w:right="664" w:hanging="582"/>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五</w:t>
      </w:r>
      <w:r w:rsidRPr="00DB0968">
        <w:rPr>
          <w:rFonts w:asciiTheme="minorEastAsia" w:hAnsiTheme="minorEastAsia" w:cs="黑体"/>
          <w:color w:val="000000"/>
          <w:kern w:val="0"/>
          <w:sz w:val="32"/>
          <w:szCs w:val="32"/>
        </w:rPr>
        <w:t>、部门整体支出绩效情况</w:t>
      </w:r>
    </w:p>
    <w:p w:rsidR="00BE4FC1" w:rsidRPr="00DB0968" w:rsidRDefault="00FA145A" w:rsidP="00F6605D">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在雁峰区委、区政府的领导下积极开展各项工作，</w:t>
      </w:r>
      <w:r w:rsidR="004C2666" w:rsidRPr="00DB0968">
        <w:rPr>
          <w:rFonts w:asciiTheme="minorEastAsia" w:hAnsiTheme="minorEastAsia" w:cs="黑体"/>
          <w:color w:val="000000"/>
          <w:kern w:val="0"/>
          <w:sz w:val="32"/>
          <w:szCs w:val="32"/>
        </w:rPr>
        <w:t>根据部门整体支出绩效评价指标，部门整体支出绩效得分</w:t>
      </w:r>
      <w:r w:rsidR="004C2666" w:rsidRPr="00DB0968">
        <w:rPr>
          <w:rFonts w:asciiTheme="minorEastAsia" w:hAnsiTheme="minorEastAsia" w:cs="黑体" w:hint="eastAsia"/>
          <w:color w:val="000000"/>
          <w:kern w:val="0"/>
          <w:sz w:val="32"/>
          <w:szCs w:val="32"/>
        </w:rPr>
        <w:t>99</w:t>
      </w:r>
      <w:r w:rsidR="004C2666" w:rsidRPr="00DB0968">
        <w:rPr>
          <w:rFonts w:asciiTheme="minorEastAsia" w:hAnsiTheme="minorEastAsia" w:cs="黑体"/>
          <w:color w:val="000000"/>
          <w:kern w:val="0"/>
          <w:sz w:val="32"/>
          <w:szCs w:val="32"/>
        </w:rPr>
        <w:t>分，具体情况如下：</w:t>
      </w:r>
    </w:p>
    <w:p w:rsidR="00BE4FC1" w:rsidRPr="00DB0968" w:rsidRDefault="004C2666">
      <w:pPr>
        <w:spacing w:before="1" w:line="227" w:lineRule="auto"/>
        <w:ind w:left="669"/>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(一)预算执行率(分值10分，得</w:t>
      </w:r>
      <w:r w:rsidRPr="00DB0968">
        <w:rPr>
          <w:rFonts w:asciiTheme="minorEastAsia" w:hAnsiTheme="minorEastAsia" w:cs="黑体" w:hint="eastAsia"/>
          <w:color w:val="000000"/>
          <w:kern w:val="0"/>
          <w:sz w:val="32"/>
          <w:szCs w:val="32"/>
        </w:rPr>
        <w:t>9</w:t>
      </w:r>
      <w:r w:rsidRPr="00DB0968">
        <w:rPr>
          <w:rFonts w:asciiTheme="minorEastAsia" w:hAnsiTheme="minorEastAsia" w:cs="黑体"/>
          <w:color w:val="000000"/>
          <w:kern w:val="0"/>
          <w:sz w:val="32"/>
          <w:szCs w:val="32"/>
        </w:rPr>
        <w:t>分，扣</w:t>
      </w:r>
      <w:r w:rsidRPr="00DB0968">
        <w:rPr>
          <w:rFonts w:asciiTheme="minorEastAsia" w:hAnsiTheme="minorEastAsia" w:cs="黑体" w:hint="eastAsia"/>
          <w:color w:val="000000"/>
          <w:kern w:val="0"/>
          <w:sz w:val="32"/>
          <w:szCs w:val="32"/>
        </w:rPr>
        <w:t>1</w:t>
      </w:r>
      <w:r w:rsidRPr="00DB0968">
        <w:rPr>
          <w:rFonts w:asciiTheme="minorEastAsia" w:hAnsiTheme="minorEastAsia" w:cs="黑体"/>
          <w:color w:val="000000"/>
          <w:kern w:val="0"/>
          <w:sz w:val="32"/>
          <w:szCs w:val="32"/>
        </w:rPr>
        <w:t>分)</w:t>
      </w:r>
    </w:p>
    <w:p w:rsidR="00BE4FC1" w:rsidRPr="00DB0968" w:rsidRDefault="004C2666">
      <w:pPr>
        <w:spacing w:before="205" w:line="342" w:lineRule="auto"/>
        <w:ind w:left="30" w:right="158" w:firstLine="640"/>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财政拨款全年预算数</w:t>
      </w:r>
      <w:r w:rsidR="005447FE" w:rsidRPr="00DB0968">
        <w:rPr>
          <w:rFonts w:asciiTheme="minorEastAsia" w:hAnsiTheme="minorEastAsia" w:cs="黑体" w:hint="eastAsia"/>
          <w:color w:val="000000"/>
          <w:kern w:val="0"/>
          <w:sz w:val="32"/>
          <w:szCs w:val="32"/>
        </w:rPr>
        <w:t>22949.74</w:t>
      </w:r>
      <w:r w:rsidRPr="00DB0968">
        <w:rPr>
          <w:rFonts w:asciiTheme="minorEastAsia" w:hAnsiTheme="minorEastAsia" w:cs="黑体"/>
          <w:color w:val="000000"/>
          <w:kern w:val="0"/>
          <w:sz w:val="32"/>
          <w:szCs w:val="32"/>
        </w:rPr>
        <w:t>万元，全年执行数</w:t>
      </w:r>
      <w:r w:rsidR="005447FE" w:rsidRPr="00DB0968">
        <w:rPr>
          <w:rFonts w:asciiTheme="minorEastAsia" w:hAnsiTheme="minorEastAsia" w:cs="黑体" w:hint="eastAsia"/>
          <w:color w:val="000000"/>
          <w:kern w:val="0"/>
          <w:sz w:val="32"/>
          <w:szCs w:val="32"/>
        </w:rPr>
        <w:t>22949.74</w:t>
      </w:r>
      <w:r w:rsidRPr="00DB0968">
        <w:rPr>
          <w:rFonts w:asciiTheme="minorEastAsia" w:hAnsiTheme="minorEastAsia" w:cs="黑体"/>
          <w:color w:val="000000"/>
          <w:kern w:val="0"/>
          <w:sz w:val="32"/>
          <w:szCs w:val="32"/>
        </w:rPr>
        <w:t>万元，预算执行率</w:t>
      </w:r>
      <w:r w:rsidRPr="00DB0968">
        <w:rPr>
          <w:rFonts w:asciiTheme="minorEastAsia" w:hAnsiTheme="minorEastAsia" w:cs="黑体" w:hint="eastAsia"/>
          <w:color w:val="000000"/>
          <w:kern w:val="0"/>
          <w:sz w:val="32"/>
          <w:szCs w:val="32"/>
        </w:rPr>
        <w:t>100</w:t>
      </w:r>
      <w:r w:rsidRPr="00DB0968">
        <w:rPr>
          <w:rFonts w:asciiTheme="minorEastAsia" w:hAnsiTheme="minorEastAsia" w:cs="黑体"/>
          <w:color w:val="000000"/>
          <w:kern w:val="0"/>
          <w:sz w:val="32"/>
          <w:szCs w:val="32"/>
        </w:rPr>
        <w:t>%。</w:t>
      </w:r>
    </w:p>
    <w:p w:rsidR="00BE4FC1" w:rsidRPr="00DB0968" w:rsidRDefault="004C2666">
      <w:pPr>
        <w:spacing w:before="10" w:line="348" w:lineRule="auto"/>
        <w:ind w:left="692" w:right="753" w:hanging="23"/>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(二)产出指标(分值50分，得50分，未扣分)</w:t>
      </w:r>
    </w:p>
    <w:p w:rsidR="00BE4FC1" w:rsidRPr="00DB0968" w:rsidRDefault="004C2666" w:rsidP="00DB0968">
      <w:pPr>
        <w:spacing w:line="58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1、</w:t>
      </w:r>
      <w:r w:rsidR="00F6605D" w:rsidRPr="00DB0968">
        <w:rPr>
          <w:rFonts w:asciiTheme="minorEastAsia" w:hAnsiTheme="minorEastAsia" w:cs="黑体" w:hint="eastAsia"/>
          <w:color w:val="000000"/>
          <w:kern w:val="0"/>
          <w:sz w:val="32"/>
          <w:szCs w:val="32"/>
        </w:rPr>
        <w:t>5000万以上</w:t>
      </w:r>
      <w:r w:rsidR="005447FE" w:rsidRPr="00DB0968">
        <w:rPr>
          <w:rFonts w:asciiTheme="minorEastAsia" w:hAnsiTheme="minorEastAsia" w:cs="黑体" w:hint="eastAsia"/>
          <w:color w:val="000000"/>
          <w:kern w:val="0"/>
          <w:sz w:val="32"/>
          <w:szCs w:val="32"/>
        </w:rPr>
        <w:t>联网直报项目</w:t>
      </w:r>
      <w:r w:rsidRPr="00DB0968">
        <w:rPr>
          <w:rFonts w:asciiTheme="minorEastAsia" w:hAnsiTheme="minorEastAsia" w:cs="黑体" w:hint="eastAsia"/>
          <w:color w:val="000000"/>
          <w:kern w:val="0"/>
          <w:sz w:val="32"/>
          <w:szCs w:val="32"/>
        </w:rPr>
        <w:t>，年度指标值：</w:t>
      </w:r>
      <w:r w:rsidR="005447FE" w:rsidRPr="00DB0968">
        <w:rPr>
          <w:rFonts w:asciiTheme="minorEastAsia" w:hAnsiTheme="minorEastAsia" w:cs="黑体" w:hint="eastAsia"/>
          <w:color w:val="000000"/>
          <w:kern w:val="0"/>
          <w:sz w:val="32"/>
          <w:szCs w:val="32"/>
        </w:rPr>
        <w:t>30</w:t>
      </w:r>
      <w:r w:rsidRPr="00DB0968">
        <w:rPr>
          <w:rFonts w:asciiTheme="minorEastAsia" w:hAnsiTheme="minorEastAsia" w:cs="黑体" w:hint="eastAsia"/>
          <w:color w:val="000000"/>
          <w:kern w:val="0"/>
          <w:sz w:val="32"/>
          <w:szCs w:val="32"/>
        </w:rPr>
        <w:t>，实际完成值：</w:t>
      </w:r>
      <w:r w:rsidR="005447FE" w:rsidRPr="00DB0968">
        <w:rPr>
          <w:rFonts w:asciiTheme="minorEastAsia" w:hAnsiTheme="minorEastAsia" w:cs="黑体" w:hint="eastAsia"/>
          <w:color w:val="000000"/>
          <w:kern w:val="0"/>
          <w:sz w:val="32"/>
          <w:szCs w:val="32"/>
        </w:rPr>
        <w:t>30</w:t>
      </w:r>
      <w:r w:rsidRPr="00DB0968">
        <w:rPr>
          <w:rFonts w:asciiTheme="minorEastAsia" w:hAnsiTheme="minorEastAsia" w:cs="黑体" w:hint="eastAsia"/>
          <w:color w:val="000000"/>
          <w:kern w:val="0"/>
          <w:sz w:val="32"/>
          <w:szCs w:val="32"/>
        </w:rPr>
        <w:t>，分值10分，得分10分。</w:t>
      </w:r>
    </w:p>
    <w:p w:rsidR="005447FE" w:rsidRPr="00DB0968" w:rsidRDefault="00F6605D" w:rsidP="005447FE">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雁峰区5000万元以上联网直报项目共计</w:t>
      </w:r>
      <w:r w:rsidR="005447FE" w:rsidRPr="00DB0968">
        <w:rPr>
          <w:rFonts w:asciiTheme="minorEastAsia" w:hAnsiTheme="minorEastAsia" w:cs="黑体" w:hint="eastAsia"/>
          <w:color w:val="000000"/>
          <w:kern w:val="0"/>
          <w:sz w:val="32"/>
          <w:szCs w:val="32"/>
        </w:rPr>
        <w:t>30</w:t>
      </w:r>
      <w:r w:rsidRPr="00DB0968">
        <w:rPr>
          <w:rFonts w:asciiTheme="minorEastAsia" w:hAnsiTheme="minorEastAsia" w:cs="黑体"/>
          <w:color w:val="000000"/>
          <w:kern w:val="0"/>
          <w:sz w:val="32"/>
          <w:szCs w:val="32"/>
        </w:rPr>
        <w:t>个，</w:t>
      </w:r>
      <w:r w:rsidR="005447FE" w:rsidRPr="00DB0968">
        <w:rPr>
          <w:rFonts w:asciiTheme="minorEastAsia" w:hAnsiTheme="minorEastAsia" w:cs="黑体" w:hint="eastAsia"/>
          <w:color w:val="000000"/>
          <w:kern w:val="0"/>
          <w:sz w:val="32"/>
          <w:szCs w:val="32"/>
        </w:rPr>
        <w:t>累计完成投资31.86亿元，同比增长116.17%。</w:t>
      </w:r>
    </w:p>
    <w:p w:rsidR="00BE4FC1" w:rsidRPr="00DB0968" w:rsidRDefault="00F6605D">
      <w:pPr>
        <w:spacing w:line="58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2、省重点工程建设项目</w:t>
      </w:r>
      <w:r w:rsidR="004C2666" w:rsidRPr="00DB0968">
        <w:rPr>
          <w:rFonts w:asciiTheme="minorEastAsia" w:hAnsiTheme="minorEastAsia" w:cs="黑体" w:hint="eastAsia"/>
          <w:color w:val="000000"/>
          <w:kern w:val="0"/>
          <w:sz w:val="32"/>
          <w:szCs w:val="32"/>
        </w:rPr>
        <w:t>，年度指标值：</w:t>
      </w:r>
      <w:r w:rsidRPr="00DB0968">
        <w:rPr>
          <w:rFonts w:asciiTheme="minorEastAsia" w:hAnsiTheme="minorEastAsia" w:cs="黑体" w:hint="eastAsia"/>
          <w:color w:val="000000"/>
          <w:kern w:val="0"/>
          <w:sz w:val="32"/>
          <w:szCs w:val="32"/>
        </w:rPr>
        <w:t>投资率≥90%</w:t>
      </w:r>
      <w:r w:rsidR="004C2666" w:rsidRPr="00DB0968">
        <w:rPr>
          <w:rFonts w:asciiTheme="minorEastAsia" w:hAnsiTheme="minorEastAsia" w:cs="黑体" w:hint="eastAsia"/>
          <w:color w:val="000000"/>
          <w:kern w:val="0"/>
          <w:sz w:val="32"/>
          <w:szCs w:val="32"/>
        </w:rPr>
        <w:t>，实际完成值：</w:t>
      </w:r>
      <w:r w:rsidR="005447FE" w:rsidRPr="00DB0968">
        <w:rPr>
          <w:rFonts w:asciiTheme="minorEastAsia" w:hAnsiTheme="minorEastAsia" w:cs="黑体" w:hint="eastAsia"/>
          <w:color w:val="000000"/>
          <w:kern w:val="0"/>
          <w:sz w:val="32"/>
          <w:szCs w:val="32"/>
        </w:rPr>
        <w:t>98.76</w:t>
      </w:r>
      <w:r w:rsidRPr="00DB0968">
        <w:rPr>
          <w:rFonts w:asciiTheme="minorEastAsia" w:hAnsiTheme="minorEastAsia" w:cs="黑体" w:hint="eastAsia"/>
          <w:color w:val="000000"/>
          <w:kern w:val="0"/>
          <w:sz w:val="32"/>
          <w:szCs w:val="32"/>
        </w:rPr>
        <w:t>%</w:t>
      </w:r>
      <w:r w:rsidR="004C2666" w:rsidRPr="00DB0968">
        <w:rPr>
          <w:rFonts w:asciiTheme="minorEastAsia" w:hAnsiTheme="minorEastAsia" w:cs="黑体" w:hint="eastAsia"/>
          <w:color w:val="000000"/>
          <w:kern w:val="0"/>
          <w:sz w:val="32"/>
          <w:szCs w:val="32"/>
        </w:rPr>
        <w:t>，分值10分，得分10分。</w:t>
      </w:r>
    </w:p>
    <w:p w:rsidR="005447FE" w:rsidRPr="00DB0968" w:rsidRDefault="005447FE" w:rsidP="005447FE">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承诺完成投资32.31亿元，全年累计完成投资31.91亿元，投资完成</w:t>
      </w:r>
      <w:r w:rsidRPr="00DB0968">
        <w:rPr>
          <w:rFonts w:asciiTheme="minorEastAsia" w:hAnsiTheme="minorEastAsia" w:cs="黑体" w:hint="eastAsia"/>
          <w:color w:val="000000"/>
          <w:kern w:val="0"/>
          <w:sz w:val="32"/>
          <w:szCs w:val="32"/>
        </w:rPr>
        <w:lastRenderedPageBreak/>
        <w:t>率98.76%。12月我区在全市“五制一平台”专项考核中，五城区中排名第三。</w:t>
      </w:r>
    </w:p>
    <w:p w:rsidR="00F6605D" w:rsidRPr="00DB0968" w:rsidRDefault="004C2666" w:rsidP="00F6605D">
      <w:pPr>
        <w:spacing w:line="58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3、 </w:t>
      </w:r>
      <w:r w:rsidR="00F6605D" w:rsidRPr="00DB0968">
        <w:rPr>
          <w:rFonts w:asciiTheme="minorEastAsia" w:hAnsiTheme="minorEastAsia" w:cs="黑体" w:hint="eastAsia"/>
          <w:color w:val="000000"/>
          <w:kern w:val="0"/>
          <w:sz w:val="32"/>
          <w:szCs w:val="32"/>
        </w:rPr>
        <w:t>市级重点项目17个</w:t>
      </w:r>
      <w:r w:rsidRPr="00DB0968">
        <w:rPr>
          <w:rFonts w:asciiTheme="minorEastAsia" w:hAnsiTheme="minorEastAsia" w:cs="黑体" w:hint="eastAsia"/>
          <w:color w:val="000000"/>
          <w:kern w:val="0"/>
          <w:sz w:val="32"/>
          <w:szCs w:val="32"/>
        </w:rPr>
        <w:t>，年度指标值：</w:t>
      </w:r>
      <w:r w:rsidR="00F6605D" w:rsidRPr="00DB0968">
        <w:rPr>
          <w:rFonts w:asciiTheme="minorEastAsia" w:hAnsiTheme="minorEastAsia" w:cs="黑体" w:hint="eastAsia"/>
          <w:color w:val="000000"/>
          <w:kern w:val="0"/>
          <w:sz w:val="32"/>
          <w:szCs w:val="32"/>
        </w:rPr>
        <w:t>开工率≥90%</w:t>
      </w:r>
      <w:r w:rsidRPr="00DB0968">
        <w:rPr>
          <w:rFonts w:asciiTheme="minorEastAsia" w:hAnsiTheme="minorEastAsia" w:cs="黑体" w:hint="eastAsia"/>
          <w:color w:val="000000"/>
          <w:kern w:val="0"/>
          <w:sz w:val="32"/>
          <w:szCs w:val="32"/>
        </w:rPr>
        <w:t>，实际完成值：</w:t>
      </w:r>
      <w:r w:rsidR="005447FE" w:rsidRPr="00DB0968">
        <w:rPr>
          <w:rFonts w:asciiTheme="minorEastAsia" w:hAnsiTheme="minorEastAsia" w:cs="黑体" w:hint="eastAsia"/>
          <w:color w:val="000000"/>
          <w:kern w:val="0"/>
          <w:sz w:val="32"/>
          <w:szCs w:val="32"/>
        </w:rPr>
        <w:t>90.47%</w:t>
      </w:r>
      <w:r w:rsidRPr="00DB0968">
        <w:rPr>
          <w:rFonts w:asciiTheme="minorEastAsia" w:hAnsiTheme="minorEastAsia" w:cs="黑体" w:hint="eastAsia"/>
          <w:color w:val="000000"/>
          <w:kern w:val="0"/>
          <w:sz w:val="32"/>
          <w:szCs w:val="32"/>
        </w:rPr>
        <w:t>，分值10分，得分10分。</w:t>
      </w:r>
    </w:p>
    <w:p w:rsidR="00C010C4" w:rsidRPr="00DB0968" w:rsidRDefault="005447FE" w:rsidP="005447FE">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2022年我区省市级重点项目共21个，已开工19个，开工率90.47%；</w:t>
      </w:r>
      <w:r w:rsidRPr="00DB0968">
        <w:rPr>
          <w:rFonts w:asciiTheme="minorEastAsia" w:hAnsiTheme="minorEastAsia" w:cs="黑体"/>
          <w:color w:val="000000"/>
          <w:kern w:val="0"/>
          <w:sz w:val="32"/>
          <w:szCs w:val="32"/>
        </w:rPr>
        <w:t xml:space="preserve"> </w:t>
      </w:r>
    </w:p>
    <w:p w:rsidR="00BE4FC1" w:rsidRPr="00DB0968" w:rsidRDefault="005447FE" w:rsidP="00DB0968">
      <w:pPr>
        <w:pStyle w:val="p0"/>
        <w:autoSpaceDN w:val="0"/>
        <w:spacing w:line="560" w:lineRule="exact"/>
        <w:ind w:firstLineChars="200" w:firstLine="640"/>
        <w:rPr>
          <w:rFonts w:asciiTheme="minorEastAsia" w:hAnsiTheme="minorEastAsia" w:cs="黑体"/>
          <w:color w:val="000000"/>
          <w:sz w:val="32"/>
          <w:szCs w:val="32"/>
        </w:rPr>
      </w:pPr>
      <w:r w:rsidRPr="00DB0968">
        <w:rPr>
          <w:rFonts w:asciiTheme="minorEastAsia" w:hAnsiTheme="minorEastAsia" w:cs="黑体" w:hint="eastAsia"/>
          <w:color w:val="000000"/>
          <w:sz w:val="32"/>
          <w:szCs w:val="32"/>
        </w:rPr>
        <w:t>4</w:t>
      </w:r>
      <w:r w:rsidR="004C2666" w:rsidRPr="00DB0968">
        <w:rPr>
          <w:rFonts w:asciiTheme="minorEastAsia" w:hAnsiTheme="minorEastAsia" w:cs="黑体" w:hint="eastAsia"/>
          <w:color w:val="000000"/>
          <w:sz w:val="32"/>
          <w:szCs w:val="32"/>
        </w:rPr>
        <w:t>、</w:t>
      </w:r>
      <w:r w:rsidR="004C2666" w:rsidRPr="00DB0968">
        <w:rPr>
          <w:rFonts w:asciiTheme="minorEastAsia" w:hAnsiTheme="minorEastAsia" w:cs="黑体"/>
          <w:color w:val="000000"/>
          <w:sz w:val="32"/>
          <w:szCs w:val="32"/>
        </w:rPr>
        <w:t>资金使用合规性，年度指标值：合规，实际完成值：合规，分值</w:t>
      </w:r>
      <w:r w:rsidR="004C2666" w:rsidRPr="00DB0968">
        <w:rPr>
          <w:rFonts w:asciiTheme="minorEastAsia" w:hAnsiTheme="minorEastAsia" w:cs="黑体" w:hint="eastAsia"/>
          <w:color w:val="000000"/>
          <w:sz w:val="32"/>
          <w:szCs w:val="32"/>
        </w:rPr>
        <w:t>5</w:t>
      </w:r>
      <w:r w:rsidR="004C2666" w:rsidRPr="00DB0968">
        <w:rPr>
          <w:rFonts w:asciiTheme="minorEastAsia" w:hAnsiTheme="minorEastAsia" w:cs="黑体"/>
          <w:color w:val="000000"/>
          <w:sz w:val="32"/>
          <w:szCs w:val="32"/>
        </w:rPr>
        <w:t>分，得分</w:t>
      </w:r>
      <w:r w:rsidR="004C2666" w:rsidRPr="00DB0968">
        <w:rPr>
          <w:rFonts w:asciiTheme="minorEastAsia" w:hAnsiTheme="minorEastAsia" w:cs="黑体" w:hint="eastAsia"/>
          <w:color w:val="000000"/>
          <w:sz w:val="32"/>
          <w:szCs w:val="32"/>
        </w:rPr>
        <w:t>5</w:t>
      </w:r>
      <w:r w:rsidR="004C2666" w:rsidRPr="00DB0968">
        <w:rPr>
          <w:rFonts w:asciiTheme="minorEastAsia" w:hAnsiTheme="minorEastAsia" w:cs="黑体"/>
          <w:color w:val="000000"/>
          <w:sz w:val="32"/>
          <w:szCs w:val="32"/>
        </w:rPr>
        <w:t>分。</w:t>
      </w:r>
    </w:p>
    <w:p w:rsidR="00BE4FC1" w:rsidRPr="00DB0968" w:rsidRDefault="00C010C4">
      <w:pPr>
        <w:spacing w:before="202" w:line="341" w:lineRule="auto"/>
        <w:ind w:left="22"/>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w:t>
      </w:r>
      <w:r w:rsidR="004C2666" w:rsidRPr="00DB0968">
        <w:rPr>
          <w:rFonts w:asciiTheme="minorEastAsia" w:hAnsiTheme="minorEastAsia" w:cs="黑体"/>
          <w:color w:val="000000"/>
          <w:kern w:val="0"/>
          <w:sz w:val="32"/>
          <w:szCs w:val="32"/>
        </w:rPr>
        <w:t>全面实施预算绩效管理，合理安排预算收支；预算资金使用符合国家财经法规和单位财务管理制度规定，资金支付有完整的审批流程和手续；资金使用无截留、挤占、挪用、虚列支出等情况。</w:t>
      </w:r>
    </w:p>
    <w:p w:rsidR="00BE4FC1" w:rsidRPr="00DB0968" w:rsidRDefault="005447FE">
      <w:pPr>
        <w:spacing w:before="20" w:line="232" w:lineRule="auto"/>
        <w:ind w:left="669"/>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 xml:space="preserve"> </w:t>
      </w:r>
      <w:r w:rsidR="004C2666" w:rsidRPr="00DB0968">
        <w:rPr>
          <w:rFonts w:asciiTheme="minorEastAsia" w:hAnsiTheme="minorEastAsia" w:cs="黑体"/>
          <w:color w:val="000000"/>
          <w:kern w:val="0"/>
          <w:sz w:val="32"/>
          <w:szCs w:val="32"/>
        </w:rPr>
        <w:t>(三)效益指标(分值30分，得30分，未扣分)</w:t>
      </w:r>
    </w:p>
    <w:p w:rsidR="00C010C4" w:rsidRPr="00DB0968" w:rsidRDefault="004C2666" w:rsidP="00C010C4">
      <w:pPr>
        <w:spacing w:before="7" w:line="347" w:lineRule="auto"/>
        <w:ind w:left="25" w:firstLine="655"/>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1、</w:t>
      </w:r>
      <w:r w:rsidR="005447FE" w:rsidRPr="00DB0968">
        <w:rPr>
          <w:rFonts w:asciiTheme="minorEastAsia" w:hAnsiTheme="minorEastAsia" w:cs="黑体" w:hint="eastAsia"/>
          <w:color w:val="000000"/>
          <w:kern w:val="0"/>
          <w:sz w:val="32"/>
          <w:szCs w:val="32"/>
        </w:rPr>
        <w:t>完善工作机制</w:t>
      </w:r>
      <w:r w:rsidRPr="00DB0968">
        <w:rPr>
          <w:rFonts w:asciiTheme="minorEastAsia" w:hAnsiTheme="minorEastAsia" w:cs="黑体"/>
          <w:color w:val="000000"/>
          <w:kern w:val="0"/>
          <w:sz w:val="32"/>
          <w:szCs w:val="32"/>
        </w:rPr>
        <w:t>，年度指标值：</w:t>
      </w:r>
      <w:r w:rsidR="005447FE" w:rsidRPr="00DB0968">
        <w:rPr>
          <w:rFonts w:asciiTheme="minorEastAsia" w:hAnsiTheme="minorEastAsia" w:cs="黑体" w:hint="eastAsia"/>
          <w:color w:val="000000"/>
          <w:kern w:val="0"/>
          <w:sz w:val="32"/>
          <w:szCs w:val="32"/>
        </w:rPr>
        <w:t>出台相关政策</w:t>
      </w:r>
      <w:r w:rsidRPr="00DB0968">
        <w:rPr>
          <w:rFonts w:asciiTheme="minorEastAsia" w:hAnsiTheme="minorEastAsia" w:cs="黑体"/>
          <w:color w:val="000000"/>
          <w:kern w:val="0"/>
          <w:sz w:val="32"/>
          <w:szCs w:val="32"/>
        </w:rPr>
        <w:t>，实际完成值：</w:t>
      </w:r>
      <w:r w:rsidR="00C010C4" w:rsidRPr="00DB0968">
        <w:rPr>
          <w:rFonts w:asciiTheme="minorEastAsia" w:hAnsiTheme="minorEastAsia" w:cs="黑体" w:hint="eastAsia"/>
          <w:color w:val="000000"/>
          <w:kern w:val="0"/>
          <w:sz w:val="32"/>
          <w:szCs w:val="32"/>
        </w:rPr>
        <w:t>按规定完成</w:t>
      </w:r>
      <w:r w:rsidRPr="00DB0968">
        <w:rPr>
          <w:rFonts w:asciiTheme="minorEastAsia" w:hAnsiTheme="minorEastAsia" w:cs="黑体"/>
          <w:color w:val="000000"/>
          <w:kern w:val="0"/>
          <w:sz w:val="32"/>
          <w:szCs w:val="32"/>
        </w:rPr>
        <w:t>，分值</w:t>
      </w:r>
      <w:r w:rsidR="00C010C4" w:rsidRPr="00DB0968">
        <w:rPr>
          <w:rFonts w:asciiTheme="minorEastAsia" w:hAnsiTheme="minorEastAsia" w:cs="黑体" w:hint="eastAsia"/>
          <w:color w:val="000000"/>
          <w:kern w:val="0"/>
          <w:sz w:val="32"/>
          <w:szCs w:val="32"/>
        </w:rPr>
        <w:t>10</w:t>
      </w:r>
      <w:r w:rsidRPr="00DB0968">
        <w:rPr>
          <w:rFonts w:asciiTheme="minorEastAsia" w:hAnsiTheme="minorEastAsia" w:cs="黑体"/>
          <w:color w:val="000000"/>
          <w:kern w:val="0"/>
          <w:sz w:val="32"/>
          <w:szCs w:val="32"/>
        </w:rPr>
        <w:t>分，得分</w:t>
      </w:r>
      <w:r w:rsidR="00C010C4" w:rsidRPr="00DB0968">
        <w:rPr>
          <w:rFonts w:asciiTheme="minorEastAsia" w:hAnsiTheme="minorEastAsia" w:cs="黑体" w:hint="eastAsia"/>
          <w:color w:val="000000"/>
          <w:kern w:val="0"/>
          <w:sz w:val="32"/>
          <w:szCs w:val="32"/>
        </w:rPr>
        <w:t>10</w:t>
      </w:r>
      <w:r w:rsidRPr="00DB0968">
        <w:rPr>
          <w:rFonts w:asciiTheme="minorEastAsia" w:hAnsiTheme="minorEastAsia" w:cs="黑体"/>
          <w:color w:val="000000"/>
          <w:kern w:val="0"/>
          <w:sz w:val="32"/>
          <w:szCs w:val="32"/>
        </w:rPr>
        <w:t>分。</w:t>
      </w:r>
    </w:p>
    <w:p w:rsidR="005447FE" w:rsidRPr="00DB0968" w:rsidRDefault="005447FE" w:rsidP="005447FE">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出台《雁峰区推进重大项目“五制一讲评”管理实施细则》、《2022年雁峰区重点建设项目实施计划（第一批）》等文件</w:t>
      </w:r>
      <w:r w:rsidR="0090255D" w:rsidRPr="00DB0968">
        <w:rPr>
          <w:rFonts w:asciiTheme="minorEastAsia" w:hAnsiTheme="minorEastAsia" w:cs="黑体" w:hint="eastAsia"/>
          <w:color w:val="000000"/>
          <w:kern w:val="0"/>
          <w:sz w:val="32"/>
          <w:szCs w:val="32"/>
        </w:rPr>
        <w:t>。</w:t>
      </w:r>
    </w:p>
    <w:p w:rsidR="00C010C4" w:rsidRPr="00DB0968" w:rsidRDefault="00C010C4" w:rsidP="00C010C4">
      <w:pPr>
        <w:spacing w:before="7" w:line="347" w:lineRule="auto"/>
        <w:ind w:left="25" w:firstLine="655"/>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2、</w:t>
      </w:r>
      <w:r w:rsidR="0090255D" w:rsidRPr="00DB0968">
        <w:rPr>
          <w:rFonts w:asciiTheme="minorEastAsia" w:hAnsiTheme="minorEastAsia" w:cs="黑体" w:hint="eastAsia"/>
          <w:color w:val="000000"/>
          <w:kern w:val="0"/>
          <w:sz w:val="32"/>
          <w:szCs w:val="32"/>
        </w:rPr>
        <w:t>调动项目</w:t>
      </w:r>
      <w:r w:rsidRPr="00DB0968">
        <w:rPr>
          <w:rFonts w:asciiTheme="minorEastAsia" w:hAnsiTheme="minorEastAsia" w:cs="黑体" w:hint="eastAsia"/>
          <w:color w:val="000000"/>
          <w:kern w:val="0"/>
          <w:sz w:val="32"/>
          <w:szCs w:val="32"/>
        </w:rPr>
        <w:t>发布项目信息周报</w:t>
      </w:r>
      <w:r w:rsidR="004C2666" w:rsidRPr="00DB0968">
        <w:rPr>
          <w:rFonts w:asciiTheme="minorEastAsia" w:hAnsiTheme="minorEastAsia" w:cs="黑体" w:hint="eastAsia"/>
          <w:color w:val="000000"/>
          <w:kern w:val="0"/>
          <w:sz w:val="32"/>
          <w:szCs w:val="32"/>
        </w:rPr>
        <w:t>，年度指标值：</w:t>
      </w:r>
      <w:r w:rsidRPr="00DB0968">
        <w:rPr>
          <w:rFonts w:asciiTheme="minorEastAsia" w:hAnsiTheme="minorEastAsia" w:cs="黑体" w:hint="eastAsia"/>
          <w:color w:val="000000"/>
          <w:kern w:val="0"/>
          <w:sz w:val="32"/>
          <w:szCs w:val="32"/>
        </w:rPr>
        <w:t>提升项目推进力度</w:t>
      </w:r>
      <w:r w:rsidR="004C2666" w:rsidRPr="00DB0968">
        <w:rPr>
          <w:rFonts w:asciiTheme="minorEastAsia" w:hAnsiTheme="minorEastAsia" w:cs="黑体" w:hint="eastAsia"/>
          <w:color w:val="000000"/>
          <w:kern w:val="0"/>
          <w:sz w:val="32"/>
          <w:szCs w:val="32"/>
        </w:rPr>
        <w:t>，实际完成值：已完成，</w:t>
      </w:r>
      <w:r w:rsidR="004C2666" w:rsidRPr="00DB0968">
        <w:rPr>
          <w:rFonts w:asciiTheme="minorEastAsia" w:hAnsiTheme="minorEastAsia" w:cs="黑体"/>
          <w:color w:val="000000"/>
          <w:kern w:val="0"/>
          <w:sz w:val="32"/>
          <w:szCs w:val="32"/>
        </w:rPr>
        <w:t>分值</w:t>
      </w:r>
      <w:r w:rsidR="004C2666"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color w:val="000000"/>
          <w:kern w:val="0"/>
          <w:sz w:val="32"/>
          <w:szCs w:val="32"/>
        </w:rPr>
        <w:t>分，得分</w:t>
      </w:r>
      <w:r w:rsidR="004C2666"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color w:val="000000"/>
          <w:kern w:val="0"/>
          <w:sz w:val="32"/>
          <w:szCs w:val="32"/>
        </w:rPr>
        <w:t>分。</w:t>
      </w:r>
    </w:p>
    <w:p w:rsidR="00C010C4" w:rsidRPr="00DB0968" w:rsidRDefault="0090255D" w:rsidP="0090255D">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发布重点项目推进周报42期，建设动态42期，季度通报2期，周通报7期</w:t>
      </w:r>
      <w:r w:rsidR="00C010C4" w:rsidRPr="00DB0968">
        <w:rPr>
          <w:rFonts w:asciiTheme="minorEastAsia" w:hAnsiTheme="minorEastAsia" w:cs="黑体"/>
          <w:color w:val="000000"/>
          <w:kern w:val="0"/>
          <w:sz w:val="32"/>
          <w:szCs w:val="32"/>
        </w:rPr>
        <w:t>。</w:t>
      </w:r>
    </w:p>
    <w:p w:rsidR="00BE4FC1" w:rsidRPr="00DB0968" w:rsidRDefault="00C010C4" w:rsidP="00C010C4">
      <w:pPr>
        <w:spacing w:before="5" w:line="345" w:lineRule="auto"/>
        <w:ind w:right="9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 xml:space="preserve">    3、</w:t>
      </w:r>
      <w:r w:rsidR="0090255D" w:rsidRPr="00DB0968">
        <w:rPr>
          <w:rFonts w:asciiTheme="minorEastAsia" w:hAnsiTheme="minorEastAsia" w:cs="黑体" w:hint="eastAsia"/>
          <w:color w:val="000000"/>
          <w:kern w:val="0"/>
          <w:sz w:val="32"/>
          <w:szCs w:val="32"/>
        </w:rPr>
        <w:t>落实挂图作战</w:t>
      </w:r>
      <w:r w:rsidR="004C2666" w:rsidRPr="00DB0968">
        <w:rPr>
          <w:rFonts w:asciiTheme="minorEastAsia" w:hAnsiTheme="minorEastAsia" w:cs="黑体" w:hint="eastAsia"/>
          <w:color w:val="000000"/>
          <w:kern w:val="0"/>
          <w:sz w:val="32"/>
          <w:szCs w:val="32"/>
        </w:rPr>
        <w:t>，年度指标值：</w:t>
      </w:r>
      <w:r w:rsidRPr="00DB0968">
        <w:rPr>
          <w:rFonts w:asciiTheme="minorEastAsia" w:hAnsiTheme="minorEastAsia" w:cs="黑体" w:hint="eastAsia"/>
          <w:color w:val="000000"/>
          <w:kern w:val="0"/>
          <w:sz w:val="32"/>
          <w:szCs w:val="32"/>
        </w:rPr>
        <w:t>按规定完成</w:t>
      </w:r>
      <w:r w:rsidR="004C2666" w:rsidRPr="00DB0968">
        <w:rPr>
          <w:rFonts w:asciiTheme="minorEastAsia" w:hAnsiTheme="minorEastAsia" w:cs="黑体" w:hint="eastAsia"/>
          <w:color w:val="000000"/>
          <w:kern w:val="0"/>
          <w:sz w:val="32"/>
          <w:szCs w:val="32"/>
        </w:rPr>
        <w:t>，实际完成值：</w:t>
      </w:r>
      <w:r w:rsidRPr="00DB0968">
        <w:rPr>
          <w:rFonts w:asciiTheme="minorEastAsia" w:hAnsiTheme="minorEastAsia" w:cs="黑体" w:hint="eastAsia"/>
          <w:color w:val="000000"/>
          <w:kern w:val="0"/>
          <w:sz w:val="32"/>
          <w:szCs w:val="32"/>
        </w:rPr>
        <w:t>按规定完成</w:t>
      </w:r>
      <w:r w:rsidR="004C2666" w:rsidRPr="00DB0968">
        <w:rPr>
          <w:rFonts w:asciiTheme="minorEastAsia" w:hAnsiTheme="minorEastAsia" w:cs="黑体" w:hint="eastAsia"/>
          <w:color w:val="000000"/>
          <w:kern w:val="0"/>
          <w:sz w:val="32"/>
          <w:szCs w:val="32"/>
        </w:rPr>
        <w:t>，</w:t>
      </w:r>
      <w:r w:rsidR="004C2666" w:rsidRPr="00DB0968">
        <w:rPr>
          <w:rFonts w:asciiTheme="minorEastAsia" w:hAnsiTheme="minorEastAsia" w:cs="黑体"/>
          <w:color w:val="000000"/>
          <w:kern w:val="0"/>
          <w:sz w:val="32"/>
          <w:szCs w:val="32"/>
        </w:rPr>
        <w:t>分值</w:t>
      </w:r>
      <w:r w:rsidR="004C2666"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color w:val="000000"/>
          <w:kern w:val="0"/>
          <w:sz w:val="32"/>
          <w:szCs w:val="32"/>
        </w:rPr>
        <w:t>分，得分</w:t>
      </w:r>
      <w:r w:rsidR="004C2666"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color w:val="000000"/>
          <w:kern w:val="0"/>
          <w:sz w:val="32"/>
          <w:szCs w:val="32"/>
        </w:rPr>
        <w:t>分。</w:t>
      </w:r>
    </w:p>
    <w:p w:rsidR="0090255D" w:rsidRPr="00DB0968" w:rsidRDefault="0090255D" w:rsidP="0090255D">
      <w:pPr>
        <w:spacing w:line="580" w:lineRule="exact"/>
        <w:ind w:firstLineChars="200" w:firstLine="640"/>
        <w:jc w:val="left"/>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筹备项目设计会审会4次，区委书记调度项目20次，区长调度项目22次，有效的解决了大数据产业园、跃林路等项目的推进难题。</w:t>
      </w:r>
    </w:p>
    <w:p w:rsidR="00BE4FC1" w:rsidRPr="00DB0968" w:rsidRDefault="004C2666" w:rsidP="00DB0968">
      <w:pPr>
        <w:spacing w:line="580" w:lineRule="exact"/>
        <w:ind w:firstLineChars="200" w:firstLine="640"/>
        <w:jc w:val="left"/>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4、</w:t>
      </w:r>
      <w:r w:rsidR="00C010C4" w:rsidRPr="00DB0968">
        <w:rPr>
          <w:rFonts w:asciiTheme="minorEastAsia" w:hAnsiTheme="minorEastAsia" w:cs="黑体" w:hint="eastAsia"/>
          <w:color w:val="000000"/>
          <w:kern w:val="0"/>
          <w:sz w:val="32"/>
          <w:szCs w:val="32"/>
        </w:rPr>
        <w:t>优化</w:t>
      </w:r>
      <w:r w:rsidR="0090255D" w:rsidRPr="00DB0968">
        <w:rPr>
          <w:rFonts w:asciiTheme="minorEastAsia" w:hAnsiTheme="minorEastAsia" w:cs="黑体" w:hint="eastAsia"/>
          <w:color w:val="000000"/>
          <w:kern w:val="0"/>
          <w:sz w:val="32"/>
          <w:szCs w:val="32"/>
        </w:rPr>
        <w:t>营商环境</w:t>
      </w:r>
      <w:r w:rsidRPr="00DB0968">
        <w:rPr>
          <w:rFonts w:asciiTheme="minorEastAsia" w:hAnsiTheme="minorEastAsia" w:cs="黑体" w:hint="eastAsia"/>
          <w:color w:val="000000"/>
          <w:kern w:val="0"/>
          <w:sz w:val="32"/>
          <w:szCs w:val="32"/>
        </w:rPr>
        <w:t>，年度指标值：</w:t>
      </w:r>
      <w:r w:rsidR="00C010C4" w:rsidRPr="00DB0968">
        <w:rPr>
          <w:rFonts w:asciiTheme="minorEastAsia" w:hAnsiTheme="minorEastAsia" w:cs="黑体" w:hint="eastAsia"/>
          <w:color w:val="000000"/>
          <w:kern w:val="0"/>
          <w:sz w:val="32"/>
          <w:szCs w:val="32"/>
        </w:rPr>
        <w:t>办好事、办实事</w:t>
      </w:r>
      <w:r w:rsidRPr="00DB0968">
        <w:rPr>
          <w:rFonts w:asciiTheme="minorEastAsia" w:hAnsiTheme="minorEastAsia" w:cs="黑体" w:hint="eastAsia"/>
          <w:color w:val="000000"/>
          <w:kern w:val="0"/>
          <w:sz w:val="32"/>
          <w:szCs w:val="32"/>
        </w:rPr>
        <w:t>，实际完成值：按规定完成，分值5分，得分5分。</w:t>
      </w:r>
    </w:p>
    <w:p w:rsidR="00845251" w:rsidRPr="00DB0968" w:rsidRDefault="00845251" w:rsidP="00845251">
      <w:pPr>
        <w:spacing w:line="600" w:lineRule="exact"/>
        <w:ind w:firstLineChars="200" w:firstLine="640"/>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lastRenderedPageBreak/>
        <w:t>同时在项目协调工作小组的大量努力下，成功协调金杯、市土地储备中心、中房公司三方，推动该项目完成国土证办理；恒飞项目二期土地通过市重点办协调，通过十次反复修改完善，十一月底土地报批手续已完成，年底顺利启动三通一平；跃林路、前进路一期国有土地上房屋拆迁工作圆满完成，得到市城市化办高度肯定并被通报表扬；中房·美丽白沙项目征拆全部完成；为各项目制定安置房遗留问题处置意见并通过区政府常务会议审定，通过回购商品房的运作模式，已完成衡缘、五星村、欧家町路三个项目的安置工作。</w:t>
      </w:r>
    </w:p>
    <w:p w:rsidR="00BE4FC1" w:rsidRPr="00DB0968" w:rsidRDefault="00C010C4">
      <w:pPr>
        <w:spacing w:before="3" w:line="345" w:lineRule="auto"/>
        <w:ind w:left="29" w:firstLine="634"/>
        <w:rPr>
          <w:rFonts w:asciiTheme="minorEastAsia" w:hAnsiTheme="minorEastAsia" w:cs="黑体"/>
          <w:color w:val="000000"/>
          <w:kern w:val="0"/>
          <w:sz w:val="32"/>
          <w:szCs w:val="32"/>
        </w:rPr>
      </w:pPr>
      <w:r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hint="eastAsia"/>
          <w:color w:val="000000"/>
          <w:kern w:val="0"/>
          <w:sz w:val="32"/>
          <w:szCs w:val="32"/>
        </w:rPr>
        <w:t>、</w:t>
      </w:r>
      <w:r w:rsidR="004C2666" w:rsidRPr="00DB0968">
        <w:rPr>
          <w:rFonts w:asciiTheme="minorEastAsia" w:hAnsiTheme="minorEastAsia" w:cs="黑体"/>
          <w:color w:val="000000"/>
          <w:kern w:val="0"/>
          <w:sz w:val="32"/>
          <w:szCs w:val="32"/>
        </w:rPr>
        <w:t>预决算信息公开，年度指标值：按要求公开，实际完成值：已按照规定内容在规定时限内公开预决算信息，分值</w:t>
      </w:r>
      <w:r w:rsidR="004C2666"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color w:val="000000"/>
          <w:kern w:val="0"/>
          <w:sz w:val="32"/>
          <w:szCs w:val="32"/>
        </w:rPr>
        <w:t>分，得分</w:t>
      </w:r>
      <w:r w:rsidR="004C2666" w:rsidRPr="00DB0968">
        <w:rPr>
          <w:rFonts w:asciiTheme="minorEastAsia" w:hAnsiTheme="minorEastAsia" w:cs="黑体" w:hint="eastAsia"/>
          <w:color w:val="000000"/>
          <w:kern w:val="0"/>
          <w:sz w:val="32"/>
          <w:szCs w:val="32"/>
        </w:rPr>
        <w:t>5</w:t>
      </w:r>
      <w:r w:rsidR="004C2666" w:rsidRPr="00DB0968">
        <w:rPr>
          <w:rFonts w:asciiTheme="minorEastAsia" w:hAnsiTheme="minorEastAsia" w:cs="黑体"/>
          <w:color w:val="000000"/>
          <w:kern w:val="0"/>
          <w:sz w:val="32"/>
          <w:szCs w:val="32"/>
        </w:rPr>
        <w:t>分。</w:t>
      </w:r>
    </w:p>
    <w:p w:rsidR="00BE4FC1" w:rsidRPr="00DB0968" w:rsidRDefault="004C2666">
      <w:pPr>
        <w:spacing w:line="232" w:lineRule="auto"/>
        <w:ind w:left="508"/>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 xml:space="preserve"> (四)满意度指标(分值10分，得10分，未扣分)</w:t>
      </w:r>
    </w:p>
    <w:p w:rsidR="00BE4FC1" w:rsidRPr="00DB0968" w:rsidRDefault="004C2666">
      <w:pPr>
        <w:spacing w:before="6" w:line="346" w:lineRule="auto"/>
        <w:ind w:left="95" w:right="166" w:firstLine="597"/>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项目业主、企业</w:t>
      </w:r>
      <w:r w:rsidRPr="00DB0968">
        <w:rPr>
          <w:rFonts w:asciiTheme="minorEastAsia" w:hAnsiTheme="minorEastAsia" w:cs="黑体" w:hint="eastAsia"/>
          <w:color w:val="000000"/>
          <w:kern w:val="0"/>
          <w:sz w:val="32"/>
          <w:szCs w:val="32"/>
        </w:rPr>
        <w:t>满意度</w:t>
      </w:r>
      <w:r w:rsidRPr="00DB0968">
        <w:rPr>
          <w:rFonts w:asciiTheme="minorEastAsia" w:hAnsiTheme="minorEastAsia" w:cs="黑体"/>
          <w:color w:val="000000"/>
          <w:kern w:val="0"/>
          <w:sz w:val="32"/>
          <w:szCs w:val="32"/>
        </w:rPr>
        <w:t>，年度指标值：≥90%，实际完成值：</w:t>
      </w:r>
      <w:r w:rsidRPr="00DB0968">
        <w:rPr>
          <w:rFonts w:asciiTheme="minorEastAsia" w:hAnsiTheme="minorEastAsia" w:cs="黑体" w:hint="eastAsia"/>
          <w:color w:val="000000"/>
          <w:kern w:val="0"/>
          <w:sz w:val="32"/>
          <w:szCs w:val="32"/>
        </w:rPr>
        <w:t>90</w:t>
      </w:r>
      <w:r w:rsidRPr="00DB0968">
        <w:rPr>
          <w:rFonts w:asciiTheme="minorEastAsia" w:hAnsiTheme="minorEastAsia" w:cs="黑体"/>
          <w:color w:val="000000"/>
          <w:kern w:val="0"/>
          <w:sz w:val="32"/>
          <w:szCs w:val="32"/>
        </w:rPr>
        <w:t>%，分值</w:t>
      </w:r>
      <w:r w:rsidRPr="00DB0968">
        <w:rPr>
          <w:rFonts w:asciiTheme="minorEastAsia" w:hAnsiTheme="minorEastAsia" w:cs="黑体" w:hint="eastAsia"/>
          <w:color w:val="000000"/>
          <w:kern w:val="0"/>
          <w:sz w:val="32"/>
          <w:szCs w:val="32"/>
        </w:rPr>
        <w:t>10</w:t>
      </w:r>
      <w:r w:rsidRPr="00DB0968">
        <w:rPr>
          <w:rFonts w:asciiTheme="minorEastAsia" w:hAnsiTheme="minorEastAsia" w:cs="黑体"/>
          <w:color w:val="000000"/>
          <w:kern w:val="0"/>
          <w:sz w:val="32"/>
          <w:szCs w:val="32"/>
        </w:rPr>
        <w:t>分，得分</w:t>
      </w:r>
      <w:r w:rsidRPr="00DB0968">
        <w:rPr>
          <w:rFonts w:asciiTheme="minorEastAsia" w:hAnsiTheme="minorEastAsia" w:cs="黑体" w:hint="eastAsia"/>
          <w:color w:val="000000"/>
          <w:kern w:val="0"/>
          <w:sz w:val="32"/>
          <w:szCs w:val="32"/>
        </w:rPr>
        <w:t>10</w:t>
      </w:r>
      <w:r w:rsidRPr="00DB0968">
        <w:rPr>
          <w:rFonts w:asciiTheme="minorEastAsia" w:hAnsiTheme="minorEastAsia" w:cs="黑体"/>
          <w:color w:val="000000"/>
          <w:kern w:val="0"/>
          <w:sz w:val="32"/>
          <w:szCs w:val="32"/>
        </w:rPr>
        <w:t>分。</w:t>
      </w:r>
    </w:p>
    <w:p w:rsidR="00BE4FC1" w:rsidRPr="00DB0968" w:rsidRDefault="004C2666">
      <w:pPr>
        <w:spacing w:before="1" w:line="223" w:lineRule="auto"/>
        <w:ind w:left="677"/>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七、存在的问题及原因分析</w:t>
      </w:r>
    </w:p>
    <w:p w:rsidR="00BE4FC1" w:rsidRPr="00DB0968" w:rsidRDefault="004C2666">
      <w:pPr>
        <w:spacing w:before="184" w:line="346" w:lineRule="auto"/>
        <w:ind w:left="36" w:right="47" w:firstLine="654"/>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年初部门预算前瞻性有待进一步加强。年初部门预算编制不够精准，年中</w:t>
      </w:r>
      <w:r w:rsidRPr="00DB0968">
        <w:rPr>
          <w:rFonts w:asciiTheme="minorEastAsia" w:hAnsiTheme="minorEastAsia" w:cs="黑体" w:hint="eastAsia"/>
          <w:color w:val="000000"/>
          <w:kern w:val="0"/>
          <w:sz w:val="32"/>
          <w:szCs w:val="32"/>
        </w:rPr>
        <w:t>调整了</w:t>
      </w:r>
      <w:r w:rsidRPr="00DB0968">
        <w:rPr>
          <w:rFonts w:asciiTheme="minorEastAsia" w:hAnsiTheme="minorEastAsia" w:cs="黑体"/>
          <w:color w:val="000000"/>
          <w:kern w:val="0"/>
          <w:sz w:val="32"/>
          <w:szCs w:val="32"/>
        </w:rPr>
        <w:t>部分预算。</w:t>
      </w:r>
    </w:p>
    <w:p w:rsidR="00BE4FC1" w:rsidRPr="00DB0968" w:rsidRDefault="004C2666">
      <w:pPr>
        <w:spacing w:line="223" w:lineRule="auto"/>
        <w:ind w:left="668"/>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八、下一步改进措施</w:t>
      </w:r>
    </w:p>
    <w:p w:rsidR="00BE4FC1" w:rsidRPr="00DB0968" w:rsidRDefault="004C2666">
      <w:pPr>
        <w:spacing w:before="207" w:line="345" w:lineRule="auto"/>
        <w:ind w:left="20" w:firstLine="666"/>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一是进一步提高预算执行率。加强预算执行动态分析，针对项目跨年度结算的问题，争取项目尽早计划、尽早开展、尽早结算，加快预算执行进度，提高财政资金使用效益。</w:t>
      </w:r>
    </w:p>
    <w:p w:rsidR="00BE4FC1" w:rsidRPr="00DB0968" w:rsidRDefault="004C2666">
      <w:pPr>
        <w:spacing w:before="4" w:line="344" w:lineRule="auto"/>
        <w:ind w:left="29" w:right="47" w:firstLine="655"/>
        <w:rPr>
          <w:rFonts w:asciiTheme="minorEastAsia" w:hAnsiTheme="minorEastAsia" w:cs="黑体"/>
          <w:color w:val="000000"/>
          <w:kern w:val="0"/>
          <w:sz w:val="32"/>
          <w:szCs w:val="32"/>
        </w:rPr>
      </w:pPr>
      <w:r w:rsidRPr="00DB0968">
        <w:rPr>
          <w:rFonts w:asciiTheme="minorEastAsia" w:hAnsiTheme="minorEastAsia" w:cs="黑体"/>
          <w:color w:val="000000"/>
          <w:kern w:val="0"/>
          <w:sz w:val="32"/>
          <w:szCs w:val="32"/>
        </w:rPr>
        <w:t>二是进一步加强预算绩效管理。加大对《湖南省预算绩效目标管理办法》相关规定的宣传和培训，增强绩效目标设置的科学性、合理性和规范性，强化预算支出责任，提高资金使用效益。</w:t>
      </w:r>
    </w:p>
    <w:p w:rsidR="00BE4FC1" w:rsidRPr="00DB0968" w:rsidRDefault="00BE4FC1" w:rsidP="00DB0968">
      <w:pPr>
        <w:spacing w:line="540" w:lineRule="exact"/>
        <w:ind w:firstLineChars="200" w:firstLine="640"/>
        <w:rPr>
          <w:rFonts w:asciiTheme="minorEastAsia" w:hAnsiTheme="minorEastAsia" w:cs="黑体"/>
          <w:color w:val="000000"/>
          <w:kern w:val="0"/>
          <w:sz w:val="32"/>
          <w:szCs w:val="32"/>
        </w:rPr>
      </w:pPr>
    </w:p>
    <w:sectPr w:rsidR="00BE4FC1" w:rsidRPr="00DB0968" w:rsidSect="00BE4FC1">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44" w:rsidRDefault="00940944" w:rsidP="00FA145A">
      <w:r>
        <w:separator/>
      </w:r>
    </w:p>
  </w:endnote>
  <w:endnote w:type="continuationSeparator" w:id="0">
    <w:p w:rsidR="00940944" w:rsidRDefault="00940944" w:rsidP="00FA1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44" w:rsidRDefault="00940944" w:rsidP="00FA145A">
      <w:r>
        <w:separator/>
      </w:r>
    </w:p>
  </w:footnote>
  <w:footnote w:type="continuationSeparator" w:id="0">
    <w:p w:rsidR="00940944" w:rsidRDefault="00940944" w:rsidP="00FA1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C1C5F8"/>
    <w:multiLevelType w:val="singleLevel"/>
    <w:tmpl w:val="C5C1C5F8"/>
    <w:lvl w:ilvl="0">
      <w:start w:val="4"/>
      <w:numFmt w:val="decimal"/>
      <w:suff w:val="space"/>
      <w:lvlText w:val="%1、"/>
      <w:lvlJc w:val="left"/>
      <w:pPr>
        <w:ind w:left="-22"/>
      </w:pPr>
    </w:lvl>
  </w:abstractNum>
  <w:abstractNum w:abstractNumId="1">
    <w:nsid w:val="1079F495"/>
    <w:multiLevelType w:val="singleLevel"/>
    <w:tmpl w:val="1079F49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QyYjEzNGQ1NTg3MzJiZTA4M2VhNjNmZjE2OTI4NzQ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375E9"/>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666"/>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47FE"/>
    <w:rsid w:val="005464E9"/>
    <w:rsid w:val="005522C0"/>
    <w:rsid w:val="0055566B"/>
    <w:rsid w:val="00556369"/>
    <w:rsid w:val="0055693B"/>
    <w:rsid w:val="005605A8"/>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1AD7"/>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251"/>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255D"/>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0944"/>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233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4FC1"/>
    <w:rsid w:val="00BE58E5"/>
    <w:rsid w:val="00BE6C91"/>
    <w:rsid w:val="00BE71F9"/>
    <w:rsid w:val="00BF04C8"/>
    <w:rsid w:val="00BF1494"/>
    <w:rsid w:val="00BF3B6B"/>
    <w:rsid w:val="00BF60A8"/>
    <w:rsid w:val="00BF618A"/>
    <w:rsid w:val="00BF7DF4"/>
    <w:rsid w:val="00C010C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ED2"/>
    <w:rsid w:val="00DB0968"/>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05D"/>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45A"/>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05036F80"/>
    <w:rsid w:val="567B2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4FC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E4FC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E4FC1"/>
    <w:pPr>
      <w:spacing w:beforeAutospacing="1" w:afterAutospacing="1"/>
      <w:jc w:val="left"/>
    </w:pPr>
    <w:rPr>
      <w:rFonts w:cs="Times New Roman"/>
      <w:kern w:val="0"/>
      <w:sz w:val="24"/>
      <w:szCs w:val="24"/>
    </w:rPr>
  </w:style>
  <w:style w:type="character" w:customStyle="1" w:styleId="Char0">
    <w:name w:val="页眉 Char"/>
    <w:basedOn w:val="a0"/>
    <w:link w:val="a4"/>
    <w:uiPriority w:val="99"/>
    <w:semiHidden/>
    <w:rsid w:val="00BE4FC1"/>
    <w:rPr>
      <w:sz w:val="18"/>
      <w:szCs w:val="18"/>
    </w:rPr>
  </w:style>
  <w:style w:type="character" w:customStyle="1" w:styleId="Char">
    <w:name w:val="页脚 Char"/>
    <w:basedOn w:val="a0"/>
    <w:link w:val="a3"/>
    <w:uiPriority w:val="99"/>
    <w:semiHidden/>
    <w:rsid w:val="00BE4FC1"/>
    <w:rPr>
      <w:sz w:val="18"/>
      <w:szCs w:val="18"/>
    </w:rPr>
  </w:style>
  <w:style w:type="paragraph" w:styleId="a6">
    <w:name w:val="List Paragraph"/>
    <w:basedOn w:val="a"/>
    <w:uiPriority w:val="34"/>
    <w:qFormat/>
    <w:rsid w:val="00BE4FC1"/>
    <w:pPr>
      <w:ind w:firstLineChars="200" w:firstLine="420"/>
    </w:pPr>
  </w:style>
  <w:style w:type="paragraph" w:customStyle="1" w:styleId="p0">
    <w:name w:val="p0"/>
    <w:basedOn w:val="a"/>
    <w:qFormat/>
    <w:rsid w:val="00BE4FC1"/>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FBF48-D70C-4CF1-B320-5B118957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451</Words>
  <Characters>2573</Characters>
  <Application>Microsoft Office Word</Application>
  <DocSecurity>0</DocSecurity>
  <Lines>21</Lines>
  <Paragraphs>6</Paragraphs>
  <ScaleCrop>false</ScaleCrop>
  <Company>Win7_64</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xbany</cp:lastModifiedBy>
  <cp:revision>12</cp:revision>
  <dcterms:created xsi:type="dcterms:W3CDTF">2022-09-07T09:20:00Z</dcterms:created>
  <dcterms:modified xsi:type="dcterms:W3CDTF">2023-10-31T01:47:00Z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965243F362954982A28FE2B9AD5C23C2</vt:lpwstr>
  </property>
</Properties>
</file>