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C554E">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2022年度部门整体支出绩效自评报告</w:t>
      </w:r>
    </w:p>
    <w:p w14:paraId="78C18FB8">
      <w:pPr>
        <w:jc w:val="center"/>
        <w:rPr>
          <w:rFonts w:ascii="方正小标宋_GBK" w:hAnsi="方正小标宋_GBK" w:eastAsia="方正小标宋_GBK" w:cs="方正小标宋_GBK"/>
          <w:sz w:val="40"/>
          <w:szCs w:val="40"/>
        </w:rPr>
      </w:pPr>
    </w:p>
    <w:p w14:paraId="7E54B8F8">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根据《中华人民共和国预算法》有关“各级政府、各部门、各单位应当对预算支出情况开展绩效评价”的规定，结合实际情况，我办对2022年度部门整体支出进行了绩效自评，现报告如下：</w:t>
      </w:r>
    </w:p>
    <w:p w14:paraId="3B5CC3D1">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14:paraId="694383ED">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1、部门基本情况</w:t>
      </w:r>
    </w:p>
    <w:p w14:paraId="6F1FF45E">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一）贯彻落实国家、省、市有关工业经济和信息化、科学技术方面的方针政策和法律法规；组织起草工业经济和信息化、科学技术有关规范性文件草案，拟订并组织实施工业经济和信息化、科学技术规划和年度计划。指导协调政府各部门和乡镇的工业、科技、信息化管理工作。</w:t>
      </w:r>
    </w:p>
    <w:p w14:paraId="3F6AFBB5">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二）负责全区工业和信息化领域的日常经济运行调节工作，编制并组织实施近期工业经济和信息化领域的经济运行调控目标、政策和措施；监测分析近期全区工业和信息化领域的经济运行态势，统计并发布相关信息，协调解决工业经济运行中的突出矛盾和问题并提出政策建议。</w:t>
      </w:r>
    </w:p>
    <w:p w14:paraId="34DA0C02">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三）拟定全区新型工业化的发展战略，协调解决有关重大问题；综合管理全区工业经济，指导、协调和服务工业企业；负责推进信息化和工业化融合，推进全区工业信息化；指导全区工业技术创新、品牌升级和管理创新，引导优先发展高科技、高附加值产业，大力推进节能减排，发展低碳工业经济；负责全区优势工业产业与重点工业企业的培育和发展工作；负责指导全区规模工业企业的统计和考核工作。</w:t>
      </w:r>
    </w:p>
    <w:p w14:paraId="11FB1F2C">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四）会同有关部门研究提出全区科技发展、工业企业发展重大布局政策建议，参与对经济、多学科的综合性项目、引进项目的论证与决策，组织实施省、市、区科技专项、关键技术和共性技术攻关；会同有关部门提出科技体制改革的政策和措施建议、推进科技体制改革工作。</w:t>
      </w:r>
    </w:p>
    <w:p w14:paraId="362364E5">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（五）负责提出工业和信息化固定资产投资规模和方向的意见，按规定权限负责工业固定资产投资项目管理工作。</w:t>
      </w:r>
    </w:p>
    <w:p w14:paraId="590D816D">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六）推进全区创新体系建设，会同有关部门推荐或认定创新型企业、民营科技企业和自主创新产品，加强技术创新平台的建设，促进民营科技和科技型中小企业的技术创新工作，推进中小企业服务体系建设和全民创业。</w:t>
      </w:r>
    </w:p>
    <w:p w14:paraId="31319BB4">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（七）会同有关部门拟订高新技术发展的政策措施，指导高新技术及应用技术的开发与推广，会同有关部门推荐或认定高新技术企业和高新技术产品，指导各类科技示范推广基地的建设与管理。</w:t>
      </w:r>
    </w:p>
    <w:p w14:paraId="258BAA0B">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八）拟订科技服务业发展的政策和规划，拟订促进技术市场、科技中介组织发展的政策措施，负责技术市场、科技中介组织的指导和监督管理，负责全区科技奖励、科技保密、科技评估、科技统计、科技情况信息；防震、减灾工作，推进民营科技工作。</w:t>
      </w:r>
    </w:p>
    <w:p w14:paraId="2576C682">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（九）研究提出多渠道增加科技投入的措施建议，优化科技资源；会同有关部门提出科技资源合理配置的政策建议，推动科技资源共建共享，促进科技和金融结合，建立科技金融服务的统筹协调机制；负责科技</w:t>
      </w:r>
      <w:r>
        <w:rPr>
          <w:rFonts w:ascii="Times New Roman" w:hAnsi="Times New Roman" w:eastAsia="Times New Roman"/>
          <w:bCs/>
          <w:kern w:val="0"/>
          <w:sz w:val="32"/>
          <w:szCs w:val="32"/>
        </w:rPr>
        <w:t>“</w:t>
      </w:r>
      <w:r>
        <w:rPr>
          <w:rFonts w:hint="eastAsia" w:ascii="宋体" w:hAnsi="宋体" w:cs="宋体"/>
          <w:bCs/>
          <w:kern w:val="0"/>
          <w:sz w:val="32"/>
          <w:szCs w:val="32"/>
        </w:rPr>
        <w:t>三项</w:t>
      </w:r>
      <w:r>
        <w:rPr>
          <w:rFonts w:ascii="Times New Roman" w:hAnsi="Times New Roman" w:eastAsia="Times New Roman"/>
          <w:bCs/>
          <w:kern w:val="0"/>
          <w:sz w:val="32"/>
          <w:szCs w:val="32"/>
        </w:rPr>
        <w:t>”</w:t>
      </w:r>
      <w:r>
        <w:rPr>
          <w:rFonts w:hint="eastAsia" w:ascii="宋体" w:hAnsi="宋体" w:cs="宋体"/>
          <w:bCs/>
          <w:kern w:val="0"/>
          <w:sz w:val="32"/>
          <w:szCs w:val="32"/>
        </w:rPr>
        <w:t>经费的预、决算和经费使用的监督管理。</w:t>
      </w:r>
    </w:p>
    <w:p w14:paraId="2EEE479C">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（十）牵头组织协调产学研结合工作，推进产学研创新联盟建设，会同有关部门制定科技成果推广政策，指导科技成果转化。</w:t>
      </w:r>
    </w:p>
    <w:p w14:paraId="663DA3E4">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（十一）组织拟订科技促进农村和社会发展的政策措施，会同以后管部门推进全区农村科技创新示范点建设，促进以科技改善民生为重点的农村建设和社会建设。</w:t>
      </w:r>
    </w:p>
    <w:p w14:paraId="53C752FE">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二）组织研究指示产权事业发展战略和有关指示产权方面的重大问题，协调指导知识产权保护和创新体系的建立，指导企业专利工作，组织重大专利技术实施，负责专利市场的规范和管理，依法处理和调解专利纠纷、查处专利违法行为；统筹、协调、指导知识产权战略的实施，牵头建立重大经济活动知识产权特别审查制度，组织建立知识产权预警、涉外应对、维权援助机制和推动建立知识产权统计和考核制度。</w:t>
      </w:r>
    </w:p>
    <w:p w14:paraId="264AAC94">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（十三）指导、协调全区工业经济和信息化及科技领域的对外交流与合作；指导全区工业经济和信息化及科技领域人才开发与培训工作。</w:t>
      </w:r>
    </w:p>
    <w:p w14:paraId="7458E2A7">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（十四）负责职责范围内对有关行业、领域的安全生产工作实施监督管理。</w:t>
      </w:r>
    </w:p>
    <w:p w14:paraId="50A9E3F5">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（十五）负责统计检测全面建成小康社会相关指标数据，并分析研究提出对策建议，及时发出预警信息。</w:t>
      </w:r>
    </w:p>
    <w:p w14:paraId="4EFD3CCC">
      <w:pPr>
        <w:widowControl/>
        <w:spacing w:line="600" w:lineRule="exact"/>
        <w:rPr>
          <w:rFonts w:ascii="Times New Roman" w:hAnsi="Times New Roman" w:eastAsia="Times New Roman"/>
          <w:bCs/>
          <w:kern w:val="0"/>
          <w:sz w:val="32"/>
          <w:szCs w:val="32"/>
        </w:rPr>
      </w:pPr>
      <w:r>
        <w:rPr>
          <w:rFonts w:hint="eastAsia" w:ascii="宋体" w:hAnsi="宋体" w:cs="宋体"/>
          <w:bCs/>
          <w:kern w:val="0"/>
          <w:sz w:val="32"/>
          <w:szCs w:val="32"/>
        </w:rPr>
        <w:t>（十六）承办区人民政府交办的其他事项。</w:t>
      </w:r>
    </w:p>
    <w:p w14:paraId="0348499A">
      <w:pPr>
        <w:widowControl/>
        <w:spacing w:line="60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2、机构设置及决算单位构成</w:t>
      </w:r>
    </w:p>
    <w:p w14:paraId="34BCC21F">
      <w:pPr>
        <w:widowControl/>
        <w:shd w:val="clear" w:color="auto" w:fill="FFFFFF"/>
        <w:spacing w:line="600" w:lineRule="exact"/>
        <w:ind w:firstLine="640" w:firstLineChars="200"/>
        <w:jc w:val="left"/>
        <w:rPr>
          <w:rFonts w:ascii="Times New Roman" w:hAnsi="Times New Roman" w:eastAsia="Times New Roman"/>
          <w:bCs/>
          <w:kern w:val="0"/>
          <w:sz w:val="32"/>
          <w:szCs w:val="32"/>
        </w:rPr>
      </w:pPr>
      <w:r>
        <w:rPr>
          <w:rFonts w:hint="eastAsia" w:ascii="宋体" w:hAnsi="宋体" w:cs="宋体"/>
          <w:bCs/>
          <w:kern w:val="0"/>
          <w:sz w:val="32"/>
          <w:szCs w:val="32"/>
        </w:rPr>
        <w:t>（一）内设机构设置。雁峰区科技和工业信息化局共有</w:t>
      </w:r>
      <w:r>
        <w:rPr>
          <w:rFonts w:ascii="Times New Roman" w:hAnsi="Times New Roman" w:eastAsia="Times New Roman"/>
          <w:bCs/>
          <w:kern w:val="0"/>
          <w:sz w:val="32"/>
          <w:szCs w:val="32"/>
        </w:rPr>
        <w:t>3</w:t>
      </w:r>
      <w:r>
        <w:rPr>
          <w:rFonts w:hint="eastAsia" w:ascii="宋体" w:hAnsi="宋体" w:cs="宋体"/>
          <w:bCs/>
          <w:kern w:val="0"/>
          <w:sz w:val="32"/>
          <w:szCs w:val="32"/>
        </w:rPr>
        <w:t>个内设机构，分别是：办公室与地震管理股、工业和信息化股、科技股。</w:t>
      </w:r>
    </w:p>
    <w:p w14:paraId="47047B98">
      <w:pPr>
        <w:widowControl/>
        <w:spacing w:line="600" w:lineRule="exact"/>
        <w:ind w:firstLine="640" w:firstLineChars="200"/>
        <w:rPr>
          <w:rFonts w:ascii="Times New Roman" w:hAnsi="Times New Roman" w:eastAsia="Times New Roman"/>
          <w:bCs/>
          <w:kern w:val="0"/>
          <w:sz w:val="32"/>
          <w:szCs w:val="32"/>
        </w:rPr>
      </w:pPr>
      <w:r>
        <w:rPr>
          <w:rFonts w:hint="eastAsia" w:ascii="宋体" w:hAnsi="宋体" w:cs="宋体"/>
          <w:bCs/>
          <w:kern w:val="0"/>
          <w:sz w:val="32"/>
          <w:szCs w:val="32"/>
        </w:rPr>
        <w:t>（二）决算单位构成。雁峰区科技和工业信息化局</w:t>
      </w:r>
      <w:r>
        <w:rPr>
          <w:rFonts w:ascii="Times New Roman" w:hAnsi="Times New Roman" w:eastAsia="Times New Roman"/>
          <w:bCs/>
          <w:kern w:val="0"/>
          <w:sz w:val="32"/>
          <w:szCs w:val="32"/>
        </w:rPr>
        <w:t>20</w:t>
      </w:r>
      <w:r>
        <w:rPr>
          <w:rFonts w:hint="eastAsia" w:ascii="Times New Roman" w:hAnsi="Times New Roman"/>
          <w:bCs/>
          <w:kern w:val="0"/>
          <w:sz w:val="32"/>
          <w:szCs w:val="32"/>
        </w:rPr>
        <w:t>22</w:t>
      </w:r>
      <w:r>
        <w:rPr>
          <w:rFonts w:hint="eastAsia" w:ascii="宋体" w:hAnsi="宋体" w:cs="宋体"/>
          <w:bCs/>
          <w:kern w:val="0"/>
          <w:sz w:val="32"/>
          <w:szCs w:val="32"/>
        </w:rPr>
        <w:t>年部门决算公开单位构成为单位本级。</w:t>
      </w:r>
    </w:p>
    <w:p w14:paraId="0EC4B045">
      <w:pPr>
        <w:jc w:val="center"/>
        <w:rPr>
          <w:rFonts w:ascii="黑体" w:hAnsi="黑体" w:eastAsia="黑体"/>
          <w:sz w:val="28"/>
          <w:szCs w:val="28"/>
        </w:rPr>
      </w:pPr>
    </w:p>
    <w:p w14:paraId="137085BC">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3、人员情况</w:t>
      </w:r>
    </w:p>
    <w:p w14:paraId="29B4F815">
      <w:pPr>
        <w:spacing w:line="29" w:lineRule="atLeast"/>
        <w:ind w:firstLine="640" w:firstLineChars="200"/>
        <w:rPr>
          <w:rFonts w:ascii="宋体" w:hAnsi="宋体" w:cs="宋体"/>
          <w:bCs/>
          <w:kern w:val="0"/>
          <w:sz w:val="32"/>
          <w:szCs w:val="32"/>
        </w:rPr>
      </w:pPr>
      <w:r>
        <w:rPr>
          <w:rFonts w:hint="eastAsia" w:ascii="宋体" w:hAnsi="宋体" w:cs="宋体"/>
          <w:bCs/>
          <w:kern w:val="0"/>
          <w:sz w:val="32"/>
          <w:szCs w:val="32"/>
        </w:rPr>
        <w:t>2022年12月31日止我办在职人员6人。退休人员2人。</w:t>
      </w:r>
    </w:p>
    <w:p w14:paraId="2F8B2A82">
      <w:pPr>
        <w:spacing w:line="29" w:lineRule="atLeast"/>
        <w:ind w:firstLine="640" w:firstLineChars="200"/>
        <w:rPr>
          <w:rFonts w:ascii="宋体" w:hAnsi="宋体" w:cs="宋体"/>
          <w:bCs/>
          <w:kern w:val="0"/>
          <w:sz w:val="32"/>
          <w:szCs w:val="32"/>
        </w:rPr>
      </w:pPr>
      <w:r>
        <w:rPr>
          <w:rFonts w:ascii="宋体" w:hAnsi="宋体" w:cs="宋体"/>
          <w:bCs/>
          <w:kern w:val="0"/>
          <w:sz w:val="32"/>
          <w:szCs w:val="32"/>
        </w:rPr>
        <w:t>二、一般公共预算支出情况</w:t>
      </w:r>
    </w:p>
    <w:p w14:paraId="4287833D">
      <w:pPr>
        <w:spacing w:before="1" w:line="29" w:lineRule="atLeast"/>
        <w:ind w:left="669"/>
        <w:rPr>
          <w:rFonts w:ascii="宋体" w:hAnsi="宋体" w:cs="宋体"/>
          <w:bCs/>
          <w:kern w:val="0"/>
          <w:sz w:val="32"/>
          <w:szCs w:val="32"/>
        </w:rPr>
      </w:pPr>
      <w:r>
        <w:rPr>
          <w:rFonts w:ascii="宋体" w:hAnsi="宋体" w:cs="宋体"/>
          <w:bCs/>
          <w:kern w:val="0"/>
          <w:sz w:val="32"/>
          <w:szCs w:val="32"/>
        </w:rPr>
        <w:t>(一)基本支出情况</w:t>
      </w:r>
    </w:p>
    <w:p w14:paraId="30A29705">
      <w:pPr>
        <w:spacing w:before="204" w:line="29" w:lineRule="atLeast"/>
        <w:ind w:left="20" w:firstLine="627"/>
        <w:rPr>
          <w:rFonts w:ascii="仿宋" w:hAnsi="仿宋" w:cs="仿宋"/>
          <w:spacing w:val="8"/>
          <w:sz w:val="31"/>
          <w:szCs w:val="31"/>
        </w:rPr>
      </w:pPr>
      <w:r>
        <w:rPr>
          <w:rFonts w:ascii="宋体" w:hAnsi="宋体" w:cs="宋体"/>
          <w:bCs/>
          <w:kern w:val="0"/>
          <w:sz w:val="32"/>
          <w:szCs w:val="32"/>
        </w:rPr>
        <w:t>基本支出是保障机构正常运转、完成日常工作任务而发生的各项支出，包括用于在职和离退休人员基本工资、津贴补贴等人员经费以及办公费、印刷费、水电费、办公设备购置等日常公用经费。202</w:t>
      </w:r>
      <w:r>
        <w:rPr>
          <w:rFonts w:hint="eastAsia" w:ascii="宋体" w:hAnsi="宋体" w:cs="宋体"/>
          <w:bCs/>
          <w:kern w:val="0"/>
          <w:sz w:val="32"/>
          <w:szCs w:val="32"/>
        </w:rPr>
        <w:t>2</w:t>
      </w:r>
      <w:r>
        <w:rPr>
          <w:rFonts w:ascii="宋体" w:hAnsi="宋体" w:cs="宋体"/>
          <w:bCs/>
          <w:kern w:val="0"/>
          <w:sz w:val="32"/>
          <w:szCs w:val="32"/>
        </w:rPr>
        <w:t>年基本支出预算安排</w:t>
      </w:r>
      <w:r>
        <w:rPr>
          <w:rFonts w:hint="eastAsia" w:ascii="宋体" w:hAnsi="宋体" w:cs="宋体"/>
          <w:bCs/>
          <w:kern w:val="0"/>
          <w:sz w:val="32"/>
          <w:szCs w:val="32"/>
        </w:rPr>
        <w:t>121.65</w:t>
      </w:r>
      <w:r>
        <w:rPr>
          <w:rFonts w:ascii="宋体" w:hAnsi="宋体" w:cs="宋体"/>
          <w:bCs/>
          <w:kern w:val="0"/>
          <w:sz w:val="32"/>
          <w:szCs w:val="32"/>
        </w:rPr>
        <w:t>万元，实际支出</w:t>
      </w:r>
      <w:r>
        <w:rPr>
          <w:rFonts w:hint="eastAsia" w:ascii="宋体" w:hAnsi="宋体" w:cs="宋体"/>
          <w:bCs/>
          <w:kern w:val="0"/>
          <w:sz w:val="32"/>
          <w:szCs w:val="32"/>
        </w:rPr>
        <w:t>121.65</w:t>
      </w:r>
      <w:r>
        <w:rPr>
          <w:rFonts w:ascii="宋体" w:hAnsi="宋体" w:cs="宋体"/>
          <w:bCs/>
          <w:kern w:val="0"/>
          <w:sz w:val="32"/>
          <w:szCs w:val="32"/>
        </w:rPr>
        <w:t>万元，完成预算安排的</w:t>
      </w:r>
      <w:r>
        <w:rPr>
          <w:rFonts w:hint="eastAsia" w:ascii="宋体" w:hAnsi="宋体" w:cs="宋体"/>
          <w:bCs/>
          <w:kern w:val="0"/>
          <w:sz w:val="32"/>
          <w:szCs w:val="32"/>
        </w:rPr>
        <w:t>100</w:t>
      </w:r>
      <w:r>
        <w:rPr>
          <w:rFonts w:ascii="宋体" w:hAnsi="宋体" w:cs="宋体"/>
          <w:bCs/>
          <w:kern w:val="0"/>
          <w:sz w:val="32"/>
          <w:szCs w:val="32"/>
        </w:rPr>
        <w:t>%。人员经费支出</w:t>
      </w:r>
      <w:r>
        <w:rPr>
          <w:rFonts w:hint="eastAsia" w:ascii="宋体" w:hAnsi="宋体" w:cs="宋体"/>
          <w:bCs/>
          <w:kern w:val="0"/>
          <w:sz w:val="32"/>
          <w:szCs w:val="32"/>
        </w:rPr>
        <w:t>118.44</w:t>
      </w:r>
      <w:r>
        <w:rPr>
          <w:rFonts w:ascii="宋体" w:hAnsi="宋体" w:cs="宋体"/>
          <w:bCs/>
          <w:kern w:val="0"/>
          <w:sz w:val="32"/>
          <w:szCs w:val="32"/>
        </w:rPr>
        <w:t>万元，占基本支出的</w:t>
      </w:r>
      <w:r>
        <w:rPr>
          <w:rFonts w:hint="eastAsia" w:ascii="宋体" w:hAnsi="宋体" w:cs="宋体"/>
          <w:bCs/>
          <w:kern w:val="0"/>
          <w:sz w:val="32"/>
          <w:szCs w:val="32"/>
        </w:rPr>
        <w:t>97.36</w:t>
      </w:r>
      <w:r>
        <w:rPr>
          <w:rFonts w:ascii="宋体" w:hAnsi="宋体" w:cs="宋体"/>
          <w:bCs/>
          <w:kern w:val="0"/>
          <w:sz w:val="32"/>
          <w:szCs w:val="32"/>
        </w:rPr>
        <w:t>%；日常公用经费支出</w:t>
      </w:r>
      <w:r>
        <w:rPr>
          <w:rFonts w:hint="eastAsia" w:ascii="宋体" w:hAnsi="宋体" w:cs="宋体"/>
          <w:bCs/>
          <w:kern w:val="0"/>
          <w:sz w:val="32"/>
          <w:szCs w:val="32"/>
        </w:rPr>
        <w:t>3.22</w:t>
      </w:r>
      <w:r>
        <w:rPr>
          <w:rFonts w:ascii="仿宋" w:hAnsi="仿宋" w:cs="仿宋"/>
          <w:spacing w:val="8"/>
          <w:sz w:val="31"/>
          <w:szCs w:val="31"/>
        </w:rPr>
        <w:t>万元，占基本支出的</w:t>
      </w:r>
      <w:r>
        <w:rPr>
          <w:rFonts w:hint="eastAsia" w:ascii="仿宋" w:hAnsi="仿宋" w:cs="仿宋"/>
          <w:spacing w:val="8"/>
          <w:sz w:val="31"/>
          <w:szCs w:val="31"/>
        </w:rPr>
        <w:t>2.64</w:t>
      </w:r>
      <w:r>
        <w:rPr>
          <w:rFonts w:ascii="仿宋" w:hAnsi="仿宋" w:cs="仿宋"/>
          <w:spacing w:val="8"/>
          <w:sz w:val="31"/>
          <w:szCs w:val="31"/>
        </w:rPr>
        <w:t>%。</w:t>
      </w:r>
    </w:p>
    <w:p w14:paraId="45091710">
      <w:pPr>
        <w:spacing w:before="160" w:line="29" w:lineRule="atLeast"/>
        <w:ind w:left="668" w:right="664" w:hanging="582"/>
        <w:rPr>
          <w:rFonts w:ascii="仿宋" w:hAnsi="仿宋" w:cs="仿宋"/>
          <w:spacing w:val="8"/>
          <w:sz w:val="31"/>
          <w:szCs w:val="31"/>
        </w:rPr>
      </w:pPr>
      <w:r>
        <w:rPr>
          <w:rFonts w:hint="eastAsia" w:ascii="仿宋" w:hAnsi="仿宋" w:cs="仿宋"/>
          <w:spacing w:val="8"/>
          <w:sz w:val="31"/>
          <w:szCs w:val="31"/>
        </w:rPr>
        <w:t>（</w:t>
      </w:r>
      <w:r>
        <w:rPr>
          <w:rFonts w:ascii="仿宋" w:hAnsi="仿宋" w:cs="仿宋"/>
          <w:spacing w:val="8"/>
          <w:sz w:val="31"/>
          <w:szCs w:val="31"/>
        </w:rPr>
        <w:t>二</w:t>
      </w:r>
      <w:r>
        <w:rPr>
          <w:rFonts w:hint="eastAsia" w:ascii="仿宋" w:hAnsi="仿宋" w:cs="仿宋"/>
          <w:spacing w:val="8"/>
          <w:sz w:val="31"/>
          <w:szCs w:val="31"/>
        </w:rPr>
        <w:t>）</w:t>
      </w:r>
      <w:r>
        <w:rPr>
          <w:rFonts w:ascii="仿宋" w:hAnsi="仿宋" w:cs="仿宋"/>
          <w:spacing w:val="8"/>
          <w:sz w:val="31"/>
          <w:szCs w:val="31"/>
        </w:rPr>
        <w:t>项目支出情况</w:t>
      </w:r>
    </w:p>
    <w:p w14:paraId="5885FA15">
      <w:pPr>
        <w:spacing w:before="160" w:line="29" w:lineRule="atLeast"/>
        <w:ind w:left="249" w:leftChars="-159" w:right="663" w:rightChars="316" w:hanging="582"/>
        <w:rPr>
          <w:rFonts w:ascii="仿宋" w:hAnsi="仿宋" w:cs="仿宋"/>
          <w:spacing w:val="8"/>
          <w:sz w:val="31"/>
          <w:szCs w:val="31"/>
        </w:rPr>
      </w:pPr>
      <w:r>
        <w:rPr>
          <w:rFonts w:hint="eastAsia" w:ascii="仿宋" w:hAnsi="仿宋" w:cs="仿宋"/>
          <w:spacing w:val="8"/>
          <w:sz w:val="31"/>
          <w:szCs w:val="31"/>
        </w:rPr>
        <w:t xml:space="preserve">        </w:t>
      </w:r>
      <w:r>
        <w:rPr>
          <w:rFonts w:ascii="仿宋" w:hAnsi="仿宋" w:cs="仿宋"/>
          <w:spacing w:val="8"/>
          <w:sz w:val="31"/>
          <w:szCs w:val="31"/>
        </w:rPr>
        <w:t>项目支出是单位为完成特定行政工作任务或事业发展目标而发生的支出。202</w:t>
      </w:r>
      <w:r>
        <w:rPr>
          <w:rFonts w:hint="eastAsia" w:ascii="仿宋" w:hAnsi="仿宋" w:cs="仿宋"/>
          <w:spacing w:val="8"/>
          <w:sz w:val="31"/>
          <w:szCs w:val="31"/>
        </w:rPr>
        <w:t>2</w:t>
      </w:r>
      <w:r>
        <w:rPr>
          <w:rFonts w:ascii="仿宋" w:hAnsi="仿宋" w:cs="仿宋"/>
          <w:spacing w:val="8"/>
          <w:sz w:val="31"/>
          <w:szCs w:val="31"/>
        </w:rPr>
        <w:t>年度</w:t>
      </w:r>
      <w:r>
        <w:rPr>
          <w:rFonts w:hint="eastAsia" w:ascii="仿宋" w:hAnsi="仿宋" w:cs="仿宋"/>
          <w:spacing w:val="8"/>
          <w:sz w:val="31"/>
          <w:szCs w:val="31"/>
        </w:rPr>
        <w:t>办公室</w:t>
      </w:r>
      <w:r>
        <w:rPr>
          <w:rFonts w:ascii="仿宋" w:hAnsi="仿宋" w:cs="仿宋"/>
          <w:spacing w:val="8"/>
          <w:sz w:val="31"/>
          <w:szCs w:val="31"/>
        </w:rPr>
        <w:t>无专项预算安排，其他项目预算安排</w:t>
      </w:r>
      <w:r>
        <w:rPr>
          <w:rFonts w:hint="eastAsia" w:ascii="仿宋" w:hAnsi="仿宋" w:cs="仿宋"/>
          <w:spacing w:val="8"/>
          <w:sz w:val="31"/>
          <w:szCs w:val="31"/>
        </w:rPr>
        <w:t>11565.2</w:t>
      </w:r>
      <w:r>
        <w:rPr>
          <w:rFonts w:ascii="仿宋" w:hAnsi="仿宋" w:cs="仿宋"/>
          <w:spacing w:val="8"/>
          <w:sz w:val="31"/>
          <w:szCs w:val="31"/>
        </w:rPr>
        <w:t>万元，实际支出</w:t>
      </w:r>
      <w:r>
        <w:rPr>
          <w:rFonts w:hint="eastAsia" w:ascii="仿宋" w:hAnsi="仿宋" w:cs="仿宋"/>
          <w:spacing w:val="8"/>
          <w:sz w:val="31"/>
          <w:szCs w:val="31"/>
        </w:rPr>
        <w:t>11565.2</w:t>
      </w:r>
      <w:r>
        <w:rPr>
          <w:rFonts w:ascii="仿宋" w:hAnsi="仿宋" w:cs="仿宋"/>
          <w:spacing w:val="8"/>
          <w:sz w:val="31"/>
          <w:szCs w:val="31"/>
        </w:rPr>
        <w:t>万元，完成预算安排的</w:t>
      </w:r>
      <w:r>
        <w:rPr>
          <w:rFonts w:hint="eastAsia" w:ascii="仿宋" w:hAnsi="仿宋" w:cs="仿宋"/>
          <w:spacing w:val="8"/>
          <w:sz w:val="31"/>
          <w:szCs w:val="31"/>
        </w:rPr>
        <w:t>100</w:t>
      </w:r>
      <w:r>
        <w:rPr>
          <w:rFonts w:ascii="仿宋" w:hAnsi="仿宋" w:cs="仿宋"/>
          <w:spacing w:val="8"/>
          <w:sz w:val="31"/>
          <w:szCs w:val="31"/>
        </w:rPr>
        <w:t>%。</w:t>
      </w:r>
      <w:r>
        <w:rPr>
          <w:rFonts w:hint="eastAsia" w:ascii="仿宋" w:hAnsi="仿宋" w:cs="仿宋"/>
          <w:spacing w:val="8"/>
          <w:sz w:val="31"/>
          <w:szCs w:val="31"/>
        </w:rPr>
        <w:t>项目为科技成果转移转化相关工作经费、高新技术培育经费、科技创新项目、恒飞电缆公司智能化电缆产业园项目征地拆迁、特变国省科技奖励奖补资金、2021年专精特新发展奖补资金及个税奖励、雁峰区金杯公司项目征地拆迁安置费、市级沿江化工企业搬迁改造专项补助、新增工业规模企业培育资金、工业信息化引导和培育经费、中小企业服务平台及生产力促进中心、工业企业奖励、配套国企退休企业化管理等。</w:t>
      </w:r>
    </w:p>
    <w:p w14:paraId="5DE8F399">
      <w:pPr>
        <w:spacing w:before="160" w:line="353" w:lineRule="auto"/>
        <w:ind w:left="249" w:leftChars="-159" w:right="663" w:rightChars="316" w:hanging="582"/>
        <w:rPr>
          <w:rFonts w:ascii="仿宋" w:hAnsi="仿宋" w:cs="仿宋"/>
          <w:spacing w:val="8"/>
          <w:sz w:val="31"/>
          <w:szCs w:val="31"/>
        </w:rPr>
      </w:pPr>
      <w:r>
        <w:rPr>
          <w:rFonts w:hint="eastAsia" w:ascii="仿宋" w:hAnsi="仿宋" w:eastAsia="仿宋" w:cs="仿宋"/>
          <w:spacing w:val="8"/>
          <w:sz w:val="31"/>
          <w:szCs w:val="31"/>
        </w:rPr>
        <w:t xml:space="preserve">   </w:t>
      </w:r>
      <w:r>
        <w:rPr>
          <w:rFonts w:hint="eastAsia" w:ascii="仿宋" w:hAnsi="仿宋" w:cs="仿宋"/>
          <w:spacing w:val="8"/>
          <w:sz w:val="31"/>
          <w:szCs w:val="31"/>
        </w:rPr>
        <w:t xml:space="preserve"> </w:t>
      </w:r>
      <w:r>
        <w:rPr>
          <w:rFonts w:ascii="仿宋" w:hAnsi="仿宋" w:cs="仿宋"/>
          <w:spacing w:val="8"/>
          <w:sz w:val="31"/>
          <w:szCs w:val="31"/>
        </w:rPr>
        <w:t>三、政府性基金预算支出情况</w:t>
      </w:r>
    </w:p>
    <w:p w14:paraId="1B4744D8">
      <w:pPr>
        <w:spacing w:before="160" w:line="353" w:lineRule="auto"/>
        <w:ind w:leftChars="-277" w:right="663" w:rightChars="316" w:hanging="582"/>
        <w:rPr>
          <w:rFonts w:ascii="仿宋" w:hAnsi="仿宋" w:cs="仿宋"/>
          <w:spacing w:val="8"/>
          <w:sz w:val="31"/>
          <w:szCs w:val="31"/>
        </w:rPr>
      </w:pPr>
      <w:r>
        <w:rPr>
          <w:rFonts w:hint="eastAsia" w:ascii="仿宋" w:hAnsi="仿宋" w:cs="仿宋"/>
          <w:spacing w:val="8"/>
          <w:sz w:val="31"/>
          <w:szCs w:val="31"/>
        </w:rPr>
        <w:t xml:space="preserve">       </w:t>
      </w:r>
      <w:r>
        <w:rPr>
          <w:rFonts w:ascii="仿宋" w:hAnsi="仿宋" w:cs="仿宋"/>
          <w:spacing w:val="8"/>
          <w:sz w:val="31"/>
          <w:szCs w:val="31"/>
        </w:rPr>
        <w:t>202</w:t>
      </w:r>
      <w:r>
        <w:rPr>
          <w:rFonts w:hint="eastAsia" w:ascii="仿宋" w:hAnsi="仿宋" w:cs="仿宋"/>
          <w:spacing w:val="8"/>
          <w:sz w:val="31"/>
          <w:szCs w:val="31"/>
        </w:rPr>
        <w:t>2</w:t>
      </w:r>
      <w:r>
        <w:rPr>
          <w:rFonts w:ascii="仿宋" w:hAnsi="仿宋" w:cs="仿宋"/>
          <w:spacing w:val="8"/>
          <w:sz w:val="31"/>
          <w:szCs w:val="31"/>
        </w:rPr>
        <w:t>年度政府性基金预算</w:t>
      </w:r>
      <w:r>
        <w:rPr>
          <w:rFonts w:hint="eastAsia" w:ascii="仿宋" w:hAnsi="仿宋" w:cs="仿宋"/>
          <w:spacing w:val="8"/>
          <w:sz w:val="31"/>
          <w:szCs w:val="31"/>
        </w:rPr>
        <w:t>7725.11万元，支出7725.11万元，完成预算安排100%</w:t>
      </w:r>
      <w:r>
        <w:rPr>
          <w:rFonts w:ascii="仿宋" w:hAnsi="仿宋" w:cs="仿宋"/>
          <w:spacing w:val="8"/>
          <w:sz w:val="31"/>
          <w:szCs w:val="31"/>
        </w:rPr>
        <w:t>。</w:t>
      </w:r>
      <w:r>
        <w:rPr>
          <w:rFonts w:hint="eastAsia" w:ascii="仿宋" w:hAnsi="仿宋" w:cs="仿宋"/>
          <w:spacing w:val="8"/>
          <w:sz w:val="31"/>
          <w:szCs w:val="31"/>
        </w:rPr>
        <w:t>项目为恒飞电缆公司智能化电缆产业园项目征地拆迁、雁峰区金杯公司项目征地拆迁安置费。</w:t>
      </w:r>
    </w:p>
    <w:p w14:paraId="70688E0E">
      <w:pPr>
        <w:spacing w:before="160" w:line="353" w:lineRule="auto"/>
        <w:ind w:left="249" w:leftChars="-159" w:right="663" w:rightChars="316" w:hanging="582"/>
        <w:rPr>
          <w:rFonts w:ascii="仿宋" w:hAnsi="仿宋" w:cs="仿宋"/>
          <w:spacing w:val="8"/>
          <w:sz w:val="31"/>
          <w:szCs w:val="31"/>
        </w:rPr>
      </w:pPr>
      <w:r>
        <w:rPr>
          <w:rFonts w:hint="eastAsia" w:ascii="仿宋" w:hAnsi="仿宋" w:cs="仿宋"/>
          <w:spacing w:val="8"/>
          <w:sz w:val="31"/>
          <w:szCs w:val="31"/>
        </w:rPr>
        <w:t xml:space="preserve">   </w:t>
      </w:r>
      <w:r>
        <w:rPr>
          <w:rFonts w:ascii="仿宋" w:hAnsi="仿宋" w:cs="仿宋"/>
          <w:spacing w:val="8"/>
          <w:sz w:val="31"/>
          <w:szCs w:val="31"/>
        </w:rPr>
        <w:t>四、国有资本经营预算支出情况</w:t>
      </w:r>
    </w:p>
    <w:p w14:paraId="010849C7">
      <w:pPr>
        <w:spacing w:before="160" w:line="353" w:lineRule="auto"/>
        <w:ind w:leftChars="-277" w:right="663" w:rightChars="316" w:hanging="582"/>
        <w:rPr>
          <w:rFonts w:ascii="仿宋" w:hAnsi="仿宋" w:cs="仿宋"/>
          <w:spacing w:val="8"/>
          <w:sz w:val="31"/>
          <w:szCs w:val="31"/>
        </w:rPr>
      </w:pPr>
      <w:r>
        <w:rPr>
          <w:rFonts w:hint="eastAsia" w:ascii="仿宋" w:hAnsi="仿宋" w:cs="仿宋"/>
          <w:spacing w:val="8"/>
          <w:sz w:val="31"/>
          <w:szCs w:val="31"/>
        </w:rPr>
        <w:t xml:space="preserve">       </w:t>
      </w:r>
      <w:r>
        <w:rPr>
          <w:rFonts w:ascii="仿宋" w:hAnsi="仿宋" w:cs="仿宋"/>
          <w:spacing w:val="8"/>
          <w:sz w:val="31"/>
          <w:szCs w:val="31"/>
        </w:rPr>
        <w:t>202</w:t>
      </w:r>
      <w:r>
        <w:rPr>
          <w:rFonts w:hint="eastAsia" w:ascii="仿宋" w:hAnsi="仿宋" w:cs="仿宋"/>
          <w:spacing w:val="8"/>
          <w:sz w:val="31"/>
          <w:szCs w:val="31"/>
        </w:rPr>
        <w:t>2</w:t>
      </w:r>
      <w:r>
        <w:rPr>
          <w:rFonts w:ascii="仿宋" w:hAnsi="仿宋" w:cs="仿宋"/>
          <w:spacing w:val="8"/>
          <w:sz w:val="31"/>
          <w:szCs w:val="31"/>
        </w:rPr>
        <w:t>年度国有资本经营预算支出</w:t>
      </w:r>
      <w:r>
        <w:rPr>
          <w:rFonts w:hint="eastAsia" w:ascii="仿宋" w:hAnsi="仿宋" w:cs="仿宋"/>
          <w:spacing w:val="8"/>
          <w:sz w:val="31"/>
          <w:szCs w:val="31"/>
        </w:rPr>
        <w:t>200.39</w:t>
      </w:r>
      <w:r>
        <w:rPr>
          <w:rFonts w:ascii="仿宋" w:hAnsi="仿宋" w:cs="仿宋"/>
          <w:spacing w:val="8"/>
          <w:sz w:val="31"/>
          <w:szCs w:val="31"/>
        </w:rPr>
        <w:t>。</w:t>
      </w:r>
      <w:r>
        <w:rPr>
          <w:rFonts w:hint="eastAsia" w:ascii="仿宋" w:hAnsi="仿宋" w:cs="仿宋"/>
          <w:spacing w:val="8"/>
          <w:sz w:val="31"/>
          <w:szCs w:val="31"/>
        </w:rPr>
        <w:t>项目为国企退休企业化管理</w:t>
      </w:r>
    </w:p>
    <w:p w14:paraId="5D490E13">
      <w:pPr>
        <w:spacing w:before="160" w:line="353" w:lineRule="auto"/>
        <w:ind w:left="249" w:leftChars="-159" w:right="663" w:rightChars="316" w:hanging="582"/>
        <w:rPr>
          <w:rFonts w:ascii="仿宋" w:hAnsi="仿宋" w:cs="仿宋"/>
          <w:spacing w:val="8"/>
          <w:sz w:val="31"/>
          <w:szCs w:val="31"/>
        </w:rPr>
      </w:pPr>
      <w:r>
        <w:rPr>
          <w:rFonts w:hint="eastAsia" w:ascii="仿宋" w:hAnsi="仿宋" w:cs="仿宋"/>
          <w:spacing w:val="8"/>
          <w:sz w:val="31"/>
          <w:szCs w:val="31"/>
        </w:rPr>
        <w:t xml:space="preserve">    五</w:t>
      </w:r>
      <w:r>
        <w:rPr>
          <w:rFonts w:ascii="仿宋" w:hAnsi="仿宋" w:cs="仿宋"/>
          <w:spacing w:val="8"/>
          <w:sz w:val="31"/>
          <w:szCs w:val="31"/>
        </w:rPr>
        <w:t>、部门整体支出绩效情况</w:t>
      </w:r>
    </w:p>
    <w:p w14:paraId="3F23AEAB">
      <w:pPr>
        <w:spacing w:before="160" w:line="353" w:lineRule="auto"/>
        <w:ind w:left="249" w:leftChars="-159" w:right="663" w:rightChars="316" w:hanging="582"/>
        <w:rPr>
          <w:rFonts w:ascii="仿宋" w:hAnsi="仿宋" w:cs="仿宋"/>
          <w:spacing w:val="8"/>
          <w:sz w:val="31"/>
          <w:szCs w:val="31"/>
        </w:rPr>
      </w:pPr>
      <w:r>
        <w:rPr>
          <w:rFonts w:hint="eastAsia" w:ascii="仿宋" w:hAnsi="仿宋" w:cs="仿宋"/>
          <w:spacing w:val="8"/>
          <w:sz w:val="31"/>
          <w:szCs w:val="31"/>
        </w:rPr>
        <w:t xml:space="preserve">      </w:t>
      </w:r>
      <w:r>
        <w:rPr>
          <w:rFonts w:ascii="仿宋" w:hAnsi="仿宋" w:cs="仿宋"/>
          <w:spacing w:val="8"/>
          <w:sz w:val="31"/>
          <w:szCs w:val="31"/>
        </w:rPr>
        <w:t>2022年度科工信局在区委、区政府的正确领导下，在区人大、区政协的关心、支持和监督下，坚持党建引领，有效促进了局领导班子和党员干部队伍建设，实现“工作能力、攻坚合力、干事活力”三提高。局中心工作</w:t>
      </w:r>
      <w:r>
        <w:rPr>
          <w:rFonts w:hint="eastAsia" w:ascii="仿宋" w:hAnsi="仿宋" w:cs="仿宋"/>
          <w:spacing w:val="8"/>
          <w:sz w:val="31"/>
          <w:szCs w:val="31"/>
        </w:rPr>
        <w:t>获得省政府</w:t>
      </w:r>
      <w:r>
        <w:rPr>
          <w:rFonts w:ascii="仿宋" w:hAnsi="仿宋" w:cs="仿宋"/>
          <w:spacing w:val="8"/>
          <w:sz w:val="31"/>
          <w:szCs w:val="31"/>
        </w:rPr>
        <w:t>2022年建设信息基础设施和推进产业数字化真抓实干激励</w:t>
      </w:r>
      <w:r>
        <w:rPr>
          <w:rFonts w:hint="eastAsia" w:ascii="仿宋" w:hAnsi="仿宋" w:cs="仿宋"/>
          <w:spacing w:val="8"/>
          <w:sz w:val="31"/>
          <w:szCs w:val="31"/>
        </w:rPr>
        <w:t>表彰</w:t>
      </w:r>
      <w:r>
        <w:rPr>
          <w:rFonts w:ascii="仿宋" w:hAnsi="仿宋" w:cs="仿宋"/>
          <w:spacing w:val="8"/>
          <w:sz w:val="31"/>
          <w:szCs w:val="31"/>
        </w:rPr>
        <w:t>。根据部门整体支出绩效评价指标，部门整体支出绩效得分</w:t>
      </w:r>
      <w:r>
        <w:rPr>
          <w:rFonts w:hint="eastAsia" w:ascii="仿宋" w:hAnsi="仿宋" w:cs="仿宋"/>
          <w:spacing w:val="8"/>
          <w:sz w:val="31"/>
          <w:szCs w:val="31"/>
        </w:rPr>
        <w:t>99</w:t>
      </w:r>
      <w:r>
        <w:rPr>
          <w:rFonts w:ascii="仿宋" w:hAnsi="仿宋" w:cs="仿宋"/>
          <w:spacing w:val="8"/>
          <w:sz w:val="31"/>
          <w:szCs w:val="31"/>
        </w:rPr>
        <w:t>分，具体情况如下：</w:t>
      </w:r>
    </w:p>
    <w:p w14:paraId="62526113">
      <w:pPr>
        <w:spacing w:before="1" w:line="227" w:lineRule="auto"/>
        <w:ind w:left="669"/>
        <w:rPr>
          <w:rFonts w:ascii="仿宋" w:hAnsi="仿宋" w:cs="仿宋"/>
          <w:spacing w:val="8"/>
          <w:sz w:val="31"/>
          <w:szCs w:val="31"/>
        </w:rPr>
      </w:pPr>
      <w:r>
        <w:rPr>
          <w:rFonts w:ascii="仿宋" w:hAnsi="仿宋" w:cs="仿宋"/>
          <w:spacing w:val="8"/>
          <w:sz w:val="31"/>
          <w:szCs w:val="31"/>
        </w:rPr>
        <w:t>(一)预算执行率(分值10分，得</w:t>
      </w:r>
      <w:r>
        <w:rPr>
          <w:rFonts w:hint="eastAsia" w:ascii="仿宋" w:hAnsi="仿宋" w:cs="仿宋"/>
          <w:spacing w:val="8"/>
          <w:sz w:val="31"/>
          <w:szCs w:val="31"/>
        </w:rPr>
        <w:t>9</w:t>
      </w:r>
      <w:r>
        <w:rPr>
          <w:rFonts w:ascii="仿宋" w:hAnsi="仿宋" w:cs="仿宋"/>
          <w:spacing w:val="8"/>
          <w:sz w:val="31"/>
          <w:szCs w:val="31"/>
        </w:rPr>
        <w:t>分，扣</w:t>
      </w:r>
      <w:r>
        <w:rPr>
          <w:rFonts w:hint="eastAsia" w:ascii="仿宋" w:hAnsi="仿宋" w:cs="仿宋"/>
          <w:spacing w:val="8"/>
          <w:sz w:val="31"/>
          <w:szCs w:val="31"/>
        </w:rPr>
        <w:t>1</w:t>
      </w:r>
      <w:r>
        <w:rPr>
          <w:rFonts w:ascii="仿宋" w:hAnsi="仿宋" w:cs="仿宋"/>
          <w:spacing w:val="8"/>
          <w:sz w:val="31"/>
          <w:szCs w:val="31"/>
        </w:rPr>
        <w:t>分)</w:t>
      </w:r>
    </w:p>
    <w:p w14:paraId="57CA20B0">
      <w:pPr>
        <w:spacing w:before="205" w:line="342" w:lineRule="auto"/>
        <w:ind w:left="30" w:right="158" w:firstLine="640"/>
        <w:rPr>
          <w:rFonts w:ascii="仿宋" w:hAnsi="仿宋" w:cs="仿宋"/>
          <w:spacing w:val="8"/>
          <w:sz w:val="31"/>
          <w:szCs w:val="31"/>
        </w:rPr>
      </w:pPr>
      <w:r>
        <w:rPr>
          <w:rFonts w:ascii="仿宋" w:hAnsi="仿宋" w:cs="仿宋"/>
          <w:spacing w:val="8"/>
          <w:sz w:val="31"/>
          <w:szCs w:val="31"/>
        </w:rPr>
        <w:t>财政拨款全年预算数</w:t>
      </w:r>
      <w:r>
        <w:rPr>
          <w:rFonts w:hint="eastAsia" w:ascii="仿宋" w:hAnsi="仿宋" w:cs="仿宋"/>
          <w:spacing w:val="8"/>
          <w:sz w:val="31"/>
          <w:szCs w:val="31"/>
        </w:rPr>
        <w:t>11686.85</w:t>
      </w:r>
      <w:r>
        <w:rPr>
          <w:rFonts w:ascii="仿宋" w:hAnsi="仿宋" w:cs="仿宋"/>
          <w:spacing w:val="8"/>
          <w:sz w:val="31"/>
          <w:szCs w:val="31"/>
        </w:rPr>
        <w:t>万元，全年执行数</w:t>
      </w:r>
      <w:r>
        <w:rPr>
          <w:rFonts w:hint="eastAsia" w:ascii="仿宋" w:hAnsi="仿宋" w:cs="仿宋"/>
          <w:spacing w:val="8"/>
          <w:sz w:val="31"/>
          <w:szCs w:val="31"/>
        </w:rPr>
        <w:t>11686.85</w:t>
      </w:r>
      <w:r>
        <w:rPr>
          <w:rFonts w:ascii="仿宋" w:hAnsi="仿宋" w:cs="仿宋"/>
          <w:spacing w:val="8"/>
          <w:sz w:val="31"/>
          <w:szCs w:val="31"/>
        </w:rPr>
        <w:t>万元，预算执行率</w:t>
      </w:r>
      <w:r>
        <w:rPr>
          <w:rFonts w:hint="eastAsia" w:ascii="仿宋" w:hAnsi="仿宋" w:cs="仿宋"/>
          <w:spacing w:val="8"/>
          <w:sz w:val="31"/>
          <w:szCs w:val="31"/>
        </w:rPr>
        <w:t>100</w:t>
      </w:r>
      <w:r>
        <w:rPr>
          <w:rFonts w:ascii="仿宋" w:hAnsi="仿宋" w:cs="仿宋"/>
          <w:spacing w:val="8"/>
          <w:sz w:val="31"/>
          <w:szCs w:val="31"/>
        </w:rPr>
        <w:t>%。</w:t>
      </w:r>
    </w:p>
    <w:p w14:paraId="596A3EFC">
      <w:pPr>
        <w:spacing w:before="10" w:line="348" w:lineRule="auto"/>
        <w:ind w:left="692" w:right="753" w:hanging="23"/>
        <w:rPr>
          <w:rFonts w:ascii="仿宋" w:hAnsi="仿宋" w:cs="仿宋"/>
          <w:spacing w:val="8"/>
          <w:sz w:val="31"/>
          <w:szCs w:val="31"/>
        </w:rPr>
      </w:pPr>
      <w:r>
        <w:rPr>
          <w:rFonts w:ascii="仿宋" w:hAnsi="仿宋" w:cs="仿宋"/>
          <w:spacing w:val="8"/>
          <w:sz w:val="31"/>
          <w:szCs w:val="31"/>
        </w:rPr>
        <w:t>(二)产出指标(分值50分，得50分，未扣分)</w:t>
      </w:r>
    </w:p>
    <w:p w14:paraId="1E48EC2A">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1、抓产业培育，厚植产业发展优势 ，</w:t>
      </w:r>
      <w:r>
        <w:rPr>
          <w:rFonts w:ascii="仿宋" w:hAnsi="仿宋" w:cs="仿宋"/>
          <w:spacing w:val="8"/>
          <w:sz w:val="31"/>
          <w:szCs w:val="31"/>
        </w:rPr>
        <w:t>年度指标值：</w:t>
      </w:r>
      <w:r>
        <w:rPr>
          <w:rFonts w:hint="eastAsia" w:ascii="仿宋" w:hAnsi="仿宋" w:cs="仿宋"/>
          <w:spacing w:val="8"/>
          <w:sz w:val="31"/>
          <w:szCs w:val="31"/>
        </w:rPr>
        <w:t>实施产业发展“万千百”工程，</w:t>
      </w:r>
      <w:r>
        <w:rPr>
          <w:rFonts w:ascii="仿宋" w:hAnsi="仿宋" w:cs="仿宋"/>
          <w:spacing w:val="8"/>
          <w:sz w:val="31"/>
          <w:szCs w:val="31"/>
        </w:rPr>
        <w:t>实际完成值：</w:t>
      </w:r>
      <w:r>
        <w:rPr>
          <w:rFonts w:hint="eastAsia" w:ascii="仿宋" w:hAnsi="仿宋" w:cs="仿宋"/>
          <w:spacing w:val="8"/>
          <w:sz w:val="31"/>
          <w:szCs w:val="31"/>
        </w:rPr>
        <w:t>完成情况居五城区前列</w:t>
      </w:r>
      <w:r>
        <w:rPr>
          <w:rFonts w:ascii="仿宋" w:hAnsi="仿宋" w:cs="仿宋"/>
          <w:spacing w:val="8"/>
          <w:sz w:val="31"/>
          <w:szCs w:val="31"/>
        </w:rPr>
        <w:t>，分值</w:t>
      </w:r>
      <w:r>
        <w:rPr>
          <w:rFonts w:hint="eastAsia" w:ascii="仿宋" w:hAnsi="仿宋" w:cs="仿宋"/>
          <w:spacing w:val="8"/>
          <w:sz w:val="31"/>
          <w:szCs w:val="31"/>
        </w:rPr>
        <w:t>5</w:t>
      </w:r>
      <w:r>
        <w:rPr>
          <w:rFonts w:ascii="仿宋" w:hAnsi="仿宋" w:cs="仿宋"/>
          <w:spacing w:val="8"/>
          <w:sz w:val="31"/>
          <w:szCs w:val="31"/>
        </w:rPr>
        <w:t>分，得分</w:t>
      </w:r>
      <w:r>
        <w:rPr>
          <w:rFonts w:hint="eastAsia" w:ascii="仿宋" w:hAnsi="仿宋" w:cs="仿宋"/>
          <w:spacing w:val="8"/>
          <w:sz w:val="31"/>
          <w:szCs w:val="31"/>
        </w:rPr>
        <w:t>5</w:t>
      </w:r>
      <w:r>
        <w:rPr>
          <w:rFonts w:ascii="仿宋" w:hAnsi="仿宋" w:cs="仿宋"/>
          <w:spacing w:val="8"/>
          <w:sz w:val="31"/>
          <w:szCs w:val="31"/>
        </w:rPr>
        <w:t>分。</w:t>
      </w:r>
    </w:p>
    <w:p w14:paraId="786B86E6">
      <w:pPr>
        <w:spacing w:line="570" w:lineRule="exact"/>
        <w:ind w:firstLine="652" w:firstLineChars="200"/>
        <w:rPr>
          <w:rFonts w:ascii="仿宋" w:hAnsi="仿宋" w:cs="仿宋"/>
          <w:spacing w:val="8"/>
          <w:sz w:val="31"/>
          <w:szCs w:val="31"/>
        </w:rPr>
      </w:pPr>
      <w:r>
        <w:rPr>
          <w:rFonts w:ascii="仿宋" w:hAnsi="仿宋" w:cs="仿宋"/>
          <w:spacing w:val="8"/>
          <w:sz w:val="31"/>
          <w:szCs w:val="31"/>
        </w:rPr>
        <w:t>大力实施产业发展“万千百”工程，我区现有市级重点项目5个，其中金杯电工环保电线智能化项目和恒飞智能化产业园项目</w:t>
      </w:r>
      <w:r>
        <w:rPr>
          <w:rFonts w:hint="eastAsia" w:ascii="仿宋" w:hAnsi="仿宋" w:cs="仿宋"/>
          <w:spacing w:val="8"/>
          <w:sz w:val="31"/>
          <w:szCs w:val="31"/>
        </w:rPr>
        <w:t>等2个亿元项目</w:t>
      </w:r>
      <w:r>
        <w:rPr>
          <w:rFonts w:ascii="仿宋" w:hAnsi="仿宋" w:cs="仿宋"/>
          <w:spacing w:val="8"/>
          <w:sz w:val="31"/>
          <w:szCs w:val="31"/>
        </w:rPr>
        <w:t>已</w:t>
      </w:r>
      <w:r>
        <w:rPr>
          <w:rFonts w:hint="eastAsia" w:ascii="仿宋" w:hAnsi="仿宋" w:cs="仿宋"/>
          <w:spacing w:val="8"/>
          <w:sz w:val="31"/>
          <w:szCs w:val="31"/>
        </w:rPr>
        <w:t>于2022年度</w:t>
      </w:r>
      <w:r>
        <w:rPr>
          <w:rFonts w:ascii="仿宋" w:hAnsi="仿宋" w:cs="仿宋"/>
          <w:spacing w:val="8"/>
          <w:sz w:val="31"/>
          <w:szCs w:val="31"/>
        </w:rPr>
        <w:t>开工</w:t>
      </w:r>
      <w:r>
        <w:rPr>
          <w:rFonts w:hint="eastAsia" w:ascii="仿宋" w:hAnsi="仿宋" w:cs="仿宋"/>
          <w:spacing w:val="8"/>
          <w:sz w:val="31"/>
          <w:szCs w:val="31"/>
        </w:rPr>
        <w:t>；</w:t>
      </w:r>
      <w:r>
        <w:rPr>
          <w:rFonts w:ascii="仿宋" w:hAnsi="仿宋" w:cs="仿宋"/>
          <w:spacing w:val="8"/>
          <w:sz w:val="31"/>
          <w:szCs w:val="31"/>
        </w:rPr>
        <w:t>实施智能化升级项目3个</w:t>
      </w:r>
      <w:r>
        <w:rPr>
          <w:rFonts w:hint="eastAsia" w:ascii="仿宋" w:hAnsi="仿宋" w:cs="仿宋"/>
          <w:spacing w:val="8"/>
          <w:sz w:val="31"/>
          <w:szCs w:val="31"/>
        </w:rPr>
        <w:t>，</w:t>
      </w:r>
      <w:r>
        <w:rPr>
          <w:rFonts w:ascii="仿宋" w:hAnsi="仿宋" w:cs="仿宋"/>
          <w:spacing w:val="8"/>
          <w:sz w:val="31"/>
          <w:szCs w:val="31"/>
        </w:rPr>
        <w:t>培育数字新基建项目1个，实施“三化”改造项目3个，培育绿色设计产品1个</w:t>
      </w:r>
      <w:r>
        <w:rPr>
          <w:rFonts w:hint="eastAsia" w:ascii="仿宋" w:hAnsi="仿宋" w:cs="仿宋"/>
          <w:spacing w:val="8"/>
          <w:sz w:val="31"/>
          <w:szCs w:val="31"/>
        </w:rPr>
        <w:t>，完成情况居五城区前列。</w:t>
      </w:r>
    </w:p>
    <w:p w14:paraId="496821A9">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2、培育专精特新“小巨人”企业，年度指标值：推荐企业申报，实际完成值：国家级1个省市级13个，分值5分，得分5分。</w:t>
      </w:r>
    </w:p>
    <w:p w14:paraId="12CED74F">
      <w:pPr>
        <w:spacing w:line="580" w:lineRule="exact"/>
        <w:ind w:firstLine="652" w:firstLineChars="200"/>
        <w:rPr>
          <w:rFonts w:ascii="仿宋" w:hAnsi="仿宋" w:cs="仿宋"/>
          <w:spacing w:val="8"/>
          <w:sz w:val="31"/>
          <w:szCs w:val="31"/>
        </w:rPr>
      </w:pPr>
      <w:r>
        <w:rPr>
          <w:rFonts w:ascii="仿宋" w:hAnsi="仿宋" w:cs="仿宋"/>
          <w:spacing w:val="8"/>
          <w:sz w:val="31"/>
          <w:szCs w:val="31"/>
        </w:rPr>
        <w:t>成功培育</w:t>
      </w:r>
      <w:r>
        <w:rPr>
          <w:rFonts w:hint="eastAsia" w:ascii="仿宋" w:hAnsi="仿宋" w:cs="仿宋"/>
          <w:spacing w:val="8"/>
          <w:sz w:val="31"/>
          <w:szCs w:val="31"/>
        </w:rPr>
        <w:t>省级以上</w:t>
      </w:r>
      <w:bookmarkStart w:id="0" w:name="_GoBack"/>
      <w:bookmarkEnd w:id="0"/>
      <w:r>
        <w:rPr>
          <w:rFonts w:hint="eastAsia" w:ascii="仿宋" w:hAnsi="仿宋" w:cs="仿宋"/>
          <w:spacing w:val="8"/>
          <w:sz w:val="31"/>
          <w:szCs w:val="31"/>
          <w:lang w:eastAsia="zh-CN"/>
        </w:rPr>
        <w:t>专精特新“小巨人”</w:t>
      </w:r>
      <w:r>
        <w:rPr>
          <w:rFonts w:hint="eastAsia" w:ascii="仿宋" w:hAnsi="仿宋" w:cs="仿宋"/>
          <w:spacing w:val="8"/>
          <w:sz w:val="31"/>
          <w:szCs w:val="31"/>
        </w:rPr>
        <w:t>企业3家，现有</w:t>
      </w:r>
      <w:r>
        <w:rPr>
          <w:rFonts w:ascii="仿宋" w:hAnsi="仿宋" w:cs="仿宋"/>
          <w:spacing w:val="8"/>
          <w:sz w:val="31"/>
          <w:szCs w:val="31"/>
        </w:rPr>
        <w:t>市级以上</w:t>
      </w:r>
      <w:r>
        <w:rPr>
          <w:rFonts w:hint="eastAsia" w:ascii="仿宋" w:hAnsi="仿宋" w:cs="仿宋"/>
          <w:spacing w:val="8"/>
          <w:sz w:val="31"/>
          <w:szCs w:val="31"/>
          <w:lang w:eastAsia="zh-CN"/>
        </w:rPr>
        <w:t>专精特新“小巨人”</w:t>
      </w:r>
      <w:r>
        <w:rPr>
          <w:rFonts w:ascii="仿宋" w:hAnsi="仿宋" w:cs="仿宋"/>
          <w:spacing w:val="8"/>
          <w:sz w:val="31"/>
          <w:szCs w:val="31"/>
        </w:rPr>
        <w:t>企业13家，其中国家级1家，省级9家；</w:t>
      </w:r>
    </w:p>
    <w:p w14:paraId="23D900A0">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3、数字赋能企业发展，年度指标值：信息技术与制造业加速融合发展，实际完成值：企业实现上云372家，上平台257家，分值5分，得分5分。</w:t>
      </w:r>
    </w:p>
    <w:p w14:paraId="33507E73">
      <w:pPr>
        <w:spacing w:line="580" w:lineRule="exact"/>
        <w:ind w:firstLine="652" w:firstLineChars="200"/>
        <w:rPr>
          <w:rFonts w:ascii="仿宋" w:hAnsi="仿宋" w:cs="仿宋"/>
          <w:spacing w:val="8"/>
          <w:sz w:val="31"/>
          <w:szCs w:val="31"/>
        </w:rPr>
      </w:pPr>
      <w:r>
        <w:rPr>
          <w:rFonts w:ascii="仿宋" w:hAnsi="仿宋" w:cs="仿宋"/>
          <w:spacing w:val="8"/>
          <w:sz w:val="31"/>
          <w:szCs w:val="31"/>
        </w:rPr>
        <w:t>转变企业发展意识</w:t>
      </w:r>
      <w:r>
        <w:rPr>
          <w:rFonts w:hint="eastAsia" w:ascii="仿宋" w:hAnsi="仿宋" w:cs="仿宋"/>
          <w:spacing w:val="8"/>
          <w:sz w:val="31"/>
          <w:szCs w:val="31"/>
        </w:rPr>
        <w:t>，</w:t>
      </w:r>
      <w:r>
        <w:rPr>
          <w:rFonts w:ascii="仿宋" w:hAnsi="仿宋" w:cs="仿宋"/>
          <w:spacing w:val="8"/>
          <w:sz w:val="31"/>
          <w:szCs w:val="31"/>
        </w:rPr>
        <w:t>实现企业上云372家，上平台257家；</w:t>
      </w:r>
    </w:p>
    <w:p w14:paraId="5AE28A72">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4、人才培育，产业振兴，年度指标值：组织科技专家培育团，实际完成值：开展了各项活动，分值5分，得分5分。</w:t>
      </w:r>
    </w:p>
    <w:p w14:paraId="388E7582">
      <w:pPr>
        <w:spacing w:line="580" w:lineRule="exact"/>
        <w:ind w:firstLine="652" w:firstLineChars="200"/>
        <w:rPr>
          <w:rFonts w:ascii="仿宋" w:hAnsi="仿宋" w:cs="仿宋"/>
          <w:spacing w:val="8"/>
          <w:sz w:val="31"/>
          <w:szCs w:val="31"/>
        </w:rPr>
      </w:pPr>
      <w:r>
        <w:rPr>
          <w:rFonts w:ascii="仿宋" w:hAnsi="仿宋" w:cs="仿宋"/>
          <w:spacing w:val="8"/>
          <w:sz w:val="31"/>
          <w:szCs w:val="31"/>
        </w:rPr>
        <w:t>雁峰区科技专家服务团成员增至111人，其中博士18人，高级职称44人（教授7人），基本覆盖辖区主要行业</w:t>
      </w:r>
      <w:r>
        <w:rPr>
          <w:rFonts w:hint="eastAsia" w:ascii="仿宋" w:hAnsi="仿宋" w:cs="仿宋"/>
          <w:spacing w:val="8"/>
          <w:sz w:val="31"/>
          <w:szCs w:val="31"/>
        </w:rPr>
        <w:t>。2022年度</w:t>
      </w:r>
      <w:r>
        <w:rPr>
          <w:rFonts w:ascii="仿宋" w:hAnsi="仿宋" w:cs="仿宋"/>
          <w:spacing w:val="8"/>
          <w:sz w:val="31"/>
          <w:szCs w:val="31"/>
        </w:rPr>
        <w:t>组织</w:t>
      </w:r>
      <w:r>
        <w:rPr>
          <w:rFonts w:hint="eastAsia" w:ascii="仿宋" w:hAnsi="仿宋" w:cs="仿宋"/>
          <w:spacing w:val="8"/>
          <w:sz w:val="31"/>
          <w:szCs w:val="31"/>
        </w:rPr>
        <w:t>科技专家服务团、高校</w:t>
      </w:r>
      <w:r>
        <w:rPr>
          <w:rFonts w:ascii="仿宋" w:hAnsi="仿宋" w:cs="仿宋"/>
          <w:spacing w:val="8"/>
          <w:sz w:val="31"/>
          <w:szCs w:val="31"/>
        </w:rPr>
        <w:t>博士团队进企200余人次，为企业精准匹配高校师资团队10余个</w:t>
      </w:r>
      <w:r>
        <w:rPr>
          <w:rFonts w:hint="eastAsia" w:ascii="仿宋" w:hAnsi="仿宋" w:cs="仿宋"/>
          <w:spacing w:val="8"/>
          <w:sz w:val="31"/>
          <w:szCs w:val="31"/>
        </w:rPr>
        <w:t>，柔性引进各类科技人才40名，</w:t>
      </w:r>
    </w:p>
    <w:p w14:paraId="0E151839">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5、推动产业数字化升级，年度指标值：建设大数据产业园，实际完成值：进行中，分值10分，得分10分。</w:t>
      </w:r>
    </w:p>
    <w:p w14:paraId="2AB5E315">
      <w:pPr>
        <w:spacing w:before="202" w:line="341" w:lineRule="auto"/>
        <w:ind w:left="22" w:firstLine="652" w:firstLineChars="200"/>
        <w:rPr>
          <w:rFonts w:ascii="仿宋" w:hAnsi="仿宋" w:cs="仿宋"/>
          <w:spacing w:val="8"/>
          <w:sz w:val="31"/>
          <w:szCs w:val="31"/>
        </w:rPr>
      </w:pPr>
      <w:r>
        <w:rPr>
          <w:rFonts w:hint="eastAsia" w:ascii="仿宋" w:hAnsi="仿宋" w:cs="仿宋"/>
          <w:spacing w:val="8"/>
          <w:sz w:val="31"/>
          <w:szCs w:val="31"/>
        </w:rPr>
        <w:t>6、</w:t>
      </w:r>
      <w:r>
        <w:rPr>
          <w:rFonts w:ascii="仿宋" w:hAnsi="仿宋" w:cs="仿宋"/>
          <w:spacing w:val="8"/>
          <w:sz w:val="31"/>
          <w:szCs w:val="31"/>
        </w:rPr>
        <w:t>资金使用合规性，年度指标值：合规，实际完成值：合规，分值</w:t>
      </w:r>
      <w:r>
        <w:rPr>
          <w:rFonts w:hint="eastAsia" w:ascii="仿宋" w:hAnsi="仿宋" w:cs="仿宋"/>
          <w:spacing w:val="8"/>
          <w:sz w:val="31"/>
          <w:szCs w:val="31"/>
        </w:rPr>
        <w:t>10</w:t>
      </w:r>
      <w:r>
        <w:rPr>
          <w:rFonts w:ascii="仿宋" w:hAnsi="仿宋" w:cs="仿宋"/>
          <w:spacing w:val="8"/>
          <w:sz w:val="31"/>
          <w:szCs w:val="31"/>
        </w:rPr>
        <w:t>分，得分</w:t>
      </w:r>
      <w:r>
        <w:rPr>
          <w:rFonts w:hint="eastAsia" w:ascii="仿宋" w:hAnsi="仿宋" w:cs="仿宋"/>
          <w:spacing w:val="8"/>
          <w:sz w:val="31"/>
          <w:szCs w:val="31"/>
        </w:rPr>
        <w:t>10</w:t>
      </w:r>
      <w:r>
        <w:rPr>
          <w:rFonts w:ascii="仿宋" w:hAnsi="仿宋" w:cs="仿宋"/>
          <w:spacing w:val="8"/>
          <w:sz w:val="31"/>
          <w:szCs w:val="31"/>
        </w:rPr>
        <w:t>分。</w:t>
      </w:r>
    </w:p>
    <w:p w14:paraId="705F6A19">
      <w:pPr>
        <w:spacing w:before="202" w:line="341" w:lineRule="auto"/>
        <w:ind w:left="22"/>
        <w:rPr>
          <w:rFonts w:ascii="仿宋" w:hAnsi="仿宋" w:cs="仿宋"/>
          <w:spacing w:val="8"/>
          <w:sz w:val="31"/>
          <w:szCs w:val="31"/>
        </w:rPr>
      </w:pPr>
      <w:r>
        <w:rPr>
          <w:rFonts w:hint="eastAsia" w:ascii="仿宋" w:hAnsi="仿宋" w:cs="仿宋"/>
          <w:spacing w:val="8"/>
          <w:sz w:val="31"/>
          <w:szCs w:val="31"/>
        </w:rPr>
        <w:t xml:space="preserve">    </w:t>
      </w:r>
      <w:r>
        <w:rPr>
          <w:rFonts w:ascii="仿宋" w:hAnsi="仿宋" w:cs="仿宋"/>
          <w:spacing w:val="8"/>
          <w:sz w:val="31"/>
          <w:szCs w:val="31"/>
        </w:rPr>
        <w:t>全面实施预算绩效管理，合理安排预算收支；预算资金使用符合国家财经法规和单位财务管理制度规定，资金支付有完整的审批流程和手续；资金使用无截留、挤占、挪用、虚列支出等情况。</w:t>
      </w:r>
    </w:p>
    <w:p w14:paraId="56E4B954">
      <w:pPr>
        <w:spacing w:before="20" w:line="232" w:lineRule="auto"/>
        <w:ind w:firstLine="652" w:firstLineChars="200"/>
        <w:rPr>
          <w:rFonts w:ascii="仿宋" w:hAnsi="仿宋" w:cs="仿宋"/>
          <w:spacing w:val="8"/>
          <w:sz w:val="31"/>
          <w:szCs w:val="31"/>
        </w:rPr>
      </w:pPr>
      <w:r>
        <w:rPr>
          <w:rFonts w:ascii="仿宋" w:hAnsi="仿宋" w:cs="仿宋"/>
          <w:spacing w:val="8"/>
          <w:sz w:val="31"/>
          <w:szCs w:val="31"/>
        </w:rPr>
        <w:t xml:space="preserve"> (三)效益指标(分值30分，得30分，未扣分)</w:t>
      </w:r>
    </w:p>
    <w:p w14:paraId="3437940B">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1、搭建服务平台，年度指标值：提质增效，实际完成值：完成，分值5分，得分5分。</w:t>
      </w:r>
    </w:p>
    <w:p w14:paraId="52E278BE">
      <w:pPr>
        <w:spacing w:line="580" w:lineRule="exact"/>
        <w:ind w:firstLine="652" w:firstLineChars="200"/>
        <w:rPr>
          <w:rFonts w:ascii="仿宋" w:hAnsi="仿宋" w:cs="仿宋"/>
          <w:spacing w:val="8"/>
          <w:sz w:val="31"/>
          <w:szCs w:val="31"/>
        </w:rPr>
      </w:pPr>
      <w:r>
        <w:rPr>
          <w:rFonts w:ascii="仿宋" w:hAnsi="仿宋" w:cs="仿宋"/>
          <w:spacing w:val="8"/>
          <w:sz w:val="31"/>
          <w:szCs w:val="31"/>
        </w:rPr>
        <w:t>引进15家创新创业服务机构（平台），</w:t>
      </w:r>
      <w:r>
        <w:rPr>
          <w:rFonts w:hint="eastAsia" w:ascii="仿宋" w:hAnsi="仿宋" w:cs="仿宋"/>
          <w:spacing w:val="8"/>
          <w:sz w:val="31"/>
          <w:szCs w:val="31"/>
        </w:rPr>
        <w:t>现有</w:t>
      </w:r>
      <w:r>
        <w:rPr>
          <w:rFonts w:ascii="仿宋" w:hAnsi="仿宋" w:cs="仿宋"/>
          <w:spacing w:val="8"/>
          <w:sz w:val="31"/>
          <w:szCs w:val="31"/>
        </w:rPr>
        <w:t>138个创新服务机构，培育国家级和省级创新创业基地8个、技术中心9个</w:t>
      </w:r>
      <w:r>
        <w:rPr>
          <w:rFonts w:hint="eastAsia" w:ascii="仿宋" w:hAnsi="仿宋" w:cs="仿宋"/>
          <w:spacing w:val="8"/>
          <w:sz w:val="31"/>
          <w:szCs w:val="31"/>
        </w:rPr>
        <w:t>，服务创新主体提质增效。</w:t>
      </w:r>
    </w:p>
    <w:p w14:paraId="2244CCBC">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2、精准服务，解决企业实际困难，年度指标值：开展各种活动，实际完成值：解决困难170个，分值5分，得分5分。</w:t>
      </w:r>
    </w:p>
    <w:p w14:paraId="04186CCB">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2</w:t>
      </w:r>
      <w:r>
        <w:rPr>
          <w:rFonts w:ascii="仿宋" w:hAnsi="仿宋" w:cs="仿宋"/>
          <w:spacing w:val="8"/>
          <w:sz w:val="31"/>
          <w:szCs w:val="31"/>
        </w:rPr>
        <w:t>022年牵头开展雁峰区“送政策、解难题、优服务”百人联百企行动，收集各类问题239个，通过“两渠道”化解，推动区本级快速解决困难170个，问题解决率100%</w:t>
      </w:r>
      <w:r>
        <w:rPr>
          <w:rFonts w:hint="eastAsia" w:ascii="仿宋" w:hAnsi="仿宋" w:cs="仿宋"/>
          <w:spacing w:val="8"/>
          <w:sz w:val="31"/>
          <w:szCs w:val="31"/>
        </w:rPr>
        <w:t>。</w:t>
      </w:r>
    </w:p>
    <w:p w14:paraId="7B8983F3">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3、预决算信息公开，年度指标值：按要求公开，实际完成值：已按照规定内容在规定时限内公开预决算信息，分值5分，得分5分。</w:t>
      </w:r>
    </w:p>
    <w:p w14:paraId="2E2850F4">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开展了科技业务培训会，大力实施“博士团队进企”行动，为企业精准匹配高校师资团队10余个。</w:t>
      </w:r>
    </w:p>
    <w:p w14:paraId="7500482A">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4、助力科技项目申报，年度指标值：推荐企业申报科技项目，实际完成值：完成多家申报，分值5分，得分5分。</w:t>
      </w:r>
    </w:p>
    <w:p w14:paraId="7670D07E">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 xml:space="preserve"> (四)满意度指标(分值10分，得10分，未扣分)</w:t>
      </w:r>
    </w:p>
    <w:p w14:paraId="32E51308">
      <w:pPr>
        <w:spacing w:line="580" w:lineRule="exact"/>
        <w:ind w:firstLine="652" w:firstLineChars="200"/>
        <w:rPr>
          <w:rFonts w:ascii="仿宋" w:hAnsi="仿宋" w:cs="仿宋"/>
          <w:spacing w:val="8"/>
          <w:sz w:val="31"/>
          <w:szCs w:val="31"/>
        </w:rPr>
      </w:pPr>
      <w:r>
        <w:rPr>
          <w:rFonts w:hint="eastAsia" w:ascii="仿宋" w:hAnsi="仿宋" w:cs="仿宋"/>
          <w:spacing w:val="8"/>
          <w:sz w:val="31"/>
          <w:szCs w:val="31"/>
        </w:rPr>
        <w:t>企业满意度，年度指标值：≥90%，实际完成值：90%，分值10分，得分10分。</w:t>
      </w:r>
    </w:p>
    <w:p w14:paraId="11D47E0E">
      <w:pPr>
        <w:spacing w:before="1" w:line="223" w:lineRule="auto"/>
        <w:ind w:left="677"/>
        <w:rPr>
          <w:rFonts w:ascii="仿宋" w:hAnsi="仿宋" w:cs="仿宋"/>
          <w:spacing w:val="8"/>
          <w:sz w:val="31"/>
          <w:szCs w:val="31"/>
        </w:rPr>
      </w:pPr>
      <w:r>
        <w:rPr>
          <w:rFonts w:ascii="仿宋" w:hAnsi="仿宋" w:cs="仿宋"/>
          <w:spacing w:val="8"/>
          <w:sz w:val="31"/>
          <w:szCs w:val="31"/>
        </w:rPr>
        <w:t>七、存在的问题及原因分析</w:t>
      </w:r>
    </w:p>
    <w:p w14:paraId="10042F62">
      <w:pPr>
        <w:spacing w:before="184" w:line="346" w:lineRule="auto"/>
        <w:ind w:left="36" w:right="47" w:firstLine="654"/>
        <w:rPr>
          <w:rFonts w:ascii="仿宋" w:hAnsi="仿宋" w:cs="仿宋"/>
          <w:spacing w:val="8"/>
          <w:sz w:val="31"/>
          <w:szCs w:val="31"/>
        </w:rPr>
      </w:pPr>
      <w:r>
        <w:rPr>
          <w:rFonts w:ascii="仿宋" w:hAnsi="仿宋" w:cs="仿宋"/>
          <w:spacing w:val="8"/>
          <w:sz w:val="31"/>
          <w:szCs w:val="31"/>
        </w:rPr>
        <w:t>年初部门预算前瞻性有待进一步加强。年初部门预算编制不够精准，年中</w:t>
      </w:r>
      <w:r>
        <w:rPr>
          <w:rFonts w:hint="eastAsia" w:ascii="仿宋" w:hAnsi="仿宋" w:cs="仿宋"/>
          <w:spacing w:val="8"/>
          <w:sz w:val="31"/>
          <w:szCs w:val="31"/>
        </w:rPr>
        <w:t>调整了</w:t>
      </w:r>
      <w:r>
        <w:rPr>
          <w:rFonts w:ascii="仿宋" w:hAnsi="仿宋" w:cs="仿宋"/>
          <w:spacing w:val="8"/>
          <w:sz w:val="31"/>
          <w:szCs w:val="31"/>
        </w:rPr>
        <w:t>部分预算。</w:t>
      </w:r>
    </w:p>
    <w:p w14:paraId="6A02576E">
      <w:pPr>
        <w:spacing w:line="223" w:lineRule="auto"/>
        <w:ind w:left="668"/>
        <w:rPr>
          <w:rFonts w:ascii="仿宋" w:hAnsi="仿宋" w:cs="仿宋"/>
          <w:spacing w:val="8"/>
          <w:sz w:val="31"/>
          <w:szCs w:val="31"/>
        </w:rPr>
      </w:pPr>
      <w:r>
        <w:rPr>
          <w:rFonts w:ascii="仿宋" w:hAnsi="仿宋" w:cs="仿宋"/>
          <w:spacing w:val="8"/>
          <w:sz w:val="31"/>
          <w:szCs w:val="31"/>
        </w:rPr>
        <w:t>八、下一步改进措施</w:t>
      </w:r>
    </w:p>
    <w:p w14:paraId="2A871551">
      <w:pPr>
        <w:spacing w:before="207" w:line="345" w:lineRule="auto"/>
        <w:ind w:left="20" w:firstLine="666"/>
        <w:rPr>
          <w:rFonts w:ascii="仿宋" w:hAnsi="仿宋" w:cs="仿宋"/>
          <w:spacing w:val="8"/>
          <w:sz w:val="31"/>
          <w:szCs w:val="31"/>
        </w:rPr>
      </w:pPr>
      <w:r>
        <w:rPr>
          <w:rFonts w:ascii="仿宋" w:hAnsi="仿宋" w:cs="仿宋"/>
          <w:spacing w:val="8"/>
          <w:sz w:val="31"/>
          <w:szCs w:val="31"/>
        </w:rPr>
        <w:t>一是进一步提高预算执行率。加强预算执行动态分析，针对项目跨年度结算的问题，争取项目尽早计划、尽早开展、尽早结算，加快预算执行进度，提高财政资金使用效益。</w:t>
      </w:r>
    </w:p>
    <w:p w14:paraId="6E2E8F55">
      <w:pPr>
        <w:spacing w:before="4" w:line="344" w:lineRule="auto"/>
        <w:ind w:left="29" w:right="47" w:firstLine="655"/>
        <w:rPr>
          <w:rFonts w:ascii="仿宋" w:hAnsi="仿宋" w:cs="仿宋"/>
          <w:spacing w:val="8"/>
          <w:sz w:val="31"/>
          <w:szCs w:val="31"/>
        </w:rPr>
      </w:pPr>
      <w:r>
        <w:rPr>
          <w:rFonts w:ascii="仿宋" w:hAnsi="仿宋" w:cs="仿宋"/>
          <w:spacing w:val="8"/>
          <w:sz w:val="31"/>
          <w:szCs w:val="31"/>
        </w:rPr>
        <w:t>二是进一步加强预算绩效管理。加大对《湖南省预算绩效目标管理办法》相关规定的宣传和培训，增强绩效目标设置的科学性、合理性和规范性，强化预算支出责任，提高资金使用效益。</w:t>
      </w:r>
    </w:p>
    <w:p w14:paraId="6FF7864C">
      <w:pPr>
        <w:spacing w:line="540" w:lineRule="exact"/>
        <w:ind w:firstLine="652" w:firstLineChars="200"/>
        <w:rPr>
          <w:rFonts w:ascii="仿宋" w:hAnsi="仿宋" w:cs="仿宋"/>
          <w:spacing w:val="8"/>
          <w:sz w:val="31"/>
          <w:szCs w:val="31"/>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yYjEzNGQ1NTg3MzJiZTA4M2VhNjNmZjE2OTI4NzQ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066D"/>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87A65"/>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6795D"/>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4754F"/>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2D76"/>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4D68"/>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2E23"/>
    <w:rsid w:val="00A65CEC"/>
    <w:rsid w:val="00A6723D"/>
    <w:rsid w:val="00A67B64"/>
    <w:rsid w:val="00A73D08"/>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8C2"/>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3412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3F71"/>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6C64"/>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01E70FA4"/>
    <w:rsid w:val="29036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80F9-875B-4435-9F16-4031E8FF5AD4}">
  <ds:schemaRefs/>
</ds:datastoreItem>
</file>

<file path=docProps/app.xml><?xml version="1.0" encoding="utf-8"?>
<Properties xmlns="http://schemas.openxmlformats.org/officeDocument/2006/extended-properties" xmlns:vt="http://schemas.openxmlformats.org/officeDocument/2006/docPropsVTypes">
  <Template>Normal.dotm</Template>
  <Company>Win7_64</Company>
  <Pages>7</Pages>
  <Words>3922</Words>
  <Characters>4097</Characters>
  <Lines>29</Lines>
  <Paragraphs>8</Paragraphs>
  <TotalTime>34</TotalTime>
  <ScaleCrop>false</ScaleCrop>
  <LinksUpToDate>false</LinksUpToDate>
  <CharactersWithSpaces>4143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2022-09-07T09:20:00Z</dcterms:created>
  <dc:creator>雁峰区政府研究中心</dc:creator>
  <cp:lastModifiedBy>邓婷</cp:lastModifiedBy>
  <dcterms:modified xsi:type="dcterms:W3CDTF">2025-05-30T02:52:46Z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0B15E958E7194151840F76081C21CA85</vt:lpwstr>
  </property>
  <property fmtid="{D5CDD505-2E9C-101B-9397-08002B2CF9AE}" pid="4" name="KSOTemplateDocerSaveRecord">
    <vt:lpwstr>eyJoZGlkIjoiN2Y2YTkzM2Q3ZjFmZDA3MzYxZmZlNThiZjdiNmYxNGYiLCJ1c2VySWQiOiIxMDY5MjgzMDcxIn0=</vt:lpwstr>
  </property>
</Properties>
</file>