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EF" w:rsidRDefault="00B80AEF">
      <w:pPr>
        <w:jc w:val="center"/>
        <w:rPr>
          <w:rFonts w:ascii="方正小标宋简体" w:eastAsia="方正小标宋简体" w:hAnsi="方正小标宋简体" w:cs="方正小标宋简体" w:hint="eastAsia"/>
          <w:sz w:val="44"/>
          <w:szCs w:val="44"/>
        </w:rPr>
      </w:pPr>
    </w:p>
    <w:p w:rsidR="00B80AEF" w:rsidRDefault="00B80AEF">
      <w:pPr>
        <w:jc w:val="center"/>
        <w:rPr>
          <w:rFonts w:ascii="方正小标宋简体" w:eastAsia="方正小标宋简体" w:hAnsi="方正小标宋简体" w:cs="方正小标宋简体"/>
          <w:sz w:val="44"/>
          <w:szCs w:val="44"/>
        </w:rPr>
      </w:pPr>
    </w:p>
    <w:p w:rsidR="00B80AEF" w:rsidRDefault="00B80AEF">
      <w:pPr>
        <w:jc w:val="center"/>
        <w:rPr>
          <w:rFonts w:ascii="方正小标宋简体" w:eastAsia="方正小标宋简体" w:hAnsi="方正小标宋简体" w:cs="方正小标宋简体"/>
          <w:sz w:val="44"/>
          <w:szCs w:val="44"/>
        </w:rPr>
      </w:pPr>
    </w:p>
    <w:p w:rsidR="00B80AEF" w:rsidRDefault="00B80AEF">
      <w:pPr>
        <w:jc w:val="center"/>
        <w:rPr>
          <w:rFonts w:ascii="方正小标宋简体" w:eastAsia="方正小标宋简体" w:hAnsi="方正小标宋简体" w:cs="方正小标宋简体"/>
          <w:sz w:val="44"/>
          <w:szCs w:val="44"/>
        </w:rPr>
      </w:pPr>
    </w:p>
    <w:p w:rsidR="00B80AEF" w:rsidRDefault="00B80AEF">
      <w:pPr>
        <w:jc w:val="center"/>
        <w:rPr>
          <w:rFonts w:ascii="方正小标宋简体" w:eastAsia="方正小标宋简体" w:hAnsi="方正小标宋简体" w:cs="方正小标宋简体"/>
          <w:sz w:val="44"/>
          <w:szCs w:val="44"/>
        </w:rPr>
      </w:pPr>
    </w:p>
    <w:p w:rsidR="00B80AEF" w:rsidRDefault="002A797D">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雁峰区</w:t>
      </w:r>
      <w:r>
        <w:rPr>
          <w:rFonts w:ascii="方正小标宋简体" w:eastAsia="方正小标宋简体" w:hAnsi="方正小标宋简体" w:cs="方正小标宋简体" w:hint="eastAsia"/>
          <w:sz w:val="44"/>
          <w:szCs w:val="44"/>
        </w:rPr>
        <w:t>政务公开政务服务领导小组办公室</w:t>
      </w:r>
    </w:p>
    <w:p w:rsidR="00B80AEF" w:rsidRDefault="002A797D">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hint="eastAsia"/>
          <w:sz w:val="44"/>
          <w:szCs w:val="44"/>
        </w:rPr>
        <w:t>雁峰区</w:t>
      </w:r>
      <w:r>
        <w:rPr>
          <w:rFonts w:ascii="方正小标宋简体" w:eastAsia="方正小标宋简体" w:hAnsi="方正小标宋简体" w:cs="方正小标宋简体" w:hint="eastAsia"/>
          <w:sz w:val="44"/>
          <w:szCs w:val="44"/>
        </w:rPr>
        <w:t>“政务公开主题日”</w:t>
      </w:r>
    </w:p>
    <w:p w:rsidR="00B80AEF" w:rsidRDefault="002A797D">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活动实施方案》的通知</w:t>
      </w:r>
    </w:p>
    <w:p w:rsidR="00B80AEF" w:rsidRDefault="00B80AEF">
      <w:pPr>
        <w:spacing w:line="590" w:lineRule="exact"/>
        <w:jc w:val="center"/>
        <w:rPr>
          <w:rFonts w:ascii="方正小标宋简体" w:eastAsia="方正小标宋简体" w:hAnsi="方正小标宋简体" w:cs="方正小标宋简体"/>
          <w:sz w:val="44"/>
          <w:szCs w:val="44"/>
        </w:rPr>
      </w:pPr>
    </w:p>
    <w:p w:rsidR="00B80AEF" w:rsidRDefault="002A797D">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镇、街</w:t>
      </w:r>
      <w:r>
        <w:rPr>
          <w:rFonts w:ascii="仿宋_GB2312" w:eastAsia="仿宋_GB2312" w:hAnsi="仿宋_GB2312" w:cs="仿宋_GB2312" w:hint="eastAsia"/>
          <w:sz w:val="32"/>
          <w:szCs w:val="32"/>
        </w:rPr>
        <w:t>道</w:t>
      </w:r>
      <w:r>
        <w:rPr>
          <w:rFonts w:ascii="仿宋_GB2312" w:eastAsia="仿宋_GB2312" w:hAnsi="仿宋_GB2312" w:cs="仿宋_GB2312" w:hint="eastAsia"/>
          <w:sz w:val="32"/>
          <w:szCs w:val="32"/>
        </w:rPr>
        <w:t>，区直各单位：</w:t>
      </w:r>
    </w:p>
    <w:p w:rsidR="00B80AEF" w:rsidRDefault="002A797D">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w:t>
      </w:r>
      <w:r>
        <w:rPr>
          <w:rFonts w:ascii="仿宋_GB2312" w:eastAsia="仿宋_GB2312" w:hAnsi="仿宋_GB2312" w:cs="仿宋_GB2312" w:hint="eastAsia"/>
          <w:sz w:val="32"/>
          <w:szCs w:val="32"/>
        </w:rPr>
        <w:t>雁峰区</w:t>
      </w:r>
      <w:r>
        <w:rPr>
          <w:rFonts w:ascii="仿宋_GB2312" w:eastAsia="仿宋_GB2312" w:hAnsi="仿宋_GB2312" w:cs="仿宋_GB2312" w:hint="eastAsia"/>
          <w:sz w:val="32"/>
          <w:szCs w:val="32"/>
        </w:rPr>
        <w:t>“政务公开主题日”活动实施方案》印发给你们，请结合实际认真贯彻落实。</w:t>
      </w:r>
    </w:p>
    <w:p w:rsidR="00B80AEF" w:rsidRDefault="00B80AEF">
      <w:pPr>
        <w:spacing w:line="590" w:lineRule="exact"/>
        <w:ind w:firstLineChars="200" w:firstLine="640"/>
        <w:rPr>
          <w:rFonts w:ascii="仿宋_GB2312" w:eastAsia="仿宋_GB2312" w:hAnsi="仿宋_GB2312" w:cs="仿宋_GB2312"/>
          <w:sz w:val="32"/>
          <w:szCs w:val="32"/>
        </w:rPr>
      </w:pPr>
    </w:p>
    <w:p w:rsidR="00B80AEF" w:rsidRDefault="00B80AEF">
      <w:pPr>
        <w:spacing w:line="590" w:lineRule="exact"/>
        <w:jc w:val="right"/>
        <w:rPr>
          <w:rFonts w:ascii="仿宋_GB2312" w:eastAsia="仿宋_GB2312" w:hAnsi="仿宋_GB2312" w:cs="仿宋_GB2312"/>
          <w:sz w:val="32"/>
          <w:szCs w:val="32"/>
        </w:rPr>
      </w:pPr>
    </w:p>
    <w:p w:rsidR="00B80AEF" w:rsidRDefault="00B80AEF">
      <w:pPr>
        <w:spacing w:line="590" w:lineRule="exact"/>
        <w:jc w:val="right"/>
        <w:rPr>
          <w:rFonts w:ascii="仿宋_GB2312" w:eastAsia="仿宋_GB2312" w:hAnsi="仿宋_GB2312" w:cs="仿宋_GB2312"/>
          <w:sz w:val="32"/>
          <w:szCs w:val="32"/>
        </w:rPr>
      </w:pPr>
    </w:p>
    <w:p w:rsidR="00B80AEF" w:rsidRDefault="002A797D">
      <w:pPr>
        <w:spacing w:line="59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雁峰区</w:t>
      </w:r>
      <w:r>
        <w:rPr>
          <w:rFonts w:ascii="仿宋_GB2312" w:eastAsia="仿宋_GB2312" w:hAnsi="仿宋_GB2312" w:cs="仿宋_GB2312" w:hint="eastAsia"/>
          <w:sz w:val="32"/>
          <w:szCs w:val="32"/>
        </w:rPr>
        <w:t>政务公开政务服务领导小组办公室</w:t>
      </w:r>
    </w:p>
    <w:p w:rsidR="00B80AEF" w:rsidRDefault="002A797D">
      <w:pPr>
        <w:spacing w:line="590" w:lineRule="exact"/>
        <w:jc w:val="right"/>
        <w:rPr>
          <w:rFonts w:ascii="仿宋_GB2312" w:eastAsia="仿宋_GB2312" w:hAnsi="仿宋_GB2312" w:cs="仿宋_GB2312"/>
          <w:sz w:val="32"/>
          <w:szCs w:val="32"/>
        </w:rPr>
        <w:sectPr w:rsidR="00B80AEF">
          <w:pgSz w:w="11860" w:h="16860"/>
          <w:pgMar w:top="2098" w:right="1474" w:bottom="1984" w:left="1587" w:header="851" w:footer="720" w:gutter="0"/>
          <w:cols w:space="0"/>
          <w:docGrid w:linePitch="312"/>
        </w:sect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w:t>
      </w:r>
    </w:p>
    <w:p w:rsidR="00B80AEF" w:rsidRDefault="002A797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雁峰区</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政务公开主题日”活动实施方案</w:t>
      </w:r>
    </w:p>
    <w:p w:rsidR="00B80AEF" w:rsidRDefault="00B80AEF">
      <w:pPr>
        <w:spacing w:line="580" w:lineRule="exact"/>
        <w:ind w:firstLineChars="200" w:firstLine="640"/>
        <w:rPr>
          <w:rFonts w:ascii="仿宋_GB2312" w:eastAsia="仿宋_GB2312" w:hAnsi="仿宋_GB2312" w:cs="仿宋_GB2312"/>
          <w:sz w:val="32"/>
          <w:szCs w:val="32"/>
        </w:rPr>
      </w:pPr>
    </w:p>
    <w:p w:rsidR="00B80AEF" w:rsidRDefault="002A797D">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根</w:t>
      </w:r>
      <w:r>
        <w:rPr>
          <w:rFonts w:ascii="Times New Roman" w:eastAsia="仿宋_GB2312" w:hAnsi="Times New Roman" w:cs="仿宋_GB2312" w:hint="eastAsia"/>
          <w:sz w:val="32"/>
          <w:szCs w:val="32"/>
        </w:rPr>
        <w:t>据《湖南省政务公开政务服务领导小组办公室关于印发</w:t>
      </w:r>
      <w:r>
        <w:rPr>
          <w:rFonts w:ascii="Times New Roman" w:eastAsia="仿宋_GB2312" w:hAnsi="Times New Roman" w:cs="仿宋_GB2312" w:hint="eastAsia"/>
          <w:sz w:val="32"/>
          <w:szCs w:val="32"/>
        </w:rPr>
        <w:t>&lt;</w:t>
      </w:r>
      <w:r>
        <w:rPr>
          <w:rFonts w:ascii="Times New Roman" w:eastAsia="仿宋_GB2312" w:hAnsi="Times New Roman" w:cs="仿宋_GB2312" w:hint="eastAsia"/>
          <w:sz w:val="32"/>
          <w:szCs w:val="32"/>
        </w:rPr>
        <w:t>湖南省“政务公开主题日”活动实施方案〉的通知》</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湘政务公开办发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号</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和《湖南省人民政府办公厅关于印发</w:t>
      </w:r>
      <w:r>
        <w:rPr>
          <w:rFonts w:ascii="Times New Roman" w:eastAsia="仿宋_GB2312" w:hAnsi="Times New Roman" w:cs="仿宋_GB2312" w:hint="eastAsia"/>
          <w:sz w:val="32"/>
          <w:szCs w:val="32"/>
        </w:rPr>
        <w:t>&lt;</w:t>
      </w:r>
      <w:r>
        <w:rPr>
          <w:rFonts w:ascii="Times New Roman" w:eastAsia="仿宋_GB2312" w:hAnsi="Times New Roman" w:cs="仿宋_GB2312" w:hint="eastAsia"/>
          <w:sz w:val="32"/>
          <w:szCs w:val="32"/>
        </w:rPr>
        <w:t>湖南省</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年政务管理服务工作要点</w:t>
      </w:r>
      <w:r>
        <w:rPr>
          <w:rFonts w:ascii="Times New Roman" w:eastAsia="仿宋_GB2312" w:hAnsi="Times New Roman" w:cs="仿宋_GB2312" w:hint="eastAsia"/>
          <w:sz w:val="32"/>
          <w:szCs w:val="32"/>
        </w:rPr>
        <w:t>&gt;</w:t>
      </w:r>
      <w:r>
        <w:rPr>
          <w:rFonts w:ascii="Times New Roman" w:eastAsia="仿宋_GB2312" w:hAnsi="Times New Roman" w:cs="仿宋_GB2312" w:hint="eastAsia"/>
          <w:sz w:val="32"/>
          <w:szCs w:val="32"/>
        </w:rPr>
        <w:t>和</w:t>
      </w:r>
      <w:r>
        <w:rPr>
          <w:rFonts w:ascii="Times New Roman" w:eastAsia="仿宋_GB2312" w:hAnsi="Times New Roman" w:cs="仿宋_GB2312" w:hint="eastAsia"/>
          <w:sz w:val="32"/>
          <w:szCs w:val="32"/>
        </w:rPr>
        <w:t>&lt;</w:t>
      </w:r>
      <w:r>
        <w:rPr>
          <w:rFonts w:ascii="Times New Roman" w:eastAsia="仿宋_GB2312" w:hAnsi="Times New Roman" w:cs="仿宋_GB2312" w:hint="eastAsia"/>
          <w:sz w:val="32"/>
          <w:szCs w:val="32"/>
        </w:rPr>
        <w:t>湖南省</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年政务公开工作要点</w:t>
      </w:r>
      <w:r>
        <w:rPr>
          <w:rFonts w:ascii="Times New Roman" w:eastAsia="仿宋_GB2312" w:hAnsi="Times New Roman" w:cs="仿宋_GB2312" w:hint="eastAsia"/>
          <w:sz w:val="32"/>
          <w:szCs w:val="32"/>
        </w:rPr>
        <w:t>&gt;</w:t>
      </w:r>
      <w:r>
        <w:rPr>
          <w:rFonts w:ascii="Times New Roman" w:eastAsia="仿宋_GB2312" w:hAnsi="Times New Roman" w:cs="仿宋_GB2312" w:hint="eastAsia"/>
          <w:sz w:val="32"/>
          <w:szCs w:val="32"/>
        </w:rPr>
        <w:t>的通知》</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湘政办发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号</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的部署要求，为更好发挥政务公开促落实、强监管的积极作用，不断提高公开的含金量覆盖面、参与度，服务“三高四新”战略定位和使命任务，紧紧围绕打好发展“六仗”</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充分发挥以公开促落实、强监管、优服务的职能作用，现就组织开展“政务公开主题日”活动，制定本实施方案。</w:t>
      </w:r>
    </w:p>
    <w:p w:rsidR="00B80AEF" w:rsidRDefault="002A797D">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活动内容</w:t>
      </w:r>
    </w:p>
    <w:p w:rsidR="00B80AEF" w:rsidRDefault="002A797D">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紧紧围绕贯彻落实全国两会精神</w:t>
      </w:r>
      <w:r>
        <w:rPr>
          <w:rFonts w:ascii="Times New Roman" w:eastAsia="仿宋_GB2312" w:hAnsi="Times New Roman" w:cs="仿宋_GB2312" w:hint="eastAsia"/>
          <w:sz w:val="32"/>
          <w:szCs w:val="32"/>
        </w:rPr>
        <w:tab/>
      </w:r>
      <w:r>
        <w:rPr>
          <w:rFonts w:ascii="Times New Roman" w:eastAsia="仿宋_GB2312" w:hAnsi="Times New Roman" w:cs="仿宋_GB2312" w:hint="eastAsia"/>
          <w:sz w:val="32"/>
          <w:szCs w:val="32"/>
        </w:rPr>
        <w:t>和省、市</w:t>
      </w:r>
      <w:r>
        <w:rPr>
          <w:rFonts w:ascii="Times New Roman" w:eastAsia="仿宋_GB2312" w:hAnsi="Times New Roman" w:cs="仿宋_GB2312" w:hint="eastAsia"/>
          <w:sz w:val="32"/>
          <w:szCs w:val="32"/>
        </w:rPr>
        <w:t>、区</w:t>
      </w:r>
      <w:r>
        <w:rPr>
          <w:rFonts w:ascii="Times New Roman" w:eastAsia="仿宋_GB2312" w:hAnsi="Times New Roman" w:cs="仿宋_GB2312" w:hint="eastAsia"/>
          <w:sz w:val="32"/>
          <w:szCs w:val="32"/>
        </w:rPr>
        <w:t>经济工作会议精神和政府工作报告，聚焦社会关切或与群众生</w:t>
      </w:r>
      <w:r>
        <w:rPr>
          <w:rFonts w:ascii="Times New Roman" w:eastAsia="仿宋_GB2312" w:hAnsi="Times New Roman" w:cs="仿宋_GB2312" w:hint="eastAsia"/>
          <w:sz w:val="32"/>
          <w:szCs w:val="32"/>
        </w:rPr>
        <w:t>产生活密切相关的重大项目和重要政策信息，拓展多样化活动形式宣传和深化政务信息公开，提升政策公开质量，以开展“主题日”活动形式深化政务公开，</w:t>
      </w:r>
      <w:r>
        <w:rPr>
          <w:rFonts w:ascii="Times New Roman" w:eastAsia="仿宋_GB2312" w:hAnsi="Times New Roman" w:cs="仿宋_GB2312" w:hint="eastAsia"/>
          <w:sz w:val="32"/>
          <w:szCs w:val="32"/>
        </w:rPr>
        <w:t>提高</w:t>
      </w:r>
      <w:r>
        <w:rPr>
          <w:rFonts w:ascii="Times New Roman" w:eastAsia="仿宋_GB2312" w:hAnsi="Times New Roman" w:cs="仿宋_GB2312" w:hint="eastAsia"/>
          <w:sz w:val="32"/>
          <w:szCs w:val="32"/>
        </w:rPr>
        <w:t>政策公开质量，以公开助力经济平稳健康发展、助力保持社会和谐稳定</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“政务公开主题日”活动每月确定</w:t>
      </w:r>
      <w:r>
        <w:rPr>
          <w:rFonts w:ascii="Times New Roman" w:eastAsia="仿宋_GB2312" w:hAnsi="Times New Roman" w:cs="仿宋_GB2312" w:hint="eastAsia"/>
          <w:sz w:val="32"/>
          <w:szCs w:val="32"/>
        </w:rPr>
        <w:t>1-3</w:t>
      </w:r>
      <w:r>
        <w:rPr>
          <w:rFonts w:ascii="Times New Roman" w:eastAsia="仿宋_GB2312" w:hAnsi="Times New Roman" w:cs="仿宋_GB2312" w:hint="eastAsia"/>
          <w:sz w:val="32"/>
          <w:szCs w:val="32"/>
        </w:rPr>
        <w:t>个主题，由一个单位承办或几个单位联合承办。</w:t>
      </w:r>
      <w:r>
        <w:rPr>
          <w:rFonts w:ascii="Times New Roman" w:eastAsia="仿宋_GB2312" w:hAnsi="Times New Roman" w:cs="仿宋_GB2312" w:hint="eastAsia"/>
          <w:sz w:val="32"/>
          <w:szCs w:val="32"/>
        </w:rPr>
        <w:t>区</w:t>
      </w:r>
      <w:r>
        <w:rPr>
          <w:rFonts w:ascii="Times New Roman" w:eastAsia="仿宋_GB2312" w:hAnsi="Times New Roman" w:cs="仿宋_GB2312" w:hint="eastAsia"/>
          <w:sz w:val="32"/>
          <w:szCs w:val="32"/>
        </w:rPr>
        <w:t>直各单位要结合工作实际自行确定至少</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个活动主题，形成初步方案</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内容包括活动主题、时间、形式、步骤等，以及本</w:t>
      </w:r>
      <w:r>
        <w:rPr>
          <w:rFonts w:ascii="Times New Roman" w:eastAsia="仿宋_GB2312" w:hAnsi="Times New Roman" w:cs="仿宋_GB2312" w:hint="eastAsia"/>
          <w:sz w:val="32"/>
          <w:szCs w:val="32"/>
        </w:rPr>
        <w:lastRenderedPageBreak/>
        <w:t>单位联系人名单</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，并填写《</w:t>
      </w:r>
      <w:r>
        <w:rPr>
          <w:rFonts w:ascii="Times New Roman" w:eastAsia="仿宋_GB2312" w:hAnsi="Times New Roman" w:cs="仿宋_GB2312" w:hint="eastAsia"/>
          <w:sz w:val="32"/>
          <w:szCs w:val="32"/>
        </w:rPr>
        <w:t>雁峰区</w:t>
      </w:r>
      <w:r>
        <w:rPr>
          <w:rFonts w:ascii="Times New Roman" w:eastAsia="仿宋_GB2312" w:hAnsi="Times New Roman" w:cs="仿宋_GB2312" w:hint="eastAsia"/>
          <w:sz w:val="32"/>
          <w:szCs w:val="32"/>
        </w:rPr>
        <w:t>“政务公开主题日”活动征集表》</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见附件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，于</w:t>
      </w:r>
      <w:r>
        <w:rPr>
          <w:rFonts w:ascii="Times New Roman" w:eastAsia="仿宋_GB2312" w:hAnsi="Times New Roman" w:cs="仿宋_GB2312" w:hint="eastAsia"/>
          <w:sz w:val="32"/>
          <w:szCs w:val="32"/>
        </w:rPr>
        <w:t> 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日前报</w:t>
      </w:r>
      <w:r>
        <w:rPr>
          <w:rFonts w:ascii="Times New Roman" w:eastAsia="仿宋_GB2312" w:hAnsi="Times New Roman" w:cs="仿宋_GB2312" w:hint="eastAsia"/>
          <w:sz w:val="32"/>
          <w:szCs w:val="32"/>
        </w:rPr>
        <w:t>雁峰区</w:t>
      </w:r>
      <w:r>
        <w:rPr>
          <w:rFonts w:ascii="Times New Roman" w:eastAsia="仿宋_GB2312" w:hAnsi="Times New Roman" w:cs="仿宋_GB2312" w:hint="eastAsia"/>
          <w:sz w:val="32"/>
          <w:szCs w:val="32"/>
        </w:rPr>
        <w:t>政务公开政务服</w:t>
      </w:r>
      <w:r>
        <w:rPr>
          <w:rFonts w:ascii="Times New Roman" w:eastAsia="仿宋_GB2312" w:hAnsi="Times New Roman" w:cs="仿宋_GB2312" w:hint="eastAsia"/>
          <w:sz w:val="32"/>
          <w:szCs w:val="32"/>
        </w:rPr>
        <w:t>务工作领导小组办公室</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联系人</w:t>
      </w:r>
      <w:r>
        <w:rPr>
          <w:rFonts w:ascii="Times New Roman" w:eastAsia="仿宋_GB2312" w:hAnsi="Times New Roman" w:cs="仿宋_GB2312" w:hint="eastAsia"/>
          <w:sz w:val="32"/>
          <w:szCs w:val="32"/>
        </w:rPr>
        <w:t>：夏秀竹</w:t>
      </w:r>
      <w:r>
        <w:rPr>
          <w:rFonts w:ascii="Times New Roman" w:eastAsia="仿宋_GB2312" w:hAnsi="Times New Roman" w:cs="仿宋_GB2312" w:hint="eastAsia"/>
          <w:sz w:val="32"/>
          <w:szCs w:val="32"/>
        </w:rPr>
        <w:t>，电话</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0734-8165231</w:t>
      </w:r>
      <w:r>
        <w:rPr>
          <w:rFonts w:ascii="Times New Roman" w:eastAsia="仿宋_GB2312" w:hAnsi="Times New Roman" w:cs="仿宋_GB2312" w:hint="eastAsia"/>
          <w:sz w:val="32"/>
          <w:szCs w:val="32"/>
        </w:rPr>
        <w:t>，邮箱</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yfqxzsp@sina.com</w:t>
      </w:r>
      <w:r>
        <w:rPr>
          <w:rFonts w:ascii="Times New Roman" w:eastAsia="仿宋_GB2312" w:hAnsi="Times New Roman" w:cs="仿宋_GB2312" w:hint="eastAsia"/>
          <w:sz w:val="32"/>
          <w:szCs w:val="32"/>
        </w:rPr>
        <w:t>）</w:t>
      </w:r>
    </w:p>
    <w:p w:rsidR="00B80AEF" w:rsidRDefault="002A797D">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时间安排</w:t>
      </w:r>
    </w:p>
    <w:p w:rsidR="00B80AEF" w:rsidRDefault="002A797D">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从</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月开始</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每月组织开展</w:t>
      </w:r>
      <w:r>
        <w:rPr>
          <w:rFonts w:ascii="Times New Roman" w:eastAsia="仿宋_GB2312" w:hAnsi="Times New Roman" w:cs="仿宋_GB2312" w:hint="eastAsia"/>
          <w:sz w:val="32"/>
          <w:szCs w:val="32"/>
        </w:rPr>
        <w:t>1-3</w:t>
      </w:r>
      <w:r>
        <w:rPr>
          <w:rFonts w:ascii="Times New Roman" w:eastAsia="仿宋_GB2312" w:hAnsi="Times New Roman" w:cs="仿宋_GB2312" w:hint="eastAsia"/>
          <w:sz w:val="32"/>
          <w:szCs w:val="32"/>
        </w:rPr>
        <w:t>次“政务公开主题日”活动，每次活动时间一般为半天。</w:t>
      </w:r>
      <w:r>
        <w:rPr>
          <w:rFonts w:ascii="Times New Roman" w:eastAsia="仿宋_GB2312" w:hAnsi="Times New Roman" w:cs="仿宋_GB2312" w:hint="eastAsia"/>
          <w:sz w:val="32"/>
          <w:szCs w:val="32"/>
        </w:rPr>
        <w:t>雁峰区</w:t>
      </w:r>
      <w:r>
        <w:rPr>
          <w:rFonts w:ascii="Times New Roman" w:eastAsia="仿宋_GB2312" w:hAnsi="Times New Roman" w:cs="仿宋_GB2312" w:hint="eastAsia"/>
          <w:sz w:val="32"/>
          <w:szCs w:val="32"/>
        </w:rPr>
        <w:t>政务公开政务服务工作领导小组办公室根据各单位报送的活动主题和初步方案，制定出台全年“政务公开主题日”活动计划，报</w:t>
      </w:r>
      <w:r>
        <w:rPr>
          <w:rFonts w:ascii="Times New Roman" w:eastAsia="仿宋_GB2312" w:hAnsi="Times New Roman" w:cs="仿宋_GB2312" w:hint="eastAsia"/>
          <w:sz w:val="32"/>
          <w:szCs w:val="32"/>
        </w:rPr>
        <w:t>雁峰区</w:t>
      </w:r>
      <w:r>
        <w:rPr>
          <w:rFonts w:ascii="Times New Roman" w:eastAsia="仿宋_GB2312" w:hAnsi="Times New Roman" w:cs="仿宋_GB2312" w:hint="eastAsia"/>
          <w:sz w:val="32"/>
          <w:szCs w:val="32"/>
        </w:rPr>
        <w:t>政务公开政务服务工作领导小组审定后印发实施。</w:t>
      </w:r>
    </w:p>
    <w:p w:rsidR="00B80AEF" w:rsidRDefault="002A797D">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活动形式</w:t>
      </w:r>
      <w:bookmarkStart w:id="0" w:name="_GoBack"/>
      <w:bookmarkEnd w:id="0"/>
    </w:p>
    <w:p w:rsidR="00B80AEF" w:rsidRDefault="002A797D">
      <w:pPr>
        <w:spacing w:line="580" w:lineRule="exact"/>
        <w:ind w:firstLineChars="200" w:firstLine="640"/>
        <w:rPr>
          <w:rFonts w:ascii="Times New Roman" w:eastAsia="仿宋_GB2312" w:hAnsi="Times New Roman"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情景模拟。</w:t>
      </w:r>
      <w:r>
        <w:rPr>
          <w:rFonts w:ascii="Times New Roman" w:eastAsia="仿宋_GB2312" w:hAnsi="Times New Roman" w:cs="仿宋_GB2312" w:hint="eastAsia"/>
          <w:sz w:val="32"/>
          <w:szCs w:val="32"/>
        </w:rPr>
        <w:t>邀请人大代表、政协委员、专家学者或普通市民列席重要会议、现场观摩办事服务，“场景式”展示相关单位的决策过程、办事流程和服务举措。</w:t>
      </w:r>
    </w:p>
    <w:p w:rsidR="00B80AEF" w:rsidRDefault="002A797D">
      <w:pPr>
        <w:spacing w:line="580" w:lineRule="exact"/>
        <w:ind w:firstLineChars="200" w:firstLine="640"/>
        <w:rPr>
          <w:rFonts w:ascii="Times New Roman" w:eastAsia="仿宋_GB2312" w:hAnsi="Times New Roman" w:cs="仿宋_GB2312"/>
          <w:sz w:val="32"/>
          <w:szCs w:val="32"/>
        </w:rPr>
      </w:pPr>
      <w:r>
        <w:rPr>
          <w:rFonts w:ascii="楷体_GB2312" w:eastAsia="楷体_GB2312" w:hAnsi="楷体_GB2312" w:cs="楷体_GB2312" w:hint="eastAsia"/>
          <w:sz w:val="32"/>
          <w:szCs w:val="32"/>
        </w:rPr>
        <w:t>（二）座谈交流。</w:t>
      </w:r>
      <w:r>
        <w:rPr>
          <w:rFonts w:ascii="Times New Roman" w:eastAsia="仿宋_GB2312" w:hAnsi="Times New Roman" w:cs="仿宋_GB2312" w:hint="eastAsia"/>
          <w:sz w:val="32"/>
          <w:szCs w:val="32"/>
        </w:rPr>
        <w:t>采取召开座谈会的形式，向人大代表、政协委员、专家学者或普通市民介绍本单位重点、亮点工作的推进情况，主动接受监督、听取意见建议。</w:t>
      </w:r>
    </w:p>
    <w:p w:rsidR="00B80AEF" w:rsidRDefault="002A797D">
      <w:pPr>
        <w:spacing w:line="580" w:lineRule="exact"/>
        <w:ind w:firstLineChars="200" w:firstLine="640"/>
        <w:rPr>
          <w:rFonts w:ascii="Times New Roman" w:eastAsia="仿宋_GB2312" w:hAnsi="Times New Roman" w:cs="仿宋_GB2312"/>
          <w:sz w:val="32"/>
          <w:szCs w:val="32"/>
        </w:rPr>
      </w:pPr>
      <w:r>
        <w:rPr>
          <w:rFonts w:ascii="楷体_GB2312" w:eastAsia="楷体_GB2312" w:hAnsi="楷体_GB2312" w:cs="楷体_GB2312" w:hint="eastAsia"/>
          <w:sz w:val="32"/>
          <w:szCs w:val="32"/>
        </w:rPr>
        <w:t>（三）政策宣传。</w:t>
      </w:r>
      <w:r>
        <w:rPr>
          <w:rFonts w:ascii="Times New Roman" w:eastAsia="仿宋_GB2312" w:hAnsi="Times New Roman" w:cs="仿宋_GB2312" w:hint="eastAsia"/>
          <w:sz w:val="32"/>
          <w:szCs w:val="32"/>
        </w:rPr>
        <w:t>结合本单位、本系统重大政策制定出台</w:t>
      </w:r>
      <w:r>
        <w:rPr>
          <w:rFonts w:ascii="Times New Roman" w:eastAsia="仿宋_GB2312" w:hAnsi="Times New Roman" w:cs="仿宋_GB2312" w:hint="eastAsia"/>
          <w:sz w:val="32"/>
          <w:szCs w:val="32"/>
        </w:rPr>
        <w:t>或重要活动日，</w:t>
      </w:r>
      <w:r>
        <w:rPr>
          <w:rFonts w:ascii="Times New Roman" w:eastAsia="仿宋_GB2312" w:hAnsi="Times New Roman" w:cs="仿宋_GB2312" w:hint="eastAsia"/>
          <w:sz w:val="32"/>
          <w:szCs w:val="32"/>
        </w:rPr>
        <w:t>开展政策宣传活动，向社会公众进行“面对面”政策解读。</w:t>
      </w:r>
    </w:p>
    <w:p w:rsidR="00B80AEF" w:rsidRDefault="002A797D">
      <w:pPr>
        <w:spacing w:line="580" w:lineRule="exact"/>
        <w:ind w:firstLineChars="200" w:firstLine="640"/>
        <w:rPr>
          <w:rFonts w:ascii="Times New Roman" w:eastAsia="仿宋_GB2312" w:hAnsi="Times New Roman" w:cs="仿宋_GB2312"/>
          <w:sz w:val="32"/>
          <w:szCs w:val="32"/>
        </w:rPr>
      </w:pPr>
      <w:r>
        <w:rPr>
          <w:rFonts w:ascii="楷体_GB2312" w:eastAsia="楷体_GB2312" w:hAnsi="楷体_GB2312" w:cs="楷体_GB2312" w:hint="eastAsia"/>
          <w:sz w:val="32"/>
          <w:szCs w:val="32"/>
        </w:rPr>
        <w:t>（四）问卷调查。</w:t>
      </w:r>
      <w:r>
        <w:rPr>
          <w:rFonts w:ascii="Times New Roman" w:eastAsia="仿宋_GB2312" w:hAnsi="Times New Roman" w:cs="仿宋_GB2312" w:hint="eastAsia"/>
          <w:sz w:val="32"/>
          <w:szCs w:val="32"/>
        </w:rPr>
        <w:t>紧扣本单位职责职能，面向社会组织开展线上线下问卷调查。通过问卷调查，掌握政策实施情况、存</w:t>
      </w:r>
      <w:r>
        <w:rPr>
          <w:rFonts w:ascii="Times New Roman" w:eastAsia="仿宋_GB2312" w:hAnsi="Times New Roman" w:cs="仿宋_GB2312" w:hint="eastAsia"/>
          <w:sz w:val="32"/>
          <w:szCs w:val="32"/>
        </w:rPr>
        <w:lastRenderedPageBreak/>
        <w:t>在实际问题和群众</w:t>
      </w:r>
      <w:r>
        <w:rPr>
          <w:rFonts w:ascii="Times New Roman" w:eastAsia="仿宋_GB2312" w:hAnsi="Times New Roman" w:cs="仿宋_GB2312" w:hint="eastAsia"/>
          <w:sz w:val="32"/>
          <w:szCs w:val="32"/>
        </w:rPr>
        <w:t>反映诉求。</w:t>
      </w:r>
    </w:p>
    <w:p w:rsidR="00B80AEF" w:rsidRDefault="002A797D">
      <w:pPr>
        <w:spacing w:line="580" w:lineRule="exact"/>
        <w:ind w:firstLineChars="200" w:firstLine="640"/>
        <w:rPr>
          <w:rFonts w:ascii="Times New Roman" w:eastAsia="仿宋_GB2312" w:hAnsi="Times New Roman" w:cs="宋体"/>
          <w:sz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线上互动。</w:t>
      </w:r>
      <w:r>
        <w:rPr>
          <w:rFonts w:ascii="Times New Roman" w:eastAsia="仿宋_GB2312" w:hAnsi="Times New Roman" w:cs="宋体"/>
          <w:sz w:val="32"/>
        </w:rPr>
        <w:t>利用政府网站、政务新媒体等，以网络征集意见、在线访谈、开设专栏、政策直播间等方式，邀请利益相关方，公众、专家学者等参与决策制定，听取意见建议和主动回应社会关切热点问题。</w:t>
      </w:r>
    </w:p>
    <w:p w:rsidR="00B80AEF" w:rsidRDefault="002A797D">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工作保障</w:t>
      </w:r>
    </w:p>
    <w:p w:rsidR="00B80AEF" w:rsidRDefault="002A797D">
      <w:pPr>
        <w:spacing w:line="580" w:lineRule="exact"/>
        <w:ind w:firstLineChars="200" w:firstLine="640"/>
        <w:rPr>
          <w:rFonts w:ascii="Times New Roman" w:eastAsia="仿宋_GB2312" w:hAnsi="Times New Roman" w:cs="宋体"/>
          <w:sz w:val="32"/>
        </w:rPr>
      </w:pPr>
      <w:r>
        <w:rPr>
          <w:rFonts w:ascii="楷体_GB2312" w:eastAsia="楷体_GB2312" w:hAnsi="楷体_GB2312" w:cs="楷体_GB2312" w:hint="eastAsia"/>
          <w:sz w:val="32"/>
          <w:szCs w:val="32"/>
        </w:rPr>
        <w:t>（一）加强组织领导。</w:t>
      </w:r>
      <w:r>
        <w:rPr>
          <w:rFonts w:ascii="Times New Roman" w:eastAsia="仿宋_GB2312" w:hAnsi="Times New Roman" w:cs="宋体"/>
          <w:sz w:val="32"/>
        </w:rPr>
        <w:t>“</w:t>
      </w:r>
      <w:r>
        <w:rPr>
          <w:rFonts w:ascii="Times New Roman" w:eastAsia="仿宋_GB2312" w:hAnsi="Times New Roman" w:cs="宋体"/>
          <w:sz w:val="32"/>
        </w:rPr>
        <w:t>政务公开主题日</w:t>
      </w:r>
      <w:r>
        <w:rPr>
          <w:rFonts w:ascii="Times New Roman" w:eastAsia="仿宋_GB2312" w:hAnsi="Times New Roman" w:cs="宋体"/>
          <w:sz w:val="32"/>
        </w:rPr>
        <w:t>”</w:t>
      </w:r>
      <w:r>
        <w:rPr>
          <w:rFonts w:ascii="Times New Roman" w:eastAsia="仿宋_GB2312" w:hAnsi="Times New Roman" w:cs="宋体"/>
          <w:sz w:val="32"/>
        </w:rPr>
        <w:t>活动是落实湖南省</w:t>
      </w:r>
      <w:r>
        <w:rPr>
          <w:rFonts w:ascii="Times New Roman" w:eastAsia="仿宋_GB2312" w:hAnsi="Times New Roman" w:cs="宋体"/>
          <w:sz w:val="32"/>
        </w:rPr>
        <w:t>2023</w:t>
      </w:r>
      <w:r>
        <w:rPr>
          <w:rFonts w:ascii="Times New Roman" w:eastAsia="仿宋_GB2312" w:hAnsi="Times New Roman" w:cs="宋体"/>
          <w:sz w:val="32"/>
        </w:rPr>
        <w:t>年政务公开工作要点的必选动作，活动开展情况已纳入湖南省对衡阳市</w:t>
      </w:r>
      <w:r>
        <w:rPr>
          <w:rFonts w:ascii="Times New Roman" w:eastAsia="仿宋_GB2312" w:hAnsi="Times New Roman" w:cs="宋体"/>
          <w:sz w:val="32"/>
        </w:rPr>
        <w:t>2023</w:t>
      </w:r>
      <w:r>
        <w:rPr>
          <w:rFonts w:ascii="Times New Roman" w:eastAsia="仿宋_GB2312" w:hAnsi="Times New Roman" w:cs="宋体"/>
          <w:sz w:val="32"/>
        </w:rPr>
        <w:t>年政务公开绩效考核和第三方评估指标范围。各单位</w:t>
      </w:r>
      <w:r>
        <w:rPr>
          <w:rFonts w:ascii="Times New Roman" w:eastAsia="仿宋_GB2312" w:hAnsi="Times New Roman" w:cs="宋体" w:hint="eastAsia"/>
          <w:sz w:val="32"/>
        </w:rPr>
        <w:t>、镇街</w:t>
      </w:r>
      <w:r>
        <w:rPr>
          <w:rFonts w:ascii="Times New Roman" w:eastAsia="仿宋_GB2312" w:hAnsi="Times New Roman" w:cs="宋体"/>
          <w:sz w:val="32"/>
        </w:rPr>
        <w:t>要高度重视，精心组织实施，确保活动取得实效。</w:t>
      </w:r>
    </w:p>
    <w:p w:rsidR="00B80AEF" w:rsidRDefault="002A797D">
      <w:pPr>
        <w:spacing w:line="580" w:lineRule="exact"/>
        <w:ind w:firstLineChars="200" w:firstLine="640"/>
        <w:rPr>
          <w:rFonts w:ascii="Times New Roman" w:eastAsia="仿宋_GB2312" w:hAnsi="Times New Roman" w:cs="宋体"/>
          <w:sz w:val="32"/>
        </w:rPr>
      </w:pPr>
      <w:r>
        <w:rPr>
          <w:rFonts w:ascii="楷体_GB2312" w:eastAsia="楷体_GB2312" w:hAnsi="楷体_GB2312" w:cs="楷体_GB2312" w:hint="eastAsia"/>
          <w:sz w:val="32"/>
          <w:szCs w:val="32"/>
        </w:rPr>
        <w:t>（二）广泛宣传推介。</w:t>
      </w:r>
      <w:r>
        <w:rPr>
          <w:rFonts w:ascii="Times New Roman" w:eastAsia="仿宋_GB2312" w:hAnsi="Times New Roman" w:cs="宋体"/>
          <w:sz w:val="32"/>
        </w:rPr>
        <w:t>各单位要邀请主流媒体全方位、多角度跟踪报道</w:t>
      </w:r>
      <w:r>
        <w:rPr>
          <w:rFonts w:ascii="Times New Roman" w:eastAsia="仿宋_GB2312" w:hAnsi="Times New Roman" w:cs="宋体"/>
          <w:sz w:val="32"/>
        </w:rPr>
        <w:t>“</w:t>
      </w:r>
      <w:r>
        <w:rPr>
          <w:rFonts w:ascii="Times New Roman" w:eastAsia="仿宋_GB2312" w:hAnsi="Times New Roman" w:cs="宋体"/>
          <w:sz w:val="32"/>
        </w:rPr>
        <w:t>政务公开主题日</w:t>
      </w:r>
      <w:r>
        <w:rPr>
          <w:rFonts w:ascii="Times New Roman" w:eastAsia="仿宋_GB2312" w:hAnsi="Times New Roman" w:cs="宋体"/>
          <w:sz w:val="32"/>
        </w:rPr>
        <w:t>”</w:t>
      </w:r>
      <w:r>
        <w:rPr>
          <w:rFonts w:ascii="Times New Roman" w:eastAsia="仿宋_GB2312" w:hAnsi="Times New Roman" w:cs="宋体"/>
          <w:sz w:val="32"/>
        </w:rPr>
        <w:t>活动。在政府网站和政务新媒体开设活动栏目或发布活动消息，积极探索运用多种宣传方式，扩大</w:t>
      </w:r>
      <w:r>
        <w:rPr>
          <w:rFonts w:ascii="Times New Roman" w:eastAsia="仿宋_GB2312" w:hAnsi="Times New Roman" w:cs="宋体"/>
          <w:sz w:val="32"/>
        </w:rPr>
        <w:t>“</w:t>
      </w:r>
      <w:r>
        <w:rPr>
          <w:rFonts w:ascii="Times New Roman" w:eastAsia="仿宋_GB2312" w:hAnsi="Times New Roman" w:cs="宋体"/>
          <w:sz w:val="32"/>
        </w:rPr>
        <w:t>政务公开主题日</w:t>
      </w:r>
      <w:r>
        <w:rPr>
          <w:rFonts w:ascii="Times New Roman" w:eastAsia="仿宋_GB2312" w:hAnsi="Times New Roman" w:cs="宋体"/>
          <w:sz w:val="32"/>
        </w:rPr>
        <w:t>”</w:t>
      </w:r>
      <w:r>
        <w:rPr>
          <w:rFonts w:ascii="Times New Roman" w:eastAsia="仿宋_GB2312" w:hAnsi="Times New Roman" w:cs="宋体"/>
          <w:sz w:val="32"/>
        </w:rPr>
        <w:t>活动影响力，营造全社会知晓、全社会评价、全社会参与的活动氛围。各单位要及时总结做法，形成可复制可推广的典型经验做法，</w:t>
      </w:r>
      <w:r>
        <w:rPr>
          <w:rFonts w:ascii="Times New Roman" w:eastAsia="仿宋_GB2312" w:hAnsi="Times New Roman" w:cs="宋体" w:hint="eastAsia"/>
          <w:sz w:val="32"/>
        </w:rPr>
        <w:t>雁峰区</w:t>
      </w:r>
      <w:r>
        <w:rPr>
          <w:rFonts w:ascii="Times New Roman" w:eastAsia="仿宋_GB2312" w:hAnsi="Times New Roman" w:cs="宋体"/>
          <w:sz w:val="32"/>
        </w:rPr>
        <w:t>政务公开政务服务工作领导小组办公室适时在相关简报刊发推介相关典型经验做法，并向</w:t>
      </w:r>
      <w:r>
        <w:rPr>
          <w:rFonts w:ascii="Times New Roman" w:eastAsia="仿宋_GB2312" w:hAnsi="Times New Roman" w:cs="宋体" w:hint="eastAsia"/>
          <w:sz w:val="32"/>
        </w:rPr>
        <w:t>省、市</w:t>
      </w:r>
      <w:r>
        <w:rPr>
          <w:rFonts w:ascii="Times New Roman" w:eastAsia="仿宋_GB2312" w:hAnsi="Times New Roman" w:cs="宋体"/>
          <w:sz w:val="32"/>
        </w:rPr>
        <w:t>政务公开政务服务领导小组办公室推荐推广。</w:t>
      </w:r>
    </w:p>
    <w:p w:rsidR="00B80AEF" w:rsidRDefault="002A797D">
      <w:pPr>
        <w:spacing w:line="580" w:lineRule="exact"/>
        <w:ind w:firstLineChars="200" w:firstLine="640"/>
        <w:rPr>
          <w:rFonts w:ascii="Times New Roman" w:eastAsia="仿宋_GB2312" w:hAnsi="Times New Roman" w:cs="宋体"/>
          <w:sz w:val="32"/>
        </w:rPr>
      </w:pPr>
      <w:r>
        <w:rPr>
          <w:rFonts w:ascii="楷体_GB2312" w:eastAsia="楷体_GB2312" w:hAnsi="楷体_GB2312" w:cs="楷体_GB2312" w:hint="eastAsia"/>
          <w:sz w:val="32"/>
          <w:szCs w:val="32"/>
        </w:rPr>
        <w:t>（三）形成长效机制。</w:t>
      </w:r>
      <w:r>
        <w:rPr>
          <w:rFonts w:ascii="Times New Roman" w:eastAsia="仿宋_GB2312" w:hAnsi="Times New Roman" w:cs="宋体"/>
          <w:sz w:val="32"/>
        </w:rPr>
        <w:t>通过组织开展</w:t>
      </w:r>
      <w:r>
        <w:rPr>
          <w:rFonts w:ascii="Times New Roman" w:eastAsia="仿宋_GB2312" w:hAnsi="Times New Roman" w:cs="宋体"/>
          <w:sz w:val="32"/>
        </w:rPr>
        <w:t>“</w:t>
      </w:r>
      <w:r>
        <w:rPr>
          <w:rFonts w:ascii="Times New Roman" w:eastAsia="仿宋_GB2312" w:hAnsi="Times New Roman" w:cs="宋体"/>
          <w:sz w:val="32"/>
        </w:rPr>
        <w:t>政务公开主题日</w:t>
      </w:r>
      <w:r>
        <w:rPr>
          <w:rFonts w:ascii="Times New Roman" w:eastAsia="仿宋_GB2312" w:hAnsi="Times New Roman" w:cs="宋体"/>
          <w:sz w:val="32"/>
        </w:rPr>
        <w:t>”</w:t>
      </w:r>
      <w:r>
        <w:rPr>
          <w:rFonts w:ascii="Times New Roman" w:eastAsia="仿宋_GB2312" w:hAnsi="Times New Roman" w:cs="宋体"/>
          <w:sz w:val="32"/>
        </w:rPr>
        <w:t>活动进一步构建好政府密切联系群众的有益</w:t>
      </w:r>
      <w:r>
        <w:rPr>
          <w:rFonts w:ascii="Times New Roman" w:eastAsia="仿宋_GB2312" w:hAnsi="Times New Roman" w:cs="宋体" w:hint="eastAsia"/>
          <w:sz w:val="32"/>
        </w:rPr>
        <w:t>“</w:t>
      </w:r>
      <w:r>
        <w:rPr>
          <w:rFonts w:ascii="Times New Roman" w:eastAsia="仿宋_GB2312" w:hAnsi="Times New Roman" w:cs="宋体"/>
          <w:sz w:val="32"/>
        </w:rPr>
        <w:t>桥梁</w:t>
      </w:r>
      <w:r>
        <w:rPr>
          <w:rFonts w:ascii="Times New Roman" w:eastAsia="仿宋_GB2312" w:hAnsi="Times New Roman" w:cs="宋体" w:hint="eastAsia"/>
          <w:sz w:val="32"/>
        </w:rPr>
        <w:t>”</w:t>
      </w:r>
      <w:r>
        <w:rPr>
          <w:rFonts w:ascii="Times New Roman" w:eastAsia="仿宋_GB2312" w:hAnsi="Times New Roman" w:cs="宋体"/>
          <w:sz w:val="32"/>
        </w:rPr>
        <w:t>，提</w:t>
      </w:r>
      <w:r>
        <w:rPr>
          <w:rFonts w:ascii="Times New Roman" w:eastAsia="仿宋_GB2312" w:hAnsi="Times New Roman" w:cs="宋体"/>
          <w:sz w:val="32"/>
        </w:rPr>
        <w:t>高政策公开质量，及时、有效回应社会关切，赢得社会公众对政府工作的理解支持，加快形成长效机制，助力将</w:t>
      </w:r>
      <w:r>
        <w:rPr>
          <w:rFonts w:ascii="Times New Roman" w:eastAsia="仿宋_GB2312" w:hAnsi="Times New Roman" w:cs="宋体" w:hint="eastAsia"/>
          <w:sz w:val="32"/>
        </w:rPr>
        <w:t>雁峰“</w:t>
      </w:r>
      <w:r>
        <w:rPr>
          <w:rFonts w:ascii="Times New Roman" w:eastAsia="仿宋_GB2312" w:hAnsi="Times New Roman" w:cs="宋体"/>
          <w:sz w:val="32"/>
        </w:rPr>
        <w:t>政务公开主题</w:t>
      </w:r>
      <w:r>
        <w:rPr>
          <w:rFonts w:ascii="Times New Roman" w:eastAsia="仿宋_GB2312" w:hAnsi="Times New Roman" w:cs="宋体"/>
          <w:sz w:val="32"/>
        </w:rPr>
        <w:lastRenderedPageBreak/>
        <w:t>日</w:t>
      </w:r>
      <w:r>
        <w:rPr>
          <w:rFonts w:ascii="Times New Roman" w:eastAsia="仿宋_GB2312" w:hAnsi="Times New Roman" w:cs="宋体" w:hint="eastAsia"/>
          <w:sz w:val="32"/>
        </w:rPr>
        <w:t>”</w:t>
      </w:r>
      <w:r>
        <w:rPr>
          <w:rFonts w:ascii="Times New Roman" w:eastAsia="仿宋_GB2312" w:hAnsi="Times New Roman" w:cs="宋体"/>
          <w:sz w:val="32"/>
        </w:rPr>
        <w:t>活动打</w:t>
      </w:r>
      <w:r>
        <w:rPr>
          <w:rFonts w:ascii="Times New Roman" w:eastAsia="仿宋_GB2312" w:hAnsi="Times New Roman" w:cs="宋体" w:hint="eastAsia"/>
          <w:sz w:val="32"/>
        </w:rPr>
        <w:t>造成为衡阳政务公开靓丽的品牌。</w:t>
      </w:r>
    </w:p>
    <w:p w:rsidR="00B80AEF" w:rsidRDefault="00B80AEF">
      <w:pPr>
        <w:spacing w:line="580" w:lineRule="exact"/>
        <w:ind w:firstLineChars="200" w:firstLine="640"/>
        <w:rPr>
          <w:rFonts w:ascii="Times New Roman" w:eastAsia="仿宋_GB2312" w:hAnsi="Times New Roman" w:cs="宋体"/>
          <w:sz w:val="32"/>
        </w:rPr>
      </w:pPr>
    </w:p>
    <w:p w:rsidR="00B80AEF" w:rsidRDefault="002A797D">
      <w:pPr>
        <w:spacing w:line="580" w:lineRule="exact"/>
        <w:ind w:firstLineChars="200" w:firstLine="640"/>
        <w:rPr>
          <w:rFonts w:ascii="Times New Roman" w:eastAsia="仿宋_GB2312" w:hAnsi="Times New Roman" w:cs="宋体"/>
          <w:sz w:val="32"/>
        </w:rPr>
        <w:sectPr w:rsidR="00B80AEF">
          <w:pgSz w:w="11860" w:h="16860"/>
          <w:pgMar w:top="2098" w:right="1474" w:bottom="1984" w:left="1587" w:header="851" w:footer="720" w:gutter="0"/>
          <w:cols w:space="0"/>
          <w:docGrid w:linePitch="312"/>
        </w:sectPr>
      </w:pPr>
      <w:r>
        <w:rPr>
          <w:rFonts w:ascii="Times New Roman" w:eastAsia="仿宋_GB2312" w:hAnsi="Times New Roman" w:cs="宋体" w:hint="eastAsia"/>
          <w:sz w:val="32"/>
        </w:rPr>
        <w:t>附件：雁峰区“政务公开主题日”活动征集表</w:t>
      </w:r>
    </w:p>
    <w:p w:rsidR="00B80AEF" w:rsidRDefault="002A797D">
      <w:pPr>
        <w:spacing w:line="580" w:lineRule="exact"/>
        <w:rPr>
          <w:rFonts w:ascii="黑体" w:eastAsia="黑体" w:hAnsi="黑体" w:cs="黑体"/>
          <w:sz w:val="32"/>
        </w:rPr>
      </w:pPr>
      <w:r>
        <w:rPr>
          <w:rFonts w:ascii="黑体" w:eastAsia="黑体" w:hAnsi="黑体" w:cs="黑体" w:hint="eastAsia"/>
          <w:sz w:val="32"/>
        </w:rPr>
        <w:lastRenderedPageBreak/>
        <w:t>附件：</w:t>
      </w:r>
    </w:p>
    <w:p w:rsidR="00B80AEF" w:rsidRDefault="00B80AEF">
      <w:pPr>
        <w:spacing w:line="580" w:lineRule="exact"/>
        <w:rPr>
          <w:rFonts w:ascii="黑体" w:eastAsia="黑体" w:hAnsi="黑体" w:cs="黑体"/>
          <w:sz w:val="32"/>
        </w:rPr>
      </w:pPr>
    </w:p>
    <w:p w:rsidR="00B80AEF" w:rsidRDefault="002A797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雁峰区“政务公开主题日”活动征集表</w:t>
      </w:r>
    </w:p>
    <w:p w:rsidR="00B80AEF" w:rsidRDefault="002A797D">
      <w:pPr>
        <w:spacing w:line="58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填报单位：</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填报人：</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填报时间：</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tbl>
      <w:tblPr>
        <w:tblStyle w:val="a3"/>
        <w:tblW w:w="0" w:type="auto"/>
        <w:tblLook w:val="04A0"/>
      </w:tblPr>
      <w:tblGrid>
        <w:gridCol w:w="1417"/>
        <w:gridCol w:w="2913"/>
        <w:gridCol w:w="2082"/>
        <w:gridCol w:w="2250"/>
        <w:gridCol w:w="1995"/>
        <w:gridCol w:w="2337"/>
      </w:tblGrid>
      <w:tr w:rsidR="00B80AEF">
        <w:tc>
          <w:tcPr>
            <w:tcW w:w="1417" w:type="dxa"/>
            <w:vAlign w:val="center"/>
          </w:tcPr>
          <w:p w:rsidR="00B80AEF" w:rsidRDefault="002A797D">
            <w:pPr>
              <w:spacing w:line="580" w:lineRule="exact"/>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序号</w:t>
            </w:r>
          </w:p>
        </w:tc>
        <w:tc>
          <w:tcPr>
            <w:tcW w:w="2913" w:type="dxa"/>
            <w:vAlign w:val="center"/>
          </w:tcPr>
          <w:p w:rsidR="00B80AEF" w:rsidRDefault="002A797D">
            <w:pPr>
              <w:spacing w:line="580" w:lineRule="exact"/>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活动主题</w:t>
            </w:r>
          </w:p>
        </w:tc>
        <w:tc>
          <w:tcPr>
            <w:tcW w:w="2082" w:type="dxa"/>
            <w:vAlign w:val="center"/>
          </w:tcPr>
          <w:p w:rsidR="00B80AEF" w:rsidRDefault="002A797D">
            <w:pPr>
              <w:spacing w:line="580" w:lineRule="exact"/>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活动时间</w:t>
            </w:r>
          </w:p>
        </w:tc>
        <w:tc>
          <w:tcPr>
            <w:tcW w:w="2250" w:type="dxa"/>
            <w:vAlign w:val="center"/>
          </w:tcPr>
          <w:p w:rsidR="00B80AEF" w:rsidRDefault="002A797D">
            <w:pPr>
              <w:spacing w:line="580" w:lineRule="exact"/>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活动形式</w:t>
            </w:r>
          </w:p>
        </w:tc>
        <w:tc>
          <w:tcPr>
            <w:tcW w:w="1995" w:type="dxa"/>
            <w:vAlign w:val="center"/>
          </w:tcPr>
          <w:p w:rsidR="00B80AEF" w:rsidRDefault="002A797D">
            <w:pPr>
              <w:spacing w:line="580" w:lineRule="exact"/>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负责部门</w:t>
            </w:r>
          </w:p>
        </w:tc>
        <w:tc>
          <w:tcPr>
            <w:tcW w:w="2337" w:type="dxa"/>
            <w:vAlign w:val="center"/>
          </w:tcPr>
          <w:p w:rsidR="00B80AEF" w:rsidRDefault="002A797D">
            <w:pPr>
              <w:spacing w:line="580" w:lineRule="exact"/>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联系人及电话</w:t>
            </w:r>
          </w:p>
        </w:tc>
      </w:tr>
      <w:tr w:rsidR="00B80AEF">
        <w:tc>
          <w:tcPr>
            <w:tcW w:w="1417"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913"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082"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250"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1995"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337" w:type="dxa"/>
            <w:vAlign w:val="center"/>
          </w:tcPr>
          <w:p w:rsidR="00B80AEF" w:rsidRDefault="00B80AEF">
            <w:pPr>
              <w:spacing w:line="580" w:lineRule="exact"/>
              <w:jc w:val="center"/>
              <w:rPr>
                <w:rFonts w:ascii="Times New Roman" w:eastAsia="仿宋_GB2312" w:hAnsi="Times New Roman" w:cs="仿宋_GB2312"/>
                <w:sz w:val="32"/>
                <w:szCs w:val="32"/>
              </w:rPr>
            </w:pPr>
          </w:p>
        </w:tc>
      </w:tr>
      <w:tr w:rsidR="00B80AEF">
        <w:tc>
          <w:tcPr>
            <w:tcW w:w="1417"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913"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082"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250"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1995"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337" w:type="dxa"/>
            <w:vAlign w:val="center"/>
          </w:tcPr>
          <w:p w:rsidR="00B80AEF" w:rsidRDefault="00B80AEF">
            <w:pPr>
              <w:spacing w:line="580" w:lineRule="exact"/>
              <w:jc w:val="center"/>
              <w:rPr>
                <w:rFonts w:ascii="Times New Roman" w:eastAsia="仿宋_GB2312" w:hAnsi="Times New Roman" w:cs="仿宋_GB2312"/>
                <w:sz w:val="32"/>
                <w:szCs w:val="32"/>
              </w:rPr>
            </w:pPr>
          </w:p>
        </w:tc>
      </w:tr>
      <w:tr w:rsidR="00B80AEF">
        <w:tc>
          <w:tcPr>
            <w:tcW w:w="1417"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913"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082"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250"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1995" w:type="dxa"/>
            <w:vAlign w:val="center"/>
          </w:tcPr>
          <w:p w:rsidR="00B80AEF" w:rsidRDefault="00B80AEF">
            <w:pPr>
              <w:spacing w:line="580" w:lineRule="exact"/>
              <w:jc w:val="center"/>
              <w:rPr>
                <w:rFonts w:ascii="Times New Roman" w:eastAsia="仿宋_GB2312" w:hAnsi="Times New Roman" w:cs="仿宋_GB2312"/>
                <w:sz w:val="32"/>
                <w:szCs w:val="32"/>
              </w:rPr>
            </w:pPr>
          </w:p>
        </w:tc>
        <w:tc>
          <w:tcPr>
            <w:tcW w:w="2337" w:type="dxa"/>
            <w:vAlign w:val="center"/>
          </w:tcPr>
          <w:p w:rsidR="00B80AEF" w:rsidRDefault="00B80AEF">
            <w:pPr>
              <w:spacing w:line="580" w:lineRule="exact"/>
              <w:jc w:val="center"/>
              <w:rPr>
                <w:rFonts w:ascii="Times New Roman" w:eastAsia="仿宋_GB2312" w:hAnsi="Times New Roman" w:cs="仿宋_GB2312"/>
                <w:sz w:val="32"/>
                <w:szCs w:val="32"/>
              </w:rPr>
            </w:pPr>
          </w:p>
        </w:tc>
      </w:tr>
    </w:tbl>
    <w:p w:rsidR="00B80AEF" w:rsidRDefault="00B80AEF">
      <w:pPr>
        <w:spacing w:line="580" w:lineRule="exact"/>
        <w:rPr>
          <w:rFonts w:ascii="仿宋_GB2312" w:eastAsia="仿宋_GB2312" w:hAnsi="仿宋_GB2312" w:cs="仿宋_GB2312"/>
          <w:sz w:val="32"/>
          <w:szCs w:val="32"/>
        </w:rPr>
      </w:pPr>
    </w:p>
    <w:sectPr w:rsidR="00B80AEF" w:rsidSect="00B80AEF">
      <w:pgSz w:w="16860" w:h="11860" w:orient="landscape"/>
      <w:pgMar w:top="1587" w:right="2098" w:bottom="1474" w:left="1984" w:header="851" w:footer="720" w:gutter="0"/>
      <w:cols w:space="0"/>
      <w:docGrid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7F4B"/>
    <w:multiLevelType w:val="singleLevel"/>
    <w:tmpl w:val="0E1F7F4B"/>
    <w:lvl w:ilvl="0">
      <w:start w:val="1"/>
      <w:numFmt w:val="chineseCounting"/>
      <w:suff w:val="nothing"/>
      <w:lvlText w:val="%1、"/>
      <w:lvlJc w:val="left"/>
      <w:rPr>
        <w:rFonts w:ascii="黑体" w:eastAsia="黑体" w:hAnsi="黑体" w:cs="黑体" w:hint="eastAsia"/>
        <w:sz w:val="32"/>
        <w:szCs w:val="3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NiMWU0YTRjODA0MTBiYjIzMWVhYzllNzgzMDY3OGMifQ=="/>
  </w:docVars>
  <w:rsids>
    <w:rsidRoot w:val="09D43A22"/>
    <w:rsid w:val="002A797D"/>
    <w:rsid w:val="00B80AEF"/>
    <w:rsid w:val="02D4051D"/>
    <w:rsid w:val="09D43A22"/>
    <w:rsid w:val="0D9A005B"/>
    <w:rsid w:val="37612F54"/>
    <w:rsid w:val="55A90FF1"/>
    <w:rsid w:val="56362857"/>
    <w:rsid w:val="7BF34171"/>
    <w:rsid w:val="7E760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AE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80A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焦耳</dc:creator>
  <cp:lastModifiedBy>xbany</cp:lastModifiedBy>
  <cp:revision>2</cp:revision>
  <dcterms:created xsi:type="dcterms:W3CDTF">2023-04-11T02:04:00Z</dcterms:created>
  <dcterms:modified xsi:type="dcterms:W3CDTF">2023-11-07T02:23:00Z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5EB50AE91AF04FAEA6F6E971159EAA57_13</vt:lpwstr>
  </property>
</Properties>
</file>