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0" w:rsidRDefault="007904FD" w:rsidP="007904FD">
      <w:pPr>
        <w:ind w:firstLineChars="200" w:firstLine="883"/>
        <w:jc w:val="center"/>
        <w:rPr>
          <w:rFonts w:asciiTheme="minorEastAsia" w:hAnsiTheme="minorEastAsia" w:cs="黑体"/>
          <w:b/>
          <w:color w:val="000000"/>
          <w:kern w:val="0"/>
          <w:sz w:val="44"/>
          <w:szCs w:val="44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44"/>
          <w:szCs w:val="44"/>
        </w:rPr>
        <w:t>2020</w:t>
      </w:r>
      <w:r>
        <w:rPr>
          <w:rFonts w:asciiTheme="minorEastAsia" w:hAnsiTheme="minorEastAsia" w:cs="黑体" w:hint="eastAsia"/>
          <w:b/>
          <w:color w:val="000000"/>
          <w:kern w:val="0"/>
          <w:sz w:val="44"/>
          <w:szCs w:val="44"/>
        </w:rPr>
        <w:t>年度部门整体支出绩效评价报告</w:t>
      </w:r>
    </w:p>
    <w:p w:rsidR="00A43A50" w:rsidRDefault="00A43A50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根据《中华人民共和国</w:t>
      </w:r>
      <w:r>
        <w:rPr>
          <w:rFonts w:asciiTheme="minorEastAsia" w:eastAsiaTheme="minorEastAsia" w:hAnsiTheme="minorEastAsia" w:hint="eastAsia"/>
          <w:sz w:val="32"/>
          <w:szCs w:val="32"/>
        </w:rPr>
        <w:t>预算法》有关“各级政府、各部门、各单位应当对预算支出情况开展绩效评价”的规定，结合实际情况，我办对</w:t>
      </w:r>
      <w:r>
        <w:rPr>
          <w:rFonts w:asciiTheme="minorEastAsia" w:eastAsiaTheme="minorEastAsia" w:hAnsiTheme="minorEastAsia" w:hint="eastAsia"/>
          <w:sz w:val="32"/>
          <w:szCs w:val="32"/>
        </w:rPr>
        <w:t>2020</w:t>
      </w:r>
      <w:r>
        <w:rPr>
          <w:rFonts w:asciiTheme="minorEastAsia" w:eastAsiaTheme="minorEastAsia" w:hAnsiTheme="minorEastAsia" w:hint="eastAsia"/>
          <w:sz w:val="32"/>
          <w:szCs w:val="32"/>
        </w:rPr>
        <w:t>年度部门整体支出进行了绩效自评，现报告如下：</w:t>
      </w:r>
    </w:p>
    <w:p w:rsidR="00A43A50" w:rsidRDefault="007904F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一、部门基本情况</w:t>
      </w:r>
    </w:p>
    <w:p w:rsidR="00A43A50" w:rsidRDefault="007904FD">
      <w:pPr>
        <w:spacing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部门职责</w:t>
      </w: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（一）负责起草《政府工作报告》和区政府主要领导同志重要讲话及文稿。</w:t>
      </w: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（二）负责起草区政府向市委、市政府的重要汇报材料；协同和组织有关方面起草区委、区政府有关重要文件。</w:t>
      </w: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（三）对涉及全区经济建设、社会发展和改革开放等全局性工作的重大课题牵头组织调查研究，及时综合归纳，提出供区政府决策的参考方案和政策性建议。</w:t>
      </w: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（四）联络组织专家对全区经济社会发展的重大问题、重大决策、重大项目进行研究论证，提供咨询服务。</w:t>
      </w:r>
    </w:p>
    <w:p w:rsidR="00A43A50" w:rsidRDefault="007904FD">
      <w:pPr>
        <w:pStyle w:val="Defaul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（五）完成区委、区政府交办的其他工作任务。</w:t>
      </w:r>
    </w:p>
    <w:p w:rsidR="00A43A50" w:rsidRDefault="007904FD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 xml:space="preserve">   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、机构设置及决算单位构成</w:t>
      </w:r>
    </w:p>
    <w:p w:rsidR="00A43A50" w:rsidRDefault="007904FD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（一）内设机构设置。雁峰区政府研究中心单位内设机构包括：</w:t>
      </w:r>
      <w:r>
        <w:rPr>
          <w:rFonts w:asciiTheme="minorEastAsia" w:hAnsiTheme="minorEastAsia"/>
          <w:bCs/>
          <w:kern w:val="0"/>
          <w:sz w:val="32"/>
          <w:szCs w:val="32"/>
        </w:rPr>
        <w:t>办公室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、政策研究股、</w:t>
      </w:r>
      <w:r>
        <w:rPr>
          <w:rFonts w:asciiTheme="minorEastAsia" w:hAnsiTheme="minorEastAsia"/>
          <w:bCs/>
          <w:kern w:val="0"/>
          <w:sz w:val="32"/>
          <w:szCs w:val="32"/>
        </w:rPr>
        <w:t>综合调研股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。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月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31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日止本单位在职人数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人</w:t>
      </w:r>
    </w:p>
    <w:p w:rsidR="00A43A50" w:rsidRDefault="007904FD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（二）决算单位构成。雁峰区政府研究中心单位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年部门决算汇总公开单位构成包括：雁峰区政府研究中心单位本级。</w:t>
      </w:r>
    </w:p>
    <w:p w:rsidR="00A43A50" w:rsidRDefault="007904FD">
      <w:pPr>
        <w:widowControl/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 xml:space="preserve">  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4"/>
          <w:szCs w:val="34"/>
        </w:rPr>
        <w:t>部门整体支出管理及使用情况</w:t>
      </w:r>
    </w:p>
    <w:p w:rsidR="00A43A50" w:rsidRDefault="007904FD" w:rsidP="007904FD">
      <w:pPr>
        <w:snapToGrid w:val="0"/>
        <w:spacing w:line="600" w:lineRule="exact"/>
        <w:ind w:firstLineChars="200" w:firstLine="643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（一）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年部门预算情况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我办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年度收入预算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50.7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万元（其中：一般公共预算拨款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50.7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lastRenderedPageBreak/>
        <w:t>万元），其中：基本支出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37.7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万元，项目支出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13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万元。</w:t>
      </w:r>
    </w:p>
    <w:p w:rsidR="00A43A50" w:rsidRDefault="007904FD" w:rsidP="007904FD">
      <w:pPr>
        <w:snapToGrid w:val="0"/>
        <w:spacing w:line="600" w:lineRule="exact"/>
        <w:ind w:firstLineChars="200" w:firstLine="643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（二）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年部门决算情况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年收入决算数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50.7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万元，其中财政拨款收入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50.7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万元。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年支出决算数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42.91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万元，其中：人员经费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37.45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万元，日常公用经费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0.24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万元，项目支出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5.22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万元。</w:t>
      </w:r>
    </w:p>
    <w:p w:rsidR="00A43A50" w:rsidRDefault="007904FD" w:rsidP="007904FD">
      <w:pPr>
        <w:snapToGrid w:val="0"/>
        <w:spacing w:line="600" w:lineRule="exact"/>
        <w:ind w:firstLineChars="200" w:firstLine="643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（三）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年支出分类情况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1.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基本支出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基本支出系保障我办正常运转、完成日常工作任务而发生的各项支出，包括用于在职人员基本工资、津贴补贴等人员经费以及办公费、印刷费、水电费、维修（护）费等日常公用经费。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年基本支出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37.69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万元，基本支出中人员经费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37.45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万元，占比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99.36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%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，日常公用经费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0.24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万元，占比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0.64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%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。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2.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项目支出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项目支出系我办为完成特定行政任务和事业发展目标所发生的支出。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年项目支出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9.75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万元，项目支出中行政事业类项目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9.75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万元，占比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100%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。</w:t>
      </w:r>
    </w:p>
    <w:p w:rsidR="00A43A50" w:rsidRDefault="007904FD" w:rsidP="007904FD">
      <w:pPr>
        <w:snapToGrid w:val="0"/>
        <w:spacing w:line="600" w:lineRule="exact"/>
        <w:ind w:firstLineChars="200" w:firstLine="643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（四）“三公”经费情况</w:t>
      </w:r>
    </w:p>
    <w:p w:rsidR="00A43A50" w:rsidRDefault="007904FD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本单位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年无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“三公”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经费支出</w:t>
      </w:r>
    </w:p>
    <w:p w:rsidR="00A43A50" w:rsidRDefault="007904FD">
      <w:pPr>
        <w:ind w:firstLineChars="200" w:firstLine="68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4"/>
          <w:szCs w:val="34"/>
        </w:rPr>
        <w:t>三、部门整体支出绩效情况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Cs/>
          <w:kern w:val="0"/>
          <w:sz w:val="32"/>
          <w:szCs w:val="32"/>
        </w:rPr>
        <w:t>2020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年，雁峰区政府研究中心班子在区委、区政府的正确领导下，紧紧围绕区委、区政府工作大局，认真贯彻以习近平新时代中国特色社会主义思想和“不忘初心</w:t>
      </w:r>
      <w:r>
        <w:rPr>
          <w:rFonts w:asciiTheme="minorEastAsia" w:hAnsiTheme="minorEastAsia" w:hint="eastAsia"/>
          <w:bCs/>
          <w:kern w:val="0"/>
          <w:sz w:val="32"/>
          <w:szCs w:val="32"/>
        </w:rPr>
        <w:t>、</w:t>
      </w:r>
      <w:bookmarkStart w:id="0" w:name="_GoBack"/>
      <w:bookmarkEnd w:id="0"/>
      <w:r>
        <w:rPr>
          <w:rFonts w:asciiTheme="minorEastAsia" w:hAnsiTheme="minorEastAsia" w:hint="eastAsia"/>
          <w:bCs/>
          <w:kern w:val="0"/>
          <w:sz w:val="32"/>
          <w:szCs w:val="32"/>
        </w:rPr>
        <w:t>牢记使命”的重要精神，按照“以文辅政、以智辅政、服务大局、服务基层”的工作思路，紧扣中心、强化服务，全面提高调查研究、文稿起草等工作水平，积极主动作为，认真履行职责，各项工作取得新进展、新成效。</w:t>
      </w:r>
    </w:p>
    <w:p w:rsidR="00A43A50" w:rsidRDefault="007904FD">
      <w:pPr>
        <w:snapToGrid w:val="0"/>
        <w:spacing w:line="600" w:lineRule="exact"/>
        <w:ind w:firstLineChars="200" w:firstLine="640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lastRenderedPageBreak/>
        <w:t>运行成本方面，严格执行各项财经法规制度以及区部门颁发的系列管理办法，切实降低行政运行成本。财务坚持精打细算、勤俭节约，大力压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减一般性支出，持续严控“三公经费”，严格执行因公出国（境）管理规定，严格控制因公出国（境）经费支出；加强公务接待管理，严格执行公务接待公函、清单、审批以及公务活动的有关规定，严控公务接待费用支出。</w:t>
      </w:r>
    </w:p>
    <w:p w:rsidR="00A43A50" w:rsidRDefault="007904FD">
      <w:pPr>
        <w:spacing w:line="600" w:lineRule="exact"/>
        <w:ind w:firstLineChars="200" w:firstLine="640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color w:val="000000"/>
          <w:sz w:val="32"/>
          <w:szCs w:val="32"/>
        </w:rPr>
        <w:t>履职效能方面，</w:t>
      </w:r>
      <w:r>
        <w:rPr>
          <w:rFonts w:asciiTheme="minorEastAsia" w:hAnsiTheme="minorEastAsia" w:cs="黑体" w:hint="eastAsia"/>
          <w:b/>
          <w:bCs/>
          <w:color w:val="000000"/>
          <w:kern w:val="0"/>
          <w:sz w:val="32"/>
          <w:szCs w:val="32"/>
        </w:rPr>
        <w:t>一是紧扣重要任务抓参谋服务。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紧盯全区工作重点领域，草拟和修改了《关于加强地质灾害隐患点防治工作的通知》等多篇公文，认真起草修改区政府主要领导的报告、讲话，智囊作用得到进一步发挥。特别是为严谨、精细起草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年《政府工作报告》，多次组织会议专题研究，广泛征求区四大家和各镇街、区政府各部门的意见建议，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经数易其稿完成起草任务，《报告》受到了代表、委员的热议和点赞。</w:t>
      </w:r>
      <w:r>
        <w:rPr>
          <w:rFonts w:asciiTheme="minorEastAsia" w:hAnsiTheme="minorEastAsia" w:cs="黑体" w:hint="eastAsia"/>
          <w:b/>
          <w:bCs/>
          <w:color w:val="000000"/>
          <w:kern w:val="0"/>
          <w:sz w:val="32"/>
          <w:szCs w:val="32"/>
        </w:rPr>
        <w:t>二是紧扣重大部署抓调研服务。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着力在精、准、深、实上下功夫，联合其他政府部门开展了一些富有成效的专题性、重点性的调查研究，提出具有针对性、操作性的建议，供政府领导工作决策参考。如：就我区新型能源及电力装备产业链建设进行调研，提出打造“娘家型”链长办、打造“专家型”链长办、打造“管家型”链长办等三条建议；就我区农村人居环境整治进行调研，提出大力推进“风貌革命”“厕所革命”“垃圾革命”“庭院革命”“物业革命”等五条建议。</w:t>
      </w:r>
      <w:r>
        <w:rPr>
          <w:rFonts w:asciiTheme="minorEastAsia" w:hAnsiTheme="minorEastAsia" w:cs="黑体" w:hint="eastAsia"/>
          <w:b/>
          <w:bCs/>
          <w:color w:val="000000"/>
          <w:kern w:val="0"/>
          <w:sz w:val="32"/>
          <w:szCs w:val="32"/>
        </w:rPr>
        <w:t>三是紧扣重点工作抓文稿服务。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与区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政府办公室紧密配合，扎实做好重要文稿起草工作，全年共完成各类综合材料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300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余篇，编辑区政府常务会议纪要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10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篇、区长办公会议纪要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13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篇、区政府专题会议纪要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24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篇，始终把文稿起草与调查研究紧密结合，及时把调研成果融入文稿起草中，高质量起草了区政府领导在区委经济工作会议、区委经济工作务虚会、区政府全会、区“百日会战”暨重点项目（棚改旧改）工作推进会、全区今冬明春火灾防控工作会议等重要会议上的讲话文稿，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lastRenderedPageBreak/>
        <w:t>高标准代拟了区政府主要领导在“请人民阅卷”衡阳市决胜全面小康、决战脱贫攻坚雁峰专场新闻发布会等重要活动仪式上的致辞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讲话，充分发挥了以文辅政的重要作用。</w:t>
      </w:r>
      <w:r>
        <w:rPr>
          <w:rFonts w:asciiTheme="minorEastAsia" w:hAnsiTheme="minorEastAsia" w:cs="黑体" w:hint="eastAsia"/>
          <w:b/>
          <w:bCs/>
          <w:color w:val="000000"/>
          <w:kern w:val="0"/>
          <w:sz w:val="32"/>
          <w:szCs w:val="32"/>
        </w:rPr>
        <w:t>四是协助部门工作取得新成效。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承担政务信息报送工作，全年累计报送市政府办政务信息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200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余条；协助抓好建议及提案办理工作，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192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件市、区两级人大代表建议及政协委员提案均按时办结，实现见面率、办结率和满意率均达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100%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；全年与区政府办一起分组开展文明交通劝导志愿活动轮流站岗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300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余班次，到社区、村参加“衡阳群众”志愿服务和创文创卫活动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30</w:t>
      </w:r>
      <w:r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余次。</w:t>
      </w:r>
    </w:p>
    <w:p w:rsidR="00A43A50" w:rsidRDefault="00A43A5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3A50" w:rsidRDefault="00A43A50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A43A50" w:rsidRDefault="00A43A50"/>
    <w:sectPr w:rsidR="00A43A50" w:rsidSect="00A43A50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AE5508"/>
    <w:rsid w:val="007904FD"/>
    <w:rsid w:val="00A43A50"/>
    <w:rsid w:val="6A0114F9"/>
    <w:rsid w:val="79AE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A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43A5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2021-09-29T09:59:00Z</dcterms:created>
  <dcterms:modified xsi:type="dcterms:W3CDTF">2023-11-16T08:48:00Z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F37F5929948A47CE88ADB8FB17D23A1B</vt:lpwstr>
  </property>
</Properties>
</file>