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00758">
      <w:pPr>
        <w:spacing w:line="520" w:lineRule="exact"/>
        <w:jc w:val="center"/>
        <w:rPr>
          <w:rFonts w:eastAsia="方正小标宋简体"/>
          <w:sz w:val="44"/>
          <w:szCs w:val="44"/>
        </w:rPr>
      </w:pPr>
      <w:r>
        <w:rPr>
          <w:rFonts w:eastAsia="方正小标宋简体"/>
          <w:sz w:val="44"/>
          <w:szCs w:val="44"/>
        </w:rPr>
        <w:t>雁峰区“谁执法谁普法”责任制单位2023年度普法重点任务清单</w:t>
      </w:r>
    </w:p>
    <w:p w14:paraId="7B16612E">
      <w:pPr>
        <w:spacing w:line="520" w:lineRule="exact"/>
        <w:rPr>
          <w:rFonts w:eastAsia="黑体"/>
          <w:sz w:val="32"/>
          <w:szCs w:val="32"/>
        </w:rPr>
      </w:pPr>
    </w:p>
    <w:p w14:paraId="249B13FB">
      <w:pPr>
        <w:spacing w:line="520" w:lineRule="exact"/>
        <w:rPr>
          <w:rFonts w:eastAsia="黑体"/>
          <w:sz w:val="32"/>
          <w:szCs w:val="32"/>
        </w:rPr>
      </w:pPr>
      <w:r>
        <w:rPr>
          <w:rFonts w:eastAsia="黑体"/>
          <w:sz w:val="32"/>
          <w:szCs w:val="32"/>
        </w:rPr>
        <w:t>一、共性清单</w:t>
      </w:r>
    </w:p>
    <w:tbl>
      <w:tblPr>
        <w:tblStyle w:val="6"/>
        <w:tblW w:w="14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3504"/>
      </w:tblGrid>
      <w:tr w14:paraId="3465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13" w:type="dxa"/>
            <w:vAlign w:val="center"/>
          </w:tcPr>
          <w:p w14:paraId="6C5A37CF">
            <w:pPr>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3504" w:type="dxa"/>
            <w:vAlign w:val="center"/>
          </w:tcPr>
          <w:p w14:paraId="5C1BDFCE">
            <w:pPr>
              <w:jc w:val="center"/>
              <w:rPr>
                <w:rFonts w:hint="eastAsia" w:ascii="黑体" w:hAnsi="黑体" w:eastAsia="黑体" w:cs="黑体"/>
                <w:color w:val="000000"/>
                <w:sz w:val="24"/>
              </w:rPr>
            </w:pPr>
            <w:r>
              <w:rPr>
                <w:rFonts w:hint="eastAsia" w:ascii="黑体" w:hAnsi="黑体" w:eastAsia="黑体" w:cs="黑体"/>
                <w:color w:val="000000"/>
                <w:sz w:val="24"/>
              </w:rPr>
              <w:t>普法重点任务</w:t>
            </w:r>
          </w:p>
        </w:tc>
      </w:tr>
      <w:tr w14:paraId="3C6C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13" w:type="dxa"/>
            <w:vAlign w:val="center"/>
          </w:tcPr>
          <w:p w14:paraId="424FFA4E">
            <w:pPr>
              <w:jc w:val="center"/>
              <w:rPr>
                <w:rFonts w:eastAsia="仿宋_GB2312"/>
                <w:color w:val="000000"/>
                <w:szCs w:val="21"/>
              </w:rPr>
            </w:pPr>
            <w:r>
              <w:rPr>
                <w:rFonts w:eastAsia="仿宋"/>
                <w:color w:val="000000"/>
                <w:szCs w:val="21"/>
              </w:rPr>
              <w:t>1</w:t>
            </w:r>
          </w:p>
        </w:tc>
        <w:tc>
          <w:tcPr>
            <w:tcW w:w="13504" w:type="dxa"/>
            <w:vAlign w:val="center"/>
          </w:tcPr>
          <w:p w14:paraId="11426D69">
            <w:pPr>
              <w:spacing w:line="280" w:lineRule="exact"/>
              <w:rPr>
                <w:rFonts w:eastAsia="仿宋_GB2312"/>
                <w:color w:val="000000"/>
              </w:rPr>
            </w:pPr>
            <w:r>
              <w:rPr>
                <w:rFonts w:eastAsia="仿宋"/>
                <w:color w:val="000000"/>
              </w:rPr>
              <w:t>认真贯彻实施国家、省、市、区“八五”普法规划，制定并公布本部门行业普法责任清单和年度普法重点任务清单，做到普法工作与其他业务工作同部署、同检查、同落实。</w:t>
            </w:r>
          </w:p>
        </w:tc>
      </w:tr>
      <w:tr w14:paraId="3339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13" w:type="dxa"/>
            <w:vAlign w:val="center"/>
          </w:tcPr>
          <w:p w14:paraId="1AD24810">
            <w:pPr>
              <w:jc w:val="center"/>
              <w:rPr>
                <w:rFonts w:eastAsia="仿宋_GB2312"/>
                <w:color w:val="000000"/>
                <w:szCs w:val="21"/>
              </w:rPr>
            </w:pPr>
            <w:r>
              <w:rPr>
                <w:rFonts w:eastAsia="仿宋"/>
                <w:color w:val="000000"/>
                <w:szCs w:val="21"/>
              </w:rPr>
              <w:t>2</w:t>
            </w:r>
          </w:p>
        </w:tc>
        <w:tc>
          <w:tcPr>
            <w:tcW w:w="13504" w:type="dxa"/>
            <w:vAlign w:val="center"/>
          </w:tcPr>
          <w:p w14:paraId="10233F1E">
            <w:pPr>
              <w:spacing w:line="280" w:lineRule="exact"/>
              <w:rPr>
                <w:rFonts w:eastAsia="仿宋_GB2312"/>
                <w:color w:val="000000"/>
              </w:rPr>
            </w:pPr>
            <w:r>
              <w:rPr>
                <w:rFonts w:eastAsia="仿宋"/>
                <w:color w:val="000000"/>
              </w:rPr>
              <w:t>深入学习宣传党的二十大精神和习近平法治思想，将相关内容纳入年度党委（党组）中心组学习内容和本单位、本系统法治培训内容，开展学习不少于1次。</w:t>
            </w:r>
          </w:p>
        </w:tc>
      </w:tr>
      <w:tr w14:paraId="7A68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513" w:type="dxa"/>
            <w:vAlign w:val="center"/>
          </w:tcPr>
          <w:p w14:paraId="32F27326">
            <w:pPr>
              <w:jc w:val="center"/>
              <w:rPr>
                <w:rFonts w:eastAsia="仿宋_GB2312"/>
                <w:color w:val="000000"/>
                <w:szCs w:val="21"/>
              </w:rPr>
            </w:pPr>
            <w:r>
              <w:rPr>
                <w:rFonts w:eastAsia="仿宋"/>
                <w:color w:val="000000"/>
                <w:szCs w:val="21"/>
              </w:rPr>
              <w:t>3</w:t>
            </w:r>
          </w:p>
        </w:tc>
        <w:tc>
          <w:tcPr>
            <w:tcW w:w="13504" w:type="dxa"/>
            <w:vAlign w:val="center"/>
          </w:tcPr>
          <w:p w14:paraId="1A383C2B">
            <w:pPr>
              <w:spacing w:line="280" w:lineRule="exact"/>
              <w:rPr>
                <w:rFonts w:eastAsia="仿宋_GB2312"/>
                <w:color w:val="000000"/>
              </w:rPr>
            </w:pPr>
            <w:r>
              <w:rPr>
                <w:rFonts w:eastAsia="仿宋"/>
                <w:color w:val="000000"/>
              </w:rPr>
              <w:t>突出宣传宪法，开展宪法进机关活动，组织单位干部开展日常宪法学习宣传，集中组织好本单位“宪法宣传周”活动。</w:t>
            </w:r>
          </w:p>
        </w:tc>
      </w:tr>
      <w:tr w14:paraId="0C36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513" w:type="dxa"/>
            <w:vAlign w:val="center"/>
          </w:tcPr>
          <w:p w14:paraId="28A82A3A">
            <w:pPr>
              <w:jc w:val="center"/>
              <w:rPr>
                <w:rFonts w:eastAsia="仿宋_GB2312"/>
                <w:color w:val="000000"/>
                <w:szCs w:val="21"/>
              </w:rPr>
            </w:pPr>
            <w:r>
              <w:rPr>
                <w:rFonts w:eastAsia="仿宋"/>
                <w:color w:val="000000"/>
                <w:szCs w:val="21"/>
              </w:rPr>
              <w:t>4</w:t>
            </w:r>
          </w:p>
        </w:tc>
        <w:tc>
          <w:tcPr>
            <w:tcW w:w="13504" w:type="dxa"/>
            <w:vAlign w:val="center"/>
          </w:tcPr>
          <w:p w14:paraId="5668C411">
            <w:pPr>
              <w:spacing w:line="280" w:lineRule="exact"/>
              <w:rPr>
                <w:rFonts w:eastAsia="仿宋_GB2312"/>
                <w:color w:val="000000"/>
              </w:rPr>
            </w:pPr>
            <w:r>
              <w:rPr>
                <w:rFonts w:eastAsia="仿宋"/>
                <w:color w:val="000000"/>
              </w:rPr>
              <w:t>按照《关于印发&lt;雁峰区民法典专题宣讲工作方案&gt;的通知》（雁法办〔2022〕8号）文件要求，持续组织开展民法典学习宣讲活动。</w:t>
            </w:r>
          </w:p>
        </w:tc>
      </w:tr>
      <w:tr w14:paraId="31D2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513" w:type="dxa"/>
            <w:vAlign w:val="center"/>
          </w:tcPr>
          <w:p w14:paraId="27C7A5B8">
            <w:pPr>
              <w:jc w:val="center"/>
              <w:rPr>
                <w:rFonts w:eastAsia="仿宋_GB2312"/>
                <w:color w:val="000000"/>
                <w:szCs w:val="21"/>
              </w:rPr>
            </w:pPr>
            <w:r>
              <w:rPr>
                <w:rFonts w:eastAsia="仿宋"/>
                <w:color w:val="000000"/>
                <w:szCs w:val="21"/>
              </w:rPr>
              <w:t>5</w:t>
            </w:r>
          </w:p>
        </w:tc>
        <w:tc>
          <w:tcPr>
            <w:tcW w:w="13504" w:type="dxa"/>
            <w:vAlign w:val="center"/>
          </w:tcPr>
          <w:p w14:paraId="312D4C3A">
            <w:pPr>
              <w:spacing w:line="280" w:lineRule="exact"/>
              <w:rPr>
                <w:rFonts w:eastAsia="仿宋_GB2312"/>
                <w:color w:val="000000"/>
              </w:rPr>
            </w:pPr>
            <w:r>
              <w:rPr>
                <w:rFonts w:eastAsia="仿宋"/>
                <w:color w:val="000000"/>
              </w:rPr>
              <w:t>落实党委（党组）理论学习中心组学法制度，每年组织学法不少于2次。</w:t>
            </w:r>
          </w:p>
        </w:tc>
      </w:tr>
      <w:tr w14:paraId="740B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513" w:type="dxa"/>
            <w:vAlign w:val="center"/>
          </w:tcPr>
          <w:p w14:paraId="6317EDC0">
            <w:pPr>
              <w:jc w:val="center"/>
              <w:rPr>
                <w:rFonts w:eastAsia="仿宋_GB2312"/>
                <w:color w:val="000000"/>
                <w:szCs w:val="21"/>
              </w:rPr>
            </w:pPr>
            <w:r>
              <w:rPr>
                <w:rFonts w:eastAsia="仿宋"/>
                <w:color w:val="000000"/>
                <w:szCs w:val="21"/>
              </w:rPr>
              <w:t>6</w:t>
            </w:r>
          </w:p>
        </w:tc>
        <w:tc>
          <w:tcPr>
            <w:tcW w:w="13504" w:type="dxa"/>
            <w:vAlign w:val="center"/>
          </w:tcPr>
          <w:p w14:paraId="2808C8C6">
            <w:pPr>
              <w:spacing w:line="280" w:lineRule="exact"/>
              <w:rPr>
                <w:rFonts w:eastAsia="仿宋_GB2312"/>
                <w:color w:val="000000"/>
              </w:rPr>
            </w:pPr>
            <w:r>
              <w:rPr>
                <w:rFonts w:eastAsia="仿宋"/>
                <w:color w:val="000000"/>
              </w:rPr>
              <w:t>结合“清廉机关”建设，深入学习宣传党内法规。</w:t>
            </w:r>
          </w:p>
        </w:tc>
      </w:tr>
      <w:tr w14:paraId="6FD0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513" w:type="dxa"/>
            <w:vAlign w:val="center"/>
          </w:tcPr>
          <w:p w14:paraId="6C074ED0">
            <w:pPr>
              <w:jc w:val="center"/>
              <w:rPr>
                <w:rFonts w:eastAsia="仿宋_GB2312"/>
                <w:color w:val="000000"/>
                <w:szCs w:val="21"/>
              </w:rPr>
            </w:pPr>
            <w:r>
              <w:rPr>
                <w:rFonts w:eastAsia="仿宋"/>
                <w:color w:val="000000"/>
                <w:szCs w:val="21"/>
              </w:rPr>
              <w:t>7</w:t>
            </w:r>
          </w:p>
        </w:tc>
        <w:tc>
          <w:tcPr>
            <w:tcW w:w="13504" w:type="dxa"/>
            <w:vAlign w:val="center"/>
          </w:tcPr>
          <w:p w14:paraId="6F677A6B">
            <w:pPr>
              <w:spacing w:line="280" w:lineRule="exact"/>
              <w:rPr>
                <w:rFonts w:eastAsia="仿宋_GB2312"/>
                <w:color w:val="000000"/>
              </w:rPr>
            </w:pPr>
            <w:r>
              <w:rPr>
                <w:rFonts w:eastAsia="仿宋"/>
                <w:color w:val="000000"/>
              </w:rPr>
              <w:t>健全完善国家工作人员日常学法制度、法治培训制度、学法用法考核制度，每年至少举办一期法治专题培训班；组织做好本单位工作人员网上学法，年内课时达标率100%，应考人员参考率100%，合格率100%。</w:t>
            </w:r>
          </w:p>
        </w:tc>
      </w:tr>
      <w:tr w14:paraId="1B8E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13" w:type="dxa"/>
            <w:vAlign w:val="center"/>
          </w:tcPr>
          <w:p w14:paraId="27317A6D">
            <w:pPr>
              <w:jc w:val="center"/>
              <w:rPr>
                <w:rFonts w:eastAsia="仿宋_GB2312"/>
                <w:color w:val="000000"/>
                <w:szCs w:val="21"/>
              </w:rPr>
            </w:pPr>
            <w:r>
              <w:rPr>
                <w:rFonts w:eastAsia="仿宋"/>
                <w:color w:val="000000"/>
                <w:szCs w:val="21"/>
              </w:rPr>
              <w:t>8</w:t>
            </w:r>
          </w:p>
        </w:tc>
        <w:tc>
          <w:tcPr>
            <w:tcW w:w="13504" w:type="dxa"/>
            <w:vAlign w:val="center"/>
          </w:tcPr>
          <w:p w14:paraId="30327A65">
            <w:pPr>
              <w:spacing w:line="280" w:lineRule="exact"/>
              <w:rPr>
                <w:rFonts w:eastAsia="仿宋_GB2312"/>
                <w:color w:val="000000"/>
              </w:rPr>
            </w:pPr>
            <w:r>
              <w:rPr>
                <w:rFonts w:eastAsia="仿宋"/>
                <w:color w:val="000000"/>
              </w:rPr>
              <w:t>落实国家工作人员旁听庭审制度，组织网上集中观看或是现场集中旁听庭审，年内不少于1次。</w:t>
            </w:r>
          </w:p>
        </w:tc>
      </w:tr>
      <w:tr w14:paraId="4294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513" w:type="dxa"/>
            <w:vAlign w:val="center"/>
          </w:tcPr>
          <w:p w14:paraId="3BC0FC17">
            <w:pPr>
              <w:jc w:val="center"/>
              <w:rPr>
                <w:rFonts w:eastAsia="仿宋_GB2312"/>
                <w:color w:val="000000"/>
                <w:szCs w:val="21"/>
              </w:rPr>
            </w:pPr>
            <w:r>
              <w:rPr>
                <w:rFonts w:eastAsia="仿宋"/>
                <w:color w:val="000000"/>
                <w:szCs w:val="21"/>
              </w:rPr>
              <w:t>9</w:t>
            </w:r>
          </w:p>
        </w:tc>
        <w:tc>
          <w:tcPr>
            <w:tcW w:w="13504" w:type="dxa"/>
            <w:vAlign w:val="center"/>
          </w:tcPr>
          <w:p w14:paraId="7593CFBA">
            <w:pPr>
              <w:spacing w:line="280" w:lineRule="exact"/>
              <w:rPr>
                <w:rFonts w:eastAsia="仿宋_GB2312"/>
                <w:color w:val="000000"/>
              </w:rPr>
            </w:pPr>
            <w:r>
              <w:rPr>
                <w:rFonts w:eastAsia="仿宋"/>
                <w:color w:val="000000"/>
              </w:rPr>
              <w:t>在党政门户网站、官方微博、微信公众号开辟法治宣传专栏（专题），设置“以案释法”栏目，定期发布普法宣传内容和“以案释法”案例，年内向区委依法治区办报送不少于1个典型案例。</w:t>
            </w:r>
          </w:p>
        </w:tc>
      </w:tr>
      <w:tr w14:paraId="6A8B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513" w:type="dxa"/>
            <w:vAlign w:val="center"/>
          </w:tcPr>
          <w:p w14:paraId="67BF788F">
            <w:pPr>
              <w:jc w:val="center"/>
              <w:rPr>
                <w:rFonts w:eastAsia="仿宋_GB2312"/>
                <w:color w:val="000000"/>
                <w:szCs w:val="21"/>
              </w:rPr>
            </w:pPr>
            <w:r>
              <w:rPr>
                <w:rFonts w:eastAsia="仿宋"/>
                <w:color w:val="000000"/>
                <w:szCs w:val="21"/>
              </w:rPr>
              <w:t>10</w:t>
            </w:r>
          </w:p>
        </w:tc>
        <w:tc>
          <w:tcPr>
            <w:tcW w:w="13504" w:type="dxa"/>
            <w:vAlign w:val="center"/>
          </w:tcPr>
          <w:p w14:paraId="3780FD89">
            <w:pPr>
              <w:spacing w:line="280" w:lineRule="exact"/>
              <w:rPr>
                <w:rFonts w:eastAsia="仿宋_GB2312"/>
                <w:color w:val="000000"/>
              </w:rPr>
            </w:pPr>
            <w:r>
              <w:rPr>
                <w:rFonts w:eastAsia="仿宋"/>
                <w:color w:val="000000"/>
              </w:rPr>
              <w:t>围绕优化营商环境、文明创建、防范非法集资、反电诈、防邪反邪、常态化扫黑除恶、信访维稳、安全生产、食品药品安全、防溺水等全区重点和底线工作开展法治宣传，为推进法治雁峰建设营造良好法治环境。</w:t>
            </w:r>
          </w:p>
        </w:tc>
      </w:tr>
    </w:tbl>
    <w:p w14:paraId="7C249B11">
      <w:pPr>
        <w:pStyle w:val="4"/>
        <w:spacing w:line="460" w:lineRule="exact"/>
        <w:rPr>
          <w:rFonts w:ascii="Times New Roman" w:hAnsi="Times New Roman" w:eastAsia="黑体"/>
          <w:color w:val="000000"/>
          <w:sz w:val="32"/>
          <w:szCs w:val="32"/>
        </w:rPr>
      </w:pPr>
      <w:r>
        <w:rPr>
          <w:rFonts w:ascii="Times New Roman" w:hAnsi="Times New Roman" w:eastAsia="黑体"/>
          <w:color w:val="000000"/>
          <w:sz w:val="32"/>
          <w:szCs w:val="32"/>
        </w:rPr>
        <w:t>二、个性清单</w:t>
      </w:r>
    </w:p>
    <w:tbl>
      <w:tblPr>
        <w:tblStyle w:val="6"/>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93"/>
        <w:gridCol w:w="12620"/>
      </w:tblGrid>
      <w:tr w14:paraId="56A3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93" w:type="dxa"/>
            <w:vAlign w:val="center"/>
          </w:tcPr>
          <w:p w14:paraId="235DCB0C">
            <w:pPr>
              <w:jc w:val="center"/>
              <w:rPr>
                <w:rFonts w:hint="eastAsia" w:ascii="黑体" w:hAnsi="黑体" w:eastAsia="黑体" w:cs="黑体"/>
                <w:color w:val="000000"/>
                <w:sz w:val="24"/>
              </w:rPr>
            </w:pPr>
            <w:r>
              <w:rPr>
                <w:rFonts w:hint="eastAsia" w:ascii="黑体" w:hAnsi="黑体" w:eastAsia="黑体" w:cs="黑体"/>
                <w:color w:val="000000"/>
                <w:sz w:val="24"/>
              </w:rPr>
              <w:t>单位</w:t>
            </w:r>
          </w:p>
        </w:tc>
        <w:tc>
          <w:tcPr>
            <w:tcW w:w="493" w:type="dxa"/>
            <w:vAlign w:val="center"/>
          </w:tcPr>
          <w:p w14:paraId="6043462D">
            <w:pPr>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2620" w:type="dxa"/>
            <w:vAlign w:val="center"/>
          </w:tcPr>
          <w:p w14:paraId="0FE81CBE">
            <w:pPr>
              <w:jc w:val="center"/>
              <w:rPr>
                <w:rFonts w:hint="eastAsia" w:ascii="黑体" w:hAnsi="黑体" w:eastAsia="黑体" w:cs="黑体"/>
                <w:color w:val="000000"/>
                <w:sz w:val="24"/>
              </w:rPr>
            </w:pPr>
            <w:r>
              <w:rPr>
                <w:rFonts w:hint="eastAsia" w:ascii="黑体" w:hAnsi="黑体" w:eastAsia="黑体" w:cs="黑体"/>
                <w:color w:val="000000"/>
                <w:sz w:val="24"/>
              </w:rPr>
              <w:t>普法重点任务</w:t>
            </w:r>
          </w:p>
        </w:tc>
      </w:tr>
      <w:tr w14:paraId="0091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493" w:type="dxa"/>
            <w:vMerge w:val="restart"/>
            <w:vAlign w:val="center"/>
          </w:tcPr>
          <w:p w14:paraId="562D59A6">
            <w:pPr>
              <w:jc w:val="center"/>
              <w:rPr>
                <w:rFonts w:eastAsia="仿宋_GB2312"/>
                <w:color w:val="000000"/>
                <w:szCs w:val="21"/>
              </w:rPr>
            </w:pPr>
            <w:r>
              <w:rPr>
                <w:rFonts w:eastAsia="仿宋"/>
                <w:color w:val="000000"/>
                <w:szCs w:val="21"/>
              </w:rPr>
              <w:t>区纪委监委</w:t>
            </w:r>
          </w:p>
        </w:tc>
        <w:tc>
          <w:tcPr>
            <w:tcW w:w="493" w:type="dxa"/>
            <w:vAlign w:val="center"/>
          </w:tcPr>
          <w:p w14:paraId="24D52793">
            <w:pPr>
              <w:jc w:val="center"/>
              <w:rPr>
                <w:rFonts w:eastAsia="仿宋_GB2312"/>
                <w:color w:val="000000"/>
                <w:szCs w:val="21"/>
              </w:rPr>
            </w:pPr>
            <w:r>
              <w:rPr>
                <w:rFonts w:eastAsia="仿宋"/>
                <w:color w:val="000000"/>
                <w:szCs w:val="21"/>
              </w:rPr>
              <w:t>1</w:t>
            </w:r>
          </w:p>
        </w:tc>
        <w:tc>
          <w:tcPr>
            <w:tcW w:w="12620" w:type="dxa"/>
            <w:vAlign w:val="center"/>
          </w:tcPr>
          <w:p w14:paraId="205BE5F5">
            <w:pPr>
              <w:spacing w:line="280" w:lineRule="exact"/>
              <w:rPr>
                <w:rFonts w:eastAsia="仿宋_GB2312"/>
                <w:color w:val="000000"/>
              </w:rPr>
            </w:pPr>
            <w:r>
              <w:rPr>
                <w:rFonts w:eastAsia="仿宋"/>
                <w:color w:val="000000"/>
              </w:rPr>
              <w:t>持续组织学习《</w:t>
            </w:r>
            <w:r>
              <w:rPr>
                <w:rFonts w:hint="eastAsia" w:eastAsia="仿宋"/>
                <w:color w:val="000000"/>
              </w:rPr>
              <w:t>中华人民共和国</w:t>
            </w:r>
            <w:r>
              <w:rPr>
                <w:rFonts w:eastAsia="仿宋"/>
                <w:color w:val="000000"/>
              </w:rPr>
              <w:t>监察法》。</w:t>
            </w:r>
          </w:p>
        </w:tc>
      </w:tr>
      <w:tr w14:paraId="7952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493" w:type="dxa"/>
            <w:vMerge w:val="continue"/>
            <w:vAlign w:val="center"/>
          </w:tcPr>
          <w:p w14:paraId="6CD8916C">
            <w:pPr>
              <w:jc w:val="center"/>
              <w:rPr>
                <w:rFonts w:eastAsia="仿宋_GB2312"/>
                <w:color w:val="000000"/>
                <w:szCs w:val="21"/>
              </w:rPr>
            </w:pPr>
          </w:p>
        </w:tc>
        <w:tc>
          <w:tcPr>
            <w:tcW w:w="493" w:type="dxa"/>
            <w:vAlign w:val="center"/>
          </w:tcPr>
          <w:p w14:paraId="4B4FD133">
            <w:pPr>
              <w:jc w:val="center"/>
              <w:rPr>
                <w:rFonts w:eastAsia="仿宋_GB2312"/>
                <w:color w:val="000000"/>
                <w:szCs w:val="21"/>
              </w:rPr>
            </w:pPr>
            <w:r>
              <w:rPr>
                <w:rFonts w:eastAsia="仿宋"/>
                <w:color w:val="000000"/>
                <w:szCs w:val="21"/>
              </w:rPr>
              <w:t>2</w:t>
            </w:r>
          </w:p>
        </w:tc>
        <w:tc>
          <w:tcPr>
            <w:tcW w:w="12620" w:type="dxa"/>
            <w:vAlign w:val="center"/>
          </w:tcPr>
          <w:p w14:paraId="5019655F">
            <w:pPr>
              <w:spacing w:line="280" w:lineRule="exact"/>
              <w:rPr>
                <w:rFonts w:eastAsia="仿宋_GB2312"/>
                <w:color w:val="000000"/>
              </w:rPr>
            </w:pPr>
            <w:r>
              <w:rPr>
                <w:rFonts w:eastAsia="仿宋"/>
                <w:color w:val="000000"/>
              </w:rPr>
              <w:t>组织学习《</w:t>
            </w:r>
            <w:r>
              <w:rPr>
                <w:rFonts w:hint="eastAsia" w:eastAsia="仿宋"/>
                <w:color w:val="000000"/>
              </w:rPr>
              <w:t>中华人民共和国</w:t>
            </w:r>
            <w:r>
              <w:rPr>
                <w:rFonts w:eastAsia="仿宋"/>
                <w:color w:val="000000"/>
              </w:rPr>
              <w:t>刑法》《</w:t>
            </w:r>
            <w:r>
              <w:rPr>
                <w:rFonts w:hint="eastAsia" w:eastAsia="仿宋"/>
                <w:color w:val="000000"/>
              </w:rPr>
              <w:t>中华人民共和国</w:t>
            </w:r>
            <w:r>
              <w:rPr>
                <w:rFonts w:eastAsia="仿宋"/>
                <w:color w:val="000000"/>
              </w:rPr>
              <w:t>刑事诉讼法》等法律，强化纪法贯通，法法衔接运用。</w:t>
            </w:r>
          </w:p>
        </w:tc>
      </w:tr>
      <w:tr w14:paraId="55F5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493" w:type="dxa"/>
            <w:vMerge w:val="restart"/>
            <w:vAlign w:val="center"/>
          </w:tcPr>
          <w:p w14:paraId="792F286C">
            <w:pPr>
              <w:jc w:val="center"/>
              <w:rPr>
                <w:rFonts w:eastAsia="仿宋_GB2312"/>
                <w:color w:val="000000"/>
                <w:szCs w:val="21"/>
              </w:rPr>
            </w:pPr>
            <w:r>
              <w:rPr>
                <w:rFonts w:eastAsia="仿宋"/>
                <w:color w:val="000000"/>
                <w:szCs w:val="21"/>
              </w:rPr>
              <w:t>区网信事务中心</w:t>
            </w:r>
          </w:p>
        </w:tc>
        <w:tc>
          <w:tcPr>
            <w:tcW w:w="493" w:type="dxa"/>
            <w:vAlign w:val="center"/>
          </w:tcPr>
          <w:p w14:paraId="212EB44B">
            <w:pPr>
              <w:jc w:val="center"/>
              <w:rPr>
                <w:rFonts w:eastAsia="仿宋_GB2312"/>
                <w:color w:val="000000"/>
                <w:szCs w:val="21"/>
              </w:rPr>
            </w:pPr>
            <w:r>
              <w:rPr>
                <w:rFonts w:eastAsia="仿宋"/>
                <w:color w:val="000000"/>
                <w:szCs w:val="21"/>
              </w:rPr>
              <w:t>1</w:t>
            </w:r>
          </w:p>
        </w:tc>
        <w:tc>
          <w:tcPr>
            <w:tcW w:w="12620" w:type="dxa"/>
            <w:vAlign w:val="center"/>
          </w:tcPr>
          <w:p w14:paraId="17C75ADE">
            <w:pPr>
              <w:spacing w:line="280" w:lineRule="exact"/>
              <w:rPr>
                <w:rFonts w:eastAsia="仿宋_GB2312"/>
                <w:color w:val="000000"/>
              </w:rPr>
            </w:pPr>
            <w:r>
              <w:rPr>
                <w:rFonts w:eastAsia="仿宋"/>
                <w:color w:val="000000"/>
              </w:rPr>
              <w:t>组织开展国家网络安全宣传周，重点开展“三法两条例”宣传。</w:t>
            </w:r>
          </w:p>
        </w:tc>
      </w:tr>
      <w:tr w14:paraId="029C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493" w:type="dxa"/>
            <w:vMerge w:val="continue"/>
            <w:vAlign w:val="center"/>
          </w:tcPr>
          <w:p w14:paraId="50779229">
            <w:pPr>
              <w:jc w:val="center"/>
              <w:rPr>
                <w:rFonts w:eastAsia="仿宋_GB2312"/>
                <w:color w:val="000000"/>
                <w:szCs w:val="21"/>
              </w:rPr>
            </w:pPr>
          </w:p>
        </w:tc>
        <w:tc>
          <w:tcPr>
            <w:tcW w:w="493" w:type="dxa"/>
            <w:vAlign w:val="center"/>
          </w:tcPr>
          <w:p w14:paraId="162F1BD8">
            <w:pPr>
              <w:jc w:val="center"/>
              <w:rPr>
                <w:rFonts w:eastAsia="仿宋_GB2312"/>
                <w:color w:val="000000"/>
                <w:szCs w:val="21"/>
              </w:rPr>
            </w:pPr>
            <w:r>
              <w:rPr>
                <w:rFonts w:eastAsia="仿宋"/>
                <w:color w:val="000000"/>
                <w:szCs w:val="21"/>
              </w:rPr>
              <w:t>2</w:t>
            </w:r>
          </w:p>
        </w:tc>
        <w:tc>
          <w:tcPr>
            <w:tcW w:w="12620" w:type="dxa"/>
            <w:vAlign w:val="center"/>
          </w:tcPr>
          <w:p w14:paraId="284BE4FE">
            <w:pPr>
              <w:spacing w:line="280" w:lineRule="exact"/>
              <w:rPr>
                <w:rFonts w:eastAsia="仿宋_GB2312"/>
                <w:color w:val="000000"/>
              </w:rPr>
            </w:pPr>
            <w:r>
              <w:rPr>
                <w:rFonts w:eastAsia="仿宋"/>
                <w:color w:val="000000"/>
              </w:rPr>
              <w:t>开展预防未成年人沉迷网络主题宣传活动，宣传《</w:t>
            </w:r>
            <w:r>
              <w:rPr>
                <w:rFonts w:hint="eastAsia" w:eastAsia="仿宋"/>
                <w:color w:val="000000"/>
              </w:rPr>
              <w:t>中华人民共和国</w:t>
            </w:r>
            <w:r>
              <w:rPr>
                <w:rFonts w:eastAsia="仿宋"/>
                <w:color w:val="000000"/>
              </w:rPr>
              <w:t>未成年人保护法》。</w:t>
            </w:r>
          </w:p>
        </w:tc>
      </w:tr>
      <w:tr w14:paraId="044D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493" w:type="dxa"/>
            <w:vMerge w:val="continue"/>
            <w:vAlign w:val="center"/>
          </w:tcPr>
          <w:p w14:paraId="4FE32AFA">
            <w:pPr>
              <w:jc w:val="center"/>
              <w:rPr>
                <w:rFonts w:eastAsia="仿宋_GB2312"/>
                <w:color w:val="000000"/>
                <w:szCs w:val="21"/>
              </w:rPr>
            </w:pPr>
          </w:p>
        </w:tc>
        <w:tc>
          <w:tcPr>
            <w:tcW w:w="493" w:type="dxa"/>
            <w:vAlign w:val="center"/>
          </w:tcPr>
          <w:p w14:paraId="58F49B47">
            <w:pPr>
              <w:jc w:val="center"/>
              <w:rPr>
                <w:rFonts w:eastAsia="仿宋_GB2312"/>
                <w:color w:val="000000"/>
                <w:szCs w:val="21"/>
              </w:rPr>
            </w:pPr>
            <w:r>
              <w:rPr>
                <w:rFonts w:eastAsia="仿宋"/>
                <w:color w:val="000000"/>
                <w:szCs w:val="21"/>
              </w:rPr>
              <w:t>3</w:t>
            </w:r>
          </w:p>
        </w:tc>
        <w:tc>
          <w:tcPr>
            <w:tcW w:w="12620" w:type="dxa"/>
            <w:vAlign w:val="center"/>
          </w:tcPr>
          <w:p w14:paraId="3AF5D733">
            <w:pPr>
              <w:spacing w:line="280" w:lineRule="exact"/>
              <w:rPr>
                <w:rFonts w:eastAsia="仿宋_GB2312"/>
                <w:color w:val="000000"/>
              </w:rPr>
            </w:pPr>
            <w:r>
              <w:rPr>
                <w:rFonts w:eastAsia="仿宋"/>
                <w:color w:val="000000"/>
              </w:rPr>
              <w:t>将《网信部门行政执法程序规定》纳入全区网络执法队伍培训。</w:t>
            </w:r>
          </w:p>
        </w:tc>
      </w:tr>
      <w:tr w14:paraId="0DA0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493" w:type="dxa"/>
            <w:vMerge w:val="restart"/>
            <w:vAlign w:val="center"/>
          </w:tcPr>
          <w:p w14:paraId="2C8C24A7">
            <w:pPr>
              <w:jc w:val="center"/>
              <w:rPr>
                <w:rFonts w:eastAsia="仿宋_GB2312"/>
                <w:color w:val="000000"/>
                <w:szCs w:val="21"/>
              </w:rPr>
            </w:pPr>
            <w:r>
              <w:rPr>
                <w:rFonts w:eastAsia="仿宋"/>
                <w:color w:val="000000"/>
                <w:szCs w:val="21"/>
              </w:rPr>
              <w:t>区人民法院</w:t>
            </w:r>
          </w:p>
        </w:tc>
        <w:tc>
          <w:tcPr>
            <w:tcW w:w="493" w:type="dxa"/>
            <w:vAlign w:val="center"/>
          </w:tcPr>
          <w:p w14:paraId="1766F75B">
            <w:pPr>
              <w:jc w:val="center"/>
              <w:rPr>
                <w:rFonts w:eastAsia="仿宋_GB2312"/>
                <w:color w:val="000000"/>
                <w:szCs w:val="21"/>
              </w:rPr>
            </w:pPr>
            <w:r>
              <w:rPr>
                <w:rFonts w:eastAsia="仿宋"/>
                <w:color w:val="000000"/>
                <w:szCs w:val="21"/>
              </w:rPr>
              <w:t>1</w:t>
            </w:r>
          </w:p>
        </w:tc>
        <w:tc>
          <w:tcPr>
            <w:tcW w:w="12620" w:type="dxa"/>
            <w:vAlign w:val="center"/>
          </w:tcPr>
          <w:p w14:paraId="642C2BFB">
            <w:pPr>
              <w:spacing w:line="280" w:lineRule="exact"/>
              <w:rPr>
                <w:rFonts w:eastAsia="仿宋_GB2312"/>
                <w:color w:val="000000"/>
              </w:rPr>
            </w:pPr>
            <w:r>
              <w:rPr>
                <w:rFonts w:eastAsia="仿宋"/>
                <w:color w:val="000000"/>
              </w:rPr>
              <w:t>按照要求做好审判流程公开、庭审活动公开、裁判文书公开、执行信息公开，让人民群众在阳光透明的司法过程中增进对法律的认知。</w:t>
            </w:r>
          </w:p>
        </w:tc>
      </w:tr>
      <w:tr w14:paraId="0029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493" w:type="dxa"/>
            <w:vMerge w:val="continue"/>
            <w:vAlign w:val="center"/>
          </w:tcPr>
          <w:p w14:paraId="56AF79D8">
            <w:pPr>
              <w:jc w:val="center"/>
              <w:rPr>
                <w:rFonts w:eastAsia="仿宋_GB2312"/>
                <w:color w:val="000000"/>
                <w:szCs w:val="21"/>
              </w:rPr>
            </w:pPr>
          </w:p>
        </w:tc>
        <w:tc>
          <w:tcPr>
            <w:tcW w:w="493" w:type="dxa"/>
            <w:vAlign w:val="center"/>
          </w:tcPr>
          <w:p w14:paraId="24E232DB">
            <w:pPr>
              <w:jc w:val="center"/>
              <w:rPr>
                <w:rFonts w:eastAsia="仿宋_GB2312"/>
                <w:color w:val="000000"/>
                <w:szCs w:val="21"/>
              </w:rPr>
            </w:pPr>
            <w:r>
              <w:rPr>
                <w:rFonts w:eastAsia="仿宋"/>
                <w:color w:val="000000"/>
                <w:szCs w:val="21"/>
              </w:rPr>
              <w:t>2</w:t>
            </w:r>
          </w:p>
        </w:tc>
        <w:tc>
          <w:tcPr>
            <w:tcW w:w="12620" w:type="dxa"/>
            <w:vAlign w:val="center"/>
          </w:tcPr>
          <w:p w14:paraId="14C5B7CE">
            <w:pPr>
              <w:spacing w:line="280" w:lineRule="exact"/>
              <w:rPr>
                <w:rFonts w:eastAsia="仿宋_GB2312"/>
                <w:color w:val="000000"/>
              </w:rPr>
            </w:pPr>
            <w:r>
              <w:rPr>
                <w:rFonts w:eastAsia="仿宋"/>
                <w:color w:val="000000"/>
              </w:rPr>
              <w:t>结合国家</w:t>
            </w:r>
            <w:bookmarkStart w:id="0" w:name="_GoBack"/>
            <w:r>
              <w:rPr>
                <w:rFonts w:eastAsia="仿宋"/>
                <w:color w:val="000000"/>
              </w:rPr>
              <w:t>宪法日</w:t>
            </w:r>
            <w:bookmarkEnd w:id="0"/>
            <w:r>
              <w:rPr>
                <w:rFonts w:eastAsia="仿宋"/>
                <w:color w:val="000000"/>
              </w:rPr>
              <w:t>、国家安全教育日、世界知识产权日、国际儿童节、国际禁毒日等时间节点，组织开展法治宣讲活动，积极开展各类普法送法活动，在社会各界营造浓厚的学法用法氛围。</w:t>
            </w:r>
          </w:p>
        </w:tc>
      </w:tr>
      <w:tr w14:paraId="1EEC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493" w:type="dxa"/>
            <w:vMerge w:val="continue"/>
            <w:vAlign w:val="center"/>
          </w:tcPr>
          <w:p w14:paraId="422A0526">
            <w:pPr>
              <w:jc w:val="center"/>
              <w:rPr>
                <w:rFonts w:eastAsia="仿宋_GB2312"/>
                <w:color w:val="000000"/>
                <w:szCs w:val="21"/>
              </w:rPr>
            </w:pPr>
          </w:p>
        </w:tc>
        <w:tc>
          <w:tcPr>
            <w:tcW w:w="493" w:type="dxa"/>
            <w:vAlign w:val="center"/>
          </w:tcPr>
          <w:p w14:paraId="61145680">
            <w:pPr>
              <w:jc w:val="center"/>
              <w:rPr>
                <w:rFonts w:eastAsia="仿宋_GB2312"/>
                <w:color w:val="000000"/>
                <w:szCs w:val="21"/>
              </w:rPr>
            </w:pPr>
            <w:r>
              <w:rPr>
                <w:rFonts w:eastAsia="仿宋"/>
                <w:color w:val="000000"/>
                <w:szCs w:val="21"/>
              </w:rPr>
              <w:t>3</w:t>
            </w:r>
          </w:p>
        </w:tc>
        <w:tc>
          <w:tcPr>
            <w:tcW w:w="12620" w:type="dxa"/>
            <w:vAlign w:val="center"/>
          </w:tcPr>
          <w:p w14:paraId="6447509A">
            <w:pPr>
              <w:spacing w:line="280" w:lineRule="exact"/>
              <w:rPr>
                <w:rFonts w:eastAsia="仿宋_GB2312"/>
                <w:color w:val="000000"/>
              </w:rPr>
            </w:pPr>
            <w:r>
              <w:rPr>
                <w:rFonts w:eastAsia="仿宋"/>
                <w:color w:val="000000"/>
              </w:rPr>
              <w:t>积极开展送法进校园、进乡村、进机关、进企业、进军营、进社区等活动，通过专题座谈、法律讲座、法律咨询、赠送法律书籍、发放法律宣传资料、上门走访等形式，为普法对象提供有针对性、有特色的法律服务。</w:t>
            </w:r>
          </w:p>
        </w:tc>
      </w:tr>
      <w:tr w14:paraId="2FDB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493" w:type="dxa"/>
            <w:vMerge w:val="restart"/>
            <w:vAlign w:val="center"/>
          </w:tcPr>
          <w:p w14:paraId="6250AD34">
            <w:pPr>
              <w:jc w:val="center"/>
              <w:rPr>
                <w:rFonts w:eastAsia="仿宋_GB2312"/>
                <w:color w:val="000000"/>
                <w:szCs w:val="21"/>
              </w:rPr>
            </w:pPr>
            <w:r>
              <w:rPr>
                <w:rFonts w:eastAsia="仿宋"/>
                <w:color w:val="000000"/>
                <w:szCs w:val="21"/>
              </w:rPr>
              <w:t>区人民检察院</w:t>
            </w:r>
          </w:p>
        </w:tc>
        <w:tc>
          <w:tcPr>
            <w:tcW w:w="493" w:type="dxa"/>
            <w:vAlign w:val="center"/>
          </w:tcPr>
          <w:p w14:paraId="4C117F14">
            <w:pPr>
              <w:jc w:val="center"/>
              <w:rPr>
                <w:rFonts w:eastAsia="仿宋_GB2312"/>
                <w:color w:val="000000"/>
                <w:szCs w:val="21"/>
              </w:rPr>
            </w:pPr>
            <w:r>
              <w:rPr>
                <w:rFonts w:eastAsia="仿宋"/>
                <w:color w:val="000000"/>
                <w:szCs w:val="21"/>
              </w:rPr>
              <w:t>1</w:t>
            </w:r>
          </w:p>
        </w:tc>
        <w:tc>
          <w:tcPr>
            <w:tcW w:w="12620" w:type="dxa"/>
            <w:vAlign w:val="center"/>
          </w:tcPr>
          <w:p w14:paraId="5644FE47">
            <w:pPr>
              <w:spacing w:line="280" w:lineRule="exact"/>
              <w:rPr>
                <w:rFonts w:eastAsia="仿宋_GB2312"/>
                <w:color w:val="000000"/>
              </w:rPr>
            </w:pPr>
            <w:r>
              <w:rPr>
                <w:rFonts w:eastAsia="仿宋"/>
                <w:color w:val="000000"/>
              </w:rPr>
              <w:t>落实好以案释法制度，各办案部门在办案过程中，提升释法说理的主动性和能力水平，向司法办案对象及相关群众及时宣讲法律、政策规定，将普法融入办案全过程。</w:t>
            </w:r>
          </w:p>
        </w:tc>
      </w:tr>
      <w:tr w14:paraId="4D4C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493" w:type="dxa"/>
            <w:vMerge w:val="continue"/>
            <w:vAlign w:val="center"/>
          </w:tcPr>
          <w:p w14:paraId="1D3D6BE8">
            <w:pPr>
              <w:jc w:val="center"/>
              <w:rPr>
                <w:rFonts w:eastAsia="仿宋_GB2312"/>
                <w:color w:val="000000"/>
                <w:szCs w:val="21"/>
              </w:rPr>
            </w:pPr>
          </w:p>
        </w:tc>
        <w:tc>
          <w:tcPr>
            <w:tcW w:w="493" w:type="dxa"/>
            <w:vAlign w:val="center"/>
          </w:tcPr>
          <w:p w14:paraId="58615602">
            <w:pPr>
              <w:jc w:val="center"/>
              <w:rPr>
                <w:rFonts w:eastAsia="仿宋_GB2312"/>
                <w:color w:val="000000"/>
                <w:szCs w:val="21"/>
              </w:rPr>
            </w:pPr>
            <w:r>
              <w:rPr>
                <w:rFonts w:eastAsia="仿宋"/>
                <w:color w:val="000000"/>
                <w:szCs w:val="21"/>
              </w:rPr>
              <w:t>2</w:t>
            </w:r>
          </w:p>
        </w:tc>
        <w:tc>
          <w:tcPr>
            <w:tcW w:w="12620" w:type="dxa"/>
            <w:vAlign w:val="center"/>
          </w:tcPr>
          <w:p w14:paraId="292D6372">
            <w:pPr>
              <w:spacing w:line="280" w:lineRule="exact"/>
              <w:rPr>
                <w:rFonts w:eastAsia="仿宋_GB2312"/>
                <w:color w:val="000000"/>
              </w:rPr>
            </w:pPr>
            <w:r>
              <w:rPr>
                <w:rFonts w:eastAsia="仿宋"/>
                <w:color w:val="000000"/>
                <w:szCs w:val="21"/>
              </w:rPr>
              <w:t>在“3·15”国际消费者权益日、“4·15”全民国家安全教育日、“4·26”世界知识产权日等节点，组织开展保护消费者权益和国家安全教育以及保护知识产权等系列宣传教育活动。</w:t>
            </w:r>
          </w:p>
        </w:tc>
      </w:tr>
      <w:tr w14:paraId="3FCC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493" w:type="dxa"/>
            <w:vMerge w:val="continue"/>
            <w:vAlign w:val="center"/>
          </w:tcPr>
          <w:p w14:paraId="14C65B5D">
            <w:pPr>
              <w:jc w:val="center"/>
              <w:rPr>
                <w:rFonts w:eastAsia="仿宋_GB2312"/>
                <w:color w:val="000000"/>
                <w:szCs w:val="21"/>
              </w:rPr>
            </w:pPr>
          </w:p>
        </w:tc>
        <w:tc>
          <w:tcPr>
            <w:tcW w:w="493" w:type="dxa"/>
            <w:vAlign w:val="center"/>
          </w:tcPr>
          <w:p w14:paraId="18ABC765">
            <w:pPr>
              <w:jc w:val="center"/>
              <w:rPr>
                <w:rFonts w:eastAsia="仿宋_GB2312"/>
                <w:color w:val="000000"/>
                <w:szCs w:val="21"/>
              </w:rPr>
            </w:pPr>
            <w:r>
              <w:rPr>
                <w:rFonts w:eastAsia="仿宋"/>
                <w:color w:val="000000"/>
                <w:szCs w:val="21"/>
              </w:rPr>
              <w:t>3</w:t>
            </w:r>
          </w:p>
        </w:tc>
        <w:tc>
          <w:tcPr>
            <w:tcW w:w="12620" w:type="dxa"/>
            <w:vAlign w:val="center"/>
          </w:tcPr>
          <w:p w14:paraId="110D218C">
            <w:pPr>
              <w:spacing w:line="280" w:lineRule="exact"/>
              <w:rPr>
                <w:rFonts w:eastAsia="仿宋_GB2312"/>
                <w:color w:val="000000"/>
              </w:rPr>
            </w:pPr>
            <w:r>
              <w:rPr>
                <w:rFonts w:eastAsia="仿宋"/>
                <w:color w:val="000000"/>
              </w:rPr>
              <w:t>组织开展送法进校园、“检爱同行——法治进乡村”巡讲等活动。</w:t>
            </w:r>
          </w:p>
        </w:tc>
      </w:tr>
      <w:tr w14:paraId="2B18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3" w:type="dxa"/>
            <w:vMerge w:val="restart"/>
            <w:vAlign w:val="center"/>
          </w:tcPr>
          <w:p w14:paraId="28156817">
            <w:pPr>
              <w:jc w:val="center"/>
              <w:rPr>
                <w:rFonts w:eastAsia="仿宋_GB2312"/>
                <w:color w:val="000000"/>
                <w:szCs w:val="21"/>
              </w:rPr>
            </w:pPr>
            <w:r>
              <w:rPr>
                <w:rFonts w:eastAsia="仿宋"/>
                <w:color w:val="000000"/>
                <w:szCs w:val="21"/>
              </w:rPr>
              <w:t>区发改局</w:t>
            </w:r>
          </w:p>
        </w:tc>
        <w:tc>
          <w:tcPr>
            <w:tcW w:w="493" w:type="dxa"/>
            <w:vAlign w:val="center"/>
          </w:tcPr>
          <w:p w14:paraId="58470A74">
            <w:pPr>
              <w:jc w:val="center"/>
              <w:rPr>
                <w:rFonts w:eastAsia="仿宋_GB2312"/>
                <w:color w:val="000000"/>
                <w:szCs w:val="21"/>
              </w:rPr>
            </w:pPr>
            <w:r>
              <w:rPr>
                <w:rFonts w:eastAsia="仿宋"/>
                <w:color w:val="000000"/>
                <w:szCs w:val="21"/>
              </w:rPr>
              <w:t>1</w:t>
            </w:r>
          </w:p>
        </w:tc>
        <w:tc>
          <w:tcPr>
            <w:tcW w:w="12620" w:type="dxa"/>
            <w:vAlign w:val="center"/>
          </w:tcPr>
          <w:p w14:paraId="3868E4A6">
            <w:pPr>
              <w:spacing w:line="280" w:lineRule="exact"/>
              <w:rPr>
                <w:rFonts w:eastAsia="仿宋_GB2312"/>
                <w:color w:val="000000"/>
              </w:rPr>
            </w:pPr>
            <w:r>
              <w:rPr>
                <w:rFonts w:eastAsia="仿宋"/>
                <w:color w:val="000000"/>
              </w:rPr>
              <w:t>开展节能宣传周活动，广泛宣传《中华人民共和国节约能源法》《中华人民共和国循环经济促进法》等法律。</w:t>
            </w:r>
          </w:p>
        </w:tc>
      </w:tr>
      <w:tr w14:paraId="609D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493" w:type="dxa"/>
            <w:vMerge w:val="continue"/>
            <w:vAlign w:val="center"/>
          </w:tcPr>
          <w:p w14:paraId="67CCF637">
            <w:pPr>
              <w:jc w:val="center"/>
              <w:rPr>
                <w:rFonts w:eastAsia="仿宋_GB2312"/>
                <w:color w:val="000000"/>
                <w:szCs w:val="21"/>
              </w:rPr>
            </w:pPr>
          </w:p>
        </w:tc>
        <w:tc>
          <w:tcPr>
            <w:tcW w:w="493" w:type="dxa"/>
            <w:vAlign w:val="center"/>
          </w:tcPr>
          <w:p w14:paraId="3D0E8B8D">
            <w:pPr>
              <w:jc w:val="center"/>
              <w:rPr>
                <w:rFonts w:eastAsia="仿宋_GB2312"/>
                <w:color w:val="000000"/>
                <w:szCs w:val="21"/>
              </w:rPr>
            </w:pPr>
            <w:r>
              <w:rPr>
                <w:rFonts w:eastAsia="仿宋"/>
                <w:color w:val="000000"/>
                <w:szCs w:val="21"/>
              </w:rPr>
              <w:t>2</w:t>
            </w:r>
          </w:p>
        </w:tc>
        <w:tc>
          <w:tcPr>
            <w:tcW w:w="12620" w:type="dxa"/>
            <w:vAlign w:val="center"/>
          </w:tcPr>
          <w:p w14:paraId="720C6574">
            <w:pPr>
              <w:spacing w:line="280" w:lineRule="exact"/>
              <w:rPr>
                <w:rFonts w:eastAsia="仿宋_GB2312"/>
                <w:color w:val="000000"/>
              </w:rPr>
            </w:pPr>
            <w:r>
              <w:rPr>
                <w:rFonts w:eastAsia="仿宋"/>
                <w:color w:val="000000"/>
              </w:rPr>
              <w:t>通过门户网站、微信公众号、电子显示屏等定期开展《政府投资条例》《企业投资项目核准和备案管理条例》学习宣传。</w:t>
            </w:r>
          </w:p>
        </w:tc>
      </w:tr>
      <w:tr w14:paraId="60DF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493" w:type="dxa"/>
            <w:vMerge w:val="continue"/>
            <w:vAlign w:val="center"/>
          </w:tcPr>
          <w:p w14:paraId="040A7395">
            <w:pPr>
              <w:jc w:val="center"/>
              <w:rPr>
                <w:rFonts w:eastAsia="仿宋_GB2312"/>
                <w:color w:val="000000"/>
                <w:szCs w:val="21"/>
              </w:rPr>
            </w:pPr>
          </w:p>
        </w:tc>
        <w:tc>
          <w:tcPr>
            <w:tcW w:w="493" w:type="dxa"/>
            <w:vAlign w:val="center"/>
          </w:tcPr>
          <w:p w14:paraId="2000D606">
            <w:pPr>
              <w:jc w:val="center"/>
              <w:rPr>
                <w:rFonts w:eastAsia="仿宋_GB2312"/>
                <w:color w:val="000000"/>
                <w:szCs w:val="21"/>
              </w:rPr>
            </w:pPr>
            <w:r>
              <w:rPr>
                <w:rFonts w:eastAsia="仿宋"/>
                <w:color w:val="000000"/>
                <w:szCs w:val="21"/>
              </w:rPr>
              <w:t>3</w:t>
            </w:r>
          </w:p>
        </w:tc>
        <w:tc>
          <w:tcPr>
            <w:tcW w:w="12620" w:type="dxa"/>
            <w:vAlign w:val="center"/>
          </w:tcPr>
          <w:p w14:paraId="5B1F752D">
            <w:pPr>
              <w:spacing w:line="280" w:lineRule="exact"/>
              <w:rPr>
                <w:rFonts w:eastAsia="仿宋_GB2312"/>
                <w:color w:val="000000"/>
              </w:rPr>
            </w:pPr>
            <w:r>
              <w:rPr>
                <w:rFonts w:eastAsia="仿宋"/>
                <w:color w:val="000000"/>
              </w:rPr>
              <w:t>结合6月份安全生产宣传月，开展《中华人民共和国电力法》等法律的宣传。</w:t>
            </w:r>
          </w:p>
        </w:tc>
      </w:tr>
      <w:tr w14:paraId="675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493" w:type="dxa"/>
            <w:vMerge w:val="continue"/>
            <w:vAlign w:val="center"/>
          </w:tcPr>
          <w:p w14:paraId="6BDE60B3">
            <w:pPr>
              <w:jc w:val="center"/>
              <w:rPr>
                <w:rFonts w:eastAsia="仿宋_GB2312"/>
                <w:color w:val="000000"/>
                <w:szCs w:val="21"/>
              </w:rPr>
            </w:pPr>
          </w:p>
        </w:tc>
        <w:tc>
          <w:tcPr>
            <w:tcW w:w="493" w:type="dxa"/>
            <w:vAlign w:val="center"/>
          </w:tcPr>
          <w:p w14:paraId="4D30A1C5">
            <w:pPr>
              <w:jc w:val="center"/>
              <w:rPr>
                <w:rFonts w:eastAsia="仿宋_GB2312"/>
                <w:color w:val="000000"/>
                <w:szCs w:val="21"/>
              </w:rPr>
            </w:pPr>
            <w:r>
              <w:rPr>
                <w:rFonts w:eastAsia="仿宋"/>
                <w:color w:val="000000"/>
                <w:szCs w:val="21"/>
              </w:rPr>
              <w:t>4</w:t>
            </w:r>
          </w:p>
        </w:tc>
        <w:tc>
          <w:tcPr>
            <w:tcW w:w="12620" w:type="dxa"/>
            <w:vAlign w:val="center"/>
          </w:tcPr>
          <w:p w14:paraId="5DBAEE63">
            <w:pPr>
              <w:spacing w:line="280" w:lineRule="exact"/>
              <w:rPr>
                <w:rFonts w:eastAsia="仿宋_GB2312"/>
                <w:color w:val="000000"/>
              </w:rPr>
            </w:pPr>
            <w:r>
              <w:rPr>
                <w:rFonts w:eastAsia="仿宋"/>
                <w:color w:val="000000"/>
              </w:rPr>
              <w:t>对《湖南省社会信用条例》进行解读，利用相关网站、公众号开展信用宣传。</w:t>
            </w:r>
          </w:p>
        </w:tc>
      </w:tr>
      <w:tr w14:paraId="73C5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493" w:type="dxa"/>
            <w:vMerge w:val="continue"/>
            <w:vAlign w:val="center"/>
          </w:tcPr>
          <w:p w14:paraId="3DDFA84A">
            <w:pPr>
              <w:jc w:val="center"/>
              <w:rPr>
                <w:rFonts w:eastAsia="仿宋_GB2312"/>
                <w:color w:val="000000"/>
                <w:szCs w:val="21"/>
              </w:rPr>
            </w:pPr>
          </w:p>
        </w:tc>
        <w:tc>
          <w:tcPr>
            <w:tcW w:w="493" w:type="dxa"/>
            <w:vAlign w:val="center"/>
          </w:tcPr>
          <w:p w14:paraId="4847FA4C">
            <w:pPr>
              <w:jc w:val="center"/>
              <w:rPr>
                <w:rFonts w:eastAsia="仿宋_GB2312"/>
                <w:color w:val="000000"/>
                <w:szCs w:val="21"/>
              </w:rPr>
            </w:pPr>
            <w:r>
              <w:rPr>
                <w:rFonts w:eastAsia="仿宋"/>
                <w:color w:val="000000"/>
                <w:szCs w:val="21"/>
              </w:rPr>
              <w:t>5</w:t>
            </w:r>
          </w:p>
        </w:tc>
        <w:tc>
          <w:tcPr>
            <w:tcW w:w="12620" w:type="dxa"/>
            <w:vAlign w:val="center"/>
          </w:tcPr>
          <w:p w14:paraId="0C5A002B">
            <w:pPr>
              <w:spacing w:line="280" w:lineRule="exact"/>
              <w:rPr>
                <w:rFonts w:eastAsia="仿宋_GB2312"/>
                <w:color w:val="000000"/>
              </w:rPr>
            </w:pPr>
            <w:r>
              <w:rPr>
                <w:rFonts w:eastAsia="仿宋"/>
                <w:color w:val="000000"/>
              </w:rPr>
              <w:t>结合“世界粮食日”宣传活动，深入学习宣传《粮食流通管理办法》《粮油仓储管理办法》有关内容。</w:t>
            </w:r>
          </w:p>
        </w:tc>
      </w:tr>
      <w:tr w14:paraId="600A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493" w:type="dxa"/>
            <w:vMerge w:val="continue"/>
            <w:vAlign w:val="center"/>
          </w:tcPr>
          <w:p w14:paraId="6BA33378">
            <w:pPr>
              <w:jc w:val="center"/>
              <w:rPr>
                <w:rFonts w:eastAsia="仿宋_GB2312"/>
                <w:color w:val="000000"/>
                <w:szCs w:val="21"/>
              </w:rPr>
            </w:pPr>
          </w:p>
        </w:tc>
        <w:tc>
          <w:tcPr>
            <w:tcW w:w="493" w:type="dxa"/>
            <w:vAlign w:val="center"/>
          </w:tcPr>
          <w:p w14:paraId="6EFA778E">
            <w:pPr>
              <w:jc w:val="center"/>
              <w:rPr>
                <w:rFonts w:eastAsia="仿宋_GB2312"/>
                <w:color w:val="000000"/>
                <w:szCs w:val="21"/>
              </w:rPr>
            </w:pPr>
            <w:r>
              <w:rPr>
                <w:rFonts w:eastAsia="仿宋"/>
                <w:color w:val="000000"/>
                <w:szCs w:val="21"/>
              </w:rPr>
              <w:t>6</w:t>
            </w:r>
          </w:p>
        </w:tc>
        <w:tc>
          <w:tcPr>
            <w:tcW w:w="12620" w:type="dxa"/>
            <w:vAlign w:val="center"/>
          </w:tcPr>
          <w:p w14:paraId="19C97142">
            <w:pPr>
              <w:spacing w:line="280" w:lineRule="exact"/>
              <w:rPr>
                <w:rFonts w:eastAsia="仿宋_GB2312"/>
                <w:color w:val="000000"/>
              </w:rPr>
            </w:pPr>
            <w:r>
              <w:rPr>
                <w:rFonts w:eastAsia="仿宋"/>
                <w:color w:val="000000"/>
              </w:rPr>
              <w:t>在政务网站、微信公众号等媒体宣传《中华人民共和国价格法》有关内容。</w:t>
            </w:r>
          </w:p>
        </w:tc>
      </w:tr>
      <w:tr w14:paraId="416A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493" w:type="dxa"/>
            <w:vMerge w:val="restart"/>
            <w:vAlign w:val="center"/>
          </w:tcPr>
          <w:p w14:paraId="14F774EF">
            <w:pPr>
              <w:jc w:val="center"/>
              <w:rPr>
                <w:rFonts w:eastAsia="仿宋_GB2312"/>
                <w:color w:val="000000"/>
                <w:szCs w:val="21"/>
              </w:rPr>
            </w:pPr>
            <w:r>
              <w:rPr>
                <w:rFonts w:eastAsia="仿宋"/>
                <w:color w:val="000000"/>
                <w:szCs w:val="21"/>
              </w:rPr>
              <w:t>区教育局</w:t>
            </w:r>
          </w:p>
        </w:tc>
        <w:tc>
          <w:tcPr>
            <w:tcW w:w="493" w:type="dxa"/>
            <w:vAlign w:val="center"/>
          </w:tcPr>
          <w:p w14:paraId="744DB3FC">
            <w:pPr>
              <w:jc w:val="center"/>
              <w:rPr>
                <w:rFonts w:eastAsia="仿宋_GB2312"/>
                <w:color w:val="000000"/>
                <w:szCs w:val="21"/>
              </w:rPr>
            </w:pPr>
            <w:r>
              <w:rPr>
                <w:rFonts w:eastAsia="仿宋"/>
                <w:color w:val="000000"/>
                <w:szCs w:val="21"/>
              </w:rPr>
              <w:t>1</w:t>
            </w:r>
          </w:p>
        </w:tc>
        <w:tc>
          <w:tcPr>
            <w:tcW w:w="12620" w:type="dxa"/>
            <w:vAlign w:val="center"/>
          </w:tcPr>
          <w:p w14:paraId="63FECF78">
            <w:pPr>
              <w:spacing w:line="280" w:lineRule="exact"/>
              <w:rPr>
                <w:rFonts w:eastAsia="仿宋_GB2312"/>
                <w:color w:val="000000"/>
              </w:rPr>
            </w:pPr>
            <w:r>
              <w:rPr>
                <w:rFonts w:eastAsia="仿宋"/>
                <w:color w:val="000000"/>
              </w:rPr>
              <w:t>利用微信公众号适时发布教育系统法治建设动态，广泛开展以案释法和警示教育。</w:t>
            </w:r>
          </w:p>
        </w:tc>
      </w:tr>
      <w:tr w14:paraId="7A0E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493" w:type="dxa"/>
            <w:vMerge w:val="continue"/>
            <w:vAlign w:val="center"/>
          </w:tcPr>
          <w:p w14:paraId="1D2B4C7B">
            <w:pPr>
              <w:jc w:val="center"/>
              <w:rPr>
                <w:rFonts w:eastAsia="仿宋_GB2312"/>
                <w:color w:val="000000"/>
                <w:szCs w:val="21"/>
              </w:rPr>
            </w:pPr>
          </w:p>
        </w:tc>
        <w:tc>
          <w:tcPr>
            <w:tcW w:w="493" w:type="dxa"/>
            <w:vAlign w:val="center"/>
          </w:tcPr>
          <w:p w14:paraId="2121C1E8">
            <w:pPr>
              <w:jc w:val="center"/>
              <w:rPr>
                <w:rFonts w:eastAsia="仿宋_GB2312"/>
                <w:color w:val="000000"/>
                <w:szCs w:val="21"/>
              </w:rPr>
            </w:pPr>
            <w:r>
              <w:rPr>
                <w:rFonts w:eastAsia="仿宋"/>
                <w:color w:val="000000"/>
                <w:szCs w:val="21"/>
              </w:rPr>
              <w:t>2</w:t>
            </w:r>
          </w:p>
        </w:tc>
        <w:tc>
          <w:tcPr>
            <w:tcW w:w="12620" w:type="dxa"/>
            <w:vAlign w:val="center"/>
          </w:tcPr>
          <w:p w14:paraId="2718B61A">
            <w:pPr>
              <w:spacing w:line="280" w:lineRule="exact"/>
              <w:rPr>
                <w:rFonts w:eastAsia="仿宋_GB2312"/>
                <w:color w:val="000000"/>
              </w:rPr>
            </w:pPr>
            <w:r>
              <w:rPr>
                <w:rFonts w:eastAsia="仿宋"/>
                <w:color w:val="000000"/>
              </w:rPr>
              <w:t>参加第七届全省学生“学宪法讲宪法”活动。</w:t>
            </w:r>
          </w:p>
        </w:tc>
      </w:tr>
      <w:tr w14:paraId="3087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493" w:type="dxa"/>
            <w:vMerge w:val="continue"/>
            <w:vAlign w:val="center"/>
          </w:tcPr>
          <w:p w14:paraId="2518A48B">
            <w:pPr>
              <w:jc w:val="center"/>
              <w:rPr>
                <w:rFonts w:eastAsia="仿宋_GB2312"/>
                <w:color w:val="000000"/>
                <w:szCs w:val="21"/>
              </w:rPr>
            </w:pPr>
          </w:p>
        </w:tc>
        <w:tc>
          <w:tcPr>
            <w:tcW w:w="493" w:type="dxa"/>
            <w:vAlign w:val="center"/>
          </w:tcPr>
          <w:p w14:paraId="3D6D1DC5">
            <w:pPr>
              <w:jc w:val="center"/>
              <w:rPr>
                <w:rFonts w:eastAsia="仿宋_GB2312"/>
                <w:color w:val="000000"/>
                <w:szCs w:val="21"/>
              </w:rPr>
            </w:pPr>
            <w:r>
              <w:rPr>
                <w:rFonts w:eastAsia="仿宋"/>
                <w:color w:val="000000"/>
                <w:szCs w:val="21"/>
              </w:rPr>
              <w:t>3</w:t>
            </w:r>
          </w:p>
        </w:tc>
        <w:tc>
          <w:tcPr>
            <w:tcW w:w="12620" w:type="dxa"/>
            <w:vAlign w:val="center"/>
          </w:tcPr>
          <w:p w14:paraId="1E1BEE07">
            <w:pPr>
              <w:spacing w:line="280" w:lineRule="exact"/>
              <w:rPr>
                <w:rFonts w:eastAsia="仿宋_GB2312"/>
                <w:color w:val="000000"/>
              </w:rPr>
            </w:pPr>
            <w:r>
              <w:rPr>
                <w:rFonts w:eastAsia="仿宋"/>
                <w:color w:val="000000"/>
              </w:rPr>
              <w:t>组织全区教育系统参加“国家宪法日”集中教育活动。</w:t>
            </w:r>
          </w:p>
        </w:tc>
      </w:tr>
      <w:tr w14:paraId="5084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93" w:type="dxa"/>
            <w:vMerge w:val="continue"/>
            <w:vAlign w:val="center"/>
          </w:tcPr>
          <w:p w14:paraId="508BD454">
            <w:pPr>
              <w:jc w:val="center"/>
              <w:rPr>
                <w:rFonts w:eastAsia="仿宋_GB2312"/>
                <w:color w:val="000000"/>
                <w:szCs w:val="21"/>
              </w:rPr>
            </w:pPr>
          </w:p>
        </w:tc>
        <w:tc>
          <w:tcPr>
            <w:tcW w:w="493" w:type="dxa"/>
            <w:vAlign w:val="center"/>
          </w:tcPr>
          <w:p w14:paraId="1F5D84D7">
            <w:pPr>
              <w:jc w:val="center"/>
              <w:rPr>
                <w:rFonts w:eastAsia="仿宋_GB2312"/>
                <w:color w:val="000000"/>
                <w:szCs w:val="21"/>
              </w:rPr>
            </w:pPr>
            <w:r>
              <w:rPr>
                <w:rFonts w:eastAsia="仿宋"/>
                <w:color w:val="000000"/>
                <w:szCs w:val="21"/>
              </w:rPr>
              <w:t>4</w:t>
            </w:r>
          </w:p>
        </w:tc>
        <w:tc>
          <w:tcPr>
            <w:tcW w:w="12620" w:type="dxa"/>
            <w:vAlign w:val="center"/>
          </w:tcPr>
          <w:p w14:paraId="61BDFC47">
            <w:pPr>
              <w:spacing w:line="280" w:lineRule="exact"/>
              <w:rPr>
                <w:rFonts w:eastAsia="仿宋_GB2312"/>
                <w:color w:val="000000"/>
              </w:rPr>
            </w:pPr>
            <w:r>
              <w:rPr>
                <w:rFonts w:eastAsia="仿宋"/>
                <w:color w:val="000000"/>
              </w:rPr>
              <w:t>开展好青少年法治宣传教育周活动，重点宣传《</w:t>
            </w:r>
            <w:r>
              <w:rPr>
                <w:rFonts w:hint="eastAsia" w:eastAsia="仿宋"/>
                <w:color w:val="000000"/>
              </w:rPr>
              <w:t>中华人民共和国</w:t>
            </w:r>
            <w:r>
              <w:rPr>
                <w:rFonts w:eastAsia="仿宋"/>
                <w:color w:val="000000"/>
              </w:rPr>
              <w:t>未成年人保护法》《</w:t>
            </w:r>
            <w:r>
              <w:rPr>
                <w:rFonts w:hint="eastAsia" w:eastAsia="仿宋"/>
                <w:color w:val="000000"/>
              </w:rPr>
              <w:t>中华人民共和国</w:t>
            </w:r>
            <w:r>
              <w:rPr>
                <w:rFonts w:eastAsia="仿宋"/>
                <w:color w:val="000000"/>
              </w:rPr>
              <w:t>预防未成年人犯罪法》。</w:t>
            </w:r>
          </w:p>
        </w:tc>
      </w:tr>
      <w:tr w14:paraId="679C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3" w:type="dxa"/>
            <w:vMerge w:val="continue"/>
            <w:vAlign w:val="center"/>
          </w:tcPr>
          <w:p w14:paraId="767D85FC">
            <w:pPr>
              <w:jc w:val="center"/>
              <w:rPr>
                <w:rFonts w:eastAsia="仿宋_GB2312"/>
                <w:color w:val="000000"/>
                <w:szCs w:val="21"/>
              </w:rPr>
            </w:pPr>
          </w:p>
        </w:tc>
        <w:tc>
          <w:tcPr>
            <w:tcW w:w="493" w:type="dxa"/>
            <w:vAlign w:val="center"/>
          </w:tcPr>
          <w:p w14:paraId="4889FF2B">
            <w:pPr>
              <w:jc w:val="center"/>
              <w:rPr>
                <w:rFonts w:eastAsia="仿宋_GB2312"/>
                <w:color w:val="000000"/>
                <w:szCs w:val="21"/>
              </w:rPr>
            </w:pPr>
            <w:r>
              <w:rPr>
                <w:rFonts w:eastAsia="仿宋"/>
                <w:color w:val="000000"/>
                <w:szCs w:val="21"/>
              </w:rPr>
              <w:t>5</w:t>
            </w:r>
          </w:p>
        </w:tc>
        <w:tc>
          <w:tcPr>
            <w:tcW w:w="12620" w:type="dxa"/>
            <w:vAlign w:val="center"/>
          </w:tcPr>
          <w:p w14:paraId="710F00BD">
            <w:pPr>
              <w:spacing w:line="280" w:lineRule="exact"/>
              <w:rPr>
                <w:rFonts w:eastAsia="仿宋_GB2312"/>
                <w:color w:val="000000"/>
              </w:rPr>
            </w:pPr>
            <w:r>
              <w:rPr>
                <w:rFonts w:eastAsia="仿宋"/>
                <w:color w:val="000000"/>
              </w:rPr>
              <w:t>贯彻落实《中小学法治副校长聘任与管理办法》，指导法治副校长履行职责，开展法治教育活动。</w:t>
            </w:r>
          </w:p>
        </w:tc>
      </w:tr>
      <w:tr w14:paraId="1197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493" w:type="dxa"/>
            <w:vMerge w:val="restart"/>
            <w:vAlign w:val="center"/>
          </w:tcPr>
          <w:p w14:paraId="73C1D2FE">
            <w:pPr>
              <w:jc w:val="center"/>
              <w:rPr>
                <w:rFonts w:eastAsia="仿宋_GB2312"/>
                <w:color w:val="000000"/>
                <w:szCs w:val="21"/>
              </w:rPr>
            </w:pPr>
            <w:r>
              <w:rPr>
                <w:rFonts w:eastAsia="仿宋"/>
                <w:color w:val="000000"/>
                <w:szCs w:val="21"/>
              </w:rPr>
              <w:t>区科工信局</w:t>
            </w:r>
          </w:p>
        </w:tc>
        <w:tc>
          <w:tcPr>
            <w:tcW w:w="493" w:type="dxa"/>
            <w:vAlign w:val="center"/>
          </w:tcPr>
          <w:p w14:paraId="6DC8451E">
            <w:pPr>
              <w:jc w:val="center"/>
              <w:rPr>
                <w:rFonts w:eastAsia="仿宋_GB2312"/>
                <w:color w:val="000000"/>
                <w:szCs w:val="21"/>
              </w:rPr>
            </w:pPr>
            <w:r>
              <w:rPr>
                <w:rFonts w:eastAsia="仿宋"/>
                <w:color w:val="000000"/>
                <w:szCs w:val="21"/>
              </w:rPr>
              <w:t>1</w:t>
            </w:r>
          </w:p>
        </w:tc>
        <w:tc>
          <w:tcPr>
            <w:tcW w:w="12620" w:type="dxa"/>
            <w:vAlign w:val="center"/>
          </w:tcPr>
          <w:p w14:paraId="37109100">
            <w:pPr>
              <w:spacing w:line="280" w:lineRule="exact"/>
              <w:rPr>
                <w:rFonts w:eastAsia="仿宋_GB2312"/>
                <w:color w:val="000000"/>
              </w:rPr>
            </w:pPr>
            <w:r>
              <w:rPr>
                <w:rFonts w:eastAsia="仿宋"/>
                <w:color w:val="000000"/>
              </w:rPr>
              <w:t>学习宣传《中华人民共和国科学技术进步法》。</w:t>
            </w:r>
          </w:p>
        </w:tc>
      </w:tr>
      <w:tr w14:paraId="789F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493" w:type="dxa"/>
            <w:vMerge w:val="continue"/>
            <w:vAlign w:val="center"/>
          </w:tcPr>
          <w:p w14:paraId="7CEEB9D8">
            <w:pPr>
              <w:jc w:val="center"/>
              <w:rPr>
                <w:rFonts w:eastAsia="仿宋_GB2312"/>
                <w:color w:val="000000"/>
                <w:szCs w:val="21"/>
              </w:rPr>
            </w:pPr>
          </w:p>
        </w:tc>
        <w:tc>
          <w:tcPr>
            <w:tcW w:w="493" w:type="dxa"/>
            <w:vAlign w:val="center"/>
          </w:tcPr>
          <w:p w14:paraId="6D5C886E">
            <w:pPr>
              <w:jc w:val="center"/>
              <w:rPr>
                <w:rFonts w:eastAsia="仿宋_GB2312"/>
                <w:color w:val="000000"/>
                <w:szCs w:val="21"/>
              </w:rPr>
            </w:pPr>
            <w:r>
              <w:rPr>
                <w:rFonts w:eastAsia="仿宋"/>
                <w:color w:val="000000"/>
                <w:szCs w:val="21"/>
              </w:rPr>
              <w:t>2</w:t>
            </w:r>
          </w:p>
        </w:tc>
        <w:tc>
          <w:tcPr>
            <w:tcW w:w="12620" w:type="dxa"/>
            <w:vAlign w:val="center"/>
          </w:tcPr>
          <w:p w14:paraId="11EAD2A2">
            <w:pPr>
              <w:spacing w:line="280" w:lineRule="exact"/>
              <w:rPr>
                <w:rFonts w:eastAsia="仿宋_GB2312"/>
                <w:color w:val="000000"/>
              </w:rPr>
            </w:pPr>
            <w:r>
              <w:rPr>
                <w:rFonts w:eastAsia="仿宋"/>
                <w:color w:val="000000"/>
              </w:rPr>
              <w:t>学习宣传《中共中央办公厅 国务院办公厅印发〈关于新时代进一步加强科学技术普及工作的意见〉》。</w:t>
            </w:r>
          </w:p>
        </w:tc>
      </w:tr>
      <w:tr w14:paraId="0B13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493" w:type="dxa"/>
            <w:vMerge w:val="continue"/>
            <w:vAlign w:val="center"/>
          </w:tcPr>
          <w:p w14:paraId="12B0C94F">
            <w:pPr>
              <w:jc w:val="center"/>
              <w:rPr>
                <w:rFonts w:eastAsia="仿宋_GB2312"/>
                <w:color w:val="000000"/>
                <w:szCs w:val="21"/>
              </w:rPr>
            </w:pPr>
          </w:p>
        </w:tc>
        <w:tc>
          <w:tcPr>
            <w:tcW w:w="493" w:type="dxa"/>
            <w:vAlign w:val="center"/>
          </w:tcPr>
          <w:p w14:paraId="23279ADE">
            <w:pPr>
              <w:jc w:val="center"/>
              <w:rPr>
                <w:rFonts w:eastAsia="仿宋_GB2312"/>
                <w:color w:val="000000"/>
                <w:szCs w:val="21"/>
              </w:rPr>
            </w:pPr>
            <w:r>
              <w:rPr>
                <w:rFonts w:eastAsia="仿宋"/>
                <w:color w:val="000000"/>
                <w:szCs w:val="21"/>
              </w:rPr>
              <w:t>3</w:t>
            </w:r>
          </w:p>
        </w:tc>
        <w:tc>
          <w:tcPr>
            <w:tcW w:w="12620" w:type="dxa"/>
            <w:vAlign w:val="center"/>
          </w:tcPr>
          <w:p w14:paraId="416CEED8">
            <w:pPr>
              <w:spacing w:line="280" w:lineRule="exact"/>
              <w:rPr>
                <w:rFonts w:eastAsia="仿宋_GB2312"/>
                <w:color w:val="000000"/>
              </w:rPr>
            </w:pPr>
            <w:r>
              <w:rPr>
                <w:rFonts w:eastAsia="仿宋"/>
                <w:color w:val="000000"/>
              </w:rPr>
              <w:t>举办“工信讲堂”，开展民法典等普法专题讲座。</w:t>
            </w:r>
          </w:p>
        </w:tc>
      </w:tr>
      <w:tr w14:paraId="7E0A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93" w:type="dxa"/>
            <w:vMerge w:val="continue"/>
            <w:vAlign w:val="center"/>
          </w:tcPr>
          <w:p w14:paraId="0E660F1D">
            <w:pPr>
              <w:jc w:val="center"/>
              <w:rPr>
                <w:rFonts w:eastAsia="仿宋_GB2312"/>
                <w:color w:val="000000"/>
                <w:szCs w:val="21"/>
              </w:rPr>
            </w:pPr>
          </w:p>
        </w:tc>
        <w:tc>
          <w:tcPr>
            <w:tcW w:w="493" w:type="dxa"/>
            <w:vAlign w:val="center"/>
          </w:tcPr>
          <w:p w14:paraId="7C5E8AFF">
            <w:pPr>
              <w:jc w:val="center"/>
              <w:rPr>
                <w:rFonts w:eastAsia="仿宋_GB2312"/>
                <w:color w:val="000000"/>
                <w:szCs w:val="21"/>
              </w:rPr>
            </w:pPr>
            <w:r>
              <w:rPr>
                <w:rFonts w:eastAsia="仿宋"/>
                <w:color w:val="000000"/>
                <w:szCs w:val="21"/>
              </w:rPr>
              <w:t>4</w:t>
            </w:r>
          </w:p>
        </w:tc>
        <w:tc>
          <w:tcPr>
            <w:tcW w:w="12620" w:type="dxa"/>
            <w:vAlign w:val="center"/>
          </w:tcPr>
          <w:p w14:paraId="52075312">
            <w:pPr>
              <w:spacing w:line="280" w:lineRule="exact"/>
              <w:rPr>
                <w:rFonts w:eastAsia="仿宋_GB2312"/>
                <w:color w:val="000000"/>
              </w:rPr>
            </w:pPr>
            <w:r>
              <w:rPr>
                <w:rFonts w:eastAsia="仿宋"/>
                <w:color w:val="000000"/>
              </w:rPr>
              <w:t>结合“5·17”世界电信日开展无线电等相关法律法规宣传。</w:t>
            </w:r>
          </w:p>
        </w:tc>
      </w:tr>
      <w:tr w14:paraId="4F98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493" w:type="dxa"/>
            <w:vMerge w:val="restart"/>
            <w:vAlign w:val="center"/>
          </w:tcPr>
          <w:p w14:paraId="7A70EED7">
            <w:pPr>
              <w:jc w:val="center"/>
              <w:rPr>
                <w:rFonts w:eastAsia="仿宋_GB2312"/>
                <w:color w:val="000000"/>
                <w:szCs w:val="21"/>
              </w:rPr>
            </w:pPr>
            <w:r>
              <w:rPr>
                <w:rFonts w:eastAsia="仿宋"/>
                <w:color w:val="000000"/>
                <w:szCs w:val="21"/>
              </w:rPr>
              <w:t>区民宗局</w:t>
            </w:r>
          </w:p>
        </w:tc>
        <w:tc>
          <w:tcPr>
            <w:tcW w:w="493" w:type="dxa"/>
            <w:vAlign w:val="center"/>
          </w:tcPr>
          <w:p w14:paraId="5987A41E">
            <w:pPr>
              <w:jc w:val="center"/>
              <w:rPr>
                <w:rFonts w:eastAsia="仿宋_GB2312"/>
                <w:color w:val="000000"/>
                <w:szCs w:val="21"/>
              </w:rPr>
            </w:pPr>
            <w:r>
              <w:rPr>
                <w:rFonts w:eastAsia="仿宋"/>
                <w:color w:val="000000"/>
                <w:szCs w:val="21"/>
              </w:rPr>
              <w:t>1</w:t>
            </w:r>
          </w:p>
        </w:tc>
        <w:tc>
          <w:tcPr>
            <w:tcW w:w="12620" w:type="dxa"/>
            <w:vAlign w:val="center"/>
          </w:tcPr>
          <w:p w14:paraId="43AFF009">
            <w:pPr>
              <w:spacing w:line="280" w:lineRule="exact"/>
              <w:rPr>
                <w:rFonts w:eastAsia="仿宋_GB2312"/>
                <w:color w:val="000000"/>
                <w:szCs w:val="21"/>
              </w:rPr>
            </w:pPr>
            <w:r>
              <w:rPr>
                <w:rFonts w:eastAsia="仿宋"/>
                <w:szCs w:val="21"/>
              </w:rPr>
              <w:t>抓好《宗教事务条例》《湖南省宗教事务条例》《湖南省民间信仰活动场所管理办法》《互联网宗教信息服务管理办法》《湖南省普通高校招生享受民族政策考生资格审核办法》《湖南省公民民族成份登记管理实施细则》的贯彻实施。</w:t>
            </w:r>
          </w:p>
        </w:tc>
      </w:tr>
      <w:tr w14:paraId="101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493" w:type="dxa"/>
            <w:vMerge w:val="continue"/>
            <w:vAlign w:val="center"/>
          </w:tcPr>
          <w:p w14:paraId="22DA2976">
            <w:pPr>
              <w:jc w:val="center"/>
              <w:rPr>
                <w:rFonts w:eastAsia="仿宋_GB2312"/>
                <w:color w:val="000000"/>
                <w:szCs w:val="21"/>
              </w:rPr>
            </w:pPr>
          </w:p>
        </w:tc>
        <w:tc>
          <w:tcPr>
            <w:tcW w:w="493" w:type="dxa"/>
            <w:vAlign w:val="center"/>
          </w:tcPr>
          <w:p w14:paraId="26754C37">
            <w:pPr>
              <w:jc w:val="center"/>
              <w:rPr>
                <w:rFonts w:eastAsia="仿宋_GB2312"/>
                <w:color w:val="000000"/>
                <w:szCs w:val="21"/>
              </w:rPr>
            </w:pPr>
            <w:r>
              <w:rPr>
                <w:rFonts w:eastAsia="仿宋"/>
                <w:color w:val="000000"/>
                <w:szCs w:val="21"/>
              </w:rPr>
              <w:t>2</w:t>
            </w:r>
          </w:p>
        </w:tc>
        <w:tc>
          <w:tcPr>
            <w:tcW w:w="12620" w:type="dxa"/>
            <w:vAlign w:val="center"/>
          </w:tcPr>
          <w:p w14:paraId="7CF9A43B">
            <w:pPr>
              <w:spacing w:line="280" w:lineRule="exact"/>
              <w:rPr>
                <w:rFonts w:eastAsia="仿宋_GB2312"/>
                <w:color w:val="000000"/>
                <w:szCs w:val="21"/>
              </w:rPr>
            </w:pPr>
            <w:r>
              <w:rPr>
                <w:rFonts w:eastAsia="仿宋"/>
                <w:color w:val="000000"/>
                <w:szCs w:val="21"/>
              </w:rPr>
              <w:t>开展《</w:t>
            </w:r>
            <w:r>
              <w:rPr>
                <w:rFonts w:hint="eastAsia" w:eastAsia="仿宋"/>
                <w:color w:val="000000"/>
              </w:rPr>
              <w:t>中华人民共和国</w:t>
            </w:r>
            <w:r>
              <w:rPr>
                <w:rFonts w:eastAsia="仿宋"/>
                <w:color w:val="000000"/>
                <w:szCs w:val="21"/>
              </w:rPr>
              <w:t>宪法》、《</w:t>
            </w:r>
            <w:r>
              <w:rPr>
                <w:rFonts w:hint="eastAsia" w:eastAsia="仿宋"/>
                <w:color w:val="000000"/>
              </w:rPr>
              <w:t>中华人民共和国</w:t>
            </w:r>
            <w:r>
              <w:rPr>
                <w:rFonts w:eastAsia="仿宋"/>
                <w:color w:val="000000"/>
                <w:szCs w:val="21"/>
              </w:rPr>
              <w:t>民法典》宣传进宗教团体、宗教活动场所活动。</w:t>
            </w:r>
          </w:p>
        </w:tc>
      </w:tr>
      <w:tr w14:paraId="2ED9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vMerge w:val="continue"/>
            <w:vAlign w:val="center"/>
          </w:tcPr>
          <w:p w14:paraId="7A1CBDA5">
            <w:pPr>
              <w:jc w:val="center"/>
              <w:rPr>
                <w:rFonts w:eastAsia="仿宋_GB2312"/>
                <w:color w:val="000000"/>
                <w:szCs w:val="21"/>
              </w:rPr>
            </w:pPr>
          </w:p>
        </w:tc>
        <w:tc>
          <w:tcPr>
            <w:tcW w:w="493" w:type="dxa"/>
            <w:vAlign w:val="center"/>
          </w:tcPr>
          <w:p w14:paraId="3BA46445">
            <w:pPr>
              <w:jc w:val="center"/>
              <w:rPr>
                <w:rFonts w:eastAsia="仿宋_GB2312"/>
                <w:color w:val="000000"/>
                <w:szCs w:val="21"/>
              </w:rPr>
            </w:pPr>
            <w:r>
              <w:rPr>
                <w:rFonts w:eastAsia="仿宋"/>
                <w:color w:val="000000"/>
                <w:szCs w:val="21"/>
              </w:rPr>
              <w:t>3</w:t>
            </w:r>
          </w:p>
        </w:tc>
        <w:tc>
          <w:tcPr>
            <w:tcW w:w="12620" w:type="dxa"/>
            <w:vAlign w:val="center"/>
          </w:tcPr>
          <w:p w14:paraId="2CA77253">
            <w:pPr>
              <w:spacing w:line="280" w:lineRule="exact"/>
              <w:rPr>
                <w:rFonts w:eastAsia="仿宋_GB2312"/>
                <w:color w:val="000000"/>
                <w:szCs w:val="21"/>
              </w:rPr>
            </w:pPr>
            <w:r>
              <w:rPr>
                <w:rFonts w:eastAsia="仿宋"/>
                <w:color w:val="000000"/>
                <w:szCs w:val="21"/>
              </w:rPr>
              <w:t>抓好习近平总书记关于民族工作的重要思想和宗教工作的重要论述的学习宣传贯彻。</w:t>
            </w:r>
          </w:p>
        </w:tc>
      </w:tr>
      <w:tr w14:paraId="54AB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93" w:type="dxa"/>
            <w:vMerge w:val="restart"/>
            <w:vAlign w:val="center"/>
          </w:tcPr>
          <w:p w14:paraId="6F5C9A25">
            <w:pPr>
              <w:jc w:val="center"/>
              <w:rPr>
                <w:rFonts w:eastAsia="仿宋_GB2312"/>
                <w:color w:val="000000"/>
                <w:szCs w:val="21"/>
              </w:rPr>
            </w:pPr>
            <w:r>
              <w:rPr>
                <w:rFonts w:eastAsia="仿宋"/>
                <w:color w:val="000000"/>
                <w:szCs w:val="21"/>
              </w:rPr>
              <w:t>公安雁峰分局</w:t>
            </w:r>
          </w:p>
        </w:tc>
        <w:tc>
          <w:tcPr>
            <w:tcW w:w="493" w:type="dxa"/>
            <w:vAlign w:val="center"/>
          </w:tcPr>
          <w:p w14:paraId="4E9261D8">
            <w:pPr>
              <w:jc w:val="center"/>
              <w:rPr>
                <w:rFonts w:eastAsia="仿宋_GB2312"/>
                <w:color w:val="000000"/>
                <w:szCs w:val="21"/>
              </w:rPr>
            </w:pPr>
            <w:r>
              <w:rPr>
                <w:rFonts w:eastAsia="仿宋"/>
                <w:color w:val="000000"/>
                <w:szCs w:val="21"/>
              </w:rPr>
              <w:t>1</w:t>
            </w:r>
          </w:p>
        </w:tc>
        <w:tc>
          <w:tcPr>
            <w:tcW w:w="12620" w:type="dxa"/>
            <w:vAlign w:val="center"/>
          </w:tcPr>
          <w:p w14:paraId="60C08497">
            <w:pPr>
              <w:spacing w:line="280" w:lineRule="exact"/>
              <w:rPr>
                <w:rFonts w:eastAsia="仿宋_GB2312"/>
                <w:color w:val="000000"/>
              </w:rPr>
            </w:pPr>
            <w:r>
              <w:rPr>
                <w:rFonts w:eastAsia="仿宋"/>
                <w:color w:val="000000"/>
              </w:rPr>
              <w:t>深入学习贯彻党的二十大精神、习近平法治思想，重点围绕宪法、民法典、社区矫正法、军事设施保护法、反电信网络诈骗法、就业促进法等法律法规开展法治宣传活动。</w:t>
            </w:r>
          </w:p>
        </w:tc>
      </w:tr>
      <w:tr w14:paraId="41DD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493" w:type="dxa"/>
            <w:vMerge w:val="continue"/>
            <w:vAlign w:val="center"/>
          </w:tcPr>
          <w:p w14:paraId="54995C98">
            <w:pPr>
              <w:jc w:val="center"/>
              <w:rPr>
                <w:rFonts w:eastAsia="仿宋_GB2312"/>
                <w:color w:val="000000"/>
                <w:szCs w:val="21"/>
              </w:rPr>
            </w:pPr>
          </w:p>
        </w:tc>
        <w:tc>
          <w:tcPr>
            <w:tcW w:w="493" w:type="dxa"/>
            <w:vAlign w:val="center"/>
          </w:tcPr>
          <w:p w14:paraId="1A822783">
            <w:pPr>
              <w:jc w:val="center"/>
              <w:rPr>
                <w:rFonts w:eastAsia="仿宋_GB2312"/>
                <w:color w:val="000000"/>
                <w:szCs w:val="21"/>
              </w:rPr>
            </w:pPr>
            <w:r>
              <w:rPr>
                <w:rFonts w:eastAsia="仿宋"/>
                <w:color w:val="000000"/>
                <w:szCs w:val="21"/>
              </w:rPr>
              <w:t>2</w:t>
            </w:r>
          </w:p>
        </w:tc>
        <w:tc>
          <w:tcPr>
            <w:tcW w:w="12620" w:type="dxa"/>
            <w:vAlign w:val="center"/>
          </w:tcPr>
          <w:p w14:paraId="0E327C79">
            <w:pPr>
              <w:spacing w:line="280" w:lineRule="exact"/>
              <w:rPr>
                <w:rFonts w:eastAsia="仿宋_GB2312"/>
                <w:color w:val="000000"/>
              </w:rPr>
            </w:pPr>
            <w:r>
              <w:rPr>
                <w:rFonts w:eastAsia="仿宋"/>
                <w:color w:val="000000"/>
              </w:rPr>
              <w:t>全面推行公职律师和法律顾问制度，充分发挥法律顾问的作用，推进依法决策、依法行政、依法管理，防范决策、管理风险。</w:t>
            </w:r>
          </w:p>
        </w:tc>
      </w:tr>
      <w:tr w14:paraId="618A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493" w:type="dxa"/>
            <w:vMerge w:val="continue"/>
            <w:vAlign w:val="center"/>
          </w:tcPr>
          <w:p w14:paraId="7882CC77">
            <w:pPr>
              <w:jc w:val="center"/>
              <w:rPr>
                <w:rFonts w:eastAsia="仿宋_GB2312"/>
                <w:color w:val="000000"/>
                <w:szCs w:val="21"/>
              </w:rPr>
            </w:pPr>
          </w:p>
        </w:tc>
        <w:tc>
          <w:tcPr>
            <w:tcW w:w="493" w:type="dxa"/>
            <w:vAlign w:val="center"/>
          </w:tcPr>
          <w:p w14:paraId="4CEAFA33">
            <w:pPr>
              <w:jc w:val="center"/>
              <w:rPr>
                <w:rFonts w:eastAsia="仿宋_GB2312"/>
                <w:color w:val="000000"/>
                <w:szCs w:val="21"/>
              </w:rPr>
            </w:pPr>
            <w:r>
              <w:rPr>
                <w:rFonts w:eastAsia="仿宋"/>
                <w:color w:val="000000"/>
                <w:szCs w:val="21"/>
              </w:rPr>
              <w:t>3</w:t>
            </w:r>
          </w:p>
        </w:tc>
        <w:tc>
          <w:tcPr>
            <w:tcW w:w="12620" w:type="dxa"/>
            <w:vAlign w:val="center"/>
          </w:tcPr>
          <w:p w14:paraId="6D8D51DD">
            <w:pPr>
              <w:spacing w:line="280" w:lineRule="exact"/>
              <w:rPr>
                <w:rFonts w:eastAsia="仿宋_GB2312"/>
                <w:color w:val="000000"/>
              </w:rPr>
            </w:pPr>
            <w:r>
              <w:rPr>
                <w:rFonts w:eastAsia="仿宋"/>
                <w:color w:val="000000"/>
              </w:rPr>
              <w:t>积极组织民辅警参加普法培训，要求领导干部、民警通过如法网、湖南干部教育培训网络学院开展法律知识学习和分类考试。组织民警参加“全国公安机关人民警察执法资格等级考试”，加强对考试结果的运用。</w:t>
            </w:r>
          </w:p>
        </w:tc>
      </w:tr>
      <w:tr w14:paraId="3CAE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493" w:type="dxa"/>
            <w:vMerge w:val="continue"/>
            <w:vAlign w:val="center"/>
          </w:tcPr>
          <w:p w14:paraId="17C052A5">
            <w:pPr>
              <w:jc w:val="center"/>
              <w:rPr>
                <w:rFonts w:eastAsia="仿宋_GB2312"/>
                <w:color w:val="000000"/>
                <w:szCs w:val="21"/>
              </w:rPr>
            </w:pPr>
          </w:p>
        </w:tc>
        <w:tc>
          <w:tcPr>
            <w:tcW w:w="493" w:type="dxa"/>
            <w:vAlign w:val="center"/>
          </w:tcPr>
          <w:p w14:paraId="482F413C">
            <w:pPr>
              <w:jc w:val="center"/>
              <w:rPr>
                <w:rFonts w:eastAsia="仿宋_GB2312"/>
                <w:color w:val="000000"/>
                <w:szCs w:val="21"/>
              </w:rPr>
            </w:pPr>
            <w:r>
              <w:rPr>
                <w:rFonts w:eastAsia="仿宋"/>
                <w:color w:val="000000"/>
                <w:szCs w:val="21"/>
              </w:rPr>
              <w:t>4</w:t>
            </w:r>
          </w:p>
        </w:tc>
        <w:tc>
          <w:tcPr>
            <w:tcW w:w="12620" w:type="dxa"/>
            <w:vAlign w:val="center"/>
          </w:tcPr>
          <w:p w14:paraId="57E6649A">
            <w:pPr>
              <w:spacing w:line="280" w:lineRule="exact"/>
              <w:rPr>
                <w:rFonts w:eastAsia="仿宋_GB2312"/>
                <w:color w:val="000000"/>
              </w:rPr>
            </w:pPr>
            <w:r>
              <w:rPr>
                <w:rFonts w:eastAsia="仿宋"/>
                <w:color w:val="000000"/>
              </w:rPr>
              <w:t>履行社会普法责任。充分利用本单位服务窗口、电子显示屏、宣传栏、网站、微博、微信、抖音、简报，结合“4</w:t>
            </w:r>
            <w:r>
              <w:rPr>
                <w:rFonts w:eastAsia="汉仪大黑简"/>
                <w:color w:val="000000"/>
              </w:rPr>
              <w:t>·</w:t>
            </w:r>
            <w:r>
              <w:rPr>
                <w:rFonts w:eastAsia="仿宋"/>
                <w:color w:val="000000"/>
              </w:rPr>
              <w:t>15”全民国家安全教育日、“5</w:t>
            </w:r>
            <w:r>
              <w:rPr>
                <w:rFonts w:eastAsia="汉仪大黑简"/>
                <w:color w:val="000000"/>
              </w:rPr>
              <w:t>·</w:t>
            </w:r>
            <w:r>
              <w:rPr>
                <w:rFonts w:eastAsia="仿宋"/>
                <w:color w:val="000000"/>
              </w:rPr>
              <w:t>15”打击防范经济犯罪宣传日、“6</w:t>
            </w:r>
            <w:r>
              <w:rPr>
                <w:rFonts w:eastAsia="汉仪大黑简"/>
                <w:color w:val="000000"/>
              </w:rPr>
              <w:t>·</w:t>
            </w:r>
            <w:r>
              <w:rPr>
                <w:rFonts w:eastAsia="仿宋"/>
                <w:color w:val="000000"/>
              </w:rPr>
              <w:t>26”国际禁毒日、“12</w:t>
            </w:r>
            <w:r>
              <w:rPr>
                <w:rFonts w:eastAsia="汉仪大黑简"/>
                <w:color w:val="000000"/>
              </w:rPr>
              <w:t>·</w:t>
            </w:r>
            <w:r>
              <w:rPr>
                <w:rFonts w:eastAsia="仿宋"/>
                <w:color w:val="000000"/>
              </w:rPr>
              <w:t>2”交通安全日、 “12·4”国家宪法日等重要时间节点，组织开展专题法治宣传活动。</w:t>
            </w:r>
          </w:p>
        </w:tc>
      </w:tr>
      <w:tr w14:paraId="1FAB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jc w:val="center"/>
        </w:trPr>
        <w:tc>
          <w:tcPr>
            <w:tcW w:w="493" w:type="dxa"/>
            <w:vMerge w:val="restart"/>
            <w:vAlign w:val="center"/>
          </w:tcPr>
          <w:p w14:paraId="03A2F342">
            <w:pPr>
              <w:jc w:val="center"/>
              <w:rPr>
                <w:rFonts w:eastAsia="仿宋_GB2312"/>
                <w:color w:val="000000"/>
                <w:szCs w:val="21"/>
              </w:rPr>
            </w:pPr>
            <w:r>
              <w:rPr>
                <w:rFonts w:eastAsia="仿宋"/>
                <w:color w:val="000000"/>
                <w:szCs w:val="21"/>
              </w:rPr>
              <w:t>区民政局</w:t>
            </w:r>
          </w:p>
        </w:tc>
        <w:tc>
          <w:tcPr>
            <w:tcW w:w="493" w:type="dxa"/>
            <w:vAlign w:val="center"/>
          </w:tcPr>
          <w:p w14:paraId="1D5ACF65">
            <w:pPr>
              <w:jc w:val="center"/>
              <w:rPr>
                <w:rFonts w:eastAsia="仿宋_GB2312"/>
                <w:color w:val="000000"/>
                <w:szCs w:val="21"/>
              </w:rPr>
            </w:pPr>
            <w:r>
              <w:rPr>
                <w:rFonts w:eastAsia="仿宋"/>
                <w:color w:val="000000"/>
                <w:szCs w:val="21"/>
              </w:rPr>
              <w:t>1</w:t>
            </w:r>
          </w:p>
        </w:tc>
        <w:tc>
          <w:tcPr>
            <w:tcW w:w="12620" w:type="dxa"/>
            <w:vAlign w:val="center"/>
          </w:tcPr>
          <w:p w14:paraId="3FD313CF">
            <w:pPr>
              <w:spacing w:line="280" w:lineRule="exact"/>
              <w:rPr>
                <w:rFonts w:eastAsia="仿宋_GB2312"/>
                <w:szCs w:val="21"/>
              </w:rPr>
            </w:pPr>
            <w:r>
              <w:rPr>
                <w:rFonts w:eastAsia="仿宋"/>
                <w:szCs w:val="21"/>
              </w:rPr>
              <w:t>在开展婚姻登记、收养登记、社会组织管理、发放最低生活保障金、特困人员救助供养金等与人民群众生产生活密切相关的各项民政工作时，充分利用婚姻登记机关、社会福利机构、殡仪服务机构、救助管理站、乡镇民政办（所）等窗口单位开展法治宣传教育，帮助各类民政工作对象学习了解相关法规政策，依法维护自身的合法权益。</w:t>
            </w:r>
          </w:p>
        </w:tc>
      </w:tr>
      <w:tr w14:paraId="3D6A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93" w:type="dxa"/>
            <w:vMerge w:val="continue"/>
            <w:vAlign w:val="center"/>
          </w:tcPr>
          <w:p w14:paraId="196F3B1D">
            <w:pPr>
              <w:jc w:val="center"/>
              <w:rPr>
                <w:rFonts w:eastAsia="仿宋_GB2312"/>
                <w:color w:val="000000"/>
                <w:szCs w:val="21"/>
              </w:rPr>
            </w:pPr>
          </w:p>
        </w:tc>
        <w:tc>
          <w:tcPr>
            <w:tcW w:w="493" w:type="dxa"/>
            <w:vAlign w:val="center"/>
          </w:tcPr>
          <w:p w14:paraId="5B3B7E3B">
            <w:pPr>
              <w:jc w:val="center"/>
              <w:rPr>
                <w:rFonts w:eastAsia="仿宋_GB2312"/>
                <w:color w:val="000000"/>
                <w:szCs w:val="21"/>
              </w:rPr>
            </w:pPr>
            <w:r>
              <w:rPr>
                <w:rFonts w:eastAsia="仿宋"/>
                <w:color w:val="000000"/>
                <w:szCs w:val="21"/>
              </w:rPr>
              <w:t>2</w:t>
            </w:r>
          </w:p>
        </w:tc>
        <w:tc>
          <w:tcPr>
            <w:tcW w:w="12620" w:type="dxa"/>
            <w:vAlign w:val="center"/>
          </w:tcPr>
          <w:p w14:paraId="14668E34">
            <w:pPr>
              <w:spacing w:line="280" w:lineRule="exact"/>
              <w:rPr>
                <w:rFonts w:eastAsia="仿宋_GB2312"/>
                <w:szCs w:val="21"/>
              </w:rPr>
            </w:pPr>
            <w:r>
              <w:rPr>
                <w:rFonts w:eastAsia="仿宋"/>
                <w:szCs w:val="21"/>
              </w:rPr>
              <w:t>将《中华人民共和国慈善法》纳入本单位、本系统法治培训内容，专门组织慈善法培训，利用“中华慈善日”等时机集中开展宣传活动。</w:t>
            </w:r>
          </w:p>
        </w:tc>
      </w:tr>
      <w:tr w14:paraId="619F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493" w:type="dxa"/>
            <w:vMerge w:val="continue"/>
            <w:vAlign w:val="center"/>
          </w:tcPr>
          <w:p w14:paraId="2BBB7361">
            <w:pPr>
              <w:jc w:val="center"/>
              <w:rPr>
                <w:rFonts w:eastAsia="仿宋_GB2312"/>
                <w:color w:val="000000"/>
                <w:szCs w:val="21"/>
              </w:rPr>
            </w:pPr>
          </w:p>
        </w:tc>
        <w:tc>
          <w:tcPr>
            <w:tcW w:w="493" w:type="dxa"/>
            <w:vAlign w:val="center"/>
          </w:tcPr>
          <w:p w14:paraId="51461E03">
            <w:pPr>
              <w:jc w:val="center"/>
              <w:rPr>
                <w:rFonts w:eastAsia="仿宋_GB2312"/>
                <w:color w:val="000000"/>
                <w:szCs w:val="21"/>
              </w:rPr>
            </w:pPr>
            <w:r>
              <w:rPr>
                <w:rFonts w:eastAsia="仿宋"/>
                <w:color w:val="000000"/>
                <w:szCs w:val="21"/>
              </w:rPr>
              <w:t>3</w:t>
            </w:r>
          </w:p>
        </w:tc>
        <w:tc>
          <w:tcPr>
            <w:tcW w:w="12620" w:type="dxa"/>
            <w:vAlign w:val="center"/>
          </w:tcPr>
          <w:p w14:paraId="09FA47C3">
            <w:pPr>
              <w:spacing w:line="280" w:lineRule="exact"/>
              <w:rPr>
                <w:rFonts w:eastAsia="仿宋_GB2312"/>
                <w:szCs w:val="21"/>
              </w:rPr>
            </w:pPr>
            <w:r>
              <w:rPr>
                <w:rFonts w:eastAsia="仿宋"/>
                <w:szCs w:val="21"/>
              </w:rPr>
              <w:t>组织开展新修订《中华人民共和国未成年人保护法》宣传培训，举办大型宣传活动；利用党政门户网和微信公众号进行宣传；利用会议、培训班等契机开展专题讲座。</w:t>
            </w:r>
          </w:p>
        </w:tc>
      </w:tr>
      <w:tr w14:paraId="0234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493" w:type="dxa"/>
            <w:vMerge w:val="continue"/>
            <w:vAlign w:val="center"/>
          </w:tcPr>
          <w:p w14:paraId="48E93D58">
            <w:pPr>
              <w:jc w:val="center"/>
              <w:rPr>
                <w:rFonts w:eastAsia="仿宋_GB2312"/>
                <w:color w:val="000000"/>
                <w:szCs w:val="21"/>
              </w:rPr>
            </w:pPr>
          </w:p>
        </w:tc>
        <w:tc>
          <w:tcPr>
            <w:tcW w:w="493" w:type="dxa"/>
            <w:vAlign w:val="center"/>
          </w:tcPr>
          <w:p w14:paraId="36E3429E">
            <w:pPr>
              <w:jc w:val="center"/>
              <w:rPr>
                <w:rFonts w:eastAsia="仿宋_GB2312"/>
                <w:color w:val="000000"/>
                <w:szCs w:val="21"/>
              </w:rPr>
            </w:pPr>
            <w:r>
              <w:rPr>
                <w:rFonts w:eastAsia="仿宋"/>
                <w:color w:val="000000"/>
                <w:szCs w:val="21"/>
              </w:rPr>
              <w:t>4</w:t>
            </w:r>
          </w:p>
        </w:tc>
        <w:tc>
          <w:tcPr>
            <w:tcW w:w="12620" w:type="dxa"/>
            <w:vAlign w:val="center"/>
          </w:tcPr>
          <w:p w14:paraId="477F8595">
            <w:pPr>
              <w:spacing w:line="280" w:lineRule="exact"/>
              <w:rPr>
                <w:rFonts w:eastAsia="仿宋_GB2312"/>
                <w:szCs w:val="21"/>
              </w:rPr>
            </w:pPr>
            <w:r>
              <w:rPr>
                <w:rFonts w:eastAsia="仿宋"/>
                <w:szCs w:val="21"/>
              </w:rPr>
              <w:t>组织开展《养老机构管理办法》宣传培训，提高养老服务经办人员的养老机构管理法规政策水平。</w:t>
            </w:r>
          </w:p>
        </w:tc>
      </w:tr>
      <w:tr w14:paraId="7063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493" w:type="dxa"/>
            <w:vMerge w:val="restart"/>
            <w:vAlign w:val="center"/>
          </w:tcPr>
          <w:p w14:paraId="34D20C6E">
            <w:pPr>
              <w:jc w:val="center"/>
              <w:rPr>
                <w:rFonts w:eastAsia="仿宋_GB2312"/>
                <w:color w:val="000000"/>
                <w:szCs w:val="21"/>
              </w:rPr>
            </w:pPr>
            <w:r>
              <w:rPr>
                <w:rFonts w:eastAsia="仿宋"/>
                <w:color w:val="000000"/>
                <w:szCs w:val="21"/>
              </w:rPr>
              <w:t>区司法局</w:t>
            </w:r>
          </w:p>
        </w:tc>
        <w:tc>
          <w:tcPr>
            <w:tcW w:w="493" w:type="dxa"/>
            <w:vAlign w:val="center"/>
          </w:tcPr>
          <w:p w14:paraId="7933958D">
            <w:pPr>
              <w:jc w:val="center"/>
              <w:rPr>
                <w:rFonts w:eastAsia="仿宋_GB2312"/>
                <w:color w:val="000000"/>
                <w:szCs w:val="21"/>
              </w:rPr>
            </w:pPr>
            <w:r>
              <w:rPr>
                <w:rFonts w:eastAsia="仿宋"/>
                <w:color w:val="000000"/>
                <w:szCs w:val="21"/>
              </w:rPr>
              <w:t>1</w:t>
            </w:r>
          </w:p>
        </w:tc>
        <w:tc>
          <w:tcPr>
            <w:tcW w:w="12620" w:type="dxa"/>
            <w:vAlign w:val="center"/>
          </w:tcPr>
          <w:p w14:paraId="4AFD3EE7">
            <w:pPr>
              <w:spacing w:line="280" w:lineRule="exact"/>
              <w:rPr>
                <w:rFonts w:eastAsia="仿宋_GB2312"/>
                <w:color w:val="000000"/>
              </w:rPr>
            </w:pPr>
            <w:r>
              <w:rPr>
                <w:rFonts w:eastAsia="仿宋"/>
                <w:color w:val="000000"/>
              </w:rPr>
              <w:t>开展全区“元旦·春节”送法下乡活动和大学生寒暑假“送法”下乡活动。</w:t>
            </w:r>
          </w:p>
        </w:tc>
      </w:tr>
      <w:tr w14:paraId="2B77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493" w:type="dxa"/>
            <w:vMerge w:val="continue"/>
            <w:vAlign w:val="center"/>
          </w:tcPr>
          <w:p w14:paraId="221DBC99">
            <w:pPr>
              <w:jc w:val="center"/>
              <w:rPr>
                <w:rFonts w:eastAsia="仿宋_GB2312"/>
                <w:color w:val="000000"/>
                <w:szCs w:val="21"/>
              </w:rPr>
            </w:pPr>
          </w:p>
        </w:tc>
        <w:tc>
          <w:tcPr>
            <w:tcW w:w="493" w:type="dxa"/>
            <w:vAlign w:val="center"/>
          </w:tcPr>
          <w:p w14:paraId="69D8F659">
            <w:pPr>
              <w:jc w:val="center"/>
              <w:rPr>
                <w:rFonts w:eastAsia="仿宋_GB2312"/>
                <w:color w:val="000000"/>
                <w:szCs w:val="21"/>
              </w:rPr>
            </w:pPr>
            <w:r>
              <w:rPr>
                <w:rFonts w:eastAsia="仿宋"/>
                <w:color w:val="000000"/>
                <w:szCs w:val="21"/>
              </w:rPr>
              <w:t>2</w:t>
            </w:r>
          </w:p>
        </w:tc>
        <w:tc>
          <w:tcPr>
            <w:tcW w:w="12620" w:type="dxa"/>
            <w:vAlign w:val="center"/>
          </w:tcPr>
          <w:p w14:paraId="436F9A16">
            <w:pPr>
              <w:spacing w:line="280" w:lineRule="exact"/>
              <w:rPr>
                <w:rFonts w:eastAsia="仿宋_GB2312"/>
                <w:color w:val="000000"/>
              </w:rPr>
            </w:pPr>
            <w:r>
              <w:rPr>
                <w:rFonts w:eastAsia="仿宋"/>
                <w:color w:val="000000"/>
              </w:rPr>
              <w:t>组织开展全区“4</w:t>
            </w:r>
            <w:r>
              <w:rPr>
                <w:rFonts w:eastAsia="汉仪大黑简"/>
                <w:color w:val="000000"/>
              </w:rPr>
              <w:t>·</w:t>
            </w:r>
            <w:r>
              <w:rPr>
                <w:rFonts w:eastAsia="仿宋"/>
                <w:color w:val="000000"/>
              </w:rPr>
              <w:t>15”全民国家安全教育日普法宣传活动。</w:t>
            </w:r>
          </w:p>
        </w:tc>
      </w:tr>
      <w:tr w14:paraId="7D76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493" w:type="dxa"/>
            <w:vMerge w:val="continue"/>
            <w:vAlign w:val="center"/>
          </w:tcPr>
          <w:p w14:paraId="10F16E0A">
            <w:pPr>
              <w:jc w:val="center"/>
              <w:rPr>
                <w:rFonts w:eastAsia="仿宋_GB2312"/>
                <w:color w:val="000000"/>
                <w:szCs w:val="21"/>
              </w:rPr>
            </w:pPr>
          </w:p>
        </w:tc>
        <w:tc>
          <w:tcPr>
            <w:tcW w:w="493" w:type="dxa"/>
            <w:vAlign w:val="center"/>
          </w:tcPr>
          <w:p w14:paraId="191732B4">
            <w:pPr>
              <w:jc w:val="center"/>
              <w:rPr>
                <w:rFonts w:eastAsia="仿宋_GB2312"/>
                <w:color w:val="000000"/>
                <w:szCs w:val="21"/>
              </w:rPr>
            </w:pPr>
            <w:r>
              <w:rPr>
                <w:rFonts w:eastAsia="仿宋"/>
                <w:color w:val="000000"/>
                <w:szCs w:val="21"/>
              </w:rPr>
              <w:t>3</w:t>
            </w:r>
          </w:p>
        </w:tc>
        <w:tc>
          <w:tcPr>
            <w:tcW w:w="12620" w:type="dxa"/>
            <w:vAlign w:val="center"/>
          </w:tcPr>
          <w:p w14:paraId="2A00D84B">
            <w:pPr>
              <w:spacing w:line="280" w:lineRule="exact"/>
              <w:rPr>
                <w:rFonts w:eastAsia="仿宋_GB2312"/>
                <w:color w:val="000000"/>
              </w:rPr>
            </w:pPr>
            <w:r>
              <w:rPr>
                <w:rFonts w:eastAsia="仿宋"/>
                <w:color w:val="000000"/>
              </w:rPr>
              <w:t>组织开展全区五月农村法治宣传教育月活动。</w:t>
            </w:r>
          </w:p>
        </w:tc>
      </w:tr>
      <w:tr w14:paraId="2668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93" w:type="dxa"/>
            <w:vMerge w:val="continue"/>
            <w:vAlign w:val="center"/>
          </w:tcPr>
          <w:p w14:paraId="43FB031A">
            <w:pPr>
              <w:jc w:val="center"/>
              <w:rPr>
                <w:rFonts w:eastAsia="仿宋_GB2312"/>
                <w:color w:val="000000"/>
                <w:szCs w:val="21"/>
              </w:rPr>
            </w:pPr>
          </w:p>
        </w:tc>
        <w:tc>
          <w:tcPr>
            <w:tcW w:w="493" w:type="dxa"/>
            <w:vAlign w:val="center"/>
          </w:tcPr>
          <w:p w14:paraId="0FB2D1CB">
            <w:pPr>
              <w:jc w:val="center"/>
              <w:rPr>
                <w:rFonts w:eastAsia="仿宋_GB2312"/>
                <w:color w:val="000000"/>
                <w:szCs w:val="21"/>
              </w:rPr>
            </w:pPr>
            <w:r>
              <w:rPr>
                <w:rFonts w:eastAsia="仿宋"/>
                <w:color w:val="000000"/>
                <w:szCs w:val="21"/>
              </w:rPr>
              <w:t>4</w:t>
            </w:r>
          </w:p>
        </w:tc>
        <w:tc>
          <w:tcPr>
            <w:tcW w:w="12620" w:type="dxa"/>
            <w:vAlign w:val="center"/>
          </w:tcPr>
          <w:p w14:paraId="5A2707F3">
            <w:pPr>
              <w:spacing w:line="280" w:lineRule="exact"/>
              <w:rPr>
                <w:rFonts w:eastAsia="仿宋_GB2312"/>
                <w:color w:val="000000"/>
              </w:rPr>
            </w:pPr>
            <w:r>
              <w:rPr>
                <w:rFonts w:eastAsia="仿宋"/>
                <w:color w:val="000000"/>
              </w:rPr>
              <w:t>组织开展全区九月青少年法治宣传教育周活动。</w:t>
            </w:r>
          </w:p>
        </w:tc>
      </w:tr>
      <w:tr w14:paraId="2975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493" w:type="dxa"/>
            <w:vMerge w:val="continue"/>
            <w:vAlign w:val="center"/>
          </w:tcPr>
          <w:p w14:paraId="205CA6DD">
            <w:pPr>
              <w:jc w:val="center"/>
              <w:rPr>
                <w:rFonts w:eastAsia="仿宋_GB2312"/>
                <w:color w:val="000000"/>
                <w:szCs w:val="21"/>
              </w:rPr>
            </w:pPr>
          </w:p>
        </w:tc>
        <w:tc>
          <w:tcPr>
            <w:tcW w:w="493" w:type="dxa"/>
            <w:vAlign w:val="center"/>
          </w:tcPr>
          <w:p w14:paraId="1D7A2528">
            <w:pPr>
              <w:jc w:val="center"/>
              <w:rPr>
                <w:rFonts w:eastAsia="仿宋_GB2312"/>
                <w:color w:val="000000"/>
                <w:szCs w:val="21"/>
              </w:rPr>
            </w:pPr>
            <w:r>
              <w:rPr>
                <w:rFonts w:eastAsia="仿宋"/>
                <w:color w:val="000000"/>
                <w:szCs w:val="21"/>
              </w:rPr>
              <w:t>5</w:t>
            </w:r>
          </w:p>
        </w:tc>
        <w:tc>
          <w:tcPr>
            <w:tcW w:w="12620" w:type="dxa"/>
            <w:vAlign w:val="center"/>
          </w:tcPr>
          <w:p w14:paraId="71F04433">
            <w:pPr>
              <w:spacing w:line="280" w:lineRule="exact"/>
              <w:rPr>
                <w:rFonts w:eastAsia="仿宋_GB2312"/>
                <w:color w:val="000000"/>
              </w:rPr>
            </w:pPr>
            <w:r>
              <w:rPr>
                <w:rFonts w:eastAsia="仿宋"/>
                <w:color w:val="000000"/>
              </w:rPr>
              <w:t>组织开展全区宪法宣传周、“12</w:t>
            </w:r>
            <w:r>
              <w:rPr>
                <w:rFonts w:eastAsia="汉仪大黑简"/>
                <w:color w:val="000000"/>
              </w:rPr>
              <w:t>·</w:t>
            </w:r>
            <w:r>
              <w:rPr>
                <w:rFonts w:eastAsia="仿宋"/>
                <w:color w:val="000000"/>
              </w:rPr>
              <w:t>4”国家宪法日活动</w:t>
            </w:r>
            <w:r>
              <w:rPr>
                <w:rFonts w:eastAsia="仿宋"/>
                <w:color w:val="FF0000"/>
              </w:rPr>
              <w:t>。</w:t>
            </w:r>
          </w:p>
        </w:tc>
      </w:tr>
      <w:tr w14:paraId="4BFF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93" w:type="dxa"/>
            <w:vMerge w:val="continue"/>
            <w:vAlign w:val="center"/>
          </w:tcPr>
          <w:p w14:paraId="118FC116">
            <w:pPr>
              <w:jc w:val="center"/>
              <w:rPr>
                <w:rFonts w:eastAsia="仿宋_GB2312"/>
                <w:color w:val="000000"/>
                <w:szCs w:val="21"/>
              </w:rPr>
            </w:pPr>
          </w:p>
        </w:tc>
        <w:tc>
          <w:tcPr>
            <w:tcW w:w="493" w:type="dxa"/>
            <w:vAlign w:val="center"/>
          </w:tcPr>
          <w:p w14:paraId="52EF2456">
            <w:pPr>
              <w:jc w:val="center"/>
              <w:rPr>
                <w:rFonts w:eastAsia="仿宋_GB2312"/>
                <w:color w:val="000000"/>
                <w:szCs w:val="21"/>
              </w:rPr>
            </w:pPr>
            <w:r>
              <w:rPr>
                <w:rFonts w:eastAsia="仿宋"/>
                <w:color w:val="000000"/>
                <w:szCs w:val="21"/>
              </w:rPr>
              <w:t>6</w:t>
            </w:r>
          </w:p>
        </w:tc>
        <w:tc>
          <w:tcPr>
            <w:tcW w:w="12620" w:type="dxa"/>
            <w:vAlign w:val="center"/>
          </w:tcPr>
          <w:p w14:paraId="3B51CBB0">
            <w:pPr>
              <w:spacing w:line="280" w:lineRule="exact"/>
              <w:rPr>
                <w:rFonts w:eastAsia="仿宋_GB2312"/>
                <w:color w:val="000000"/>
              </w:rPr>
            </w:pPr>
            <w:r>
              <w:rPr>
                <w:rFonts w:eastAsia="仿宋"/>
                <w:color w:val="000000"/>
              </w:rPr>
              <w:t>利用湖南普法网、红网、衡阳普法网和“雁峰普法”微信公众号等媒体平台，结合司法行政执法实践有针对性地宣传解读相关法律法规。</w:t>
            </w:r>
          </w:p>
        </w:tc>
      </w:tr>
      <w:tr w14:paraId="7229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93" w:type="dxa"/>
            <w:vMerge w:val="restart"/>
            <w:vAlign w:val="center"/>
          </w:tcPr>
          <w:p w14:paraId="344B6F3C">
            <w:pPr>
              <w:jc w:val="center"/>
              <w:rPr>
                <w:rFonts w:eastAsia="仿宋_GB2312"/>
                <w:color w:val="000000"/>
                <w:szCs w:val="21"/>
              </w:rPr>
            </w:pPr>
            <w:r>
              <w:rPr>
                <w:rFonts w:eastAsia="仿宋"/>
                <w:color w:val="000000"/>
                <w:szCs w:val="21"/>
              </w:rPr>
              <w:t>区财政局</w:t>
            </w:r>
          </w:p>
        </w:tc>
        <w:tc>
          <w:tcPr>
            <w:tcW w:w="493" w:type="dxa"/>
            <w:vMerge w:val="restart"/>
            <w:vAlign w:val="center"/>
          </w:tcPr>
          <w:p w14:paraId="4CF72A69">
            <w:pPr>
              <w:jc w:val="center"/>
              <w:rPr>
                <w:rFonts w:eastAsia="仿宋_GB2312"/>
                <w:color w:val="000000"/>
                <w:szCs w:val="21"/>
              </w:rPr>
            </w:pPr>
            <w:r>
              <w:rPr>
                <w:rFonts w:eastAsia="仿宋"/>
                <w:color w:val="000000"/>
                <w:szCs w:val="21"/>
              </w:rPr>
              <w:t>1</w:t>
            </w:r>
          </w:p>
        </w:tc>
        <w:tc>
          <w:tcPr>
            <w:tcW w:w="12620" w:type="dxa"/>
            <w:vMerge w:val="restart"/>
            <w:vAlign w:val="center"/>
          </w:tcPr>
          <w:p w14:paraId="4122E146">
            <w:pPr>
              <w:spacing w:line="280" w:lineRule="exact"/>
              <w:rPr>
                <w:rFonts w:eastAsia="仿宋_GB2312"/>
                <w:color w:val="000000"/>
              </w:rPr>
            </w:pPr>
            <w:r>
              <w:rPr>
                <w:rFonts w:eastAsia="仿宋"/>
                <w:color w:val="000000"/>
              </w:rPr>
              <w:t>提高财政系统工作人员政府采购领域法律素养，组织全局干部职工学习《</w:t>
            </w:r>
            <w:r>
              <w:rPr>
                <w:rFonts w:hint="eastAsia" w:eastAsia="仿宋"/>
                <w:color w:val="000000"/>
              </w:rPr>
              <w:t>中华人民共和国</w:t>
            </w:r>
            <w:r>
              <w:rPr>
                <w:rFonts w:eastAsia="仿宋"/>
                <w:color w:val="000000"/>
              </w:rPr>
              <w:t>政府采购法》、《政府采购法实施条例》、《政府采购货物和服务招标投标管理办法》、《政府采购质疑和投诉办法》等政府采购领域相关法律法规，每年至少举办一期法治专题培训班。</w:t>
            </w:r>
          </w:p>
        </w:tc>
      </w:tr>
      <w:tr w14:paraId="0A51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93" w:type="dxa"/>
            <w:vMerge w:val="continue"/>
            <w:vAlign w:val="center"/>
          </w:tcPr>
          <w:p w14:paraId="2EC4782D">
            <w:pPr>
              <w:jc w:val="center"/>
              <w:rPr>
                <w:rFonts w:eastAsia="仿宋_GB2312"/>
                <w:color w:val="000000"/>
                <w:szCs w:val="21"/>
              </w:rPr>
            </w:pPr>
          </w:p>
        </w:tc>
        <w:tc>
          <w:tcPr>
            <w:tcW w:w="493" w:type="dxa"/>
            <w:vMerge w:val="continue"/>
            <w:vAlign w:val="center"/>
          </w:tcPr>
          <w:p w14:paraId="42432CBD">
            <w:pPr>
              <w:jc w:val="center"/>
              <w:rPr>
                <w:rFonts w:eastAsia="仿宋_GB2312"/>
                <w:color w:val="000000"/>
                <w:szCs w:val="21"/>
              </w:rPr>
            </w:pPr>
          </w:p>
        </w:tc>
        <w:tc>
          <w:tcPr>
            <w:tcW w:w="12620" w:type="dxa"/>
            <w:vMerge w:val="continue"/>
            <w:vAlign w:val="center"/>
          </w:tcPr>
          <w:p w14:paraId="2618390F">
            <w:pPr>
              <w:spacing w:line="280" w:lineRule="exact"/>
              <w:rPr>
                <w:rFonts w:eastAsia="仿宋_GB2312"/>
                <w:color w:val="000000"/>
              </w:rPr>
            </w:pPr>
          </w:p>
        </w:tc>
      </w:tr>
      <w:tr w14:paraId="66C2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493" w:type="dxa"/>
            <w:vMerge w:val="continue"/>
            <w:vAlign w:val="center"/>
          </w:tcPr>
          <w:p w14:paraId="7EFC4335">
            <w:pPr>
              <w:jc w:val="center"/>
              <w:rPr>
                <w:rFonts w:eastAsia="仿宋_GB2312"/>
                <w:color w:val="000000"/>
                <w:szCs w:val="21"/>
              </w:rPr>
            </w:pPr>
          </w:p>
        </w:tc>
        <w:tc>
          <w:tcPr>
            <w:tcW w:w="493" w:type="dxa"/>
            <w:vAlign w:val="center"/>
          </w:tcPr>
          <w:p w14:paraId="2EAB42EA">
            <w:pPr>
              <w:jc w:val="center"/>
              <w:rPr>
                <w:rFonts w:eastAsia="仿宋_GB2312"/>
                <w:color w:val="000000"/>
                <w:szCs w:val="21"/>
              </w:rPr>
            </w:pPr>
            <w:r>
              <w:rPr>
                <w:rFonts w:eastAsia="仿宋"/>
                <w:color w:val="000000"/>
                <w:szCs w:val="21"/>
              </w:rPr>
              <w:t>2</w:t>
            </w:r>
          </w:p>
        </w:tc>
        <w:tc>
          <w:tcPr>
            <w:tcW w:w="12620" w:type="dxa"/>
            <w:vAlign w:val="center"/>
          </w:tcPr>
          <w:p w14:paraId="7B32CBD1">
            <w:pPr>
              <w:spacing w:line="280" w:lineRule="exact"/>
              <w:rPr>
                <w:rFonts w:eastAsia="仿宋_GB2312"/>
                <w:color w:val="000000"/>
              </w:rPr>
            </w:pPr>
            <w:r>
              <w:rPr>
                <w:rFonts w:eastAsia="仿宋"/>
                <w:color w:val="000000"/>
              </w:rPr>
              <w:t>开展法治宣传教育周活动，重点宣传《</w:t>
            </w:r>
            <w:r>
              <w:rPr>
                <w:rFonts w:hint="eastAsia" w:eastAsia="仿宋"/>
                <w:color w:val="000000"/>
              </w:rPr>
              <w:t>中华人民共和国</w:t>
            </w:r>
            <w:r>
              <w:rPr>
                <w:rFonts w:eastAsia="仿宋"/>
                <w:color w:val="000000"/>
              </w:rPr>
              <w:t>预算法》《</w:t>
            </w:r>
            <w:r>
              <w:rPr>
                <w:rFonts w:hint="eastAsia" w:eastAsia="仿宋"/>
                <w:color w:val="000000"/>
              </w:rPr>
              <w:t>中华人民共和国</w:t>
            </w:r>
            <w:r>
              <w:rPr>
                <w:rFonts w:eastAsia="仿宋"/>
                <w:color w:val="000000"/>
              </w:rPr>
              <w:t>会计法》。</w:t>
            </w:r>
          </w:p>
        </w:tc>
      </w:tr>
      <w:tr w14:paraId="7A9B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493" w:type="dxa"/>
            <w:vMerge w:val="restart"/>
            <w:vAlign w:val="center"/>
          </w:tcPr>
          <w:p w14:paraId="3EC748C6">
            <w:pPr>
              <w:jc w:val="center"/>
              <w:rPr>
                <w:rFonts w:eastAsia="仿宋_GB2312"/>
                <w:color w:val="000000"/>
                <w:szCs w:val="21"/>
              </w:rPr>
            </w:pPr>
            <w:r>
              <w:rPr>
                <w:rFonts w:eastAsia="仿宋"/>
                <w:color w:val="000000"/>
                <w:szCs w:val="21"/>
              </w:rPr>
              <w:t>区人社局</w:t>
            </w:r>
          </w:p>
        </w:tc>
        <w:tc>
          <w:tcPr>
            <w:tcW w:w="493" w:type="dxa"/>
            <w:vAlign w:val="center"/>
          </w:tcPr>
          <w:p w14:paraId="7E3F981C">
            <w:pPr>
              <w:jc w:val="center"/>
              <w:rPr>
                <w:rFonts w:eastAsia="仿宋_GB2312"/>
                <w:color w:val="000000"/>
                <w:szCs w:val="21"/>
              </w:rPr>
            </w:pPr>
            <w:r>
              <w:rPr>
                <w:rFonts w:eastAsia="仿宋"/>
                <w:color w:val="000000"/>
                <w:szCs w:val="21"/>
              </w:rPr>
              <w:t>1</w:t>
            </w:r>
          </w:p>
        </w:tc>
        <w:tc>
          <w:tcPr>
            <w:tcW w:w="12620" w:type="dxa"/>
            <w:vAlign w:val="center"/>
          </w:tcPr>
          <w:p w14:paraId="68BB759C">
            <w:pPr>
              <w:spacing w:line="280" w:lineRule="exact"/>
              <w:rPr>
                <w:rFonts w:eastAsia="仿宋_GB2312"/>
                <w:color w:val="000000"/>
              </w:rPr>
            </w:pPr>
            <w:r>
              <w:rPr>
                <w:rFonts w:eastAsia="仿宋"/>
                <w:color w:val="000000"/>
              </w:rPr>
              <w:t>深入开展“五进五送、惠企惠民”专项行动（“进企业、进农村、进学校、进社区、进家庭”“送政策、送服务、送岗位、送资金、送培训”），多形式宣传人社的普惠政策、重大举措、工作成果，多渠道听取企业发展面临的“堵点”“痛点”“难点”。</w:t>
            </w:r>
          </w:p>
        </w:tc>
      </w:tr>
      <w:tr w14:paraId="14C7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493" w:type="dxa"/>
            <w:vMerge w:val="continue"/>
            <w:vAlign w:val="center"/>
          </w:tcPr>
          <w:p w14:paraId="4968DDB8">
            <w:pPr>
              <w:jc w:val="center"/>
              <w:rPr>
                <w:rFonts w:eastAsia="仿宋_GB2312"/>
                <w:color w:val="000000"/>
                <w:szCs w:val="21"/>
              </w:rPr>
            </w:pPr>
          </w:p>
        </w:tc>
        <w:tc>
          <w:tcPr>
            <w:tcW w:w="493" w:type="dxa"/>
            <w:vAlign w:val="center"/>
          </w:tcPr>
          <w:p w14:paraId="570EB7C8">
            <w:pPr>
              <w:jc w:val="center"/>
              <w:rPr>
                <w:rFonts w:eastAsia="仿宋_GB2312"/>
                <w:color w:val="000000"/>
                <w:szCs w:val="21"/>
              </w:rPr>
            </w:pPr>
            <w:r>
              <w:rPr>
                <w:rFonts w:eastAsia="仿宋"/>
                <w:color w:val="000000"/>
                <w:szCs w:val="21"/>
              </w:rPr>
              <w:t>2</w:t>
            </w:r>
          </w:p>
        </w:tc>
        <w:tc>
          <w:tcPr>
            <w:tcW w:w="12620" w:type="dxa"/>
            <w:vAlign w:val="center"/>
          </w:tcPr>
          <w:p w14:paraId="6AAD489F">
            <w:pPr>
              <w:spacing w:line="280" w:lineRule="exact"/>
              <w:rPr>
                <w:rFonts w:eastAsia="仿宋_GB2312"/>
                <w:color w:val="000000"/>
              </w:rPr>
            </w:pPr>
            <w:r>
              <w:rPr>
                <w:rFonts w:eastAsia="仿宋"/>
                <w:color w:val="000000"/>
              </w:rPr>
              <w:t>开展“助千业、优环境、促和谐”企业培训活动，通过创新打造“微课堂”和学习交流平台，为企业普及劳动法律法规，引导企业进一步提高依法经营、依法维权、依法办事、依法管理的能力和水平，维护劳动关系和谐稳定。</w:t>
            </w:r>
          </w:p>
        </w:tc>
      </w:tr>
      <w:tr w14:paraId="6E10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493" w:type="dxa"/>
            <w:vMerge w:val="continue"/>
            <w:vAlign w:val="center"/>
          </w:tcPr>
          <w:p w14:paraId="56FD45B2">
            <w:pPr>
              <w:jc w:val="center"/>
              <w:rPr>
                <w:rFonts w:eastAsia="仿宋_GB2312"/>
                <w:color w:val="000000"/>
                <w:szCs w:val="21"/>
              </w:rPr>
            </w:pPr>
          </w:p>
        </w:tc>
        <w:tc>
          <w:tcPr>
            <w:tcW w:w="493" w:type="dxa"/>
            <w:vAlign w:val="center"/>
          </w:tcPr>
          <w:p w14:paraId="4D6799E6">
            <w:pPr>
              <w:jc w:val="center"/>
              <w:rPr>
                <w:rFonts w:eastAsia="仿宋_GB2312"/>
                <w:color w:val="000000"/>
                <w:szCs w:val="21"/>
              </w:rPr>
            </w:pPr>
            <w:r>
              <w:rPr>
                <w:rFonts w:eastAsia="仿宋"/>
                <w:color w:val="000000"/>
                <w:szCs w:val="21"/>
              </w:rPr>
              <w:t>3</w:t>
            </w:r>
          </w:p>
        </w:tc>
        <w:tc>
          <w:tcPr>
            <w:tcW w:w="12620" w:type="dxa"/>
            <w:vAlign w:val="center"/>
          </w:tcPr>
          <w:p w14:paraId="1A87FD66">
            <w:pPr>
              <w:spacing w:line="280" w:lineRule="exact"/>
              <w:rPr>
                <w:rFonts w:eastAsia="仿宋_GB2312"/>
                <w:color w:val="000000"/>
              </w:rPr>
            </w:pPr>
            <w:r>
              <w:rPr>
                <w:rFonts w:eastAsia="仿宋"/>
                <w:color w:val="000000"/>
              </w:rPr>
              <w:t>在宪法宣传周、法治宣传月等时节，深入企业及公共场所宣传《工伤保险条例》《</w:t>
            </w:r>
            <w:r>
              <w:rPr>
                <w:rFonts w:hint="eastAsia" w:eastAsia="仿宋"/>
                <w:color w:val="000000"/>
              </w:rPr>
              <w:t>中华人民共和国</w:t>
            </w:r>
            <w:r>
              <w:rPr>
                <w:rFonts w:eastAsia="仿宋"/>
                <w:color w:val="000000"/>
              </w:rPr>
              <w:t>社会保险法》《</w:t>
            </w:r>
            <w:r>
              <w:rPr>
                <w:rFonts w:hint="eastAsia" w:eastAsia="仿宋"/>
                <w:color w:val="000000"/>
              </w:rPr>
              <w:t>中华人民共和国</w:t>
            </w:r>
            <w:r>
              <w:rPr>
                <w:rFonts w:eastAsia="仿宋"/>
                <w:color w:val="000000"/>
              </w:rPr>
              <w:t>职业病防治法》《失业保险条例》《保障农民工工资支付条例》等法律法规。</w:t>
            </w:r>
          </w:p>
        </w:tc>
      </w:tr>
      <w:tr w14:paraId="4AA6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93" w:type="dxa"/>
            <w:vMerge w:val="restart"/>
            <w:vAlign w:val="center"/>
          </w:tcPr>
          <w:p w14:paraId="1C6CFF9C">
            <w:pPr>
              <w:jc w:val="center"/>
              <w:rPr>
                <w:rFonts w:eastAsia="仿宋_GB2312"/>
                <w:color w:val="000000"/>
                <w:szCs w:val="21"/>
              </w:rPr>
            </w:pPr>
            <w:r>
              <w:rPr>
                <w:rFonts w:eastAsia="仿宋"/>
                <w:color w:val="000000"/>
                <w:szCs w:val="21"/>
              </w:rPr>
              <w:t>区自然资源局</w:t>
            </w:r>
          </w:p>
        </w:tc>
        <w:tc>
          <w:tcPr>
            <w:tcW w:w="493" w:type="dxa"/>
            <w:vAlign w:val="center"/>
          </w:tcPr>
          <w:p w14:paraId="1C96D1D3">
            <w:pPr>
              <w:jc w:val="center"/>
              <w:rPr>
                <w:rFonts w:eastAsia="仿宋_GB2312"/>
                <w:color w:val="000000"/>
                <w:szCs w:val="21"/>
              </w:rPr>
            </w:pPr>
            <w:r>
              <w:rPr>
                <w:rFonts w:eastAsia="仿宋"/>
                <w:color w:val="000000"/>
                <w:szCs w:val="21"/>
              </w:rPr>
              <w:t>1</w:t>
            </w:r>
          </w:p>
        </w:tc>
        <w:tc>
          <w:tcPr>
            <w:tcW w:w="12620" w:type="dxa"/>
            <w:vAlign w:val="center"/>
          </w:tcPr>
          <w:p w14:paraId="60FC506F">
            <w:pPr>
              <w:spacing w:line="340" w:lineRule="exact"/>
              <w:rPr>
                <w:rFonts w:eastAsia="仿宋_GB2312"/>
                <w:szCs w:val="21"/>
              </w:rPr>
            </w:pPr>
            <w:r>
              <w:rPr>
                <w:rFonts w:eastAsia="仿宋"/>
                <w:szCs w:val="21"/>
              </w:rPr>
              <w:t>开展耕地保护专项宣传。</w:t>
            </w:r>
          </w:p>
        </w:tc>
      </w:tr>
      <w:tr w14:paraId="02F5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493" w:type="dxa"/>
            <w:vMerge w:val="continue"/>
            <w:vAlign w:val="center"/>
          </w:tcPr>
          <w:p w14:paraId="76A60786">
            <w:pPr>
              <w:jc w:val="center"/>
              <w:rPr>
                <w:rFonts w:eastAsia="仿宋_GB2312"/>
                <w:color w:val="000000"/>
                <w:szCs w:val="21"/>
              </w:rPr>
            </w:pPr>
          </w:p>
        </w:tc>
        <w:tc>
          <w:tcPr>
            <w:tcW w:w="493" w:type="dxa"/>
            <w:vAlign w:val="center"/>
          </w:tcPr>
          <w:p w14:paraId="5A7B9E15">
            <w:pPr>
              <w:jc w:val="center"/>
              <w:rPr>
                <w:rFonts w:eastAsia="仿宋_GB2312"/>
                <w:color w:val="000000"/>
                <w:szCs w:val="21"/>
              </w:rPr>
            </w:pPr>
            <w:r>
              <w:rPr>
                <w:rFonts w:eastAsia="仿宋"/>
                <w:color w:val="000000"/>
                <w:szCs w:val="21"/>
              </w:rPr>
              <w:t>2</w:t>
            </w:r>
          </w:p>
        </w:tc>
        <w:tc>
          <w:tcPr>
            <w:tcW w:w="12620" w:type="dxa"/>
            <w:vAlign w:val="center"/>
          </w:tcPr>
          <w:p w14:paraId="536C75F4">
            <w:pPr>
              <w:spacing w:line="340" w:lineRule="exact"/>
              <w:rPr>
                <w:rFonts w:eastAsia="仿宋_GB2312"/>
                <w:szCs w:val="21"/>
              </w:rPr>
            </w:pPr>
            <w:r>
              <w:rPr>
                <w:rFonts w:eastAsia="仿宋"/>
                <w:color w:val="000000"/>
                <w:szCs w:val="21"/>
              </w:rPr>
              <w:t>利用“4·22”地球日、“6·25”土地日、“8·29”测绘日等重要时间节点开展集中普法宣传活动，学习宣传自然资源和规划相关法律法规，提升系统干部职工及人民群众的法治意识，为法治自然资源建设营造良好氛围。</w:t>
            </w:r>
          </w:p>
        </w:tc>
      </w:tr>
      <w:tr w14:paraId="5E1D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493" w:type="dxa"/>
            <w:vMerge w:val="restart"/>
            <w:vAlign w:val="center"/>
          </w:tcPr>
          <w:p w14:paraId="2DE4D00A">
            <w:pPr>
              <w:jc w:val="center"/>
              <w:rPr>
                <w:rFonts w:eastAsia="仿宋_GB2312"/>
                <w:color w:val="000000"/>
                <w:szCs w:val="21"/>
              </w:rPr>
            </w:pPr>
            <w:r>
              <w:rPr>
                <w:rFonts w:eastAsia="仿宋"/>
                <w:color w:val="000000"/>
                <w:szCs w:val="21"/>
              </w:rPr>
              <w:t>生态环境雁峰分局</w:t>
            </w:r>
          </w:p>
        </w:tc>
        <w:tc>
          <w:tcPr>
            <w:tcW w:w="493" w:type="dxa"/>
            <w:vAlign w:val="center"/>
          </w:tcPr>
          <w:p w14:paraId="3E0DE38E">
            <w:pPr>
              <w:jc w:val="center"/>
              <w:rPr>
                <w:rFonts w:eastAsia="仿宋_GB2312"/>
                <w:color w:val="000000"/>
                <w:szCs w:val="21"/>
              </w:rPr>
            </w:pPr>
            <w:r>
              <w:rPr>
                <w:rFonts w:eastAsia="仿宋"/>
                <w:color w:val="000000"/>
                <w:szCs w:val="21"/>
              </w:rPr>
              <w:t>1</w:t>
            </w:r>
          </w:p>
        </w:tc>
        <w:tc>
          <w:tcPr>
            <w:tcW w:w="12620" w:type="dxa"/>
            <w:vAlign w:val="center"/>
          </w:tcPr>
          <w:p w14:paraId="35DF99D9">
            <w:pPr>
              <w:spacing w:line="280" w:lineRule="exact"/>
              <w:rPr>
                <w:rFonts w:eastAsia="仿宋_GB2312"/>
                <w:color w:val="000000"/>
              </w:rPr>
            </w:pPr>
            <w:r>
              <w:rPr>
                <w:rFonts w:eastAsia="仿宋"/>
                <w:color w:val="000000"/>
              </w:rPr>
              <w:t>组织开展第50个“六五”世界环境日系列宣传活动。</w:t>
            </w:r>
          </w:p>
        </w:tc>
      </w:tr>
      <w:tr w14:paraId="17F9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dxa"/>
            <w:vMerge w:val="continue"/>
            <w:vAlign w:val="center"/>
          </w:tcPr>
          <w:p w14:paraId="3F788F61">
            <w:pPr>
              <w:jc w:val="center"/>
              <w:rPr>
                <w:rFonts w:eastAsia="仿宋_GB2312"/>
                <w:color w:val="000000"/>
                <w:szCs w:val="21"/>
              </w:rPr>
            </w:pPr>
          </w:p>
        </w:tc>
        <w:tc>
          <w:tcPr>
            <w:tcW w:w="493" w:type="dxa"/>
            <w:vAlign w:val="center"/>
          </w:tcPr>
          <w:p w14:paraId="0F215196">
            <w:pPr>
              <w:jc w:val="center"/>
              <w:rPr>
                <w:rFonts w:eastAsia="仿宋_GB2312"/>
                <w:color w:val="000000"/>
                <w:szCs w:val="21"/>
              </w:rPr>
            </w:pPr>
            <w:r>
              <w:rPr>
                <w:rFonts w:eastAsia="仿宋"/>
                <w:color w:val="000000"/>
                <w:szCs w:val="21"/>
              </w:rPr>
              <w:t>2</w:t>
            </w:r>
          </w:p>
        </w:tc>
        <w:tc>
          <w:tcPr>
            <w:tcW w:w="12620" w:type="dxa"/>
            <w:vAlign w:val="center"/>
          </w:tcPr>
          <w:p w14:paraId="0C4396B3">
            <w:pPr>
              <w:spacing w:line="280" w:lineRule="exact"/>
              <w:rPr>
                <w:rFonts w:eastAsia="仿宋_GB2312"/>
                <w:color w:val="000000"/>
              </w:rPr>
            </w:pPr>
            <w:r>
              <w:rPr>
                <w:rFonts w:eastAsia="仿宋"/>
                <w:color w:val="000000"/>
              </w:rPr>
              <w:t>组织开展5</w:t>
            </w:r>
            <w:r>
              <w:rPr>
                <w:rFonts w:eastAsia="汉仪大黑简"/>
                <w:color w:val="000000"/>
              </w:rPr>
              <w:t>·</w:t>
            </w:r>
            <w:r>
              <w:rPr>
                <w:rFonts w:eastAsia="仿宋"/>
                <w:color w:val="000000"/>
              </w:rPr>
              <w:t>22“国际生物多样性日”宣传活动。</w:t>
            </w:r>
          </w:p>
        </w:tc>
      </w:tr>
      <w:tr w14:paraId="0B8B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493" w:type="dxa"/>
            <w:vMerge w:val="restart"/>
            <w:vAlign w:val="center"/>
          </w:tcPr>
          <w:p w14:paraId="49ACBDD3">
            <w:pPr>
              <w:jc w:val="center"/>
              <w:rPr>
                <w:rFonts w:eastAsia="仿宋_GB2312"/>
                <w:color w:val="000000"/>
                <w:szCs w:val="21"/>
              </w:rPr>
            </w:pPr>
            <w:r>
              <w:rPr>
                <w:rFonts w:eastAsia="仿宋"/>
                <w:color w:val="000000"/>
                <w:szCs w:val="21"/>
              </w:rPr>
              <w:t>区住建局</w:t>
            </w:r>
          </w:p>
        </w:tc>
        <w:tc>
          <w:tcPr>
            <w:tcW w:w="493" w:type="dxa"/>
            <w:vAlign w:val="center"/>
          </w:tcPr>
          <w:p w14:paraId="02FB26E4">
            <w:pPr>
              <w:jc w:val="center"/>
              <w:rPr>
                <w:rFonts w:eastAsia="仿宋_GB2312"/>
                <w:color w:val="000000"/>
                <w:szCs w:val="21"/>
              </w:rPr>
            </w:pPr>
            <w:r>
              <w:rPr>
                <w:rFonts w:eastAsia="仿宋"/>
                <w:color w:val="000000"/>
                <w:szCs w:val="21"/>
              </w:rPr>
              <w:t>1</w:t>
            </w:r>
          </w:p>
        </w:tc>
        <w:tc>
          <w:tcPr>
            <w:tcW w:w="12620" w:type="dxa"/>
            <w:vAlign w:val="center"/>
          </w:tcPr>
          <w:p w14:paraId="780FA721">
            <w:pPr>
              <w:rPr>
                <w:rFonts w:eastAsia="仿宋_GB2312"/>
                <w:spacing w:val="-6"/>
                <w:szCs w:val="21"/>
              </w:rPr>
            </w:pPr>
            <w:r>
              <w:rPr>
                <w:rFonts w:eastAsia="仿宋"/>
                <w:spacing w:val="-6"/>
                <w:szCs w:val="21"/>
              </w:rPr>
              <w:t>开展安全生产月、质量月普法宣传活动，重点宣传建设工程质量安全法律知识和操作。</w:t>
            </w:r>
          </w:p>
        </w:tc>
      </w:tr>
      <w:tr w14:paraId="625F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493" w:type="dxa"/>
            <w:vMerge w:val="continue"/>
            <w:vAlign w:val="center"/>
          </w:tcPr>
          <w:p w14:paraId="078FF8AB">
            <w:pPr>
              <w:jc w:val="center"/>
              <w:rPr>
                <w:rFonts w:eastAsia="仿宋_GB2312"/>
                <w:color w:val="000000"/>
                <w:szCs w:val="21"/>
              </w:rPr>
            </w:pPr>
          </w:p>
        </w:tc>
        <w:tc>
          <w:tcPr>
            <w:tcW w:w="493" w:type="dxa"/>
            <w:vAlign w:val="center"/>
          </w:tcPr>
          <w:p w14:paraId="3943636E">
            <w:pPr>
              <w:jc w:val="center"/>
              <w:rPr>
                <w:rFonts w:eastAsia="仿宋_GB2312"/>
                <w:color w:val="000000"/>
                <w:szCs w:val="21"/>
              </w:rPr>
            </w:pPr>
            <w:r>
              <w:rPr>
                <w:rFonts w:eastAsia="仿宋"/>
                <w:color w:val="000000"/>
                <w:szCs w:val="21"/>
              </w:rPr>
              <w:t>2</w:t>
            </w:r>
          </w:p>
        </w:tc>
        <w:tc>
          <w:tcPr>
            <w:tcW w:w="12620" w:type="dxa"/>
            <w:vAlign w:val="center"/>
          </w:tcPr>
          <w:p w14:paraId="694A4C59">
            <w:pPr>
              <w:rPr>
                <w:rFonts w:eastAsia="仿宋_GB2312"/>
                <w:spacing w:val="-6"/>
                <w:szCs w:val="21"/>
              </w:rPr>
            </w:pPr>
            <w:r>
              <w:rPr>
                <w:rFonts w:eastAsia="仿宋"/>
                <w:spacing w:val="-6"/>
                <w:szCs w:val="21"/>
              </w:rPr>
              <w:t>结合节能宣传周活动，宣传绿色建筑与建筑节能政策法规。</w:t>
            </w:r>
          </w:p>
        </w:tc>
      </w:tr>
      <w:tr w14:paraId="757C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93" w:type="dxa"/>
            <w:vMerge w:val="restart"/>
            <w:vAlign w:val="center"/>
          </w:tcPr>
          <w:p w14:paraId="142AB77D">
            <w:pPr>
              <w:jc w:val="center"/>
              <w:rPr>
                <w:rFonts w:eastAsia="仿宋_GB2312"/>
                <w:color w:val="000000"/>
                <w:szCs w:val="21"/>
              </w:rPr>
            </w:pPr>
            <w:r>
              <w:rPr>
                <w:rFonts w:eastAsia="仿宋"/>
                <w:color w:val="000000"/>
                <w:szCs w:val="21"/>
              </w:rPr>
              <w:t>区水利局</w:t>
            </w:r>
          </w:p>
        </w:tc>
        <w:tc>
          <w:tcPr>
            <w:tcW w:w="493" w:type="dxa"/>
            <w:vAlign w:val="center"/>
          </w:tcPr>
          <w:p w14:paraId="45CE0263">
            <w:pPr>
              <w:jc w:val="center"/>
              <w:rPr>
                <w:rFonts w:eastAsia="仿宋_GB2312"/>
                <w:color w:val="000000"/>
                <w:szCs w:val="21"/>
              </w:rPr>
            </w:pPr>
            <w:r>
              <w:rPr>
                <w:rFonts w:eastAsia="仿宋"/>
                <w:color w:val="000000"/>
                <w:szCs w:val="21"/>
              </w:rPr>
              <w:t>1</w:t>
            </w:r>
          </w:p>
        </w:tc>
        <w:tc>
          <w:tcPr>
            <w:tcW w:w="12620" w:type="dxa"/>
            <w:vAlign w:val="center"/>
          </w:tcPr>
          <w:p w14:paraId="0B3E70DA">
            <w:pPr>
              <w:spacing w:line="280" w:lineRule="exact"/>
              <w:rPr>
                <w:rFonts w:eastAsia="仿宋_GB2312"/>
                <w:color w:val="000000"/>
              </w:rPr>
            </w:pPr>
            <w:r>
              <w:rPr>
                <w:rFonts w:eastAsia="仿宋"/>
                <w:color w:val="000000"/>
              </w:rPr>
              <w:t>广泛开展“世界水日”“中国水周”系列宣传活动，强化水利法治宣传教育力度，提高水法宣传教育成效。</w:t>
            </w:r>
          </w:p>
        </w:tc>
      </w:tr>
      <w:tr w14:paraId="57AE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93" w:type="dxa"/>
            <w:vMerge w:val="continue"/>
            <w:vAlign w:val="center"/>
          </w:tcPr>
          <w:p w14:paraId="327F9757">
            <w:pPr>
              <w:jc w:val="center"/>
              <w:rPr>
                <w:rFonts w:eastAsia="仿宋_GB2312"/>
                <w:color w:val="000000"/>
                <w:szCs w:val="21"/>
              </w:rPr>
            </w:pPr>
          </w:p>
        </w:tc>
        <w:tc>
          <w:tcPr>
            <w:tcW w:w="493" w:type="dxa"/>
            <w:vAlign w:val="center"/>
          </w:tcPr>
          <w:p w14:paraId="63DDAFC2">
            <w:pPr>
              <w:jc w:val="center"/>
              <w:rPr>
                <w:rFonts w:eastAsia="仿宋_GB2312"/>
                <w:color w:val="000000"/>
                <w:szCs w:val="21"/>
              </w:rPr>
            </w:pPr>
            <w:r>
              <w:rPr>
                <w:rFonts w:eastAsia="仿宋"/>
                <w:color w:val="000000"/>
                <w:szCs w:val="21"/>
              </w:rPr>
              <w:t>2</w:t>
            </w:r>
          </w:p>
        </w:tc>
        <w:tc>
          <w:tcPr>
            <w:tcW w:w="12620" w:type="dxa"/>
            <w:vAlign w:val="center"/>
          </w:tcPr>
          <w:p w14:paraId="4AAC866F">
            <w:pPr>
              <w:spacing w:line="280" w:lineRule="exact"/>
              <w:rPr>
                <w:rFonts w:eastAsia="仿宋_GB2312"/>
                <w:color w:val="000000"/>
              </w:rPr>
            </w:pPr>
            <w:r>
              <w:rPr>
                <w:rFonts w:eastAsia="仿宋"/>
                <w:color w:val="000000"/>
              </w:rPr>
              <w:t>大力宣传《中华人民共和国水土保持法》，提高公众水土保持意识。</w:t>
            </w:r>
          </w:p>
        </w:tc>
      </w:tr>
      <w:tr w14:paraId="248E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493" w:type="dxa"/>
            <w:vMerge w:val="continue"/>
            <w:vAlign w:val="center"/>
          </w:tcPr>
          <w:p w14:paraId="4FD39C15">
            <w:pPr>
              <w:jc w:val="center"/>
              <w:rPr>
                <w:rFonts w:eastAsia="仿宋_GB2312"/>
                <w:color w:val="000000"/>
                <w:szCs w:val="21"/>
              </w:rPr>
            </w:pPr>
          </w:p>
        </w:tc>
        <w:tc>
          <w:tcPr>
            <w:tcW w:w="493" w:type="dxa"/>
            <w:vAlign w:val="center"/>
          </w:tcPr>
          <w:p w14:paraId="0417C373">
            <w:pPr>
              <w:jc w:val="center"/>
              <w:rPr>
                <w:rFonts w:eastAsia="仿宋_GB2312"/>
                <w:color w:val="000000"/>
                <w:szCs w:val="21"/>
              </w:rPr>
            </w:pPr>
            <w:r>
              <w:rPr>
                <w:rFonts w:eastAsia="仿宋"/>
                <w:color w:val="000000"/>
                <w:szCs w:val="21"/>
              </w:rPr>
              <w:t>3</w:t>
            </w:r>
          </w:p>
        </w:tc>
        <w:tc>
          <w:tcPr>
            <w:tcW w:w="12620" w:type="dxa"/>
            <w:vAlign w:val="center"/>
          </w:tcPr>
          <w:p w14:paraId="1EB1C2E2">
            <w:pPr>
              <w:pStyle w:val="5"/>
              <w:widowControl/>
              <w:shd w:val="clear" w:color="auto" w:fill="FFFFFF"/>
              <w:jc w:val="both"/>
              <w:rPr>
                <w:rFonts w:hint="default" w:ascii="Times New Roman" w:hAnsi="Times New Roman" w:eastAsia="仿宋_GB2312"/>
                <w:color w:val="000000"/>
                <w:kern w:val="2"/>
                <w:sz w:val="21"/>
              </w:rPr>
            </w:pPr>
            <w:r>
              <w:rPr>
                <w:rFonts w:hint="default" w:ascii="Times New Roman" w:hAnsi="Times New Roman" w:eastAsia="仿宋"/>
                <w:color w:val="000000"/>
                <w:kern w:val="2"/>
                <w:sz w:val="21"/>
              </w:rPr>
              <w:t>对《地下水管理条例》、《取水许可和水资源费征收管理条例》集中进行宣传，提高公众的节水意识。</w:t>
            </w:r>
          </w:p>
        </w:tc>
      </w:tr>
      <w:tr w14:paraId="5CBF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493" w:type="dxa"/>
            <w:vMerge w:val="continue"/>
            <w:vAlign w:val="center"/>
          </w:tcPr>
          <w:p w14:paraId="7BE595D3">
            <w:pPr>
              <w:jc w:val="center"/>
              <w:rPr>
                <w:rFonts w:eastAsia="仿宋_GB2312"/>
                <w:color w:val="000000"/>
                <w:szCs w:val="21"/>
              </w:rPr>
            </w:pPr>
          </w:p>
        </w:tc>
        <w:tc>
          <w:tcPr>
            <w:tcW w:w="493" w:type="dxa"/>
            <w:vAlign w:val="center"/>
          </w:tcPr>
          <w:p w14:paraId="31B1C9BF">
            <w:pPr>
              <w:jc w:val="center"/>
              <w:rPr>
                <w:rFonts w:eastAsia="仿宋_GB2312"/>
                <w:color w:val="000000"/>
                <w:szCs w:val="21"/>
              </w:rPr>
            </w:pPr>
            <w:r>
              <w:rPr>
                <w:rFonts w:eastAsia="仿宋"/>
                <w:color w:val="000000"/>
                <w:szCs w:val="21"/>
              </w:rPr>
              <w:t>4</w:t>
            </w:r>
          </w:p>
        </w:tc>
        <w:tc>
          <w:tcPr>
            <w:tcW w:w="12620" w:type="dxa"/>
            <w:vAlign w:val="center"/>
          </w:tcPr>
          <w:p w14:paraId="0C95753D">
            <w:pPr>
              <w:spacing w:line="280" w:lineRule="exact"/>
              <w:rPr>
                <w:rFonts w:eastAsia="仿宋_GB2312"/>
                <w:color w:val="000000"/>
              </w:rPr>
            </w:pPr>
            <w:r>
              <w:rPr>
                <w:rFonts w:eastAsia="仿宋"/>
                <w:color w:val="000000"/>
              </w:rPr>
              <w:t>集中宣传《中华人民共和国长江保护法》、《湖南省河道采砂管理条例》，进一步规范河道采砂行为，加强生态保护和修复。</w:t>
            </w:r>
          </w:p>
        </w:tc>
      </w:tr>
      <w:tr w14:paraId="61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3" w:type="dxa"/>
            <w:vMerge w:val="continue"/>
            <w:vAlign w:val="center"/>
          </w:tcPr>
          <w:p w14:paraId="33A9D789">
            <w:pPr>
              <w:jc w:val="center"/>
              <w:rPr>
                <w:rFonts w:eastAsia="仿宋_GB2312"/>
                <w:color w:val="000000"/>
                <w:szCs w:val="21"/>
              </w:rPr>
            </w:pPr>
          </w:p>
        </w:tc>
        <w:tc>
          <w:tcPr>
            <w:tcW w:w="493" w:type="dxa"/>
            <w:vAlign w:val="center"/>
          </w:tcPr>
          <w:p w14:paraId="15BE6A67">
            <w:pPr>
              <w:jc w:val="center"/>
              <w:rPr>
                <w:rFonts w:eastAsia="仿宋_GB2312"/>
                <w:color w:val="000000"/>
                <w:szCs w:val="21"/>
              </w:rPr>
            </w:pPr>
            <w:r>
              <w:rPr>
                <w:rFonts w:eastAsia="仿宋"/>
                <w:color w:val="000000"/>
                <w:szCs w:val="21"/>
              </w:rPr>
              <w:t>5</w:t>
            </w:r>
          </w:p>
        </w:tc>
        <w:tc>
          <w:tcPr>
            <w:tcW w:w="12620" w:type="dxa"/>
            <w:vAlign w:val="center"/>
          </w:tcPr>
          <w:p w14:paraId="4504BDC5">
            <w:pPr>
              <w:spacing w:line="280" w:lineRule="exact"/>
              <w:rPr>
                <w:rFonts w:eastAsia="仿宋_GB2312"/>
                <w:color w:val="000000"/>
              </w:rPr>
            </w:pPr>
            <w:r>
              <w:rPr>
                <w:rFonts w:eastAsia="仿宋"/>
                <w:color w:val="000000"/>
              </w:rPr>
              <w:t>对新公布的《水行政处罚实施办法》进行集中宣传，强化水行政执法能力建设，提高水行政执法水平。</w:t>
            </w:r>
          </w:p>
        </w:tc>
      </w:tr>
      <w:tr w14:paraId="4905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jc w:val="center"/>
        </w:trPr>
        <w:tc>
          <w:tcPr>
            <w:tcW w:w="493" w:type="dxa"/>
            <w:vMerge w:val="restart"/>
            <w:vAlign w:val="center"/>
          </w:tcPr>
          <w:p w14:paraId="7763695F">
            <w:pPr>
              <w:jc w:val="center"/>
              <w:rPr>
                <w:rFonts w:eastAsia="仿宋_GB2312"/>
                <w:color w:val="000000"/>
                <w:szCs w:val="21"/>
              </w:rPr>
            </w:pPr>
            <w:r>
              <w:rPr>
                <w:rFonts w:eastAsia="仿宋"/>
                <w:color w:val="000000"/>
                <w:szCs w:val="21"/>
              </w:rPr>
              <w:t>区农业农村局</w:t>
            </w:r>
          </w:p>
        </w:tc>
        <w:tc>
          <w:tcPr>
            <w:tcW w:w="493" w:type="dxa"/>
            <w:vAlign w:val="center"/>
          </w:tcPr>
          <w:p w14:paraId="3BCE5F64">
            <w:pPr>
              <w:jc w:val="center"/>
              <w:rPr>
                <w:rFonts w:eastAsia="仿宋_GB2312"/>
                <w:color w:val="000000"/>
                <w:szCs w:val="21"/>
              </w:rPr>
            </w:pPr>
            <w:r>
              <w:rPr>
                <w:rFonts w:eastAsia="仿宋"/>
                <w:color w:val="000000"/>
                <w:szCs w:val="21"/>
              </w:rPr>
              <w:t>1</w:t>
            </w:r>
          </w:p>
        </w:tc>
        <w:tc>
          <w:tcPr>
            <w:tcW w:w="12620" w:type="dxa"/>
            <w:vAlign w:val="center"/>
          </w:tcPr>
          <w:p w14:paraId="772E5F29">
            <w:pPr>
              <w:spacing w:line="280" w:lineRule="exact"/>
              <w:rPr>
                <w:rFonts w:eastAsia="仿宋_GB2312"/>
                <w:color w:val="000000"/>
              </w:rPr>
            </w:pPr>
            <w:r>
              <w:rPr>
                <w:rFonts w:eastAsia="仿宋"/>
                <w:color w:val="000000"/>
              </w:rPr>
              <w:t>在行政执法、纠纷调解和法律服务的过程中，做好本单位行政执法所涉及的法律法规的宣传工作，加强与管理对象、服务对象和社会公众的互动交流。</w:t>
            </w:r>
          </w:p>
        </w:tc>
      </w:tr>
      <w:tr w14:paraId="698D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93" w:type="dxa"/>
            <w:vMerge w:val="continue"/>
            <w:vAlign w:val="center"/>
          </w:tcPr>
          <w:p w14:paraId="75236609">
            <w:pPr>
              <w:jc w:val="center"/>
              <w:rPr>
                <w:rFonts w:eastAsia="仿宋_GB2312"/>
                <w:color w:val="000000"/>
                <w:szCs w:val="21"/>
              </w:rPr>
            </w:pPr>
          </w:p>
        </w:tc>
        <w:tc>
          <w:tcPr>
            <w:tcW w:w="493" w:type="dxa"/>
            <w:vAlign w:val="center"/>
          </w:tcPr>
          <w:p w14:paraId="6A0E6167">
            <w:pPr>
              <w:jc w:val="center"/>
              <w:rPr>
                <w:rFonts w:eastAsia="仿宋_GB2312"/>
                <w:color w:val="000000"/>
                <w:szCs w:val="21"/>
              </w:rPr>
            </w:pPr>
            <w:r>
              <w:rPr>
                <w:rFonts w:eastAsia="仿宋"/>
                <w:color w:val="000000"/>
                <w:szCs w:val="21"/>
              </w:rPr>
              <w:t>2</w:t>
            </w:r>
          </w:p>
        </w:tc>
        <w:tc>
          <w:tcPr>
            <w:tcW w:w="12620" w:type="dxa"/>
            <w:vAlign w:val="center"/>
          </w:tcPr>
          <w:p w14:paraId="44BB8941">
            <w:pPr>
              <w:spacing w:line="280" w:lineRule="exact"/>
              <w:rPr>
                <w:rFonts w:eastAsia="仿宋_GB2312"/>
                <w:color w:val="000000"/>
              </w:rPr>
            </w:pPr>
            <w:r>
              <w:rPr>
                <w:rFonts w:eastAsia="仿宋"/>
                <w:color w:val="000000"/>
              </w:rPr>
              <w:t>将与履职相关的法律法规纳入业务培训的必修内容。</w:t>
            </w:r>
          </w:p>
        </w:tc>
      </w:tr>
      <w:tr w14:paraId="0866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493" w:type="dxa"/>
            <w:vMerge w:val="continue"/>
            <w:vAlign w:val="center"/>
          </w:tcPr>
          <w:p w14:paraId="6F6E3C51">
            <w:pPr>
              <w:jc w:val="center"/>
              <w:rPr>
                <w:rFonts w:eastAsia="仿宋_GB2312"/>
                <w:color w:val="000000"/>
                <w:szCs w:val="21"/>
              </w:rPr>
            </w:pPr>
          </w:p>
        </w:tc>
        <w:tc>
          <w:tcPr>
            <w:tcW w:w="493" w:type="dxa"/>
            <w:vAlign w:val="center"/>
          </w:tcPr>
          <w:p w14:paraId="730CF2FF">
            <w:pPr>
              <w:jc w:val="center"/>
              <w:rPr>
                <w:rFonts w:eastAsia="仿宋_GB2312"/>
                <w:color w:val="000000"/>
                <w:szCs w:val="21"/>
              </w:rPr>
            </w:pPr>
            <w:r>
              <w:rPr>
                <w:rFonts w:eastAsia="仿宋"/>
                <w:color w:val="000000"/>
                <w:szCs w:val="21"/>
              </w:rPr>
              <w:t>3</w:t>
            </w:r>
          </w:p>
        </w:tc>
        <w:tc>
          <w:tcPr>
            <w:tcW w:w="12620" w:type="dxa"/>
            <w:vAlign w:val="center"/>
          </w:tcPr>
          <w:p w14:paraId="52D31F57">
            <w:pPr>
              <w:spacing w:line="280" w:lineRule="exact"/>
              <w:rPr>
                <w:rFonts w:eastAsia="仿宋_GB2312"/>
                <w:color w:val="000000"/>
              </w:rPr>
            </w:pPr>
            <w:r>
              <w:rPr>
                <w:rFonts w:eastAsia="仿宋"/>
                <w:color w:val="000000"/>
              </w:rPr>
              <w:t>抓住重要时间节点，在开展“放心农资下乡进村”“中国农民丰收节”等主题活动中做好农业农村法律法规宣传工作。</w:t>
            </w:r>
          </w:p>
        </w:tc>
      </w:tr>
      <w:tr w14:paraId="5EB4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493" w:type="dxa"/>
            <w:vMerge w:val="continue"/>
            <w:vAlign w:val="center"/>
          </w:tcPr>
          <w:p w14:paraId="52C3AABD">
            <w:pPr>
              <w:jc w:val="center"/>
              <w:rPr>
                <w:rFonts w:eastAsia="仿宋_GB2312"/>
                <w:color w:val="000000"/>
                <w:szCs w:val="21"/>
              </w:rPr>
            </w:pPr>
          </w:p>
        </w:tc>
        <w:tc>
          <w:tcPr>
            <w:tcW w:w="493" w:type="dxa"/>
            <w:vAlign w:val="center"/>
          </w:tcPr>
          <w:p w14:paraId="3779FDA3">
            <w:pPr>
              <w:jc w:val="center"/>
              <w:rPr>
                <w:rFonts w:eastAsia="仿宋_GB2312"/>
                <w:color w:val="000000"/>
                <w:szCs w:val="21"/>
              </w:rPr>
            </w:pPr>
            <w:r>
              <w:rPr>
                <w:rFonts w:eastAsia="仿宋"/>
                <w:color w:val="000000"/>
                <w:szCs w:val="21"/>
              </w:rPr>
              <w:t>4</w:t>
            </w:r>
          </w:p>
        </w:tc>
        <w:tc>
          <w:tcPr>
            <w:tcW w:w="12620" w:type="dxa"/>
            <w:vAlign w:val="center"/>
          </w:tcPr>
          <w:p w14:paraId="5E041C0C">
            <w:pPr>
              <w:spacing w:line="280" w:lineRule="exact"/>
              <w:rPr>
                <w:rFonts w:eastAsia="仿宋_GB2312"/>
                <w:color w:val="000000"/>
              </w:rPr>
            </w:pPr>
            <w:r>
              <w:rPr>
                <w:rFonts w:eastAsia="仿宋"/>
                <w:color w:val="000000"/>
              </w:rPr>
              <w:t>将普法融入执法实践，在开展农资打假“春雷”、渔政“亮剑”、私屠滥宰“扫雷”、农产品质量安全“清源”等专项整治行动中坚持将执法办案作为普法的前沿阵地。</w:t>
            </w:r>
          </w:p>
        </w:tc>
      </w:tr>
      <w:tr w14:paraId="2F62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493" w:type="dxa"/>
            <w:vMerge w:val="restart"/>
            <w:vAlign w:val="center"/>
          </w:tcPr>
          <w:p w14:paraId="5B9A2D0F">
            <w:pPr>
              <w:jc w:val="center"/>
              <w:rPr>
                <w:rFonts w:eastAsia="仿宋_GB2312"/>
                <w:color w:val="000000"/>
                <w:szCs w:val="21"/>
              </w:rPr>
            </w:pPr>
            <w:r>
              <w:rPr>
                <w:rFonts w:eastAsia="仿宋"/>
                <w:color w:val="000000"/>
                <w:szCs w:val="21"/>
              </w:rPr>
              <w:t>区商务局</w:t>
            </w:r>
          </w:p>
        </w:tc>
        <w:tc>
          <w:tcPr>
            <w:tcW w:w="493" w:type="dxa"/>
            <w:vAlign w:val="center"/>
          </w:tcPr>
          <w:p w14:paraId="44BF75BC">
            <w:pPr>
              <w:jc w:val="center"/>
              <w:rPr>
                <w:rFonts w:eastAsia="仿宋_GB2312"/>
                <w:color w:val="000000"/>
                <w:szCs w:val="21"/>
              </w:rPr>
            </w:pPr>
            <w:r>
              <w:rPr>
                <w:rFonts w:eastAsia="仿宋"/>
                <w:color w:val="000000"/>
                <w:szCs w:val="21"/>
              </w:rPr>
              <w:t>1</w:t>
            </w:r>
          </w:p>
        </w:tc>
        <w:tc>
          <w:tcPr>
            <w:tcW w:w="12620" w:type="dxa"/>
            <w:vAlign w:val="center"/>
          </w:tcPr>
          <w:p w14:paraId="00148C9C">
            <w:pPr>
              <w:spacing w:line="280" w:lineRule="exact"/>
              <w:rPr>
                <w:rFonts w:eastAsia="仿宋_GB2312"/>
                <w:color w:val="000000"/>
              </w:rPr>
            </w:pPr>
            <w:r>
              <w:rPr>
                <w:rFonts w:eastAsia="仿宋"/>
                <w:color w:val="000000"/>
              </w:rPr>
              <w:t>组织一次安全生产法培训（对新修订的安全生产法进行解读、剖析）。</w:t>
            </w:r>
          </w:p>
        </w:tc>
      </w:tr>
      <w:tr w14:paraId="4B9D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493" w:type="dxa"/>
            <w:vMerge w:val="continue"/>
            <w:vAlign w:val="center"/>
          </w:tcPr>
          <w:p w14:paraId="01E8B061">
            <w:pPr>
              <w:jc w:val="center"/>
              <w:rPr>
                <w:rFonts w:eastAsia="仿宋_GB2312"/>
                <w:color w:val="000000"/>
                <w:szCs w:val="21"/>
              </w:rPr>
            </w:pPr>
          </w:p>
        </w:tc>
        <w:tc>
          <w:tcPr>
            <w:tcW w:w="493" w:type="dxa"/>
            <w:vAlign w:val="center"/>
          </w:tcPr>
          <w:p w14:paraId="56C323B9">
            <w:pPr>
              <w:jc w:val="center"/>
              <w:rPr>
                <w:rFonts w:eastAsia="仿宋_GB2312"/>
                <w:color w:val="000000"/>
                <w:szCs w:val="21"/>
              </w:rPr>
            </w:pPr>
            <w:r>
              <w:rPr>
                <w:rFonts w:eastAsia="仿宋"/>
                <w:color w:val="000000"/>
                <w:szCs w:val="21"/>
              </w:rPr>
              <w:t>2</w:t>
            </w:r>
          </w:p>
        </w:tc>
        <w:tc>
          <w:tcPr>
            <w:tcW w:w="12620" w:type="dxa"/>
            <w:vAlign w:val="center"/>
          </w:tcPr>
          <w:p w14:paraId="173E49AD">
            <w:pPr>
              <w:spacing w:line="280" w:lineRule="exact"/>
              <w:rPr>
                <w:rFonts w:eastAsia="仿宋_GB2312"/>
                <w:color w:val="000000"/>
              </w:rPr>
            </w:pPr>
            <w:r>
              <w:rPr>
                <w:rFonts w:eastAsia="仿宋"/>
                <w:color w:val="000000"/>
              </w:rPr>
              <w:t>开展党章、党规、党纪专题教育，构建清廉商务机关。</w:t>
            </w:r>
          </w:p>
        </w:tc>
      </w:tr>
      <w:tr w14:paraId="0972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493" w:type="dxa"/>
            <w:vMerge w:val="restart"/>
            <w:vAlign w:val="center"/>
          </w:tcPr>
          <w:p w14:paraId="696DF323">
            <w:pPr>
              <w:jc w:val="center"/>
              <w:rPr>
                <w:rFonts w:eastAsia="仿宋_GB2312"/>
                <w:color w:val="000000"/>
                <w:szCs w:val="21"/>
              </w:rPr>
            </w:pPr>
            <w:r>
              <w:rPr>
                <w:rFonts w:eastAsia="仿宋"/>
                <w:color w:val="000000"/>
                <w:szCs w:val="21"/>
              </w:rPr>
              <w:t>区文旅体局</w:t>
            </w:r>
          </w:p>
        </w:tc>
        <w:tc>
          <w:tcPr>
            <w:tcW w:w="493" w:type="dxa"/>
            <w:vAlign w:val="center"/>
          </w:tcPr>
          <w:p w14:paraId="3A157941">
            <w:pPr>
              <w:jc w:val="center"/>
              <w:rPr>
                <w:rFonts w:eastAsia="仿宋_GB2312"/>
                <w:color w:val="000000"/>
                <w:szCs w:val="21"/>
              </w:rPr>
            </w:pPr>
            <w:r>
              <w:rPr>
                <w:rFonts w:eastAsia="仿宋"/>
                <w:color w:val="000000"/>
                <w:szCs w:val="21"/>
              </w:rPr>
              <w:t>1</w:t>
            </w:r>
          </w:p>
        </w:tc>
        <w:tc>
          <w:tcPr>
            <w:tcW w:w="12620" w:type="dxa"/>
            <w:vAlign w:val="center"/>
          </w:tcPr>
          <w:p w14:paraId="64D98FE6">
            <w:pPr>
              <w:spacing w:line="280" w:lineRule="exact"/>
              <w:rPr>
                <w:rFonts w:eastAsia="仿宋_GB2312"/>
                <w:color w:val="000000"/>
                <w:szCs w:val="21"/>
              </w:rPr>
            </w:pPr>
            <w:r>
              <w:rPr>
                <w:rFonts w:eastAsia="仿宋"/>
                <w:color w:val="000000"/>
                <w:szCs w:val="21"/>
              </w:rPr>
              <w:t>结合“5</w:t>
            </w:r>
            <w:r>
              <w:rPr>
                <w:rFonts w:eastAsia="汉仪大黑简"/>
                <w:color w:val="000000"/>
              </w:rPr>
              <w:t>·</w:t>
            </w:r>
            <w:r>
              <w:rPr>
                <w:rFonts w:eastAsia="仿宋"/>
                <w:color w:val="000000"/>
                <w:szCs w:val="21"/>
              </w:rPr>
              <w:t>18国际博物馆日”、“5</w:t>
            </w:r>
            <w:r>
              <w:rPr>
                <w:rFonts w:eastAsia="汉仪大黑简"/>
                <w:color w:val="000000"/>
              </w:rPr>
              <w:t>·</w:t>
            </w:r>
            <w:r>
              <w:rPr>
                <w:rFonts w:eastAsia="仿宋"/>
                <w:color w:val="000000"/>
                <w:szCs w:val="21"/>
              </w:rPr>
              <w:t>19中国旅游日”、“6</w:t>
            </w:r>
            <w:r>
              <w:rPr>
                <w:rFonts w:eastAsia="汉仪大黑简"/>
                <w:color w:val="000000"/>
              </w:rPr>
              <w:t>·</w:t>
            </w:r>
            <w:r>
              <w:rPr>
                <w:rFonts w:eastAsia="仿宋"/>
                <w:color w:val="000000"/>
                <w:szCs w:val="21"/>
              </w:rPr>
              <w:t>11文化和自然遗产日”等重大节日组织开展集中法治宣传活动。</w:t>
            </w:r>
          </w:p>
        </w:tc>
      </w:tr>
      <w:tr w14:paraId="6B20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493" w:type="dxa"/>
            <w:vMerge w:val="continue"/>
            <w:vAlign w:val="center"/>
          </w:tcPr>
          <w:p w14:paraId="00887EED">
            <w:pPr>
              <w:jc w:val="center"/>
              <w:rPr>
                <w:rFonts w:eastAsia="仿宋_GB2312"/>
                <w:color w:val="000000"/>
                <w:szCs w:val="21"/>
              </w:rPr>
            </w:pPr>
          </w:p>
        </w:tc>
        <w:tc>
          <w:tcPr>
            <w:tcW w:w="493" w:type="dxa"/>
            <w:vAlign w:val="center"/>
          </w:tcPr>
          <w:p w14:paraId="0F7A0332">
            <w:pPr>
              <w:jc w:val="center"/>
              <w:rPr>
                <w:rFonts w:eastAsia="仿宋_GB2312"/>
                <w:color w:val="000000"/>
                <w:szCs w:val="21"/>
              </w:rPr>
            </w:pPr>
            <w:r>
              <w:rPr>
                <w:rFonts w:eastAsia="仿宋"/>
                <w:color w:val="000000"/>
                <w:szCs w:val="21"/>
              </w:rPr>
              <w:t>2</w:t>
            </w:r>
          </w:p>
        </w:tc>
        <w:tc>
          <w:tcPr>
            <w:tcW w:w="12620" w:type="dxa"/>
            <w:vAlign w:val="center"/>
          </w:tcPr>
          <w:p w14:paraId="56D95860">
            <w:pPr>
              <w:spacing w:line="280" w:lineRule="exact"/>
              <w:rPr>
                <w:rFonts w:eastAsia="仿宋_GB2312"/>
                <w:color w:val="000000"/>
              </w:rPr>
            </w:pPr>
            <w:r>
              <w:rPr>
                <w:rFonts w:eastAsia="仿宋"/>
                <w:color w:val="000000"/>
              </w:rPr>
              <w:t>组织开展“全民健身日”系列全民健身活动，宣传《全民健身条例》。</w:t>
            </w:r>
          </w:p>
        </w:tc>
      </w:tr>
      <w:tr w14:paraId="518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493" w:type="dxa"/>
            <w:vMerge w:val="continue"/>
            <w:vAlign w:val="center"/>
          </w:tcPr>
          <w:p w14:paraId="4EE7C2CA">
            <w:pPr>
              <w:jc w:val="center"/>
              <w:rPr>
                <w:rFonts w:eastAsia="仿宋_GB2312"/>
                <w:color w:val="000000"/>
                <w:szCs w:val="21"/>
              </w:rPr>
            </w:pPr>
          </w:p>
        </w:tc>
        <w:tc>
          <w:tcPr>
            <w:tcW w:w="493" w:type="dxa"/>
            <w:vAlign w:val="center"/>
          </w:tcPr>
          <w:p w14:paraId="2C289FD1">
            <w:pPr>
              <w:jc w:val="center"/>
              <w:rPr>
                <w:rFonts w:eastAsia="仿宋_GB2312"/>
                <w:color w:val="000000"/>
                <w:szCs w:val="21"/>
              </w:rPr>
            </w:pPr>
            <w:r>
              <w:rPr>
                <w:rFonts w:eastAsia="仿宋"/>
                <w:color w:val="000000"/>
                <w:szCs w:val="21"/>
              </w:rPr>
              <w:t>3</w:t>
            </w:r>
          </w:p>
        </w:tc>
        <w:tc>
          <w:tcPr>
            <w:tcW w:w="12620" w:type="dxa"/>
            <w:vAlign w:val="center"/>
          </w:tcPr>
          <w:p w14:paraId="2D87E600">
            <w:pPr>
              <w:spacing w:line="280" w:lineRule="exact"/>
              <w:rPr>
                <w:rFonts w:eastAsia="仿宋_GB2312"/>
                <w:color w:val="000000"/>
              </w:rPr>
            </w:pPr>
            <w:r>
              <w:rPr>
                <w:rFonts w:eastAsia="仿宋"/>
                <w:color w:val="000000"/>
              </w:rPr>
              <w:t>开展八五普法系列专题——法治文旅在行动专题活动。</w:t>
            </w:r>
          </w:p>
        </w:tc>
      </w:tr>
      <w:tr w14:paraId="4E07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493" w:type="dxa"/>
            <w:vMerge w:val="continue"/>
            <w:vAlign w:val="center"/>
          </w:tcPr>
          <w:p w14:paraId="02E35390">
            <w:pPr>
              <w:jc w:val="center"/>
              <w:rPr>
                <w:rFonts w:eastAsia="仿宋_GB2312"/>
                <w:color w:val="000000"/>
                <w:szCs w:val="21"/>
              </w:rPr>
            </w:pPr>
          </w:p>
        </w:tc>
        <w:tc>
          <w:tcPr>
            <w:tcW w:w="493" w:type="dxa"/>
            <w:vAlign w:val="center"/>
          </w:tcPr>
          <w:p w14:paraId="66095DB4">
            <w:pPr>
              <w:jc w:val="center"/>
              <w:rPr>
                <w:rFonts w:eastAsia="仿宋_GB2312"/>
                <w:color w:val="000000"/>
                <w:szCs w:val="21"/>
              </w:rPr>
            </w:pPr>
            <w:r>
              <w:rPr>
                <w:rFonts w:eastAsia="仿宋"/>
                <w:color w:val="000000"/>
                <w:szCs w:val="21"/>
              </w:rPr>
              <w:t>4</w:t>
            </w:r>
          </w:p>
        </w:tc>
        <w:tc>
          <w:tcPr>
            <w:tcW w:w="12620" w:type="dxa"/>
            <w:vAlign w:val="center"/>
          </w:tcPr>
          <w:p w14:paraId="105CAA8C">
            <w:pPr>
              <w:spacing w:line="280" w:lineRule="exact"/>
              <w:rPr>
                <w:rFonts w:eastAsia="仿宋_GB2312"/>
                <w:color w:val="000000"/>
              </w:rPr>
            </w:pPr>
            <w:r>
              <w:rPr>
                <w:rFonts w:eastAsia="仿宋"/>
                <w:color w:val="000000"/>
              </w:rPr>
              <w:t>开展“你学法我送票”、“宪法进宾馆（景区、非遗场馆）”公益普法活动。</w:t>
            </w:r>
          </w:p>
        </w:tc>
      </w:tr>
      <w:tr w14:paraId="281C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493" w:type="dxa"/>
            <w:vMerge w:val="continue"/>
            <w:vAlign w:val="center"/>
          </w:tcPr>
          <w:p w14:paraId="0EE33F9D">
            <w:pPr>
              <w:jc w:val="center"/>
              <w:rPr>
                <w:rFonts w:eastAsia="仿宋_GB2312"/>
                <w:color w:val="000000"/>
                <w:szCs w:val="21"/>
              </w:rPr>
            </w:pPr>
          </w:p>
        </w:tc>
        <w:tc>
          <w:tcPr>
            <w:tcW w:w="493" w:type="dxa"/>
            <w:vAlign w:val="center"/>
          </w:tcPr>
          <w:p w14:paraId="3F0C33EA">
            <w:pPr>
              <w:jc w:val="center"/>
              <w:rPr>
                <w:rFonts w:eastAsia="仿宋_GB2312"/>
                <w:color w:val="000000"/>
                <w:szCs w:val="21"/>
              </w:rPr>
            </w:pPr>
            <w:r>
              <w:rPr>
                <w:rFonts w:eastAsia="仿宋"/>
                <w:color w:val="000000"/>
                <w:szCs w:val="21"/>
              </w:rPr>
              <w:t>5</w:t>
            </w:r>
          </w:p>
        </w:tc>
        <w:tc>
          <w:tcPr>
            <w:tcW w:w="12620" w:type="dxa"/>
            <w:vAlign w:val="center"/>
          </w:tcPr>
          <w:p w14:paraId="52307598">
            <w:pPr>
              <w:spacing w:line="280" w:lineRule="exact"/>
              <w:rPr>
                <w:rFonts w:eastAsia="仿宋_GB2312"/>
                <w:color w:val="000000"/>
              </w:rPr>
            </w:pPr>
            <w:r>
              <w:rPr>
                <w:rFonts w:eastAsia="仿宋"/>
                <w:color w:val="000000"/>
              </w:rPr>
              <w:t>联合区人民法院共同开展“4</w:t>
            </w:r>
            <w:r>
              <w:rPr>
                <w:rFonts w:eastAsia="汉仪大黑简"/>
                <w:color w:val="000000"/>
              </w:rPr>
              <w:t>·</w:t>
            </w:r>
            <w:r>
              <w:rPr>
                <w:rFonts w:eastAsia="仿宋"/>
                <w:color w:val="000000"/>
              </w:rPr>
              <w:t>26”世界知识产权保护法宣传活动。</w:t>
            </w:r>
          </w:p>
        </w:tc>
      </w:tr>
      <w:tr w14:paraId="2647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493" w:type="dxa"/>
            <w:vMerge w:val="continue"/>
            <w:vAlign w:val="center"/>
          </w:tcPr>
          <w:p w14:paraId="5992D3C9">
            <w:pPr>
              <w:jc w:val="center"/>
              <w:rPr>
                <w:rFonts w:eastAsia="仿宋_GB2312"/>
                <w:color w:val="000000"/>
                <w:szCs w:val="21"/>
              </w:rPr>
            </w:pPr>
          </w:p>
        </w:tc>
        <w:tc>
          <w:tcPr>
            <w:tcW w:w="493" w:type="dxa"/>
            <w:vAlign w:val="center"/>
          </w:tcPr>
          <w:p w14:paraId="70D3A6F9">
            <w:pPr>
              <w:jc w:val="center"/>
              <w:rPr>
                <w:rFonts w:eastAsia="仿宋_GB2312"/>
                <w:color w:val="000000"/>
                <w:szCs w:val="21"/>
              </w:rPr>
            </w:pPr>
            <w:r>
              <w:rPr>
                <w:rFonts w:eastAsia="仿宋"/>
                <w:color w:val="000000"/>
                <w:szCs w:val="21"/>
              </w:rPr>
              <w:t>6</w:t>
            </w:r>
          </w:p>
        </w:tc>
        <w:tc>
          <w:tcPr>
            <w:tcW w:w="12620" w:type="dxa"/>
            <w:vAlign w:val="center"/>
          </w:tcPr>
          <w:p w14:paraId="02B9A050">
            <w:pPr>
              <w:spacing w:line="280" w:lineRule="exact"/>
              <w:rPr>
                <w:rFonts w:eastAsia="仿宋_GB2312"/>
                <w:color w:val="000000"/>
              </w:rPr>
            </w:pPr>
            <w:r>
              <w:rPr>
                <w:rFonts w:eastAsia="仿宋"/>
                <w:color w:val="000000"/>
              </w:rPr>
              <w:t>强力推动法治文化与非物质文化遗产深度融合发展，参与湖南省“‘湘’”遇非遗、法治同行”非物质文化法治文化作品创作征集大赛。</w:t>
            </w:r>
          </w:p>
        </w:tc>
      </w:tr>
      <w:tr w14:paraId="7171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493" w:type="dxa"/>
            <w:vMerge w:val="restart"/>
            <w:vAlign w:val="center"/>
          </w:tcPr>
          <w:p w14:paraId="2ADBDE09">
            <w:pPr>
              <w:jc w:val="center"/>
              <w:rPr>
                <w:rFonts w:eastAsia="仿宋_GB2312"/>
                <w:color w:val="000000"/>
                <w:szCs w:val="21"/>
              </w:rPr>
            </w:pPr>
            <w:r>
              <w:rPr>
                <w:rFonts w:eastAsia="仿宋"/>
                <w:color w:val="000000"/>
                <w:szCs w:val="21"/>
              </w:rPr>
              <w:t>区卫健局</w:t>
            </w:r>
          </w:p>
        </w:tc>
        <w:tc>
          <w:tcPr>
            <w:tcW w:w="493" w:type="dxa"/>
            <w:vAlign w:val="center"/>
          </w:tcPr>
          <w:p w14:paraId="4FE1C241">
            <w:pPr>
              <w:jc w:val="center"/>
              <w:rPr>
                <w:rFonts w:eastAsia="仿宋_GB2312"/>
                <w:color w:val="000000"/>
                <w:szCs w:val="21"/>
              </w:rPr>
            </w:pPr>
            <w:r>
              <w:rPr>
                <w:rFonts w:eastAsia="仿宋"/>
                <w:color w:val="000000"/>
                <w:szCs w:val="21"/>
              </w:rPr>
              <w:t>1</w:t>
            </w:r>
          </w:p>
        </w:tc>
        <w:tc>
          <w:tcPr>
            <w:tcW w:w="12620" w:type="dxa"/>
            <w:vAlign w:val="center"/>
          </w:tcPr>
          <w:p w14:paraId="22E6204A">
            <w:pPr>
              <w:spacing w:line="280" w:lineRule="exact"/>
              <w:rPr>
                <w:rFonts w:eastAsia="仿宋_GB2312"/>
                <w:color w:val="000000"/>
              </w:rPr>
            </w:pPr>
            <w:r>
              <w:rPr>
                <w:rFonts w:eastAsia="仿宋"/>
                <w:color w:val="000000"/>
              </w:rPr>
              <w:t>结合“4</w:t>
            </w:r>
            <w:r>
              <w:rPr>
                <w:rFonts w:eastAsia="汉仪大黑简"/>
                <w:color w:val="000000"/>
              </w:rPr>
              <w:t>·</w:t>
            </w:r>
            <w:r>
              <w:rPr>
                <w:rFonts w:eastAsia="仿宋"/>
                <w:color w:val="000000"/>
              </w:rPr>
              <w:t>15”全民国家安全教育日、“12</w:t>
            </w:r>
            <w:r>
              <w:rPr>
                <w:rFonts w:eastAsia="汉仪大黑简"/>
                <w:color w:val="000000"/>
              </w:rPr>
              <w:t>·</w:t>
            </w:r>
            <w:r>
              <w:rPr>
                <w:rFonts w:eastAsia="仿宋"/>
                <w:color w:val="000000"/>
              </w:rPr>
              <w:t>4”</w:t>
            </w:r>
            <w:r>
              <w:rPr>
                <w:rFonts w:hint="eastAsia" w:eastAsia="仿宋"/>
                <w:color w:val="000000"/>
                <w:lang w:val="en-US" w:eastAsia="zh-CN"/>
              </w:rPr>
              <w:t>国家</w:t>
            </w:r>
            <w:r>
              <w:rPr>
                <w:rFonts w:eastAsia="仿宋"/>
                <w:color w:val="000000"/>
              </w:rPr>
              <w:t>宪法日、“12</w:t>
            </w:r>
            <w:r>
              <w:rPr>
                <w:rFonts w:eastAsia="汉仪大黑简"/>
                <w:color w:val="000000"/>
              </w:rPr>
              <w:t>·</w:t>
            </w:r>
            <w:r>
              <w:rPr>
                <w:rFonts w:eastAsia="仿宋"/>
                <w:color w:val="000000"/>
              </w:rPr>
              <w:t>1”世界艾滋病防治日、国际护士节、中国医师节、精神卫生日、世界防治结核病日、全国儿童预防接种日、爱国卫生月、全国肿瘤防治宣传周、职业病防治法宣传周等节日纪念日开展普法和法治宣传活动。</w:t>
            </w:r>
          </w:p>
        </w:tc>
      </w:tr>
      <w:tr w14:paraId="5F61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493" w:type="dxa"/>
            <w:vMerge w:val="continue"/>
            <w:vAlign w:val="center"/>
          </w:tcPr>
          <w:p w14:paraId="2B5CCB4E">
            <w:pPr>
              <w:jc w:val="center"/>
              <w:rPr>
                <w:rFonts w:eastAsia="仿宋_GB2312"/>
                <w:color w:val="000000"/>
                <w:szCs w:val="21"/>
              </w:rPr>
            </w:pPr>
          </w:p>
        </w:tc>
        <w:tc>
          <w:tcPr>
            <w:tcW w:w="493" w:type="dxa"/>
            <w:vAlign w:val="center"/>
          </w:tcPr>
          <w:p w14:paraId="21F03B17">
            <w:pPr>
              <w:jc w:val="center"/>
              <w:rPr>
                <w:rFonts w:eastAsia="仿宋_GB2312"/>
                <w:color w:val="000000"/>
                <w:szCs w:val="21"/>
              </w:rPr>
            </w:pPr>
            <w:r>
              <w:rPr>
                <w:rFonts w:eastAsia="仿宋"/>
                <w:color w:val="000000"/>
                <w:szCs w:val="21"/>
              </w:rPr>
              <w:t>2</w:t>
            </w:r>
          </w:p>
        </w:tc>
        <w:tc>
          <w:tcPr>
            <w:tcW w:w="12620" w:type="dxa"/>
            <w:vAlign w:val="center"/>
          </w:tcPr>
          <w:p w14:paraId="1817AD56">
            <w:pPr>
              <w:spacing w:line="280" w:lineRule="exact"/>
              <w:rPr>
                <w:rFonts w:eastAsia="仿宋_GB2312"/>
                <w:color w:val="000000"/>
              </w:rPr>
            </w:pPr>
            <w:r>
              <w:rPr>
                <w:rFonts w:eastAsia="仿宋"/>
                <w:color w:val="000000"/>
              </w:rPr>
              <w:t>推进公立医院法治建设，医务人员坚持学法用法、守法普法，充分利用医院宣传阵地，采取印发宣传册页、设置宣传专栏、开办法治讲座、播放视频音响、开展义诊等形式，向服务对象及其亲属宣传法律法规知识、健康保健知识、疾病防控和治疗知识，营造良好的医院法治环境。</w:t>
            </w:r>
          </w:p>
        </w:tc>
      </w:tr>
      <w:tr w14:paraId="34E2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493" w:type="dxa"/>
            <w:vMerge w:val="restart"/>
            <w:vAlign w:val="center"/>
          </w:tcPr>
          <w:p w14:paraId="3915EB5C">
            <w:pPr>
              <w:jc w:val="center"/>
              <w:rPr>
                <w:rFonts w:eastAsia="仿宋_GB2312"/>
                <w:color w:val="000000"/>
                <w:szCs w:val="21"/>
              </w:rPr>
            </w:pPr>
            <w:r>
              <w:rPr>
                <w:rFonts w:eastAsia="仿宋"/>
                <w:color w:val="000000"/>
                <w:szCs w:val="21"/>
              </w:rPr>
              <w:t>区审计局</w:t>
            </w:r>
          </w:p>
        </w:tc>
        <w:tc>
          <w:tcPr>
            <w:tcW w:w="493" w:type="dxa"/>
            <w:vAlign w:val="center"/>
          </w:tcPr>
          <w:p w14:paraId="18F2FE11">
            <w:pPr>
              <w:jc w:val="center"/>
              <w:rPr>
                <w:rFonts w:eastAsia="仿宋_GB2312"/>
                <w:color w:val="000000"/>
                <w:szCs w:val="21"/>
              </w:rPr>
            </w:pPr>
            <w:r>
              <w:rPr>
                <w:rFonts w:eastAsia="仿宋"/>
                <w:color w:val="000000"/>
                <w:szCs w:val="21"/>
              </w:rPr>
              <w:t>1</w:t>
            </w:r>
          </w:p>
        </w:tc>
        <w:tc>
          <w:tcPr>
            <w:tcW w:w="12620" w:type="dxa"/>
            <w:vAlign w:val="center"/>
          </w:tcPr>
          <w:p w14:paraId="3D099D41">
            <w:pPr>
              <w:spacing w:line="280" w:lineRule="exact"/>
              <w:rPr>
                <w:rFonts w:eastAsia="仿宋_GB2312"/>
                <w:color w:val="000000"/>
              </w:rPr>
            </w:pPr>
            <w:r>
              <w:rPr>
                <w:rFonts w:eastAsia="仿宋"/>
                <w:color w:val="000000"/>
              </w:rPr>
              <w:t>向被审计单位普及审计法律法规，把普法寓于审计执法全过程之中，营造良好的审计执法环境。</w:t>
            </w:r>
          </w:p>
        </w:tc>
      </w:tr>
      <w:tr w14:paraId="31A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493" w:type="dxa"/>
            <w:vMerge w:val="continue"/>
            <w:vAlign w:val="center"/>
          </w:tcPr>
          <w:p w14:paraId="7538138D">
            <w:pPr>
              <w:jc w:val="center"/>
              <w:rPr>
                <w:rFonts w:eastAsia="仿宋_GB2312"/>
                <w:color w:val="000000"/>
                <w:szCs w:val="21"/>
              </w:rPr>
            </w:pPr>
          </w:p>
        </w:tc>
        <w:tc>
          <w:tcPr>
            <w:tcW w:w="493" w:type="dxa"/>
            <w:vAlign w:val="center"/>
          </w:tcPr>
          <w:p w14:paraId="0352FFBD">
            <w:pPr>
              <w:jc w:val="center"/>
              <w:rPr>
                <w:rFonts w:eastAsia="仿宋_GB2312"/>
                <w:color w:val="000000"/>
                <w:szCs w:val="21"/>
              </w:rPr>
            </w:pPr>
            <w:r>
              <w:rPr>
                <w:rFonts w:eastAsia="仿宋"/>
                <w:color w:val="000000"/>
                <w:szCs w:val="21"/>
              </w:rPr>
              <w:t>2</w:t>
            </w:r>
          </w:p>
        </w:tc>
        <w:tc>
          <w:tcPr>
            <w:tcW w:w="12620" w:type="dxa"/>
            <w:vAlign w:val="center"/>
          </w:tcPr>
          <w:p w14:paraId="22299E59">
            <w:pPr>
              <w:spacing w:line="280" w:lineRule="exact"/>
              <w:rPr>
                <w:rFonts w:eastAsia="仿宋_GB2312"/>
                <w:color w:val="000000"/>
              </w:rPr>
            </w:pPr>
            <w:r>
              <w:rPr>
                <w:rFonts w:eastAsia="仿宋"/>
                <w:color w:val="000000"/>
              </w:rPr>
              <w:t>充分利用“4</w:t>
            </w:r>
            <w:r>
              <w:rPr>
                <w:rFonts w:eastAsia="汉仪大黑简"/>
                <w:color w:val="000000"/>
              </w:rPr>
              <w:t>·</w:t>
            </w:r>
            <w:r>
              <w:rPr>
                <w:rFonts w:eastAsia="仿宋"/>
                <w:color w:val="000000"/>
              </w:rPr>
              <w:t>15”全民国家安全教育日、“12</w:t>
            </w:r>
            <w:r>
              <w:rPr>
                <w:rFonts w:eastAsia="汉仪大黑简"/>
                <w:color w:val="000000"/>
              </w:rPr>
              <w:t>·</w:t>
            </w:r>
            <w:r>
              <w:rPr>
                <w:rFonts w:eastAsia="仿宋"/>
                <w:color w:val="000000"/>
              </w:rPr>
              <w:t>4”国家宪法日等特殊时间节点，结合审计工作实际，开展面向社会的集中法治宣传活动。</w:t>
            </w:r>
          </w:p>
        </w:tc>
      </w:tr>
      <w:tr w14:paraId="29EB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493" w:type="dxa"/>
            <w:vMerge w:val="continue"/>
            <w:vAlign w:val="center"/>
          </w:tcPr>
          <w:p w14:paraId="42EAB71A">
            <w:pPr>
              <w:jc w:val="center"/>
              <w:rPr>
                <w:rFonts w:eastAsia="仿宋_GB2312"/>
                <w:color w:val="000000"/>
                <w:szCs w:val="21"/>
              </w:rPr>
            </w:pPr>
          </w:p>
        </w:tc>
        <w:tc>
          <w:tcPr>
            <w:tcW w:w="493" w:type="dxa"/>
            <w:vAlign w:val="center"/>
          </w:tcPr>
          <w:p w14:paraId="417F3C62">
            <w:pPr>
              <w:jc w:val="center"/>
              <w:rPr>
                <w:rFonts w:eastAsia="仿宋_GB2312"/>
                <w:color w:val="000000"/>
                <w:szCs w:val="21"/>
              </w:rPr>
            </w:pPr>
            <w:r>
              <w:rPr>
                <w:rFonts w:eastAsia="仿宋"/>
                <w:color w:val="000000"/>
                <w:szCs w:val="21"/>
              </w:rPr>
              <w:t>3</w:t>
            </w:r>
          </w:p>
        </w:tc>
        <w:tc>
          <w:tcPr>
            <w:tcW w:w="12620" w:type="dxa"/>
            <w:vAlign w:val="center"/>
          </w:tcPr>
          <w:p w14:paraId="493C5092">
            <w:pPr>
              <w:spacing w:line="280" w:lineRule="exact"/>
              <w:rPr>
                <w:rFonts w:eastAsia="仿宋_GB2312"/>
                <w:color w:val="000000"/>
              </w:rPr>
            </w:pPr>
            <w:r>
              <w:rPr>
                <w:rFonts w:eastAsia="仿宋"/>
                <w:color w:val="000000"/>
              </w:rPr>
              <w:t>紧密结合机关春训秋训、送教上门、审计大讲堂、审计业务培训、有关审计工作会议、法宣在线学习平台等开展形式多样的普法教育和宣传活动。</w:t>
            </w:r>
          </w:p>
        </w:tc>
      </w:tr>
      <w:tr w14:paraId="5ACD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493" w:type="dxa"/>
            <w:vMerge w:val="continue"/>
            <w:vAlign w:val="center"/>
          </w:tcPr>
          <w:p w14:paraId="55B62CB4">
            <w:pPr>
              <w:jc w:val="center"/>
              <w:rPr>
                <w:rFonts w:eastAsia="仿宋_GB2312"/>
                <w:color w:val="000000"/>
                <w:szCs w:val="21"/>
              </w:rPr>
            </w:pPr>
          </w:p>
        </w:tc>
        <w:tc>
          <w:tcPr>
            <w:tcW w:w="493" w:type="dxa"/>
            <w:vAlign w:val="center"/>
          </w:tcPr>
          <w:p w14:paraId="48DDD1A1">
            <w:pPr>
              <w:jc w:val="center"/>
              <w:rPr>
                <w:rFonts w:eastAsia="仿宋_GB2312"/>
                <w:color w:val="000000"/>
                <w:szCs w:val="21"/>
              </w:rPr>
            </w:pPr>
            <w:r>
              <w:rPr>
                <w:rFonts w:eastAsia="仿宋"/>
                <w:color w:val="000000"/>
                <w:szCs w:val="21"/>
              </w:rPr>
              <w:t>4</w:t>
            </w:r>
          </w:p>
        </w:tc>
        <w:tc>
          <w:tcPr>
            <w:tcW w:w="12620" w:type="dxa"/>
            <w:vAlign w:val="center"/>
          </w:tcPr>
          <w:p w14:paraId="00BFD7F9">
            <w:pPr>
              <w:spacing w:line="280" w:lineRule="exact"/>
              <w:rPr>
                <w:rFonts w:eastAsia="仿宋_GB2312"/>
                <w:color w:val="000000"/>
              </w:rPr>
            </w:pPr>
            <w:r>
              <w:rPr>
                <w:rFonts w:eastAsia="仿宋"/>
                <w:color w:val="000000"/>
              </w:rPr>
              <w:t>广泛学习宣传普及《</w:t>
            </w:r>
            <w:r>
              <w:rPr>
                <w:rFonts w:hint="eastAsia" w:eastAsia="仿宋"/>
                <w:color w:val="000000"/>
              </w:rPr>
              <w:t>中华人民共和国</w:t>
            </w:r>
            <w:r>
              <w:rPr>
                <w:rFonts w:eastAsia="仿宋"/>
                <w:color w:val="000000"/>
              </w:rPr>
              <w:t>审计法》、《审计法实施条例》、《国家审计准则》等与审计工作相关的法律法规规章。</w:t>
            </w:r>
          </w:p>
        </w:tc>
      </w:tr>
      <w:tr w14:paraId="3226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493" w:type="dxa"/>
            <w:vMerge w:val="restart"/>
            <w:vAlign w:val="center"/>
          </w:tcPr>
          <w:p w14:paraId="0793663F">
            <w:pPr>
              <w:jc w:val="center"/>
              <w:rPr>
                <w:rFonts w:eastAsia="仿宋"/>
                <w:color w:val="000000"/>
                <w:szCs w:val="21"/>
              </w:rPr>
            </w:pPr>
            <w:r>
              <w:rPr>
                <w:rFonts w:eastAsia="仿宋"/>
                <w:color w:val="000000"/>
                <w:szCs w:val="21"/>
              </w:rPr>
              <w:t>区退役军人事务局</w:t>
            </w:r>
          </w:p>
          <w:p w14:paraId="3CC63223">
            <w:pPr>
              <w:jc w:val="center"/>
              <w:rPr>
                <w:rFonts w:eastAsia="仿宋_GB2312"/>
                <w:color w:val="000000"/>
                <w:szCs w:val="21"/>
              </w:rPr>
            </w:pPr>
          </w:p>
        </w:tc>
        <w:tc>
          <w:tcPr>
            <w:tcW w:w="493" w:type="dxa"/>
            <w:vAlign w:val="center"/>
          </w:tcPr>
          <w:p w14:paraId="1A7E4BD9">
            <w:pPr>
              <w:jc w:val="center"/>
              <w:rPr>
                <w:rFonts w:eastAsia="仿宋_GB2312"/>
                <w:color w:val="000000"/>
                <w:szCs w:val="21"/>
              </w:rPr>
            </w:pPr>
            <w:r>
              <w:rPr>
                <w:rFonts w:eastAsia="仿宋"/>
                <w:color w:val="000000"/>
                <w:szCs w:val="21"/>
              </w:rPr>
              <w:t>1</w:t>
            </w:r>
          </w:p>
        </w:tc>
        <w:tc>
          <w:tcPr>
            <w:tcW w:w="12620" w:type="dxa"/>
            <w:vAlign w:val="center"/>
          </w:tcPr>
          <w:p w14:paraId="7A308338">
            <w:pPr>
              <w:spacing w:line="280" w:lineRule="exact"/>
              <w:rPr>
                <w:rFonts w:eastAsia="仿宋_GB2312"/>
                <w:color w:val="000000"/>
              </w:rPr>
            </w:pPr>
            <w:r>
              <w:rPr>
                <w:rFonts w:eastAsia="仿宋"/>
                <w:color w:val="000000"/>
              </w:rPr>
              <w:t>认真学习宣传《</w:t>
            </w:r>
            <w:r>
              <w:rPr>
                <w:rFonts w:hint="eastAsia" w:eastAsia="仿宋"/>
                <w:color w:val="000000"/>
              </w:rPr>
              <w:t>中华人民共和国</w:t>
            </w:r>
            <w:r>
              <w:rPr>
                <w:rFonts w:eastAsia="仿宋"/>
                <w:color w:val="000000"/>
              </w:rPr>
              <w:t>退役军人保障法》。</w:t>
            </w:r>
          </w:p>
        </w:tc>
      </w:tr>
      <w:tr w14:paraId="355A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493" w:type="dxa"/>
            <w:vMerge w:val="continue"/>
            <w:vAlign w:val="center"/>
          </w:tcPr>
          <w:p w14:paraId="1AA45198">
            <w:pPr>
              <w:jc w:val="center"/>
              <w:rPr>
                <w:rFonts w:eastAsia="仿宋_GB2312"/>
                <w:color w:val="000000"/>
                <w:szCs w:val="21"/>
              </w:rPr>
            </w:pPr>
          </w:p>
        </w:tc>
        <w:tc>
          <w:tcPr>
            <w:tcW w:w="493" w:type="dxa"/>
            <w:vAlign w:val="center"/>
          </w:tcPr>
          <w:p w14:paraId="2CDAF841">
            <w:pPr>
              <w:jc w:val="center"/>
              <w:rPr>
                <w:rFonts w:eastAsia="仿宋_GB2312"/>
                <w:color w:val="000000"/>
                <w:szCs w:val="21"/>
              </w:rPr>
            </w:pPr>
            <w:r>
              <w:rPr>
                <w:rFonts w:eastAsia="仿宋"/>
                <w:color w:val="000000"/>
                <w:szCs w:val="21"/>
              </w:rPr>
              <w:t>2</w:t>
            </w:r>
          </w:p>
        </w:tc>
        <w:tc>
          <w:tcPr>
            <w:tcW w:w="12620" w:type="dxa"/>
            <w:vAlign w:val="center"/>
          </w:tcPr>
          <w:p w14:paraId="6772ACC1">
            <w:pPr>
              <w:spacing w:line="280" w:lineRule="exact"/>
              <w:rPr>
                <w:rFonts w:eastAsia="仿宋_GB2312"/>
                <w:color w:val="000000"/>
              </w:rPr>
            </w:pPr>
            <w:r>
              <w:rPr>
                <w:rFonts w:eastAsia="仿宋"/>
                <w:color w:val="000000"/>
              </w:rPr>
              <w:t>认真学习宣传《信访工作条例》《退役士兵安置条例》，在处理信访维稳和转业安置等日常工作中，于管理和服务对象办事的全流程中均依据法律法规和政策文件对其进行解释、宣传，建立完善执法、管理事前、事中、事后普法机制，把普法贯穿执法、管理全过程。</w:t>
            </w:r>
          </w:p>
        </w:tc>
      </w:tr>
      <w:tr w14:paraId="61D8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93" w:type="dxa"/>
            <w:vMerge w:val="restart"/>
            <w:vAlign w:val="center"/>
          </w:tcPr>
          <w:p w14:paraId="640E0EE3">
            <w:pPr>
              <w:jc w:val="center"/>
              <w:rPr>
                <w:rFonts w:eastAsia="仿宋_GB2312"/>
                <w:color w:val="000000"/>
                <w:szCs w:val="21"/>
              </w:rPr>
            </w:pPr>
            <w:r>
              <w:rPr>
                <w:rFonts w:eastAsia="仿宋"/>
                <w:color w:val="000000"/>
                <w:szCs w:val="21"/>
              </w:rPr>
              <w:t>区应急管理局</w:t>
            </w:r>
          </w:p>
        </w:tc>
        <w:tc>
          <w:tcPr>
            <w:tcW w:w="493" w:type="dxa"/>
            <w:vAlign w:val="center"/>
          </w:tcPr>
          <w:p w14:paraId="0A5E0192">
            <w:pPr>
              <w:jc w:val="center"/>
              <w:rPr>
                <w:rFonts w:eastAsia="仿宋_GB2312"/>
                <w:color w:val="000000"/>
                <w:szCs w:val="21"/>
              </w:rPr>
            </w:pPr>
            <w:r>
              <w:rPr>
                <w:rFonts w:eastAsia="仿宋"/>
                <w:color w:val="000000"/>
                <w:szCs w:val="21"/>
              </w:rPr>
              <w:t>1</w:t>
            </w:r>
          </w:p>
        </w:tc>
        <w:tc>
          <w:tcPr>
            <w:tcW w:w="12620" w:type="dxa"/>
            <w:vAlign w:val="center"/>
          </w:tcPr>
          <w:p w14:paraId="536EEF1E">
            <w:pPr>
              <w:spacing w:line="280" w:lineRule="exact"/>
              <w:rPr>
                <w:rFonts w:eastAsia="仿宋_GB2312"/>
                <w:color w:val="000000"/>
              </w:rPr>
            </w:pPr>
            <w:r>
              <w:rPr>
                <w:rFonts w:eastAsia="仿宋"/>
                <w:color w:val="000000"/>
              </w:rPr>
              <w:t>加强行政执法案例整理编辑工作，开展“以案释法”典型案例征集活动，通过以案释法促进执法普法同步推进展开，着力提升全民应急管理法治意识。</w:t>
            </w:r>
          </w:p>
        </w:tc>
      </w:tr>
      <w:tr w14:paraId="335E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93" w:type="dxa"/>
            <w:vMerge w:val="continue"/>
            <w:vAlign w:val="center"/>
          </w:tcPr>
          <w:p w14:paraId="3CED6504">
            <w:pPr>
              <w:jc w:val="center"/>
              <w:rPr>
                <w:rFonts w:eastAsia="仿宋_GB2312"/>
                <w:color w:val="000000"/>
                <w:szCs w:val="21"/>
              </w:rPr>
            </w:pPr>
          </w:p>
        </w:tc>
        <w:tc>
          <w:tcPr>
            <w:tcW w:w="493" w:type="dxa"/>
            <w:vAlign w:val="center"/>
          </w:tcPr>
          <w:p w14:paraId="7A490CB0">
            <w:pPr>
              <w:jc w:val="center"/>
              <w:rPr>
                <w:rFonts w:eastAsia="仿宋_GB2312"/>
                <w:color w:val="000000"/>
                <w:szCs w:val="21"/>
              </w:rPr>
            </w:pPr>
            <w:r>
              <w:rPr>
                <w:rFonts w:eastAsia="仿宋"/>
                <w:color w:val="000000"/>
                <w:szCs w:val="21"/>
              </w:rPr>
              <w:t>2</w:t>
            </w:r>
          </w:p>
        </w:tc>
        <w:tc>
          <w:tcPr>
            <w:tcW w:w="12620" w:type="dxa"/>
            <w:vAlign w:val="center"/>
          </w:tcPr>
          <w:p w14:paraId="5F78ABA7">
            <w:pPr>
              <w:spacing w:line="280" w:lineRule="exact"/>
              <w:rPr>
                <w:rFonts w:eastAsia="仿宋_GB2312"/>
                <w:color w:val="000000"/>
              </w:rPr>
            </w:pPr>
            <w:r>
              <w:rPr>
                <w:rFonts w:eastAsia="仿宋"/>
                <w:color w:val="000000"/>
              </w:rPr>
              <w:t>紧紧抓住“安全生产月”“防灾减灾日”“国家119消防日”“12</w:t>
            </w:r>
            <w:r>
              <w:rPr>
                <w:rFonts w:eastAsia="汉仪大黑简"/>
                <w:color w:val="000000"/>
              </w:rPr>
              <w:t>·</w:t>
            </w:r>
            <w:r>
              <w:rPr>
                <w:rFonts w:eastAsia="仿宋"/>
                <w:color w:val="000000"/>
              </w:rPr>
              <w:t>4”国家宪法日等时段，开展针对性普法，提升全民安全防范意识、应急处置能力和自救互救能力。</w:t>
            </w:r>
          </w:p>
        </w:tc>
      </w:tr>
      <w:tr w14:paraId="3D83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493" w:type="dxa"/>
            <w:vMerge w:val="continue"/>
            <w:vAlign w:val="center"/>
          </w:tcPr>
          <w:p w14:paraId="3CE2B911">
            <w:pPr>
              <w:jc w:val="center"/>
              <w:rPr>
                <w:rFonts w:eastAsia="仿宋_GB2312"/>
                <w:color w:val="000000"/>
                <w:szCs w:val="21"/>
              </w:rPr>
            </w:pPr>
          </w:p>
        </w:tc>
        <w:tc>
          <w:tcPr>
            <w:tcW w:w="493" w:type="dxa"/>
            <w:vAlign w:val="center"/>
          </w:tcPr>
          <w:p w14:paraId="60E28595">
            <w:pPr>
              <w:jc w:val="center"/>
              <w:rPr>
                <w:rFonts w:eastAsia="仿宋_GB2312"/>
                <w:color w:val="000000"/>
                <w:szCs w:val="21"/>
              </w:rPr>
            </w:pPr>
            <w:r>
              <w:rPr>
                <w:rFonts w:eastAsia="仿宋"/>
                <w:color w:val="000000"/>
                <w:szCs w:val="21"/>
              </w:rPr>
              <w:t>3</w:t>
            </w:r>
          </w:p>
        </w:tc>
        <w:tc>
          <w:tcPr>
            <w:tcW w:w="12620" w:type="dxa"/>
            <w:vAlign w:val="center"/>
          </w:tcPr>
          <w:p w14:paraId="6D2B9F1C">
            <w:pPr>
              <w:spacing w:line="280" w:lineRule="exact"/>
              <w:rPr>
                <w:rFonts w:eastAsia="仿宋_GB2312"/>
                <w:color w:val="000000"/>
              </w:rPr>
            </w:pPr>
            <w:r>
              <w:rPr>
                <w:rFonts w:eastAsia="仿宋"/>
                <w:color w:val="000000"/>
              </w:rPr>
              <w:t>积极参与全国第四届应急管理普法知识竞赛活动。</w:t>
            </w:r>
          </w:p>
        </w:tc>
      </w:tr>
      <w:tr w14:paraId="7B19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493" w:type="dxa"/>
            <w:vMerge w:val="continue"/>
            <w:vAlign w:val="center"/>
          </w:tcPr>
          <w:p w14:paraId="08BFC8C4">
            <w:pPr>
              <w:jc w:val="center"/>
              <w:rPr>
                <w:rFonts w:eastAsia="仿宋_GB2312"/>
                <w:color w:val="000000"/>
                <w:szCs w:val="21"/>
              </w:rPr>
            </w:pPr>
          </w:p>
        </w:tc>
        <w:tc>
          <w:tcPr>
            <w:tcW w:w="493" w:type="dxa"/>
            <w:vAlign w:val="center"/>
          </w:tcPr>
          <w:p w14:paraId="4085BD4D">
            <w:pPr>
              <w:jc w:val="center"/>
              <w:rPr>
                <w:rFonts w:eastAsia="仿宋_GB2312"/>
                <w:color w:val="000000"/>
                <w:szCs w:val="21"/>
              </w:rPr>
            </w:pPr>
            <w:r>
              <w:rPr>
                <w:rFonts w:eastAsia="仿宋"/>
                <w:color w:val="000000"/>
                <w:szCs w:val="21"/>
              </w:rPr>
              <w:t>4</w:t>
            </w:r>
          </w:p>
        </w:tc>
        <w:tc>
          <w:tcPr>
            <w:tcW w:w="12620" w:type="dxa"/>
            <w:vAlign w:val="center"/>
          </w:tcPr>
          <w:p w14:paraId="65BC125B">
            <w:pPr>
              <w:spacing w:line="280" w:lineRule="exact"/>
              <w:rPr>
                <w:rFonts w:eastAsia="仿宋_GB2312"/>
                <w:color w:val="000000"/>
              </w:rPr>
            </w:pPr>
            <w:r>
              <w:rPr>
                <w:rFonts w:eastAsia="仿宋"/>
                <w:color w:val="000000"/>
              </w:rPr>
              <w:t>深入开展《中华人民共和国行政处罚法》《中华人民共和国安全生产法》《湖南省安全生产条例》等学习宣传教育活动。</w:t>
            </w:r>
          </w:p>
        </w:tc>
      </w:tr>
      <w:tr w14:paraId="0712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493" w:type="dxa"/>
            <w:vMerge w:val="restart"/>
            <w:vAlign w:val="center"/>
          </w:tcPr>
          <w:p w14:paraId="0B7AC819">
            <w:pPr>
              <w:jc w:val="center"/>
              <w:rPr>
                <w:rFonts w:eastAsia="仿宋_GB2312"/>
                <w:color w:val="000000"/>
                <w:szCs w:val="21"/>
              </w:rPr>
            </w:pPr>
            <w:r>
              <w:rPr>
                <w:rFonts w:eastAsia="仿宋"/>
                <w:color w:val="000000"/>
                <w:szCs w:val="21"/>
              </w:rPr>
              <w:t>区市场监督管理局</w:t>
            </w:r>
          </w:p>
        </w:tc>
        <w:tc>
          <w:tcPr>
            <w:tcW w:w="493" w:type="dxa"/>
            <w:vAlign w:val="center"/>
          </w:tcPr>
          <w:p w14:paraId="005B2ABF">
            <w:pPr>
              <w:jc w:val="center"/>
              <w:rPr>
                <w:rFonts w:eastAsia="仿宋_GB2312"/>
                <w:color w:val="000000"/>
                <w:szCs w:val="21"/>
              </w:rPr>
            </w:pPr>
            <w:r>
              <w:rPr>
                <w:rFonts w:eastAsia="仿宋"/>
                <w:color w:val="000000"/>
                <w:szCs w:val="21"/>
              </w:rPr>
              <w:t>1</w:t>
            </w:r>
          </w:p>
        </w:tc>
        <w:tc>
          <w:tcPr>
            <w:tcW w:w="12620" w:type="dxa"/>
            <w:vAlign w:val="center"/>
          </w:tcPr>
          <w:p w14:paraId="448395B0">
            <w:pPr>
              <w:spacing w:line="280" w:lineRule="exact"/>
              <w:rPr>
                <w:rFonts w:eastAsia="仿宋_GB2312"/>
                <w:color w:val="000000"/>
              </w:rPr>
            </w:pPr>
            <w:r>
              <w:rPr>
                <w:rFonts w:eastAsia="仿宋"/>
                <w:color w:val="000000"/>
              </w:rPr>
              <w:t>把普法宣传教育融入岗位工作、学习、培训等工作中，与各项日常工作紧密结合，确保普法教育与日常工作相互渗透，相互融合。</w:t>
            </w:r>
          </w:p>
        </w:tc>
      </w:tr>
      <w:tr w14:paraId="4D56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493" w:type="dxa"/>
            <w:vMerge w:val="continue"/>
            <w:vAlign w:val="center"/>
          </w:tcPr>
          <w:p w14:paraId="64F53293">
            <w:pPr>
              <w:jc w:val="center"/>
              <w:rPr>
                <w:rFonts w:eastAsia="仿宋_GB2312"/>
                <w:color w:val="000000"/>
                <w:szCs w:val="21"/>
              </w:rPr>
            </w:pPr>
          </w:p>
        </w:tc>
        <w:tc>
          <w:tcPr>
            <w:tcW w:w="493" w:type="dxa"/>
            <w:vAlign w:val="center"/>
          </w:tcPr>
          <w:p w14:paraId="2DA22551">
            <w:pPr>
              <w:jc w:val="center"/>
              <w:rPr>
                <w:rFonts w:eastAsia="仿宋_GB2312"/>
                <w:color w:val="000000"/>
                <w:szCs w:val="21"/>
              </w:rPr>
            </w:pPr>
            <w:r>
              <w:rPr>
                <w:rFonts w:eastAsia="仿宋"/>
                <w:color w:val="000000"/>
                <w:szCs w:val="21"/>
              </w:rPr>
              <w:t>2</w:t>
            </w:r>
          </w:p>
        </w:tc>
        <w:tc>
          <w:tcPr>
            <w:tcW w:w="12620" w:type="dxa"/>
            <w:vAlign w:val="center"/>
          </w:tcPr>
          <w:p w14:paraId="407E6E31">
            <w:pPr>
              <w:spacing w:line="280" w:lineRule="exact"/>
              <w:rPr>
                <w:rFonts w:eastAsia="仿宋_GB2312"/>
                <w:color w:val="000000"/>
              </w:rPr>
            </w:pPr>
            <w:r>
              <w:rPr>
                <w:rFonts w:eastAsia="仿宋"/>
                <w:color w:val="000000"/>
              </w:rPr>
              <w:t>充分利用“3・15”国际消费者权益日 “知识产权日”“计量日”“标准化日”“质量月”“4</w:t>
            </w:r>
            <w:r>
              <w:rPr>
                <w:rFonts w:eastAsia="汉仪大黑简"/>
                <w:color w:val="000000"/>
              </w:rPr>
              <w:t>·</w:t>
            </w:r>
            <w:r>
              <w:rPr>
                <w:rFonts w:eastAsia="仿宋"/>
                <w:color w:val="000000"/>
              </w:rPr>
              <w:t>15”国家安全日、化妆品安全科普宣传周、安全用药月、“12</w:t>
            </w:r>
            <w:r>
              <w:rPr>
                <w:rFonts w:eastAsia="汉仪大黑简"/>
                <w:color w:val="000000"/>
              </w:rPr>
              <w:t>·</w:t>
            </w:r>
            <w:r>
              <w:rPr>
                <w:rFonts w:eastAsia="仿宋"/>
                <w:color w:val="000000"/>
              </w:rPr>
              <w:t>4”国家宪法日等特殊时间节点，结合市场监督管理工作实际，开展旨在提高老百姓质量意识和经营者守法意识的专题普法宣传活动。</w:t>
            </w:r>
          </w:p>
        </w:tc>
      </w:tr>
      <w:tr w14:paraId="5936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493" w:type="dxa"/>
            <w:vMerge w:val="continue"/>
            <w:vAlign w:val="center"/>
          </w:tcPr>
          <w:p w14:paraId="7AF6EA5F">
            <w:pPr>
              <w:jc w:val="center"/>
              <w:rPr>
                <w:rFonts w:eastAsia="仿宋_GB2312"/>
                <w:color w:val="000000"/>
                <w:szCs w:val="21"/>
              </w:rPr>
            </w:pPr>
          </w:p>
        </w:tc>
        <w:tc>
          <w:tcPr>
            <w:tcW w:w="493" w:type="dxa"/>
            <w:vAlign w:val="center"/>
          </w:tcPr>
          <w:p w14:paraId="6D8A32B9">
            <w:pPr>
              <w:jc w:val="center"/>
              <w:rPr>
                <w:rFonts w:eastAsia="仿宋_GB2312"/>
                <w:color w:val="000000"/>
                <w:szCs w:val="21"/>
              </w:rPr>
            </w:pPr>
            <w:r>
              <w:rPr>
                <w:rFonts w:eastAsia="仿宋"/>
                <w:color w:val="000000"/>
                <w:szCs w:val="21"/>
              </w:rPr>
              <w:t>3</w:t>
            </w:r>
          </w:p>
        </w:tc>
        <w:tc>
          <w:tcPr>
            <w:tcW w:w="12620" w:type="dxa"/>
            <w:vAlign w:val="center"/>
          </w:tcPr>
          <w:p w14:paraId="69C8D8EB">
            <w:pPr>
              <w:spacing w:line="280" w:lineRule="exact"/>
              <w:rPr>
                <w:rFonts w:eastAsia="仿宋_GB2312"/>
                <w:color w:val="000000"/>
              </w:rPr>
            </w:pPr>
            <w:r>
              <w:rPr>
                <w:rFonts w:eastAsia="仿宋"/>
                <w:color w:val="000000"/>
              </w:rPr>
              <w:t>广泛宣传普及《</w:t>
            </w:r>
            <w:r>
              <w:rPr>
                <w:rFonts w:hint="eastAsia" w:eastAsia="仿宋"/>
                <w:color w:val="000000"/>
              </w:rPr>
              <w:t>中华人民共和国</w:t>
            </w:r>
            <w:r>
              <w:rPr>
                <w:rFonts w:eastAsia="仿宋"/>
                <w:color w:val="000000"/>
              </w:rPr>
              <w:t>公司法》《中华人民共和国市场主体登记管理条例》《</w:t>
            </w:r>
            <w:r>
              <w:rPr>
                <w:rFonts w:hint="eastAsia" w:eastAsia="仿宋"/>
                <w:color w:val="000000"/>
              </w:rPr>
              <w:t>中华人民共和国</w:t>
            </w:r>
            <w:r>
              <w:rPr>
                <w:rFonts w:eastAsia="仿宋"/>
                <w:color w:val="000000"/>
              </w:rPr>
              <w:t>反垄断法》《直销管理条例》《禁止传销条例》《</w:t>
            </w:r>
            <w:r>
              <w:rPr>
                <w:rFonts w:hint="eastAsia" w:eastAsia="仿宋"/>
                <w:color w:val="000000"/>
              </w:rPr>
              <w:t>中华人民共和国</w:t>
            </w:r>
            <w:r>
              <w:rPr>
                <w:rFonts w:eastAsia="仿宋"/>
                <w:color w:val="000000"/>
              </w:rPr>
              <w:t>价格法》《</w:t>
            </w:r>
            <w:r>
              <w:rPr>
                <w:rFonts w:hint="eastAsia" w:eastAsia="仿宋"/>
                <w:color w:val="000000"/>
              </w:rPr>
              <w:t>中华人民共和国</w:t>
            </w:r>
            <w:r>
              <w:rPr>
                <w:rFonts w:eastAsia="仿宋"/>
                <w:color w:val="000000"/>
              </w:rPr>
              <w:t>反不正当竞争法》《</w:t>
            </w:r>
            <w:r>
              <w:rPr>
                <w:rFonts w:hint="eastAsia" w:eastAsia="仿宋"/>
                <w:color w:val="000000"/>
              </w:rPr>
              <w:t>中华人民共和国</w:t>
            </w:r>
            <w:r>
              <w:rPr>
                <w:rFonts w:eastAsia="仿宋"/>
                <w:color w:val="000000"/>
              </w:rPr>
              <w:t>食品安全法》《</w:t>
            </w:r>
            <w:r>
              <w:rPr>
                <w:rFonts w:hint="eastAsia" w:eastAsia="仿宋"/>
                <w:color w:val="000000"/>
              </w:rPr>
              <w:t>中华人民共和国</w:t>
            </w:r>
            <w:r>
              <w:rPr>
                <w:rFonts w:eastAsia="仿宋"/>
                <w:color w:val="000000"/>
              </w:rPr>
              <w:t>产品质量法》《</w:t>
            </w:r>
            <w:r>
              <w:rPr>
                <w:rFonts w:hint="eastAsia" w:eastAsia="仿宋"/>
                <w:color w:val="000000"/>
              </w:rPr>
              <w:t>中华人民共和国</w:t>
            </w:r>
            <w:r>
              <w:rPr>
                <w:rFonts w:eastAsia="仿宋"/>
                <w:color w:val="000000"/>
              </w:rPr>
              <w:t>广告法》《</w:t>
            </w:r>
            <w:r>
              <w:rPr>
                <w:rFonts w:hint="eastAsia" w:eastAsia="仿宋"/>
                <w:color w:val="000000"/>
              </w:rPr>
              <w:t>中华人民共和国</w:t>
            </w:r>
            <w:r>
              <w:rPr>
                <w:rFonts w:eastAsia="仿宋"/>
                <w:color w:val="000000"/>
              </w:rPr>
              <w:t>药品管理法》《</w:t>
            </w:r>
            <w:r>
              <w:rPr>
                <w:rFonts w:hint="eastAsia" w:eastAsia="仿宋"/>
                <w:color w:val="000000"/>
              </w:rPr>
              <w:t>中华人民共和国</w:t>
            </w:r>
            <w:r>
              <w:rPr>
                <w:rFonts w:eastAsia="仿宋"/>
                <w:color w:val="000000"/>
              </w:rPr>
              <w:t>疫苗管理法》《化妆品网络经营监督管理办法》《</w:t>
            </w:r>
            <w:r>
              <w:rPr>
                <w:rFonts w:hint="eastAsia" w:eastAsia="仿宋"/>
                <w:color w:val="000000"/>
              </w:rPr>
              <w:t>中华人民共和国</w:t>
            </w:r>
            <w:r>
              <w:rPr>
                <w:rFonts w:eastAsia="仿宋"/>
                <w:color w:val="000000"/>
              </w:rPr>
              <w:t>特种设备安全法》《</w:t>
            </w:r>
            <w:r>
              <w:rPr>
                <w:rFonts w:hint="eastAsia" w:eastAsia="仿宋"/>
                <w:color w:val="000000"/>
              </w:rPr>
              <w:t>中华人民共和国</w:t>
            </w:r>
            <w:r>
              <w:rPr>
                <w:rFonts w:eastAsia="仿宋"/>
                <w:color w:val="000000"/>
              </w:rPr>
              <w:t>商标法》《</w:t>
            </w:r>
            <w:r>
              <w:rPr>
                <w:rFonts w:hint="eastAsia" w:eastAsia="仿宋"/>
                <w:color w:val="000000"/>
              </w:rPr>
              <w:t>中华人民共和国</w:t>
            </w:r>
            <w:r>
              <w:rPr>
                <w:rFonts w:eastAsia="仿宋"/>
                <w:color w:val="000000"/>
              </w:rPr>
              <w:t>专利法》《</w:t>
            </w:r>
            <w:r>
              <w:rPr>
                <w:rFonts w:hint="eastAsia" w:eastAsia="仿宋"/>
                <w:color w:val="000000"/>
              </w:rPr>
              <w:t>中华人民共和国</w:t>
            </w:r>
            <w:r>
              <w:rPr>
                <w:rFonts w:eastAsia="仿宋"/>
                <w:color w:val="000000"/>
              </w:rPr>
              <w:t>标准化法》《食盐专营办法》《特殊医学用途配方食品标识指南》等市场监督管理相关特别是新公布的法律法规规章。</w:t>
            </w:r>
          </w:p>
        </w:tc>
      </w:tr>
      <w:tr w14:paraId="7C69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493" w:type="dxa"/>
            <w:vMerge w:val="restart"/>
            <w:vAlign w:val="center"/>
          </w:tcPr>
          <w:p w14:paraId="1E4B967F">
            <w:pPr>
              <w:jc w:val="center"/>
              <w:rPr>
                <w:rFonts w:eastAsia="仿宋_GB2312"/>
                <w:color w:val="000000"/>
                <w:szCs w:val="21"/>
              </w:rPr>
            </w:pPr>
            <w:r>
              <w:rPr>
                <w:rFonts w:eastAsia="仿宋"/>
                <w:color w:val="000000"/>
                <w:szCs w:val="21"/>
              </w:rPr>
              <w:t>区统计局</w:t>
            </w:r>
          </w:p>
        </w:tc>
        <w:tc>
          <w:tcPr>
            <w:tcW w:w="493" w:type="dxa"/>
            <w:vAlign w:val="center"/>
          </w:tcPr>
          <w:p w14:paraId="54D94227">
            <w:pPr>
              <w:jc w:val="center"/>
              <w:rPr>
                <w:rFonts w:eastAsia="仿宋_GB2312"/>
                <w:color w:val="000000"/>
                <w:szCs w:val="21"/>
              </w:rPr>
            </w:pPr>
            <w:r>
              <w:rPr>
                <w:rFonts w:eastAsia="仿宋"/>
                <w:color w:val="000000"/>
                <w:szCs w:val="21"/>
              </w:rPr>
              <w:t>1</w:t>
            </w:r>
          </w:p>
        </w:tc>
        <w:tc>
          <w:tcPr>
            <w:tcW w:w="12620" w:type="dxa"/>
            <w:vAlign w:val="center"/>
          </w:tcPr>
          <w:p w14:paraId="2DCBBEF7">
            <w:pPr>
              <w:spacing w:line="280" w:lineRule="exact"/>
              <w:rPr>
                <w:rFonts w:eastAsia="仿宋_GB2312"/>
                <w:color w:val="000000"/>
              </w:rPr>
            </w:pPr>
            <w:r>
              <w:rPr>
                <w:rFonts w:eastAsia="仿宋"/>
                <w:color w:val="000000"/>
              </w:rPr>
              <w:t>积极推进统计法进基层。</w:t>
            </w:r>
          </w:p>
        </w:tc>
      </w:tr>
      <w:tr w14:paraId="2A34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493" w:type="dxa"/>
            <w:vMerge w:val="continue"/>
            <w:vAlign w:val="center"/>
          </w:tcPr>
          <w:p w14:paraId="03D0BAC9">
            <w:pPr>
              <w:jc w:val="center"/>
              <w:rPr>
                <w:rFonts w:eastAsia="仿宋_GB2312"/>
                <w:color w:val="000000"/>
                <w:szCs w:val="21"/>
              </w:rPr>
            </w:pPr>
          </w:p>
        </w:tc>
        <w:tc>
          <w:tcPr>
            <w:tcW w:w="493" w:type="dxa"/>
            <w:vAlign w:val="center"/>
          </w:tcPr>
          <w:p w14:paraId="799A6B16">
            <w:pPr>
              <w:jc w:val="center"/>
              <w:rPr>
                <w:rFonts w:eastAsia="仿宋_GB2312"/>
                <w:color w:val="000000"/>
                <w:szCs w:val="21"/>
              </w:rPr>
            </w:pPr>
            <w:r>
              <w:rPr>
                <w:rFonts w:eastAsia="仿宋"/>
                <w:color w:val="000000"/>
                <w:szCs w:val="21"/>
              </w:rPr>
              <w:t>2</w:t>
            </w:r>
          </w:p>
        </w:tc>
        <w:tc>
          <w:tcPr>
            <w:tcW w:w="12620" w:type="dxa"/>
            <w:vAlign w:val="center"/>
          </w:tcPr>
          <w:p w14:paraId="340B226E">
            <w:pPr>
              <w:spacing w:line="280" w:lineRule="exact"/>
              <w:rPr>
                <w:rFonts w:eastAsia="仿宋_GB2312"/>
                <w:color w:val="000000"/>
              </w:rPr>
            </w:pPr>
            <w:r>
              <w:rPr>
                <w:rFonts w:eastAsia="仿宋"/>
                <w:color w:val="000000"/>
              </w:rPr>
              <w:t>开展统计法集中宣传月活动和12</w:t>
            </w:r>
            <w:r>
              <w:rPr>
                <w:rFonts w:eastAsia="汉仪大黑简"/>
                <w:color w:val="000000"/>
              </w:rPr>
              <w:t>·</w:t>
            </w:r>
            <w:r>
              <w:rPr>
                <w:rFonts w:eastAsia="仿宋"/>
                <w:color w:val="000000"/>
              </w:rPr>
              <w:t>8统计法宣传日活动。</w:t>
            </w:r>
          </w:p>
        </w:tc>
      </w:tr>
      <w:tr w14:paraId="43EC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93" w:type="dxa"/>
            <w:vMerge w:val="restart"/>
            <w:vAlign w:val="center"/>
          </w:tcPr>
          <w:p w14:paraId="3FA2BBAA">
            <w:pPr>
              <w:jc w:val="center"/>
              <w:rPr>
                <w:rFonts w:eastAsia="仿宋_GB2312"/>
                <w:color w:val="000000"/>
                <w:szCs w:val="21"/>
              </w:rPr>
            </w:pPr>
            <w:r>
              <w:rPr>
                <w:rFonts w:eastAsia="仿宋"/>
                <w:color w:val="000000"/>
                <w:szCs w:val="21"/>
              </w:rPr>
              <w:t>区城管执法局</w:t>
            </w:r>
          </w:p>
        </w:tc>
        <w:tc>
          <w:tcPr>
            <w:tcW w:w="493" w:type="dxa"/>
            <w:vAlign w:val="center"/>
          </w:tcPr>
          <w:p w14:paraId="61064FA2">
            <w:pPr>
              <w:jc w:val="center"/>
              <w:rPr>
                <w:rFonts w:eastAsia="仿宋_GB2312"/>
                <w:color w:val="000000"/>
                <w:szCs w:val="21"/>
              </w:rPr>
            </w:pPr>
            <w:r>
              <w:rPr>
                <w:rFonts w:eastAsia="仿宋"/>
                <w:color w:val="000000"/>
                <w:szCs w:val="21"/>
              </w:rPr>
              <w:t>1</w:t>
            </w:r>
          </w:p>
        </w:tc>
        <w:tc>
          <w:tcPr>
            <w:tcW w:w="12620" w:type="dxa"/>
            <w:vAlign w:val="center"/>
          </w:tcPr>
          <w:p w14:paraId="4A29E2C0">
            <w:pPr>
              <w:spacing w:line="280" w:lineRule="exact"/>
              <w:rPr>
                <w:rFonts w:eastAsia="仿宋_GB2312"/>
                <w:color w:val="000000"/>
              </w:rPr>
            </w:pPr>
            <w:r>
              <w:rPr>
                <w:rFonts w:eastAsia="仿宋"/>
                <w:color w:val="000000"/>
              </w:rPr>
              <w:t>在“4</w:t>
            </w:r>
            <w:r>
              <w:rPr>
                <w:rFonts w:eastAsia="汉仪大黑简"/>
                <w:color w:val="000000"/>
              </w:rPr>
              <w:t>·</w:t>
            </w:r>
            <w:r>
              <w:rPr>
                <w:rFonts w:eastAsia="仿宋"/>
                <w:color w:val="000000"/>
              </w:rPr>
              <w:t>15”全民国家安全教育日、青少年法治宣传教育周、“12</w:t>
            </w:r>
            <w:r>
              <w:rPr>
                <w:rFonts w:eastAsia="汉仪大黑简"/>
                <w:color w:val="000000"/>
              </w:rPr>
              <w:t>·</w:t>
            </w:r>
            <w:r>
              <w:rPr>
                <w:rFonts w:eastAsia="仿宋"/>
                <w:color w:val="000000"/>
              </w:rPr>
              <w:t>4”国家宪法日等重大节点，安排城区各主干道户外led屏播放公益普法视频或图片广告，年内不少于3次。</w:t>
            </w:r>
          </w:p>
        </w:tc>
      </w:tr>
      <w:tr w14:paraId="6926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93" w:type="dxa"/>
            <w:vMerge w:val="continue"/>
            <w:vAlign w:val="center"/>
          </w:tcPr>
          <w:p w14:paraId="6D4D93DE">
            <w:pPr>
              <w:jc w:val="center"/>
              <w:rPr>
                <w:rFonts w:eastAsia="仿宋_GB2312"/>
                <w:color w:val="000000"/>
                <w:szCs w:val="21"/>
              </w:rPr>
            </w:pPr>
          </w:p>
        </w:tc>
        <w:tc>
          <w:tcPr>
            <w:tcW w:w="493" w:type="dxa"/>
            <w:vAlign w:val="center"/>
          </w:tcPr>
          <w:p w14:paraId="542E9ED0">
            <w:pPr>
              <w:jc w:val="center"/>
              <w:rPr>
                <w:rFonts w:eastAsia="仿宋_GB2312"/>
                <w:color w:val="000000"/>
                <w:szCs w:val="21"/>
              </w:rPr>
            </w:pPr>
            <w:r>
              <w:rPr>
                <w:rFonts w:eastAsia="仿宋"/>
                <w:color w:val="000000"/>
                <w:szCs w:val="21"/>
              </w:rPr>
              <w:t>2</w:t>
            </w:r>
          </w:p>
        </w:tc>
        <w:tc>
          <w:tcPr>
            <w:tcW w:w="12620" w:type="dxa"/>
            <w:vAlign w:val="center"/>
          </w:tcPr>
          <w:p w14:paraId="1B8F7273">
            <w:pPr>
              <w:spacing w:line="280" w:lineRule="exact"/>
              <w:rPr>
                <w:rFonts w:eastAsia="仿宋_GB2312"/>
                <w:color w:val="000000"/>
              </w:rPr>
            </w:pPr>
            <w:r>
              <w:rPr>
                <w:rFonts w:eastAsia="仿宋"/>
                <w:color w:val="000000"/>
              </w:rPr>
              <w:t>组织全系统行政执法人员开展城市管理综合执法相关法律法规培训，年内不少于1次。</w:t>
            </w:r>
          </w:p>
        </w:tc>
      </w:tr>
      <w:tr w14:paraId="7096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93" w:type="dxa"/>
            <w:vMerge w:val="continue"/>
            <w:vAlign w:val="center"/>
          </w:tcPr>
          <w:p w14:paraId="7E6ECD77">
            <w:pPr>
              <w:jc w:val="center"/>
              <w:rPr>
                <w:rFonts w:eastAsia="仿宋_GB2312"/>
                <w:color w:val="000000"/>
                <w:szCs w:val="21"/>
              </w:rPr>
            </w:pPr>
          </w:p>
        </w:tc>
        <w:tc>
          <w:tcPr>
            <w:tcW w:w="493" w:type="dxa"/>
            <w:vAlign w:val="center"/>
          </w:tcPr>
          <w:p w14:paraId="7BCD3FAB">
            <w:pPr>
              <w:jc w:val="center"/>
              <w:rPr>
                <w:rFonts w:eastAsia="仿宋_GB2312"/>
                <w:color w:val="000000"/>
                <w:szCs w:val="21"/>
              </w:rPr>
            </w:pPr>
            <w:r>
              <w:rPr>
                <w:rFonts w:eastAsia="仿宋"/>
                <w:color w:val="000000"/>
                <w:szCs w:val="21"/>
              </w:rPr>
              <w:t>3</w:t>
            </w:r>
          </w:p>
        </w:tc>
        <w:tc>
          <w:tcPr>
            <w:tcW w:w="12620" w:type="dxa"/>
            <w:vAlign w:val="center"/>
          </w:tcPr>
          <w:p w14:paraId="0C1083A0">
            <w:pPr>
              <w:spacing w:line="280" w:lineRule="exact"/>
              <w:rPr>
                <w:rFonts w:eastAsia="仿宋_GB2312"/>
                <w:color w:val="000000"/>
              </w:rPr>
            </w:pPr>
            <w:r>
              <w:rPr>
                <w:rFonts w:eastAsia="仿宋"/>
                <w:color w:val="000000"/>
              </w:rPr>
              <w:t>在城市管理综合执法工作中，面向执法管理服务对象开展《湖南省城市综合管理条例》《衡阳市城市市容和环境卫生管理条例》等法律法规宣传，提高群众对城管执法工作的理解度、支持度和满意度。</w:t>
            </w:r>
          </w:p>
        </w:tc>
      </w:tr>
      <w:tr w14:paraId="0347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93" w:type="dxa"/>
            <w:vMerge w:val="continue"/>
            <w:vAlign w:val="center"/>
          </w:tcPr>
          <w:p w14:paraId="52C97779">
            <w:pPr>
              <w:jc w:val="center"/>
              <w:rPr>
                <w:rFonts w:eastAsia="仿宋_GB2312"/>
                <w:color w:val="000000"/>
                <w:szCs w:val="21"/>
              </w:rPr>
            </w:pPr>
          </w:p>
        </w:tc>
        <w:tc>
          <w:tcPr>
            <w:tcW w:w="493" w:type="dxa"/>
            <w:vAlign w:val="center"/>
          </w:tcPr>
          <w:p w14:paraId="15F94F13">
            <w:pPr>
              <w:jc w:val="center"/>
              <w:rPr>
                <w:rFonts w:eastAsia="仿宋_GB2312"/>
                <w:color w:val="000000"/>
                <w:szCs w:val="21"/>
              </w:rPr>
            </w:pPr>
            <w:r>
              <w:rPr>
                <w:rFonts w:eastAsia="仿宋"/>
                <w:color w:val="000000"/>
                <w:szCs w:val="21"/>
              </w:rPr>
              <w:t>4</w:t>
            </w:r>
          </w:p>
        </w:tc>
        <w:tc>
          <w:tcPr>
            <w:tcW w:w="12620" w:type="dxa"/>
            <w:vAlign w:val="center"/>
          </w:tcPr>
          <w:p w14:paraId="185B57E2">
            <w:pPr>
              <w:spacing w:line="280" w:lineRule="exact"/>
              <w:rPr>
                <w:rFonts w:eastAsia="仿宋_GB2312"/>
                <w:color w:val="000000"/>
              </w:rPr>
            </w:pPr>
            <w:r>
              <w:rPr>
                <w:rFonts w:eastAsia="仿宋"/>
                <w:color w:val="000000"/>
              </w:rPr>
              <w:t>结合城管业务工作，加强对《城市市容和环境卫生管理条例》《城市绿化条例》《城市供水条例》《城镇排水与污水处理条例》《城镇燃气管理条例》《湖南省燃气管理条例》《湖南省城市综合管理条例》《衡阳市城市市容和环境卫生管理条例》的普法宣传工作。</w:t>
            </w:r>
          </w:p>
        </w:tc>
      </w:tr>
      <w:tr w14:paraId="1F60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93" w:type="dxa"/>
            <w:vMerge w:val="continue"/>
            <w:vAlign w:val="center"/>
          </w:tcPr>
          <w:p w14:paraId="5D942F48">
            <w:pPr>
              <w:jc w:val="center"/>
              <w:rPr>
                <w:rFonts w:eastAsia="仿宋_GB2312"/>
                <w:color w:val="000000"/>
                <w:szCs w:val="21"/>
              </w:rPr>
            </w:pPr>
          </w:p>
        </w:tc>
        <w:tc>
          <w:tcPr>
            <w:tcW w:w="493" w:type="dxa"/>
            <w:vAlign w:val="center"/>
          </w:tcPr>
          <w:p w14:paraId="18E6B2CE">
            <w:pPr>
              <w:jc w:val="center"/>
              <w:rPr>
                <w:rFonts w:eastAsia="仿宋_GB2312"/>
                <w:color w:val="000000"/>
                <w:szCs w:val="21"/>
              </w:rPr>
            </w:pPr>
            <w:r>
              <w:rPr>
                <w:rFonts w:eastAsia="仿宋"/>
                <w:color w:val="000000"/>
                <w:szCs w:val="21"/>
              </w:rPr>
              <w:t>5</w:t>
            </w:r>
          </w:p>
        </w:tc>
        <w:tc>
          <w:tcPr>
            <w:tcW w:w="12620" w:type="dxa"/>
            <w:vAlign w:val="center"/>
          </w:tcPr>
          <w:p w14:paraId="6566448D">
            <w:pPr>
              <w:spacing w:line="280" w:lineRule="exact"/>
              <w:rPr>
                <w:rFonts w:eastAsia="仿宋_GB2312"/>
                <w:color w:val="000000"/>
              </w:rPr>
            </w:pPr>
            <w:r>
              <w:rPr>
                <w:rFonts w:eastAsia="仿宋"/>
                <w:color w:val="000000"/>
              </w:rPr>
              <w:t>开展《衡阳市机动车停车管理条例》法治宣传月活动，</w:t>
            </w:r>
            <w:r>
              <w:rPr>
                <w:rFonts w:eastAsia="仿宋"/>
                <w:color w:val="000000"/>
                <w:lang w:val="zh-CN"/>
              </w:rPr>
              <w:t>组织</w:t>
            </w:r>
            <w:r>
              <w:rPr>
                <w:rFonts w:eastAsia="仿宋"/>
                <w:color w:val="000000"/>
              </w:rPr>
              <w:t>“城管进校园、城管进社区、城管进广场”</w:t>
            </w:r>
            <w:r>
              <w:rPr>
                <w:rFonts w:eastAsia="仿宋"/>
                <w:color w:val="000000"/>
                <w:lang w:val="zh-CN"/>
              </w:rPr>
              <w:t>普法宣传，提高广大群众对新实施法律法规的理解和支持。</w:t>
            </w:r>
          </w:p>
        </w:tc>
      </w:tr>
      <w:tr w14:paraId="3B9D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493" w:type="dxa"/>
            <w:vMerge w:val="restart"/>
            <w:vAlign w:val="center"/>
          </w:tcPr>
          <w:p w14:paraId="5F9277A8">
            <w:pPr>
              <w:jc w:val="center"/>
              <w:rPr>
                <w:rFonts w:eastAsia="仿宋_GB2312"/>
                <w:color w:val="000000"/>
                <w:szCs w:val="21"/>
              </w:rPr>
            </w:pPr>
            <w:r>
              <w:rPr>
                <w:rFonts w:eastAsia="仿宋"/>
                <w:color w:val="000000"/>
                <w:szCs w:val="21"/>
              </w:rPr>
              <w:t>区国动办</w:t>
            </w:r>
          </w:p>
        </w:tc>
        <w:tc>
          <w:tcPr>
            <w:tcW w:w="493" w:type="dxa"/>
            <w:vAlign w:val="center"/>
          </w:tcPr>
          <w:p w14:paraId="11055F78">
            <w:pPr>
              <w:jc w:val="center"/>
              <w:rPr>
                <w:rFonts w:eastAsia="仿宋_GB2312"/>
                <w:color w:val="000000"/>
                <w:szCs w:val="21"/>
              </w:rPr>
            </w:pPr>
            <w:r>
              <w:rPr>
                <w:rFonts w:eastAsia="仿宋"/>
                <w:color w:val="000000"/>
                <w:szCs w:val="21"/>
              </w:rPr>
              <w:t>1</w:t>
            </w:r>
          </w:p>
        </w:tc>
        <w:tc>
          <w:tcPr>
            <w:tcW w:w="12620" w:type="dxa"/>
            <w:vAlign w:val="center"/>
          </w:tcPr>
          <w:p w14:paraId="162C469A">
            <w:pPr>
              <w:spacing w:line="280" w:lineRule="exact"/>
              <w:rPr>
                <w:rFonts w:eastAsia="仿宋_GB2312"/>
                <w:szCs w:val="21"/>
              </w:rPr>
            </w:pPr>
            <w:r>
              <w:rPr>
                <w:rFonts w:eastAsia="仿宋"/>
                <w:szCs w:val="21"/>
              </w:rPr>
              <w:t>将普法宣传融入履行职责各环节，常态化开展普法宣传。</w:t>
            </w:r>
          </w:p>
        </w:tc>
      </w:tr>
      <w:tr w14:paraId="70BB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493" w:type="dxa"/>
            <w:vMerge w:val="continue"/>
            <w:vAlign w:val="center"/>
          </w:tcPr>
          <w:p w14:paraId="1C4A7D0D">
            <w:pPr>
              <w:jc w:val="center"/>
              <w:rPr>
                <w:rFonts w:eastAsia="仿宋_GB2312"/>
                <w:color w:val="000000"/>
                <w:szCs w:val="21"/>
              </w:rPr>
            </w:pPr>
          </w:p>
        </w:tc>
        <w:tc>
          <w:tcPr>
            <w:tcW w:w="493" w:type="dxa"/>
            <w:vAlign w:val="center"/>
          </w:tcPr>
          <w:p w14:paraId="70AC1D82">
            <w:pPr>
              <w:jc w:val="center"/>
              <w:rPr>
                <w:rFonts w:eastAsia="仿宋_GB2312"/>
                <w:color w:val="000000"/>
                <w:szCs w:val="21"/>
              </w:rPr>
            </w:pPr>
            <w:r>
              <w:rPr>
                <w:rFonts w:eastAsia="仿宋"/>
                <w:color w:val="000000"/>
                <w:szCs w:val="21"/>
              </w:rPr>
              <w:t>2</w:t>
            </w:r>
          </w:p>
        </w:tc>
        <w:tc>
          <w:tcPr>
            <w:tcW w:w="12620" w:type="dxa"/>
            <w:vAlign w:val="center"/>
          </w:tcPr>
          <w:p w14:paraId="15F4F080">
            <w:pPr>
              <w:spacing w:line="280" w:lineRule="exact"/>
              <w:rPr>
                <w:rFonts w:eastAsia="仿宋_GB2312"/>
                <w:szCs w:val="21"/>
              </w:rPr>
            </w:pPr>
            <w:r>
              <w:rPr>
                <w:rFonts w:eastAsia="仿宋"/>
                <w:szCs w:val="21"/>
              </w:rPr>
              <w:t>组织本系统内部工作人员学习行政法律法规和国防动员相关法律法规政策。</w:t>
            </w:r>
          </w:p>
        </w:tc>
      </w:tr>
      <w:tr w14:paraId="5D95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493" w:type="dxa"/>
            <w:vMerge w:val="continue"/>
            <w:vAlign w:val="center"/>
          </w:tcPr>
          <w:p w14:paraId="56651632">
            <w:pPr>
              <w:jc w:val="center"/>
              <w:rPr>
                <w:rFonts w:eastAsia="仿宋_GB2312"/>
                <w:color w:val="000000"/>
                <w:szCs w:val="21"/>
              </w:rPr>
            </w:pPr>
          </w:p>
        </w:tc>
        <w:tc>
          <w:tcPr>
            <w:tcW w:w="493" w:type="dxa"/>
            <w:vAlign w:val="center"/>
          </w:tcPr>
          <w:p w14:paraId="7F1155B3">
            <w:pPr>
              <w:jc w:val="center"/>
              <w:rPr>
                <w:rFonts w:eastAsia="仿宋_GB2312"/>
                <w:color w:val="000000"/>
                <w:szCs w:val="21"/>
              </w:rPr>
            </w:pPr>
            <w:r>
              <w:rPr>
                <w:rFonts w:eastAsia="仿宋"/>
                <w:color w:val="000000"/>
                <w:szCs w:val="21"/>
              </w:rPr>
              <w:t>3</w:t>
            </w:r>
          </w:p>
        </w:tc>
        <w:tc>
          <w:tcPr>
            <w:tcW w:w="12620" w:type="dxa"/>
            <w:vAlign w:val="center"/>
          </w:tcPr>
          <w:p w14:paraId="5711B68D">
            <w:pPr>
              <w:spacing w:line="280" w:lineRule="exact"/>
              <w:rPr>
                <w:rFonts w:eastAsia="仿宋_GB2312"/>
                <w:szCs w:val="21"/>
              </w:rPr>
            </w:pPr>
            <w:r>
              <w:rPr>
                <w:rFonts w:eastAsia="仿宋"/>
                <w:szCs w:val="21"/>
              </w:rPr>
              <w:t>围绕重点工作、重点项目建设、重要时间节点开展人防法治宣传活动。</w:t>
            </w:r>
          </w:p>
        </w:tc>
      </w:tr>
      <w:tr w14:paraId="45D8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493" w:type="dxa"/>
            <w:vMerge w:val="continue"/>
            <w:vAlign w:val="center"/>
          </w:tcPr>
          <w:p w14:paraId="3E5C308D">
            <w:pPr>
              <w:jc w:val="center"/>
              <w:rPr>
                <w:rFonts w:eastAsia="仿宋_GB2312"/>
                <w:color w:val="000000"/>
                <w:szCs w:val="21"/>
              </w:rPr>
            </w:pPr>
          </w:p>
        </w:tc>
        <w:tc>
          <w:tcPr>
            <w:tcW w:w="493" w:type="dxa"/>
            <w:vAlign w:val="center"/>
          </w:tcPr>
          <w:p w14:paraId="71BF62D1">
            <w:pPr>
              <w:jc w:val="center"/>
              <w:rPr>
                <w:rFonts w:eastAsia="仿宋_GB2312"/>
                <w:color w:val="000000"/>
                <w:szCs w:val="21"/>
              </w:rPr>
            </w:pPr>
            <w:r>
              <w:rPr>
                <w:rFonts w:eastAsia="仿宋"/>
                <w:color w:val="000000"/>
                <w:szCs w:val="21"/>
              </w:rPr>
              <w:t>4</w:t>
            </w:r>
          </w:p>
        </w:tc>
        <w:tc>
          <w:tcPr>
            <w:tcW w:w="12620" w:type="dxa"/>
            <w:vAlign w:val="center"/>
          </w:tcPr>
          <w:p w14:paraId="563EE4B6">
            <w:pPr>
              <w:spacing w:line="280" w:lineRule="exact"/>
              <w:rPr>
                <w:rFonts w:eastAsia="仿宋_GB2312"/>
                <w:szCs w:val="21"/>
              </w:rPr>
            </w:pPr>
            <w:r>
              <w:rPr>
                <w:rFonts w:eastAsia="仿宋"/>
                <w:szCs w:val="21"/>
              </w:rPr>
              <w:t>开展国防动员法治宣传“五进”活动（进社区、进机关、进网络、进企业、进学校）。</w:t>
            </w:r>
          </w:p>
        </w:tc>
      </w:tr>
      <w:tr w14:paraId="4AE6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493" w:type="dxa"/>
            <w:vMerge w:val="restart"/>
            <w:vAlign w:val="center"/>
          </w:tcPr>
          <w:p w14:paraId="2DF45C9C">
            <w:pPr>
              <w:jc w:val="center"/>
              <w:rPr>
                <w:rFonts w:eastAsia="仿宋_GB2312"/>
                <w:color w:val="000000"/>
                <w:szCs w:val="21"/>
              </w:rPr>
            </w:pPr>
            <w:r>
              <w:rPr>
                <w:rFonts w:eastAsia="仿宋"/>
                <w:color w:val="000000"/>
                <w:szCs w:val="21"/>
              </w:rPr>
              <w:t>区信访局</w:t>
            </w:r>
          </w:p>
        </w:tc>
        <w:tc>
          <w:tcPr>
            <w:tcW w:w="493" w:type="dxa"/>
            <w:vAlign w:val="center"/>
          </w:tcPr>
          <w:p w14:paraId="12919C2D">
            <w:pPr>
              <w:jc w:val="center"/>
              <w:rPr>
                <w:rFonts w:eastAsia="仿宋_GB2312"/>
                <w:color w:val="000000"/>
                <w:szCs w:val="21"/>
              </w:rPr>
            </w:pPr>
            <w:r>
              <w:rPr>
                <w:rFonts w:eastAsia="仿宋"/>
                <w:color w:val="000000"/>
                <w:szCs w:val="21"/>
              </w:rPr>
              <w:t>1</w:t>
            </w:r>
          </w:p>
        </w:tc>
        <w:tc>
          <w:tcPr>
            <w:tcW w:w="12620" w:type="dxa"/>
            <w:vAlign w:val="center"/>
          </w:tcPr>
          <w:p w14:paraId="7721131B">
            <w:pPr>
              <w:spacing w:line="280" w:lineRule="exact"/>
              <w:rPr>
                <w:rFonts w:eastAsia="仿宋_GB2312"/>
                <w:color w:val="000000"/>
                <w:szCs w:val="21"/>
              </w:rPr>
            </w:pPr>
            <w:r>
              <w:rPr>
                <w:rFonts w:eastAsia="仿宋"/>
                <w:szCs w:val="21"/>
              </w:rPr>
              <w:t>开展《信访工作条例》实施一周年主题宣传暨全市第六个信访法治宣传月活动，深入乡村、社区、学校、企业、单位宣传《信访工作条例》和信访法治。</w:t>
            </w:r>
          </w:p>
        </w:tc>
      </w:tr>
      <w:tr w14:paraId="6382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493" w:type="dxa"/>
            <w:vMerge w:val="continue"/>
            <w:vAlign w:val="center"/>
          </w:tcPr>
          <w:p w14:paraId="17F19841">
            <w:pPr>
              <w:jc w:val="center"/>
              <w:rPr>
                <w:rFonts w:eastAsia="仿宋_GB2312"/>
                <w:color w:val="000000"/>
                <w:szCs w:val="21"/>
              </w:rPr>
            </w:pPr>
          </w:p>
        </w:tc>
        <w:tc>
          <w:tcPr>
            <w:tcW w:w="493" w:type="dxa"/>
            <w:vAlign w:val="center"/>
          </w:tcPr>
          <w:p w14:paraId="2A6ABB99">
            <w:pPr>
              <w:jc w:val="center"/>
              <w:rPr>
                <w:rFonts w:eastAsia="仿宋_GB2312"/>
                <w:color w:val="000000"/>
                <w:szCs w:val="21"/>
              </w:rPr>
            </w:pPr>
            <w:r>
              <w:rPr>
                <w:rFonts w:eastAsia="仿宋"/>
                <w:color w:val="000000"/>
                <w:szCs w:val="21"/>
              </w:rPr>
              <w:t>2</w:t>
            </w:r>
          </w:p>
        </w:tc>
        <w:tc>
          <w:tcPr>
            <w:tcW w:w="12620" w:type="dxa"/>
            <w:vAlign w:val="center"/>
          </w:tcPr>
          <w:p w14:paraId="5BABA915">
            <w:pPr>
              <w:spacing w:line="280" w:lineRule="exact"/>
              <w:rPr>
                <w:rFonts w:eastAsia="仿宋_GB2312"/>
                <w:color w:val="000000"/>
                <w:szCs w:val="21"/>
              </w:rPr>
            </w:pPr>
            <w:r>
              <w:rPr>
                <w:rFonts w:eastAsia="仿宋"/>
                <w:szCs w:val="21"/>
              </w:rPr>
              <w:t>结合学习宣传贯彻党的二十大精神，将《信访工作条例》学习宣传纳入普法重要内容，广泛开展宣讲辅导、教育培训。</w:t>
            </w:r>
          </w:p>
        </w:tc>
      </w:tr>
      <w:tr w14:paraId="6798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493" w:type="dxa"/>
            <w:vMerge w:val="continue"/>
            <w:vAlign w:val="center"/>
          </w:tcPr>
          <w:p w14:paraId="1EF2E323">
            <w:pPr>
              <w:jc w:val="center"/>
              <w:rPr>
                <w:rFonts w:eastAsia="仿宋_GB2312"/>
                <w:color w:val="000000"/>
                <w:szCs w:val="21"/>
              </w:rPr>
            </w:pPr>
          </w:p>
        </w:tc>
        <w:tc>
          <w:tcPr>
            <w:tcW w:w="493" w:type="dxa"/>
            <w:vAlign w:val="center"/>
          </w:tcPr>
          <w:p w14:paraId="6700679D">
            <w:pPr>
              <w:jc w:val="center"/>
              <w:rPr>
                <w:rFonts w:eastAsia="仿宋_GB2312"/>
                <w:color w:val="000000"/>
                <w:szCs w:val="21"/>
              </w:rPr>
            </w:pPr>
            <w:r>
              <w:rPr>
                <w:rFonts w:eastAsia="仿宋"/>
                <w:color w:val="000000"/>
                <w:szCs w:val="21"/>
              </w:rPr>
              <w:t>3</w:t>
            </w:r>
          </w:p>
        </w:tc>
        <w:tc>
          <w:tcPr>
            <w:tcW w:w="12620" w:type="dxa"/>
            <w:vAlign w:val="center"/>
          </w:tcPr>
          <w:p w14:paraId="1593F131">
            <w:pPr>
              <w:spacing w:line="280" w:lineRule="exact"/>
              <w:rPr>
                <w:rFonts w:eastAsia="仿宋_GB2312"/>
                <w:color w:val="000000"/>
                <w:szCs w:val="21"/>
              </w:rPr>
            </w:pPr>
            <w:r>
              <w:rPr>
                <w:rFonts w:eastAsia="仿宋"/>
                <w:szCs w:val="21"/>
              </w:rPr>
              <w:t>深入挖掘报道《信访工作条例》实施一年来，全市各级各部门在学习宣传和贯彻落实中取得的成效经验、涌现的先进典型，进一步解读《信访工作条例》内容。</w:t>
            </w:r>
          </w:p>
        </w:tc>
      </w:tr>
      <w:tr w14:paraId="36A5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493" w:type="dxa"/>
            <w:vMerge w:val="restart"/>
            <w:vAlign w:val="center"/>
          </w:tcPr>
          <w:p w14:paraId="657DFD4C">
            <w:pPr>
              <w:jc w:val="center"/>
              <w:rPr>
                <w:rFonts w:eastAsia="仿宋"/>
                <w:color w:val="000000"/>
                <w:szCs w:val="21"/>
              </w:rPr>
            </w:pPr>
            <w:r>
              <w:rPr>
                <w:rFonts w:eastAsia="仿宋"/>
                <w:color w:val="000000"/>
                <w:szCs w:val="21"/>
              </w:rPr>
              <w:t>区医疗</w:t>
            </w:r>
          </w:p>
          <w:p w14:paraId="2D6B3BF4">
            <w:pPr>
              <w:jc w:val="center"/>
              <w:rPr>
                <w:rFonts w:eastAsia="仿宋_GB2312"/>
                <w:color w:val="000000"/>
                <w:szCs w:val="21"/>
              </w:rPr>
            </w:pPr>
            <w:r>
              <w:rPr>
                <w:rFonts w:eastAsia="仿宋"/>
                <w:color w:val="000000"/>
                <w:szCs w:val="21"/>
              </w:rPr>
              <w:t>保障局</w:t>
            </w:r>
          </w:p>
        </w:tc>
        <w:tc>
          <w:tcPr>
            <w:tcW w:w="493" w:type="dxa"/>
            <w:vAlign w:val="center"/>
          </w:tcPr>
          <w:p w14:paraId="05E7D656">
            <w:pPr>
              <w:jc w:val="center"/>
              <w:rPr>
                <w:rFonts w:eastAsia="仿宋_GB2312"/>
                <w:color w:val="000000"/>
                <w:szCs w:val="21"/>
              </w:rPr>
            </w:pPr>
            <w:r>
              <w:rPr>
                <w:rFonts w:eastAsia="仿宋"/>
                <w:color w:val="000000"/>
                <w:szCs w:val="21"/>
              </w:rPr>
              <w:t>1</w:t>
            </w:r>
          </w:p>
        </w:tc>
        <w:tc>
          <w:tcPr>
            <w:tcW w:w="12620" w:type="dxa"/>
            <w:vAlign w:val="center"/>
          </w:tcPr>
          <w:p w14:paraId="2A165ACA">
            <w:pPr>
              <w:rPr>
                <w:rFonts w:eastAsia="仿宋_GB2312"/>
                <w:color w:val="000000"/>
                <w:szCs w:val="21"/>
              </w:rPr>
            </w:pPr>
            <w:r>
              <w:rPr>
                <w:rFonts w:eastAsia="仿宋"/>
                <w:szCs w:val="21"/>
              </w:rPr>
              <w:t>全面开展医保基金监管集中宣传月活动。以“织密基金监管网 共筑医保防护线”为主题，主要围绕医保基金监管相关法律法规及政策解读、打击欺诈骗取医保基金典型案例、欺诈骗取医保基金行为举报渠道和途径等方面开展宣传工作。持续巩固《</w:t>
            </w:r>
            <w:r>
              <w:rPr>
                <w:rFonts w:hint="eastAsia" w:eastAsia="仿宋"/>
                <w:color w:val="000000"/>
              </w:rPr>
              <w:t>中华人民共和国</w:t>
            </w:r>
            <w:r>
              <w:rPr>
                <w:rFonts w:eastAsia="仿宋"/>
                <w:szCs w:val="21"/>
              </w:rPr>
              <w:t>社会保险法》《医疗保障基金使用监督管理条例》宣传成效。</w:t>
            </w:r>
          </w:p>
        </w:tc>
      </w:tr>
      <w:tr w14:paraId="6FAA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493" w:type="dxa"/>
            <w:vMerge w:val="continue"/>
            <w:vAlign w:val="center"/>
          </w:tcPr>
          <w:p w14:paraId="0F786A7D">
            <w:pPr>
              <w:jc w:val="center"/>
              <w:rPr>
                <w:rFonts w:eastAsia="仿宋_GB2312"/>
                <w:color w:val="000000"/>
                <w:szCs w:val="21"/>
              </w:rPr>
            </w:pPr>
          </w:p>
        </w:tc>
        <w:tc>
          <w:tcPr>
            <w:tcW w:w="493" w:type="dxa"/>
            <w:vAlign w:val="center"/>
          </w:tcPr>
          <w:p w14:paraId="199A039F">
            <w:pPr>
              <w:jc w:val="center"/>
              <w:rPr>
                <w:rFonts w:eastAsia="仿宋_GB2312"/>
                <w:color w:val="000000"/>
                <w:szCs w:val="21"/>
              </w:rPr>
            </w:pPr>
            <w:r>
              <w:rPr>
                <w:rFonts w:eastAsia="仿宋"/>
                <w:color w:val="000000"/>
                <w:szCs w:val="21"/>
              </w:rPr>
              <w:t>2</w:t>
            </w:r>
          </w:p>
        </w:tc>
        <w:tc>
          <w:tcPr>
            <w:tcW w:w="12620" w:type="dxa"/>
            <w:vAlign w:val="center"/>
          </w:tcPr>
          <w:p w14:paraId="4489A5CE">
            <w:pPr>
              <w:spacing w:line="280" w:lineRule="exact"/>
              <w:rPr>
                <w:rFonts w:eastAsia="仿宋_GB2312"/>
                <w:color w:val="000000"/>
                <w:szCs w:val="21"/>
              </w:rPr>
            </w:pPr>
            <w:r>
              <w:rPr>
                <w:rFonts w:eastAsia="仿宋"/>
                <w:color w:val="000000"/>
                <w:szCs w:val="21"/>
              </w:rPr>
              <w:t>深入开展医保政策宣传普及活动。重点宣传普及《湖南省城乡居民基本医疗保险实施办法》《湖南省职工基本医疗保险实施办法》《衡阳市职工基本医疗保险门诊共济实施细则》，通过“线上+线下”相结合，充分运用报纸、电视、广播、微信公众号、网站、流动宣传车以及现场发放宣传手册等多种形式，持续开展系列宣传活动。</w:t>
            </w:r>
          </w:p>
        </w:tc>
      </w:tr>
      <w:tr w14:paraId="5853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jc w:val="center"/>
        </w:trPr>
        <w:tc>
          <w:tcPr>
            <w:tcW w:w="493" w:type="dxa"/>
            <w:vMerge w:val="restart"/>
            <w:vAlign w:val="center"/>
          </w:tcPr>
          <w:p w14:paraId="01FF9ABB">
            <w:pPr>
              <w:jc w:val="center"/>
              <w:rPr>
                <w:rFonts w:eastAsia="仿宋_GB2312"/>
                <w:color w:val="000000"/>
                <w:szCs w:val="21"/>
              </w:rPr>
            </w:pPr>
            <w:r>
              <w:rPr>
                <w:rFonts w:eastAsia="仿宋"/>
                <w:color w:val="000000"/>
                <w:szCs w:val="21"/>
              </w:rPr>
              <w:t>区税务局</w:t>
            </w:r>
          </w:p>
        </w:tc>
        <w:tc>
          <w:tcPr>
            <w:tcW w:w="493" w:type="dxa"/>
            <w:vAlign w:val="center"/>
          </w:tcPr>
          <w:p w14:paraId="45DF9F6C">
            <w:pPr>
              <w:jc w:val="center"/>
              <w:rPr>
                <w:rFonts w:eastAsia="仿宋_GB2312"/>
                <w:color w:val="000000"/>
                <w:szCs w:val="21"/>
              </w:rPr>
            </w:pPr>
            <w:r>
              <w:rPr>
                <w:rFonts w:eastAsia="仿宋"/>
                <w:color w:val="000000"/>
                <w:szCs w:val="21"/>
              </w:rPr>
              <w:t>1</w:t>
            </w:r>
          </w:p>
        </w:tc>
        <w:tc>
          <w:tcPr>
            <w:tcW w:w="12620" w:type="dxa"/>
            <w:vAlign w:val="center"/>
          </w:tcPr>
          <w:p w14:paraId="2EF3C183">
            <w:pPr>
              <w:rPr>
                <w:rFonts w:eastAsia="仿宋_GB2312"/>
                <w:color w:val="000000"/>
              </w:rPr>
            </w:pPr>
            <w:r>
              <w:rPr>
                <w:rFonts w:eastAsia="仿宋"/>
                <w:szCs w:val="21"/>
              </w:rPr>
              <w:t>加强税费优惠政策普法宣传。以“税惠千万家 共建现代化”为主题，紧密结合便民办税春风行动、税收宣传月等，组织税务系统全面宣传税务部门在深化税收征管改革、减税降费、优化营商环境等热点普法主题方面的最新政策、服务举措，为支持发展打好发展“六仗”推动经济运行整体向好营造良好的舆论氛围。</w:t>
            </w:r>
          </w:p>
        </w:tc>
      </w:tr>
      <w:tr w14:paraId="7967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493" w:type="dxa"/>
            <w:vMerge w:val="continue"/>
            <w:vAlign w:val="center"/>
          </w:tcPr>
          <w:p w14:paraId="18C0F482">
            <w:pPr>
              <w:jc w:val="center"/>
              <w:rPr>
                <w:rFonts w:eastAsia="仿宋_GB2312"/>
                <w:color w:val="000000"/>
                <w:szCs w:val="21"/>
              </w:rPr>
            </w:pPr>
          </w:p>
        </w:tc>
        <w:tc>
          <w:tcPr>
            <w:tcW w:w="493" w:type="dxa"/>
            <w:vAlign w:val="center"/>
          </w:tcPr>
          <w:p w14:paraId="3D70DFD1">
            <w:pPr>
              <w:jc w:val="center"/>
              <w:rPr>
                <w:rFonts w:eastAsia="仿宋_GB2312"/>
                <w:color w:val="000000"/>
                <w:szCs w:val="21"/>
              </w:rPr>
            </w:pPr>
            <w:r>
              <w:rPr>
                <w:rFonts w:eastAsia="仿宋"/>
                <w:color w:val="000000"/>
                <w:szCs w:val="21"/>
              </w:rPr>
              <w:t>2</w:t>
            </w:r>
          </w:p>
        </w:tc>
        <w:tc>
          <w:tcPr>
            <w:tcW w:w="12620" w:type="dxa"/>
            <w:vAlign w:val="center"/>
          </w:tcPr>
          <w:p w14:paraId="2E471E6F">
            <w:pPr>
              <w:spacing w:line="280" w:lineRule="exact"/>
              <w:rPr>
                <w:rFonts w:eastAsia="仿宋_GB2312"/>
                <w:color w:val="000000"/>
              </w:rPr>
            </w:pPr>
            <w:r>
              <w:rPr>
                <w:rFonts w:eastAsia="仿宋"/>
                <w:szCs w:val="21"/>
              </w:rPr>
              <w:t>建立“税务+校园”普法模式，成立税务青年志愿宣讲队，讲授“微税课”，举办税法知识竞赛，通过税法进校园，联建宣传阵地，激励广大青少年学税法、用税法、护税法，发挥青少年带动家庭、影响社会的法治宣传效应，促进全社会税法遵从度不断提升。</w:t>
            </w:r>
          </w:p>
        </w:tc>
      </w:tr>
      <w:tr w14:paraId="5003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493" w:type="dxa"/>
            <w:vMerge w:val="restart"/>
            <w:vAlign w:val="center"/>
          </w:tcPr>
          <w:p w14:paraId="0984CC9B">
            <w:pPr>
              <w:jc w:val="center"/>
              <w:rPr>
                <w:rFonts w:eastAsia="仿宋_GB2312"/>
                <w:color w:val="000000"/>
                <w:szCs w:val="21"/>
              </w:rPr>
            </w:pPr>
            <w:r>
              <w:rPr>
                <w:rFonts w:eastAsia="仿宋"/>
                <w:color w:val="000000"/>
                <w:szCs w:val="21"/>
              </w:rPr>
              <w:t>区委机关事务中心</w:t>
            </w:r>
          </w:p>
        </w:tc>
        <w:tc>
          <w:tcPr>
            <w:tcW w:w="493" w:type="dxa"/>
            <w:vAlign w:val="center"/>
          </w:tcPr>
          <w:p w14:paraId="46A9F94D">
            <w:pPr>
              <w:jc w:val="center"/>
              <w:rPr>
                <w:rFonts w:eastAsia="仿宋_GB2312"/>
                <w:color w:val="000000"/>
                <w:szCs w:val="21"/>
              </w:rPr>
            </w:pPr>
            <w:r>
              <w:rPr>
                <w:rFonts w:eastAsia="仿宋"/>
                <w:color w:val="000000"/>
                <w:szCs w:val="21"/>
              </w:rPr>
              <w:t>1</w:t>
            </w:r>
          </w:p>
        </w:tc>
        <w:tc>
          <w:tcPr>
            <w:tcW w:w="12620" w:type="dxa"/>
            <w:vAlign w:val="center"/>
          </w:tcPr>
          <w:p w14:paraId="01CDD226">
            <w:pPr>
              <w:spacing w:line="280" w:lineRule="exact"/>
              <w:rPr>
                <w:rFonts w:eastAsia="仿宋_GB2312"/>
                <w:color w:val="000000"/>
              </w:rPr>
            </w:pPr>
            <w:r>
              <w:rPr>
                <w:rFonts w:eastAsia="仿宋"/>
                <w:color w:val="000000"/>
              </w:rPr>
              <w:t>组织开展机关事务法律法规学习宣传。</w:t>
            </w:r>
          </w:p>
        </w:tc>
      </w:tr>
      <w:tr w14:paraId="746A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493" w:type="dxa"/>
            <w:vMerge w:val="continue"/>
            <w:vAlign w:val="center"/>
          </w:tcPr>
          <w:p w14:paraId="363A87EC">
            <w:pPr>
              <w:jc w:val="center"/>
              <w:rPr>
                <w:rFonts w:eastAsia="仿宋_GB2312"/>
                <w:color w:val="000000"/>
                <w:szCs w:val="21"/>
              </w:rPr>
            </w:pPr>
          </w:p>
        </w:tc>
        <w:tc>
          <w:tcPr>
            <w:tcW w:w="493" w:type="dxa"/>
            <w:vAlign w:val="center"/>
          </w:tcPr>
          <w:p w14:paraId="7E7D2C9E">
            <w:pPr>
              <w:jc w:val="center"/>
              <w:rPr>
                <w:rFonts w:eastAsia="仿宋_GB2312"/>
                <w:color w:val="000000"/>
                <w:szCs w:val="21"/>
              </w:rPr>
            </w:pPr>
            <w:r>
              <w:rPr>
                <w:rFonts w:eastAsia="仿宋"/>
                <w:color w:val="000000"/>
                <w:szCs w:val="21"/>
              </w:rPr>
              <w:t>2</w:t>
            </w:r>
          </w:p>
        </w:tc>
        <w:tc>
          <w:tcPr>
            <w:tcW w:w="12620" w:type="dxa"/>
            <w:vAlign w:val="center"/>
          </w:tcPr>
          <w:p w14:paraId="232598F8">
            <w:pPr>
              <w:spacing w:line="280" w:lineRule="exact"/>
              <w:rPr>
                <w:rFonts w:eastAsia="仿宋_GB2312"/>
                <w:color w:val="000000"/>
              </w:rPr>
            </w:pPr>
            <w:r>
              <w:rPr>
                <w:rFonts w:eastAsia="仿宋"/>
                <w:color w:val="000000"/>
              </w:rPr>
              <w:t>组织开展《行政事业性国有资产管理条例》《湖南省党政机关办公用房管理实施办法》《湖南省党政机关公务用车管理实施办法》学习宣传。</w:t>
            </w:r>
          </w:p>
        </w:tc>
      </w:tr>
      <w:tr w14:paraId="2E65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493" w:type="dxa"/>
            <w:vMerge w:val="continue"/>
            <w:vAlign w:val="center"/>
          </w:tcPr>
          <w:p w14:paraId="277674EF">
            <w:pPr>
              <w:jc w:val="center"/>
              <w:rPr>
                <w:rFonts w:eastAsia="仿宋_GB2312"/>
                <w:color w:val="000000"/>
                <w:szCs w:val="21"/>
              </w:rPr>
            </w:pPr>
          </w:p>
        </w:tc>
        <w:tc>
          <w:tcPr>
            <w:tcW w:w="493" w:type="dxa"/>
            <w:vAlign w:val="center"/>
          </w:tcPr>
          <w:p w14:paraId="0670B87D">
            <w:pPr>
              <w:jc w:val="center"/>
              <w:rPr>
                <w:rFonts w:eastAsia="仿宋_GB2312"/>
                <w:color w:val="000000"/>
                <w:szCs w:val="21"/>
              </w:rPr>
            </w:pPr>
            <w:r>
              <w:rPr>
                <w:rFonts w:eastAsia="仿宋"/>
                <w:color w:val="000000"/>
                <w:szCs w:val="21"/>
              </w:rPr>
              <w:t>3</w:t>
            </w:r>
          </w:p>
        </w:tc>
        <w:tc>
          <w:tcPr>
            <w:tcW w:w="12620" w:type="dxa"/>
            <w:vAlign w:val="center"/>
          </w:tcPr>
          <w:p w14:paraId="2D6247B6">
            <w:pPr>
              <w:spacing w:line="280" w:lineRule="exact"/>
              <w:rPr>
                <w:rFonts w:eastAsia="仿宋_GB2312"/>
                <w:color w:val="000000"/>
              </w:rPr>
            </w:pPr>
            <w:r>
              <w:rPr>
                <w:rFonts w:eastAsia="仿宋"/>
                <w:color w:val="000000"/>
              </w:rPr>
              <w:t>组织开展《</w:t>
            </w:r>
            <w:r>
              <w:rPr>
                <w:rFonts w:hint="eastAsia" w:eastAsia="仿宋"/>
                <w:color w:val="000000"/>
              </w:rPr>
              <w:t>中华人民共和国</w:t>
            </w:r>
            <w:r>
              <w:rPr>
                <w:rFonts w:eastAsia="仿宋"/>
                <w:color w:val="000000"/>
              </w:rPr>
              <w:t>反食品浪费法》《公共机构节能条例》学习宣传。</w:t>
            </w:r>
          </w:p>
        </w:tc>
      </w:tr>
      <w:tr w14:paraId="7B15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exact"/>
          <w:jc w:val="center"/>
        </w:trPr>
        <w:tc>
          <w:tcPr>
            <w:tcW w:w="493" w:type="dxa"/>
            <w:vMerge w:val="restart"/>
            <w:vAlign w:val="center"/>
          </w:tcPr>
          <w:p w14:paraId="15B758E8">
            <w:pPr>
              <w:jc w:val="center"/>
              <w:rPr>
                <w:rFonts w:eastAsia="仿宋_GB2312"/>
                <w:color w:val="000000"/>
                <w:szCs w:val="21"/>
              </w:rPr>
            </w:pPr>
            <w:r>
              <w:rPr>
                <w:rFonts w:eastAsia="仿宋"/>
                <w:color w:val="000000"/>
                <w:szCs w:val="21"/>
              </w:rPr>
              <w:t>区行政审批服务局</w:t>
            </w:r>
          </w:p>
        </w:tc>
        <w:tc>
          <w:tcPr>
            <w:tcW w:w="493" w:type="dxa"/>
            <w:vAlign w:val="center"/>
          </w:tcPr>
          <w:p w14:paraId="35DA6844">
            <w:pPr>
              <w:jc w:val="center"/>
              <w:rPr>
                <w:rFonts w:eastAsia="仿宋_GB2312"/>
                <w:color w:val="000000"/>
                <w:szCs w:val="21"/>
              </w:rPr>
            </w:pPr>
            <w:r>
              <w:rPr>
                <w:rFonts w:eastAsia="仿宋"/>
                <w:color w:val="000000"/>
                <w:szCs w:val="21"/>
              </w:rPr>
              <w:t>1</w:t>
            </w:r>
          </w:p>
        </w:tc>
        <w:tc>
          <w:tcPr>
            <w:tcW w:w="12620" w:type="dxa"/>
            <w:vAlign w:val="center"/>
          </w:tcPr>
          <w:p w14:paraId="16DEC415">
            <w:pPr>
              <w:spacing w:line="280" w:lineRule="exact"/>
              <w:rPr>
                <w:rFonts w:eastAsia="仿宋_GB2312"/>
                <w:color w:val="000000"/>
              </w:rPr>
            </w:pPr>
            <w:r>
              <w:rPr>
                <w:rFonts w:eastAsia="仿宋"/>
                <w:color w:val="000000"/>
              </w:rPr>
              <w:t>深入贯彻落实《中华人民共和国政府信息公开条例》，紧紧围绕全国两会和省、市、区经济工作会议精神以及政府工作报告，聚焦社会关切或与群众生产生活密切相关的重大项目和重要政策信息，组织全区各级各部门开展“政务公开主题日”活动。</w:t>
            </w:r>
          </w:p>
        </w:tc>
      </w:tr>
      <w:tr w14:paraId="7CA7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493" w:type="dxa"/>
            <w:vMerge w:val="continue"/>
            <w:vAlign w:val="center"/>
          </w:tcPr>
          <w:p w14:paraId="75D7A61C">
            <w:pPr>
              <w:jc w:val="center"/>
              <w:rPr>
                <w:rFonts w:eastAsia="仿宋_GB2312"/>
                <w:color w:val="000000"/>
                <w:szCs w:val="21"/>
              </w:rPr>
            </w:pPr>
          </w:p>
        </w:tc>
        <w:tc>
          <w:tcPr>
            <w:tcW w:w="493" w:type="dxa"/>
            <w:vAlign w:val="center"/>
          </w:tcPr>
          <w:p w14:paraId="6D0C792E">
            <w:pPr>
              <w:jc w:val="center"/>
              <w:rPr>
                <w:rFonts w:eastAsia="仿宋_GB2312"/>
                <w:color w:val="000000"/>
                <w:szCs w:val="21"/>
              </w:rPr>
            </w:pPr>
            <w:r>
              <w:rPr>
                <w:rFonts w:eastAsia="仿宋"/>
                <w:color w:val="000000"/>
                <w:szCs w:val="21"/>
              </w:rPr>
              <w:t>2</w:t>
            </w:r>
          </w:p>
        </w:tc>
        <w:tc>
          <w:tcPr>
            <w:tcW w:w="12620" w:type="dxa"/>
            <w:vAlign w:val="center"/>
          </w:tcPr>
          <w:p w14:paraId="1291C10A">
            <w:pPr>
              <w:spacing w:line="280" w:lineRule="exact"/>
              <w:rPr>
                <w:rFonts w:eastAsia="仿宋_GB2312"/>
                <w:color w:val="000000"/>
              </w:rPr>
            </w:pPr>
            <w:r>
              <w:rPr>
                <w:rFonts w:eastAsia="仿宋"/>
                <w:color w:val="000000"/>
              </w:rPr>
              <w:t>在区政务服务中心大厅开展普法宣传。</w:t>
            </w:r>
          </w:p>
        </w:tc>
      </w:tr>
      <w:tr w14:paraId="3005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493" w:type="dxa"/>
            <w:vMerge w:val="restart"/>
            <w:vAlign w:val="center"/>
          </w:tcPr>
          <w:p w14:paraId="3C81F3C5">
            <w:pPr>
              <w:jc w:val="center"/>
              <w:rPr>
                <w:rFonts w:eastAsia="仿宋_GB2312"/>
                <w:color w:val="000000"/>
                <w:szCs w:val="21"/>
              </w:rPr>
            </w:pPr>
            <w:r>
              <w:rPr>
                <w:rFonts w:eastAsia="仿宋"/>
                <w:color w:val="000000"/>
                <w:szCs w:val="21"/>
              </w:rPr>
              <w:t>区总工会</w:t>
            </w:r>
          </w:p>
        </w:tc>
        <w:tc>
          <w:tcPr>
            <w:tcW w:w="493" w:type="dxa"/>
            <w:vAlign w:val="center"/>
          </w:tcPr>
          <w:p w14:paraId="6071B3E4">
            <w:pPr>
              <w:jc w:val="center"/>
              <w:rPr>
                <w:rFonts w:eastAsia="仿宋_GB2312"/>
                <w:color w:val="000000"/>
                <w:szCs w:val="21"/>
              </w:rPr>
            </w:pPr>
            <w:r>
              <w:rPr>
                <w:rFonts w:eastAsia="仿宋"/>
                <w:color w:val="000000"/>
                <w:szCs w:val="21"/>
              </w:rPr>
              <w:t>1</w:t>
            </w:r>
          </w:p>
        </w:tc>
        <w:tc>
          <w:tcPr>
            <w:tcW w:w="12620" w:type="dxa"/>
            <w:vAlign w:val="center"/>
          </w:tcPr>
          <w:p w14:paraId="050F1E2E">
            <w:pPr>
              <w:rPr>
                <w:rFonts w:eastAsia="仿宋_GB2312"/>
                <w:color w:val="000000"/>
                <w:szCs w:val="21"/>
              </w:rPr>
            </w:pPr>
            <w:r>
              <w:rPr>
                <w:rFonts w:eastAsia="仿宋"/>
                <w:color w:val="000000"/>
                <w:szCs w:val="21"/>
              </w:rPr>
              <w:t>开展2023年度“尊法守法 携手筑梦”公益法律服务行动。</w:t>
            </w:r>
          </w:p>
        </w:tc>
      </w:tr>
      <w:tr w14:paraId="4CBF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493" w:type="dxa"/>
            <w:vMerge w:val="continue"/>
            <w:vAlign w:val="center"/>
          </w:tcPr>
          <w:p w14:paraId="5BC72021">
            <w:pPr>
              <w:jc w:val="center"/>
              <w:rPr>
                <w:rFonts w:eastAsia="仿宋_GB2312"/>
                <w:color w:val="000000"/>
                <w:szCs w:val="21"/>
              </w:rPr>
            </w:pPr>
          </w:p>
        </w:tc>
        <w:tc>
          <w:tcPr>
            <w:tcW w:w="493" w:type="dxa"/>
            <w:vAlign w:val="center"/>
          </w:tcPr>
          <w:p w14:paraId="01287007">
            <w:pPr>
              <w:jc w:val="center"/>
              <w:rPr>
                <w:rFonts w:eastAsia="仿宋_GB2312"/>
                <w:color w:val="000000"/>
                <w:szCs w:val="21"/>
              </w:rPr>
            </w:pPr>
            <w:r>
              <w:rPr>
                <w:rFonts w:eastAsia="仿宋"/>
                <w:color w:val="000000"/>
                <w:szCs w:val="21"/>
              </w:rPr>
              <w:t>2</w:t>
            </w:r>
          </w:p>
        </w:tc>
        <w:tc>
          <w:tcPr>
            <w:tcW w:w="12620" w:type="dxa"/>
            <w:vAlign w:val="center"/>
          </w:tcPr>
          <w:p w14:paraId="075E6E73">
            <w:pPr>
              <w:spacing w:line="280" w:lineRule="exact"/>
              <w:rPr>
                <w:rFonts w:eastAsia="仿宋_GB2312"/>
                <w:color w:val="000000"/>
              </w:rPr>
            </w:pPr>
            <w:r>
              <w:rPr>
                <w:rFonts w:eastAsia="仿宋"/>
                <w:color w:val="000000"/>
              </w:rPr>
              <w:t>组织选拔人员参加省总工资集体协商竞赛，普及工资集体协商知识。</w:t>
            </w:r>
          </w:p>
        </w:tc>
      </w:tr>
      <w:tr w14:paraId="0534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493" w:type="dxa"/>
            <w:vMerge w:val="continue"/>
            <w:vAlign w:val="center"/>
          </w:tcPr>
          <w:p w14:paraId="78A28D98">
            <w:pPr>
              <w:jc w:val="center"/>
              <w:rPr>
                <w:rFonts w:eastAsia="仿宋_GB2312"/>
                <w:color w:val="000000"/>
                <w:szCs w:val="21"/>
              </w:rPr>
            </w:pPr>
          </w:p>
        </w:tc>
        <w:tc>
          <w:tcPr>
            <w:tcW w:w="493" w:type="dxa"/>
            <w:vAlign w:val="center"/>
          </w:tcPr>
          <w:p w14:paraId="0F1EFB8E">
            <w:pPr>
              <w:jc w:val="center"/>
              <w:rPr>
                <w:rFonts w:eastAsia="仿宋_GB2312"/>
                <w:color w:val="000000"/>
                <w:szCs w:val="21"/>
              </w:rPr>
            </w:pPr>
            <w:r>
              <w:rPr>
                <w:rFonts w:eastAsia="仿宋"/>
                <w:color w:val="000000"/>
                <w:szCs w:val="21"/>
              </w:rPr>
              <w:t>3</w:t>
            </w:r>
          </w:p>
        </w:tc>
        <w:tc>
          <w:tcPr>
            <w:tcW w:w="12620" w:type="dxa"/>
            <w:vAlign w:val="center"/>
          </w:tcPr>
          <w:p w14:paraId="32A52977">
            <w:pPr>
              <w:spacing w:line="280" w:lineRule="exact"/>
              <w:rPr>
                <w:rFonts w:eastAsia="仿宋_GB2312"/>
                <w:color w:val="000000"/>
              </w:rPr>
            </w:pPr>
            <w:r>
              <w:rPr>
                <w:rFonts w:eastAsia="仿宋"/>
                <w:color w:val="000000"/>
              </w:rPr>
              <w:t>开展“法院+人社+工会”劳动争议多元化解工作。</w:t>
            </w:r>
          </w:p>
        </w:tc>
      </w:tr>
      <w:tr w14:paraId="6ED5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493" w:type="dxa"/>
            <w:vMerge w:val="restart"/>
            <w:vAlign w:val="center"/>
          </w:tcPr>
          <w:p w14:paraId="494D1450">
            <w:pPr>
              <w:jc w:val="center"/>
              <w:rPr>
                <w:rFonts w:eastAsia="仿宋_GB2312"/>
                <w:color w:val="000000"/>
                <w:szCs w:val="21"/>
              </w:rPr>
            </w:pPr>
            <w:r>
              <w:rPr>
                <w:rFonts w:eastAsia="仿宋"/>
                <w:color w:val="000000"/>
                <w:szCs w:val="21"/>
              </w:rPr>
              <w:t>区工商联</w:t>
            </w:r>
          </w:p>
        </w:tc>
        <w:tc>
          <w:tcPr>
            <w:tcW w:w="493" w:type="dxa"/>
            <w:vAlign w:val="center"/>
          </w:tcPr>
          <w:p w14:paraId="2D110C4B">
            <w:pPr>
              <w:jc w:val="center"/>
              <w:rPr>
                <w:rFonts w:eastAsia="仿宋_GB2312"/>
                <w:color w:val="000000"/>
                <w:szCs w:val="21"/>
              </w:rPr>
            </w:pPr>
            <w:r>
              <w:rPr>
                <w:rFonts w:eastAsia="仿宋"/>
                <w:color w:val="000000"/>
                <w:szCs w:val="21"/>
              </w:rPr>
              <w:t>1</w:t>
            </w:r>
          </w:p>
        </w:tc>
        <w:tc>
          <w:tcPr>
            <w:tcW w:w="12620" w:type="dxa"/>
            <w:vAlign w:val="center"/>
          </w:tcPr>
          <w:p w14:paraId="02115AD0">
            <w:pPr>
              <w:spacing w:line="280" w:lineRule="exact"/>
              <w:rPr>
                <w:rFonts w:eastAsia="仿宋_GB2312"/>
                <w:color w:val="000000"/>
              </w:rPr>
            </w:pPr>
            <w:r>
              <w:rPr>
                <w:rFonts w:eastAsia="仿宋"/>
                <w:color w:val="000000"/>
              </w:rPr>
              <w:t>健全法律服务工作站、完善涉案企业合规第三方监督评估机制管理委员会成员单位，协调解决企业法律纠纷，提供法律服务，推动商会人民调解工作。</w:t>
            </w:r>
          </w:p>
        </w:tc>
      </w:tr>
      <w:tr w14:paraId="03FF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493" w:type="dxa"/>
            <w:vMerge w:val="continue"/>
            <w:vAlign w:val="center"/>
          </w:tcPr>
          <w:p w14:paraId="11CB2294">
            <w:pPr>
              <w:jc w:val="center"/>
              <w:rPr>
                <w:rFonts w:eastAsia="仿宋_GB2312"/>
                <w:color w:val="000000"/>
                <w:szCs w:val="21"/>
              </w:rPr>
            </w:pPr>
          </w:p>
        </w:tc>
        <w:tc>
          <w:tcPr>
            <w:tcW w:w="493" w:type="dxa"/>
            <w:vAlign w:val="center"/>
          </w:tcPr>
          <w:p w14:paraId="38FA4056">
            <w:pPr>
              <w:jc w:val="center"/>
              <w:rPr>
                <w:rFonts w:eastAsia="仿宋_GB2312"/>
                <w:color w:val="000000"/>
                <w:szCs w:val="21"/>
              </w:rPr>
            </w:pPr>
            <w:r>
              <w:rPr>
                <w:rFonts w:eastAsia="仿宋"/>
                <w:color w:val="000000"/>
                <w:szCs w:val="21"/>
              </w:rPr>
              <w:t>2</w:t>
            </w:r>
          </w:p>
        </w:tc>
        <w:tc>
          <w:tcPr>
            <w:tcW w:w="12620" w:type="dxa"/>
            <w:vAlign w:val="center"/>
          </w:tcPr>
          <w:p w14:paraId="73830266">
            <w:pPr>
              <w:spacing w:line="280" w:lineRule="exact"/>
              <w:rPr>
                <w:rFonts w:eastAsia="仿宋_GB2312"/>
                <w:color w:val="000000"/>
              </w:rPr>
            </w:pPr>
            <w:r>
              <w:rPr>
                <w:rFonts w:eastAsia="仿宋"/>
                <w:color w:val="000000"/>
              </w:rPr>
              <w:t>持续开展“法律三进”活动，深化“万所联万会”机制，帮助会员企业提高防范风险、化解危机能力，提升工商联工作规范化、法治化水平。</w:t>
            </w:r>
          </w:p>
        </w:tc>
      </w:tr>
      <w:tr w14:paraId="706A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493" w:type="dxa"/>
            <w:vMerge w:val="restart"/>
            <w:vAlign w:val="center"/>
          </w:tcPr>
          <w:p w14:paraId="0DB821AD">
            <w:pPr>
              <w:jc w:val="center"/>
              <w:rPr>
                <w:rFonts w:eastAsia="仿宋_GB2312"/>
                <w:color w:val="000000"/>
                <w:szCs w:val="21"/>
              </w:rPr>
            </w:pPr>
            <w:r>
              <w:rPr>
                <w:rFonts w:eastAsia="仿宋"/>
                <w:color w:val="000000"/>
                <w:szCs w:val="21"/>
              </w:rPr>
              <w:t>团区委</w:t>
            </w:r>
          </w:p>
        </w:tc>
        <w:tc>
          <w:tcPr>
            <w:tcW w:w="493" w:type="dxa"/>
            <w:vAlign w:val="center"/>
          </w:tcPr>
          <w:p w14:paraId="6BF0B346">
            <w:pPr>
              <w:jc w:val="center"/>
              <w:rPr>
                <w:rFonts w:eastAsia="仿宋_GB2312"/>
                <w:color w:val="000000"/>
                <w:szCs w:val="21"/>
              </w:rPr>
            </w:pPr>
            <w:r>
              <w:rPr>
                <w:rFonts w:eastAsia="仿宋"/>
                <w:color w:val="000000"/>
                <w:szCs w:val="21"/>
              </w:rPr>
              <w:t>1</w:t>
            </w:r>
          </w:p>
        </w:tc>
        <w:tc>
          <w:tcPr>
            <w:tcW w:w="12620" w:type="dxa"/>
            <w:vAlign w:val="center"/>
          </w:tcPr>
          <w:p w14:paraId="0C1A84EF">
            <w:pPr>
              <w:spacing w:line="280" w:lineRule="exact"/>
              <w:ind w:firstLine="105" w:firstLineChars="50"/>
              <w:rPr>
                <w:rFonts w:eastAsia="仿宋_GB2312"/>
              </w:rPr>
            </w:pPr>
            <w:r>
              <w:rPr>
                <w:rFonts w:eastAsia="仿宋"/>
              </w:rPr>
              <w:t>广泛运用新媒体平台，结合服务型团组织建设，强化法治宣传，加强青少年群体的法治教育。</w:t>
            </w:r>
          </w:p>
        </w:tc>
      </w:tr>
      <w:tr w14:paraId="5832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493" w:type="dxa"/>
            <w:vMerge w:val="continue"/>
            <w:vAlign w:val="center"/>
          </w:tcPr>
          <w:p w14:paraId="428CD181">
            <w:pPr>
              <w:jc w:val="center"/>
              <w:rPr>
                <w:rFonts w:eastAsia="仿宋_GB2312"/>
                <w:color w:val="000000"/>
                <w:szCs w:val="21"/>
              </w:rPr>
            </w:pPr>
          </w:p>
        </w:tc>
        <w:tc>
          <w:tcPr>
            <w:tcW w:w="493" w:type="dxa"/>
            <w:vAlign w:val="center"/>
          </w:tcPr>
          <w:p w14:paraId="2F4E0D9E">
            <w:pPr>
              <w:jc w:val="center"/>
              <w:rPr>
                <w:rFonts w:eastAsia="仿宋_GB2312"/>
                <w:color w:val="000000"/>
                <w:szCs w:val="21"/>
              </w:rPr>
            </w:pPr>
            <w:r>
              <w:rPr>
                <w:rFonts w:eastAsia="仿宋"/>
                <w:color w:val="000000"/>
                <w:szCs w:val="21"/>
              </w:rPr>
              <w:t>2</w:t>
            </w:r>
          </w:p>
        </w:tc>
        <w:tc>
          <w:tcPr>
            <w:tcW w:w="12620" w:type="dxa"/>
            <w:vAlign w:val="center"/>
          </w:tcPr>
          <w:p w14:paraId="606D3260">
            <w:pPr>
              <w:spacing w:line="280" w:lineRule="exact"/>
              <w:rPr>
                <w:rFonts w:eastAsia="仿宋_GB2312"/>
              </w:rPr>
            </w:pPr>
            <w:r>
              <w:rPr>
                <w:rFonts w:eastAsia="仿宋"/>
              </w:rPr>
              <w:t>开展12355“青春自护”法治宣传活动，在青少年群体中专题开展《</w:t>
            </w:r>
            <w:r>
              <w:rPr>
                <w:rFonts w:hint="eastAsia" w:eastAsia="仿宋"/>
                <w:color w:val="000000"/>
              </w:rPr>
              <w:t>中华人民共和国</w:t>
            </w:r>
            <w:r>
              <w:rPr>
                <w:rFonts w:eastAsia="仿宋"/>
              </w:rPr>
              <w:t>未成年人保护法》《</w:t>
            </w:r>
            <w:r>
              <w:rPr>
                <w:rFonts w:hint="eastAsia" w:eastAsia="仿宋"/>
                <w:color w:val="000000"/>
              </w:rPr>
              <w:t>中华人民共和国</w:t>
            </w:r>
            <w:r>
              <w:rPr>
                <w:rFonts w:eastAsia="仿宋"/>
              </w:rPr>
              <w:t>预防未成年人犯罪法》普法宣传、防性侵、防校园欺凌、禁毒防艾等促进青少年健康成长的专项法治宣传教育。</w:t>
            </w:r>
          </w:p>
        </w:tc>
      </w:tr>
      <w:tr w14:paraId="323C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493" w:type="dxa"/>
            <w:vMerge w:val="continue"/>
            <w:vAlign w:val="center"/>
          </w:tcPr>
          <w:p w14:paraId="21A97FFF">
            <w:pPr>
              <w:jc w:val="center"/>
              <w:rPr>
                <w:rFonts w:eastAsia="仿宋_GB2312"/>
                <w:color w:val="000000"/>
                <w:szCs w:val="21"/>
              </w:rPr>
            </w:pPr>
          </w:p>
        </w:tc>
        <w:tc>
          <w:tcPr>
            <w:tcW w:w="493" w:type="dxa"/>
            <w:vAlign w:val="center"/>
          </w:tcPr>
          <w:p w14:paraId="7EA02F47">
            <w:pPr>
              <w:jc w:val="center"/>
              <w:rPr>
                <w:rFonts w:eastAsia="仿宋_GB2312"/>
                <w:color w:val="000000"/>
                <w:szCs w:val="21"/>
              </w:rPr>
            </w:pPr>
            <w:r>
              <w:rPr>
                <w:rFonts w:eastAsia="仿宋"/>
                <w:color w:val="000000"/>
                <w:szCs w:val="21"/>
              </w:rPr>
              <w:t>3</w:t>
            </w:r>
          </w:p>
        </w:tc>
        <w:tc>
          <w:tcPr>
            <w:tcW w:w="12620" w:type="dxa"/>
            <w:vAlign w:val="center"/>
          </w:tcPr>
          <w:p w14:paraId="6242A83C">
            <w:pPr>
              <w:spacing w:line="280" w:lineRule="exact"/>
              <w:rPr>
                <w:rFonts w:eastAsia="仿宋_GB2312"/>
              </w:rPr>
            </w:pPr>
            <w:r>
              <w:rPr>
                <w:rFonts w:eastAsia="仿宋"/>
              </w:rPr>
              <w:t>联合区司法局、区教育局，共同组织开展全区青少年法治宣传教育周活动。</w:t>
            </w:r>
          </w:p>
        </w:tc>
      </w:tr>
      <w:tr w14:paraId="4A64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493" w:type="dxa"/>
            <w:vMerge w:val="continue"/>
            <w:vAlign w:val="center"/>
          </w:tcPr>
          <w:p w14:paraId="6467C15E">
            <w:pPr>
              <w:jc w:val="center"/>
              <w:rPr>
                <w:rFonts w:eastAsia="仿宋_GB2312"/>
                <w:color w:val="000000"/>
                <w:szCs w:val="21"/>
              </w:rPr>
            </w:pPr>
          </w:p>
        </w:tc>
        <w:tc>
          <w:tcPr>
            <w:tcW w:w="493" w:type="dxa"/>
            <w:vAlign w:val="center"/>
          </w:tcPr>
          <w:p w14:paraId="7B72226A">
            <w:pPr>
              <w:jc w:val="center"/>
              <w:rPr>
                <w:rFonts w:eastAsia="仿宋_GB2312"/>
                <w:color w:val="000000"/>
                <w:szCs w:val="21"/>
              </w:rPr>
            </w:pPr>
            <w:r>
              <w:rPr>
                <w:rFonts w:eastAsia="仿宋"/>
                <w:color w:val="000000"/>
                <w:szCs w:val="21"/>
              </w:rPr>
              <w:t>4</w:t>
            </w:r>
          </w:p>
        </w:tc>
        <w:tc>
          <w:tcPr>
            <w:tcW w:w="12620" w:type="dxa"/>
            <w:vAlign w:val="center"/>
          </w:tcPr>
          <w:p w14:paraId="649F3298">
            <w:pPr>
              <w:spacing w:line="280" w:lineRule="exact"/>
              <w:rPr>
                <w:rFonts w:eastAsia="仿宋_GB2312"/>
              </w:rPr>
            </w:pPr>
            <w:r>
              <w:rPr>
                <w:rFonts w:eastAsia="仿宋"/>
              </w:rPr>
              <w:t>深化“维护青少年权益岗”和“双零社区”创建工作，营造有利于青少年健康成长的社会环境。</w:t>
            </w:r>
          </w:p>
        </w:tc>
      </w:tr>
      <w:tr w14:paraId="412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493" w:type="dxa"/>
            <w:vMerge w:val="continue"/>
            <w:vAlign w:val="center"/>
          </w:tcPr>
          <w:p w14:paraId="1955BE89">
            <w:pPr>
              <w:jc w:val="center"/>
              <w:rPr>
                <w:rFonts w:eastAsia="仿宋_GB2312"/>
                <w:color w:val="000000"/>
                <w:szCs w:val="21"/>
              </w:rPr>
            </w:pPr>
          </w:p>
        </w:tc>
        <w:tc>
          <w:tcPr>
            <w:tcW w:w="493" w:type="dxa"/>
            <w:vAlign w:val="center"/>
          </w:tcPr>
          <w:p w14:paraId="097B4FC9">
            <w:pPr>
              <w:jc w:val="center"/>
              <w:rPr>
                <w:rFonts w:eastAsia="仿宋_GB2312"/>
                <w:color w:val="000000"/>
                <w:szCs w:val="21"/>
              </w:rPr>
            </w:pPr>
            <w:r>
              <w:rPr>
                <w:rFonts w:eastAsia="仿宋"/>
                <w:color w:val="000000"/>
                <w:szCs w:val="21"/>
              </w:rPr>
              <w:t>5</w:t>
            </w:r>
          </w:p>
        </w:tc>
        <w:tc>
          <w:tcPr>
            <w:tcW w:w="12620" w:type="dxa"/>
            <w:vAlign w:val="center"/>
          </w:tcPr>
          <w:p w14:paraId="5AB08678">
            <w:pPr>
              <w:spacing w:line="280" w:lineRule="exact"/>
              <w:rPr>
                <w:rFonts w:eastAsia="仿宋_GB2312"/>
              </w:rPr>
            </w:pPr>
            <w:r>
              <w:rPr>
                <w:rFonts w:eastAsia="仿宋"/>
              </w:rPr>
              <w:t>结合大中专学生志愿者暑期“三下乡”社会实践活动、“雁回衡阳”返乡大学生志愿服务活动等持续开展送法下乡活动。</w:t>
            </w:r>
          </w:p>
        </w:tc>
      </w:tr>
      <w:tr w14:paraId="1D54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493" w:type="dxa"/>
            <w:vMerge w:val="restart"/>
            <w:vAlign w:val="center"/>
          </w:tcPr>
          <w:p w14:paraId="0B50812C">
            <w:pPr>
              <w:jc w:val="center"/>
              <w:rPr>
                <w:rFonts w:eastAsia="仿宋_GB2312"/>
                <w:color w:val="000000"/>
                <w:szCs w:val="21"/>
              </w:rPr>
            </w:pPr>
            <w:r>
              <w:rPr>
                <w:rFonts w:eastAsia="仿宋"/>
                <w:color w:val="000000"/>
                <w:szCs w:val="21"/>
              </w:rPr>
              <w:t>区妇联</w:t>
            </w:r>
          </w:p>
        </w:tc>
        <w:tc>
          <w:tcPr>
            <w:tcW w:w="493" w:type="dxa"/>
            <w:vAlign w:val="center"/>
          </w:tcPr>
          <w:p w14:paraId="2A7821B8">
            <w:pPr>
              <w:jc w:val="center"/>
              <w:rPr>
                <w:rFonts w:eastAsia="仿宋_GB2312"/>
                <w:color w:val="000000"/>
                <w:szCs w:val="21"/>
              </w:rPr>
            </w:pPr>
            <w:r>
              <w:rPr>
                <w:rFonts w:eastAsia="仿宋"/>
                <w:color w:val="000000"/>
                <w:szCs w:val="21"/>
              </w:rPr>
              <w:t>1</w:t>
            </w:r>
          </w:p>
        </w:tc>
        <w:tc>
          <w:tcPr>
            <w:tcW w:w="12620" w:type="dxa"/>
            <w:vAlign w:val="center"/>
          </w:tcPr>
          <w:p w14:paraId="5DB2542D">
            <w:pPr>
              <w:spacing w:line="280" w:lineRule="exact"/>
              <w:rPr>
                <w:rFonts w:eastAsia="仿宋_GB2312"/>
                <w:color w:val="000000"/>
                <w:szCs w:val="21"/>
              </w:rPr>
            </w:pPr>
            <w:r>
              <w:rPr>
                <w:rFonts w:eastAsia="仿宋"/>
                <w:color w:val="000000"/>
                <w:szCs w:val="21"/>
              </w:rPr>
              <w:t>利用“3</w:t>
            </w:r>
            <w:r>
              <w:rPr>
                <w:rFonts w:eastAsia="汉仪大黑简"/>
                <w:color w:val="000000"/>
              </w:rPr>
              <w:t>·</w:t>
            </w:r>
            <w:r>
              <w:rPr>
                <w:rFonts w:eastAsia="仿宋"/>
                <w:color w:val="000000"/>
                <w:szCs w:val="21"/>
              </w:rPr>
              <w:t>8”维权周开展维权普法活动，加强对《</w:t>
            </w:r>
            <w:r>
              <w:rPr>
                <w:rFonts w:hint="eastAsia" w:eastAsia="仿宋"/>
                <w:color w:val="000000"/>
              </w:rPr>
              <w:t>中华人民共和国</w:t>
            </w:r>
            <w:r>
              <w:rPr>
                <w:rFonts w:eastAsia="仿宋"/>
                <w:color w:val="000000"/>
                <w:szCs w:val="21"/>
              </w:rPr>
              <w:t>民法典》、《</w:t>
            </w:r>
            <w:r>
              <w:rPr>
                <w:rFonts w:hint="eastAsia" w:eastAsia="仿宋"/>
                <w:color w:val="000000"/>
              </w:rPr>
              <w:t>中华人民共和国</w:t>
            </w:r>
            <w:r>
              <w:rPr>
                <w:rFonts w:eastAsia="仿宋"/>
                <w:color w:val="000000"/>
                <w:szCs w:val="21"/>
              </w:rPr>
              <w:t>妇女权益保障法》、《</w:t>
            </w:r>
            <w:r>
              <w:rPr>
                <w:rFonts w:hint="eastAsia" w:eastAsia="仿宋"/>
                <w:color w:val="000000"/>
              </w:rPr>
              <w:t>中华人民共和国</w:t>
            </w:r>
            <w:r>
              <w:rPr>
                <w:rFonts w:eastAsia="仿宋"/>
                <w:color w:val="000000"/>
                <w:szCs w:val="21"/>
              </w:rPr>
              <w:t>反家庭暴力法》、《</w:t>
            </w:r>
            <w:r>
              <w:rPr>
                <w:rFonts w:hint="eastAsia" w:eastAsia="仿宋"/>
                <w:color w:val="000000"/>
              </w:rPr>
              <w:t>中华人民共和国</w:t>
            </w:r>
            <w:r>
              <w:rPr>
                <w:rFonts w:eastAsia="仿宋"/>
                <w:color w:val="000000"/>
                <w:szCs w:val="21"/>
              </w:rPr>
              <w:t>未成年人保护法》等法律法规的宣传。</w:t>
            </w:r>
          </w:p>
        </w:tc>
      </w:tr>
      <w:tr w14:paraId="3A71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493" w:type="dxa"/>
            <w:vMerge w:val="continue"/>
            <w:vAlign w:val="center"/>
          </w:tcPr>
          <w:p w14:paraId="429003A8">
            <w:pPr>
              <w:jc w:val="center"/>
              <w:rPr>
                <w:rFonts w:eastAsia="仿宋_GB2312"/>
                <w:color w:val="000000"/>
                <w:szCs w:val="21"/>
              </w:rPr>
            </w:pPr>
          </w:p>
        </w:tc>
        <w:tc>
          <w:tcPr>
            <w:tcW w:w="493" w:type="dxa"/>
            <w:vAlign w:val="center"/>
          </w:tcPr>
          <w:p w14:paraId="29E919D3">
            <w:pPr>
              <w:jc w:val="center"/>
              <w:rPr>
                <w:rFonts w:eastAsia="仿宋_GB2312"/>
                <w:color w:val="000000"/>
                <w:szCs w:val="21"/>
              </w:rPr>
            </w:pPr>
            <w:r>
              <w:rPr>
                <w:rFonts w:eastAsia="仿宋"/>
                <w:color w:val="000000"/>
                <w:szCs w:val="21"/>
              </w:rPr>
              <w:t>2</w:t>
            </w:r>
          </w:p>
        </w:tc>
        <w:tc>
          <w:tcPr>
            <w:tcW w:w="12620" w:type="dxa"/>
            <w:vAlign w:val="center"/>
          </w:tcPr>
          <w:p w14:paraId="6E908CAA">
            <w:pPr>
              <w:rPr>
                <w:rFonts w:eastAsia="仿宋_GB2312"/>
                <w:color w:val="000000"/>
                <w:szCs w:val="21"/>
              </w:rPr>
            </w:pPr>
            <w:r>
              <w:rPr>
                <w:rFonts w:eastAsia="仿宋"/>
                <w:color w:val="000000"/>
                <w:szCs w:val="21"/>
              </w:rPr>
              <w:t>充分发挥妈妈禁毒分会的作用，在“6</w:t>
            </w:r>
            <w:r>
              <w:rPr>
                <w:rFonts w:eastAsia="汉仪大黑简"/>
                <w:color w:val="000000"/>
              </w:rPr>
              <w:t>·</w:t>
            </w:r>
            <w:r>
              <w:rPr>
                <w:rFonts w:eastAsia="仿宋"/>
                <w:color w:val="000000"/>
                <w:szCs w:val="21"/>
              </w:rPr>
              <w:t>26”国际禁毒日前后，组织开展禁毒宣传活动，在全市营造拒毒、防毒的良好氛围。</w:t>
            </w:r>
          </w:p>
        </w:tc>
      </w:tr>
      <w:tr w14:paraId="71A2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493" w:type="dxa"/>
            <w:vMerge w:val="restart"/>
            <w:vAlign w:val="center"/>
          </w:tcPr>
          <w:p w14:paraId="27C51E15">
            <w:pPr>
              <w:jc w:val="center"/>
              <w:rPr>
                <w:rFonts w:eastAsia="仿宋_GB2312"/>
                <w:color w:val="000000"/>
                <w:szCs w:val="21"/>
              </w:rPr>
            </w:pPr>
            <w:r>
              <w:rPr>
                <w:rFonts w:eastAsia="仿宋"/>
                <w:color w:val="000000"/>
                <w:szCs w:val="21"/>
              </w:rPr>
              <w:t>区科协</w:t>
            </w:r>
          </w:p>
        </w:tc>
        <w:tc>
          <w:tcPr>
            <w:tcW w:w="493" w:type="dxa"/>
            <w:vAlign w:val="center"/>
          </w:tcPr>
          <w:p w14:paraId="501FDCB3">
            <w:pPr>
              <w:jc w:val="center"/>
              <w:rPr>
                <w:rFonts w:eastAsia="仿宋_GB2312"/>
                <w:color w:val="000000"/>
                <w:szCs w:val="21"/>
              </w:rPr>
            </w:pPr>
            <w:r>
              <w:rPr>
                <w:rFonts w:eastAsia="仿宋"/>
                <w:color w:val="000000"/>
                <w:szCs w:val="21"/>
              </w:rPr>
              <w:t>1</w:t>
            </w:r>
          </w:p>
        </w:tc>
        <w:tc>
          <w:tcPr>
            <w:tcW w:w="12620" w:type="dxa"/>
            <w:vAlign w:val="center"/>
          </w:tcPr>
          <w:p w14:paraId="7162AD65">
            <w:pPr>
              <w:spacing w:line="280" w:lineRule="exact"/>
              <w:rPr>
                <w:rFonts w:eastAsia="仿宋_GB2312"/>
                <w:color w:val="000000"/>
                <w:szCs w:val="21"/>
              </w:rPr>
            </w:pPr>
            <w:r>
              <w:rPr>
                <w:rFonts w:eastAsia="仿宋"/>
                <w:color w:val="000000"/>
                <w:szCs w:val="21"/>
              </w:rPr>
              <w:t>结合2023年全国科普日活动，统筹开展《中华人民共和国科学技术普及法》的宣传工作。</w:t>
            </w:r>
          </w:p>
        </w:tc>
      </w:tr>
      <w:tr w14:paraId="6E84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493" w:type="dxa"/>
            <w:vMerge w:val="continue"/>
            <w:vAlign w:val="center"/>
          </w:tcPr>
          <w:p w14:paraId="1219CF39">
            <w:pPr>
              <w:jc w:val="center"/>
              <w:rPr>
                <w:rFonts w:eastAsia="仿宋_GB2312"/>
                <w:color w:val="000000"/>
                <w:szCs w:val="21"/>
              </w:rPr>
            </w:pPr>
          </w:p>
        </w:tc>
        <w:tc>
          <w:tcPr>
            <w:tcW w:w="493" w:type="dxa"/>
            <w:vAlign w:val="center"/>
          </w:tcPr>
          <w:p w14:paraId="032F7F93">
            <w:pPr>
              <w:jc w:val="center"/>
              <w:rPr>
                <w:rFonts w:eastAsia="仿宋_GB2312"/>
                <w:color w:val="000000"/>
                <w:szCs w:val="21"/>
              </w:rPr>
            </w:pPr>
            <w:r>
              <w:rPr>
                <w:rFonts w:eastAsia="仿宋"/>
                <w:color w:val="000000"/>
                <w:szCs w:val="21"/>
              </w:rPr>
              <w:t>2</w:t>
            </w:r>
          </w:p>
        </w:tc>
        <w:tc>
          <w:tcPr>
            <w:tcW w:w="12620" w:type="dxa"/>
            <w:vAlign w:val="center"/>
          </w:tcPr>
          <w:p w14:paraId="503DD0EA">
            <w:pPr>
              <w:spacing w:line="280" w:lineRule="exact"/>
              <w:rPr>
                <w:rFonts w:eastAsia="仿宋_GB2312"/>
                <w:color w:val="000000"/>
                <w:szCs w:val="21"/>
              </w:rPr>
            </w:pPr>
            <w:r>
              <w:rPr>
                <w:rFonts w:eastAsia="仿宋"/>
                <w:color w:val="000000"/>
                <w:szCs w:val="21"/>
              </w:rPr>
              <w:t>在“4</w:t>
            </w:r>
            <w:r>
              <w:rPr>
                <w:rFonts w:eastAsia="汉仪大黑简"/>
                <w:color w:val="000000"/>
              </w:rPr>
              <w:t>·</w:t>
            </w:r>
            <w:r>
              <w:rPr>
                <w:rFonts w:eastAsia="仿宋"/>
                <w:color w:val="000000"/>
                <w:szCs w:val="21"/>
              </w:rPr>
              <w:t>15”全民国家安全教育日、“11</w:t>
            </w:r>
            <w:r>
              <w:rPr>
                <w:rFonts w:eastAsia="汉仪大黑简"/>
                <w:color w:val="000000"/>
              </w:rPr>
              <w:t>·</w:t>
            </w:r>
            <w:r>
              <w:rPr>
                <w:rFonts w:eastAsia="仿宋"/>
                <w:color w:val="000000"/>
                <w:szCs w:val="21"/>
              </w:rPr>
              <w:t>1”反间谍法纪念日等节点，组织开展国家安全教育和反间谍系列宣传教育活动，利用网络平台宣传国家安全相关的法律法规。</w:t>
            </w:r>
          </w:p>
        </w:tc>
      </w:tr>
      <w:tr w14:paraId="7B33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493" w:type="dxa"/>
            <w:vMerge w:val="restart"/>
            <w:vAlign w:val="center"/>
          </w:tcPr>
          <w:p w14:paraId="6D806773">
            <w:pPr>
              <w:jc w:val="center"/>
              <w:rPr>
                <w:rFonts w:eastAsia="仿宋_GB2312"/>
                <w:color w:val="000000"/>
                <w:szCs w:val="21"/>
              </w:rPr>
            </w:pPr>
            <w:r>
              <w:rPr>
                <w:rFonts w:eastAsia="仿宋"/>
                <w:color w:val="000000"/>
                <w:szCs w:val="21"/>
              </w:rPr>
              <w:t>区残联</w:t>
            </w:r>
          </w:p>
        </w:tc>
        <w:tc>
          <w:tcPr>
            <w:tcW w:w="493" w:type="dxa"/>
            <w:vAlign w:val="center"/>
          </w:tcPr>
          <w:p w14:paraId="720D9E49">
            <w:pPr>
              <w:jc w:val="center"/>
              <w:rPr>
                <w:rFonts w:eastAsia="仿宋_GB2312"/>
                <w:color w:val="000000"/>
                <w:szCs w:val="21"/>
              </w:rPr>
            </w:pPr>
            <w:r>
              <w:rPr>
                <w:rFonts w:eastAsia="仿宋"/>
                <w:color w:val="000000"/>
                <w:szCs w:val="21"/>
              </w:rPr>
              <w:t>1</w:t>
            </w:r>
          </w:p>
        </w:tc>
        <w:tc>
          <w:tcPr>
            <w:tcW w:w="12620" w:type="dxa"/>
            <w:vAlign w:val="center"/>
          </w:tcPr>
          <w:p w14:paraId="0F7E4BEF">
            <w:pPr>
              <w:spacing w:line="280" w:lineRule="exact"/>
              <w:rPr>
                <w:rFonts w:eastAsia="仿宋_GB2312"/>
                <w:color w:val="000000"/>
                <w:szCs w:val="21"/>
              </w:rPr>
            </w:pPr>
            <w:r>
              <w:rPr>
                <w:rFonts w:eastAsia="仿宋"/>
                <w:color w:val="000000"/>
                <w:szCs w:val="21"/>
              </w:rPr>
              <w:t>在开展残疾人法律救助和接待残疾人信访等工作中，做好相关普法工作。</w:t>
            </w:r>
          </w:p>
        </w:tc>
      </w:tr>
      <w:tr w14:paraId="1168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493" w:type="dxa"/>
            <w:vMerge w:val="continue"/>
            <w:vAlign w:val="center"/>
          </w:tcPr>
          <w:p w14:paraId="0F7B88BF">
            <w:pPr>
              <w:jc w:val="center"/>
              <w:rPr>
                <w:rFonts w:eastAsia="仿宋_GB2312"/>
                <w:color w:val="000000"/>
                <w:szCs w:val="21"/>
              </w:rPr>
            </w:pPr>
          </w:p>
        </w:tc>
        <w:tc>
          <w:tcPr>
            <w:tcW w:w="493" w:type="dxa"/>
            <w:vAlign w:val="center"/>
          </w:tcPr>
          <w:p w14:paraId="1139C20F">
            <w:pPr>
              <w:jc w:val="center"/>
              <w:rPr>
                <w:rFonts w:eastAsia="仿宋_GB2312"/>
                <w:color w:val="000000"/>
                <w:szCs w:val="21"/>
              </w:rPr>
            </w:pPr>
            <w:r>
              <w:rPr>
                <w:rFonts w:eastAsia="仿宋"/>
                <w:color w:val="000000"/>
                <w:szCs w:val="21"/>
              </w:rPr>
              <w:t>2</w:t>
            </w:r>
          </w:p>
        </w:tc>
        <w:tc>
          <w:tcPr>
            <w:tcW w:w="12620" w:type="dxa"/>
            <w:vAlign w:val="center"/>
          </w:tcPr>
          <w:p w14:paraId="6FD6758A">
            <w:pPr>
              <w:spacing w:line="280" w:lineRule="exact"/>
              <w:rPr>
                <w:rFonts w:eastAsia="仿宋_GB2312"/>
                <w:color w:val="000000"/>
                <w:szCs w:val="21"/>
              </w:rPr>
            </w:pPr>
            <w:r>
              <w:rPr>
                <w:rFonts w:eastAsia="仿宋"/>
                <w:color w:val="000000"/>
                <w:szCs w:val="21"/>
              </w:rPr>
              <w:t>利用“国家宪法日”“全国助残日”“国际助残日”“残疾预防日”等重要节点，以发放宣传资料、张贴标语横幅、展板海报等群众喜闻乐见的形式，广泛开展宣传教育。</w:t>
            </w:r>
          </w:p>
        </w:tc>
      </w:tr>
      <w:tr w14:paraId="1E2F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493" w:type="dxa"/>
            <w:vMerge w:val="continue"/>
            <w:vAlign w:val="center"/>
          </w:tcPr>
          <w:p w14:paraId="630F9D75">
            <w:pPr>
              <w:jc w:val="center"/>
              <w:rPr>
                <w:rFonts w:eastAsia="仿宋_GB2312"/>
                <w:color w:val="000000"/>
                <w:szCs w:val="21"/>
              </w:rPr>
            </w:pPr>
          </w:p>
        </w:tc>
        <w:tc>
          <w:tcPr>
            <w:tcW w:w="493" w:type="dxa"/>
            <w:vAlign w:val="center"/>
          </w:tcPr>
          <w:p w14:paraId="69186B6A">
            <w:pPr>
              <w:jc w:val="center"/>
              <w:rPr>
                <w:rFonts w:eastAsia="仿宋_GB2312"/>
                <w:color w:val="000000"/>
                <w:szCs w:val="21"/>
              </w:rPr>
            </w:pPr>
            <w:r>
              <w:rPr>
                <w:rFonts w:eastAsia="仿宋"/>
                <w:color w:val="000000"/>
                <w:szCs w:val="21"/>
              </w:rPr>
              <w:t>3</w:t>
            </w:r>
          </w:p>
        </w:tc>
        <w:tc>
          <w:tcPr>
            <w:tcW w:w="12620" w:type="dxa"/>
            <w:vAlign w:val="center"/>
          </w:tcPr>
          <w:p w14:paraId="68DDC082">
            <w:pPr>
              <w:spacing w:line="280" w:lineRule="exact"/>
              <w:rPr>
                <w:rFonts w:eastAsia="仿宋_GB2312"/>
                <w:color w:val="000000"/>
                <w:szCs w:val="21"/>
              </w:rPr>
            </w:pPr>
            <w:r>
              <w:rPr>
                <w:rFonts w:eastAsia="仿宋"/>
                <w:color w:val="000000"/>
                <w:szCs w:val="21"/>
              </w:rPr>
              <w:t>宣传无障碍环境建设的相关法律、法规，推进无障碍环境建设工作。</w:t>
            </w:r>
          </w:p>
        </w:tc>
      </w:tr>
      <w:tr w14:paraId="2639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493" w:type="dxa"/>
            <w:vMerge w:val="continue"/>
            <w:vAlign w:val="center"/>
          </w:tcPr>
          <w:p w14:paraId="14586486">
            <w:pPr>
              <w:jc w:val="center"/>
              <w:rPr>
                <w:rFonts w:eastAsia="仿宋_GB2312"/>
                <w:color w:val="000000"/>
                <w:szCs w:val="21"/>
              </w:rPr>
            </w:pPr>
          </w:p>
        </w:tc>
        <w:tc>
          <w:tcPr>
            <w:tcW w:w="493" w:type="dxa"/>
            <w:vAlign w:val="center"/>
          </w:tcPr>
          <w:p w14:paraId="1E1530EA">
            <w:pPr>
              <w:jc w:val="center"/>
              <w:rPr>
                <w:rFonts w:eastAsia="仿宋_GB2312"/>
                <w:color w:val="000000"/>
                <w:szCs w:val="21"/>
              </w:rPr>
            </w:pPr>
            <w:r>
              <w:rPr>
                <w:rFonts w:eastAsia="仿宋"/>
                <w:color w:val="000000"/>
                <w:szCs w:val="21"/>
              </w:rPr>
              <w:t>4</w:t>
            </w:r>
          </w:p>
        </w:tc>
        <w:tc>
          <w:tcPr>
            <w:tcW w:w="12620" w:type="dxa"/>
            <w:vAlign w:val="center"/>
          </w:tcPr>
          <w:p w14:paraId="2E023862">
            <w:pPr>
              <w:spacing w:line="280" w:lineRule="exact"/>
              <w:rPr>
                <w:rFonts w:eastAsia="仿宋_GB2312"/>
                <w:color w:val="000000"/>
                <w:szCs w:val="21"/>
              </w:rPr>
            </w:pPr>
            <w:r>
              <w:rPr>
                <w:rFonts w:eastAsia="仿宋"/>
                <w:color w:val="000000"/>
                <w:szCs w:val="21"/>
              </w:rPr>
              <w:t>在残疾群众较多的康复机构、托养机构、特殊教育机构、集中就业机构等，设置宣传栏，放置有关法律政策宣传资料，开展涉残法律政策的宣传活动。</w:t>
            </w:r>
          </w:p>
        </w:tc>
      </w:tr>
      <w:tr w14:paraId="70FF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493" w:type="dxa"/>
            <w:vMerge w:val="continue"/>
            <w:vAlign w:val="center"/>
          </w:tcPr>
          <w:p w14:paraId="1120D08D">
            <w:pPr>
              <w:jc w:val="center"/>
              <w:rPr>
                <w:rFonts w:eastAsia="仿宋_GB2312"/>
                <w:color w:val="000000"/>
                <w:szCs w:val="21"/>
              </w:rPr>
            </w:pPr>
          </w:p>
        </w:tc>
        <w:tc>
          <w:tcPr>
            <w:tcW w:w="493" w:type="dxa"/>
            <w:vAlign w:val="center"/>
          </w:tcPr>
          <w:p w14:paraId="32ED6C91">
            <w:pPr>
              <w:jc w:val="center"/>
              <w:rPr>
                <w:rFonts w:eastAsia="仿宋_GB2312"/>
                <w:color w:val="000000"/>
                <w:szCs w:val="21"/>
              </w:rPr>
            </w:pPr>
            <w:r>
              <w:rPr>
                <w:rFonts w:eastAsia="仿宋"/>
                <w:color w:val="000000"/>
                <w:szCs w:val="21"/>
              </w:rPr>
              <w:t>5</w:t>
            </w:r>
          </w:p>
        </w:tc>
        <w:tc>
          <w:tcPr>
            <w:tcW w:w="12620" w:type="dxa"/>
            <w:vAlign w:val="center"/>
          </w:tcPr>
          <w:p w14:paraId="596ACB1E">
            <w:pPr>
              <w:spacing w:line="280" w:lineRule="exact"/>
              <w:rPr>
                <w:rFonts w:eastAsia="仿宋_GB2312"/>
                <w:color w:val="000000"/>
                <w:szCs w:val="21"/>
              </w:rPr>
            </w:pPr>
            <w:r>
              <w:rPr>
                <w:rFonts w:eastAsia="仿宋"/>
                <w:color w:val="000000"/>
                <w:szCs w:val="21"/>
              </w:rPr>
              <w:t>结合开展按比例安排残疾人就业工作，做好相关政策和法律法规宣传。</w:t>
            </w:r>
          </w:p>
        </w:tc>
      </w:tr>
    </w:tbl>
    <w:p w14:paraId="0951F064">
      <w:pPr>
        <w:pStyle w:val="3"/>
      </w:pPr>
    </w:p>
    <w:p w14:paraId="277FDFA8"/>
    <w:sectPr>
      <w:pgSz w:w="16838" w:h="11906" w:orient="landscape"/>
      <w:pgMar w:top="1531" w:right="1587" w:bottom="1531" w:left="1587"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大黑简">
    <w:altName w:val="黑体"/>
    <w:panose1 w:val="00000000000000000000"/>
    <w:charset w:val="86"/>
    <w:family w:val="auto"/>
    <w:pitch w:val="default"/>
    <w:sig w:usb0="00000000" w:usb1="00000000" w:usb2="00000002"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4MjViNWE2N2MxMmNmMWRhMmQ4ZTVkNGE5YjFlN2EifQ=="/>
  </w:docVars>
  <w:rsids>
    <w:rsidRoot w:val="004A1053"/>
    <w:rsid w:val="00343723"/>
    <w:rsid w:val="00354260"/>
    <w:rsid w:val="003F01F3"/>
    <w:rsid w:val="004A1053"/>
    <w:rsid w:val="005E5AA9"/>
    <w:rsid w:val="009B1BBF"/>
    <w:rsid w:val="00A345EA"/>
    <w:rsid w:val="00A83ACE"/>
    <w:rsid w:val="00A972F4"/>
    <w:rsid w:val="00C837EC"/>
    <w:rsid w:val="00D716CF"/>
    <w:rsid w:val="02CB6511"/>
    <w:rsid w:val="397E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rFonts w:ascii="Calibri" w:hAnsi="Calibri"/>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7480</Words>
  <Characters>7667</Characters>
  <Lines>63</Lines>
  <Paragraphs>17</Paragraphs>
  <TotalTime>24</TotalTime>
  <ScaleCrop>false</ScaleCrop>
  <LinksUpToDate>false</LinksUpToDate>
  <CharactersWithSpaces>7673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2023-08-09T07:41:00Z</dcterms:created>
  <dc:creator>Administrator</dc:creator>
  <cp:lastModifiedBy>邓婷</cp:lastModifiedBy>
  <dcterms:modified xsi:type="dcterms:W3CDTF">2025-04-24T08:23:10Z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88B210D7AEAE4B8BB1E7C058BDF6CB64_12</vt:lpwstr>
  </property>
  <property fmtid="{D5CDD505-2E9C-101B-9397-08002B2CF9AE}" pid="4" name="KSOTemplateDocerSaveRecord">
    <vt:lpwstr>eyJoZGlkIjoiNTJiZjFiNTBkMDJmOGU4NDNmMzczZTYyNDk3NzlhNTgiLCJ1c2VySWQiOiIxMDY5MjgzMDcxIn0=</vt:lpwstr>
  </property>
</Properties>
</file>