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46" w:rsidRDefault="0008295D">
      <w:pPr>
        <w:widowControl/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雁峰区老干部服务中心</w:t>
      </w:r>
    </w:p>
    <w:p w:rsidR="00E03946" w:rsidRDefault="0008295D">
      <w:pPr>
        <w:widowControl/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年度部门整体支出绩效自评报告</w:t>
      </w:r>
    </w:p>
    <w:p w:rsidR="00E03946" w:rsidRDefault="00E03946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根据《中华人民共和国预算法》</w:t>
      </w:r>
      <w:r>
        <w:rPr>
          <w:rFonts w:ascii="仿宋" w:eastAsia="仿宋" w:hAnsi="仿宋" w:cs="仿宋" w:hint="eastAsia"/>
          <w:sz w:val="32"/>
          <w:szCs w:val="32"/>
        </w:rPr>
        <w:t>有关“各级政府、各部门、各单位应当对预算支出情况开展绩效评价”的规定，结合实际情况，我办对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年度部门整体支出进行了绩效自评，现报告如下：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一、基本情况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、部门基本情况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、贯彻执行党和国家关于离退休干部工作的方针、政策和省、市、区委有关规定，研究制定加强全区离退休干部工作的目标、任务和措施，并组织贯彻落实。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、负责离休干部和副县级退休干部政治和生活待遇的落实工作；指导离退休干部党支部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建设和思想政治工作；建立和完善离退休干部政治待遇的各项制度，并对落实情况进行督促检查。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、负责落实离休干部离休费、医药费保障机制及各项政策性补贴；组织协调离休干部保健、健康休养等工作；负责离休干部易地安置工作。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、负责调查研究新形势下离退休干部工作出现的新情况、新问题，研究制定加强和改进离退休干部工作的具体意见和措施。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</w:t>
      </w:r>
      <w:r>
        <w:rPr>
          <w:rFonts w:ascii="仿宋" w:eastAsia="仿宋" w:hAnsi="仿宋" w:cs="仿宋" w:hint="eastAsia"/>
          <w:sz w:val="32"/>
          <w:szCs w:val="32"/>
        </w:rPr>
        <w:t>、组织引导离退休干部为党和国家事业增添正能量，总结推广和宣传离退休干部的先进事迹和离退休干部工作的经验。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、组织离退休干部开展丰富多彩的活动。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、负责受理离退休干部来信来访工作；对</w:t>
      </w:r>
      <w:r>
        <w:rPr>
          <w:rFonts w:ascii="仿宋" w:eastAsia="仿宋" w:hAnsi="仿宋" w:cs="仿宋" w:hint="eastAsia"/>
          <w:sz w:val="32"/>
          <w:szCs w:val="32"/>
        </w:rPr>
        <w:t>离退休干部信访中的问题进行调查研究，会同有关部门提出解决意见和建议。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、负责离休干部和副县级以上退休干部的管理服务工作。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、承担区关心下一代工作委员会办公室的日常工作。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、负责组织全区老干部工作人员的业务学习和政策培训工作，加强全区老干部工作部门的自身建设。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、负责区老年大学教育工作的指导、协调工作。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、完成区委、区政府、区委组织部交办的其他工作。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、机构设置及决算单位构成</w:t>
      </w:r>
    </w:p>
    <w:p w:rsidR="00E03946" w:rsidRDefault="000829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（一）内设机构设置</w:t>
      </w:r>
    </w:p>
    <w:p w:rsidR="00E03946" w:rsidRDefault="000829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雁峰区老干部服务中心，设有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个内设机构，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个二级机构。现有在职工作人员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E03946" w:rsidRDefault="000829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（二）决算单位构成</w:t>
      </w:r>
    </w:p>
    <w:p w:rsidR="00E03946" w:rsidRDefault="000829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雁峰区老干部局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年部门决算汇总公开单位构成包括：雁峰区老干部局本级的数据。</w:t>
      </w:r>
    </w:p>
    <w:p w:rsidR="00E03946" w:rsidRDefault="0008295D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二、部门整体支出管理及使用情况</w:t>
      </w:r>
    </w:p>
    <w:p w:rsidR="00E03946" w:rsidRDefault="0008295D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年部门预算情况</w:t>
      </w:r>
    </w:p>
    <w:p w:rsidR="00E03946" w:rsidRDefault="0008295D">
      <w:pPr>
        <w:snapToGrid w:val="0"/>
        <w:spacing w:line="600" w:lineRule="exact"/>
        <w:ind w:firstLineChars="200" w:firstLine="620"/>
        <w:rPr>
          <w:rFonts w:ascii="仿宋" w:eastAsia="仿宋" w:hAnsi="仿宋" w:cs="仿宋"/>
          <w:color w:val="000000"/>
          <w:sz w:val="31"/>
          <w:szCs w:val="3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lastRenderedPageBreak/>
        <w:t>2021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年单位预算收入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253.92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万元，其中：经费拨款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235.27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万元，纳入预算管理的非税收入拨款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18.65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万元。</w:t>
      </w:r>
    </w:p>
    <w:p w:rsidR="00E03946" w:rsidRDefault="0008295D">
      <w:pPr>
        <w:snapToGrid w:val="0"/>
        <w:spacing w:line="600" w:lineRule="exact"/>
        <w:ind w:firstLineChars="200" w:firstLine="620"/>
        <w:rPr>
          <w:rFonts w:ascii="仿宋" w:eastAsia="仿宋" w:hAnsi="仿宋" w:cs="仿宋"/>
          <w:color w:val="000000"/>
          <w:sz w:val="31"/>
          <w:szCs w:val="3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2021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年单位支出预算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253.92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万元，其中：基本支出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141.18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万元，项目支出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112.74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万元。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</w:t>
      </w:r>
      <w:r>
        <w:rPr>
          <w:rFonts w:ascii="仿宋" w:eastAsia="仿宋" w:hAnsi="仿宋" w:cs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" w:hint="eastAsia"/>
          <w:kern w:val="0"/>
          <w:sz w:val="32"/>
          <w:szCs w:val="32"/>
        </w:rPr>
        <w:t>年部门决算情况</w:t>
      </w:r>
    </w:p>
    <w:p w:rsidR="00E03946" w:rsidRDefault="0008295D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年本年收入决算数</w:t>
      </w:r>
      <w:r>
        <w:rPr>
          <w:rFonts w:ascii="仿宋" w:eastAsia="仿宋" w:hAnsi="仿宋" w:cs="仿宋" w:hint="eastAsia"/>
          <w:kern w:val="0"/>
          <w:sz w:val="32"/>
          <w:szCs w:val="32"/>
        </w:rPr>
        <w:t>323.34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万元，其中：财政拨款收入</w:t>
      </w:r>
      <w:r>
        <w:rPr>
          <w:rFonts w:ascii="仿宋" w:eastAsia="仿宋" w:hAnsi="仿宋" w:cs="仿宋" w:hint="eastAsia"/>
          <w:kern w:val="0"/>
          <w:sz w:val="32"/>
          <w:szCs w:val="32"/>
        </w:rPr>
        <w:t>301.54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t>93.26%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；上级补助收入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万；事业收入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万元；经营收入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万元；附属单位上缴收入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万元；其他收入</w:t>
      </w:r>
      <w:r>
        <w:rPr>
          <w:rFonts w:ascii="仿宋" w:eastAsia="仿宋" w:hAnsi="仿宋" w:cs="仿宋" w:hint="eastAsia"/>
          <w:kern w:val="0"/>
          <w:sz w:val="32"/>
          <w:szCs w:val="32"/>
        </w:rPr>
        <w:t>21.08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t>6.74%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本年支出决算数</w:t>
      </w:r>
      <w:r>
        <w:rPr>
          <w:rFonts w:ascii="仿宋" w:eastAsia="仿宋" w:hAnsi="仿宋" w:cs="仿宋" w:hint="eastAsia"/>
          <w:kern w:val="0"/>
          <w:sz w:val="32"/>
          <w:szCs w:val="32"/>
        </w:rPr>
        <w:t>395.85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万元，其中：基本支出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137.10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t>34.63%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；项目支出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258.75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t>65.37%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；上缴上级支出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万元；经营支出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万元；对附属单位补助支出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</w:t>
      </w:r>
      <w:r>
        <w:rPr>
          <w:rFonts w:ascii="仿宋" w:eastAsia="仿宋" w:hAnsi="仿宋" w:cs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年支出分类情况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基本支出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基本支出系保障</w:t>
      </w:r>
      <w:r>
        <w:rPr>
          <w:rFonts w:ascii="仿宋" w:eastAsia="仿宋" w:hAnsi="仿宋" w:cs="仿宋" w:hint="eastAsia"/>
          <w:kern w:val="0"/>
          <w:sz w:val="32"/>
          <w:szCs w:val="32"/>
        </w:rPr>
        <w:t>我单位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正常运转、完成日常工作任务而发生的各项支出，包括用于在</w:t>
      </w:r>
      <w:r>
        <w:rPr>
          <w:rFonts w:ascii="仿宋" w:eastAsia="仿宋" w:hAnsi="仿宋" w:cs="仿宋" w:hint="eastAsia"/>
          <w:kern w:val="0"/>
          <w:sz w:val="32"/>
          <w:szCs w:val="32"/>
        </w:rPr>
        <w:t>职和离退休人员基本工资、津贴补贴等人员经费以及办公费、印刷费、水电费、维修（护）费等日常公用经费。</w:t>
      </w:r>
      <w:r>
        <w:rPr>
          <w:rFonts w:ascii="仿宋" w:eastAsia="仿宋" w:hAnsi="仿宋" w:cs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年基本支出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137.10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t>全年支出的</w:t>
      </w:r>
      <w:r>
        <w:rPr>
          <w:rFonts w:ascii="仿宋" w:eastAsia="仿宋" w:hAnsi="仿宋" w:cs="仿宋" w:hint="eastAsia"/>
          <w:kern w:val="0"/>
          <w:sz w:val="32"/>
          <w:szCs w:val="32"/>
        </w:rPr>
        <w:t>34.63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项目支出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项目支出系我</w:t>
      </w:r>
      <w:r>
        <w:rPr>
          <w:rFonts w:ascii="仿宋" w:eastAsia="仿宋" w:hAnsi="仿宋" w:cs="仿宋" w:hint="eastAsia"/>
          <w:kern w:val="0"/>
          <w:sz w:val="32"/>
          <w:szCs w:val="32"/>
        </w:rPr>
        <w:t>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为完成特定行政任务和事业发展目标所发生的支出。</w:t>
      </w:r>
      <w:r>
        <w:rPr>
          <w:rFonts w:ascii="仿宋" w:eastAsia="仿宋" w:hAnsi="仿宋" w:cs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258.75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t>全年支出的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65.37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“三公”经费情况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“三公”经费财政拨款支出预算为</w:t>
      </w:r>
      <w:r>
        <w:rPr>
          <w:rFonts w:ascii="仿宋" w:eastAsia="仿宋" w:hAnsi="仿宋" w:cs="仿宋" w:hint="eastAsia"/>
          <w:kern w:val="0"/>
          <w:sz w:val="32"/>
          <w:szCs w:val="32"/>
        </w:rPr>
        <w:t>4.50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万元，支出决算为</w:t>
      </w:r>
      <w:r>
        <w:rPr>
          <w:rFonts w:ascii="仿宋" w:eastAsia="仿宋" w:hAnsi="仿宋" w:cs="仿宋" w:hint="eastAsia"/>
          <w:kern w:val="0"/>
          <w:sz w:val="32"/>
          <w:szCs w:val="32"/>
        </w:rPr>
        <w:t>29.28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万元，完成预算的</w:t>
      </w:r>
      <w:r>
        <w:rPr>
          <w:rFonts w:ascii="仿宋" w:eastAsia="仿宋" w:hAnsi="仿宋" w:cs="仿宋" w:hint="eastAsia"/>
          <w:kern w:val="0"/>
          <w:sz w:val="32"/>
          <w:szCs w:val="32"/>
        </w:rPr>
        <w:t>650.67%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，其中：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因公出国（境）费支出预算为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万元，支出决算为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万元，与上年相比无变化。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公务接待费支出预算</w:t>
      </w:r>
      <w:r>
        <w:rPr>
          <w:rFonts w:ascii="仿宋" w:eastAsia="仿宋" w:hAnsi="仿宋" w:cs="仿宋" w:hint="eastAsia"/>
          <w:kern w:val="0"/>
          <w:sz w:val="32"/>
          <w:szCs w:val="32"/>
        </w:rPr>
        <w:t>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万元，支出决算为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万元，与上年相比无变化。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公务用车购置费支出预算为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万元，支出决算为</w:t>
      </w:r>
      <w:r>
        <w:rPr>
          <w:rFonts w:ascii="仿宋" w:eastAsia="仿宋" w:hAnsi="仿宋" w:cs="仿宋" w:hint="eastAsia"/>
          <w:kern w:val="0"/>
          <w:sz w:val="32"/>
          <w:szCs w:val="32"/>
        </w:rPr>
        <w:t>24.78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万元，完成预算的</w:t>
      </w:r>
      <w:r>
        <w:rPr>
          <w:rFonts w:ascii="仿宋" w:eastAsia="仿宋" w:hAnsi="仿宋" w:cs="仿宋" w:hint="eastAsia"/>
          <w:kern w:val="0"/>
          <w:sz w:val="32"/>
          <w:szCs w:val="32"/>
        </w:rPr>
        <w:t>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，决算数大于预算数的主要原因是年度追加购置公车专项列支，与上年相比增加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24.78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万元，减少（增长）</w:t>
      </w:r>
      <w:r>
        <w:rPr>
          <w:rFonts w:ascii="仿宋" w:eastAsia="仿宋" w:hAnsi="仿宋" w:cs="仿宋" w:hint="eastAsia"/>
          <w:kern w:val="0"/>
          <w:sz w:val="32"/>
          <w:szCs w:val="32"/>
        </w:rPr>
        <w:t>0%,</w:t>
      </w:r>
      <w:r>
        <w:rPr>
          <w:rFonts w:ascii="仿宋" w:eastAsia="仿宋" w:hAnsi="仿宋" w:cs="仿宋" w:hint="eastAsia"/>
          <w:kern w:val="0"/>
          <w:sz w:val="32"/>
          <w:szCs w:val="32"/>
        </w:rPr>
        <w:t>增长的主要原因是年度追加购置公车专项列支。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三、部门整体支出绩效情况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" w:hint="eastAsia"/>
          <w:kern w:val="0"/>
          <w:sz w:val="32"/>
          <w:szCs w:val="32"/>
        </w:rPr>
        <w:t>年，区老干部局在区委、区政府</w:t>
      </w:r>
      <w:r>
        <w:rPr>
          <w:rFonts w:ascii="仿宋" w:eastAsia="仿宋" w:hAnsi="仿宋" w:cs="仿宋" w:hint="eastAsia"/>
          <w:sz w:val="32"/>
          <w:szCs w:val="32"/>
        </w:rPr>
        <w:t>、区委组织部</w:t>
      </w:r>
      <w:r>
        <w:rPr>
          <w:rFonts w:ascii="仿宋" w:eastAsia="仿宋" w:hAnsi="仿宋" w:cs="仿宋" w:hint="eastAsia"/>
          <w:kern w:val="0"/>
          <w:sz w:val="32"/>
          <w:szCs w:val="32"/>
        </w:rPr>
        <w:t>的正确领导下，认真贯彻习近平新时代中国特色社会主义思想和党的十九大精神，坚持以习近平新时代中国特色社会主义思想为指导，按照“三重三大三提升”的思路，忠实履行组织部职责，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执行离休干部和副县级退休干部政治和生活待遇，落实离休干部离休费、医药费保障机制及各项政策性补贴；组织协调离休干部保健、健康休养等工作；组织离退休干部开展丰富多彩的活动；对家庭条件困难的老干部家庭添置设施，对行动不便的老干部走访慰问，丰富了老年人的业务生活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kern w:val="0"/>
          <w:sz w:val="32"/>
          <w:szCs w:val="32"/>
        </w:rPr>
        <w:lastRenderedPageBreak/>
        <w:t>2021</w:t>
      </w:r>
      <w:r>
        <w:rPr>
          <w:rFonts w:ascii="Times New Roman" w:eastAsia="仿宋" w:hAnsi="Times New Roman" w:cs="Times New Roman"/>
          <w:bCs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Cs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/>
          <w:bCs/>
          <w:kern w:val="0"/>
          <w:sz w:val="32"/>
          <w:szCs w:val="32"/>
        </w:rPr>
        <w:t>我单位按要求积极开展了预算绩效管理工作，通过全面实施预算项目绩效目标管理，积极探索绩效跟踪监控，大力推进项目绩效评价，完善评价指标体系建设，深化绩效评价结果运用，加强培训和宣传等具体措施，部内较大提升了</w:t>
      </w:r>
      <w:r>
        <w:rPr>
          <w:rFonts w:ascii="Times New Roman" w:eastAsia="仿宋" w:hAnsi="Times New Roman" w:cs="Times New Roman"/>
          <w:bCs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/>
          <w:bCs/>
          <w:kern w:val="0"/>
          <w:sz w:val="32"/>
          <w:szCs w:val="32"/>
        </w:rPr>
        <w:t>讲绩效，重绩效，用绩效</w:t>
      </w:r>
      <w:r>
        <w:rPr>
          <w:rFonts w:ascii="Times New Roman" w:eastAsia="仿宋" w:hAnsi="Times New Roman" w:cs="Times New Roman"/>
          <w:bCs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/>
          <w:bCs/>
          <w:kern w:val="0"/>
          <w:sz w:val="32"/>
          <w:szCs w:val="32"/>
        </w:rPr>
        <w:t>的意识。</w:t>
      </w:r>
      <w:r>
        <w:rPr>
          <w:rFonts w:ascii="Times New Roman" w:eastAsia="仿宋_GB2312" w:hAnsi="Times New Roman" w:cs="Times New Roman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>坚持从严从简，勤俭办一切事业，降低公务活动成本；坚持依法依规，遵守国家法律法规和党内法规制度的相关规定，严格按程序办事；坚持总量控制，科学设定相关标准，严格控制经费支出总额，加强厉行节约绩效考评；坚持公开透明，做到部内公开，接受监督；遵循先有预算、后有支出的原则，严格执行预算，严禁超预算或者无预算安排支出；控制行政运行成本</w:t>
      </w:r>
      <w:r>
        <w:rPr>
          <w:rFonts w:ascii="Times New Roman" w:eastAsia="仿宋_GB2312" w:hAnsi="Times New Roman" w:cs="Times New Roman"/>
          <w:sz w:val="32"/>
          <w:szCs w:val="32"/>
        </w:rPr>
        <w:t>。单位预算绩效管理基本上达到了预期效果，资金使用到位。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四、存在的不足</w:t>
      </w:r>
    </w:p>
    <w:p w:rsidR="00E03946" w:rsidRDefault="0008295D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运用绩效指标评价体系还不够深入；全面绩效责任约束作用不强，预算执行绩效目标完成率有待进一步提高。</w:t>
      </w:r>
    </w:p>
    <w:p w:rsidR="00E03946" w:rsidRDefault="00E03946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E03946" w:rsidSect="00E03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NiMWU0YTRjODA0MTBiYjIzMWVhYzllNzgzMDY3OGMifQ=="/>
  </w:docVars>
  <w:rsids>
    <w:rsidRoot w:val="1F7467DC"/>
    <w:rsid w:val="0008295D"/>
    <w:rsid w:val="00E03946"/>
    <w:rsid w:val="0B2214B4"/>
    <w:rsid w:val="1F0E58C3"/>
    <w:rsid w:val="1F7467DC"/>
    <w:rsid w:val="34704E58"/>
    <w:rsid w:val="4AB37306"/>
    <w:rsid w:val="55503CC4"/>
    <w:rsid w:val="61FC525B"/>
    <w:rsid w:val="7BFB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9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2</cp:revision>
  <dcterms:created xsi:type="dcterms:W3CDTF">2021-06-06T03:16:00Z</dcterms:created>
  <dcterms:modified xsi:type="dcterms:W3CDTF">2024-01-22T09:08:00Z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A40A1138D0B640D4AAEC30B44ED20B9A</vt:lpwstr>
  </property>
</Properties>
</file>