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C1C" w:rsidRDefault="003867B1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衡阳市雁峰区就业服务局</w:t>
      </w:r>
    </w:p>
    <w:p w:rsidR="00475C1C" w:rsidRDefault="003867B1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2019年度部门整体支出绩效自评报告</w:t>
      </w:r>
    </w:p>
    <w:p w:rsidR="00475C1C" w:rsidRDefault="00475C1C">
      <w:pPr>
        <w:jc w:val="center"/>
        <w:rPr>
          <w:rFonts w:ascii="仿宋" w:eastAsia="仿宋" w:hAnsi="仿宋" w:cs="仿宋"/>
          <w:sz w:val="32"/>
          <w:szCs w:val="32"/>
        </w:rPr>
      </w:pPr>
    </w:p>
    <w:p w:rsidR="00475C1C" w:rsidRDefault="003867B1">
      <w:pPr>
        <w:ind w:firstLineChars="200" w:firstLine="600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</w:rPr>
        <w:t>根据《中华人民共和国预算法》有关“各级政府、各部门、各单位应当对预算支出情况开展绩效评价”的规定，结合实际情况，我局对2019年度部门整体支出进行了绩效自评，现报告如下：</w:t>
      </w:r>
    </w:p>
    <w:p w:rsidR="00475C1C" w:rsidRDefault="003867B1">
      <w:pPr>
        <w:ind w:firstLineChars="200" w:firstLine="600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</w:rPr>
        <w:t>一、基本情况</w:t>
      </w:r>
      <w:bookmarkStart w:id="0" w:name="_GoBack"/>
      <w:bookmarkEnd w:id="0"/>
    </w:p>
    <w:p w:rsidR="00475C1C" w:rsidRDefault="003867B1">
      <w:pPr>
        <w:ind w:firstLineChars="200" w:firstLine="600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</w:rPr>
        <w:t>1、部门基本情况</w:t>
      </w:r>
    </w:p>
    <w:p w:rsidR="00475C1C" w:rsidRDefault="003867B1">
      <w:pPr>
        <w:ind w:firstLineChars="200" w:firstLine="600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</w:rPr>
        <w:t>(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</w:rPr>
        <w:t>一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</w:rPr>
        <w:t>)</w:t>
      </w:r>
      <w:r>
        <w:rPr>
          <w:rFonts w:asciiTheme="minorEastAsia" w:hAnsiTheme="minorEastAsia" w:cstheme="minorEastAsia" w:hint="eastAsia"/>
          <w:color w:val="000000"/>
          <w:sz w:val="30"/>
          <w:szCs w:val="30"/>
          <w:shd w:val="clear" w:color="auto" w:fill="FFFFFF"/>
        </w:rPr>
        <w:t>贯彻国家促进就业的法律法规，落实统筹城乡就业的政策措施。</w:t>
      </w: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</w:rPr>
        <w:br/>
        <w:t xml:space="preserve">    (二)</w:t>
      </w:r>
      <w:r>
        <w:rPr>
          <w:rFonts w:asciiTheme="minorEastAsia" w:hAnsiTheme="minorEastAsia" w:cstheme="minorEastAsia" w:hint="eastAsia"/>
          <w:color w:val="000000"/>
          <w:sz w:val="30"/>
          <w:szCs w:val="30"/>
          <w:shd w:val="clear" w:color="auto" w:fill="FFFFFF"/>
        </w:rPr>
        <w:t>承担区域间的劳务交流、协调农村富余劳动力有序流动。</w:t>
      </w: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</w:rPr>
        <w:br/>
        <w:t xml:space="preserve">    (三)</w:t>
      </w:r>
      <w:r>
        <w:rPr>
          <w:rFonts w:asciiTheme="minorEastAsia" w:hAnsiTheme="minorEastAsia" w:cstheme="minorEastAsia" w:hint="eastAsia"/>
          <w:color w:val="000000"/>
          <w:sz w:val="30"/>
          <w:szCs w:val="30"/>
          <w:shd w:val="clear" w:color="auto" w:fill="FFFFFF"/>
        </w:rPr>
        <w:t>负责失业保险基金征缴、待遇审核发放及管理工作</w:t>
      </w: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</w:rPr>
        <w:t>。</w:t>
      </w: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</w:rPr>
        <w:br/>
        <w:t xml:space="preserve">    (四)</w:t>
      </w:r>
      <w:r>
        <w:rPr>
          <w:rFonts w:asciiTheme="minorEastAsia" w:hAnsiTheme="minorEastAsia" w:cstheme="minorEastAsia" w:hint="eastAsia"/>
          <w:color w:val="000000"/>
          <w:sz w:val="30"/>
          <w:szCs w:val="30"/>
          <w:shd w:val="clear" w:color="auto" w:fill="FFFFFF"/>
        </w:rPr>
        <w:t>负责失业人员的登记、调查、统计工作</w:t>
      </w: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</w:rPr>
        <w:t>。</w:t>
      </w: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</w:rPr>
        <w:br/>
        <w:t xml:space="preserve">    (五)</w:t>
      </w:r>
      <w:r>
        <w:rPr>
          <w:rFonts w:asciiTheme="minorEastAsia" w:hAnsiTheme="minorEastAsia" w:cstheme="minorEastAsia" w:hint="eastAsia"/>
          <w:color w:val="000000"/>
          <w:sz w:val="30"/>
          <w:szCs w:val="30"/>
          <w:shd w:val="clear" w:color="auto" w:fill="FFFFFF"/>
        </w:rPr>
        <w:t>开展小额担保贷款服务和创业培训工作</w:t>
      </w: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</w:rPr>
        <w:t>。</w:t>
      </w:r>
    </w:p>
    <w:p w:rsidR="00475C1C" w:rsidRDefault="003867B1">
      <w:pPr>
        <w:ind w:firstLineChars="200" w:firstLine="600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</w:rPr>
        <w:t>(六)</w:t>
      </w:r>
      <w:r>
        <w:rPr>
          <w:rFonts w:asciiTheme="minorEastAsia" w:hAnsiTheme="minorEastAsia" w:cstheme="minorEastAsia" w:hint="eastAsia"/>
          <w:color w:val="000000"/>
          <w:sz w:val="30"/>
          <w:szCs w:val="30"/>
          <w:shd w:val="clear" w:color="auto" w:fill="FFFFFF"/>
        </w:rPr>
        <w:t>免费为失业人员提供就业咨询服务</w:t>
      </w: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</w:rPr>
        <w:t>。</w:t>
      </w: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</w:rPr>
        <w:br/>
        <w:t xml:space="preserve">     2、机构设置及决算单位构成</w:t>
      </w:r>
    </w:p>
    <w:p w:rsidR="00475C1C" w:rsidRDefault="003867B1">
      <w:pPr>
        <w:pStyle w:val="a3"/>
        <w:widowControl/>
        <w:shd w:val="clear" w:color="auto" w:fill="FFFFFF"/>
        <w:spacing w:beforeAutospacing="0" w:afterAutospacing="0" w:line="390" w:lineRule="atLeast"/>
        <w:ind w:firstLineChars="200" w:firstLine="600"/>
        <w:rPr>
          <w:rFonts w:asciiTheme="minorEastAsia" w:hAnsi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30"/>
          <w:szCs w:val="30"/>
        </w:rPr>
        <w:t>（一）内设机构设置。雁峰区就业局单位内设机构包括：</w:t>
      </w:r>
      <w:r>
        <w:rPr>
          <w:rFonts w:ascii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衡阳市雁峰区就业服务局内设机构包括：天马山街道、先锋街道、白沙洲街道、雁峰街道、黄茶岭街道、岳屏镇。</w:t>
      </w:r>
    </w:p>
    <w:p w:rsidR="00475C1C" w:rsidRDefault="003867B1">
      <w:pPr>
        <w:pStyle w:val="a3"/>
        <w:widowControl/>
        <w:shd w:val="clear" w:color="auto" w:fill="FFFFFF"/>
        <w:spacing w:beforeAutospacing="0" w:afterAutospacing="0" w:line="390" w:lineRule="atLeast"/>
        <w:ind w:firstLineChars="200" w:firstLine="600"/>
        <w:rPr>
          <w:rFonts w:asciiTheme="minorEastAsia" w:hAnsiTheme="minorEastAsia" w:cstheme="minorEastAsia"/>
          <w:color w:val="000000"/>
          <w:sz w:val="30"/>
          <w:szCs w:val="30"/>
        </w:rPr>
      </w:pPr>
      <w:r>
        <w:rPr>
          <w:rFonts w:asciiTheme="minorEastAsia" w:hAnsiTheme="minorEastAsia" w:cstheme="minorEastAsia" w:hint="eastAsia"/>
          <w:color w:val="000000"/>
          <w:sz w:val="30"/>
          <w:szCs w:val="30"/>
        </w:rPr>
        <w:t>二、部门整体支出管理及使用情况</w:t>
      </w:r>
    </w:p>
    <w:p w:rsidR="00475C1C" w:rsidRDefault="003867B1">
      <w:pPr>
        <w:pStyle w:val="a3"/>
        <w:widowControl/>
        <w:shd w:val="clear" w:color="auto" w:fill="FFFFFF"/>
        <w:spacing w:beforeAutospacing="0" w:afterAutospacing="0" w:line="390" w:lineRule="atLeast"/>
        <w:ind w:firstLineChars="200" w:firstLine="600"/>
        <w:rPr>
          <w:rFonts w:asciiTheme="minorEastAsia" w:hAnsiTheme="minorEastAsia" w:cstheme="minorEastAsia"/>
          <w:color w:val="000000"/>
          <w:sz w:val="30"/>
          <w:szCs w:val="30"/>
        </w:rPr>
      </w:pPr>
      <w:r>
        <w:rPr>
          <w:rFonts w:asciiTheme="minorEastAsia" w:hAnsiTheme="minorEastAsia" w:cstheme="minorEastAsia" w:hint="eastAsia"/>
          <w:color w:val="000000"/>
          <w:sz w:val="30"/>
          <w:szCs w:val="30"/>
        </w:rPr>
        <w:t>（一）2019年部门预算情况</w:t>
      </w:r>
    </w:p>
    <w:p w:rsidR="00475C1C" w:rsidRDefault="003867B1">
      <w:pPr>
        <w:snapToGrid w:val="0"/>
        <w:spacing w:line="600" w:lineRule="exact"/>
        <w:ind w:firstLineChars="200" w:firstLine="600"/>
        <w:rPr>
          <w:rFonts w:asciiTheme="minorEastAsia" w:hAnsiTheme="minorEastAsia" w:cstheme="minorEastAsia"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kern w:val="0"/>
          <w:sz w:val="30"/>
          <w:szCs w:val="30"/>
        </w:rPr>
        <w:t>我局2019年度收入预算3059.54万元（其中：一般公共预算拨款2773.73万元），其中：基本支出232.32万元（工资福利支出188.96万元，商品和服务支出1.7万元，对个人和家庭的补助支出41.66万元）；项目支出2827.22万元。</w:t>
      </w:r>
    </w:p>
    <w:p w:rsidR="00475C1C" w:rsidRDefault="003867B1">
      <w:pPr>
        <w:snapToGrid w:val="0"/>
        <w:spacing w:line="600" w:lineRule="exact"/>
        <w:ind w:firstLineChars="200" w:firstLine="600"/>
        <w:rPr>
          <w:rFonts w:asciiTheme="minorEastAsia" w:hAnsiTheme="minorEastAsia" w:cstheme="minorEastAsia"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kern w:val="0"/>
          <w:sz w:val="30"/>
          <w:szCs w:val="30"/>
        </w:rPr>
        <w:lastRenderedPageBreak/>
        <w:t>（二）2019年部门决算情况</w:t>
      </w:r>
    </w:p>
    <w:p w:rsidR="00475C1C" w:rsidRDefault="003867B1">
      <w:pPr>
        <w:snapToGrid w:val="0"/>
        <w:spacing w:line="600" w:lineRule="exact"/>
        <w:ind w:firstLineChars="200" w:firstLine="600"/>
        <w:rPr>
          <w:rFonts w:asciiTheme="minorEastAsia" w:hAnsiTheme="minorEastAsia" w:cstheme="minorEastAsia"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kern w:val="0"/>
          <w:sz w:val="30"/>
          <w:szCs w:val="30"/>
        </w:rPr>
        <w:t>2019年收入决算数</w:t>
      </w:r>
      <w:r>
        <w:rPr>
          <w:rFonts w:asciiTheme="minorEastAsia" w:hAnsiTheme="minorEastAsia" w:cstheme="minorEastAsia" w:hint="eastAsia"/>
          <w:sz w:val="30"/>
          <w:szCs w:val="30"/>
        </w:rPr>
        <w:t>316.8</w:t>
      </w:r>
      <w:r>
        <w:rPr>
          <w:rFonts w:asciiTheme="minorEastAsia" w:hAnsiTheme="minorEastAsia" w:cstheme="minorEastAsia" w:hint="eastAsia"/>
          <w:kern w:val="0"/>
          <w:sz w:val="30"/>
          <w:szCs w:val="30"/>
        </w:rPr>
        <w:t>万元，其中财政拨款收入</w:t>
      </w:r>
      <w:r>
        <w:rPr>
          <w:rFonts w:asciiTheme="minorEastAsia" w:hAnsiTheme="minorEastAsia" w:cstheme="minorEastAsia" w:hint="eastAsia"/>
          <w:sz w:val="30"/>
          <w:szCs w:val="30"/>
        </w:rPr>
        <w:t>121.28</w:t>
      </w:r>
      <w:r>
        <w:rPr>
          <w:rFonts w:asciiTheme="minorEastAsia" w:hAnsiTheme="minorEastAsia" w:cstheme="minorEastAsia" w:hint="eastAsia"/>
          <w:kern w:val="0"/>
          <w:sz w:val="30"/>
          <w:szCs w:val="30"/>
        </w:rPr>
        <w:t>万元，</w:t>
      </w:r>
      <w:r>
        <w:rPr>
          <w:rFonts w:asciiTheme="minorEastAsia" w:hAnsiTheme="minorEastAsia" w:cstheme="minorEastAsia" w:hint="eastAsia"/>
          <w:sz w:val="30"/>
          <w:szCs w:val="30"/>
        </w:rPr>
        <w:t>上级补助收入20万元，</w:t>
      </w:r>
      <w:r>
        <w:rPr>
          <w:rFonts w:asciiTheme="minorEastAsia" w:hAnsiTheme="minorEastAsia" w:cstheme="minorEastAsia" w:hint="eastAsia"/>
          <w:kern w:val="0"/>
          <w:sz w:val="30"/>
          <w:szCs w:val="30"/>
        </w:rPr>
        <w:t>其他收入175.52万元。本年度收入决算数较上年收入决算数比上年增加234.45万元，增加284%。</w:t>
      </w:r>
    </w:p>
    <w:p w:rsidR="00475C1C" w:rsidRDefault="003867B1">
      <w:pPr>
        <w:snapToGrid w:val="0"/>
        <w:spacing w:line="600" w:lineRule="exact"/>
        <w:ind w:firstLineChars="200" w:firstLine="600"/>
        <w:rPr>
          <w:rFonts w:asciiTheme="minorEastAsia" w:hAnsiTheme="minorEastAsia" w:cstheme="minorEastAsia"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kern w:val="0"/>
          <w:sz w:val="30"/>
          <w:szCs w:val="30"/>
        </w:rPr>
        <w:t>2019年支出决算数</w:t>
      </w:r>
      <w:r>
        <w:rPr>
          <w:rFonts w:asciiTheme="minorEastAsia" w:hAnsiTheme="minorEastAsia" w:cstheme="minorEastAsia" w:hint="eastAsia"/>
          <w:sz w:val="30"/>
          <w:szCs w:val="30"/>
        </w:rPr>
        <w:t>391.64</w:t>
      </w:r>
      <w:r>
        <w:rPr>
          <w:rFonts w:asciiTheme="minorEastAsia" w:hAnsiTheme="minorEastAsia" w:cstheme="minorEastAsia" w:hint="eastAsia"/>
          <w:kern w:val="0"/>
          <w:sz w:val="30"/>
          <w:szCs w:val="30"/>
        </w:rPr>
        <w:t>万元，其中：基本支出203.35万元，项目支出188.29万元。本年度支出决算数较上年支出决算数比上年减少1621.26万元，减少80%。</w:t>
      </w:r>
      <w:r>
        <w:rPr>
          <w:rFonts w:asciiTheme="minorEastAsia" w:hAnsiTheme="minorEastAsia" w:cstheme="minorEastAsia" w:hint="eastAsia"/>
          <w:color w:val="000000"/>
          <w:sz w:val="30"/>
          <w:szCs w:val="30"/>
          <w:shd w:val="clear" w:color="auto" w:fill="FFFFFF"/>
        </w:rPr>
        <w:t>主要是因为项目支出单独列支。</w:t>
      </w:r>
    </w:p>
    <w:p w:rsidR="00475C1C" w:rsidRDefault="003867B1">
      <w:pPr>
        <w:snapToGrid w:val="0"/>
        <w:spacing w:line="600" w:lineRule="exact"/>
        <w:rPr>
          <w:rFonts w:asciiTheme="minorEastAsia" w:hAnsiTheme="minorEastAsia" w:cstheme="minorEastAsia"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kern w:val="0"/>
          <w:sz w:val="30"/>
          <w:szCs w:val="30"/>
        </w:rPr>
        <w:t>（三）2019年支出分类情况</w:t>
      </w:r>
    </w:p>
    <w:p w:rsidR="00475C1C" w:rsidRDefault="003867B1">
      <w:pPr>
        <w:snapToGrid w:val="0"/>
        <w:spacing w:line="600" w:lineRule="exact"/>
        <w:ind w:firstLineChars="200" w:firstLine="600"/>
        <w:rPr>
          <w:rFonts w:asciiTheme="minorEastAsia" w:hAnsiTheme="minorEastAsia" w:cstheme="minorEastAsia"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kern w:val="0"/>
          <w:sz w:val="30"/>
          <w:szCs w:val="30"/>
        </w:rPr>
        <w:t>1.基本支出</w:t>
      </w:r>
    </w:p>
    <w:p w:rsidR="00475C1C" w:rsidRDefault="003867B1">
      <w:pPr>
        <w:snapToGrid w:val="0"/>
        <w:spacing w:line="600" w:lineRule="exact"/>
        <w:ind w:firstLineChars="200" w:firstLine="600"/>
        <w:rPr>
          <w:rFonts w:asciiTheme="minorEastAsia" w:hAnsiTheme="minorEastAsia" w:cstheme="minorEastAsia"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kern w:val="0"/>
          <w:sz w:val="30"/>
          <w:szCs w:val="30"/>
        </w:rPr>
        <w:t>基本支出</w:t>
      </w:r>
      <w:proofErr w:type="gramStart"/>
      <w:r>
        <w:rPr>
          <w:rFonts w:asciiTheme="minorEastAsia" w:hAnsiTheme="minorEastAsia" w:cstheme="minorEastAsia" w:hint="eastAsia"/>
          <w:kern w:val="0"/>
          <w:sz w:val="30"/>
          <w:szCs w:val="30"/>
        </w:rPr>
        <w:t>系保障</w:t>
      </w:r>
      <w:proofErr w:type="gramEnd"/>
      <w:r>
        <w:rPr>
          <w:rFonts w:asciiTheme="minorEastAsia" w:hAnsiTheme="minorEastAsia" w:cstheme="minorEastAsia" w:hint="eastAsia"/>
          <w:kern w:val="0"/>
          <w:sz w:val="30"/>
          <w:szCs w:val="30"/>
        </w:rPr>
        <w:t>我局正常运转、完成日常工作任务而发生的各项支出，包括用于在职和离退休人员基本工资、津贴补贴等人员经费。2019年基本支出203.35万元，较上年82.35万元增加121万元，增加146%。</w:t>
      </w:r>
    </w:p>
    <w:p w:rsidR="00475C1C" w:rsidRDefault="003867B1">
      <w:pPr>
        <w:snapToGrid w:val="0"/>
        <w:spacing w:line="600" w:lineRule="exact"/>
        <w:ind w:firstLineChars="200" w:firstLine="600"/>
        <w:rPr>
          <w:rFonts w:asciiTheme="minorEastAsia" w:hAnsiTheme="minorEastAsia" w:cstheme="minorEastAsia"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kern w:val="0"/>
          <w:sz w:val="30"/>
          <w:szCs w:val="30"/>
        </w:rPr>
        <w:t>2.项目支出</w:t>
      </w:r>
    </w:p>
    <w:p w:rsidR="00475C1C" w:rsidRDefault="003867B1">
      <w:pPr>
        <w:snapToGrid w:val="0"/>
        <w:spacing w:line="600" w:lineRule="exact"/>
        <w:ind w:firstLineChars="200" w:firstLine="600"/>
        <w:rPr>
          <w:rFonts w:asciiTheme="minorEastAsia" w:hAnsiTheme="minorEastAsia" w:cstheme="minorEastAsia"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kern w:val="0"/>
          <w:sz w:val="30"/>
          <w:szCs w:val="30"/>
        </w:rPr>
        <w:t>项目支出系我局为完成特定行政任务和事业发展目标所发生的支出。2019年项目支出188.29万元，较上年1930.55万元减少1742.26万元。项目支出中社会保障和就业支出项目188.29万元，占比100%。</w:t>
      </w:r>
    </w:p>
    <w:p w:rsidR="00475C1C" w:rsidRDefault="003867B1">
      <w:pPr>
        <w:snapToGrid w:val="0"/>
        <w:spacing w:line="600" w:lineRule="exact"/>
        <w:ind w:firstLineChars="200" w:firstLine="600"/>
        <w:rPr>
          <w:rFonts w:asciiTheme="minorEastAsia" w:hAnsiTheme="minorEastAsia" w:cstheme="minorEastAsia"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kern w:val="0"/>
          <w:sz w:val="30"/>
          <w:szCs w:val="30"/>
        </w:rPr>
        <w:t xml:space="preserve"> 3、“三公”经费情况</w:t>
      </w:r>
    </w:p>
    <w:p w:rsidR="00475C1C" w:rsidRDefault="003867B1">
      <w:pPr>
        <w:pStyle w:val="a3"/>
        <w:widowControl/>
        <w:shd w:val="clear" w:color="auto" w:fill="FFFFFF"/>
        <w:spacing w:beforeAutospacing="0" w:afterAutospacing="0" w:line="390" w:lineRule="atLeast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“三公”经费财政拨款支出预算为0万元，支出决算为0万元。</w:t>
      </w:r>
    </w:p>
    <w:p w:rsidR="00475C1C" w:rsidRDefault="003867B1">
      <w:pPr>
        <w:pStyle w:val="a3"/>
        <w:widowControl/>
        <w:shd w:val="clear" w:color="auto" w:fill="FFFFFF"/>
        <w:spacing w:beforeAutospacing="0" w:afterAutospacing="0" w:line="390" w:lineRule="atLeast"/>
        <w:rPr>
          <w:rFonts w:ascii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其中：</w:t>
      </w:r>
    </w:p>
    <w:p w:rsidR="00475C1C" w:rsidRDefault="003867B1">
      <w:pPr>
        <w:pStyle w:val="a3"/>
        <w:widowControl/>
        <w:shd w:val="clear" w:color="auto" w:fill="FFFFFF"/>
        <w:spacing w:beforeAutospacing="0" w:afterAutospacing="0" w:line="390" w:lineRule="atLeast"/>
        <w:ind w:firstLineChars="200" w:firstLine="600"/>
        <w:rPr>
          <w:rFonts w:ascii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因公出国（境）费支出预算为0万元，支出决算为0万元。</w:t>
      </w:r>
    </w:p>
    <w:p w:rsidR="00475C1C" w:rsidRDefault="003867B1">
      <w:pPr>
        <w:pStyle w:val="a3"/>
        <w:widowControl/>
        <w:shd w:val="clear" w:color="auto" w:fill="FFFFFF"/>
        <w:spacing w:beforeAutospacing="0" w:afterAutospacing="0" w:line="390" w:lineRule="atLeast"/>
        <w:rPr>
          <w:rFonts w:ascii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公务接待费支出预算为0万元，支出决算为0万元，完成预算的0%，，与上年相比减少0万元。</w:t>
      </w:r>
    </w:p>
    <w:p w:rsidR="00475C1C" w:rsidRDefault="003867B1">
      <w:pPr>
        <w:pStyle w:val="a3"/>
        <w:widowControl/>
        <w:shd w:val="clear" w:color="auto" w:fill="FFFFFF"/>
        <w:spacing w:beforeAutospacing="0" w:afterAutospacing="0" w:line="390" w:lineRule="atLeast"/>
        <w:rPr>
          <w:rFonts w:ascii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公务用车购置费及运行维护费支出预算为0万元，支出决算为0万元，完成预算的0%，与上年相比减少0万元，减少0%。</w:t>
      </w:r>
    </w:p>
    <w:p w:rsidR="00475C1C" w:rsidRDefault="00475C1C">
      <w:pPr>
        <w:snapToGrid w:val="0"/>
        <w:spacing w:line="600" w:lineRule="exact"/>
        <w:ind w:firstLineChars="200" w:firstLine="600"/>
        <w:rPr>
          <w:rFonts w:asciiTheme="minorEastAsia" w:hAnsiTheme="minorEastAsia" w:cstheme="minorEastAsia"/>
          <w:kern w:val="0"/>
          <w:sz w:val="30"/>
          <w:szCs w:val="30"/>
        </w:rPr>
      </w:pPr>
    </w:p>
    <w:p w:rsidR="00475C1C" w:rsidRDefault="003867B1">
      <w:pPr>
        <w:snapToGrid w:val="0"/>
        <w:spacing w:line="600" w:lineRule="exact"/>
        <w:ind w:firstLineChars="200" w:firstLine="600"/>
        <w:rPr>
          <w:rFonts w:asciiTheme="minorEastAsia" w:hAnsiTheme="minorEastAsia" w:cstheme="minorEastAsia"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kern w:val="0"/>
          <w:sz w:val="30"/>
          <w:szCs w:val="30"/>
        </w:rPr>
        <w:lastRenderedPageBreak/>
        <w:t>三、部门整体支出绩效情况</w:t>
      </w:r>
    </w:p>
    <w:p w:rsidR="00475C1C" w:rsidRDefault="003867B1">
      <w:pPr>
        <w:snapToGrid w:val="0"/>
        <w:spacing w:line="600" w:lineRule="exact"/>
        <w:ind w:firstLineChars="200" w:firstLine="600"/>
        <w:rPr>
          <w:rFonts w:asciiTheme="minorEastAsia" w:hAnsiTheme="minorEastAsia" w:cstheme="minorEastAsia"/>
          <w:color w:val="000000"/>
          <w:sz w:val="30"/>
          <w:szCs w:val="30"/>
          <w:shd w:val="clear" w:color="auto" w:fill="FFFFFF"/>
        </w:rPr>
      </w:pPr>
      <w:r>
        <w:rPr>
          <w:rFonts w:asciiTheme="minorEastAsia" w:hAnsiTheme="minorEastAsia" w:cstheme="minorEastAsia" w:hint="eastAsia"/>
          <w:kern w:val="0"/>
          <w:sz w:val="30"/>
          <w:szCs w:val="30"/>
        </w:rPr>
        <w:t>2019年，</w:t>
      </w:r>
      <w:r>
        <w:rPr>
          <w:rFonts w:asciiTheme="minorEastAsia" w:hAnsiTheme="minorEastAsia" w:cstheme="minorEastAsia" w:hint="eastAsia"/>
          <w:color w:val="000000"/>
          <w:sz w:val="30"/>
          <w:szCs w:val="30"/>
          <w:shd w:val="clear" w:color="auto" w:fill="FFFFFF"/>
        </w:rPr>
        <w:t>年初以来，我局积极完善政策措施，创新工作方式，大力实施“三项措施”促进城镇新增就业工作。</w:t>
      </w:r>
    </w:p>
    <w:p w:rsidR="00475C1C" w:rsidRDefault="003867B1" w:rsidP="003867B1">
      <w:pPr>
        <w:snapToGrid w:val="0"/>
        <w:spacing w:line="600" w:lineRule="exact"/>
        <w:ind w:firstLineChars="200" w:firstLine="602"/>
        <w:rPr>
          <w:rFonts w:asciiTheme="minorEastAsia" w:hAnsiTheme="minorEastAsia" w:cstheme="minorEastAsia"/>
          <w:color w:val="000000"/>
          <w:sz w:val="30"/>
          <w:szCs w:val="30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30"/>
          <w:szCs w:val="30"/>
          <w:shd w:val="clear" w:color="auto" w:fill="FFFFFF"/>
        </w:rPr>
        <w:t>一是积极落实就业优惠政策</w:t>
      </w:r>
      <w:r>
        <w:rPr>
          <w:rFonts w:asciiTheme="minorEastAsia" w:hAnsiTheme="minorEastAsia" w:cstheme="minorEastAsia" w:hint="eastAsia"/>
          <w:color w:val="000000"/>
          <w:sz w:val="30"/>
          <w:szCs w:val="30"/>
          <w:shd w:val="clear" w:color="auto" w:fill="FFFFFF"/>
        </w:rPr>
        <w:t>。积极落实小额担保贷款有关政策，结合我区实际，积极探索小额担保贷款在促进就业方面的作用，对有关创业者进行走访调查，切实将小额担保贷款有关政策落实到位，充分发挥促进就业的功能。</w:t>
      </w:r>
    </w:p>
    <w:p w:rsidR="00475C1C" w:rsidRDefault="003867B1" w:rsidP="003867B1">
      <w:pPr>
        <w:snapToGrid w:val="0"/>
        <w:spacing w:line="600" w:lineRule="exact"/>
        <w:ind w:firstLineChars="200" w:firstLine="602"/>
        <w:rPr>
          <w:rFonts w:asciiTheme="minorEastAsia" w:hAnsiTheme="minorEastAsia" w:cstheme="minorEastAsia"/>
          <w:color w:val="000000"/>
          <w:sz w:val="30"/>
          <w:szCs w:val="30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30"/>
          <w:szCs w:val="30"/>
          <w:shd w:val="clear" w:color="auto" w:fill="FFFFFF"/>
        </w:rPr>
        <w:t>二是大力开展公共就业专项活动。</w:t>
      </w:r>
      <w:r>
        <w:rPr>
          <w:rFonts w:asciiTheme="minorEastAsia" w:hAnsiTheme="minorEastAsia" w:cstheme="minorEastAsia" w:hint="eastAsia"/>
          <w:color w:val="000000"/>
          <w:sz w:val="30"/>
          <w:szCs w:val="30"/>
          <w:shd w:val="clear" w:color="auto" w:fill="FFFFFF"/>
        </w:rPr>
        <w:t>首先是</w:t>
      </w:r>
      <w:r>
        <w:rPr>
          <w:rFonts w:asciiTheme="minorEastAsia" w:hAnsiTheme="minorEastAsia" w:cstheme="minorEastAsia" w:hint="eastAsia"/>
          <w:b/>
          <w:bCs/>
          <w:color w:val="000000"/>
          <w:sz w:val="30"/>
          <w:szCs w:val="30"/>
          <w:shd w:val="clear" w:color="auto" w:fill="FFFFFF"/>
        </w:rPr>
        <w:t>服务企业促就业</w:t>
      </w:r>
      <w:r>
        <w:rPr>
          <w:rFonts w:asciiTheme="minorEastAsia" w:hAnsiTheme="minorEastAsia" w:cstheme="minorEastAsia" w:hint="eastAsia"/>
          <w:color w:val="000000"/>
          <w:sz w:val="30"/>
          <w:szCs w:val="30"/>
          <w:shd w:val="clear" w:color="auto" w:fill="FFFFFF"/>
        </w:rPr>
        <w:t>。我们对区内急需用工的富士康、燕京啤酒等企业多次进行调查摸底，了解缺岗情况，多次召开乡镇（街道）劳动保障服务站工作会议研究解决求职招工等问题，将任务分解，层层落实，积极为企业和求职者牵线搭桥。其次是</w:t>
      </w:r>
      <w:r>
        <w:rPr>
          <w:rFonts w:asciiTheme="minorEastAsia" w:hAnsiTheme="minorEastAsia" w:cstheme="minorEastAsia" w:hint="eastAsia"/>
          <w:b/>
          <w:bCs/>
          <w:color w:val="000000"/>
          <w:sz w:val="30"/>
          <w:szCs w:val="30"/>
          <w:shd w:val="clear" w:color="auto" w:fill="FFFFFF"/>
        </w:rPr>
        <w:t>专项服务促就业</w:t>
      </w:r>
      <w:r>
        <w:rPr>
          <w:rFonts w:asciiTheme="minorEastAsia" w:hAnsiTheme="minorEastAsia" w:cstheme="minorEastAsia" w:hint="eastAsia"/>
          <w:color w:val="000000"/>
          <w:sz w:val="30"/>
          <w:szCs w:val="30"/>
          <w:shd w:val="clear" w:color="auto" w:fill="FFFFFF"/>
        </w:rPr>
        <w:t>。今年来我们组织了招聘会吸引了衡阳富士康、</w:t>
      </w:r>
      <w:proofErr w:type="gramStart"/>
      <w:r>
        <w:rPr>
          <w:rFonts w:asciiTheme="minorEastAsia" w:hAnsiTheme="minorEastAsia" w:cstheme="minorEastAsia" w:hint="eastAsia"/>
          <w:color w:val="000000"/>
          <w:sz w:val="30"/>
          <w:szCs w:val="30"/>
          <w:shd w:val="clear" w:color="auto" w:fill="FFFFFF"/>
        </w:rPr>
        <w:t>长沙蓝思科技</w:t>
      </w:r>
      <w:proofErr w:type="gramEnd"/>
      <w:r>
        <w:rPr>
          <w:rFonts w:asciiTheme="minorEastAsia" w:hAnsiTheme="minorEastAsia" w:cstheme="minorEastAsia" w:hint="eastAsia"/>
          <w:color w:val="000000"/>
          <w:sz w:val="30"/>
          <w:szCs w:val="30"/>
          <w:shd w:val="clear" w:color="auto" w:fill="FFFFFF"/>
        </w:rPr>
        <w:t>、燕京啤酒等400余家企业积极参与，涉及制造、家政、餐饮、保安、保险、文员等13000余个“接地气”的工作岗位，帮忙返乡农民工、失业人员实现“在家门口创业就业”的梦想。最后是</w:t>
      </w:r>
      <w:r>
        <w:rPr>
          <w:rFonts w:asciiTheme="minorEastAsia" w:hAnsiTheme="minorEastAsia" w:cstheme="minorEastAsia" w:hint="eastAsia"/>
          <w:b/>
          <w:bCs/>
          <w:color w:val="000000"/>
          <w:sz w:val="30"/>
          <w:szCs w:val="30"/>
          <w:shd w:val="clear" w:color="auto" w:fill="FFFFFF"/>
        </w:rPr>
        <w:t>积极开拓就业岗位</w:t>
      </w:r>
      <w:r>
        <w:rPr>
          <w:rFonts w:asciiTheme="minorEastAsia" w:hAnsiTheme="minorEastAsia" w:cstheme="minorEastAsia" w:hint="eastAsia"/>
          <w:color w:val="000000"/>
          <w:sz w:val="30"/>
          <w:szCs w:val="30"/>
          <w:shd w:val="clear" w:color="auto" w:fill="FFFFFF"/>
        </w:rPr>
        <w:t>，劳动就业工作的根本任务促进就业、实现就业。为此，我局多渠道、多层次开发就业岗位。①开发公益性岗位，重点扶持“4050”人员。如保洁、城市协管等公共岗位；②发展私营、民营经济，吸纳失业人员再就业，真心实意为失业人员提供再就业机会。通过宣传、张贴、报纸以及工作人员走出去广泛收集用工信息等，开拓就业门路。</w:t>
      </w:r>
    </w:p>
    <w:p w:rsidR="00475C1C" w:rsidRDefault="003867B1" w:rsidP="003867B1">
      <w:pPr>
        <w:snapToGrid w:val="0"/>
        <w:spacing w:line="600" w:lineRule="exact"/>
        <w:ind w:firstLineChars="200" w:firstLine="602"/>
        <w:rPr>
          <w:rFonts w:asciiTheme="minorEastAsia" w:hAnsiTheme="minorEastAsia" w:cstheme="minorEastAsia"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30"/>
          <w:szCs w:val="30"/>
          <w:shd w:val="clear" w:color="auto" w:fill="FFFFFF"/>
        </w:rPr>
        <w:t>三是加强工作督查。</w:t>
      </w:r>
      <w:r>
        <w:rPr>
          <w:rFonts w:asciiTheme="minorEastAsia" w:hAnsiTheme="minorEastAsia" w:cstheme="minorEastAsia" w:hint="eastAsia"/>
          <w:color w:val="000000"/>
          <w:sz w:val="30"/>
          <w:szCs w:val="30"/>
          <w:shd w:val="clear" w:color="auto" w:fill="FFFFFF"/>
        </w:rPr>
        <w:t>对各街道、乡镇的城镇新增就业工作的系统录入、报表、台</w:t>
      </w:r>
      <w:r w:rsidR="0050066E">
        <w:rPr>
          <w:rFonts w:asciiTheme="minorEastAsia" w:hAnsiTheme="minorEastAsia" w:cstheme="minorEastAsia" w:hint="eastAsia"/>
          <w:color w:val="000000"/>
          <w:sz w:val="30"/>
          <w:szCs w:val="30"/>
          <w:shd w:val="clear" w:color="auto" w:fill="FFFFFF"/>
        </w:rPr>
        <w:t>账</w:t>
      </w:r>
      <w:r>
        <w:rPr>
          <w:rFonts w:asciiTheme="minorEastAsia" w:hAnsiTheme="minorEastAsia" w:cstheme="minorEastAsia" w:hint="eastAsia"/>
          <w:color w:val="000000"/>
          <w:sz w:val="30"/>
          <w:szCs w:val="30"/>
          <w:shd w:val="clear" w:color="auto" w:fill="FFFFFF"/>
        </w:rPr>
        <w:t>、电话回访等都进行了全面检查，对发现的问题进行及时整改。</w:t>
      </w:r>
    </w:p>
    <w:p w:rsidR="00475C1C" w:rsidRDefault="003867B1" w:rsidP="003867B1">
      <w:pPr>
        <w:snapToGrid w:val="0"/>
        <w:spacing w:line="600" w:lineRule="exact"/>
        <w:ind w:firstLineChars="200" w:firstLine="602"/>
        <w:rPr>
          <w:rFonts w:asciiTheme="minorEastAsia" w:hAnsiTheme="minorEastAsia" w:cstheme="minorEastAsia"/>
          <w:b/>
          <w:bCs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kern w:val="0"/>
          <w:sz w:val="30"/>
          <w:szCs w:val="30"/>
        </w:rPr>
        <w:t>四、存在的不足</w:t>
      </w:r>
    </w:p>
    <w:p w:rsidR="00475C1C" w:rsidRDefault="003867B1">
      <w:pPr>
        <w:snapToGrid w:val="0"/>
        <w:spacing w:line="600" w:lineRule="exact"/>
        <w:ind w:firstLineChars="200" w:firstLine="600"/>
        <w:rPr>
          <w:rFonts w:asciiTheme="minorEastAsia" w:hAnsiTheme="minorEastAsia" w:cstheme="minorEastAsia"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kern w:val="0"/>
          <w:sz w:val="30"/>
          <w:szCs w:val="30"/>
        </w:rPr>
        <w:t>运用绩效指标评价体系还不够深入；全面绩效责任约束作用不强，预算执行绩效目标匹配度有待进一步提高。</w:t>
      </w:r>
    </w:p>
    <w:p w:rsidR="00475C1C" w:rsidRDefault="00475C1C">
      <w:pPr>
        <w:snapToGrid w:val="0"/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</w:p>
    <w:p w:rsidR="00475C1C" w:rsidRDefault="00475C1C">
      <w:pPr>
        <w:snapToGrid w:val="0"/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</w:p>
    <w:p w:rsidR="00475C1C" w:rsidRDefault="00475C1C">
      <w:pPr>
        <w:pStyle w:val="Char"/>
        <w:widowControl/>
        <w:spacing w:before="0" w:beforeAutospacing="0"/>
        <w:rPr>
          <w:rFonts w:ascii="仿宋" w:eastAsia="仿宋" w:hAnsi="仿宋" w:cs="仿宋" w:hint="default"/>
          <w:color w:val="FF0000"/>
          <w:sz w:val="32"/>
          <w:szCs w:val="32"/>
        </w:rPr>
      </w:pPr>
    </w:p>
    <w:p w:rsidR="00475C1C" w:rsidRDefault="00475C1C">
      <w:pPr>
        <w:rPr>
          <w:rFonts w:ascii="仿宋" w:eastAsia="仿宋" w:hAnsi="仿宋" w:cs="仿宋"/>
          <w:sz w:val="32"/>
          <w:szCs w:val="32"/>
        </w:rPr>
      </w:pPr>
    </w:p>
    <w:p w:rsidR="00475C1C" w:rsidRDefault="00475C1C">
      <w:pPr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475C1C" w:rsidRDefault="00475C1C"/>
    <w:sectPr w:rsidR="00475C1C" w:rsidSect="00475C1C">
      <w:pgSz w:w="11906" w:h="16838"/>
      <w:pgMar w:top="720" w:right="720" w:bottom="720" w:left="72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C2A2D0B"/>
    <w:rsid w:val="003867B1"/>
    <w:rsid w:val="00475C1C"/>
    <w:rsid w:val="0050066E"/>
    <w:rsid w:val="1C2A2D0B"/>
    <w:rsid w:val="281E4338"/>
    <w:rsid w:val="4E331E9B"/>
    <w:rsid w:val="6A765799"/>
    <w:rsid w:val="7E77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F33683-509E-49F8-B285-EA86F205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5C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475C1C"/>
    <w:pPr>
      <w:keepNext/>
      <w:keepLines/>
      <w:spacing w:line="576" w:lineRule="auto"/>
      <w:outlineLvl w:val="0"/>
    </w:pPr>
    <w:rPr>
      <w:rFonts w:ascii="Calibri" w:eastAsia="黑体" w:hAnsi="Calibri" w:cs="Times New Roman"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5C1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Char">
    <w:name w:val="普通(网站) Char"/>
    <w:basedOn w:val="a"/>
    <w:qFormat/>
    <w:rsid w:val="00475C1C"/>
    <w:pPr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</dc:creator>
  <cp:lastModifiedBy>Administrator</cp:lastModifiedBy>
  <cp:revision>4</cp:revision>
  <dcterms:created xsi:type="dcterms:W3CDTF">2020-10-14T04:52:00Z</dcterms:created>
  <dcterms:modified xsi:type="dcterms:W3CDTF">2025-01-16T03:07:00Z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10E65598AD15458DBA89C3BE35F16A34</vt:lpwstr>
  </property>
</Properties>
</file>