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63" w:rsidRDefault="009C492A">
      <w:pPr>
        <w:pStyle w:val="a3"/>
        <w:widowControl/>
        <w:spacing w:before="75" w:beforeAutospacing="0" w:after="75" w:afterAutospacing="0"/>
      </w:pPr>
      <w:r>
        <w:t>2019</w:t>
      </w:r>
      <w:r>
        <w:t>年度部门整体支出绩效自评报告</w:t>
      </w:r>
    </w:p>
    <w:p w:rsidR="00643363" w:rsidRDefault="00643363">
      <w:pPr>
        <w:pStyle w:val="a3"/>
        <w:widowControl/>
        <w:spacing w:before="75" w:beforeAutospacing="0" w:after="75" w:afterAutospacing="0"/>
      </w:pPr>
    </w:p>
    <w:p w:rsidR="00643363" w:rsidRDefault="009C492A">
      <w:pPr>
        <w:pStyle w:val="a3"/>
        <w:widowControl/>
        <w:spacing w:before="75" w:beforeAutospacing="0" w:after="75" w:afterAutospacing="0"/>
      </w:pPr>
      <w:r>
        <w:t>根据《中华人民共和国预算法》</w:t>
      </w:r>
      <w:r>
        <w:t>有关</w:t>
      </w:r>
      <w:r>
        <w:t>“</w:t>
      </w:r>
      <w:r>
        <w:t>各级政府、各部门、各单位应当对预算支出情况开展绩效评价</w:t>
      </w:r>
      <w:r>
        <w:t>”</w:t>
      </w:r>
      <w:r>
        <w:t>的规定，结合实际情况，我办对</w:t>
      </w:r>
      <w:r>
        <w:t>2019</w:t>
      </w:r>
      <w:r>
        <w:t>年度部门整体支出进行了绩效自评，现报告如下：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一、部门基本情况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1</w:t>
      </w:r>
      <w:r>
        <w:t>、</w:t>
      </w:r>
      <w:r>
        <w:t xml:space="preserve"> </w:t>
      </w:r>
      <w:r>
        <w:t>部门职责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一）贯彻落实国家、省、市有关工业经济和信息化、科学技术方面的方针政策和法律法规；组织起草工业经济和信息化、科学技术有关规范性文件草案，拟订并组织实施工业经济和信息化、科学技术规划和年度计划。指导协调政府各部门和乡镇的工业、科技、信息化管理工作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二）负责全区工业和信息化领域的日常经济运行调节工作，编制并组织实施近期工业经济和信息化领域的经济运行调控目标、政策和措施；监测分析近期全区工业和信息化领域的经济运行态势，统计并发布相关信息，协调解决工业经济运行中的突出矛盾和问题并提出政策建议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三）拟定全区新型工业化的发展战略，协调解决有关重大问题；综合管理全区工业经济，指导、协调和服务工业企业；负责推进信息化和工业化融合，推进全区工业信息化；指导全区工业技术创新、品牌升级和管理创新，引导优先发展高科技、高附加值产业，大力推进节能减排，发展低碳工业经济</w:t>
      </w:r>
      <w:r>
        <w:t>；负责全区优势工业产业与重点工业企业的培育和发展工作；负责指导全区规模工业企业的统计和考核工作。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四）会同有关部门研究提出全区科技发展、工业企业发展重大布局政策建议，参与对经济、多学科的综合性项目、引进项目的论证与决策，组织实施省、市、区科技专项、关键技术和共性技术攻关；会同有关部门提出科技体制改革的政策和措施建议、推进科技体制改革工作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（五）负责提出工业和信息化固定资产投资规模和方向的意见，按规定权限负责工业固定资产投资项目管理工作。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（六）推进全区创新体系建设，会同有关部门推荐或认定创新型企业、民营</w:t>
      </w:r>
      <w:r>
        <w:t>科技企业和自主创新产品，加强技术创新平台的建设，促进民营科技和科技型中小企业的技术创新工作，推进中小企业服务体系建设和全民创业。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（七）会同有关部门拟订高新技术发展的政策措施，指导高新技术及应用技术的开发与推广，会同有关部门推荐或认定高新技术企业和高新技术产品，指导各类科技示范推广基地的建设与管理。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八）拟订科技服务业发展的政策和规划，拟订促进技术市场、科技中介组织发展的政策措施，负责技术市场、科技中介组织的指导和监督管理，负责全区科技奖励、科技保密、科技评估、科技统计、科技情况信息；防震、减灾工作，推进</w:t>
      </w:r>
      <w:r>
        <w:t>民营科技工作。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（九）研究提出多渠道增加科技投入的措施建议，优化科技资源；会同有关部门提出科技资源合理配置的政策建议，推动科技资源共建共享，促进科技和金融结合，建立科技金融服务的统筹协调机制；负责科技</w:t>
      </w:r>
      <w:r>
        <w:t>“</w:t>
      </w:r>
      <w:r>
        <w:t>三项</w:t>
      </w:r>
      <w:r>
        <w:t>”</w:t>
      </w:r>
      <w:r>
        <w:t>经费的预、决算和经费使用的监督管理。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lastRenderedPageBreak/>
        <w:t>（十）牵头组织协调产学研结合工作，推进产学研创新联盟建设，会同有关部门制定科技成果推广政策，指导科技成果转化。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（十一）组织拟订科技促进农村和社会发展的政策措施，会同以后管部门推进全区农村科技创新示范点建设，促进以科技改善民生为重点的农村建设和社会建设。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（十二）组</w:t>
      </w:r>
      <w:r>
        <w:t>织研究指示产权事业发展战略和有关指示产权方面的重大问题，协调指导知识产权保护和创新体系的建立，指导企业专利工作，组织重大专利技术实施，负责专利市场的规范和管理，依法处理和调解专利纠纷、查处专利违法行为；统筹、协调、指导知识产权战略的实施，牵头建立重大经济活动知识产权特别审查制度，组织建立知识产权预警、涉外应对、维权援助机制和推动建立知识产权统计和考核制度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（十三）指导、协调全区工业经济和信息化及科技领域的对外交流与合作；指导全区工业经济和信息化及科技领域人才开发与培训工作。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（十四）负责职责范围内对有关行</w:t>
      </w:r>
      <w:r>
        <w:t>业、领域的安全生产工作实施监督管理。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（十五）负责统计检测全面建成小康社会相关指标数据，并分析研究提出对策建议，及时发出预警信息。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（十六）承办区人民政府交办的其他事项。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2</w:t>
      </w:r>
      <w:r>
        <w:t>、机构设置及决算单位构成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（一）内设机构设置。经科信局共有</w:t>
      </w:r>
      <w:r>
        <w:t>3</w:t>
      </w:r>
      <w:r>
        <w:t>个内设机构，分别是：办公室与地震管理股、工业和信息化股、科技股。</w:t>
      </w:r>
      <w:r>
        <w:t>2019</w:t>
      </w:r>
      <w:r>
        <w:t>年部门在职人员</w:t>
      </w:r>
      <w:r>
        <w:t>7</w:t>
      </w:r>
      <w:r>
        <w:t>人。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（二）决算单位构成。经科信局</w:t>
      </w:r>
      <w:r>
        <w:t>2019</w:t>
      </w:r>
      <w:r>
        <w:t>年部门决算公开单位构成为单位本级。二、部门整体支出管理及使用情况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（一）</w:t>
      </w:r>
      <w:r>
        <w:t>2019</w:t>
      </w:r>
      <w:r>
        <w:t>年部门预算情况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我办</w:t>
      </w:r>
      <w:r>
        <w:t>2019</w:t>
      </w:r>
      <w:r>
        <w:t>年度收入预算</w:t>
      </w:r>
      <w:r>
        <w:t>662.07</w:t>
      </w:r>
      <w:r>
        <w:t>万元（其中：一般</w:t>
      </w:r>
      <w:r>
        <w:t>公共预算拨款</w:t>
      </w:r>
      <w:r>
        <w:t>662.07</w:t>
      </w:r>
      <w:r>
        <w:t>万元），其中：基本支出</w:t>
      </w:r>
      <w:r>
        <w:t>103.87</w:t>
      </w:r>
      <w:r>
        <w:t>万元（工资福利支出</w:t>
      </w:r>
      <w:r>
        <w:t>96.87</w:t>
      </w:r>
      <w:r>
        <w:t>万元，商品和服务支出</w:t>
      </w:r>
      <w:r>
        <w:t>7</w:t>
      </w:r>
      <w:r>
        <w:t>万元，）；项目支出</w:t>
      </w:r>
      <w:r>
        <w:t>558.2</w:t>
      </w:r>
      <w:r>
        <w:t>万元。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（二）</w:t>
      </w:r>
      <w:r>
        <w:t>2019</w:t>
      </w:r>
      <w:r>
        <w:t>年部门决算情况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2019</w:t>
      </w:r>
      <w:r>
        <w:t>年收入决算数</w:t>
      </w:r>
      <w:r>
        <w:t>662.85</w:t>
      </w:r>
      <w:r>
        <w:t>万元，其中财政拨款收入</w:t>
      </w:r>
      <w:r>
        <w:t>662.07</w:t>
      </w:r>
      <w:r>
        <w:t>万元，其他收入</w:t>
      </w:r>
      <w:r>
        <w:t>0.78</w:t>
      </w:r>
      <w:r>
        <w:t>万元。本年度收入决算数较上年收入决算数比上年增加</w:t>
      </w:r>
      <w:r>
        <w:t>365.08</w:t>
      </w:r>
      <w:r>
        <w:t>万元，增加</w:t>
      </w:r>
      <w:r>
        <w:t>122.6%</w:t>
      </w:r>
      <w:r>
        <w:t>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2019</w:t>
      </w:r>
      <w:r>
        <w:t>年支出决算数</w:t>
      </w:r>
      <w:r>
        <w:t>212.25</w:t>
      </w:r>
      <w:r>
        <w:t>万元，其中：人员经费</w:t>
      </w:r>
      <w:r>
        <w:t>94.99</w:t>
      </w:r>
      <w:r>
        <w:t>万元，日常公用经费</w:t>
      </w:r>
      <w:r>
        <w:t>6.73</w:t>
      </w:r>
      <w:r>
        <w:t>万元，项目支出</w:t>
      </w:r>
      <w:r>
        <w:t>110.53</w:t>
      </w:r>
      <w:r>
        <w:t>万元。本年度支出决算数较上年支出决算数</w:t>
      </w:r>
      <w:r>
        <w:t>5.09</w:t>
      </w:r>
      <w:r>
        <w:t>万元，增加</w:t>
      </w:r>
      <w:r>
        <w:t>4.83%</w:t>
      </w:r>
      <w:r>
        <w:t>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（三）</w:t>
      </w:r>
      <w:r>
        <w:t>2019</w:t>
      </w:r>
      <w:r>
        <w:t>年支出分类情况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1.</w:t>
      </w:r>
      <w:r>
        <w:t>基本支出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基本支出系保障我办正常运转、完成日常工作任务而发生的各项支出，包括用于在职和离退休人员基本工资、津贴补贴等人员经费以及办公费、印刷费、水电费、维修（护）费等日常公用经费。</w:t>
      </w:r>
      <w:r>
        <w:t>2019</w:t>
      </w:r>
      <w:r>
        <w:t>年基本支出</w:t>
      </w:r>
      <w:r>
        <w:t>101.72</w:t>
      </w:r>
      <w:r>
        <w:t>万元，较上年</w:t>
      </w:r>
      <w:r>
        <w:t>64.35</w:t>
      </w:r>
      <w:r>
        <w:t>万元增加</w:t>
      </w:r>
      <w:r>
        <w:t>37.37</w:t>
      </w:r>
      <w:r>
        <w:t>万元，增加</w:t>
      </w:r>
      <w:r>
        <w:t>58.08%</w:t>
      </w:r>
      <w:r>
        <w:t>。基本支出中人员经费</w:t>
      </w:r>
      <w:r>
        <w:t>9</w:t>
      </w:r>
      <w:r>
        <w:t>4.99</w:t>
      </w:r>
      <w:r>
        <w:t>万元，占比</w:t>
      </w:r>
      <w:r>
        <w:t>93.38%</w:t>
      </w:r>
      <w:r>
        <w:t>，日常公用经费</w:t>
      </w:r>
      <w:r>
        <w:t>6.73</w:t>
      </w:r>
      <w:r>
        <w:t>万元，占比</w:t>
      </w:r>
      <w:r>
        <w:t>6.62%</w:t>
      </w:r>
      <w:r>
        <w:t>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lastRenderedPageBreak/>
        <w:t>2.</w:t>
      </w:r>
      <w:r>
        <w:t>项目支出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项目支出系我办为完成特定行政任务和事业发展目标所发生的支出。</w:t>
      </w:r>
      <w:r>
        <w:t>2019</w:t>
      </w:r>
      <w:r>
        <w:t>年项目支出</w:t>
      </w:r>
      <w:r>
        <w:t>110.53</w:t>
      </w:r>
      <w:r>
        <w:t>万元，较上年</w:t>
      </w:r>
      <w:r>
        <w:t>105.44</w:t>
      </w:r>
      <w:r>
        <w:t>万元增加</w:t>
      </w:r>
      <w:r>
        <w:t>5.09</w:t>
      </w:r>
      <w:r>
        <w:t>万元。项目支出中行政事业类项目</w:t>
      </w:r>
      <w:r>
        <w:t>110.53</w:t>
      </w:r>
      <w:r>
        <w:t>万元，占比</w:t>
      </w:r>
      <w:r>
        <w:t>100%</w:t>
      </w:r>
      <w:r>
        <w:t>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 3</w:t>
      </w:r>
      <w:r>
        <w:t>、</w:t>
      </w:r>
      <w:r>
        <w:t>“</w:t>
      </w:r>
      <w:r>
        <w:t>三公</w:t>
      </w:r>
      <w:r>
        <w:t>”</w:t>
      </w:r>
      <w:r>
        <w:t>经费情况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“</w:t>
      </w:r>
      <w:r>
        <w:t>三公</w:t>
      </w:r>
      <w:r>
        <w:t>”</w:t>
      </w:r>
      <w:r>
        <w:t>经费财政拨款支出预算为</w:t>
      </w:r>
      <w:r>
        <w:t>1</w:t>
      </w:r>
      <w:r>
        <w:t>万元，支出决算为</w:t>
      </w:r>
      <w:r>
        <w:t>0.54</w:t>
      </w:r>
      <w:r>
        <w:t>万元，完成预算的</w:t>
      </w:r>
      <w:r>
        <w:t>54%</w:t>
      </w:r>
      <w:r>
        <w:t>，其中：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公务接待费支出预算为</w:t>
      </w:r>
      <w:r>
        <w:t>1</w:t>
      </w:r>
      <w:r>
        <w:t>万元，支出决算为</w:t>
      </w:r>
      <w:r>
        <w:t>0.54</w:t>
      </w:r>
      <w:r>
        <w:t>万元，完成预算的</w:t>
      </w:r>
      <w:r>
        <w:t>54%</w:t>
      </w:r>
      <w:r>
        <w:t>，决算数小于年初预算数的主要原因是节约开支，与上</w:t>
      </w:r>
      <w:r>
        <w:t>年相比增加</w:t>
      </w:r>
      <w:r>
        <w:t>0.12</w:t>
      </w:r>
      <w:r>
        <w:t>万元，增长</w:t>
      </w:r>
      <w:r>
        <w:t>30.76%,</w:t>
      </w:r>
      <w:r>
        <w:t>增长的主要原因是接待任务增加。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公务接待费支出决算为</w:t>
      </w:r>
      <w:r>
        <w:t>0.54</w:t>
      </w:r>
      <w:r>
        <w:t>万元，全年共接待来访团组</w:t>
      </w:r>
      <w:r>
        <w:t>4</w:t>
      </w:r>
      <w:r>
        <w:t>个、来宾</w:t>
      </w:r>
      <w:r>
        <w:t>40</w:t>
      </w:r>
      <w:r>
        <w:t>人次，主要是接待深圳阳辰公司及公务发生的接待支出。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三、部门整体支出绩效情况</w:t>
      </w:r>
    </w:p>
    <w:p w:rsidR="00643363" w:rsidRDefault="009C492A">
      <w:pPr>
        <w:pStyle w:val="a3"/>
        <w:widowControl/>
        <w:spacing w:before="75" w:beforeAutospacing="0" w:after="75" w:afterAutospacing="0"/>
      </w:pPr>
      <w:r>
        <w:t>    </w:t>
      </w:r>
    </w:p>
    <w:p w:rsidR="00643363" w:rsidRDefault="00643363">
      <w:pPr>
        <w:pStyle w:val="a3"/>
        <w:widowControl/>
        <w:spacing w:before="75" w:beforeAutospacing="0" w:after="75" w:afterAutospacing="0"/>
      </w:pPr>
    </w:p>
    <w:p w:rsidR="00643363" w:rsidRDefault="00643363">
      <w:bookmarkStart w:id="0" w:name="_GoBack"/>
      <w:bookmarkEnd w:id="0"/>
    </w:p>
    <w:sectPr w:rsidR="00643363" w:rsidSect="0064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D6125D"/>
    <w:rsid w:val="00643363"/>
    <w:rsid w:val="009C492A"/>
    <w:rsid w:val="66D6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36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2021-06-06T11:42:00Z</dcterms:created>
  <dcterms:modified xsi:type="dcterms:W3CDTF">2024-01-23T01:22:00Z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C96EC9AAE2894AA2A0AB541364C735DD</vt:lpwstr>
  </property>
</Properties>
</file>