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D000E">
      <w:pPr>
        <w:widowControl/>
        <w:jc w:val="center"/>
        <w:rPr>
          <w:rFonts w:ascii="Times New Roman" w:eastAsia="黑体" w:hAnsi="Times New Roman" w:cs="Times New Roman"/>
          <w:bCs/>
          <w:kern w:val="0"/>
          <w:sz w:val="72"/>
          <w:szCs w:val="72"/>
        </w:rPr>
      </w:pPr>
      <w:r>
        <w:rPr>
          <w:rFonts w:ascii="Times New Roman" w:eastAsia="黑体" w:hAnsi="Times New Roman" w:cs="Times New Roman"/>
          <w:bCs/>
          <w:kern w:val="0"/>
          <w:sz w:val="72"/>
          <w:szCs w:val="72"/>
        </w:rPr>
        <w:t>城乡居民社会养老保险</w:t>
      </w:r>
    </w:p>
    <w:p w:rsidR="000745CF" w:rsidRDefault="000D000E">
      <w:pPr>
        <w:widowControl/>
        <w:jc w:val="center"/>
        <w:rPr>
          <w:rFonts w:ascii="Times New Roman" w:eastAsia="黑体" w:hAnsi="Times New Roman" w:cs="Times New Roman"/>
          <w:bCs/>
          <w:kern w:val="0"/>
          <w:sz w:val="72"/>
          <w:szCs w:val="72"/>
        </w:rPr>
      </w:pPr>
      <w:r>
        <w:rPr>
          <w:rFonts w:ascii="Times New Roman" w:eastAsia="黑体" w:hAnsi="Times New Roman" w:cs="Times New Roman"/>
          <w:bCs/>
          <w:kern w:val="0"/>
          <w:sz w:val="72"/>
          <w:szCs w:val="72"/>
        </w:rPr>
        <w:t>管理服务中心</w:t>
      </w:r>
    </w:p>
    <w:p w:rsidR="000745CF" w:rsidRDefault="000D000E">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2018</w:t>
      </w:r>
      <w:r>
        <w:rPr>
          <w:rFonts w:ascii="Times New Roman" w:eastAsia="方正小标宋_GBK" w:hAnsi="Times New Roman" w:cs="Times New Roman" w:hint="eastAsia"/>
          <w:bCs/>
          <w:kern w:val="0"/>
          <w:sz w:val="72"/>
          <w:szCs w:val="72"/>
        </w:rPr>
        <w:t>年度</w:t>
      </w:r>
    </w:p>
    <w:p w:rsidR="000745CF" w:rsidRDefault="000D000E">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部门决算</w:t>
      </w: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745CF">
      <w:pPr>
        <w:widowControl/>
        <w:jc w:val="center"/>
        <w:rPr>
          <w:rFonts w:ascii="Times New Roman" w:eastAsia="宋体" w:hAnsi="Times New Roman" w:cs="Times New Roman"/>
          <w:b/>
          <w:bCs/>
          <w:kern w:val="0"/>
          <w:sz w:val="44"/>
          <w:szCs w:val="44"/>
        </w:rPr>
      </w:pPr>
    </w:p>
    <w:p w:rsidR="000745CF" w:rsidRDefault="000D000E">
      <w:pPr>
        <w:widowControl/>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lastRenderedPageBreak/>
        <w:t>目录</w:t>
      </w:r>
    </w:p>
    <w:p w:rsidR="000745CF" w:rsidRDefault="000745CF">
      <w:pPr>
        <w:widowControl/>
        <w:rPr>
          <w:rFonts w:ascii="仿宋_GB2312" w:eastAsia="仿宋_GB2312" w:hAnsi="Times New Roman" w:cs="Times New Roman"/>
          <w:b/>
          <w:bCs/>
          <w:kern w:val="0"/>
          <w:sz w:val="32"/>
          <w:szCs w:val="32"/>
        </w:rPr>
      </w:pP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第一部分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bCs/>
          <w:kern w:val="0"/>
          <w:sz w:val="32"/>
          <w:szCs w:val="32"/>
        </w:rPr>
        <w:t>城乡居民社会养老保险管理服务中心</w:t>
      </w:r>
      <w:r>
        <w:rPr>
          <w:rFonts w:ascii="Times New Roman" w:eastAsia="黑体" w:hAnsi="Times New Roman" w:cs="Times New Roman" w:hint="eastAsia"/>
          <w:bCs/>
          <w:kern w:val="0"/>
          <w:sz w:val="32"/>
          <w:szCs w:val="32"/>
        </w:rPr>
        <w:t>概况</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二、机构设置</w:t>
      </w: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城乡居民社会养老保险管理服务中</w:t>
      </w:r>
      <w:r>
        <w:rPr>
          <w:rFonts w:ascii="Times New Roman" w:eastAsia="黑体" w:hAnsi="Times New Roman" w:cs="Times New Roman" w:hint="eastAsia"/>
          <w:bCs/>
          <w:kern w:val="0"/>
          <w:sz w:val="32"/>
          <w:szCs w:val="32"/>
        </w:rPr>
        <w:t>心</w:t>
      </w:r>
      <w:r>
        <w:rPr>
          <w:rFonts w:ascii="Times New Roman" w:eastAsia="黑体" w:hAnsi="Times New Roman" w:cs="Times New Roman"/>
          <w:bCs/>
          <w:kern w:val="0"/>
          <w:sz w:val="32"/>
          <w:szCs w:val="32"/>
        </w:rPr>
        <w:t>2018</w:t>
      </w:r>
      <w:r>
        <w:rPr>
          <w:rFonts w:ascii="Times New Roman" w:eastAsia="黑体" w:hAnsi="Times New Roman" w:cs="Times New Roman"/>
          <w:bCs/>
          <w:kern w:val="0"/>
          <w:sz w:val="32"/>
          <w:szCs w:val="32"/>
        </w:rPr>
        <w:t>年度</w:t>
      </w:r>
      <w:r>
        <w:rPr>
          <w:rFonts w:ascii="Times New Roman" w:eastAsia="黑体" w:hAnsi="Times New Roman" w:cs="Times New Roman"/>
          <w:bCs/>
          <w:kern w:val="0"/>
          <w:sz w:val="32"/>
          <w:szCs w:val="32"/>
        </w:rPr>
        <w:t>部门决算表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八、政府性基金预算财政拨款收入支出决算表</w:t>
      </w: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城乡居民社会养老保险管理服务中</w:t>
      </w:r>
      <w:r>
        <w:rPr>
          <w:rFonts w:ascii="Times New Roman" w:eastAsia="黑体" w:hAnsi="Times New Roman" w:cs="Times New Roman" w:hint="eastAsia"/>
          <w:bCs/>
          <w:kern w:val="0"/>
          <w:sz w:val="32"/>
          <w:szCs w:val="32"/>
        </w:rPr>
        <w:t>心</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一、收入支出决算总体情况说明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四、财政拨款收入支出决算总体情况说明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六、一般公共预算财政拨款基本支出决算情况说明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经费支出情况决算情况说明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八、预算绩效情况说明</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九、其他重要事项的情况说明</w:t>
      </w: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名称解释</w:t>
      </w: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745CF">
      <w:pPr>
        <w:widowControl/>
        <w:spacing w:line="600" w:lineRule="exact"/>
        <w:rPr>
          <w:rFonts w:ascii="Times New Roman" w:eastAsia="仿宋_GB2312" w:hAnsi="Times New Roman" w:cs="Times New Roman"/>
          <w:b/>
          <w:bCs/>
          <w:kern w:val="0"/>
          <w:sz w:val="32"/>
          <w:szCs w:val="32"/>
        </w:rPr>
      </w:pP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第一部分</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城乡居民社会养老保险管理服务中</w:t>
      </w:r>
      <w:r>
        <w:rPr>
          <w:rFonts w:ascii="Times New Roman" w:eastAsia="黑体" w:hAnsi="Times New Roman" w:cs="Times New Roman" w:hint="eastAsia"/>
          <w:bCs/>
          <w:kern w:val="0"/>
          <w:sz w:val="32"/>
          <w:szCs w:val="32"/>
        </w:rPr>
        <w:t>心</w:t>
      </w:r>
      <w:r>
        <w:rPr>
          <w:rFonts w:ascii="Times New Roman" w:eastAsia="黑体" w:hAnsi="Times New Roman" w:cs="Times New Roman"/>
          <w:bCs/>
          <w:kern w:val="0"/>
          <w:sz w:val="32"/>
          <w:szCs w:val="32"/>
        </w:rPr>
        <w:t>概况</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0745CF" w:rsidRDefault="000D000E">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．主要职能。</w:t>
      </w:r>
    </w:p>
    <w:p w:rsidR="000745CF" w:rsidRDefault="000D000E">
      <w:pPr>
        <w:widowControl/>
        <w:ind w:firstLineChars="200" w:firstLine="640"/>
        <w:jc w:val="left"/>
        <w:rPr>
          <w:rFonts w:ascii="仿宋_GB2312" w:eastAsia="仿宋_GB2312" w:hAnsi="仿宋"/>
          <w:sz w:val="32"/>
          <w:szCs w:val="32"/>
        </w:rPr>
      </w:pPr>
      <w:r>
        <w:rPr>
          <w:rFonts w:ascii="仿宋" w:eastAsia="仿宋" w:hAnsi="仿宋" w:cs="仿宋" w:hint="eastAsia"/>
          <w:kern w:val="0"/>
          <w:sz w:val="32"/>
          <w:szCs w:val="32"/>
          <w:lang/>
        </w:rPr>
        <w:t>（一）贯彻落实国家、省、市关于城乡居民社会养老保险方面法律法规和方针政策；宣传贯彻《中华人民共和国社会保险法》。</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（二）负责组织对城乡居民</w:t>
      </w:r>
      <w:r>
        <w:rPr>
          <w:rFonts w:ascii="仿宋" w:eastAsia="仿宋" w:hAnsi="仿宋" w:cs="仿宋" w:hint="eastAsia"/>
          <w:kern w:val="0"/>
          <w:sz w:val="32"/>
          <w:szCs w:val="32"/>
          <w:lang/>
        </w:rPr>
        <w:t>16</w:t>
      </w:r>
      <w:r>
        <w:rPr>
          <w:rFonts w:ascii="仿宋" w:eastAsia="仿宋" w:hAnsi="仿宋" w:cs="仿宋" w:hint="eastAsia"/>
          <w:kern w:val="0"/>
          <w:sz w:val="32"/>
          <w:szCs w:val="32"/>
          <w:lang/>
        </w:rPr>
        <w:t>至</w:t>
      </w:r>
      <w:r>
        <w:rPr>
          <w:rFonts w:ascii="仿宋" w:eastAsia="仿宋" w:hAnsi="仿宋" w:cs="仿宋" w:hint="eastAsia"/>
          <w:kern w:val="0"/>
          <w:sz w:val="32"/>
          <w:szCs w:val="32"/>
          <w:lang/>
        </w:rPr>
        <w:t>59</w:t>
      </w:r>
      <w:r>
        <w:rPr>
          <w:rFonts w:ascii="仿宋" w:eastAsia="仿宋" w:hAnsi="仿宋" w:cs="仿宋" w:hint="eastAsia"/>
          <w:kern w:val="0"/>
          <w:sz w:val="32"/>
          <w:szCs w:val="32"/>
          <w:lang/>
        </w:rPr>
        <w:t>周岁参保人员的参保登记信息审核、确认、录入、费用征缴、基金管理，为参保居民建立城乡居民社会养老保险个人</w:t>
      </w:r>
      <w:r w:rsidR="009028DB">
        <w:rPr>
          <w:rFonts w:ascii="仿宋" w:eastAsia="仿宋" w:hAnsi="仿宋" w:cs="仿宋" w:hint="eastAsia"/>
          <w:kern w:val="0"/>
          <w:sz w:val="32"/>
          <w:szCs w:val="32"/>
          <w:lang/>
        </w:rPr>
        <w:t>账户</w:t>
      </w:r>
      <w:r>
        <w:rPr>
          <w:rFonts w:ascii="仿宋" w:eastAsia="仿宋" w:hAnsi="仿宋" w:cs="仿宋" w:hint="eastAsia"/>
          <w:kern w:val="0"/>
          <w:sz w:val="32"/>
          <w:szCs w:val="32"/>
          <w:lang/>
        </w:rPr>
        <w:t>。</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（三）负责对</w:t>
      </w:r>
      <w:r>
        <w:rPr>
          <w:rFonts w:ascii="仿宋" w:eastAsia="仿宋" w:hAnsi="仿宋" w:cs="仿宋" w:hint="eastAsia"/>
          <w:kern w:val="0"/>
          <w:sz w:val="32"/>
          <w:szCs w:val="32"/>
          <w:lang/>
        </w:rPr>
        <w:t>60</w:t>
      </w:r>
      <w:r>
        <w:rPr>
          <w:rFonts w:ascii="仿宋" w:eastAsia="仿宋" w:hAnsi="仿宋" w:cs="仿宋" w:hint="eastAsia"/>
          <w:kern w:val="0"/>
          <w:sz w:val="32"/>
          <w:szCs w:val="32"/>
          <w:lang/>
        </w:rPr>
        <w:t>周岁以上参保居民的待遇审核及养老金发放工作；负责对参保人员的个人账户管理和信息查询。</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（四）负责对参保人员的信息变更进行复核、确认；负责对注销人员相关信息、资料进行复核、确认，结算其个人</w:t>
      </w:r>
      <w:r w:rsidR="009028DB">
        <w:rPr>
          <w:rFonts w:ascii="仿宋" w:eastAsia="仿宋" w:hAnsi="仿宋" w:cs="仿宋" w:hint="eastAsia"/>
          <w:kern w:val="0"/>
          <w:sz w:val="32"/>
          <w:szCs w:val="32"/>
          <w:lang/>
        </w:rPr>
        <w:t>账户</w:t>
      </w:r>
      <w:r>
        <w:rPr>
          <w:rFonts w:ascii="仿宋" w:eastAsia="仿宋" w:hAnsi="仿宋" w:cs="仿宋" w:hint="eastAsia"/>
          <w:kern w:val="0"/>
          <w:sz w:val="32"/>
          <w:szCs w:val="32"/>
          <w:lang/>
        </w:rPr>
        <w:t>资金余额。</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（五</w:t>
      </w:r>
      <w:r>
        <w:rPr>
          <w:rFonts w:ascii="仿宋" w:eastAsia="仿宋" w:hAnsi="仿宋" w:cs="仿宋" w:hint="eastAsia"/>
          <w:kern w:val="0"/>
          <w:sz w:val="32"/>
          <w:szCs w:val="32"/>
          <w:lang/>
        </w:rPr>
        <w:t>）负责对参保人员转移手续的审核办理；负责对参保人员的银行存折的相关信息和需缴费扣款信息提供给指定银行办理</w:t>
      </w:r>
      <w:r>
        <w:rPr>
          <w:rFonts w:ascii="仿宋" w:eastAsia="仿宋" w:hAnsi="仿宋" w:cs="仿宋" w:hint="eastAsia"/>
          <w:kern w:val="0"/>
          <w:sz w:val="32"/>
          <w:szCs w:val="32"/>
          <w:lang/>
        </w:rPr>
        <w:t>,</w:t>
      </w:r>
      <w:r>
        <w:rPr>
          <w:rFonts w:ascii="仿宋" w:eastAsia="仿宋" w:hAnsi="仿宋" w:cs="仿宋" w:hint="eastAsia"/>
          <w:kern w:val="0"/>
          <w:sz w:val="32"/>
          <w:szCs w:val="32"/>
          <w:lang/>
        </w:rPr>
        <w:t>汇总城乡居民社会养老保险个人缴费、集体补助、政府补贴相关表册。</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（六）负责对城乡居民社会养老保险业务办结后相关资料的整理归档。</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（七）负责城乡居民社会养老保险各项数据的统计上报工作。</w:t>
      </w:r>
      <w:r>
        <w:rPr>
          <w:rFonts w:ascii="仿宋" w:eastAsia="仿宋" w:hAnsi="仿宋" w:cs="仿宋" w:hint="eastAsia"/>
          <w:kern w:val="0"/>
          <w:sz w:val="32"/>
          <w:szCs w:val="32"/>
          <w:lang/>
        </w:rPr>
        <w:br/>
      </w:r>
      <w:r>
        <w:rPr>
          <w:rFonts w:ascii="仿宋" w:eastAsia="仿宋" w:hAnsi="仿宋" w:cs="仿宋" w:hint="eastAsia"/>
          <w:kern w:val="0"/>
          <w:sz w:val="32"/>
          <w:szCs w:val="32"/>
          <w:lang/>
        </w:rPr>
        <w:lastRenderedPageBreak/>
        <w:t xml:space="preserve">    </w:t>
      </w:r>
      <w:r>
        <w:rPr>
          <w:rFonts w:ascii="仿宋" w:eastAsia="仿宋" w:hAnsi="仿宋" w:cs="仿宋" w:hint="eastAsia"/>
          <w:kern w:val="0"/>
          <w:sz w:val="32"/>
          <w:szCs w:val="32"/>
          <w:lang/>
        </w:rPr>
        <w:t>（八）负责对全区城乡居民社会养老保险工作人员的培训、指导和业务财务信息系统的建设、使用、推广。</w:t>
      </w:r>
      <w:r>
        <w:rPr>
          <w:rFonts w:ascii="仿宋" w:eastAsia="仿宋" w:hAnsi="仿宋" w:cs="仿宋" w:hint="eastAsia"/>
          <w:kern w:val="0"/>
          <w:sz w:val="32"/>
          <w:szCs w:val="32"/>
          <w:lang/>
        </w:rPr>
        <w:br/>
        <w:t xml:space="preserve">    </w:t>
      </w:r>
      <w:r>
        <w:rPr>
          <w:rFonts w:ascii="仿宋" w:eastAsia="仿宋" w:hAnsi="仿宋" w:cs="仿宋" w:hint="eastAsia"/>
          <w:kern w:val="0"/>
          <w:sz w:val="32"/>
          <w:szCs w:val="32"/>
          <w:lang/>
        </w:rPr>
        <w:t>（九）会同财政部门做好各级政府补贴资金的申报与划拨；监督指导基金及财务管理，开展内控和稽核。</w:t>
      </w:r>
      <w:r>
        <w:rPr>
          <w:rFonts w:ascii="仿宋" w:eastAsia="仿宋" w:hAnsi="仿宋" w:cs="仿宋" w:hint="eastAsia"/>
          <w:kern w:val="0"/>
          <w:sz w:val="32"/>
          <w:szCs w:val="32"/>
          <w:lang/>
        </w:rPr>
        <w:br/>
      </w:r>
      <w:r>
        <w:rPr>
          <w:rFonts w:ascii="仿宋" w:eastAsia="仿宋" w:hAnsi="仿宋" w:cs="仿宋" w:hint="eastAsia"/>
          <w:kern w:val="0"/>
          <w:sz w:val="32"/>
          <w:szCs w:val="32"/>
          <w:lang/>
        </w:rPr>
        <w:t xml:space="preserve">    </w:t>
      </w:r>
      <w:r>
        <w:rPr>
          <w:rFonts w:ascii="仿宋" w:eastAsia="仿宋" w:hAnsi="仿宋" w:cs="仿宋" w:hint="eastAsia"/>
          <w:kern w:val="0"/>
          <w:sz w:val="32"/>
          <w:szCs w:val="32"/>
          <w:lang/>
        </w:rPr>
        <w:t>（十）承办区人力资源和社会保障局交办的其它事项。</w:t>
      </w:r>
      <w:r>
        <w:rPr>
          <w:rFonts w:ascii="仿宋" w:eastAsia="仿宋" w:hAnsi="仿宋" w:cs="仿宋" w:hint="eastAsia"/>
          <w:kern w:val="0"/>
          <w:sz w:val="32"/>
          <w:szCs w:val="32"/>
          <w:lang/>
        </w:rPr>
        <w:t xml:space="preserve"> </w:t>
      </w:r>
    </w:p>
    <w:p w:rsidR="000745CF" w:rsidRDefault="000D000E">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．人员情况</w:t>
      </w:r>
      <w:r>
        <w:rPr>
          <w:rFonts w:ascii="仿宋_GB2312" w:eastAsia="仿宋_GB2312" w:hAnsi="仿宋" w:hint="eastAsia"/>
          <w:sz w:val="32"/>
          <w:szCs w:val="32"/>
        </w:rPr>
        <w:t>：雁峰区城乡居民社会养老保险管理服务中心编办核算编制人数</w:t>
      </w:r>
      <w:r>
        <w:rPr>
          <w:rFonts w:ascii="仿宋_GB2312" w:eastAsia="仿宋_GB2312" w:hAnsi="仿宋" w:hint="eastAsia"/>
          <w:sz w:val="32"/>
          <w:szCs w:val="32"/>
        </w:rPr>
        <w:t>11</w:t>
      </w:r>
      <w:r>
        <w:rPr>
          <w:rFonts w:ascii="仿宋_GB2312" w:eastAsia="仿宋_GB2312" w:hAnsi="仿宋" w:hint="eastAsia"/>
          <w:sz w:val="32"/>
          <w:szCs w:val="32"/>
        </w:rPr>
        <w:t>人，实际在编在岗年末数</w:t>
      </w:r>
      <w:r>
        <w:rPr>
          <w:rFonts w:ascii="仿宋_GB2312" w:eastAsia="仿宋_GB2312" w:hAnsi="仿宋" w:hint="eastAsia"/>
          <w:sz w:val="32"/>
          <w:szCs w:val="32"/>
        </w:rPr>
        <w:t>7</w:t>
      </w:r>
      <w:r>
        <w:rPr>
          <w:rFonts w:ascii="仿宋_GB2312" w:eastAsia="仿宋_GB2312" w:hAnsi="仿宋" w:hint="eastAsia"/>
          <w:sz w:val="32"/>
          <w:szCs w:val="32"/>
        </w:rPr>
        <w:t>人，</w:t>
      </w:r>
      <w:r>
        <w:rPr>
          <w:rFonts w:ascii="仿宋_GB2312" w:eastAsia="仿宋_GB2312" w:hAnsi="仿宋" w:hint="eastAsia"/>
          <w:sz w:val="32"/>
          <w:szCs w:val="32"/>
        </w:rPr>
        <w:t>2018</w:t>
      </w:r>
      <w:r>
        <w:rPr>
          <w:rFonts w:ascii="仿宋_GB2312" w:eastAsia="仿宋_GB2312" w:hAnsi="仿宋" w:hint="eastAsia"/>
          <w:sz w:val="32"/>
          <w:szCs w:val="32"/>
        </w:rPr>
        <w:t>年调出</w:t>
      </w:r>
      <w:r>
        <w:rPr>
          <w:rFonts w:ascii="仿宋_GB2312" w:eastAsia="仿宋_GB2312" w:hAnsi="仿宋" w:hint="eastAsia"/>
          <w:sz w:val="32"/>
          <w:szCs w:val="32"/>
        </w:rPr>
        <w:t>1</w:t>
      </w:r>
      <w:r>
        <w:rPr>
          <w:rFonts w:ascii="仿宋_GB2312" w:eastAsia="仿宋_GB2312" w:hAnsi="仿宋" w:hint="eastAsia"/>
          <w:sz w:val="32"/>
          <w:szCs w:val="32"/>
        </w:rPr>
        <w:t>人。</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二、机构设置</w:t>
      </w:r>
      <w:r>
        <w:rPr>
          <w:rFonts w:ascii="Times New Roman" w:eastAsia="仿宋_GB2312" w:hAnsi="Times New Roman" w:cs="Times New Roman" w:hint="eastAsia"/>
          <w:bCs/>
          <w:kern w:val="0"/>
          <w:sz w:val="32"/>
          <w:szCs w:val="32"/>
        </w:rPr>
        <w:t>及决算单位构成</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（一）内设机构设置。</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hint="eastAsia"/>
          <w:bCs/>
          <w:kern w:val="0"/>
          <w:sz w:val="32"/>
          <w:szCs w:val="32"/>
        </w:rPr>
        <w:t>雁峰区城乡居民社会养老保险管理服务中心隶属于雁峰区人力资源和社会保障局二级机构，本单位为财政独立核算单位。</w:t>
      </w:r>
    </w:p>
    <w:p w:rsidR="000745CF" w:rsidRDefault="000D000E">
      <w:pPr>
        <w:widowControl/>
        <w:numPr>
          <w:ilvl w:val="0"/>
          <w:numId w:val="1"/>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决算单位构成。</w:t>
      </w:r>
      <w:r>
        <w:rPr>
          <w:rFonts w:ascii="Times New Roman" w:eastAsia="仿宋_GB2312" w:hAnsi="Times New Roman" w:cs="Times New Roman" w:hint="eastAsia"/>
          <w:bCs/>
          <w:kern w:val="0"/>
          <w:sz w:val="32"/>
          <w:szCs w:val="32"/>
        </w:rPr>
        <w:t>雁峰区城乡居民社会养老保险管理服务中心</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年部门决算汇总公开单位构成包括：</w:t>
      </w:r>
      <w:r>
        <w:rPr>
          <w:rFonts w:ascii="Times New Roman" w:eastAsia="仿宋_GB2312" w:hAnsi="Times New Roman" w:cs="Times New Roman" w:hint="eastAsia"/>
          <w:bCs/>
          <w:kern w:val="0"/>
          <w:sz w:val="32"/>
          <w:szCs w:val="32"/>
        </w:rPr>
        <w:t>雁峰区城乡居民社会养老保险管理服务中心</w:t>
      </w:r>
      <w:r>
        <w:rPr>
          <w:rFonts w:ascii="Times New Roman" w:eastAsia="仿宋_GB2312" w:hAnsi="Times New Roman" w:cs="Times New Roman" w:hint="eastAsia"/>
          <w:bCs/>
          <w:kern w:val="0"/>
          <w:sz w:val="32"/>
          <w:szCs w:val="32"/>
        </w:rPr>
        <w:t>本级</w:t>
      </w:r>
      <w:r>
        <w:rPr>
          <w:rFonts w:ascii="Times New Roman" w:eastAsia="仿宋_GB2312" w:hAnsi="Times New Roman" w:cs="Times New Roman" w:hint="eastAsia"/>
          <w:bCs/>
          <w:kern w:val="0"/>
          <w:sz w:val="32"/>
          <w:szCs w:val="32"/>
        </w:rPr>
        <w:t>。</w:t>
      </w: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D000E">
      <w:pPr>
        <w:widowControl/>
        <w:numPr>
          <w:ilvl w:val="0"/>
          <w:numId w:val="2"/>
        </w:numPr>
        <w:spacing w:line="600" w:lineRule="exact"/>
        <w:rPr>
          <w:rFonts w:ascii="Times New Roman" w:eastAsia="黑体" w:hAnsi="Times New Roman" w:cs="Times New Roman"/>
          <w:bCs/>
          <w:kern w:val="0"/>
          <w:sz w:val="32"/>
          <w:szCs w:val="32"/>
        </w:rPr>
      </w:pPr>
      <w:r>
        <w:rPr>
          <w:rFonts w:ascii="黑体" w:eastAsia="黑体" w:hAnsi="黑体" w:cs="黑体" w:hint="eastAsia"/>
          <w:bCs/>
          <w:kern w:val="0"/>
          <w:sz w:val="32"/>
          <w:szCs w:val="32"/>
        </w:rPr>
        <w:lastRenderedPageBreak/>
        <w:t>雁峰区城乡居民社会养老保险管理服务中心</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一、收入支出决算总表</w:t>
      </w:r>
    </w:p>
    <w:p w:rsidR="000745CF" w:rsidRDefault="000D000E">
      <w:pPr>
        <w:widowControl/>
        <w:jc w:val="left"/>
        <w:rPr>
          <w:rFonts w:ascii="宋体" w:eastAsia="宋体" w:hAnsi="宋体" w:cs="宋体"/>
          <w:kern w:val="0"/>
          <w:sz w:val="24"/>
          <w:szCs w:val="24"/>
          <w:lang/>
        </w:rPr>
      </w:pPr>
      <w:r>
        <w:rPr>
          <w:rFonts w:ascii="宋体" w:eastAsia="宋体" w:hAnsi="宋体" w:cs="宋体"/>
          <w:noProof/>
          <w:kern w:val="0"/>
          <w:sz w:val="24"/>
          <w:szCs w:val="24"/>
        </w:rPr>
        <w:drawing>
          <wp:inline distT="0" distB="0" distL="114300" distR="114300">
            <wp:extent cx="5850255" cy="4051935"/>
            <wp:effectExtent l="0" t="0" r="17145" b="571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8" cstate="print"/>
                    <a:stretch>
                      <a:fillRect/>
                    </a:stretch>
                  </pic:blipFill>
                  <pic:spPr>
                    <a:xfrm>
                      <a:off x="0" y="0"/>
                      <a:ext cx="5850255" cy="4051935"/>
                    </a:xfrm>
                    <a:prstGeom prst="rect">
                      <a:avLst/>
                    </a:prstGeom>
                    <a:noFill/>
                    <a:ln w="9525">
                      <a:noFill/>
                    </a:ln>
                  </pic:spPr>
                </pic:pic>
              </a:graphicData>
            </a:graphic>
          </wp:inline>
        </w:drawing>
      </w:r>
    </w:p>
    <w:p w:rsidR="000745CF" w:rsidRDefault="000D000E">
      <w:pPr>
        <w:widowControl/>
        <w:spacing w:line="600" w:lineRule="exact"/>
        <w:rPr>
          <w:rFonts w:ascii="宋体" w:eastAsia="宋体" w:hAnsi="宋体" w:cs="宋体"/>
          <w:kern w:val="0"/>
          <w:sz w:val="24"/>
          <w:szCs w:val="24"/>
          <w:lang/>
        </w:rPr>
      </w:pPr>
      <w:r>
        <w:rPr>
          <w:rFonts w:ascii="Times New Roman" w:eastAsia="仿宋_GB2312" w:hAnsi="Times New Roman" w:cs="Times New Roman"/>
          <w:bCs/>
          <w:kern w:val="0"/>
          <w:sz w:val="32"/>
          <w:szCs w:val="32"/>
        </w:rPr>
        <w:t>二、收入决算表</w:t>
      </w:r>
    </w:p>
    <w:p w:rsidR="000745CF" w:rsidRDefault="000D000E">
      <w:pPr>
        <w:widowControl/>
        <w:jc w:val="left"/>
      </w:pPr>
      <w:r>
        <w:rPr>
          <w:rFonts w:ascii="宋体" w:eastAsia="宋体" w:hAnsi="宋体" w:cs="宋体"/>
          <w:noProof/>
          <w:kern w:val="0"/>
          <w:sz w:val="24"/>
          <w:szCs w:val="24"/>
        </w:rPr>
        <w:drawing>
          <wp:inline distT="0" distB="0" distL="114300" distR="114300">
            <wp:extent cx="5970270" cy="2454910"/>
            <wp:effectExtent l="0" t="0" r="11430" b="2540"/>
            <wp:docPr id="10"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6"/>
                    <pic:cNvPicPr>
                      <a:picLocks noChangeAspect="1"/>
                    </pic:cNvPicPr>
                  </pic:nvPicPr>
                  <pic:blipFill>
                    <a:blip r:embed="rId9" cstate="print"/>
                    <a:stretch>
                      <a:fillRect/>
                    </a:stretch>
                  </pic:blipFill>
                  <pic:spPr>
                    <a:xfrm>
                      <a:off x="0" y="0"/>
                      <a:ext cx="5970270" cy="2454910"/>
                    </a:xfrm>
                    <a:prstGeom prst="rect">
                      <a:avLst/>
                    </a:prstGeom>
                    <a:noFill/>
                    <a:ln w="9525">
                      <a:noFill/>
                    </a:ln>
                  </pic:spPr>
                </pic:pic>
              </a:graphicData>
            </a:graphic>
          </wp:inline>
        </w:drawing>
      </w: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D000E">
      <w:pPr>
        <w:widowControl/>
        <w:numPr>
          <w:ilvl w:val="0"/>
          <w:numId w:val="3"/>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支出决算表</w:t>
      </w:r>
    </w:p>
    <w:p w:rsidR="000745CF" w:rsidRDefault="000D000E">
      <w:pPr>
        <w:widowControl/>
        <w:jc w:val="left"/>
        <w:rPr>
          <w:rFonts w:ascii="Times New Roman" w:eastAsia="仿宋_GB2312" w:hAnsi="Times New Roman" w:cs="Times New Roman"/>
          <w:bCs/>
          <w:kern w:val="0"/>
          <w:sz w:val="32"/>
          <w:szCs w:val="32"/>
        </w:rPr>
      </w:pPr>
      <w:r>
        <w:rPr>
          <w:rFonts w:ascii="宋体" w:eastAsia="宋体" w:hAnsi="宋体" w:cs="宋体"/>
          <w:noProof/>
          <w:kern w:val="0"/>
          <w:sz w:val="24"/>
          <w:szCs w:val="24"/>
        </w:rPr>
        <w:drawing>
          <wp:inline distT="0" distB="0" distL="114300" distR="114300">
            <wp:extent cx="6022975" cy="2790190"/>
            <wp:effectExtent l="0" t="0" r="15875" b="10160"/>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10" cstate="print"/>
                    <a:stretch>
                      <a:fillRect/>
                    </a:stretch>
                  </pic:blipFill>
                  <pic:spPr>
                    <a:xfrm>
                      <a:off x="0" y="0"/>
                      <a:ext cx="6022975" cy="2790190"/>
                    </a:xfrm>
                    <a:prstGeom prst="rect">
                      <a:avLst/>
                    </a:prstGeom>
                    <a:noFill/>
                    <a:ln w="9525">
                      <a:noFill/>
                    </a:ln>
                  </pic:spPr>
                </pic:pic>
              </a:graphicData>
            </a:graphic>
          </wp:inline>
        </w:drawing>
      </w:r>
    </w:p>
    <w:p w:rsidR="000745CF" w:rsidRDefault="000D000E">
      <w:pPr>
        <w:widowControl/>
        <w:numPr>
          <w:ilvl w:val="0"/>
          <w:numId w:val="3"/>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财政拨款收入支出决算总表</w:t>
      </w:r>
    </w:p>
    <w:p w:rsidR="000745CF" w:rsidRDefault="000D000E">
      <w:pPr>
        <w:widowControl/>
        <w:jc w:val="left"/>
      </w:pPr>
      <w:r>
        <w:rPr>
          <w:rFonts w:ascii="宋体" w:eastAsia="宋体" w:hAnsi="宋体" w:cs="宋体"/>
          <w:noProof/>
          <w:kern w:val="0"/>
          <w:sz w:val="24"/>
          <w:szCs w:val="24"/>
        </w:rPr>
        <w:drawing>
          <wp:inline distT="0" distB="0" distL="114300" distR="114300">
            <wp:extent cx="6059170" cy="4464685"/>
            <wp:effectExtent l="0" t="0" r="17780" b="12065"/>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11" cstate="print"/>
                    <a:stretch>
                      <a:fillRect/>
                    </a:stretch>
                  </pic:blipFill>
                  <pic:spPr>
                    <a:xfrm>
                      <a:off x="0" y="0"/>
                      <a:ext cx="6059170" cy="4464685"/>
                    </a:xfrm>
                    <a:prstGeom prst="rect">
                      <a:avLst/>
                    </a:prstGeom>
                    <a:noFill/>
                    <a:ln w="9525">
                      <a:noFill/>
                    </a:ln>
                  </pic:spPr>
                </pic:pic>
              </a:graphicData>
            </a:graphic>
          </wp:inline>
        </w:drawing>
      </w: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D000E">
      <w:pPr>
        <w:widowControl/>
        <w:numPr>
          <w:ilvl w:val="0"/>
          <w:numId w:val="3"/>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一般公共预算财政拨款支出决算表</w:t>
      </w:r>
    </w:p>
    <w:p w:rsidR="000745CF" w:rsidRDefault="000D000E">
      <w:pPr>
        <w:widowControl/>
        <w:jc w:val="left"/>
        <w:rPr>
          <w:rFonts w:ascii="Times New Roman" w:eastAsia="仿宋_GB2312" w:hAnsi="Times New Roman" w:cs="Times New Roman"/>
          <w:bCs/>
          <w:kern w:val="0"/>
          <w:sz w:val="32"/>
          <w:szCs w:val="32"/>
        </w:rPr>
      </w:pPr>
      <w:r>
        <w:rPr>
          <w:rFonts w:ascii="Times New Roman" w:eastAsia="仿宋_GB2312" w:hAnsi="Times New Roman" w:cs="Times New Roman" w:hint="eastAsia"/>
          <w:bCs/>
          <w:noProof/>
          <w:kern w:val="0"/>
          <w:sz w:val="32"/>
          <w:szCs w:val="32"/>
        </w:rPr>
        <w:drawing>
          <wp:inline distT="0" distB="0" distL="114300" distR="114300">
            <wp:extent cx="5892800" cy="3613785"/>
            <wp:effectExtent l="0" t="0" r="12700" b="5715"/>
            <wp:docPr id="15" name="图片 15" descr="OA@}A`{(KIG%33I2_I))P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OA@}A`{(KIG%33I2_I))P4O"/>
                    <pic:cNvPicPr>
                      <a:picLocks noChangeAspect="1"/>
                    </pic:cNvPicPr>
                  </pic:nvPicPr>
                  <pic:blipFill>
                    <a:blip r:embed="rId12" cstate="print"/>
                    <a:stretch>
                      <a:fillRect/>
                    </a:stretch>
                  </pic:blipFill>
                  <pic:spPr>
                    <a:xfrm>
                      <a:off x="0" y="0"/>
                      <a:ext cx="5892800" cy="3613785"/>
                    </a:xfrm>
                    <a:prstGeom prst="rect">
                      <a:avLst/>
                    </a:prstGeom>
                  </pic:spPr>
                </pic:pic>
              </a:graphicData>
            </a:graphic>
          </wp:inline>
        </w:drawing>
      </w:r>
    </w:p>
    <w:p w:rsidR="000745CF" w:rsidRDefault="000D000E">
      <w:pPr>
        <w:widowControl/>
        <w:numPr>
          <w:ilvl w:val="0"/>
          <w:numId w:val="3"/>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一般公共预算财政拨款基本支出决算表</w:t>
      </w:r>
    </w:p>
    <w:p w:rsidR="000745CF" w:rsidRDefault="000D000E">
      <w:pPr>
        <w:widowControl/>
        <w:jc w:val="left"/>
      </w:pPr>
      <w:r>
        <w:rPr>
          <w:rFonts w:ascii="宋体" w:eastAsia="宋体" w:hAnsi="宋体" w:cs="宋体"/>
          <w:noProof/>
          <w:kern w:val="0"/>
          <w:sz w:val="24"/>
          <w:szCs w:val="24"/>
        </w:rPr>
        <w:drawing>
          <wp:inline distT="0" distB="0" distL="114300" distR="114300">
            <wp:extent cx="6061075" cy="3611245"/>
            <wp:effectExtent l="0" t="0" r="15875" b="8255"/>
            <wp:docPr id="1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IMG_256"/>
                    <pic:cNvPicPr>
                      <a:picLocks noChangeAspect="1"/>
                    </pic:cNvPicPr>
                  </pic:nvPicPr>
                  <pic:blipFill>
                    <a:blip r:embed="rId13" cstate="print"/>
                    <a:stretch>
                      <a:fillRect/>
                    </a:stretch>
                  </pic:blipFill>
                  <pic:spPr>
                    <a:xfrm>
                      <a:off x="0" y="0"/>
                      <a:ext cx="6061075" cy="3611245"/>
                    </a:xfrm>
                    <a:prstGeom prst="rect">
                      <a:avLst/>
                    </a:prstGeom>
                    <a:noFill/>
                    <a:ln w="9525">
                      <a:noFill/>
                    </a:ln>
                  </pic:spPr>
                </pic:pic>
              </a:graphicData>
            </a:graphic>
          </wp:inline>
        </w:drawing>
      </w:r>
    </w:p>
    <w:p w:rsidR="000745CF" w:rsidRDefault="000745CF">
      <w:pPr>
        <w:widowControl/>
        <w:spacing w:line="600" w:lineRule="exact"/>
        <w:rPr>
          <w:rFonts w:ascii="Times New Roman" w:eastAsia="仿宋_GB2312" w:hAnsi="Times New Roman" w:cs="Times New Roman"/>
          <w:bCs/>
          <w:kern w:val="0"/>
          <w:sz w:val="32"/>
          <w:szCs w:val="32"/>
        </w:rPr>
      </w:pPr>
    </w:p>
    <w:p w:rsidR="000745CF" w:rsidRDefault="000D000E">
      <w:pPr>
        <w:widowControl/>
        <w:numPr>
          <w:ilvl w:val="0"/>
          <w:numId w:val="3"/>
        </w:numPr>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经费支出决算表</w:t>
      </w:r>
    </w:p>
    <w:p w:rsidR="000745CF" w:rsidRDefault="000D000E">
      <w:pPr>
        <w:widowControl/>
        <w:jc w:val="left"/>
        <w:rPr>
          <w:rFonts w:ascii="Times New Roman" w:eastAsia="仿宋_GB2312" w:hAnsi="Times New Roman" w:cs="Times New Roman"/>
          <w:bCs/>
          <w:kern w:val="0"/>
          <w:sz w:val="32"/>
          <w:szCs w:val="32"/>
        </w:rPr>
      </w:pPr>
      <w:r>
        <w:rPr>
          <w:rFonts w:ascii="Times New Roman" w:eastAsia="仿宋_GB2312" w:hAnsi="Times New Roman" w:cs="Times New Roman" w:hint="eastAsia"/>
          <w:bCs/>
          <w:noProof/>
          <w:kern w:val="0"/>
          <w:sz w:val="32"/>
          <w:szCs w:val="32"/>
        </w:rPr>
        <w:drawing>
          <wp:inline distT="0" distB="0" distL="114300" distR="114300">
            <wp:extent cx="5878830" cy="1216025"/>
            <wp:effectExtent l="0" t="0" r="7620" b="3175"/>
            <wp:docPr id="18" name="图片 18" descr="QRFLCKP`X3{%5C4S[6H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RFLCKP`X3{%5C4S[6H7[%C"/>
                    <pic:cNvPicPr>
                      <a:picLocks noChangeAspect="1"/>
                    </pic:cNvPicPr>
                  </pic:nvPicPr>
                  <pic:blipFill>
                    <a:blip r:embed="rId14" cstate="print"/>
                    <a:stretch>
                      <a:fillRect/>
                    </a:stretch>
                  </pic:blipFill>
                  <pic:spPr>
                    <a:xfrm>
                      <a:off x="0" y="0"/>
                      <a:ext cx="5878830" cy="1216025"/>
                    </a:xfrm>
                    <a:prstGeom prst="rect">
                      <a:avLst/>
                    </a:prstGeom>
                  </pic:spPr>
                </pic:pic>
              </a:graphicData>
            </a:graphic>
          </wp:inline>
        </w:drawing>
      </w:r>
    </w:p>
    <w:p w:rsidR="000745CF" w:rsidRDefault="000D000E">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八、政府性基金预算财政拨款收入支出决算表</w:t>
      </w:r>
    </w:p>
    <w:p w:rsidR="000745CF" w:rsidRDefault="000D000E">
      <w:pPr>
        <w:widowControl/>
        <w:jc w:val="left"/>
      </w:pPr>
      <w:r>
        <w:rPr>
          <w:rFonts w:ascii="宋体" w:eastAsia="宋体" w:hAnsi="宋体" w:cs="宋体"/>
          <w:noProof/>
          <w:kern w:val="0"/>
          <w:sz w:val="24"/>
          <w:szCs w:val="24"/>
        </w:rPr>
        <w:drawing>
          <wp:inline distT="0" distB="0" distL="114300" distR="114300">
            <wp:extent cx="5901055" cy="1897380"/>
            <wp:effectExtent l="0" t="0" r="4445" b="7620"/>
            <wp:docPr id="1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56"/>
                    <pic:cNvPicPr>
                      <a:picLocks noChangeAspect="1"/>
                    </pic:cNvPicPr>
                  </pic:nvPicPr>
                  <pic:blipFill>
                    <a:blip r:embed="rId15" cstate="print"/>
                    <a:stretch>
                      <a:fillRect/>
                    </a:stretch>
                  </pic:blipFill>
                  <pic:spPr>
                    <a:xfrm>
                      <a:off x="0" y="0"/>
                      <a:ext cx="5901055" cy="1897380"/>
                    </a:xfrm>
                    <a:prstGeom prst="rect">
                      <a:avLst/>
                    </a:prstGeom>
                    <a:noFill/>
                    <a:ln w="9525">
                      <a:noFill/>
                    </a:ln>
                  </pic:spPr>
                </pic:pic>
              </a:graphicData>
            </a:graphic>
          </wp:inline>
        </w:drawing>
      </w:r>
    </w:p>
    <w:p w:rsidR="000745CF" w:rsidRDefault="000745CF">
      <w:pPr>
        <w:widowControl/>
        <w:rPr>
          <w:rFonts w:ascii="华文中宋" w:eastAsia="方正小标宋_GBK" w:hAnsi="华文中宋" w:cs="宋体"/>
          <w:color w:val="000000"/>
          <w:kern w:val="0"/>
          <w:sz w:val="36"/>
          <w:szCs w:val="36"/>
        </w:rPr>
      </w:pPr>
    </w:p>
    <w:p w:rsidR="000745CF" w:rsidRDefault="000745CF">
      <w:pPr>
        <w:widowControl/>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color w:val="000000"/>
          <w:kern w:val="0"/>
          <w:sz w:val="36"/>
          <w:szCs w:val="36"/>
        </w:rPr>
      </w:pPr>
    </w:p>
    <w:p w:rsidR="000745CF" w:rsidRDefault="000745CF">
      <w:pPr>
        <w:widowControl/>
        <w:jc w:val="center"/>
        <w:rPr>
          <w:rFonts w:ascii="华文中宋" w:eastAsia="方正小标宋_GBK" w:hAnsi="华文中宋" w:cs="宋体"/>
          <w:kern w:val="0"/>
          <w:sz w:val="36"/>
          <w:szCs w:val="36"/>
        </w:rPr>
      </w:pPr>
    </w:p>
    <w:p w:rsidR="000745CF" w:rsidRDefault="000745CF">
      <w:pPr>
        <w:widowControl/>
        <w:jc w:val="center"/>
        <w:rPr>
          <w:rFonts w:ascii="华文中宋" w:eastAsia="方正小标宋_GBK" w:hAnsi="华文中宋" w:cs="宋体"/>
          <w:kern w:val="0"/>
          <w:sz w:val="36"/>
          <w:szCs w:val="36"/>
        </w:rPr>
      </w:pPr>
    </w:p>
    <w:p w:rsidR="000745CF" w:rsidRDefault="000745CF">
      <w:pPr>
        <w:widowControl/>
        <w:jc w:val="center"/>
        <w:rPr>
          <w:rFonts w:ascii="华文中宋" w:eastAsia="方正小标宋_GBK" w:hAnsi="华文中宋" w:cs="宋体"/>
          <w:kern w:val="0"/>
          <w:sz w:val="36"/>
          <w:szCs w:val="36"/>
        </w:rPr>
      </w:pPr>
    </w:p>
    <w:p w:rsidR="000745CF" w:rsidRDefault="000745CF">
      <w:pPr>
        <w:widowControl/>
        <w:jc w:val="center"/>
        <w:rPr>
          <w:rFonts w:ascii="华文中宋" w:eastAsia="方正小标宋_GBK" w:hAnsi="华文中宋" w:cs="宋体"/>
          <w:kern w:val="0"/>
          <w:sz w:val="36"/>
          <w:szCs w:val="36"/>
        </w:rPr>
      </w:pPr>
    </w:p>
    <w:p w:rsidR="000745CF" w:rsidRDefault="000745CF">
      <w:pPr>
        <w:widowControl/>
        <w:jc w:val="left"/>
        <w:rPr>
          <w:rFonts w:ascii="Times New Roman" w:eastAsia="仿宋_GB2312" w:hAnsi="宋体" w:cs="Times New Roman"/>
          <w:kern w:val="0"/>
          <w:sz w:val="24"/>
          <w:szCs w:val="24"/>
        </w:rPr>
      </w:pPr>
    </w:p>
    <w:p w:rsidR="000745CF" w:rsidRDefault="000D000E">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第三部分</w:t>
      </w:r>
      <w:r>
        <w:rPr>
          <w:rFonts w:ascii="Times New Roman" w:eastAsia="黑体" w:hAnsi="Times New Roman" w:cs="Times New Roman"/>
          <w:bCs/>
          <w:kern w:val="0"/>
          <w:sz w:val="32"/>
          <w:szCs w:val="32"/>
        </w:rPr>
        <w:t xml:space="preserve">  </w:t>
      </w:r>
      <w:r>
        <w:rPr>
          <w:rFonts w:ascii="黑体" w:eastAsia="黑体" w:hAnsi="黑体" w:cs="黑体" w:hint="eastAsia"/>
          <w:bCs/>
          <w:kern w:val="0"/>
          <w:sz w:val="32"/>
          <w:szCs w:val="32"/>
        </w:rPr>
        <w:t>雁峰区城乡居民社会养老保险管理服务中心</w:t>
      </w:r>
      <w:bookmarkStart w:id="0" w:name="_GoBack"/>
      <w:bookmarkEnd w:id="0"/>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一、收入支出决算总体情况说明</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年收入支出决算总体情况为：本年收入合计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万元，上年结余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万元；本年一般公共服务支出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万元，社会保障和就业支出</w:t>
      </w:r>
      <w:r>
        <w:rPr>
          <w:rFonts w:ascii="Times New Roman" w:eastAsia="仿宋_GB2312" w:hAnsi="Times New Roman" w:cs="Times New Roman" w:hint="eastAsia"/>
          <w:kern w:val="0"/>
          <w:sz w:val="32"/>
          <w:szCs w:val="32"/>
        </w:rPr>
        <w:t>389.26</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numPr>
          <w:ilvl w:val="0"/>
          <w:numId w:val="4"/>
        </w:num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收入决算情况说明</w:t>
      </w:r>
    </w:p>
    <w:p w:rsidR="000745CF" w:rsidRDefault="000D000E">
      <w:pPr>
        <w:widowControl/>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年收入决算总体情况为：</w:t>
      </w:r>
      <w:r>
        <w:rPr>
          <w:rFonts w:ascii="Times New Roman" w:eastAsia="仿宋_GB2312" w:hAnsi="Times New Roman" w:cs="Times New Roman" w:hint="eastAsia"/>
          <w:kern w:val="0"/>
          <w:sz w:val="32"/>
          <w:szCs w:val="32"/>
        </w:rPr>
        <w:t>2011001</w:t>
      </w:r>
      <w:r>
        <w:rPr>
          <w:rFonts w:ascii="Times New Roman" w:eastAsia="仿宋_GB2312" w:hAnsi="Times New Roman" w:cs="Times New Roman" w:hint="eastAsia"/>
          <w:kern w:val="0"/>
          <w:sz w:val="32"/>
          <w:szCs w:val="32"/>
        </w:rPr>
        <w:t>行政运行科目收入合计</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2080109</w:t>
      </w:r>
      <w:r>
        <w:rPr>
          <w:rFonts w:ascii="Times New Roman" w:eastAsia="仿宋_GB2312" w:hAnsi="Times New Roman" w:cs="Times New Roman" w:hint="eastAsia"/>
          <w:kern w:val="0"/>
          <w:sz w:val="32"/>
          <w:szCs w:val="32"/>
        </w:rPr>
        <w:t>社会保险经办机构</w:t>
      </w:r>
      <w:r>
        <w:rPr>
          <w:rFonts w:ascii="Times New Roman" w:eastAsia="仿宋_GB2312" w:hAnsi="Times New Roman" w:cs="Times New Roman" w:hint="eastAsia"/>
          <w:kern w:val="0"/>
          <w:sz w:val="32"/>
          <w:szCs w:val="32"/>
        </w:rPr>
        <w:t>25.59</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2080505</w:t>
      </w:r>
      <w:r>
        <w:rPr>
          <w:rFonts w:ascii="Times New Roman" w:eastAsia="仿宋_GB2312" w:hAnsi="Times New Roman" w:cs="Times New Roman" w:hint="eastAsia"/>
          <w:kern w:val="0"/>
          <w:sz w:val="32"/>
          <w:szCs w:val="32"/>
        </w:rPr>
        <w:t>机关事业单位基本养老保险缴费支出</w:t>
      </w:r>
      <w:r>
        <w:rPr>
          <w:rFonts w:ascii="Times New Roman" w:eastAsia="仿宋_GB2312" w:hAnsi="Times New Roman" w:cs="Times New Roman" w:hint="eastAsia"/>
          <w:kern w:val="0"/>
          <w:sz w:val="32"/>
          <w:szCs w:val="32"/>
        </w:rPr>
        <w:t>7.51</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2082602</w:t>
      </w:r>
      <w:r>
        <w:rPr>
          <w:rFonts w:ascii="Times New Roman" w:eastAsia="仿宋_GB2312" w:hAnsi="Times New Roman" w:cs="Times New Roman" w:hint="eastAsia"/>
          <w:kern w:val="0"/>
          <w:sz w:val="32"/>
          <w:szCs w:val="32"/>
        </w:rPr>
        <w:t>财政对城乡居民社会养老保险基金的补助</w:t>
      </w:r>
      <w:r>
        <w:rPr>
          <w:rFonts w:ascii="Times New Roman" w:eastAsia="仿宋_GB2312" w:hAnsi="Times New Roman" w:cs="Times New Roman" w:hint="eastAsia"/>
          <w:kern w:val="0"/>
          <w:sz w:val="32"/>
          <w:szCs w:val="32"/>
        </w:rPr>
        <w:t>353.54</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2210201</w:t>
      </w:r>
      <w:r>
        <w:rPr>
          <w:rFonts w:ascii="Times New Roman" w:eastAsia="仿宋_GB2312" w:hAnsi="Times New Roman" w:cs="Times New Roman" w:hint="eastAsia"/>
          <w:kern w:val="0"/>
          <w:sz w:val="32"/>
          <w:szCs w:val="32"/>
        </w:rPr>
        <w:t>住房公积金</w:t>
      </w:r>
      <w:r>
        <w:rPr>
          <w:rFonts w:ascii="Times New Roman" w:eastAsia="仿宋_GB2312" w:hAnsi="Times New Roman" w:cs="Times New Roman" w:hint="eastAsia"/>
          <w:kern w:val="0"/>
          <w:sz w:val="32"/>
          <w:szCs w:val="32"/>
        </w:rPr>
        <w:t>4.61</w:t>
      </w:r>
      <w:r>
        <w:rPr>
          <w:rFonts w:ascii="Times New Roman" w:eastAsia="仿宋_GB2312" w:hAnsi="Times New Roman" w:cs="Times New Roman" w:hint="eastAsia"/>
          <w:kern w:val="0"/>
          <w:sz w:val="32"/>
          <w:szCs w:val="32"/>
        </w:rPr>
        <w:t>万元，共计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万元。加之</w:t>
      </w: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年转存结余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万元，全年收入共计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numPr>
          <w:ilvl w:val="0"/>
          <w:numId w:val="4"/>
        </w:num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支出决算情况说明</w:t>
      </w:r>
    </w:p>
    <w:p w:rsidR="000745CF" w:rsidRDefault="000D000E" w:rsidP="009028DB">
      <w:pPr>
        <w:widowControl/>
        <w:spacing w:line="600" w:lineRule="exact"/>
        <w:ind w:leftChars="200" w:left="4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2011001</w:t>
      </w:r>
      <w:r>
        <w:rPr>
          <w:rFonts w:ascii="Times New Roman" w:eastAsia="仿宋_GB2312" w:hAnsi="Times New Roman" w:cs="Times New Roman" w:hint="eastAsia"/>
          <w:kern w:val="0"/>
          <w:sz w:val="32"/>
          <w:szCs w:val="32"/>
        </w:rPr>
        <w:t>行政运行科目支出合计</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2080109</w:t>
      </w:r>
      <w:r>
        <w:rPr>
          <w:rFonts w:ascii="Times New Roman" w:eastAsia="仿宋_GB2312" w:hAnsi="Times New Roman" w:cs="Times New Roman" w:hint="eastAsia"/>
          <w:kern w:val="0"/>
          <w:sz w:val="32"/>
          <w:szCs w:val="32"/>
        </w:rPr>
        <w:t>社会保险经办机构</w:t>
      </w:r>
      <w:r>
        <w:rPr>
          <w:rFonts w:ascii="Times New Roman" w:eastAsia="仿宋_GB2312" w:hAnsi="Times New Roman" w:cs="Times New Roman" w:hint="eastAsia"/>
          <w:kern w:val="0"/>
          <w:sz w:val="32"/>
          <w:szCs w:val="32"/>
        </w:rPr>
        <w:t>28</w:t>
      </w:r>
      <w:r>
        <w:rPr>
          <w:rFonts w:ascii="Times New Roman" w:eastAsia="仿宋_GB2312" w:hAnsi="Times New Roman" w:cs="Times New Roman" w:hint="eastAsia"/>
          <w:kern w:val="0"/>
          <w:sz w:val="32"/>
          <w:szCs w:val="32"/>
        </w:rPr>
        <w:t>.21</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2080505</w:t>
      </w:r>
      <w:r>
        <w:rPr>
          <w:rFonts w:ascii="Times New Roman" w:eastAsia="仿宋_GB2312" w:hAnsi="Times New Roman" w:cs="Times New Roman" w:hint="eastAsia"/>
          <w:kern w:val="0"/>
          <w:sz w:val="32"/>
          <w:szCs w:val="32"/>
        </w:rPr>
        <w:t>机关事业单位基本养老保险缴费支出</w:t>
      </w:r>
      <w:r>
        <w:rPr>
          <w:rFonts w:ascii="Times New Roman" w:eastAsia="仿宋_GB2312" w:hAnsi="Times New Roman" w:cs="Times New Roman" w:hint="eastAsia"/>
          <w:kern w:val="0"/>
          <w:sz w:val="32"/>
          <w:szCs w:val="32"/>
        </w:rPr>
        <w:t>7.51</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2082602</w:t>
      </w:r>
      <w:r>
        <w:rPr>
          <w:rFonts w:ascii="Times New Roman" w:eastAsia="仿宋_GB2312" w:hAnsi="Times New Roman" w:cs="Times New Roman" w:hint="eastAsia"/>
          <w:kern w:val="0"/>
          <w:sz w:val="32"/>
          <w:szCs w:val="32"/>
        </w:rPr>
        <w:t>财政对城乡居民社会养老保险基金的补助</w:t>
      </w:r>
      <w:r>
        <w:rPr>
          <w:rFonts w:ascii="Times New Roman" w:eastAsia="仿宋_GB2312" w:hAnsi="Times New Roman" w:cs="Times New Roman" w:hint="eastAsia"/>
          <w:kern w:val="0"/>
          <w:sz w:val="32"/>
          <w:szCs w:val="32"/>
        </w:rPr>
        <w:t>353.54</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t>2210201</w:t>
      </w:r>
      <w:r>
        <w:rPr>
          <w:rFonts w:ascii="Times New Roman" w:eastAsia="仿宋_GB2312" w:hAnsi="Times New Roman" w:cs="Times New Roman" w:hint="eastAsia"/>
          <w:kern w:val="0"/>
          <w:sz w:val="32"/>
          <w:szCs w:val="32"/>
        </w:rPr>
        <w:t>住房公积金</w:t>
      </w:r>
      <w:r>
        <w:rPr>
          <w:rFonts w:ascii="Times New Roman" w:eastAsia="仿宋_GB2312" w:hAnsi="Times New Roman" w:cs="Times New Roman" w:hint="eastAsia"/>
          <w:kern w:val="0"/>
          <w:sz w:val="32"/>
          <w:szCs w:val="32"/>
        </w:rPr>
        <w:t>4.61</w:t>
      </w:r>
      <w:r>
        <w:rPr>
          <w:rFonts w:ascii="Times New Roman" w:eastAsia="仿宋_GB2312" w:hAnsi="Times New Roman" w:cs="Times New Roman" w:hint="eastAsia"/>
          <w:kern w:val="0"/>
          <w:sz w:val="32"/>
          <w:szCs w:val="32"/>
        </w:rPr>
        <w:t>万元，共计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numPr>
          <w:ilvl w:val="0"/>
          <w:numId w:val="4"/>
        </w:num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财政拨款收入支出决算总体情况说明</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年收入支出决算总体情况为：本年收入合计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万元，上年结余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万元；本年一般公共服务支出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万元，社会保障和就业支出</w:t>
      </w:r>
      <w:r>
        <w:rPr>
          <w:rFonts w:ascii="Times New Roman" w:eastAsia="仿宋_GB2312" w:hAnsi="Times New Roman" w:cs="Times New Roman" w:hint="eastAsia"/>
          <w:kern w:val="0"/>
          <w:sz w:val="32"/>
          <w:szCs w:val="32"/>
        </w:rPr>
        <w:t>389.26</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五、一般公共预算财政拨款支出决算情况</w:t>
      </w:r>
      <w:r>
        <w:rPr>
          <w:rFonts w:ascii="Times New Roman" w:eastAsia="仿宋_GB2312" w:hAnsi="Times New Roman" w:cs="Times New Roman"/>
          <w:kern w:val="0"/>
          <w:sz w:val="32"/>
          <w:szCs w:val="32"/>
        </w:rPr>
        <w:t>说明</w:t>
      </w:r>
    </w:p>
    <w:p w:rsidR="000745CF" w:rsidRDefault="000D000E">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（一）财政拨款支出决算总体情况。</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年收入支出决算总体情况为：本年收入合计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万元，上年结余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万元；本年一般公共服务支出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万元，社会保障和就业支出</w:t>
      </w:r>
      <w:r>
        <w:rPr>
          <w:rFonts w:ascii="Times New Roman" w:eastAsia="仿宋_GB2312" w:hAnsi="Times New Roman" w:cs="Times New Roman" w:hint="eastAsia"/>
          <w:kern w:val="0"/>
          <w:sz w:val="32"/>
          <w:szCs w:val="32"/>
        </w:rPr>
        <w:t>389.26</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财政拨款支出决算结构情况。</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年收入支出决算总体情况为：本年收入合计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万元，上年结余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万元；本年一般公共服务支出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万元，社会保障和就</w:t>
      </w:r>
      <w:r>
        <w:rPr>
          <w:rFonts w:ascii="Times New Roman" w:eastAsia="仿宋_GB2312" w:hAnsi="Times New Roman" w:cs="Times New Roman" w:hint="eastAsia"/>
          <w:kern w:val="0"/>
          <w:sz w:val="32"/>
          <w:szCs w:val="32"/>
        </w:rPr>
        <w:t>业支出</w:t>
      </w:r>
      <w:r>
        <w:rPr>
          <w:rFonts w:ascii="Times New Roman" w:eastAsia="仿宋_GB2312" w:hAnsi="Times New Roman" w:cs="Times New Roman" w:hint="eastAsia"/>
          <w:kern w:val="0"/>
          <w:sz w:val="32"/>
          <w:szCs w:val="32"/>
        </w:rPr>
        <w:t>389.26</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pPr>
        <w:widowControl/>
        <w:spacing w:line="60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bCs/>
          <w:kern w:val="0"/>
          <w:sz w:val="32"/>
          <w:szCs w:val="32"/>
        </w:rPr>
        <w:t>（三）财政拨款支出决算具体情况。</w:t>
      </w:r>
    </w:p>
    <w:p w:rsidR="000745CF" w:rsidRDefault="000D000E">
      <w:pPr>
        <w:widowControl/>
        <w:spacing w:line="600" w:lineRule="exact"/>
        <w:ind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本单位为</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年新增年度决算单位，</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年收入支出决算总体情况为：本年收入合计</w:t>
      </w:r>
      <w:r>
        <w:rPr>
          <w:rFonts w:ascii="Times New Roman" w:eastAsia="仿宋_GB2312" w:hAnsi="Times New Roman" w:cs="Times New Roman" w:hint="eastAsia"/>
          <w:kern w:val="0"/>
          <w:sz w:val="32"/>
          <w:szCs w:val="32"/>
        </w:rPr>
        <w:t>439.43</w:t>
      </w:r>
      <w:r>
        <w:rPr>
          <w:rFonts w:ascii="Times New Roman" w:eastAsia="仿宋_GB2312" w:hAnsi="Times New Roman" w:cs="Times New Roman" w:hint="eastAsia"/>
          <w:kern w:val="0"/>
          <w:sz w:val="32"/>
          <w:szCs w:val="32"/>
        </w:rPr>
        <w:t>万元，上年结余</w:t>
      </w:r>
      <w:r>
        <w:rPr>
          <w:rFonts w:ascii="Times New Roman" w:eastAsia="仿宋_GB2312" w:hAnsi="Times New Roman" w:cs="Times New Roman" w:hint="eastAsia"/>
          <w:kern w:val="0"/>
          <w:sz w:val="32"/>
          <w:szCs w:val="32"/>
        </w:rPr>
        <w:t>2.62</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万元；本年一般公共服务支出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万元，社会保障和就业支出</w:t>
      </w:r>
      <w:r>
        <w:rPr>
          <w:rFonts w:ascii="Times New Roman" w:eastAsia="仿宋_GB2312" w:hAnsi="Times New Roman" w:cs="Times New Roman" w:hint="eastAsia"/>
          <w:kern w:val="0"/>
          <w:sz w:val="32"/>
          <w:szCs w:val="32"/>
        </w:rPr>
        <w:t>389.26</w:t>
      </w:r>
      <w:r>
        <w:rPr>
          <w:rFonts w:ascii="Times New Roman" w:eastAsia="仿宋_GB2312" w:hAnsi="Times New Roman" w:cs="Times New Roman" w:hint="eastAsia"/>
          <w:kern w:val="0"/>
          <w:sz w:val="32"/>
          <w:szCs w:val="32"/>
        </w:rPr>
        <w:t>万元，总计</w:t>
      </w:r>
      <w:r>
        <w:rPr>
          <w:rFonts w:ascii="Times New Roman" w:eastAsia="仿宋_GB2312" w:hAnsi="Times New Roman" w:cs="Times New Roman" w:hint="eastAsia"/>
          <w:kern w:val="0"/>
          <w:sz w:val="32"/>
          <w:szCs w:val="32"/>
        </w:rPr>
        <w:t>442.05</w:t>
      </w:r>
      <w:r>
        <w:rPr>
          <w:rFonts w:ascii="Times New Roman" w:eastAsia="仿宋_GB2312" w:hAnsi="Times New Roman" w:cs="Times New Roman" w:hint="eastAsia"/>
          <w:kern w:val="0"/>
          <w:sz w:val="32"/>
          <w:szCs w:val="32"/>
        </w:rPr>
        <w:t>万元。</w:t>
      </w:r>
    </w:p>
    <w:p w:rsidR="000745CF" w:rsidRDefault="000D000E" w:rsidP="009028DB">
      <w:pPr>
        <w:widowControl/>
        <w:spacing w:line="600" w:lineRule="exact"/>
        <w:ind w:leftChars="200" w:left="420" w:firstLineChars="100" w:firstLine="32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六、</w:t>
      </w:r>
      <w:r>
        <w:rPr>
          <w:rFonts w:ascii="Times New Roman" w:eastAsia="仿宋_GB2312" w:hAnsi="Times New Roman" w:cs="Times New Roman"/>
          <w:bCs/>
          <w:kern w:val="0"/>
          <w:sz w:val="32"/>
          <w:szCs w:val="32"/>
        </w:rPr>
        <w:t>一般公共预算财政拨款基本支出决算情况说明</w:t>
      </w:r>
    </w:p>
    <w:p w:rsidR="000745CF" w:rsidRDefault="000D000E" w:rsidP="009028DB">
      <w:pPr>
        <w:widowControl/>
        <w:spacing w:line="600" w:lineRule="exact"/>
        <w:ind w:leftChars="200" w:left="42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hint="eastAsia"/>
          <w:bCs/>
          <w:kern w:val="0"/>
          <w:sz w:val="32"/>
          <w:szCs w:val="32"/>
        </w:rPr>
        <w:t>本中心</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年一般公共预算财政拨款基本支出决算人员经费总计</w:t>
      </w:r>
      <w:r>
        <w:rPr>
          <w:rFonts w:ascii="Times New Roman" w:eastAsia="仿宋_GB2312" w:hAnsi="Times New Roman" w:cs="Times New Roman" w:hint="eastAsia"/>
          <w:bCs/>
          <w:kern w:val="0"/>
          <w:sz w:val="32"/>
          <w:szCs w:val="32"/>
        </w:rPr>
        <w:t>88.51</w:t>
      </w:r>
      <w:r>
        <w:rPr>
          <w:rFonts w:ascii="Times New Roman" w:eastAsia="仿宋_GB2312" w:hAnsi="Times New Roman" w:cs="Times New Roman" w:hint="eastAsia"/>
          <w:bCs/>
          <w:kern w:val="0"/>
          <w:sz w:val="32"/>
          <w:szCs w:val="32"/>
        </w:rPr>
        <w:t>万元。其中基本工资</w:t>
      </w:r>
      <w:r>
        <w:rPr>
          <w:rFonts w:ascii="Times New Roman" w:eastAsia="仿宋_GB2312" w:hAnsi="Times New Roman" w:cs="Times New Roman" w:hint="eastAsia"/>
          <w:bCs/>
          <w:kern w:val="0"/>
          <w:sz w:val="32"/>
          <w:szCs w:val="32"/>
        </w:rPr>
        <w:t>59.2</w:t>
      </w:r>
      <w:r>
        <w:rPr>
          <w:rFonts w:ascii="Times New Roman" w:eastAsia="仿宋_GB2312" w:hAnsi="Times New Roman" w:cs="Times New Roman" w:hint="eastAsia"/>
          <w:bCs/>
          <w:kern w:val="0"/>
          <w:sz w:val="32"/>
          <w:szCs w:val="32"/>
        </w:rPr>
        <w:t>万元，占全</w:t>
      </w:r>
      <w:r>
        <w:rPr>
          <w:rFonts w:ascii="Times New Roman" w:eastAsia="仿宋_GB2312" w:hAnsi="Times New Roman" w:cs="Times New Roman" w:hint="eastAsia"/>
          <w:bCs/>
          <w:kern w:val="0"/>
          <w:sz w:val="32"/>
          <w:szCs w:val="32"/>
        </w:rPr>
        <w:lastRenderedPageBreak/>
        <w:t>年一般公共预算财政拨款基本支出决算的</w:t>
      </w:r>
      <w:r>
        <w:rPr>
          <w:rFonts w:ascii="Times New Roman" w:eastAsia="仿宋_GB2312" w:hAnsi="Times New Roman" w:cs="Times New Roman" w:hint="eastAsia"/>
          <w:bCs/>
          <w:kern w:val="0"/>
          <w:sz w:val="32"/>
          <w:szCs w:val="32"/>
        </w:rPr>
        <w:t>66.88%</w:t>
      </w:r>
      <w:r>
        <w:rPr>
          <w:rFonts w:ascii="Times New Roman" w:eastAsia="仿宋_GB2312" w:hAnsi="Times New Roman" w:cs="Times New Roman" w:hint="eastAsia"/>
          <w:bCs/>
          <w:kern w:val="0"/>
          <w:sz w:val="32"/>
          <w:szCs w:val="32"/>
        </w:rPr>
        <w:t>；机关事业单位养老保险缴费</w:t>
      </w:r>
      <w:r>
        <w:rPr>
          <w:rFonts w:ascii="Times New Roman" w:eastAsia="仿宋_GB2312" w:hAnsi="Times New Roman" w:cs="Times New Roman" w:hint="eastAsia"/>
          <w:bCs/>
          <w:kern w:val="0"/>
          <w:sz w:val="32"/>
          <w:szCs w:val="32"/>
        </w:rPr>
        <w:t>7.51</w:t>
      </w:r>
      <w:r>
        <w:rPr>
          <w:rFonts w:ascii="Times New Roman" w:eastAsia="仿宋_GB2312" w:hAnsi="Times New Roman" w:cs="Times New Roman" w:hint="eastAsia"/>
          <w:bCs/>
          <w:kern w:val="0"/>
          <w:sz w:val="32"/>
          <w:szCs w:val="32"/>
        </w:rPr>
        <w:t>万元，占全年一般公共预算财政拨款基本支出决算的</w:t>
      </w:r>
      <w:r>
        <w:rPr>
          <w:rFonts w:ascii="Times New Roman" w:eastAsia="仿宋_GB2312" w:hAnsi="Times New Roman" w:cs="Times New Roman" w:hint="eastAsia"/>
          <w:bCs/>
          <w:kern w:val="0"/>
          <w:sz w:val="32"/>
          <w:szCs w:val="32"/>
        </w:rPr>
        <w:t>8.48%</w:t>
      </w:r>
      <w:r>
        <w:rPr>
          <w:rFonts w:ascii="Times New Roman" w:eastAsia="仿宋_GB2312" w:hAnsi="Times New Roman" w:cs="Times New Roman" w:hint="eastAsia"/>
          <w:bCs/>
          <w:kern w:val="0"/>
          <w:sz w:val="32"/>
          <w:szCs w:val="32"/>
        </w:rPr>
        <w:t>；住房公积金支出</w:t>
      </w:r>
      <w:r>
        <w:rPr>
          <w:rFonts w:ascii="Times New Roman" w:eastAsia="仿宋_GB2312" w:hAnsi="Times New Roman" w:cs="Times New Roman" w:hint="eastAsia"/>
          <w:bCs/>
          <w:kern w:val="0"/>
          <w:sz w:val="32"/>
          <w:szCs w:val="32"/>
        </w:rPr>
        <w:t>10.3</w:t>
      </w:r>
      <w:r>
        <w:rPr>
          <w:rFonts w:ascii="Times New Roman" w:eastAsia="仿宋_GB2312" w:hAnsi="Times New Roman" w:cs="Times New Roman" w:hint="eastAsia"/>
          <w:bCs/>
          <w:kern w:val="0"/>
          <w:sz w:val="32"/>
          <w:szCs w:val="32"/>
        </w:rPr>
        <w:t>万元，占全年一般公共预算财政拨款基本支出决算的</w:t>
      </w:r>
      <w:r>
        <w:rPr>
          <w:rFonts w:ascii="Times New Roman" w:eastAsia="仿宋_GB2312" w:hAnsi="Times New Roman" w:cs="Times New Roman" w:hint="eastAsia"/>
          <w:bCs/>
          <w:kern w:val="0"/>
          <w:sz w:val="32"/>
          <w:szCs w:val="32"/>
        </w:rPr>
        <w:t>11.63%</w:t>
      </w:r>
      <w:r>
        <w:rPr>
          <w:rFonts w:ascii="Times New Roman" w:eastAsia="仿宋_GB2312" w:hAnsi="Times New Roman" w:cs="Times New Roman" w:hint="eastAsia"/>
          <w:bCs/>
          <w:kern w:val="0"/>
          <w:sz w:val="32"/>
          <w:szCs w:val="32"/>
        </w:rPr>
        <w:t>；其他工资福利</w:t>
      </w:r>
      <w:r>
        <w:rPr>
          <w:rFonts w:ascii="Times New Roman" w:eastAsia="仿宋_GB2312" w:hAnsi="Times New Roman" w:cs="Times New Roman" w:hint="eastAsia"/>
          <w:bCs/>
          <w:kern w:val="0"/>
          <w:sz w:val="32"/>
          <w:szCs w:val="32"/>
        </w:rPr>
        <w:t>5.33</w:t>
      </w:r>
      <w:r>
        <w:rPr>
          <w:rFonts w:ascii="Times New Roman" w:eastAsia="仿宋_GB2312" w:hAnsi="Times New Roman" w:cs="Times New Roman" w:hint="eastAsia"/>
          <w:bCs/>
          <w:kern w:val="0"/>
          <w:sz w:val="32"/>
          <w:szCs w:val="32"/>
        </w:rPr>
        <w:t>万元，占全年一般公共预算财政拨款基本支出决算的</w:t>
      </w:r>
      <w:r>
        <w:rPr>
          <w:rFonts w:ascii="Times New Roman" w:eastAsia="仿宋_GB2312" w:hAnsi="Times New Roman" w:cs="Times New Roman" w:hint="eastAsia"/>
          <w:bCs/>
          <w:kern w:val="0"/>
          <w:sz w:val="32"/>
          <w:szCs w:val="32"/>
        </w:rPr>
        <w:t>6.02%</w:t>
      </w:r>
      <w:r>
        <w:rPr>
          <w:rFonts w:ascii="Times New Roman" w:eastAsia="仿宋_GB2312" w:hAnsi="Times New Roman" w:cs="Times New Roman" w:hint="eastAsia"/>
          <w:bCs/>
          <w:kern w:val="0"/>
          <w:sz w:val="32"/>
          <w:szCs w:val="32"/>
        </w:rPr>
        <w:t>；生活补助</w:t>
      </w:r>
      <w:r>
        <w:rPr>
          <w:rFonts w:ascii="Times New Roman" w:eastAsia="仿宋_GB2312" w:hAnsi="Times New Roman" w:cs="Times New Roman" w:hint="eastAsia"/>
          <w:bCs/>
          <w:kern w:val="0"/>
          <w:sz w:val="32"/>
          <w:szCs w:val="32"/>
        </w:rPr>
        <w:t>1.77</w:t>
      </w:r>
      <w:r>
        <w:rPr>
          <w:rFonts w:ascii="Times New Roman" w:eastAsia="仿宋_GB2312" w:hAnsi="Times New Roman" w:cs="Times New Roman" w:hint="eastAsia"/>
          <w:bCs/>
          <w:kern w:val="0"/>
          <w:sz w:val="32"/>
          <w:szCs w:val="32"/>
        </w:rPr>
        <w:t>万元，占全年一般公共预算财政拨款基本支出决算的</w:t>
      </w:r>
      <w:r>
        <w:rPr>
          <w:rFonts w:ascii="Times New Roman" w:eastAsia="仿宋_GB2312" w:hAnsi="Times New Roman" w:cs="Times New Roman" w:hint="eastAsia"/>
          <w:bCs/>
          <w:kern w:val="0"/>
          <w:sz w:val="32"/>
          <w:szCs w:val="32"/>
        </w:rPr>
        <w:t>2.0%</w:t>
      </w:r>
      <w:r>
        <w:rPr>
          <w:rFonts w:ascii="Times New Roman" w:eastAsia="仿宋_GB2312" w:hAnsi="Times New Roman" w:cs="Times New Roman" w:hint="eastAsia"/>
          <w:bCs/>
          <w:kern w:val="0"/>
          <w:sz w:val="32"/>
          <w:szCs w:val="32"/>
        </w:rPr>
        <w:t>；商品和服务支出</w:t>
      </w:r>
      <w:r>
        <w:rPr>
          <w:rFonts w:ascii="Times New Roman" w:eastAsia="仿宋_GB2312" w:hAnsi="Times New Roman" w:cs="Times New Roman" w:hint="eastAsia"/>
          <w:bCs/>
          <w:kern w:val="0"/>
          <w:sz w:val="32"/>
          <w:szCs w:val="32"/>
        </w:rPr>
        <w:t>4.4</w:t>
      </w:r>
      <w:r>
        <w:rPr>
          <w:rFonts w:ascii="Times New Roman" w:eastAsia="仿宋_GB2312" w:hAnsi="Times New Roman" w:cs="Times New Roman" w:hint="eastAsia"/>
          <w:bCs/>
          <w:kern w:val="0"/>
          <w:sz w:val="32"/>
          <w:szCs w:val="32"/>
        </w:rPr>
        <w:t>万元，占</w:t>
      </w:r>
      <w:r>
        <w:rPr>
          <w:rFonts w:ascii="Times New Roman" w:eastAsia="仿宋_GB2312" w:hAnsi="Times New Roman" w:cs="Times New Roman" w:hint="eastAsia"/>
          <w:bCs/>
          <w:kern w:val="0"/>
          <w:sz w:val="32"/>
          <w:szCs w:val="32"/>
        </w:rPr>
        <w:t>全年一般公共预算财政拨款基本支出决算的</w:t>
      </w:r>
      <w:r>
        <w:rPr>
          <w:rFonts w:ascii="Times New Roman" w:eastAsia="仿宋_GB2312" w:hAnsi="Times New Roman" w:cs="Times New Roman" w:hint="eastAsia"/>
          <w:bCs/>
          <w:kern w:val="0"/>
          <w:sz w:val="32"/>
          <w:szCs w:val="32"/>
        </w:rPr>
        <w:t>4.98%</w:t>
      </w:r>
      <w:r>
        <w:rPr>
          <w:rFonts w:ascii="Times New Roman" w:eastAsia="仿宋_GB2312" w:hAnsi="Times New Roman" w:cs="Times New Roman" w:hint="eastAsia"/>
          <w:bCs/>
          <w:kern w:val="0"/>
          <w:sz w:val="32"/>
          <w:szCs w:val="32"/>
        </w:rPr>
        <w:t>。</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经费支出决算情况说明</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经费财政拨款支出决算总体情况说明。</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本中心</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年无三公经费。</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（二）</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经费财政拨款支出决算具体情况说明。</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本中心</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年无三公经费。</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八、政府性基金预算收入支出决算情况</w:t>
      </w:r>
    </w:p>
    <w:p w:rsidR="000745CF" w:rsidRDefault="000D000E">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kern w:val="0"/>
          <w:sz w:val="32"/>
          <w:szCs w:val="32"/>
        </w:rPr>
        <w:t>本单位无政府性基金收支</w:t>
      </w:r>
      <w:r>
        <w:rPr>
          <w:rFonts w:ascii="Times New Roman" w:eastAsia="仿宋_GB2312" w:hAnsi="Times New Roman" w:cs="Times New Roman" w:hint="eastAsia"/>
          <w:kern w:val="0"/>
          <w:sz w:val="32"/>
          <w:szCs w:val="32"/>
        </w:rPr>
        <w:t>。</w:t>
      </w:r>
    </w:p>
    <w:p w:rsidR="000745CF" w:rsidRDefault="000D000E">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九、关于</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年度预算绩效情况说明</w:t>
      </w:r>
    </w:p>
    <w:p w:rsidR="000745CF" w:rsidRDefault="000D000E">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本中心主要工作任务为城乡居民社会养老保险的征缴工作，</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年的绩效目标为参保缴费达到一定金额，</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年圆满完成工作目标。</w:t>
      </w:r>
    </w:p>
    <w:p w:rsidR="000745CF" w:rsidRDefault="000D000E">
      <w:pPr>
        <w:widowControl/>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十、其他重要事项</w:t>
      </w:r>
    </w:p>
    <w:p w:rsidR="000745CF" w:rsidRDefault="000D000E">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（一）机关运行经费支出情况。</w:t>
      </w:r>
    </w:p>
    <w:p w:rsidR="000745CF" w:rsidRDefault="000D000E">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本中心</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年机关运行经费支出</w:t>
      </w:r>
      <w:r>
        <w:rPr>
          <w:rFonts w:ascii="Times New Roman" w:eastAsia="仿宋_GB2312" w:hAnsi="Times New Roman" w:cs="Times New Roman" w:hint="eastAsia"/>
          <w:kern w:val="0"/>
          <w:sz w:val="32"/>
          <w:szCs w:val="32"/>
        </w:rPr>
        <w:t>48.18</w:t>
      </w:r>
      <w:r>
        <w:rPr>
          <w:rFonts w:ascii="Times New Roman" w:eastAsia="仿宋_GB2312" w:hAnsi="Times New Roman" w:cs="Times New Roman" w:hint="eastAsia"/>
          <w:kern w:val="0"/>
          <w:sz w:val="32"/>
          <w:szCs w:val="32"/>
        </w:rPr>
        <w:t>万元，符合年初预算指标情况。</w:t>
      </w:r>
    </w:p>
    <w:p w:rsidR="000745CF" w:rsidRDefault="000D000E">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（二）政府采购支出情况。</w:t>
      </w:r>
    </w:p>
    <w:p w:rsidR="000745CF" w:rsidRDefault="000D000E">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本中心</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年未发生政府采购。</w:t>
      </w:r>
    </w:p>
    <w:p w:rsidR="000745CF" w:rsidRDefault="000D000E">
      <w:pPr>
        <w:autoSpaceDE w:val="0"/>
        <w:autoSpaceDN w:val="0"/>
        <w:adjustRightInd w:val="0"/>
        <w:spacing w:line="600" w:lineRule="exact"/>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（三）国有资产占用情况。</w:t>
      </w:r>
    </w:p>
    <w:p w:rsidR="000745CF" w:rsidRDefault="000D000E">
      <w:pPr>
        <w:autoSpaceDE w:val="0"/>
        <w:autoSpaceDN w:val="0"/>
        <w:adjustRightInd w:val="0"/>
        <w:spacing w:line="600" w:lineRule="exact"/>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本中心无国有资产。</w:t>
      </w:r>
    </w:p>
    <w:p w:rsidR="000745CF" w:rsidRDefault="000D000E">
      <w:pPr>
        <w:widowControl/>
        <w:spacing w:line="600" w:lineRule="exact"/>
        <w:rPr>
          <w:rFonts w:ascii="仿宋_GB2312" w:eastAsia="仿宋_GB2312" w:hAnsi="Times New Roman" w:cs="Times New Roman"/>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名词解释</w:t>
      </w:r>
    </w:p>
    <w:p w:rsidR="000745CF" w:rsidRDefault="000745CF">
      <w:pPr>
        <w:spacing w:line="600" w:lineRule="exact"/>
        <w:rPr>
          <w:rFonts w:ascii="Times New Roman" w:eastAsia="黑体" w:hAnsi="Times New Roman" w:cs="Times New Roman"/>
          <w:sz w:val="28"/>
          <w:szCs w:val="28"/>
        </w:rPr>
      </w:pPr>
    </w:p>
    <w:p w:rsidR="000745CF" w:rsidRDefault="000745CF"/>
    <w:sectPr w:rsidR="000745CF" w:rsidSect="000745C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0E" w:rsidRDefault="000D000E" w:rsidP="000745CF">
      <w:r>
        <w:separator/>
      </w:r>
    </w:p>
  </w:endnote>
  <w:endnote w:type="continuationSeparator" w:id="0">
    <w:p w:rsidR="000D000E" w:rsidRDefault="000D000E" w:rsidP="00074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745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D000E">
    <w:pPr>
      <w:pStyle w:val="a4"/>
      <w:ind w:firstLine="482"/>
      <w:jc w:val="center"/>
    </w:pPr>
    <w:r>
      <w:rPr>
        <w:rFonts w:hint="eastAsia"/>
        <w:b/>
        <w:sz w:val="24"/>
        <w:szCs w:val="24"/>
      </w:rPr>
      <w:t>－</w:t>
    </w:r>
    <w:r w:rsidR="000745CF">
      <w:rPr>
        <w:rFonts w:ascii="Arial" w:hAnsi="Arial" w:cs="Arial"/>
        <w:b/>
        <w:sz w:val="21"/>
        <w:szCs w:val="21"/>
      </w:rPr>
      <w:fldChar w:fldCharType="begin"/>
    </w:r>
    <w:r>
      <w:rPr>
        <w:rFonts w:ascii="Arial" w:hAnsi="Arial" w:cs="Arial"/>
        <w:b/>
        <w:sz w:val="21"/>
        <w:szCs w:val="21"/>
      </w:rPr>
      <w:instrText>PAGE</w:instrText>
    </w:r>
    <w:r w:rsidR="000745CF">
      <w:rPr>
        <w:rFonts w:ascii="Arial" w:hAnsi="Arial" w:cs="Arial"/>
        <w:b/>
        <w:sz w:val="21"/>
        <w:szCs w:val="21"/>
      </w:rPr>
      <w:fldChar w:fldCharType="separate"/>
    </w:r>
    <w:r w:rsidR="009028DB">
      <w:rPr>
        <w:rFonts w:ascii="Arial" w:hAnsi="Arial" w:cs="Arial"/>
        <w:b/>
        <w:noProof/>
        <w:sz w:val="21"/>
        <w:szCs w:val="21"/>
      </w:rPr>
      <w:t>13</w:t>
    </w:r>
    <w:r w:rsidR="000745CF">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745C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0E" w:rsidRDefault="000D000E" w:rsidP="000745CF">
      <w:r>
        <w:separator/>
      </w:r>
    </w:p>
  </w:footnote>
  <w:footnote w:type="continuationSeparator" w:id="0">
    <w:p w:rsidR="000D000E" w:rsidRDefault="000D000E" w:rsidP="00074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745C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745CF">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CF" w:rsidRDefault="000745C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DCE0F7"/>
    <w:multiLevelType w:val="singleLevel"/>
    <w:tmpl w:val="A6DCE0F7"/>
    <w:lvl w:ilvl="0">
      <w:start w:val="2"/>
      <w:numFmt w:val="chineseCounting"/>
      <w:suff w:val="nothing"/>
      <w:lvlText w:val="（%1）"/>
      <w:lvlJc w:val="left"/>
      <w:rPr>
        <w:rFonts w:hint="eastAsia"/>
      </w:rPr>
    </w:lvl>
  </w:abstractNum>
  <w:abstractNum w:abstractNumId="1">
    <w:nsid w:val="C7ED23B2"/>
    <w:multiLevelType w:val="singleLevel"/>
    <w:tmpl w:val="C7ED23B2"/>
    <w:lvl w:ilvl="0">
      <w:start w:val="2"/>
      <w:numFmt w:val="chineseCounting"/>
      <w:suff w:val="space"/>
      <w:lvlText w:val="第%1部分"/>
      <w:lvlJc w:val="left"/>
      <w:rPr>
        <w:rFonts w:hint="eastAsia"/>
      </w:rPr>
    </w:lvl>
  </w:abstractNum>
  <w:abstractNum w:abstractNumId="2">
    <w:nsid w:val="7544B8B0"/>
    <w:multiLevelType w:val="singleLevel"/>
    <w:tmpl w:val="7544B8B0"/>
    <w:lvl w:ilvl="0">
      <w:start w:val="3"/>
      <w:numFmt w:val="chineseCounting"/>
      <w:suff w:val="nothing"/>
      <w:lvlText w:val="%1、"/>
      <w:lvlJc w:val="left"/>
      <w:rPr>
        <w:rFonts w:hint="eastAsia"/>
      </w:rPr>
    </w:lvl>
  </w:abstractNum>
  <w:abstractNum w:abstractNumId="3">
    <w:nsid w:val="7878F4DE"/>
    <w:multiLevelType w:val="singleLevel"/>
    <w:tmpl w:val="7878F4DE"/>
    <w:lvl w:ilvl="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4A8E"/>
    <w:rsid w:val="0000396C"/>
    <w:rsid w:val="00014F8D"/>
    <w:rsid w:val="0002580F"/>
    <w:rsid w:val="00045381"/>
    <w:rsid w:val="00053B5E"/>
    <w:rsid w:val="00063E5A"/>
    <w:rsid w:val="00067E96"/>
    <w:rsid w:val="00071237"/>
    <w:rsid w:val="000722E1"/>
    <w:rsid w:val="000745CF"/>
    <w:rsid w:val="000B0A22"/>
    <w:rsid w:val="000D000E"/>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8DB"/>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18564009"/>
    <w:rsid w:val="64950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C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745CF"/>
    <w:rPr>
      <w:sz w:val="18"/>
      <w:szCs w:val="18"/>
    </w:rPr>
  </w:style>
  <w:style w:type="paragraph" w:styleId="a4">
    <w:name w:val="footer"/>
    <w:basedOn w:val="a"/>
    <w:link w:val="Char0"/>
    <w:uiPriority w:val="99"/>
    <w:unhideWhenUsed/>
    <w:qFormat/>
    <w:rsid w:val="000745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745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0745CF"/>
    <w:rPr>
      <w:sz w:val="18"/>
      <w:szCs w:val="18"/>
    </w:rPr>
  </w:style>
  <w:style w:type="character" w:customStyle="1" w:styleId="Char0">
    <w:name w:val="页脚 Char"/>
    <w:basedOn w:val="a0"/>
    <w:link w:val="a4"/>
    <w:uiPriority w:val="99"/>
    <w:qFormat/>
    <w:rsid w:val="000745CF"/>
    <w:rPr>
      <w:sz w:val="18"/>
      <w:szCs w:val="18"/>
    </w:rPr>
  </w:style>
  <w:style w:type="character" w:customStyle="1" w:styleId="Char">
    <w:name w:val="批注框文本 Char"/>
    <w:basedOn w:val="a0"/>
    <w:link w:val="a3"/>
    <w:uiPriority w:val="99"/>
    <w:semiHidden/>
    <w:qFormat/>
    <w:rsid w:val="000745C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479</Words>
  <Characters>2733</Characters>
  <Application>Microsoft Office Word</Application>
  <DocSecurity>0</DocSecurity>
  <Lines>22</Lines>
  <Paragraphs>6</Paragraphs>
  <ScaleCrop>false</ScaleCrop>
  <Company>Microsoft</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周亮辉 10.104.93.85</dc:creator>
  <cp:lastModifiedBy>xbany</cp:lastModifiedBy>
  <cp:revision>3</cp:revision>
  <cp:lastPrinted>2019-09-18T08:02:00Z</cp:lastPrinted>
  <dcterms:created xsi:type="dcterms:W3CDTF">2019-08-09T02:13:00Z</dcterms:created>
  <dcterms:modified xsi:type="dcterms:W3CDTF">2024-03-11T02:05:00Z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