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9A" w:rsidRDefault="00C8409A">
      <w:pPr>
        <w:widowControl/>
        <w:jc w:val="left"/>
        <w:rPr>
          <w:rFonts w:ascii="Times New Roman" w:eastAsia="黑体" w:hAnsi="Times New Roman" w:cs="Times New Roman"/>
          <w:bCs/>
          <w:kern w:val="0"/>
          <w:sz w:val="32"/>
          <w:szCs w:val="32"/>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6C1533">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雁峰区卫生和计划生育局</w:t>
      </w:r>
      <w:r>
        <w:rPr>
          <w:rFonts w:ascii="Times New Roman" w:eastAsia="方正小标宋_GBK" w:hAnsi="Times New Roman" w:cs="Times New Roman" w:hint="eastAsia"/>
          <w:bCs/>
          <w:kern w:val="0"/>
          <w:sz w:val="72"/>
          <w:szCs w:val="72"/>
        </w:rPr>
        <w:t>2018</w:t>
      </w:r>
      <w:r>
        <w:rPr>
          <w:rFonts w:ascii="Times New Roman" w:eastAsia="方正小标宋_GBK" w:hAnsi="Times New Roman" w:cs="Times New Roman" w:hint="eastAsia"/>
          <w:bCs/>
          <w:kern w:val="0"/>
          <w:sz w:val="72"/>
          <w:szCs w:val="72"/>
        </w:rPr>
        <w:t>年度部门决算</w:t>
      </w: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jc w:val="center"/>
        <w:rPr>
          <w:rFonts w:ascii="Times New Roman" w:eastAsia="宋体" w:hAnsi="Times New Roman" w:cs="Times New Roman"/>
          <w:b/>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C8409A">
      <w:pPr>
        <w:widowControl/>
        <w:rPr>
          <w:rFonts w:ascii="Times New Roman" w:eastAsia="方正小标宋_GBK" w:hAnsi="Times New Roman" w:cs="Times New Roman"/>
          <w:bCs/>
          <w:kern w:val="0"/>
          <w:sz w:val="44"/>
          <w:szCs w:val="44"/>
        </w:rPr>
      </w:pPr>
    </w:p>
    <w:p w:rsidR="00C8409A" w:rsidRDefault="006C1533">
      <w:pPr>
        <w:widowControl/>
        <w:ind w:firstLineChars="900" w:firstLine="3960"/>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lastRenderedPageBreak/>
        <w:t>目录</w:t>
      </w:r>
    </w:p>
    <w:p w:rsidR="00C8409A" w:rsidRDefault="00C8409A">
      <w:pPr>
        <w:widowControl/>
        <w:rPr>
          <w:rFonts w:ascii="仿宋_GB2312" w:eastAsia="仿宋_GB2312" w:hAnsi="Times New Roman" w:cs="Times New Roman"/>
          <w:b/>
          <w:bCs/>
          <w:kern w:val="0"/>
          <w:sz w:val="32"/>
          <w:szCs w:val="32"/>
        </w:rPr>
      </w:pP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第一部分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雁峰区卫生和计划生育局</w:t>
      </w:r>
      <w:r>
        <w:rPr>
          <w:rFonts w:ascii="Times New Roman" w:eastAsia="黑体" w:hAnsi="Times New Roman" w:cs="Times New Roman" w:hint="eastAsia"/>
          <w:bCs/>
          <w:kern w:val="0"/>
          <w:sz w:val="32"/>
          <w:szCs w:val="32"/>
        </w:rPr>
        <w:t>概况</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二、机构设置</w:t>
      </w: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雁峰区卫生和计划生育局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经费支出决算表</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八、政府性基金预算财政拨款收入支出决算表</w:t>
      </w: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雁峰区卫生和计划生育局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一、收入支出决算总体情况说明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四、财政拨款收入支出决算总体情况说明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经费支出情况决算情况说明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八、预算绩效情况说明</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九、其他重要事项的情况说明</w:t>
      </w: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名称解释</w:t>
      </w: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C8409A">
      <w:pPr>
        <w:widowControl/>
        <w:spacing w:line="600" w:lineRule="exact"/>
        <w:rPr>
          <w:rFonts w:ascii="Times New Roman" w:eastAsia="仿宋_GB2312" w:hAnsi="Times New Roman" w:cs="Times New Roman"/>
          <w:b/>
          <w:bCs/>
          <w:kern w:val="0"/>
          <w:sz w:val="32"/>
          <w:szCs w:val="32"/>
        </w:rPr>
      </w:pP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第一部分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雁峰区卫生和计划生育局</w:t>
      </w:r>
      <w:r>
        <w:rPr>
          <w:rFonts w:ascii="Times New Roman" w:eastAsia="黑体" w:hAnsi="Times New Roman" w:cs="Times New Roman"/>
          <w:bCs/>
          <w:kern w:val="0"/>
          <w:sz w:val="32"/>
          <w:szCs w:val="32"/>
        </w:rPr>
        <w:t>概况</w:t>
      </w:r>
    </w:p>
    <w:p w:rsidR="00C8409A" w:rsidRDefault="006C153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C8409A" w:rsidRDefault="006C1533">
      <w:pPr>
        <w:widowControl/>
        <w:spacing w:line="560" w:lineRule="exact"/>
        <w:ind w:left="1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部门职责</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w:t>
      </w:r>
      <w:r>
        <w:rPr>
          <w:rFonts w:ascii="仿宋_GB2312" w:eastAsia="仿宋_GB2312" w:hAnsi="仿宋_GB2312" w:cs="仿宋_GB2312" w:hint="eastAsia"/>
          <w:color w:val="010101"/>
          <w:kern w:val="0"/>
          <w:sz w:val="32"/>
          <w:szCs w:val="32"/>
        </w:rPr>
        <w:t>贯彻执行国家、省、市卫生和计划生育工作的方针、政策和法律法规。拟订全区卫生和计划生育、中医药事业发展的政策和措施。负责协调推进全区医药卫生体制改革和医疗保障，统筹规划全区卫生和计划生育服务资源配置，指导区域卫生和计划生育规划的编制和实施。</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2.</w:t>
      </w:r>
      <w:r>
        <w:rPr>
          <w:rFonts w:ascii="仿宋_GB2312" w:eastAsia="仿宋_GB2312" w:hAnsi="仿宋_GB2312" w:cs="仿宋_GB2312" w:hint="eastAsia"/>
          <w:color w:val="010101"/>
          <w:kern w:val="0"/>
          <w:sz w:val="32"/>
          <w:szCs w:val="32"/>
        </w:rPr>
        <w:t>指导全区卫生和计划生育工作，完善综合监督执法体系，规范执法行为，监督检查法律法规和政策措施的落实，组织查处重大违法行为。负责拟订计划生育目标管理方案，组织计划生育工作考评，监督落实计划生育一票否决制。</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3.</w:t>
      </w:r>
      <w:r>
        <w:rPr>
          <w:rFonts w:ascii="仿宋_GB2312" w:eastAsia="仿宋_GB2312" w:hAnsi="仿宋_GB2312" w:cs="仿宋_GB2312" w:hint="eastAsia"/>
          <w:color w:val="010101"/>
          <w:kern w:val="0"/>
          <w:sz w:val="32"/>
          <w:szCs w:val="32"/>
        </w:rPr>
        <w:t>负责全区卫生和计划生育宣传、健康教育、健康促进和信息化建设等工作，依法组织实施统计调查，参与全区人口基础信息库建设。负责开展卫生和计划生育对外合作交流。</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4.</w:t>
      </w:r>
      <w:r>
        <w:rPr>
          <w:rFonts w:ascii="仿宋_GB2312" w:eastAsia="仿宋_GB2312" w:hAnsi="仿宋_GB2312" w:cs="仿宋_GB2312" w:hint="eastAsia"/>
          <w:color w:val="010101"/>
          <w:kern w:val="0"/>
          <w:sz w:val="32"/>
          <w:szCs w:val="32"/>
        </w:rPr>
        <w:t>指导全区基层卫生和计划生育、妇幼卫生服务体系建设，推进基本公共卫生和计划生育服务均等化，完善基层运行新机制和乡村医生管理制度。</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5.</w:t>
      </w:r>
      <w:r>
        <w:rPr>
          <w:rFonts w:ascii="仿宋_GB2312" w:eastAsia="仿宋_GB2312" w:hAnsi="仿宋_GB2312" w:cs="仿宋_GB2312" w:hint="eastAsia"/>
          <w:color w:val="010101"/>
          <w:kern w:val="0"/>
          <w:sz w:val="32"/>
          <w:szCs w:val="32"/>
        </w:rPr>
        <w:t>负责全区卫生统计、会计年报，管理卫生系统计划、财务、物价和基建、大型设备配置等工作；负责全区卫生系统职改工作，负责区直属卫生系统的纪检、监察、组织、干部宣教及人事等工作。</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lastRenderedPageBreak/>
        <w:t>6.</w:t>
      </w:r>
      <w:r>
        <w:rPr>
          <w:rFonts w:ascii="仿宋_GB2312" w:eastAsia="仿宋_GB2312" w:hAnsi="仿宋_GB2312" w:cs="仿宋_GB2312" w:hint="eastAsia"/>
          <w:color w:val="010101"/>
          <w:kern w:val="0"/>
          <w:sz w:val="32"/>
          <w:szCs w:val="32"/>
        </w:rPr>
        <w:t>负责组织推进公立医院改革，建立公益性为导向的绩</w:t>
      </w:r>
      <w:r>
        <w:rPr>
          <w:rFonts w:ascii="仿宋_GB2312" w:eastAsia="仿宋_GB2312" w:hAnsi="仿宋_GB2312" w:cs="仿宋_GB2312" w:hint="eastAsia"/>
          <w:color w:val="010101"/>
          <w:kern w:val="0"/>
          <w:sz w:val="32"/>
          <w:szCs w:val="32"/>
        </w:rPr>
        <w:t>效考核和评价运行机制，建设和谐医患关系，提出医疗服务和药品价格政策的建议。</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7.</w:t>
      </w:r>
      <w:r>
        <w:rPr>
          <w:rFonts w:ascii="仿宋_GB2312" w:eastAsia="仿宋_GB2312" w:hAnsi="仿宋_GB2312" w:cs="仿宋_GB2312" w:hint="eastAsia"/>
          <w:color w:val="010101"/>
          <w:kern w:val="0"/>
          <w:sz w:val="32"/>
          <w:szCs w:val="32"/>
        </w:rPr>
        <w:t>负责全区疾病预防控制规划、免疫规划、严重危害人民健康的公共卫生问题的干预措施并组织落实，制定全区卫生应急和紧急医学救援预案、突发公共卫生事件监测和风险评估计划，组织和指导全区突发公共卫生事件预防控制和各类突发公共事件的医疗卫生救援，收集上报法定传染病疫情信息、突发公共卫生事件应急处置信息。</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8.</w:t>
      </w:r>
      <w:r>
        <w:rPr>
          <w:rFonts w:ascii="仿宋_GB2312" w:eastAsia="仿宋_GB2312" w:hAnsi="仿宋_GB2312" w:cs="仿宋_GB2312" w:hint="eastAsia"/>
          <w:color w:val="010101"/>
          <w:kern w:val="0"/>
          <w:sz w:val="32"/>
          <w:szCs w:val="32"/>
        </w:rPr>
        <w:t>负责落实职责范围内的职业卫生、放射卫生、环境卫生、学校卫生，公共场所卫生、饮用水卫生管理规范和政策措施，组织开展相关检测、调查、评估和监</w:t>
      </w:r>
      <w:r>
        <w:rPr>
          <w:rFonts w:ascii="仿宋_GB2312" w:eastAsia="仿宋_GB2312" w:hAnsi="仿宋_GB2312" w:cs="仿宋_GB2312" w:hint="eastAsia"/>
          <w:color w:val="010101"/>
          <w:kern w:val="0"/>
          <w:sz w:val="32"/>
          <w:szCs w:val="32"/>
        </w:rPr>
        <w:t>督，负责传染病防治监督。组织开展食品安全风险检测、评估，负责食源性疾病及与食品安全事故有关的流行病学调查。</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9.</w:t>
      </w:r>
      <w:r>
        <w:rPr>
          <w:rFonts w:ascii="仿宋_GB2312" w:eastAsia="仿宋_GB2312" w:hAnsi="仿宋_GB2312" w:cs="仿宋_GB2312" w:hint="eastAsia"/>
          <w:color w:val="010101"/>
          <w:kern w:val="0"/>
          <w:sz w:val="32"/>
          <w:szCs w:val="32"/>
        </w:rPr>
        <w:t>负责制定医疗机构和医疗服务全行业管理办法并监督实施。制定医疗机构及其医疗服务、医疗技术、医疗质量、医疗安全管理的规范并组织实施，会同有关部门执行省、市、区卫生专业技术人员准入、资格标准，制定和实施卫生专业技术人员执行规划和服务规范，建立医疗机构运行监管和医疗服务评价体系。</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10.</w:t>
      </w:r>
      <w:r>
        <w:rPr>
          <w:rFonts w:ascii="仿宋_GB2312" w:eastAsia="仿宋_GB2312" w:hAnsi="仿宋_GB2312" w:cs="仿宋_GB2312" w:hint="eastAsia"/>
          <w:color w:val="010101"/>
          <w:kern w:val="0"/>
          <w:sz w:val="32"/>
          <w:szCs w:val="32"/>
        </w:rPr>
        <w:t>组织拟订全区卫生和计划生育人才发展、科技发展规划，指导卫生和计划生育人才队伍建设。加强专业人才培养，建立完善规范化培训制</w:t>
      </w:r>
      <w:r>
        <w:rPr>
          <w:rFonts w:ascii="仿宋_GB2312" w:eastAsia="仿宋_GB2312" w:hAnsi="仿宋_GB2312" w:cs="仿宋_GB2312" w:hint="eastAsia"/>
          <w:color w:val="010101"/>
          <w:kern w:val="0"/>
          <w:sz w:val="32"/>
          <w:szCs w:val="32"/>
        </w:rPr>
        <w:t>度并组织实施。</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lastRenderedPageBreak/>
        <w:t>11.</w:t>
      </w:r>
      <w:r>
        <w:rPr>
          <w:rFonts w:ascii="仿宋_GB2312" w:eastAsia="仿宋_GB2312" w:hAnsi="仿宋_GB2312" w:cs="仿宋_GB2312" w:hint="eastAsia"/>
          <w:color w:val="010101"/>
          <w:kern w:val="0"/>
          <w:sz w:val="32"/>
          <w:szCs w:val="32"/>
        </w:rPr>
        <w:t>负责全区保健工作的管理，负责区保健对象的医疗保健工作。承担全区重要会议和重大活动的医疗卫生保障工作。</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12.</w:t>
      </w:r>
      <w:r>
        <w:rPr>
          <w:rFonts w:ascii="仿宋_GB2312" w:eastAsia="仿宋_GB2312" w:hAnsi="仿宋_GB2312" w:cs="仿宋_GB2312" w:hint="eastAsia"/>
          <w:color w:val="010101"/>
          <w:kern w:val="0"/>
          <w:sz w:val="32"/>
          <w:szCs w:val="32"/>
        </w:rPr>
        <w:t>实施国家药物政策和国家基本药物制度，执行国家基本药物目录，拟订全区基本药物采购、配送、使用的管理制度，提出全区基本药物价格政策的建议。</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13.</w:t>
      </w:r>
      <w:r>
        <w:rPr>
          <w:rFonts w:ascii="仿宋_GB2312" w:eastAsia="仿宋_GB2312" w:hAnsi="仿宋_GB2312" w:cs="仿宋_GB2312" w:hint="eastAsia"/>
          <w:color w:val="010101"/>
          <w:kern w:val="0"/>
          <w:sz w:val="32"/>
          <w:szCs w:val="32"/>
        </w:rPr>
        <w:t>制定并组织实施全区中西医中长期发展规划，加强中医行业监管。</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14.</w:t>
      </w:r>
      <w:r>
        <w:rPr>
          <w:rFonts w:ascii="仿宋_GB2312" w:eastAsia="仿宋_GB2312" w:hAnsi="仿宋_GB2312" w:cs="仿宋_GB2312" w:hint="eastAsia"/>
          <w:color w:val="010101"/>
          <w:kern w:val="0"/>
          <w:sz w:val="32"/>
          <w:szCs w:val="32"/>
        </w:rPr>
        <w:t>组织拟定全区卫生人才发展规划和卫生人员的职业道德规范。指导卫生和计划生育人才队伍建设；加强专业人才培养，建立完善规范化培训制度并组织实施。</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15.</w:t>
      </w:r>
      <w:r>
        <w:rPr>
          <w:rFonts w:ascii="仿宋_GB2312" w:eastAsia="仿宋_GB2312" w:hAnsi="仿宋_GB2312" w:cs="仿宋_GB2312" w:hint="eastAsia"/>
          <w:color w:val="010101"/>
          <w:kern w:val="0"/>
          <w:sz w:val="32"/>
          <w:szCs w:val="32"/>
        </w:rPr>
        <w:t>承担区爱国卫生运动委员会、区</w:t>
      </w:r>
      <w:r>
        <w:rPr>
          <w:rFonts w:ascii="仿宋_GB2312" w:eastAsia="仿宋_GB2312" w:hAnsi="仿宋_GB2312" w:cs="仿宋_GB2312" w:hint="eastAsia"/>
          <w:color w:val="010101"/>
          <w:kern w:val="0"/>
          <w:sz w:val="32"/>
          <w:szCs w:val="32"/>
        </w:rPr>
        <w:t>深化医药卫生体制改革领导小组和区防治艾滋病工作委员会的日常工作。</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16.</w:t>
      </w:r>
      <w:r>
        <w:rPr>
          <w:rFonts w:ascii="仿宋_GB2312" w:eastAsia="仿宋_GB2312" w:hAnsi="仿宋_GB2312" w:cs="仿宋_GB2312" w:hint="eastAsia"/>
          <w:color w:val="010101"/>
          <w:kern w:val="0"/>
          <w:sz w:val="32"/>
          <w:szCs w:val="32"/>
        </w:rPr>
        <w:t>负责组织实施加强全区出生人口性别比综合治理的政策措施，负责本地区人口出生和自然增长的预测及计划生育数据统计，组织监测计划生育发展动态，提出发布计划生育安全预警预报信息建议。制定计划生育技术服务管理制度并监督实施。制定优生优育和提高出生人口素质的政策措施并组织实施。负责组织对计划生育节育手术并发症和因生育病残儿要求再生育的医学鉴定工作，推动实施计划生育生殖健康促进计划，降低出生缺陷发生率。</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17.</w:t>
      </w:r>
      <w:r>
        <w:rPr>
          <w:rFonts w:ascii="仿宋_GB2312" w:eastAsia="仿宋_GB2312" w:hAnsi="仿宋_GB2312" w:cs="仿宋_GB2312" w:hint="eastAsia"/>
          <w:color w:val="010101"/>
          <w:kern w:val="0"/>
          <w:sz w:val="32"/>
          <w:szCs w:val="32"/>
        </w:rPr>
        <w:t>组织建立计划生育利益导向、计划生育特殊困难家庭扶助和促进计划生育家庭发展等机制。负责协调推进有关</w:t>
      </w:r>
      <w:r>
        <w:rPr>
          <w:rFonts w:ascii="仿宋_GB2312" w:eastAsia="仿宋_GB2312" w:hAnsi="仿宋_GB2312" w:cs="仿宋_GB2312" w:hint="eastAsia"/>
          <w:color w:val="010101"/>
          <w:kern w:val="0"/>
          <w:sz w:val="32"/>
          <w:szCs w:val="32"/>
        </w:rPr>
        <w:lastRenderedPageBreak/>
        <w:t>部门、群众团体履行计划生育工作相关职责，建立与经济社会发展政策的衔接机制，提出稳定低生育水平政策措施。</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18.</w:t>
      </w:r>
      <w:r>
        <w:rPr>
          <w:rFonts w:ascii="仿宋_GB2312" w:eastAsia="仿宋_GB2312" w:hAnsi="仿宋_GB2312" w:cs="仿宋_GB2312" w:hint="eastAsia"/>
          <w:color w:val="010101"/>
          <w:kern w:val="0"/>
          <w:sz w:val="32"/>
          <w:szCs w:val="32"/>
        </w:rPr>
        <w:t>制定流动人口计划生育服务管理制度并组织落实，推动建立流动人口卫生和计划生育信息共享、区域协作和公共服务工作机制；协调街道管理辖区内的中央、省、市及部队驻衡单位的计划生育工作。</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19.</w:t>
      </w:r>
      <w:r>
        <w:rPr>
          <w:rFonts w:ascii="仿宋_GB2312" w:eastAsia="仿宋_GB2312" w:hAnsi="仿宋_GB2312" w:cs="仿宋_GB2312" w:hint="eastAsia"/>
          <w:color w:val="010101"/>
          <w:kern w:val="0"/>
          <w:sz w:val="32"/>
          <w:szCs w:val="32"/>
        </w:rPr>
        <w:t>编制区财政拨付的各项经费的预算、决算；管理、监督公共卫生服务和计划生育事业经费及社会抚养费的使用。</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20.</w:t>
      </w:r>
      <w:r>
        <w:rPr>
          <w:rFonts w:ascii="仿宋_GB2312" w:eastAsia="仿宋_GB2312" w:hAnsi="仿宋_GB2312" w:cs="仿宋_GB2312" w:hint="eastAsia"/>
          <w:color w:val="010101"/>
          <w:kern w:val="0"/>
          <w:sz w:val="32"/>
          <w:szCs w:val="32"/>
        </w:rPr>
        <w:t>负责卫生、计生相关</w:t>
      </w:r>
      <w:r>
        <w:rPr>
          <w:rFonts w:ascii="仿宋_GB2312" w:eastAsia="仿宋_GB2312" w:hAnsi="仿宋_GB2312" w:cs="仿宋_GB2312" w:hint="eastAsia"/>
          <w:color w:val="010101"/>
          <w:kern w:val="0"/>
          <w:sz w:val="32"/>
          <w:szCs w:val="32"/>
        </w:rPr>
        <w:t>信访、行政复议和行政应诉等工作；管理、监督社会抚养费的征收</w:t>
      </w:r>
      <w:r>
        <w:rPr>
          <w:rFonts w:ascii="仿宋_GB2312" w:eastAsia="仿宋_GB2312" w:hAnsi="仿宋_GB2312" w:cs="仿宋_GB2312" w:hint="eastAsia"/>
          <w:color w:val="010101"/>
          <w:kern w:val="0"/>
          <w:sz w:val="32"/>
          <w:szCs w:val="32"/>
        </w:rPr>
        <w:t>;</w:t>
      </w:r>
      <w:r>
        <w:rPr>
          <w:rFonts w:ascii="仿宋_GB2312" w:eastAsia="仿宋_GB2312" w:hAnsi="仿宋_GB2312" w:cs="仿宋_GB2312" w:hint="eastAsia"/>
          <w:color w:val="010101"/>
          <w:kern w:val="0"/>
          <w:sz w:val="32"/>
          <w:szCs w:val="32"/>
        </w:rPr>
        <w:t>监督育龄群众法定免费项目的落实。</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color w:val="010101"/>
          <w:kern w:val="0"/>
          <w:sz w:val="32"/>
          <w:szCs w:val="32"/>
        </w:rPr>
        <w:t>21.</w:t>
      </w:r>
      <w:r>
        <w:rPr>
          <w:rFonts w:ascii="仿宋_GB2312" w:eastAsia="仿宋_GB2312" w:hAnsi="仿宋_GB2312" w:cs="仿宋_GB2312" w:hint="eastAsia"/>
          <w:color w:val="010101"/>
          <w:kern w:val="0"/>
          <w:sz w:val="32"/>
          <w:szCs w:val="32"/>
        </w:rPr>
        <w:t>承办区人民政府交办的其他事项。</w:t>
      </w:r>
    </w:p>
    <w:p w:rsidR="00C8409A" w:rsidRDefault="006C1533">
      <w:pPr>
        <w:widowControl/>
        <w:spacing w:line="560" w:lineRule="exact"/>
        <w:jc w:val="left"/>
        <w:rPr>
          <w:rFonts w:ascii="仿宋_GB2312" w:eastAsia="仿宋_GB2312" w:hAnsi="仿宋_GB2312" w:cs="仿宋_GB2312"/>
          <w:color w:val="010101"/>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color w:val="010101"/>
          <w:kern w:val="0"/>
          <w:sz w:val="32"/>
          <w:szCs w:val="32"/>
        </w:rPr>
        <w:t>机构</w:t>
      </w:r>
      <w:r>
        <w:rPr>
          <w:rFonts w:ascii="仿宋_GB2312" w:eastAsia="仿宋_GB2312" w:hAnsi="仿宋_GB2312" w:cs="仿宋_GB2312" w:hint="eastAsia"/>
          <w:color w:val="010101"/>
          <w:kern w:val="0"/>
          <w:sz w:val="32"/>
          <w:szCs w:val="32"/>
        </w:rPr>
        <w:t>设置及决算单位构成</w:t>
      </w:r>
    </w:p>
    <w:p w:rsidR="00C8409A" w:rsidRDefault="006C1533">
      <w:pPr>
        <w:widowControl/>
        <w:spacing w:line="560" w:lineRule="exact"/>
        <w:ind w:firstLineChars="200" w:firstLine="640"/>
        <w:jc w:val="left"/>
        <w:rPr>
          <w:rFonts w:ascii="仿宋_GB2312" w:eastAsia="仿宋_GB2312" w:hAnsi="仿宋_GB2312" w:cs="仿宋_GB2312"/>
          <w:color w:val="010101"/>
          <w:kern w:val="0"/>
          <w:sz w:val="32"/>
          <w:szCs w:val="32"/>
        </w:rPr>
      </w:pPr>
      <w:r>
        <w:rPr>
          <w:rFonts w:ascii="Times New Roman" w:eastAsia="仿宋_GB2312" w:hAnsi="Times New Roman" w:cs="Times New Roman" w:hint="eastAsia"/>
          <w:bCs/>
          <w:kern w:val="0"/>
          <w:sz w:val="32"/>
          <w:szCs w:val="32"/>
        </w:rPr>
        <w:t>（一）</w:t>
      </w:r>
      <w:r>
        <w:rPr>
          <w:rFonts w:ascii="仿宋_GB2312" w:eastAsia="仿宋_GB2312" w:hAnsi="仿宋_GB2312" w:cs="仿宋_GB2312" w:hint="eastAsia"/>
          <w:color w:val="010101"/>
          <w:kern w:val="0"/>
          <w:sz w:val="32"/>
          <w:szCs w:val="32"/>
        </w:rPr>
        <w:t>全局内设机构</w:t>
      </w:r>
      <w:r>
        <w:rPr>
          <w:rFonts w:ascii="仿宋_GB2312" w:eastAsia="仿宋_GB2312" w:hAnsi="仿宋_GB2312" w:cs="仿宋_GB2312" w:hint="eastAsia"/>
          <w:color w:val="010101"/>
          <w:kern w:val="0"/>
          <w:sz w:val="32"/>
          <w:szCs w:val="32"/>
        </w:rPr>
        <w:t>9</w:t>
      </w:r>
      <w:r>
        <w:rPr>
          <w:rFonts w:ascii="仿宋_GB2312" w:eastAsia="仿宋_GB2312" w:hAnsi="仿宋_GB2312" w:cs="仿宋_GB2312" w:hint="eastAsia"/>
          <w:color w:val="010101"/>
          <w:kern w:val="0"/>
          <w:sz w:val="32"/>
          <w:szCs w:val="32"/>
        </w:rPr>
        <w:t>个，分别是</w:t>
      </w:r>
      <w:r>
        <w:rPr>
          <w:rFonts w:ascii="仿宋_GB2312" w:eastAsia="仿宋_GB2312" w:hAnsi="仿宋_GB2312" w:cs="仿宋_GB2312" w:hint="eastAsia"/>
          <w:color w:val="010101"/>
          <w:kern w:val="0"/>
          <w:sz w:val="32"/>
          <w:szCs w:val="32"/>
        </w:rPr>
        <w:t>办公室、人事科教股、法治疾卫监督股、基层卫生和妇幼股、医政医药管理股、爱卫和家庭发展股、计生基层指导股、流动人口服务股、财务规划股。</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（二）决算单位构成。</w:t>
      </w:r>
      <w:r>
        <w:rPr>
          <w:rFonts w:ascii="Times New Roman" w:eastAsia="仿宋_GB2312" w:hAnsi="Times New Roman" w:cs="Times New Roman" w:hint="eastAsia"/>
          <w:bCs/>
          <w:kern w:val="0"/>
          <w:sz w:val="32"/>
          <w:szCs w:val="32"/>
        </w:rPr>
        <w:t>雁峰区卫生和计划生育局</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年部门决算汇总公开单位构成包括：</w:t>
      </w:r>
      <w:r>
        <w:rPr>
          <w:rFonts w:ascii="Times New Roman" w:eastAsia="仿宋_GB2312" w:hAnsi="Times New Roman" w:cs="Times New Roman" w:hint="eastAsia"/>
          <w:bCs/>
          <w:kern w:val="0"/>
          <w:sz w:val="32"/>
          <w:szCs w:val="32"/>
        </w:rPr>
        <w:t>雁峰区卫生和计划生育</w:t>
      </w:r>
      <w:r>
        <w:rPr>
          <w:rFonts w:ascii="Times New Roman" w:eastAsia="仿宋_GB2312" w:hAnsi="Times New Roman" w:cs="Times New Roman" w:hint="eastAsia"/>
          <w:bCs/>
          <w:kern w:val="0"/>
          <w:sz w:val="32"/>
          <w:szCs w:val="32"/>
        </w:rPr>
        <w:t>本级</w:t>
      </w:r>
      <w:r>
        <w:rPr>
          <w:rFonts w:ascii="Times New Roman" w:eastAsia="仿宋_GB2312" w:hAnsi="Times New Roman" w:cs="Times New Roman" w:hint="eastAsia"/>
          <w:bCs/>
          <w:kern w:val="0"/>
          <w:sz w:val="32"/>
          <w:szCs w:val="32"/>
        </w:rPr>
        <w:t>。</w:t>
      </w: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雁峰区卫生和计划生育</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C8409A" w:rsidRDefault="00C8409A">
      <w:pPr>
        <w:widowControl/>
        <w:jc w:val="center"/>
        <w:rPr>
          <w:rFonts w:ascii="华文中宋" w:eastAsia="方正小标宋_GBK" w:hAnsi="华文中宋" w:cs="宋体"/>
          <w:color w:val="000000"/>
          <w:kern w:val="0"/>
          <w:sz w:val="36"/>
          <w:szCs w:val="36"/>
        </w:rPr>
      </w:pPr>
    </w:p>
    <w:p w:rsidR="00C8409A" w:rsidRDefault="00C8409A">
      <w:pPr>
        <w:widowControl/>
        <w:jc w:val="center"/>
        <w:rPr>
          <w:rFonts w:ascii="Times New Roman" w:eastAsia="仿宋_GB2312" w:hAnsi="宋体" w:cs="Times New Roman"/>
          <w:kern w:val="0"/>
          <w:sz w:val="24"/>
          <w:szCs w:val="24"/>
        </w:rPr>
      </w:pPr>
    </w:p>
    <w:p w:rsidR="00C8409A" w:rsidRDefault="006C153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雁峰区卫生和计划生育</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C8409A" w:rsidRDefault="006C1533">
      <w:pPr>
        <w:widowControl/>
        <w:spacing w:line="600" w:lineRule="exact"/>
        <w:ind w:firstLineChars="150" w:firstLine="480"/>
        <w:rPr>
          <w:rFonts w:ascii="Times New Roman" w:eastAsia="黑体" w:hAnsi="Times New Roman" w:cs="Times New Roman"/>
          <w:bCs/>
          <w:kern w:val="0"/>
          <w:sz w:val="32"/>
          <w:szCs w:val="32"/>
        </w:rPr>
      </w:pPr>
      <w:r>
        <w:rPr>
          <w:rFonts w:ascii="Times New Roman" w:eastAsia="仿宋_GB2312" w:hAnsi="Times New Roman" w:cs="Times New Roman"/>
          <w:kern w:val="0"/>
          <w:sz w:val="32"/>
          <w:szCs w:val="32"/>
        </w:rPr>
        <w:t>一、收入支出决算总体情况说明</w:t>
      </w:r>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仿宋" w:eastAsia="仿宋" w:hAnsi="仿宋" w:cs="Times New Roman" w:hint="eastAsia"/>
          <w:sz w:val="32"/>
          <w:szCs w:val="32"/>
        </w:rPr>
        <w:t>20</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年总收入</w:t>
      </w:r>
      <w:r>
        <w:rPr>
          <w:rFonts w:ascii="仿宋_GB2312" w:eastAsia="仿宋_GB2312" w:hAnsi="仿宋" w:cs="仿宋" w:hint="eastAsia"/>
          <w:color w:val="000000"/>
          <w:sz w:val="32"/>
          <w:szCs w:val="32"/>
        </w:rPr>
        <w:t>1799.43</w:t>
      </w:r>
      <w:r>
        <w:rPr>
          <w:rFonts w:ascii="仿宋_GB2312" w:eastAsia="仿宋_GB2312" w:hAnsi="仿宋" w:cs="仿宋" w:hint="eastAsia"/>
          <w:color w:val="000000"/>
          <w:sz w:val="32"/>
          <w:szCs w:val="32"/>
        </w:rPr>
        <w:t>万元，</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年总收入为</w:t>
      </w:r>
      <w:r>
        <w:rPr>
          <w:rFonts w:ascii="Times New Roman" w:eastAsia="仿宋_GB2312" w:hAnsi="Times New Roman" w:cs="Times New Roman" w:hint="eastAsia"/>
          <w:kern w:val="0"/>
          <w:sz w:val="32"/>
          <w:szCs w:val="32"/>
        </w:rPr>
        <w:t>1671.18</w:t>
      </w:r>
      <w:r>
        <w:rPr>
          <w:rFonts w:ascii="Times New Roman" w:eastAsia="仿宋_GB2312" w:hAnsi="Times New Roman" w:cs="Times New Roman" w:hint="eastAsia"/>
          <w:kern w:val="0"/>
          <w:sz w:val="32"/>
          <w:szCs w:val="32"/>
        </w:rPr>
        <w:t>万元，总收入较</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年增加</w:t>
      </w:r>
      <w:r>
        <w:rPr>
          <w:rFonts w:ascii="Times New Roman" w:eastAsia="仿宋_GB2312" w:hAnsi="Times New Roman" w:cs="Times New Roman" w:hint="eastAsia"/>
          <w:kern w:val="0"/>
          <w:sz w:val="32"/>
          <w:szCs w:val="32"/>
        </w:rPr>
        <w:t>128.25</w:t>
      </w:r>
      <w:r>
        <w:rPr>
          <w:rFonts w:ascii="Times New Roman" w:eastAsia="仿宋_GB2312" w:hAnsi="Times New Roman" w:cs="Times New Roman" w:hint="eastAsia"/>
          <w:kern w:val="0"/>
          <w:sz w:val="32"/>
          <w:szCs w:val="32"/>
        </w:rPr>
        <w:t>万元，增长</w:t>
      </w:r>
      <w:r>
        <w:rPr>
          <w:rFonts w:ascii="Times New Roman" w:eastAsia="仿宋_GB2312" w:hAnsi="Times New Roman" w:cs="Times New Roman" w:hint="eastAsia"/>
          <w:kern w:val="0"/>
          <w:sz w:val="32"/>
          <w:szCs w:val="32"/>
        </w:rPr>
        <w:t>7.67%</w:t>
      </w:r>
      <w:r>
        <w:rPr>
          <w:rFonts w:ascii="Times New Roman" w:eastAsia="仿宋_GB2312" w:hAnsi="Times New Roman" w:cs="Times New Roman" w:hint="eastAsia"/>
          <w:kern w:val="0"/>
          <w:sz w:val="32"/>
          <w:szCs w:val="32"/>
        </w:rPr>
        <w:t>，主要增加了</w:t>
      </w:r>
      <w:r>
        <w:rPr>
          <w:rFonts w:ascii="Times New Roman" w:eastAsia="仿宋_GB2312" w:hAnsi="Times New Roman" w:cs="Times New Roman" w:hint="eastAsia"/>
          <w:kern w:val="0"/>
          <w:sz w:val="32"/>
          <w:szCs w:val="32"/>
        </w:rPr>
        <w:t>400</w:t>
      </w:r>
      <w:r>
        <w:rPr>
          <w:rFonts w:ascii="Times New Roman" w:eastAsia="仿宋_GB2312" w:hAnsi="Times New Roman" w:cs="Times New Roman" w:hint="eastAsia"/>
          <w:kern w:val="0"/>
          <w:sz w:val="32"/>
          <w:szCs w:val="32"/>
        </w:rPr>
        <w:t>万的基建收入同时减少了日常公用经费及计生利益导向经费。</w:t>
      </w:r>
      <w:bookmarkStart w:id="0" w:name="_GoBack"/>
      <w:bookmarkEnd w:id="0"/>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仿宋" w:eastAsia="仿宋" w:hAnsi="仿宋" w:hint="eastAsia"/>
          <w:sz w:val="32"/>
          <w:szCs w:val="32"/>
        </w:rPr>
        <w:t>2018</w:t>
      </w:r>
      <w:r>
        <w:rPr>
          <w:rFonts w:ascii="仿宋" w:eastAsia="仿宋" w:hAnsi="仿宋" w:hint="eastAsia"/>
          <w:sz w:val="32"/>
          <w:szCs w:val="32"/>
        </w:rPr>
        <w:t>年度</w:t>
      </w:r>
      <w:r>
        <w:rPr>
          <w:rFonts w:ascii="仿宋_GB2312" w:eastAsia="仿宋_GB2312" w:hAnsi="仿宋" w:cs="仿宋" w:hint="eastAsia"/>
          <w:color w:val="000000"/>
          <w:sz w:val="32"/>
          <w:szCs w:val="32"/>
        </w:rPr>
        <w:t>总支出</w:t>
      </w:r>
      <w:r>
        <w:rPr>
          <w:rFonts w:ascii="仿宋_GB2312" w:eastAsia="仿宋_GB2312" w:hAnsi="仿宋" w:cs="仿宋" w:hint="eastAsia"/>
          <w:color w:val="000000"/>
          <w:sz w:val="32"/>
          <w:szCs w:val="32"/>
        </w:rPr>
        <w:t>1799.43</w:t>
      </w:r>
      <w:r>
        <w:rPr>
          <w:rFonts w:ascii="仿宋_GB2312" w:eastAsia="仿宋_GB2312" w:hAnsi="仿宋" w:cs="仿宋" w:hint="eastAsia"/>
          <w:color w:val="000000"/>
          <w:sz w:val="32"/>
          <w:szCs w:val="32"/>
        </w:rPr>
        <w:t>万元，</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年总支出为</w:t>
      </w:r>
      <w:r>
        <w:rPr>
          <w:rFonts w:ascii="Times New Roman" w:eastAsia="仿宋_GB2312" w:hAnsi="Times New Roman" w:cs="Times New Roman" w:hint="eastAsia"/>
          <w:kern w:val="0"/>
          <w:sz w:val="32"/>
          <w:szCs w:val="32"/>
        </w:rPr>
        <w:t>1639.43</w:t>
      </w:r>
      <w:r>
        <w:rPr>
          <w:rFonts w:ascii="Times New Roman" w:eastAsia="仿宋_GB2312" w:hAnsi="Times New Roman" w:cs="Times New Roman" w:hint="eastAsia"/>
          <w:kern w:val="0"/>
          <w:sz w:val="32"/>
          <w:szCs w:val="32"/>
        </w:rPr>
        <w:t>万元，支出较上年度增加</w:t>
      </w:r>
      <w:r>
        <w:rPr>
          <w:rFonts w:ascii="Times New Roman" w:eastAsia="仿宋_GB2312" w:hAnsi="Times New Roman" w:cs="Times New Roman" w:hint="eastAsia"/>
          <w:kern w:val="0"/>
          <w:sz w:val="32"/>
          <w:szCs w:val="32"/>
        </w:rPr>
        <w:t>160</w:t>
      </w:r>
      <w:r>
        <w:rPr>
          <w:rFonts w:ascii="Times New Roman" w:eastAsia="仿宋_GB2312" w:hAnsi="Times New Roman" w:cs="Times New Roman" w:hint="eastAsia"/>
          <w:kern w:val="0"/>
          <w:sz w:val="32"/>
          <w:szCs w:val="32"/>
        </w:rPr>
        <w:t>万元，增长了</w:t>
      </w:r>
      <w:r>
        <w:rPr>
          <w:rFonts w:ascii="Times New Roman" w:eastAsia="仿宋_GB2312" w:hAnsi="Times New Roman" w:cs="Times New Roman" w:hint="eastAsia"/>
          <w:kern w:val="0"/>
          <w:sz w:val="32"/>
          <w:szCs w:val="32"/>
        </w:rPr>
        <w:t>9.76%</w:t>
      </w:r>
      <w:r>
        <w:rPr>
          <w:rFonts w:ascii="Times New Roman" w:eastAsia="仿宋_GB2312" w:hAnsi="Times New Roman" w:cs="Times New Roman" w:hint="eastAsia"/>
          <w:kern w:val="0"/>
          <w:sz w:val="32"/>
          <w:szCs w:val="32"/>
        </w:rPr>
        <w:t>，主要增加了</w:t>
      </w:r>
      <w:r>
        <w:rPr>
          <w:rFonts w:ascii="Times New Roman" w:eastAsia="仿宋_GB2312" w:hAnsi="Times New Roman" w:cs="Times New Roman" w:hint="eastAsia"/>
          <w:kern w:val="0"/>
          <w:sz w:val="32"/>
          <w:szCs w:val="32"/>
        </w:rPr>
        <w:t>400</w:t>
      </w:r>
      <w:r>
        <w:rPr>
          <w:rFonts w:ascii="Times New Roman" w:eastAsia="仿宋_GB2312" w:hAnsi="Times New Roman" w:cs="Times New Roman" w:hint="eastAsia"/>
          <w:kern w:val="0"/>
          <w:sz w:val="32"/>
          <w:szCs w:val="32"/>
        </w:rPr>
        <w:t>万的基建支出、减少了日常公用经费及计生利益导向经费。</w:t>
      </w:r>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二、收入决算情况说明</w:t>
      </w:r>
    </w:p>
    <w:p w:rsidR="00C8409A" w:rsidRDefault="006C1533">
      <w:pPr>
        <w:widowControl/>
        <w:spacing w:line="600" w:lineRule="exact"/>
        <w:ind w:firstLineChars="300" w:firstLine="960"/>
        <w:rPr>
          <w:rFonts w:ascii="仿宋_GB2312" w:eastAsia="仿宋_GB2312" w:hAnsi="仿宋" w:cs="仿宋"/>
          <w:color w:val="000000"/>
          <w:sz w:val="32"/>
          <w:szCs w:val="32"/>
        </w:rPr>
      </w:pPr>
      <w:r>
        <w:rPr>
          <w:rFonts w:ascii="仿宋" w:eastAsia="仿宋" w:hAnsi="仿宋" w:cs="Times New Roman" w:hint="eastAsia"/>
          <w:sz w:val="32"/>
          <w:szCs w:val="32"/>
        </w:rPr>
        <w:t>各项收入占总收入的比重：</w:t>
      </w:r>
      <w:r>
        <w:rPr>
          <w:rFonts w:ascii="仿宋" w:eastAsia="仿宋" w:hAnsi="仿宋" w:cs="Times New Roman" w:hint="eastAsia"/>
          <w:sz w:val="32"/>
          <w:szCs w:val="32"/>
        </w:rPr>
        <w:t>20</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年总收入</w:t>
      </w:r>
      <w:r>
        <w:rPr>
          <w:rFonts w:ascii="仿宋_GB2312" w:eastAsia="仿宋_GB2312" w:hAnsi="仿宋" w:cs="仿宋" w:hint="eastAsia"/>
          <w:color w:val="000000"/>
          <w:sz w:val="32"/>
          <w:szCs w:val="32"/>
        </w:rPr>
        <w:t>1799.43</w:t>
      </w:r>
      <w:r>
        <w:rPr>
          <w:rFonts w:ascii="仿宋_GB2312" w:eastAsia="仿宋_GB2312" w:hAnsi="仿宋" w:cs="仿宋" w:hint="eastAsia"/>
          <w:color w:val="000000"/>
          <w:sz w:val="32"/>
          <w:szCs w:val="32"/>
        </w:rPr>
        <w:t>万元，预算收入为</w:t>
      </w:r>
      <w:r>
        <w:rPr>
          <w:rFonts w:ascii="仿宋_GB2312" w:eastAsia="仿宋_GB2312" w:hAnsi="仿宋" w:cs="仿宋" w:hint="eastAsia"/>
          <w:color w:val="000000"/>
          <w:sz w:val="32"/>
          <w:szCs w:val="32"/>
        </w:rPr>
        <w:t>1772</w:t>
      </w:r>
      <w:r>
        <w:rPr>
          <w:rFonts w:ascii="仿宋_GB2312" w:eastAsia="仿宋_GB2312" w:hAnsi="仿宋" w:cs="仿宋" w:hint="eastAsia"/>
          <w:color w:val="000000"/>
          <w:sz w:val="32"/>
          <w:szCs w:val="32"/>
        </w:rPr>
        <w:t>万元，为预算收入的</w:t>
      </w:r>
      <w:r>
        <w:rPr>
          <w:rFonts w:ascii="仿宋_GB2312" w:eastAsia="仿宋_GB2312" w:hAnsi="仿宋" w:cs="仿宋" w:hint="eastAsia"/>
          <w:color w:val="000000"/>
          <w:sz w:val="32"/>
          <w:szCs w:val="32"/>
        </w:rPr>
        <w:t>101%</w:t>
      </w:r>
      <w:r>
        <w:rPr>
          <w:rFonts w:ascii="仿宋_GB2312" w:eastAsia="仿宋_GB2312" w:hAnsi="仿宋" w:cs="仿宋" w:hint="eastAsia"/>
          <w:color w:val="000000"/>
          <w:sz w:val="32"/>
          <w:szCs w:val="32"/>
        </w:rPr>
        <w:t>，财政补助收入</w:t>
      </w:r>
      <w:r>
        <w:rPr>
          <w:rFonts w:ascii="仿宋_GB2312" w:eastAsia="仿宋_GB2312" w:hAnsi="仿宋_GB2312" w:cs="仿宋_GB2312" w:hint="eastAsia"/>
          <w:color w:val="000000"/>
          <w:sz w:val="32"/>
          <w:szCs w:val="32"/>
        </w:rPr>
        <w:t>1792.</w:t>
      </w:r>
      <w:r>
        <w:rPr>
          <w:rFonts w:ascii="仿宋_GB2312" w:eastAsia="仿宋_GB2312" w:hAnsi="仿宋" w:cs="仿宋" w:hint="eastAsia"/>
          <w:color w:val="000000"/>
          <w:sz w:val="32"/>
          <w:szCs w:val="32"/>
        </w:rPr>
        <w:t>3</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99%</w:t>
      </w:r>
      <w:r>
        <w:rPr>
          <w:rFonts w:ascii="仿宋_GB2312" w:eastAsia="仿宋_GB2312" w:hAnsi="仿宋" w:cs="仿宋" w:hint="eastAsia"/>
          <w:color w:val="000000"/>
          <w:sz w:val="32"/>
          <w:szCs w:val="32"/>
        </w:rPr>
        <w:t>，上级补助收入</w:t>
      </w:r>
      <w:r>
        <w:rPr>
          <w:rFonts w:ascii="仿宋_GB2312" w:eastAsia="仿宋_GB2312" w:hAnsi="仿宋" w:cs="仿宋" w:hint="eastAsia"/>
          <w:color w:val="000000"/>
          <w:sz w:val="32"/>
          <w:szCs w:val="32"/>
        </w:rPr>
        <w:t>6.1</w:t>
      </w:r>
      <w:r>
        <w:rPr>
          <w:rFonts w:ascii="仿宋_GB2312" w:eastAsia="仿宋_GB2312" w:hAnsi="仿宋" w:cs="仿宋" w:hint="eastAsia"/>
          <w:color w:val="000000"/>
          <w:sz w:val="32"/>
          <w:szCs w:val="32"/>
        </w:rPr>
        <w:t>万元及其他收入</w:t>
      </w:r>
      <w:r>
        <w:rPr>
          <w:rFonts w:ascii="仿宋_GB2312" w:eastAsia="仿宋_GB2312" w:hAnsi="仿宋" w:cs="仿宋" w:hint="eastAsia"/>
          <w:color w:val="000000"/>
          <w:sz w:val="32"/>
          <w:szCs w:val="32"/>
        </w:rPr>
        <w:t>1.02</w:t>
      </w:r>
      <w:r>
        <w:rPr>
          <w:rFonts w:ascii="仿宋_GB2312" w:eastAsia="仿宋_GB2312" w:hAnsi="仿宋" w:cs="仿宋" w:hint="eastAsia"/>
          <w:color w:val="000000"/>
          <w:sz w:val="32"/>
          <w:szCs w:val="32"/>
        </w:rPr>
        <w:t>万元，两项占比</w:t>
      </w: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w:t>
      </w:r>
    </w:p>
    <w:p w:rsidR="00C8409A" w:rsidRDefault="006C1533">
      <w:pPr>
        <w:widowControl/>
        <w:spacing w:line="600" w:lineRule="exact"/>
        <w:ind w:firstLineChars="300" w:firstLine="96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三、支出决算情况说明</w:t>
      </w:r>
    </w:p>
    <w:p w:rsidR="00C8409A" w:rsidRDefault="006C1533">
      <w:pPr>
        <w:widowControl/>
        <w:spacing w:line="600" w:lineRule="exact"/>
        <w:ind w:firstLineChars="200" w:firstLine="640"/>
        <w:rPr>
          <w:rFonts w:ascii="仿宋_GB2312" w:eastAsia="仿宋_GB2312" w:hAnsi="仿宋" w:cs="仿宋"/>
          <w:color w:val="000000"/>
          <w:sz w:val="32"/>
          <w:szCs w:val="32"/>
        </w:rPr>
      </w:pPr>
      <w:r>
        <w:rPr>
          <w:rFonts w:ascii="仿宋" w:eastAsia="仿宋" w:hAnsi="仿宋" w:hint="eastAsia"/>
          <w:sz w:val="32"/>
          <w:szCs w:val="32"/>
        </w:rPr>
        <w:t>2018</w:t>
      </w:r>
      <w:r>
        <w:rPr>
          <w:rFonts w:ascii="仿宋" w:eastAsia="仿宋" w:hAnsi="仿宋" w:hint="eastAsia"/>
          <w:sz w:val="32"/>
          <w:szCs w:val="32"/>
        </w:rPr>
        <w:t>年度</w:t>
      </w:r>
      <w:r>
        <w:rPr>
          <w:rFonts w:ascii="仿宋_GB2312" w:eastAsia="仿宋_GB2312" w:hAnsi="仿宋" w:cs="仿宋" w:hint="eastAsia"/>
          <w:color w:val="000000"/>
          <w:sz w:val="32"/>
          <w:szCs w:val="32"/>
        </w:rPr>
        <w:t>总支出</w:t>
      </w:r>
      <w:r>
        <w:rPr>
          <w:rFonts w:ascii="仿宋_GB2312" w:eastAsia="仿宋_GB2312" w:hAnsi="仿宋" w:cs="仿宋" w:hint="eastAsia"/>
          <w:color w:val="000000"/>
          <w:sz w:val="32"/>
          <w:szCs w:val="32"/>
        </w:rPr>
        <w:t>1799.43</w:t>
      </w:r>
      <w:r>
        <w:rPr>
          <w:rFonts w:ascii="仿宋_GB2312" w:eastAsia="仿宋_GB2312" w:hAnsi="仿宋" w:cs="仿宋" w:hint="eastAsia"/>
          <w:color w:val="000000"/>
          <w:sz w:val="32"/>
          <w:szCs w:val="32"/>
        </w:rPr>
        <w:t>万元，其中工资福利支出</w:t>
      </w:r>
      <w:r>
        <w:rPr>
          <w:rFonts w:ascii="仿宋_GB2312" w:eastAsia="仿宋_GB2312" w:hAnsi="仿宋" w:cs="仿宋" w:hint="eastAsia"/>
          <w:color w:val="000000"/>
          <w:sz w:val="32"/>
          <w:szCs w:val="32"/>
        </w:rPr>
        <w:t>352.9</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19.7%</w:t>
      </w:r>
      <w:r>
        <w:rPr>
          <w:rFonts w:ascii="仿宋_GB2312" w:eastAsia="仿宋_GB2312" w:hAnsi="仿宋" w:cs="仿宋" w:hint="eastAsia"/>
          <w:color w:val="000000"/>
          <w:sz w:val="32"/>
          <w:szCs w:val="32"/>
        </w:rPr>
        <w:t>；商品和服务支出</w:t>
      </w:r>
      <w:r>
        <w:rPr>
          <w:rFonts w:ascii="仿宋_GB2312" w:eastAsia="仿宋_GB2312" w:hAnsi="仿宋" w:cs="仿宋" w:hint="eastAsia"/>
          <w:color w:val="000000"/>
          <w:sz w:val="32"/>
          <w:szCs w:val="32"/>
        </w:rPr>
        <w:t>164.2</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8.9%</w:t>
      </w:r>
      <w:r>
        <w:rPr>
          <w:rFonts w:ascii="仿宋_GB2312" w:eastAsia="仿宋_GB2312" w:hAnsi="仿宋" w:cs="仿宋" w:hint="eastAsia"/>
          <w:color w:val="000000"/>
          <w:sz w:val="32"/>
          <w:szCs w:val="32"/>
        </w:rPr>
        <w:t>，基建项目</w:t>
      </w:r>
      <w:r>
        <w:rPr>
          <w:rFonts w:ascii="仿宋_GB2312" w:eastAsia="仿宋_GB2312" w:hAnsi="仿宋" w:cs="仿宋" w:hint="eastAsia"/>
          <w:color w:val="000000"/>
          <w:sz w:val="32"/>
          <w:szCs w:val="32"/>
        </w:rPr>
        <w:t>400</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22.2%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对个人和家庭补助支出</w:t>
      </w:r>
      <w:r>
        <w:rPr>
          <w:rFonts w:ascii="仿宋_GB2312" w:eastAsia="仿宋_GB2312" w:hAnsi="仿宋" w:cs="仿宋" w:hint="eastAsia"/>
          <w:color w:val="000000"/>
          <w:sz w:val="32"/>
          <w:szCs w:val="32"/>
        </w:rPr>
        <w:t>882.32</w:t>
      </w:r>
      <w:r>
        <w:rPr>
          <w:rFonts w:ascii="仿宋_GB2312" w:eastAsia="仿宋_GB2312" w:hAnsi="仿宋" w:cs="仿宋" w:hint="eastAsia"/>
          <w:color w:val="000000"/>
          <w:sz w:val="32"/>
          <w:szCs w:val="32"/>
        </w:rPr>
        <w:t>万</w:t>
      </w:r>
      <w:r>
        <w:rPr>
          <w:rFonts w:ascii="仿宋_GB2312" w:eastAsia="仿宋_GB2312" w:hAnsi="仿宋" w:cs="仿宋" w:hint="eastAsia"/>
          <w:color w:val="000000"/>
          <w:sz w:val="32"/>
          <w:szCs w:val="32"/>
        </w:rPr>
        <w:t>元</w:t>
      </w:r>
      <w:r>
        <w:rPr>
          <w:rFonts w:ascii="仿宋_GB2312" w:eastAsia="仿宋_GB2312" w:hAnsi="仿宋" w:cs="仿宋" w:hint="eastAsia"/>
          <w:color w:val="000000"/>
          <w:sz w:val="32"/>
          <w:szCs w:val="32"/>
        </w:rPr>
        <w:t>，占比</w:t>
      </w:r>
      <w:r>
        <w:rPr>
          <w:rFonts w:ascii="仿宋_GB2312" w:eastAsia="仿宋_GB2312" w:hAnsi="仿宋" w:cs="仿宋" w:hint="eastAsia"/>
          <w:color w:val="000000"/>
          <w:sz w:val="32"/>
          <w:szCs w:val="32"/>
        </w:rPr>
        <w:t>49.2%</w:t>
      </w:r>
      <w:r>
        <w:rPr>
          <w:rFonts w:ascii="仿宋_GB2312" w:eastAsia="仿宋_GB2312" w:hAnsi="仿宋" w:cs="仿宋" w:hint="eastAsia"/>
          <w:color w:val="000000"/>
          <w:sz w:val="32"/>
          <w:szCs w:val="32"/>
        </w:rPr>
        <w:t>。</w:t>
      </w:r>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四、财政拨款收入支出决算总体情况说明</w:t>
      </w:r>
    </w:p>
    <w:p w:rsidR="00C8409A" w:rsidRDefault="006C1533">
      <w:pPr>
        <w:ind w:firstLineChars="200" w:firstLine="640"/>
        <w:rPr>
          <w:rFonts w:ascii="仿宋_GB2312" w:eastAsia="仿宋_GB2312" w:hAnsi="仿宋_GB2312" w:cs="仿宋_GB2312"/>
          <w:color w:val="FF0000"/>
          <w:sz w:val="32"/>
          <w:szCs w:val="32"/>
        </w:rPr>
      </w:pPr>
      <w:r>
        <w:rPr>
          <w:rFonts w:ascii="仿宋" w:eastAsia="仿宋" w:hAnsi="仿宋" w:hint="eastAsia"/>
          <w:color w:val="FF0000"/>
          <w:sz w:val="32"/>
          <w:szCs w:val="32"/>
        </w:rPr>
        <w:t xml:space="preserve"> </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年财政拨款总收入</w:t>
      </w:r>
      <w:r>
        <w:rPr>
          <w:rFonts w:ascii="仿宋" w:eastAsia="仿宋" w:hAnsi="仿宋" w:cs="Times New Roman" w:hint="eastAsia"/>
          <w:sz w:val="32"/>
          <w:szCs w:val="32"/>
        </w:rPr>
        <w:t>1792.3</w:t>
      </w:r>
      <w:r>
        <w:rPr>
          <w:rFonts w:ascii="仿宋_GB2312" w:eastAsia="仿宋_GB2312" w:hAnsi="仿宋" w:cs="仿宋" w:hint="eastAsia"/>
          <w:color w:val="000000"/>
          <w:sz w:val="32"/>
          <w:szCs w:val="32"/>
        </w:rPr>
        <w:t>万元，较上年度增加了</w:t>
      </w:r>
      <w:r>
        <w:rPr>
          <w:rFonts w:ascii="仿宋_GB2312" w:eastAsia="仿宋_GB2312" w:hAnsi="仿宋" w:cs="仿宋" w:hint="eastAsia"/>
          <w:color w:val="000000"/>
          <w:sz w:val="32"/>
          <w:szCs w:val="32"/>
        </w:rPr>
        <w:lastRenderedPageBreak/>
        <w:t>152.9</w:t>
      </w:r>
      <w:r>
        <w:rPr>
          <w:rFonts w:ascii="仿宋_GB2312" w:eastAsia="仿宋_GB2312" w:hAnsi="仿宋" w:cs="仿宋" w:hint="eastAsia"/>
          <w:color w:val="000000"/>
          <w:sz w:val="32"/>
          <w:szCs w:val="32"/>
        </w:rPr>
        <w:t>万元，主要增加了</w:t>
      </w:r>
      <w:r>
        <w:rPr>
          <w:rFonts w:ascii="仿宋_GB2312" w:eastAsia="仿宋_GB2312" w:hAnsi="仿宋" w:cs="仿宋" w:hint="eastAsia"/>
          <w:color w:val="000000"/>
          <w:sz w:val="32"/>
          <w:szCs w:val="32"/>
        </w:rPr>
        <w:t>400</w:t>
      </w:r>
      <w:r>
        <w:rPr>
          <w:rFonts w:ascii="仿宋_GB2312" w:eastAsia="仿宋_GB2312" w:hAnsi="仿宋" w:cs="仿宋" w:hint="eastAsia"/>
          <w:color w:val="000000"/>
          <w:sz w:val="32"/>
          <w:szCs w:val="32"/>
        </w:rPr>
        <w:t>万的基建收入，计划生育利益导向及日常公用经费收入则有所减少。</w:t>
      </w:r>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五、一般公共预算财政拨款支出决算情况说明</w:t>
      </w:r>
    </w:p>
    <w:p w:rsidR="00C8409A" w:rsidRDefault="006C1533">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（一）财政拨款支出决算总体情况。</w:t>
      </w:r>
    </w:p>
    <w:p w:rsidR="00C8409A" w:rsidRDefault="006C1533">
      <w:pPr>
        <w:ind w:firstLineChars="200" w:firstLine="64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年度</w:t>
      </w:r>
      <w:r>
        <w:rPr>
          <w:rFonts w:ascii="仿宋_GB2312" w:eastAsia="仿宋_GB2312" w:hAnsi="仿宋" w:cs="仿宋" w:hint="eastAsia"/>
          <w:color w:val="000000"/>
          <w:sz w:val="32"/>
          <w:szCs w:val="32"/>
        </w:rPr>
        <w:t>财政拨款支出</w:t>
      </w:r>
      <w:r>
        <w:rPr>
          <w:rFonts w:ascii="仿宋" w:eastAsia="仿宋" w:hAnsi="仿宋" w:cs="Times New Roman" w:hint="eastAsia"/>
          <w:sz w:val="32"/>
          <w:szCs w:val="32"/>
        </w:rPr>
        <w:t>1792.3</w:t>
      </w:r>
      <w:r>
        <w:rPr>
          <w:rFonts w:ascii="仿宋_GB2312" w:eastAsia="仿宋_GB2312" w:hAnsi="仿宋" w:cs="仿宋" w:hint="eastAsia"/>
          <w:color w:val="000000"/>
          <w:sz w:val="32"/>
          <w:szCs w:val="32"/>
        </w:rPr>
        <w:t>万元，占单位总支出的</w:t>
      </w:r>
      <w:r>
        <w:rPr>
          <w:rFonts w:ascii="仿宋_GB2312" w:eastAsia="仿宋_GB2312" w:hAnsi="仿宋" w:cs="仿宋" w:hint="eastAsia"/>
          <w:color w:val="000000"/>
          <w:sz w:val="32"/>
          <w:szCs w:val="32"/>
        </w:rPr>
        <w:t>99.6%</w:t>
      </w:r>
      <w:r>
        <w:rPr>
          <w:rFonts w:ascii="仿宋_GB2312" w:eastAsia="仿宋_GB2312" w:hAnsi="仿宋" w:cs="仿宋" w:hint="eastAsia"/>
          <w:color w:val="000000"/>
          <w:sz w:val="32"/>
          <w:szCs w:val="32"/>
        </w:rPr>
        <w:t>，较上年度财政拨款支出增加</w:t>
      </w:r>
      <w:r>
        <w:rPr>
          <w:rFonts w:ascii="仿宋_GB2312" w:eastAsia="仿宋_GB2312" w:hAnsi="仿宋" w:cs="仿宋" w:hint="eastAsia"/>
          <w:color w:val="000000"/>
          <w:sz w:val="32"/>
          <w:szCs w:val="32"/>
        </w:rPr>
        <w:t>152.9</w:t>
      </w:r>
      <w:r>
        <w:rPr>
          <w:rFonts w:ascii="仿宋_GB2312" w:eastAsia="仿宋_GB2312" w:hAnsi="仿宋" w:cs="仿宋" w:hint="eastAsia"/>
          <w:color w:val="000000"/>
          <w:sz w:val="32"/>
          <w:szCs w:val="32"/>
        </w:rPr>
        <w:t>万元，主要为增加了</w:t>
      </w:r>
      <w:r>
        <w:rPr>
          <w:rFonts w:ascii="仿宋_GB2312" w:eastAsia="仿宋_GB2312" w:hAnsi="仿宋" w:cs="仿宋" w:hint="eastAsia"/>
          <w:color w:val="000000"/>
          <w:sz w:val="32"/>
          <w:szCs w:val="32"/>
        </w:rPr>
        <w:t>400</w:t>
      </w:r>
      <w:r>
        <w:rPr>
          <w:rFonts w:ascii="仿宋_GB2312" w:eastAsia="仿宋_GB2312" w:hAnsi="仿宋" w:cs="仿宋" w:hint="eastAsia"/>
          <w:color w:val="000000"/>
          <w:sz w:val="32"/>
          <w:szCs w:val="32"/>
        </w:rPr>
        <w:t>万的基建支出。支出分类有：工资福利支出为</w:t>
      </w:r>
      <w:r>
        <w:rPr>
          <w:rFonts w:ascii="仿宋_GB2312" w:eastAsia="仿宋_GB2312" w:hAnsi="仿宋" w:cs="仿宋" w:hint="eastAsia"/>
          <w:color w:val="000000"/>
          <w:sz w:val="32"/>
          <w:szCs w:val="32"/>
        </w:rPr>
        <w:t>352.9</w:t>
      </w:r>
      <w:r>
        <w:rPr>
          <w:rFonts w:ascii="仿宋_GB2312" w:eastAsia="仿宋_GB2312" w:hAnsi="仿宋" w:cs="仿宋" w:hint="eastAsia"/>
          <w:color w:val="000000"/>
          <w:sz w:val="32"/>
          <w:szCs w:val="32"/>
        </w:rPr>
        <w:t>万元，商品和服务支出为</w:t>
      </w:r>
      <w:r>
        <w:rPr>
          <w:rFonts w:ascii="仿宋_GB2312" w:eastAsia="仿宋_GB2312" w:hAnsi="仿宋" w:cs="仿宋" w:hint="eastAsia"/>
          <w:color w:val="000000"/>
          <w:sz w:val="32"/>
          <w:szCs w:val="32"/>
        </w:rPr>
        <w:t>157.09</w:t>
      </w:r>
      <w:r>
        <w:rPr>
          <w:rFonts w:ascii="仿宋_GB2312" w:eastAsia="仿宋_GB2312" w:hAnsi="仿宋" w:cs="仿宋" w:hint="eastAsia"/>
          <w:color w:val="000000"/>
          <w:sz w:val="32"/>
          <w:szCs w:val="32"/>
        </w:rPr>
        <w:t>万元，对个人和家庭的补助支出</w:t>
      </w:r>
      <w:r>
        <w:rPr>
          <w:rFonts w:ascii="仿宋_GB2312" w:eastAsia="仿宋_GB2312" w:hAnsi="仿宋" w:cs="仿宋" w:hint="eastAsia"/>
          <w:color w:val="000000"/>
          <w:sz w:val="32"/>
          <w:szCs w:val="32"/>
        </w:rPr>
        <w:t>882.32</w:t>
      </w:r>
      <w:r>
        <w:rPr>
          <w:rFonts w:ascii="仿宋_GB2312" w:eastAsia="仿宋_GB2312" w:hAnsi="仿宋" w:cs="仿宋" w:hint="eastAsia"/>
          <w:color w:val="000000"/>
          <w:sz w:val="32"/>
          <w:szCs w:val="32"/>
        </w:rPr>
        <w:t>万元，基本建设支出</w:t>
      </w:r>
      <w:r>
        <w:rPr>
          <w:rFonts w:ascii="仿宋_GB2312" w:eastAsia="仿宋_GB2312" w:hAnsi="仿宋" w:cs="仿宋" w:hint="eastAsia"/>
          <w:color w:val="000000"/>
          <w:sz w:val="32"/>
          <w:szCs w:val="32"/>
        </w:rPr>
        <w:t>400</w:t>
      </w:r>
      <w:r>
        <w:rPr>
          <w:rFonts w:ascii="仿宋_GB2312" w:eastAsia="仿宋_GB2312" w:hAnsi="仿宋" w:cs="仿宋" w:hint="eastAsia"/>
          <w:color w:val="000000"/>
          <w:sz w:val="32"/>
          <w:szCs w:val="32"/>
        </w:rPr>
        <w:t>万元</w:t>
      </w:r>
    </w:p>
    <w:p w:rsidR="00C8409A" w:rsidRDefault="006C1533">
      <w:pPr>
        <w:widowControl/>
        <w:spacing w:line="600" w:lineRule="exact"/>
        <w:ind w:firstLineChars="200" w:firstLine="640"/>
        <w:rPr>
          <w:rFonts w:ascii="Times New Roman" w:eastAsia="仿宋_GB2312" w:hAnsi="Times New Roman" w:cs="Times New Roman"/>
          <w:b/>
          <w:bCs/>
          <w:color w:val="0000FF"/>
          <w:kern w:val="0"/>
          <w:sz w:val="32"/>
          <w:szCs w:val="32"/>
        </w:rPr>
      </w:pPr>
      <w:r>
        <w:rPr>
          <w:rFonts w:ascii="Times New Roman" w:eastAsia="仿宋_GB2312" w:hAnsi="Times New Roman" w:cs="Times New Roman"/>
          <w:kern w:val="0"/>
          <w:sz w:val="32"/>
          <w:szCs w:val="32"/>
        </w:rPr>
        <w:t>（二）</w:t>
      </w:r>
      <w:r>
        <w:rPr>
          <w:rFonts w:ascii="Times New Roman" w:eastAsia="仿宋_GB2312" w:hAnsi="Times New Roman" w:cs="Times New Roman"/>
          <w:kern w:val="0"/>
          <w:sz w:val="32"/>
          <w:szCs w:val="32"/>
        </w:rPr>
        <w:t>财政拨款支出决算结构情况。</w:t>
      </w:r>
    </w:p>
    <w:p w:rsidR="00C8409A" w:rsidRDefault="006C1533">
      <w:pPr>
        <w:widowControl/>
        <w:spacing w:line="600" w:lineRule="exact"/>
        <w:ind w:firstLineChars="200" w:firstLine="640"/>
        <w:rPr>
          <w:rFonts w:ascii="仿宋_GB2312" w:eastAsia="仿宋_GB2312" w:hAnsi="仿宋" w:cs="仿宋"/>
          <w:color w:val="000000"/>
          <w:sz w:val="32"/>
          <w:szCs w:val="32"/>
        </w:rPr>
      </w:pPr>
      <w:r>
        <w:rPr>
          <w:rFonts w:ascii="仿宋" w:eastAsia="仿宋" w:hAnsi="仿宋" w:hint="eastAsia"/>
          <w:sz w:val="32"/>
          <w:szCs w:val="32"/>
        </w:rPr>
        <w:t>2018</w:t>
      </w:r>
      <w:r>
        <w:rPr>
          <w:rFonts w:ascii="仿宋" w:eastAsia="仿宋" w:hAnsi="仿宋" w:hint="eastAsia"/>
          <w:sz w:val="32"/>
          <w:szCs w:val="32"/>
        </w:rPr>
        <w:t>年度</w:t>
      </w:r>
      <w:r>
        <w:rPr>
          <w:rFonts w:ascii="仿宋_GB2312" w:eastAsia="仿宋_GB2312" w:hAnsi="仿宋" w:cs="仿宋" w:hint="eastAsia"/>
          <w:color w:val="000000"/>
          <w:sz w:val="32"/>
          <w:szCs w:val="32"/>
        </w:rPr>
        <w:t>财政拨款支出</w:t>
      </w:r>
      <w:r>
        <w:rPr>
          <w:rFonts w:ascii="仿宋" w:eastAsia="仿宋" w:hAnsi="仿宋" w:cs="Times New Roman" w:hint="eastAsia"/>
          <w:sz w:val="32"/>
          <w:szCs w:val="32"/>
        </w:rPr>
        <w:t>1792.3</w:t>
      </w:r>
      <w:r>
        <w:rPr>
          <w:rFonts w:ascii="仿宋_GB2312" w:eastAsia="仿宋_GB2312" w:hAnsi="仿宋" w:cs="仿宋" w:hint="eastAsia"/>
          <w:color w:val="000000"/>
          <w:sz w:val="32"/>
          <w:szCs w:val="32"/>
        </w:rPr>
        <w:t>万元，其中社会保障和就业支出</w:t>
      </w:r>
      <w:r>
        <w:rPr>
          <w:rFonts w:ascii="仿宋_GB2312" w:eastAsia="仿宋_GB2312" w:hAnsi="仿宋" w:cs="仿宋" w:hint="eastAsia"/>
          <w:color w:val="000000"/>
          <w:sz w:val="32"/>
          <w:szCs w:val="32"/>
        </w:rPr>
        <w:t>37.64</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2.1%</w:t>
      </w:r>
      <w:r>
        <w:rPr>
          <w:rFonts w:ascii="仿宋_GB2312" w:eastAsia="仿宋_GB2312" w:hAnsi="仿宋" w:cs="仿宋" w:hint="eastAsia"/>
          <w:color w:val="000000"/>
          <w:sz w:val="32"/>
          <w:szCs w:val="32"/>
        </w:rPr>
        <w:t>（含离退休</w:t>
      </w:r>
      <w:r>
        <w:rPr>
          <w:rFonts w:ascii="仿宋_GB2312" w:eastAsia="仿宋_GB2312" w:hAnsi="仿宋" w:cs="仿宋" w:hint="eastAsia"/>
          <w:color w:val="000000"/>
          <w:sz w:val="32"/>
          <w:szCs w:val="32"/>
        </w:rPr>
        <w:t>28.97</w:t>
      </w:r>
      <w:r>
        <w:rPr>
          <w:rFonts w:ascii="仿宋_GB2312" w:eastAsia="仿宋_GB2312" w:hAnsi="仿宋" w:cs="仿宋" w:hint="eastAsia"/>
          <w:color w:val="000000"/>
          <w:sz w:val="32"/>
          <w:szCs w:val="32"/>
        </w:rPr>
        <w:t>万元，红十字事业支出</w:t>
      </w:r>
      <w:r>
        <w:rPr>
          <w:rFonts w:ascii="仿宋_GB2312" w:eastAsia="仿宋_GB2312" w:hAnsi="仿宋" w:cs="仿宋" w:hint="eastAsia"/>
          <w:color w:val="000000"/>
          <w:sz w:val="32"/>
          <w:szCs w:val="32"/>
        </w:rPr>
        <w:t>8.67</w:t>
      </w:r>
      <w:r>
        <w:rPr>
          <w:rFonts w:ascii="仿宋_GB2312" w:eastAsia="仿宋_GB2312" w:hAnsi="仿宋" w:cs="仿宋" w:hint="eastAsia"/>
          <w:color w:val="000000"/>
          <w:sz w:val="32"/>
          <w:szCs w:val="32"/>
        </w:rPr>
        <w:t>万元）；医疗卫生与计划生育管理事务支出</w:t>
      </w:r>
      <w:r>
        <w:rPr>
          <w:rFonts w:ascii="仿宋_GB2312" w:eastAsia="仿宋_GB2312" w:hAnsi="仿宋" w:cs="仿宋" w:hint="eastAsia"/>
          <w:color w:val="000000"/>
          <w:sz w:val="32"/>
          <w:szCs w:val="32"/>
        </w:rPr>
        <w:t>223.01</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12.44%</w:t>
      </w:r>
      <w:r>
        <w:rPr>
          <w:rFonts w:ascii="仿宋_GB2312" w:eastAsia="仿宋_GB2312" w:hAnsi="仿宋" w:cs="仿宋" w:hint="eastAsia"/>
          <w:color w:val="000000"/>
          <w:sz w:val="32"/>
          <w:szCs w:val="32"/>
        </w:rPr>
        <w:t>；公立医院改革支出</w:t>
      </w:r>
      <w:r>
        <w:rPr>
          <w:rFonts w:ascii="仿宋_GB2312" w:eastAsia="仿宋_GB2312" w:hAnsi="仿宋" w:cs="仿宋" w:hint="eastAsia"/>
          <w:color w:val="000000"/>
          <w:sz w:val="32"/>
          <w:szCs w:val="32"/>
        </w:rPr>
        <w:t>41.02</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2.3%</w:t>
      </w:r>
      <w:r>
        <w:rPr>
          <w:rFonts w:ascii="仿宋_GB2312" w:eastAsia="仿宋_GB2312" w:hAnsi="仿宋" w:cs="仿宋" w:hint="eastAsia"/>
          <w:color w:val="000000"/>
          <w:sz w:val="32"/>
          <w:szCs w:val="32"/>
        </w:rPr>
        <w:t>；基层医疗卫生机构</w:t>
      </w:r>
      <w:r>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1.11%</w:t>
      </w:r>
      <w:r>
        <w:rPr>
          <w:rFonts w:ascii="仿宋_GB2312" w:eastAsia="仿宋_GB2312" w:hAnsi="仿宋" w:cs="仿宋" w:hint="eastAsia"/>
          <w:color w:val="000000"/>
          <w:sz w:val="32"/>
          <w:szCs w:val="32"/>
        </w:rPr>
        <w:t>；公共卫生支出</w:t>
      </w:r>
      <w:r>
        <w:rPr>
          <w:rFonts w:ascii="仿宋_GB2312" w:eastAsia="仿宋_GB2312" w:hAnsi="仿宋" w:cs="仿宋" w:hint="eastAsia"/>
          <w:color w:val="000000"/>
          <w:sz w:val="32"/>
          <w:szCs w:val="32"/>
        </w:rPr>
        <w:t>108.73</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；计划生育事务</w:t>
      </w:r>
      <w:r>
        <w:rPr>
          <w:rFonts w:ascii="仿宋_GB2312" w:eastAsia="仿宋_GB2312" w:hAnsi="仿宋" w:cs="仿宋" w:hint="eastAsia"/>
          <w:color w:val="000000"/>
          <w:sz w:val="32"/>
          <w:szCs w:val="32"/>
        </w:rPr>
        <w:t>852.67</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47.6%</w:t>
      </w:r>
      <w:r>
        <w:rPr>
          <w:rFonts w:ascii="仿宋_GB2312" w:eastAsia="仿宋_GB2312" w:hAnsi="仿宋" w:cs="仿宋" w:hint="eastAsia"/>
          <w:color w:val="000000"/>
          <w:sz w:val="32"/>
          <w:szCs w:val="32"/>
        </w:rPr>
        <w:t>；其他医疗卫生与计划生育支出</w:t>
      </w:r>
      <w:r>
        <w:rPr>
          <w:rFonts w:ascii="仿宋_GB2312" w:eastAsia="仿宋_GB2312" w:hAnsi="仿宋" w:cs="仿宋" w:hint="eastAsia"/>
          <w:color w:val="000000"/>
          <w:sz w:val="32"/>
          <w:szCs w:val="32"/>
        </w:rPr>
        <w:t>473.25</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26.44%</w:t>
      </w:r>
      <w:r>
        <w:rPr>
          <w:rFonts w:ascii="仿宋_GB2312" w:eastAsia="仿宋_GB2312" w:hAnsi="仿宋" w:cs="仿宋" w:hint="eastAsia"/>
          <w:color w:val="000000"/>
          <w:sz w:val="32"/>
          <w:szCs w:val="32"/>
        </w:rPr>
        <w:t>；扶贫</w:t>
      </w:r>
      <w:r>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1.11%</w:t>
      </w:r>
      <w:r>
        <w:rPr>
          <w:rFonts w:ascii="仿宋_GB2312" w:eastAsia="仿宋_GB2312" w:hAnsi="仿宋" w:cs="仿宋" w:hint="eastAsia"/>
          <w:color w:val="000000"/>
          <w:sz w:val="32"/>
          <w:szCs w:val="32"/>
        </w:rPr>
        <w:t>；住房公积金支出</w:t>
      </w:r>
      <w:r>
        <w:rPr>
          <w:rFonts w:ascii="仿宋_GB2312" w:eastAsia="仿宋_GB2312" w:hAnsi="仿宋" w:cs="仿宋" w:hint="eastAsia"/>
          <w:color w:val="000000"/>
          <w:sz w:val="32"/>
          <w:szCs w:val="32"/>
        </w:rPr>
        <w:t>15.98</w:t>
      </w:r>
      <w:r>
        <w:rPr>
          <w:rFonts w:ascii="仿宋_GB2312" w:eastAsia="仿宋_GB2312" w:hAnsi="仿宋" w:cs="仿宋" w:hint="eastAsia"/>
          <w:color w:val="000000"/>
          <w:sz w:val="32"/>
          <w:szCs w:val="32"/>
        </w:rPr>
        <w:t>万元，占比</w:t>
      </w:r>
      <w:r>
        <w:rPr>
          <w:rFonts w:ascii="仿宋_GB2312" w:eastAsia="仿宋_GB2312" w:hAnsi="仿宋" w:cs="仿宋" w:hint="eastAsia"/>
          <w:color w:val="000000"/>
          <w:sz w:val="32"/>
          <w:szCs w:val="32"/>
        </w:rPr>
        <w:t>0.9%</w:t>
      </w:r>
      <w:r>
        <w:rPr>
          <w:rFonts w:ascii="仿宋_GB2312" w:eastAsia="仿宋_GB2312" w:hAnsi="仿宋" w:cs="仿宋" w:hint="eastAsia"/>
          <w:color w:val="000000"/>
          <w:sz w:val="32"/>
          <w:szCs w:val="32"/>
        </w:rPr>
        <w:t>。</w:t>
      </w:r>
    </w:p>
    <w:p w:rsidR="00C8409A" w:rsidRDefault="006C1533">
      <w:pPr>
        <w:widowControl/>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（三）财政拨款支出决算</w:t>
      </w:r>
      <w:r>
        <w:rPr>
          <w:rFonts w:ascii="仿宋_GB2312" w:eastAsia="仿宋_GB2312" w:hAnsi="仿宋" w:cs="仿宋" w:hint="eastAsia"/>
          <w:color w:val="000000"/>
          <w:sz w:val="32"/>
          <w:szCs w:val="32"/>
        </w:rPr>
        <w:t>具体情况。</w:t>
      </w:r>
    </w:p>
    <w:p w:rsidR="00C8409A" w:rsidRDefault="006C1533">
      <w:pPr>
        <w:widowControl/>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财政拨款支出年初预算数</w:t>
      </w:r>
      <w:r>
        <w:rPr>
          <w:rFonts w:ascii="仿宋_GB2312" w:eastAsia="仿宋_GB2312" w:hAnsi="仿宋" w:cs="仿宋" w:hint="eastAsia"/>
          <w:color w:val="000000"/>
          <w:sz w:val="32"/>
          <w:szCs w:val="32"/>
        </w:rPr>
        <w:t>1766</w:t>
      </w:r>
      <w:r>
        <w:rPr>
          <w:rFonts w:ascii="仿宋_GB2312" w:eastAsia="仿宋_GB2312" w:hAnsi="仿宋" w:cs="仿宋" w:hint="eastAsia"/>
          <w:color w:val="000000"/>
          <w:sz w:val="32"/>
          <w:szCs w:val="32"/>
        </w:rPr>
        <w:t>万元，调整预算数及实际支出数均为</w:t>
      </w:r>
      <w:r>
        <w:rPr>
          <w:rFonts w:ascii="仿宋_GB2312" w:eastAsia="仿宋_GB2312" w:hAnsi="仿宋" w:cs="仿宋" w:hint="eastAsia"/>
          <w:color w:val="000000"/>
          <w:sz w:val="32"/>
          <w:szCs w:val="32"/>
        </w:rPr>
        <w:t>1792.3</w:t>
      </w:r>
      <w:r>
        <w:rPr>
          <w:rFonts w:ascii="仿宋_GB2312" w:eastAsia="仿宋_GB2312" w:hAnsi="仿宋" w:cs="仿宋" w:hint="eastAsia"/>
          <w:color w:val="000000"/>
          <w:sz w:val="32"/>
          <w:szCs w:val="32"/>
        </w:rPr>
        <w:t>万元，增加</w:t>
      </w:r>
      <w:r>
        <w:rPr>
          <w:rFonts w:ascii="仿宋_GB2312" w:eastAsia="仿宋_GB2312" w:hAnsi="仿宋" w:cs="仿宋" w:hint="eastAsia"/>
          <w:color w:val="000000"/>
          <w:sz w:val="32"/>
          <w:szCs w:val="32"/>
        </w:rPr>
        <w:t>26.3</w:t>
      </w:r>
      <w:r>
        <w:rPr>
          <w:rFonts w:ascii="仿宋_GB2312" w:eastAsia="仿宋_GB2312" w:hAnsi="仿宋" w:cs="仿宋" w:hint="eastAsia"/>
          <w:color w:val="000000"/>
          <w:sz w:val="32"/>
          <w:szCs w:val="32"/>
        </w:rPr>
        <w:t>万元，主要为人员经</w:t>
      </w:r>
      <w:r>
        <w:rPr>
          <w:rFonts w:ascii="仿宋_GB2312" w:eastAsia="仿宋_GB2312" w:hAnsi="仿宋" w:cs="仿宋" w:hint="eastAsia"/>
          <w:color w:val="000000"/>
          <w:sz w:val="32"/>
          <w:szCs w:val="32"/>
        </w:rPr>
        <w:lastRenderedPageBreak/>
        <w:t>费和日常公用经费预算的调整，其中基本支出</w:t>
      </w:r>
      <w:r>
        <w:rPr>
          <w:rFonts w:ascii="仿宋_GB2312" w:eastAsia="仿宋_GB2312" w:hAnsi="仿宋" w:cs="仿宋" w:hint="eastAsia"/>
          <w:color w:val="000000"/>
          <w:sz w:val="32"/>
          <w:szCs w:val="32"/>
        </w:rPr>
        <w:t>268.37</w:t>
      </w:r>
      <w:r>
        <w:rPr>
          <w:rFonts w:ascii="仿宋_GB2312" w:eastAsia="仿宋_GB2312" w:hAnsi="仿宋" w:cs="仿宋" w:hint="eastAsia"/>
          <w:color w:val="000000"/>
          <w:sz w:val="32"/>
          <w:szCs w:val="32"/>
        </w:rPr>
        <w:t>万元，占比总支出</w:t>
      </w:r>
      <w:r>
        <w:rPr>
          <w:rFonts w:ascii="仿宋_GB2312" w:eastAsia="仿宋_GB2312" w:hAnsi="仿宋" w:cs="仿宋" w:hint="eastAsia"/>
          <w:color w:val="000000"/>
          <w:sz w:val="32"/>
          <w:szCs w:val="32"/>
        </w:rPr>
        <w:t>14.97%</w:t>
      </w:r>
      <w:r>
        <w:rPr>
          <w:rFonts w:ascii="仿宋_GB2312" w:eastAsia="仿宋_GB2312" w:hAnsi="仿宋" w:cs="仿宋" w:hint="eastAsia"/>
          <w:color w:val="000000"/>
          <w:sz w:val="32"/>
          <w:szCs w:val="32"/>
        </w:rPr>
        <w:t>，项目支出</w:t>
      </w:r>
      <w:r>
        <w:rPr>
          <w:rFonts w:ascii="仿宋_GB2312" w:eastAsia="仿宋_GB2312" w:hAnsi="仿宋" w:cs="仿宋" w:hint="eastAsia"/>
          <w:color w:val="000000"/>
          <w:sz w:val="32"/>
          <w:szCs w:val="32"/>
        </w:rPr>
        <w:t>1523.93</w:t>
      </w:r>
      <w:r>
        <w:rPr>
          <w:rFonts w:ascii="仿宋_GB2312" w:eastAsia="仿宋_GB2312" w:hAnsi="仿宋" w:cs="仿宋" w:hint="eastAsia"/>
          <w:color w:val="000000"/>
          <w:sz w:val="32"/>
          <w:szCs w:val="32"/>
        </w:rPr>
        <w:t>万元，占比总支出</w:t>
      </w:r>
      <w:r>
        <w:rPr>
          <w:rFonts w:ascii="仿宋_GB2312" w:eastAsia="仿宋_GB2312" w:hAnsi="仿宋" w:cs="仿宋" w:hint="eastAsia"/>
          <w:color w:val="000000"/>
          <w:sz w:val="32"/>
          <w:szCs w:val="32"/>
        </w:rPr>
        <w:t>85.03%</w:t>
      </w:r>
      <w:r>
        <w:rPr>
          <w:rFonts w:ascii="仿宋_GB2312" w:eastAsia="仿宋_GB2312" w:hAnsi="仿宋" w:cs="仿宋" w:hint="eastAsia"/>
          <w:color w:val="000000"/>
          <w:sz w:val="32"/>
          <w:szCs w:val="32"/>
        </w:rPr>
        <w:t>。</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六、般公共预算财政拨款基本支出决算情况说明</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kern w:val="0"/>
          <w:sz w:val="32"/>
          <w:szCs w:val="32"/>
        </w:rPr>
        <w:t>财政拨款基本支出总计为</w:t>
      </w:r>
      <w:r>
        <w:rPr>
          <w:rFonts w:ascii="Times New Roman" w:eastAsia="仿宋_GB2312" w:hAnsi="Times New Roman" w:cs="Times New Roman" w:hint="eastAsia"/>
          <w:kern w:val="0"/>
          <w:sz w:val="32"/>
          <w:szCs w:val="32"/>
        </w:rPr>
        <w:t>268.37</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其中人员经费支出为</w:t>
      </w:r>
      <w:r>
        <w:rPr>
          <w:rFonts w:ascii="Times New Roman" w:eastAsia="仿宋_GB2312" w:hAnsi="Times New Roman" w:cs="Times New Roman" w:hint="eastAsia"/>
          <w:kern w:val="0"/>
          <w:sz w:val="32"/>
          <w:szCs w:val="32"/>
        </w:rPr>
        <w:t>239.32</w:t>
      </w:r>
      <w:r>
        <w:rPr>
          <w:rFonts w:ascii="Times New Roman" w:eastAsia="仿宋_GB2312" w:hAnsi="Times New Roman" w:cs="Times New Roman" w:hint="eastAsia"/>
          <w:kern w:val="0"/>
          <w:sz w:val="32"/>
          <w:szCs w:val="32"/>
        </w:rPr>
        <w:t>万元，占比</w:t>
      </w:r>
      <w:r>
        <w:rPr>
          <w:rFonts w:ascii="Times New Roman" w:eastAsia="仿宋_GB2312" w:hAnsi="Times New Roman" w:cs="Times New Roman" w:hint="eastAsia"/>
          <w:kern w:val="0"/>
          <w:sz w:val="32"/>
          <w:szCs w:val="32"/>
        </w:rPr>
        <w:t>89.2%</w:t>
      </w:r>
      <w:r>
        <w:rPr>
          <w:rFonts w:ascii="Times New Roman" w:eastAsia="仿宋_GB2312" w:hAnsi="Times New Roman" w:cs="Times New Roman" w:hint="eastAsia"/>
          <w:kern w:val="0"/>
          <w:sz w:val="32"/>
          <w:szCs w:val="32"/>
        </w:rPr>
        <w:t>（工资福利支出为</w:t>
      </w:r>
      <w:r>
        <w:rPr>
          <w:rFonts w:ascii="Times New Roman" w:eastAsia="仿宋_GB2312" w:hAnsi="Times New Roman" w:cs="Times New Roman" w:hint="eastAsia"/>
          <w:kern w:val="0"/>
          <w:sz w:val="32"/>
          <w:szCs w:val="32"/>
        </w:rPr>
        <w:t>235.14</w:t>
      </w:r>
      <w:r>
        <w:rPr>
          <w:rFonts w:ascii="Times New Roman" w:eastAsia="仿宋_GB2312" w:hAnsi="Times New Roman" w:cs="Times New Roman" w:hint="eastAsia"/>
          <w:kern w:val="0"/>
          <w:sz w:val="32"/>
          <w:szCs w:val="32"/>
        </w:rPr>
        <w:t>万元，占比人员经费的</w:t>
      </w:r>
      <w:r>
        <w:rPr>
          <w:rFonts w:ascii="Times New Roman" w:eastAsia="仿宋_GB2312" w:hAnsi="Times New Roman" w:cs="Times New Roman" w:hint="eastAsia"/>
          <w:kern w:val="0"/>
          <w:sz w:val="32"/>
          <w:szCs w:val="32"/>
        </w:rPr>
        <w:t>98%</w:t>
      </w:r>
      <w:r>
        <w:rPr>
          <w:rFonts w:ascii="Times New Roman" w:eastAsia="仿宋_GB2312" w:hAnsi="Times New Roman" w:cs="Times New Roman" w:hint="eastAsia"/>
          <w:kern w:val="0"/>
          <w:sz w:val="32"/>
          <w:szCs w:val="32"/>
        </w:rPr>
        <w:t>，对个人和家庭的补助支出</w:t>
      </w:r>
      <w:r>
        <w:rPr>
          <w:rFonts w:ascii="Times New Roman" w:eastAsia="仿宋_GB2312" w:hAnsi="Times New Roman" w:cs="Times New Roman" w:hint="eastAsia"/>
          <w:kern w:val="0"/>
          <w:sz w:val="32"/>
          <w:szCs w:val="32"/>
        </w:rPr>
        <w:t>4.18</w:t>
      </w:r>
      <w:r>
        <w:rPr>
          <w:rFonts w:ascii="Times New Roman" w:eastAsia="仿宋_GB2312" w:hAnsi="Times New Roman" w:cs="Times New Roman" w:hint="eastAsia"/>
          <w:kern w:val="0"/>
          <w:sz w:val="32"/>
          <w:szCs w:val="32"/>
        </w:rPr>
        <w:t>万元，占比人员经费的</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）；公用经</w:t>
      </w:r>
      <w:r>
        <w:rPr>
          <w:rFonts w:ascii="Times New Roman" w:eastAsia="仿宋_GB2312" w:hAnsi="Times New Roman" w:cs="Times New Roman" w:hint="eastAsia"/>
          <w:kern w:val="0"/>
          <w:sz w:val="32"/>
          <w:szCs w:val="32"/>
        </w:rPr>
        <w:t>费</w:t>
      </w:r>
      <w:r>
        <w:rPr>
          <w:rFonts w:ascii="Times New Roman" w:eastAsia="仿宋_GB2312" w:hAnsi="Times New Roman" w:cs="Times New Roman" w:hint="eastAsia"/>
          <w:kern w:val="0"/>
          <w:sz w:val="32"/>
          <w:szCs w:val="32"/>
        </w:rPr>
        <w:t>29.05</w:t>
      </w:r>
      <w:r>
        <w:rPr>
          <w:rFonts w:ascii="Times New Roman" w:eastAsia="仿宋_GB2312" w:hAnsi="Times New Roman" w:cs="Times New Roman" w:hint="eastAsia"/>
          <w:kern w:val="0"/>
          <w:sz w:val="32"/>
          <w:szCs w:val="32"/>
        </w:rPr>
        <w:t>万元，占基本支出比为</w:t>
      </w:r>
      <w:r>
        <w:rPr>
          <w:rFonts w:ascii="Times New Roman" w:eastAsia="仿宋_GB2312" w:hAnsi="Times New Roman" w:cs="Times New Roman" w:hint="eastAsia"/>
          <w:kern w:val="0"/>
          <w:sz w:val="32"/>
          <w:szCs w:val="32"/>
        </w:rPr>
        <w:t>10.8%</w:t>
      </w:r>
      <w:r>
        <w:rPr>
          <w:rFonts w:ascii="Times New Roman" w:eastAsia="仿宋_GB2312" w:hAnsi="Times New Roman" w:cs="Times New Roman" w:hint="eastAsia"/>
          <w:kern w:val="0"/>
          <w:sz w:val="32"/>
          <w:szCs w:val="32"/>
        </w:rPr>
        <w:t>（其中办公费</w:t>
      </w:r>
      <w:r>
        <w:rPr>
          <w:rFonts w:ascii="Times New Roman" w:eastAsia="仿宋_GB2312" w:hAnsi="Times New Roman" w:cs="Times New Roman" w:hint="eastAsia"/>
          <w:kern w:val="0"/>
          <w:sz w:val="32"/>
          <w:szCs w:val="32"/>
        </w:rPr>
        <w:t>10.25</w:t>
      </w:r>
      <w:r>
        <w:rPr>
          <w:rFonts w:ascii="Times New Roman" w:eastAsia="仿宋_GB2312" w:hAnsi="Times New Roman" w:cs="Times New Roman" w:hint="eastAsia"/>
          <w:kern w:val="0"/>
          <w:sz w:val="32"/>
          <w:szCs w:val="32"/>
        </w:rPr>
        <w:t>万元，印刷费</w:t>
      </w:r>
      <w:r>
        <w:rPr>
          <w:rFonts w:ascii="Times New Roman" w:eastAsia="仿宋_GB2312" w:hAnsi="Times New Roman" w:cs="Times New Roman" w:hint="eastAsia"/>
          <w:kern w:val="0"/>
          <w:sz w:val="32"/>
          <w:szCs w:val="32"/>
        </w:rPr>
        <w:t>6.42</w:t>
      </w:r>
      <w:r>
        <w:rPr>
          <w:rFonts w:ascii="Times New Roman" w:eastAsia="仿宋_GB2312" w:hAnsi="Times New Roman" w:cs="Times New Roman" w:hint="eastAsia"/>
          <w:kern w:val="0"/>
          <w:sz w:val="32"/>
          <w:szCs w:val="32"/>
        </w:rPr>
        <w:t>万元，其他商品和服务支出</w:t>
      </w:r>
      <w:r>
        <w:rPr>
          <w:rFonts w:ascii="Times New Roman" w:eastAsia="仿宋_GB2312" w:hAnsi="Times New Roman" w:cs="Times New Roman" w:hint="eastAsia"/>
          <w:kern w:val="0"/>
          <w:sz w:val="32"/>
          <w:szCs w:val="32"/>
        </w:rPr>
        <w:t>6.51</w:t>
      </w:r>
      <w:r>
        <w:rPr>
          <w:rFonts w:ascii="Times New Roman" w:eastAsia="仿宋_GB2312" w:hAnsi="Times New Roman" w:cs="Times New Roman" w:hint="eastAsia"/>
          <w:kern w:val="0"/>
          <w:sz w:val="32"/>
          <w:szCs w:val="32"/>
        </w:rPr>
        <w:t>万元，手续费</w:t>
      </w:r>
      <w:r>
        <w:rPr>
          <w:rFonts w:ascii="Times New Roman" w:eastAsia="仿宋_GB2312" w:hAnsi="Times New Roman" w:cs="Times New Roman" w:hint="eastAsia"/>
          <w:kern w:val="0"/>
          <w:sz w:val="32"/>
          <w:szCs w:val="32"/>
        </w:rPr>
        <w:t>0.1</w:t>
      </w:r>
      <w:r>
        <w:rPr>
          <w:rFonts w:ascii="Times New Roman" w:eastAsia="仿宋_GB2312" w:hAnsi="Times New Roman" w:cs="Times New Roman" w:hint="eastAsia"/>
          <w:kern w:val="0"/>
          <w:sz w:val="32"/>
          <w:szCs w:val="32"/>
        </w:rPr>
        <w:t>万元，办公室会议用水费</w:t>
      </w:r>
      <w:r>
        <w:rPr>
          <w:rFonts w:ascii="Times New Roman" w:eastAsia="仿宋_GB2312" w:hAnsi="Times New Roman" w:cs="Times New Roman" w:hint="eastAsia"/>
          <w:kern w:val="0"/>
          <w:sz w:val="32"/>
          <w:szCs w:val="32"/>
        </w:rPr>
        <w:t>0.59</w:t>
      </w:r>
      <w:r>
        <w:rPr>
          <w:rFonts w:ascii="Times New Roman" w:eastAsia="仿宋_GB2312" w:hAnsi="Times New Roman" w:cs="Times New Roman" w:hint="eastAsia"/>
          <w:kern w:val="0"/>
          <w:sz w:val="32"/>
          <w:szCs w:val="32"/>
        </w:rPr>
        <w:t>万元，电话费</w:t>
      </w:r>
      <w:r>
        <w:rPr>
          <w:rFonts w:ascii="Times New Roman" w:eastAsia="仿宋_GB2312" w:hAnsi="Times New Roman" w:cs="Times New Roman" w:hint="eastAsia"/>
          <w:kern w:val="0"/>
          <w:sz w:val="32"/>
          <w:szCs w:val="32"/>
        </w:rPr>
        <w:t>0.84</w:t>
      </w:r>
      <w:r>
        <w:rPr>
          <w:rFonts w:ascii="Times New Roman" w:eastAsia="仿宋_GB2312" w:hAnsi="Times New Roman" w:cs="Times New Roman" w:hint="eastAsia"/>
          <w:kern w:val="0"/>
          <w:sz w:val="32"/>
          <w:szCs w:val="32"/>
        </w:rPr>
        <w:t>万元，差旅费</w:t>
      </w:r>
      <w:r>
        <w:rPr>
          <w:rFonts w:ascii="Times New Roman" w:eastAsia="仿宋_GB2312" w:hAnsi="Times New Roman" w:cs="Times New Roman" w:hint="eastAsia"/>
          <w:kern w:val="0"/>
          <w:sz w:val="32"/>
          <w:szCs w:val="32"/>
        </w:rPr>
        <w:t>1.88</w:t>
      </w:r>
      <w:r>
        <w:rPr>
          <w:rFonts w:ascii="Times New Roman" w:eastAsia="仿宋_GB2312" w:hAnsi="Times New Roman" w:cs="Times New Roman" w:hint="eastAsia"/>
          <w:kern w:val="0"/>
          <w:sz w:val="32"/>
          <w:szCs w:val="32"/>
        </w:rPr>
        <w:t>万元，会议及培训费</w:t>
      </w:r>
      <w:r>
        <w:rPr>
          <w:rFonts w:ascii="Times New Roman" w:eastAsia="仿宋_GB2312" w:hAnsi="Times New Roman" w:cs="Times New Roman" w:hint="eastAsia"/>
          <w:kern w:val="0"/>
          <w:sz w:val="32"/>
          <w:szCs w:val="32"/>
        </w:rPr>
        <w:t>0.39</w:t>
      </w:r>
      <w:r>
        <w:rPr>
          <w:rFonts w:ascii="Times New Roman" w:eastAsia="仿宋_GB2312" w:hAnsi="Times New Roman" w:cs="Times New Roman" w:hint="eastAsia"/>
          <w:kern w:val="0"/>
          <w:sz w:val="32"/>
          <w:szCs w:val="32"/>
        </w:rPr>
        <w:t>万元，劳务费</w:t>
      </w:r>
      <w:r>
        <w:rPr>
          <w:rFonts w:ascii="Times New Roman" w:eastAsia="仿宋_GB2312" w:hAnsi="Times New Roman" w:cs="Times New Roman" w:hint="eastAsia"/>
          <w:kern w:val="0"/>
          <w:sz w:val="32"/>
          <w:szCs w:val="32"/>
        </w:rPr>
        <w:t>0.69</w:t>
      </w:r>
      <w:r>
        <w:rPr>
          <w:rFonts w:ascii="Times New Roman" w:eastAsia="仿宋_GB2312" w:hAnsi="Times New Roman" w:cs="Times New Roman" w:hint="eastAsia"/>
          <w:kern w:val="0"/>
          <w:sz w:val="32"/>
          <w:szCs w:val="32"/>
        </w:rPr>
        <w:t>万元，工会经费</w:t>
      </w:r>
      <w:r>
        <w:rPr>
          <w:rFonts w:ascii="Times New Roman" w:eastAsia="仿宋_GB2312" w:hAnsi="Times New Roman" w:cs="Times New Roman" w:hint="eastAsia"/>
          <w:kern w:val="0"/>
          <w:sz w:val="32"/>
          <w:szCs w:val="32"/>
        </w:rPr>
        <w:t>0.94</w:t>
      </w:r>
      <w:r>
        <w:rPr>
          <w:rFonts w:ascii="Times New Roman" w:eastAsia="仿宋_GB2312" w:hAnsi="Times New Roman" w:cs="Times New Roman" w:hint="eastAsia"/>
          <w:kern w:val="0"/>
          <w:sz w:val="32"/>
          <w:szCs w:val="32"/>
        </w:rPr>
        <w:t>万元，其他交通费用</w:t>
      </w:r>
      <w:r>
        <w:rPr>
          <w:rFonts w:ascii="Times New Roman" w:eastAsia="仿宋_GB2312" w:hAnsi="Times New Roman" w:cs="Times New Roman" w:hint="eastAsia"/>
          <w:kern w:val="0"/>
          <w:sz w:val="32"/>
          <w:szCs w:val="32"/>
        </w:rPr>
        <w:t>0.45</w:t>
      </w:r>
      <w:r>
        <w:rPr>
          <w:rFonts w:ascii="Times New Roman" w:eastAsia="仿宋_GB2312" w:hAnsi="Times New Roman" w:cs="Times New Roman" w:hint="eastAsia"/>
          <w:kern w:val="0"/>
          <w:sz w:val="32"/>
          <w:szCs w:val="32"/>
        </w:rPr>
        <w:t>万元）</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经费支出决算情况说明</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经费财政拨款支出决算总体情况说明。</w:t>
      </w:r>
    </w:p>
    <w:p w:rsidR="00C8409A" w:rsidRDefault="006C1533">
      <w:pPr>
        <w:ind w:firstLineChars="200" w:firstLine="640"/>
        <w:rPr>
          <w:rFonts w:ascii="仿宋_GB2312" w:eastAsia="仿宋_GB2312" w:hAnsi="仿宋_GB2312" w:cs="仿宋_GB2312"/>
          <w:sz w:val="32"/>
          <w:szCs w:val="32"/>
        </w:rPr>
      </w:pPr>
      <w:r>
        <w:rPr>
          <w:rFonts w:eastAsia="仿宋_GB2312" w:hint="eastAsia"/>
          <w:bCs/>
          <w:kern w:val="0"/>
          <w:sz w:val="32"/>
          <w:szCs w:val="32"/>
        </w:rPr>
        <w:t>自</w:t>
      </w:r>
      <w:r>
        <w:rPr>
          <w:rFonts w:eastAsia="仿宋_GB2312" w:hint="eastAsia"/>
          <w:bCs/>
          <w:kern w:val="0"/>
          <w:sz w:val="32"/>
          <w:szCs w:val="32"/>
        </w:rPr>
        <w:t xml:space="preserve"> 2016</w:t>
      </w:r>
      <w:r>
        <w:rPr>
          <w:rFonts w:eastAsia="仿宋_GB2312" w:hint="eastAsia"/>
          <w:bCs/>
          <w:kern w:val="0"/>
          <w:sz w:val="32"/>
          <w:szCs w:val="32"/>
        </w:rPr>
        <w:t>年实行公务用车改革以来，所以公务用车购置及运行费预算及实际支出均为</w:t>
      </w:r>
      <w:r>
        <w:rPr>
          <w:rFonts w:eastAsia="仿宋_GB2312" w:hint="eastAsia"/>
          <w:bCs/>
          <w:kern w:val="0"/>
          <w:sz w:val="32"/>
          <w:szCs w:val="32"/>
        </w:rPr>
        <w:t>0</w:t>
      </w:r>
      <w:r>
        <w:rPr>
          <w:rFonts w:eastAsia="仿宋_GB2312" w:hint="eastAsia"/>
          <w:bCs/>
          <w:kern w:val="0"/>
          <w:sz w:val="32"/>
          <w:szCs w:val="32"/>
        </w:rPr>
        <w:t>，</w:t>
      </w:r>
      <w:r>
        <w:rPr>
          <w:rFonts w:eastAsia="仿宋_GB2312" w:hint="eastAsia"/>
          <w:bCs/>
          <w:kern w:val="0"/>
          <w:sz w:val="32"/>
          <w:szCs w:val="32"/>
        </w:rPr>
        <w:t>2017</w:t>
      </w:r>
      <w:r>
        <w:rPr>
          <w:rFonts w:eastAsia="仿宋_GB2312" w:hint="eastAsia"/>
          <w:bCs/>
          <w:kern w:val="0"/>
          <w:sz w:val="32"/>
          <w:szCs w:val="32"/>
        </w:rPr>
        <w:t>年公务接待费</w:t>
      </w:r>
      <w:r>
        <w:rPr>
          <w:rFonts w:eastAsia="仿宋_GB2312" w:hint="eastAsia"/>
          <w:bCs/>
          <w:kern w:val="0"/>
          <w:sz w:val="32"/>
          <w:szCs w:val="32"/>
        </w:rPr>
        <w:t>预算支出</w:t>
      </w:r>
      <w:r>
        <w:rPr>
          <w:rFonts w:eastAsia="仿宋_GB2312" w:hint="eastAsia"/>
          <w:bCs/>
          <w:kern w:val="0"/>
          <w:sz w:val="32"/>
          <w:szCs w:val="32"/>
        </w:rPr>
        <w:t>3</w:t>
      </w:r>
      <w:r>
        <w:rPr>
          <w:rFonts w:eastAsia="仿宋_GB2312" w:hint="eastAsia"/>
          <w:bCs/>
          <w:kern w:val="0"/>
          <w:sz w:val="32"/>
          <w:szCs w:val="32"/>
        </w:rPr>
        <w:t>万元，实际开支</w:t>
      </w:r>
      <w:r>
        <w:rPr>
          <w:rFonts w:eastAsia="仿宋_GB2312" w:hint="eastAsia"/>
          <w:bCs/>
          <w:kern w:val="0"/>
          <w:sz w:val="32"/>
          <w:szCs w:val="32"/>
        </w:rPr>
        <w:t>0.68</w:t>
      </w:r>
      <w:r>
        <w:rPr>
          <w:rFonts w:eastAsia="仿宋_GB2312" w:hint="eastAsia"/>
          <w:bCs/>
          <w:kern w:val="0"/>
          <w:sz w:val="32"/>
          <w:szCs w:val="32"/>
        </w:rPr>
        <w:t>万元，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年预算支出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万元，实际支出为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Pr>
          <w:rFonts w:eastAsia="仿宋_GB2312" w:hint="eastAsia"/>
          <w:bCs/>
          <w:kern w:val="0"/>
          <w:sz w:val="32"/>
          <w:szCs w:val="32"/>
        </w:rPr>
        <w:t>说明自十八大以来我单位逐年减少了公务接待开支，严格执行了国家政策和要求。</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经费财政拨款支出决算具体情况说明。</w:t>
      </w:r>
    </w:p>
    <w:p w:rsidR="00C8409A" w:rsidRDefault="006C1533">
      <w:pPr>
        <w:widowControl/>
        <w:spacing w:line="600" w:lineRule="exact"/>
        <w:ind w:firstLineChars="300" w:firstLine="96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因公出国（境）费支出及团组数及人数</w:t>
      </w:r>
      <w:r>
        <w:rPr>
          <w:rFonts w:ascii="Times New Roman" w:eastAsia="仿宋_GB2312" w:hAnsi="Times New Roman" w:cs="Times New Roman" w:hint="eastAsia"/>
          <w:kern w:val="0"/>
          <w:sz w:val="32"/>
          <w:szCs w:val="32"/>
        </w:rPr>
        <w:t>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；公务用车购置支出及购置数、运行费支出</w:t>
      </w:r>
      <w:r>
        <w:rPr>
          <w:rFonts w:ascii="Times New Roman" w:eastAsia="仿宋_GB2312" w:hAnsi="Times New Roman" w:cs="Times New Roman" w:hint="eastAsia"/>
          <w:kern w:val="0"/>
          <w:sz w:val="32"/>
          <w:szCs w:val="32"/>
        </w:rPr>
        <w:t>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；公务接待费支出及接待批次及人数</w:t>
      </w:r>
      <w:r>
        <w:rPr>
          <w:rFonts w:ascii="Times New Roman" w:eastAsia="仿宋_GB2312" w:hAnsi="Times New Roman" w:cs="Times New Roman" w:hint="eastAsia"/>
          <w:kern w:val="0"/>
          <w:sz w:val="32"/>
          <w:szCs w:val="32"/>
        </w:rPr>
        <w:t>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p>
    <w:p w:rsidR="00C8409A" w:rsidRDefault="006C153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八、政府性基金预算收入支出决算情况</w:t>
      </w:r>
    </w:p>
    <w:p w:rsidR="00C8409A" w:rsidRDefault="006C1533">
      <w:pPr>
        <w:widowControl/>
        <w:spacing w:line="600" w:lineRule="exact"/>
        <w:ind w:firstLineChars="400" w:firstLine="1280"/>
        <w:rPr>
          <w:rFonts w:ascii="Times New Roman" w:eastAsia="仿宋_GB2312" w:hAnsi="Times New Roman" w:cs="Times New Roman"/>
          <w:bCs/>
          <w:kern w:val="0"/>
          <w:sz w:val="32"/>
          <w:szCs w:val="32"/>
        </w:rPr>
      </w:pPr>
      <w:r>
        <w:rPr>
          <w:rFonts w:ascii="Times New Roman" w:eastAsia="仿宋_GB2312" w:hAnsi="Times New Roman" w:cs="Times New Roman" w:hint="eastAsia"/>
          <w:kern w:val="0"/>
          <w:sz w:val="32"/>
          <w:szCs w:val="32"/>
        </w:rPr>
        <w:t>本单位无政府性基金收支</w:t>
      </w:r>
      <w:r>
        <w:rPr>
          <w:rFonts w:ascii="Times New Roman" w:eastAsia="仿宋_GB2312" w:hAnsi="Times New Roman" w:cs="Times New Roman" w:hint="eastAsia"/>
          <w:kern w:val="0"/>
          <w:sz w:val="32"/>
          <w:szCs w:val="32"/>
        </w:rPr>
        <w:t>。</w:t>
      </w:r>
    </w:p>
    <w:p w:rsidR="00C8409A" w:rsidRDefault="006C1533">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九、关于</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年度预算绩效情况说明</w:t>
      </w:r>
    </w:p>
    <w:p w:rsidR="00C8409A" w:rsidRDefault="006C1533">
      <w:pPr>
        <w:pStyle w:val="a6"/>
        <w:spacing w:before="0" w:beforeAutospacing="0" w:after="0" w:afterAutospacing="0" w:line="448" w:lineRule="atLeast"/>
        <w:ind w:firstLineChars="300" w:firstLine="960"/>
        <w:jc w:val="both"/>
        <w:rPr>
          <w:rFonts w:ascii="仿宋_GB2312" w:eastAsia="仿宋_GB2312" w:hAnsi="仿宋" w:cs="仿宋"/>
          <w:kern w:val="2"/>
          <w:sz w:val="32"/>
          <w:szCs w:val="32"/>
        </w:rPr>
      </w:pPr>
      <w:r>
        <w:rPr>
          <w:rFonts w:ascii="仿宋_GB2312" w:eastAsia="仿宋_GB2312" w:hAnsi="仿宋" w:cs="仿宋" w:hint="eastAsia"/>
          <w:kern w:val="2"/>
          <w:sz w:val="32"/>
          <w:szCs w:val="32"/>
        </w:rPr>
        <w:t>1</w:t>
      </w:r>
      <w:r>
        <w:rPr>
          <w:rFonts w:ascii="仿宋_GB2312" w:eastAsia="仿宋_GB2312" w:hAnsi="仿宋" w:cs="仿宋" w:hint="eastAsia"/>
          <w:kern w:val="2"/>
          <w:sz w:val="32"/>
          <w:szCs w:val="32"/>
        </w:rPr>
        <w:t>、收入支出预算安排情况。</w:t>
      </w:r>
    </w:p>
    <w:p w:rsidR="00C8409A" w:rsidRDefault="006C1533" w:rsidP="00AE6E89">
      <w:pPr>
        <w:pStyle w:val="a6"/>
        <w:spacing w:before="0" w:beforeAutospacing="0" w:after="0" w:afterAutospacing="0" w:line="448" w:lineRule="atLeast"/>
        <w:ind w:firstLineChars="324" w:firstLine="1037"/>
        <w:jc w:val="both"/>
        <w:rPr>
          <w:rFonts w:ascii="仿宋_GB2312" w:eastAsia="仿宋_GB2312" w:hAnsi="仿宋" w:cs="仿宋"/>
          <w:kern w:val="2"/>
          <w:sz w:val="32"/>
          <w:szCs w:val="32"/>
        </w:rPr>
      </w:pPr>
      <w:r>
        <w:rPr>
          <w:rFonts w:ascii="仿宋_GB2312" w:eastAsia="仿宋_GB2312" w:hAnsi="仿宋" w:cs="仿宋" w:hint="eastAsia"/>
          <w:kern w:val="2"/>
          <w:sz w:val="32"/>
          <w:szCs w:val="32"/>
        </w:rPr>
        <w:t>本年度实际收入支出同最终调整预算数，本年度预算收入、预算支出均为</w:t>
      </w:r>
      <w:r>
        <w:rPr>
          <w:rFonts w:ascii="仿宋_GB2312" w:eastAsia="仿宋_GB2312" w:hAnsi="仿宋" w:cs="仿宋" w:hint="eastAsia"/>
          <w:kern w:val="2"/>
          <w:sz w:val="32"/>
          <w:szCs w:val="32"/>
        </w:rPr>
        <w:t>1799.43</w:t>
      </w:r>
      <w:r>
        <w:rPr>
          <w:rFonts w:ascii="仿宋_GB2312" w:eastAsia="仿宋_GB2312" w:hAnsi="仿宋" w:cs="仿宋" w:hint="eastAsia"/>
          <w:kern w:val="2"/>
          <w:sz w:val="32"/>
          <w:szCs w:val="32"/>
        </w:rPr>
        <w:t>万元，较上年增加预算</w:t>
      </w:r>
      <w:r>
        <w:rPr>
          <w:rFonts w:ascii="仿宋_GB2312" w:eastAsia="仿宋_GB2312" w:hAnsi="仿宋" w:cs="仿宋" w:hint="eastAsia"/>
          <w:kern w:val="2"/>
          <w:sz w:val="32"/>
          <w:szCs w:val="32"/>
        </w:rPr>
        <w:t>299.43</w:t>
      </w:r>
      <w:r>
        <w:rPr>
          <w:rFonts w:ascii="仿宋_GB2312" w:eastAsia="仿宋_GB2312" w:hAnsi="仿宋" w:cs="仿宋" w:hint="eastAsia"/>
          <w:kern w:val="2"/>
          <w:sz w:val="32"/>
          <w:szCs w:val="32"/>
        </w:rPr>
        <w:t>万元，本年度执行中最终调整预算收入支出为</w:t>
      </w:r>
      <w:r>
        <w:rPr>
          <w:rFonts w:ascii="仿宋_GB2312" w:eastAsia="仿宋_GB2312" w:hAnsi="仿宋" w:cs="仿宋" w:hint="eastAsia"/>
          <w:kern w:val="2"/>
          <w:sz w:val="32"/>
          <w:szCs w:val="32"/>
        </w:rPr>
        <w:t>1799.43</w:t>
      </w:r>
      <w:r>
        <w:rPr>
          <w:rFonts w:ascii="仿宋_GB2312" w:eastAsia="仿宋_GB2312" w:hAnsi="仿宋" w:cs="仿宋" w:hint="eastAsia"/>
          <w:kern w:val="2"/>
          <w:sz w:val="32"/>
          <w:szCs w:val="32"/>
        </w:rPr>
        <w:t>万元，是因为增加了疾病预防控制中心基建项目债券拨款</w:t>
      </w:r>
      <w:r>
        <w:rPr>
          <w:rFonts w:ascii="仿宋_GB2312" w:eastAsia="仿宋_GB2312" w:hAnsi="仿宋" w:cs="仿宋" w:hint="eastAsia"/>
          <w:kern w:val="2"/>
          <w:sz w:val="32"/>
          <w:szCs w:val="32"/>
        </w:rPr>
        <w:t>400</w:t>
      </w:r>
      <w:r>
        <w:rPr>
          <w:rFonts w:ascii="仿宋_GB2312" w:eastAsia="仿宋_GB2312" w:hAnsi="仿宋" w:cs="仿宋" w:hint="eastAsia"/>
          <w:kern w:val="2"/>
          <w:sz w:val="32"/>
          <w:szCs w:val="32"/>
        </w:rPr>
        <w:t>万元。较好的执行了预算要求。</w:t>
      </w:r>
    </w:p>
    <w:p w:rsidR="00C8409A" w:rsidRDefault="006C1533" w:rsidP="00AE6E89">
      <w:pPr>
        <w:pStyle w:val="a6"/>
        <w:spacing w:before="0" w:beforeAutospacing="0" w:after="0" w:afterAutospacing="0" w:line="448" w:lineRule="atLeast"/>
        <w:ind w:firstLineChars="324" w:firstLine="1037"/>
        <w:jc w:val="both"/>
        <w:rPr>
          <w:rFonts w:ascii="仿宋_GB2312" w:eastAsia="仿宋_GB2312" w:hAnsi="仿宋" w:cs="仿宋"/>
          <w:kern w:val="2"/>
          <w:sz w:val="32"/>
          <w:szCs w:val="32"/>
        </w:rPr>
      </w:pPr>
      <w:r>
        <w:rPr>
          <w:rFonts w:ascii="仿宋_GB2312" w:eastAsia="仿宋_GB2312" w:hAnsi="仿宋" w:cs="仿宋" w:hint="eastAsia"/>
          <w:kern w:val="2"/>
          <w:sz w:val="32"/>
          <w:szCs w:val="32"/>
        </w:rPr>
        <w:t>2</w:t>
      </w:r>
      <w:r>
        <w:rPr>
          <w:rFonts w:ascii="仿宋_GB2312" w:eastAsia="仿宋_GB2312" w:hAnsi="仿宋" w:cs="仿宋" w:hint="eastAsia"/>
          <w:kern w:val="2"/>
          <w:sz w:val="32"/>
          <w:szCs w:val="32"/>
        </w:rPr>
        <w:t>、收入支出预算执行情况。</w:t>
      </w:r>
    </w:p>
    <w:p w:rsidR="00C8409A" w:rsidRDefault="006C1533">
      <w:pPr>
        <w:ind w:firstLineChars="300" w:firstLine="960"/>
        <w:rPr>
          <w:rFonts w:ascii="仿宋_GB2312" w:eastAsia="仿宋_GB2312" w:hAnsi="仿宋_GB2312" w:cs="仿宋_GB2312"/>
          <w:sz w:val="32"/>
          <w:szCs w:val="32"/>
        </w:rPr>
      </w:pPr>
      <w:r>
        <w:rPr>
          <w:rFonts w:ascii="仿宋_GB2312" w:eastAsia="仿宋_GB2312" w:hAnsi="仿宋" w:cs="仿宋" w:hint="eastAsia"/>
          <w:sz w:val="32"/>
          <w:szCs w:val="32"/>
        </w:rPr>
        <w:t>当年收入支出预算与上年度对比情况：</w:t>
      </w:r>
      <w:r>
        <w:rPr>
          <w:rFonts w:ascii="仿宋_GB2312" w:eastAsia="仿宋_GB2312" w:hAnsi="仿宋" w:cs="仿宋" w:hint="eastAsia"/>
          <w:sz w:val="32"/>
          <w:szCs w:val="32"/>
        </w:rPr>
        <w:t xml:space="preserve"> 20</w:t>
      </w:r>
      <w:r>
        <w:rPr>
          <w:rFonts w:ascii="仿宋_GB2312" w:eastAsia="仿宋_GB2312" w:hAnsi="仿宋" w:cs="仿宋" w:hint="eastAsia"/>
          <w:sz w:val="32"/>
          <w:szCs w:val="32"/>
        </w:rPr>
        <w:t>17</w:t>
      </w:r>
      <w:r>
        <w:rPr>
          <w:rFonts w:ascii="仿宋_GB2312" w:eastAsia="仿宋_GB2312" w:hAnsi="仿宋" w:cs="仿宋" w:hint="eastAsia"/>
          <w:sz w:val="32"/>
          <w:szCs w:val="32"/>
        </w:rPr>
        <w:t>年总收入</w:t>
      </w:r>
      <w:r>
        <w:rPr>
          <w:rFonts w:ascii="仿宋_GB2312" w:eastAsia="仿宋_GB2312" w:hAnsi="仿宋" w:cs="仿宋" w:hint="eastAsia"/>
          <w:sz w:val="32"/>
          <w:szCs w:val="32"/>
        </w:rPr>
        <w:t>1671.18</w:t>
      </w:r>
      <w:r>
        <w:rPr>
          <w:rFonts w:ascii="仿宋_GB2312" w:eastAsia="仿宋_GB2312" w:hAnsi="仿宋" w:cs="仿宋" w:hint="eastAsia"/>
          <w:sz w:val="32"/>
          <w:szCs w:val="32"/>
        </w:rPr>
        <w:t>万元，</w:t>
      </w:r>
      <w:r>
        <w:rPr>
          <w:rFonts w:ascii="仿宋_GB2312" w:eastAsia="仿宋_GB2312" w:hAnsi="仿宋" w:cs="仿宋" w:hint="eastAsia"/>
          <w:sz w:val="32"/>
          <w:szCs w:val="32"/>
        </w:rPr>
        <w:t>2018</w:t>
      </w:r>
      <w:r>
        <w:rPr>
          <w:rFonts w:ascii="仿宋_GB2312" w:eastAsia="仿宋_GB2312" w:hAnsi="仿宋" w:cs="仿宋" w:hint="eastAsia"/>
          <w:sz w:val="32"/>
          <w:szCs w:val="32"/>
        </w:rPr>
        <w:t>年收入为</w:t>
      </w:r>
      <w:r>
        <w:rPr>
          <w:rFonts w:ascii="仿宋_GB2312" w:eastAsia="仿宋_GB2312" w:hAnsi="仿宋" w:cs="仿宋" w:hint="eastAsia"/>
          <w:sz w:val="32"/>
          <w:szCs w:val="32"/>
        </w:rPr>
        <w:t>1799.43</w:t>
      </w:r>
      <w:r>
        <w:rPr>
          <w:rFonts w:ascii="仿宋_GB2312" w:eastAsia="仿宋_GB2312" w:hAnsi="仿宋" w:cs="仿宋" w:hint="eastAsia"/>
          <w:sz w:val="32"/>
          <w:szCs w:val="32"/>
        </w:rPr>
        <w:t>万元，增加收入</w:t>
      </w:r>
      <w:r>
        <w:rPr>
          <w:rFonts w:ascii="仿宋_GB2312" w:eastAsia="仿宋_GB2312" w:hAnsi="仿宋" w:cs="仿宋" w:hint="eastAsia"/>
          <w:sz w:val="32"/>
          <w:szCs w:val="32"/>
        </w:rPr>
        <w:t>128.2</w:t>
      </w:r>
      <w:r>
        <w:rPr>
          <w:rFonts w:ascii="仿宋_GB2312" w:eastAsia="仿宋_GB2312" w:hAnsi="仿宋" w:cs="仿宋" w:hint="eastAsia"/>
          <w:sz w:val="32"/>
          <w:szCs w:val="32"/>
        </w:rPr>
        <w:t>万元，主要为今年有基建项目大额拨款收入；</w:t>
      </w:r>
      <w:r>
        <w:rPr>
          <w:rFonts w:ascii="仿宋_GB2312" w:eastAsia="仿宋_GB2312" w:hAnsi="仿宋" w:cs="仿宋" w:hint="eastAsia"/>
          <w:sz w:val="32"/>
          <w:szCs w:val="32"/>
        </w:rPr>
        <w:t>2017</w:t>
      </w:r>
      <w:r>
        <w:rPr>
          <w:rFonts w:ascii="仿宋_GB2312" w:eastAsia="仿宋_GB2312" w:hAnsi="仿宋" w:cs="仿宋" w:hint="eastAsia"/>
          <w:sz w:val="32"/>
          <w:szCs w:val="32"/>
        </w:rPr>
        <w:t>年总支出</w:t>
      </w:r>
      <w:r>
        <w:rPr>
          <w:rFonts w:ascii="仿宋_GB2312" w:eastAsia="仿宋_GB2312" w:hAnsi="仿宋" w:cs="仿宋" w:hint="eastAsia"/>
          <w:sz w:val="32"/>
          <w:szCs w:val="32"/>
        </w:rPr>
        <w:t>1639.43</w:t>
      </w:r>
      <w:r>
        <w:rPr>
          <w:rFonts w:ascii="仿宋_GB2312" w:eastAsia="仿宋_GB2312" w:hAnsi="仿宋" w:cs="仿宋" w:hint="eastAsia"/>
          <w:sz w:val="32"/>
          <w:szCs w:val="32"/>
        </w:rPr>
        <w:t>万元，</w:t>
      </w:r>
      <w:r>
        <w:rPr>
          <w:rFonts w:ascii="仿宋_GB2312" w:eastAsia="仿宋_GB2312" w:hAnsi="仿宋" w:cs="仿宋" w:hint="eastAsia"/>
          <w:sz w:val="32"/>
          <w:szCs w:val="32"/>
        </w:rPr>
        <w:t>2018</w:t>
      </w:r>
      <w:r>
        <w:rPr>
          <w:rFonts w:ascii="仿宋_GB2312" w:eastAsia="仿宋_GB2312" w:hAnsi="仿宋" w:cs="仿宋" w:hint="eastAsia"/>
          <w:sz w:val="32"/>
          <w:szCs w:val="32"/>
        </w:rPr>
        <w:t>年总支出</w:t>
      </w:r>
      <w:r>
        <w:rPr>
          <w:rFonts w:ascii="仿宋_GB2312" w:eastAsia="仿宋_GB2312" w:hAnsi="仿宋" w:cs="仿宋" w:hint="eastAsia"/>
          <w:sz w:val="32"/>
          <w:szCs w:val="32"/>
        </w:rPr>
        <w:t>1799.43</w:t>
      </w:r>
      <w:r>
        <w:rPr>
          <w:rFonts w:ascii="仿宋_GB2312" w:eastAsia="仿宋_GB2312" w:hAnsi="仿宋" w:cs="仿宋" w:hint="eastAsia"/>
          <w:sz w:val="32"/>
          <w:szCs w:val="32"/>
        </w:rPr>
        <w:t>万</w:t>
      </w:r>
      <w:r>
        <w:rPr>
          <w:rFonts w:ascii="仿宋_GB2312" w:eastAsia="仿宋_GB2312" w:hAnsi="仿宋" w:cs="仿宋" w:hint="eastAsia"/>
          <w:sz w:val="32"/>
          <w:szCs w:val="32"/>
        </w:rPr>
        <w:t>元，较上年度增加支出</w:t>
      </w:r>
      <w:r>
        <w:rPr>
          <w:rFonts w:ascii="仿宋_GB2312" w:eastAsia="仿宋_GB2312" w:hAnsi="仿宋" w:cs="仿宋" w:hint="eastAsia"/>
          <w:sz w:val="32"/>
          <w:szCs w:val="32"/>
        </w:rPr>
        <w:t>160</w:t>
      </w:r>
      <w:r>
        <w:rPr>
          <w:rFonts w:ascii="仿宋_GB2312" w:eastAsia="仿宋_GB2312" w:hAnsi="仿宋" w:cs="仿宋" w:hint="eastAsia"/>
          <w:sz w:val="32"/>
          <w:szCs w:val="32"/>
        </w:rPr>
        <w:t>万元，收入增加原因同支出增加原因。</w:t>
      </w:r>
      <w:r>
        <w:rPr>
          <w:rFonts w:ascii="仿宋_GB2312" w:eastAsia="仿宋_GB2312" w:hAnsi="仿宋" w:cs="仿宋" w:hint="eastAsia"/>
          <w:sz w:val="32"/>
          <w:szCs w:val="32"/>
        </w:rPr>
        <w:t>2017</w:t>
      </w:r>
      <w:r>
        <w:rPr>
          <w:rFonts w:ascii="仿宋_GB2312" w:eastAsia="仿宋_GB2312" w:hAnsi="仿宋" w:cs="仿宋" w:hint="eastAsia"/>
          <w:sz w:val="32"/>
          <w:szCs w:val="32"/>
        </w:rPr>
        <w:t>年度总支出</w:t>
      </w:r>
      <w:r>
        <w:rPr>
          <w:rFonts w:ascii="仿宋_GB2312" w:eastAsia="仿宋_GB2312" w:hAnsi="仿宋" w:cs="仿宋" w:hint="eastAsia"/>
          <w:sz w:val="32"/>
          <w:szCs w:val="32"/>
        </w:rPr>
        <w:t>1639.43</w:t>
      </w:r>
      <w:r>
        <w:rPr>
          <w:rFonts w:ascii="仿宋_GB2312" w:eastAsia="仿宋_GB2312" w:hAnsi="仿宋" w:cs="仿宋" w:hint="eastAsia"/>
          <w:sz w:val="32"/>
          <w:szCs w:val="32"/>
        </w:rPr>
        <w:t>万元，其中工资福利支出</w:t>
      </w:r>
      <w:r>
        <w:rPr>
          <w:rFonts w:ascii="仿宋_GB2312" w:eastAsia="仿宋_GB2312" w:hAnsi="仿宋" w:cs="仿宋" w:hint="eastAsia"/>
          <w:sz w:val="32"/>
          <w:szCs w:val="32"/>
        </w:rPr>
        <w:t>228.87</w:t>
      </w:r>
      <w:r>
        <w:rPr>
          <w:rFonts w:ascii="仿宋_GB2312" w:eastAsia="仿宋_GB2312" w:hAnsi="仿宋" w:cs="仿宋" w:hint="eastAsia"/>
          <w:sz w:val="32"/>
          <w:szCs w:val="32"/>
        </w:rPr>
        <w:t>万元，占比</w:t>
      </w:r>
      <w:r>
        <w:rPr>
          <w:rFonts w:ascii="仿宋_GB2312" w:eastAsia="仿宋_GB2312" w:hAnsi="仿宋" w:cs="仿宋" w:hint="eastAsia"/>
          <w:sz w:val="32"/>
          <w:szCs w:val="32"/>
        </w:rPr>
        <w:t>14%</w:t>
      </w:r>
      <w:r>
        <w:rPr>
          <w:rFonts w:ascii="仿宋_GB2312" w:eastAsia="仿宋_GB2312" w:hAnsi="仿宋" w:cs="仿宋" w:hint="eastAsia"/>
          <w:sz w:val="32"/>
          <w:szCs w:val="32"/>
        </w:rPr>
        <w:t>，商品和服务支出</w:t>
      </w:r>
      <w:r>
        <w:rPr>
          <w:rFonts w:ascii="仿宋_GB2312" w:eastAsia="仿宋_GB2312" w:hAnsi="仿宋" w:cs="仿宋" w:hint="eastAsia"/>
          <w:sz w:val="32"/>
          <w:szCs w:val="32"/>
        </w:rPr>
        <w:t>82.83</w:t>
      </w:r>
      <w:r>
        <w:rPr>
          <w:rFonts w:ascii="仿宋_GB2312" w:eastAsia="仿宋_GB2312" w:hAnsi="仿宋" w:cs="仿宋" w:hint="eastAsia"/>
          <w:sz w:val="32"/>
          <w:szCs w:val="32"/>
        </w:rPr>
        <w:t>万元，占比</w:t>
      </w:r>
      <w:r>
        <w:rPr>
          <w:rFonts w:ascii="仿宋_GB2312" w:eastAsia="仿宋_GB2312" w:hAnsi="仿宋" w:cs="仿宋" w:hint="eastAsia"/>
          <w:sz w:val="32"/>
          <w:szCs w:val="32"/>
        </w:rPr>
        <w:t>5%</w:t>
      </w:r>
      <w:r>
        <w:rPr>
          <w:rFonts w:ascii="仿宋_GB2312" w:eastAsia="仿宋_GB2312" w:hAnsi="仿宋" w:cs="仿宋" w:hint="eastAsia"/>
          <w:sz w:val="32"/>
          <w:szCs w:val="32"/>
        </w:rPr>
        <w:t>，</w:t>
      </w:r>
      <w:r>
        <w:rPr>
          <w:rFonts w:ascii="仿宋_GB2312" w:eastAsia="仿宋_GB2312" w:hAnsi="仿宋" w:cs="仿宋" w:hint="eastAsia"/>
          <w:sz w:val="32"/>
          <w:szCs w:val="32"/>
        </w:rPr>
        <w:t>对个人和家庭补助支出</w:t>
      </w:r>
      <w:r>
        <w:rPr>
          <w:rFonts w:ascii="仿宋_GB2312" w:eastAsia="仿宋_GB2312" w:hAnsi="仿宋" w:cs="仿宋" w:hint="eastAsia"/>
          <w:sz w:val="32"/>
          <w:szCs w:val="32"/>
        </w:rPr>
        <w:t>1092.87</w:t>
      </w:r>
      <w:r>
        <w:rPr>
          <w:rFonts w:ascii="仿宋_GB2312" w:eastAsia="仿宋_GB2312" w:hAnsi="仿宋" w:cs="仿宋" w:hint="eastAsia"/>
          <w:sz w:val="32"/>
          <w:szCs w:val="32"/>
        </w:rPr>
        <w:t>万</w:t>
      </w:r>
      <w:r>
        <w:rPr>
          <w:rFonts w:ascii="仿宋_GB2312" w:eastAsia="仿宋_GB2312" w:hAnsi="仿宋" w:cs="仿宋" w:hint="eastAsia"/>
          <w:sz w:val="32"/>
          <w:szCs w:val="32"/>
        </w:rPr>
        <w:t>元</w:t>
      </w:r>
      <w:r>
        <w:rPr>
          <w:rFonts w:ascii="仿宋_GB2312" w:eastAsia="仿宋_GB2312" w:hAnsi="仿宋" w:cs="仿宋" w:hint="eastAsia"/>
          <w:sz w:val="32"/>
          <w:szCs w:val="32"/>
        </w:rPr>
        <w:t>，占比</w:t>
      </w:r>
      <w:r>
        <w:rPr>
          <w:rFonts w:ascii="仿宋_GB2312" w:eastAsia="仿宋_GB2312" w:hAnsi="仿宋" w:cs="仿宋" w:hint="eastAsia"/>
          <w:sz w:val="32"/>
          <w:szCs w:val="32"/>
        </w:rPr>
        <w:t>67%</w:t>
      </w:r>
      <w:r>
        <w:rPr>
          <w:rFonts w:ascii="仿宋_GB2312" w:eastAsia="仿宋_GB2312" w:hAnsi="仿宋" w:cs="仿宋" w:hint="eastAsia"/>
          <w:sz w:val="32"/>
          <w:szCs w:val="32"/>
        </w:rPr>
        <w:t>，</w:t>
      </w:r>
      <w:r>
        <w:rPr>
          <w:rFonts w:ascii="仿宋_GB2312" w:eastAsia="仿宋_GB2312" w:hAnsi="仿宋" w:cs="仿宋" w:hint="eastAsia"/>
          <w:sz w:val="32"/>
          <w:szCs w:val="32"/>
        </w:rPr>
        <w:t>对企业单位的补贴</w:t>
      </w:r>
      <w:r>
        <w:rPr>
          <w:rFonts w:ascii="仿宋_GB2312" w:eastAsia="仿宋_GB2312" w:hAnsi="仿宋" w:cs="仿宋" w:hint="eastAsia"/>
          <w:sz w:val="32"/>
          <w:szCs w:val="32"/>
        </w:rPr>
        <w:t>234.86</w:t>
      </w:r>
      <w:r>
        <w:rPr>
          <w:rFonts w:ascii="仿宋_GB2312" w:eastAsia="仿宋_GB2312" w:hAnsi="仿宋" w:cs="仿宋" w:hint="eastAsia"/>
          <w:sz w:val="32"/>
          <w:szCs w:val="32"/>
        </w:rPr>
        <w:t>万元，占比</w:t>
      </w:r>
      <w:r>
        <w:rPr>
          <w:rFonts w:ascii="仿宋_GB2312" w:eastAsia="仿宋_GB2312" w:hAnsi="仿宋" w:cs="仿宋" w:hint="eastAsia"/>
          <w:sz w:val="32"/>
          <w:szCs w:val="32"/>
        </w:rPr>
        <w:t>14%</w:t>
      </w:r>
      <w:r>
        <w:rPr>
          <w:rFonts w:ascii="仿宋_GB2312" w:eastAsia="仿宋_GB2312" w:hAnsi="仿宋" w:cs="仿宋" w:hint="eastAsia"/>
          <w:sz w:val="32"/>
          <w:szCs w:val="32"/>
        </w:rPr>
        <w:t>。</w:t>
      </w:r>
    </w:p>
    <w:p w:rsidR="00C8409A" w:rsidRDefault="006C1533">
      <w:pPr>
        <w:ind w:firstLineChars="300" w:firstLine="960"/>
        <w:rPr>
          <w:rFonts w:ascii="仿宋_GB2312" w:eastAsia="仿宋_GB2312" w:hAnsi="仿宋_GB2312" w:cs="仿宋_GB2312"/>
          <w:sz w:val="32"/>
          <w:szCs w:val="32"/>
        </w:rPr>
      </w:pPr>
      <w:r>
        <w:rPr>
          <w:rFonts w:ascii="仿宋_GB2312" w:eastAsia="仿宋_GB2312" w:hAnsi="仿宋" w:cs="仿宋" w:hint="eastAsia"/>
          <w:sz w:val="32"/>
          <w:szCs w:val="32"/>
        </w:rPr>
        <w:lastRenderedPageBreak/>
        <w:t>2018</w:t>
      </w:r>
      <w:r>
        <w:rPr>
          <w:rFonts w:ascii="仿宋_GB2312" w:eastAsia="仿宋_GB2312" w:hAnsi="仿宋" w:cs="仿宋" w:hint="eastAsia"/>
          <w:sz w:val="32"/>
          <w:szCs w:val="32"/>
        </w:rPr>
        <w:t>年总支出</w:t>
      </w:r>
      <w:r>
        <w:rPr>
          <w:rFonts w:ascii="仿宋_GB2312" w:eastAsia="仿宋_GB2312" w:hAnsi="仿宋" w:cs="仿宋" w:hint="eastAsia"/>
          <w:sz w:val="32"/>
          <w:szCs w:val="32"/>
        </w:rPr>
        <w:t>1799.43</w:t>
      </w:r>
      <w:r>
        <w:rPr>
          <w:rFonts w:ascii="仿宋_GB2312" w:eastAsia="仿宋_GB2312" w:hAnsi="仿宋" w:cs="仿宋" w:hint="eastAsia"/>
          <w:sz w:val="32"/>
          <w:szCs w:val="32"/>
        </w:rPr>
        <w:t>万元，与</w:t>
      </w:r>
      <w:r>
        <w:rPr>
          <w:rFonts w:ascii="仿宋_GB2312" w:eastAsia="仿宋_GB2312" w:hAnsi="仿宋" w:cs="仿宋" w:hint="eastAsia"/>
          <w:sz w:val="32"/>
          <w:szCs w:val="32"/>
        </w:rPr>
        <w:t>2017</w:t>
      </w:r>
      <w:r>
        <w:rPr>
          <w:rFonts w:ascii="仿宋_GB2312" w:eastAsia="仿宋_GB2312" w:hAnsi="仿宋" w:cs="仿宋" w:hint="eastAsia"/>
          <w:sz w:val="32"/>
          <w:szCs w:val="32"/>
        </w:rPr>
        <w:t>年对比增长</w:t>
      </w:r>
      <w:r>
        <w:rPr>
          <w:rFonts w:ascii="仿宋_GB2312" w:eastAsia="仿宋_GB2312" w:hAnsi="仿宋" w:cs="仿宋" w:hint="eastAsia"/>
          <w:sz w:val="32"/>
          <w:szCs w:val="32"/>
        </w:rPr>
        <w:t>9%</w:t>
      </w:r>
      <w:r>
        <w:rPr>
          <w:rFonts w:ascii="仿宋_GB2312" w:eastAsia="仿宋_GB2312" w:hAnsi="仿宋" w:cs="仿宋" w:hint="eastAsia"/>
          <w:sz w:val="32"/>
          <w:szCs w:val="32"/>
        </w:rPr>
        <w:t>其中工资福利支出</w:t>
      </w:r>
      <w:r>
        <w:rPr>
          <w:rFonts w:ascii="仿宋_GB2312" w:eastAsia="仿宋_GB2312" w:hAnsi="仿宋" w:cs="仿宋" w:hint="eastAsia"/>
          <w:sz w:val="32"/>
          <w:szCs w:val="32"/>
        </w:rPr>
        <w:t>352.9</w:t>
      </w:r>
      <w:r>
        <w:rPr>
          <w:rFonts w:ascii="仿宋_GB2312" w:eastAsia="仿宋_GB2312" w:hAnsi="仿宋" w:cs="仿宋" w:hint="eastAsia"/>
          <w:sz w:val="32"/>
          <w:szCs w:val="32"/>
        </w:rPr>
        <w:t>万元，占比</w:t>
      </w:r>
      <w:r>
        <w:rPr>
          <w:rFonts w:ascii="仿宋_GB2312" w:eastAsia="仿宋_GB2312" w:hAnsi="仿宋" w:cs="仿宋" w:hint="eastAsia"/>
          <w:sz w:val="32"/>
          <w:szCs w:val="32"/>
        </w:rPr>
        <w:t>19.6%</w:t>
      </w:r>
      <w:r>
        <w:rPr>
          <w:rFonts w:ascii="仿宋_GB2312" w:eastAsia="仿宋_GB2312" w:hAnsi="仿宋" w:cs="仿宋" w:hint="eastAsia"/>
          <w:sz w:val="32"/>
          <w:szCs w:val="32"/>
        </w:rPr>
        <w:t>，与</w:t>
      </w:r>
      <w:r>
        <w:rPr>
          <w:rFonts w:ascii="仿宋_GB2312" w:eastAsia="仿宋_GB2312" w:hAnsi="仿宋" w:cs="仿宋" w:hint="eastAsia"/>
          <w:sz w:val="32"/>
          <w:szCs w:val="32"/>
        </w:rPr>
        <w:t>2017</w:t>
      </w:r>
      <w:r>
        <w:rPr>
          <w:rFonts w:ascii="仿宋_GB2312" w:eastAsia="仿宋_GB2312" w:hAnsi="仿宋" w:cs="仿宋" w:hint="eastAsia"/>
          <w:sz w:val="32"/>
          <w:szCs w:val="32"/>
        </w:rPr>
        <w:t>年对比增长</w:t>
      </w:r>
      <w:r>
        <w:rPr>
          <w:rFonts w:ascii="仿宋_GB2312" w:eastAsia="仿宋_GB2312" w:hAnsi="仿宋" w:cs="仿宋" w:hint="eastAsia"/>
          <w:sz w:val="32"/>
          <w:szCs w:val="32"/>
        </w:rPr>
        <w:t>42.3%</w:t>
      </w:r>
      <w:r>
        <w:rPr>
          <w:rFonts w:ascii="仿宋_GB2312" w:eastAsia="仿宋_GB2312" w:hAnsi="仿宋" w:cs="仿宋" w:hint="eastAsia"/>
          <w:sz w:val="32"/>
          <w:szCs w:val="32"/>
        </w:rPr>
        <w:t>，一是由于人员工资增长幅度较大，二是公立医院改革项目资金从此处列支；商品和服务支出</w:t>
      </w:r>
      <w:r>
        <w:rPr>
          <w:rFonts w:ascii="仿宋_GB2312" w:eastAsia="仿宋_GB2312" w:hAnsi="仿宋" w:cs="仿宋" w:hint="eastAsia"/>
          <w:sz w:val="32"/>
          <w:szCs w:val="32"/>
        </w:rPr>
        <w:t>164.</w:t>
      </w:r>
      <w:r>
        <w:rPr>
          <w:rFonts w:ascii="仿宋_GB2312" w:eastAsia="仿宋_GB2312" w:hAnsi="仿宋" w:cs="仿宋" w:hint="eastAsia"/>
          <w:sz w:val="32"/>
          <w:szCs w:val="32"/>
        </w:rPr>
        <w:t>21</w:t>
      </w:r>
      <w:r>
        <w:rPr>
          <w:rFonts w:ascii="仿宋_GB2312" w:eastAsia="仿宋_GB2312" w:hAnsi="仿宋" w:cs="仿宋" w:hint="eastAsia"/>
          <w:sz w:val="32"/>
          <w:szCs w:val="32"/>
        </w:rPr>
        <w:t>万元，占比</w:t>
      </w:r>
      <w:r>
        <w:rPr>
          <w:rFonts w:ascii="仿宋_GB2312" w:eastAsia="仿宋_GB2312" w:hAnsi="仿宋" w:cs="仿宋" w:hint="eastAsia"/>
          <w:sz w:val="32"/>
          <w:szCs w:val="32"/>
        </w:rPr>
        <w:t>9.2%</w:t>
      </w:r>
      <w:r>
        <w:rPr>
          <w:rFonts w:ascii="仿宋_GB2312" w:eastAsia="仿宋_GB2312" w:hAnsi="仿宋" w:cs="仿宋" w:hint="eastAsia"/>
          <w:sz w:val="32"/>
          <w:szCs w:val="32"/>
        </w:rPr>
        <w:t>，同比</w:t>
      </w:r>
      <w:r>
        <w:rPr>
          <w:rFonts w:ascii="仿宋_GB2312" w:eastAsia="仿宋_GB2312" w:hAnsi="仿宋" w:cs="仿宋" w:hint="eastAsia"/>
          <w:sz w:val="32"/>
          <w:szCs w:val="32"/>
        </w:rPr>
        <w:t>2017</w:t>
      </w:r>
      <w:r>
        <w:rPr>
          <w:rFonts w:ascii="仿宋_GB2312" w:eastAsia="仿宋_GB2312" w:hAnsi="仿宋" w:cs="仿宋" w:hint="eastAsia"/>
          <w:sz w:val="32"/>
          <w:szCs w:val="32"/>
        </w:rPr>
        <w:t>年增长</w:t>
      </w:r>
      <w:r>
        <w:rPr>
          <w:rFonts w:ascii="仿宋_GB2312" w:eastAsia="仿宋_GB2312" w:hAnsi="仿宋" w:cs="仿宋" w:hint="eastAsia"/>
          <w:sz w:val="32"/>
          <w:szCs w:val="32"/>
        </w:rPr>
        <w:t>99%</w:t>
      </w:r>
      <w:r>
        <w:rPr>
          <w:rFonts w:ascii="仿宋_GB2312" w:eastAsia="仿宋_GB2312" w:hAnsi="仿宋" w:cs="仿宋" w:hint="eastAsia"/>
          <w:sz w:val="32"/>
          <w:szCs w:val="32"/>
        </w:rPr>
        <w:t>，主要是因为爱卫办“灭四害”项目经费从此处列支。</w:t>
      </w:r>
      <w:r>
        <w:rPr>
          <w:rFonts w:ascii="仿宋_GB2312" w:eastAsia="仿宋_GB2312" w:hAnsi="仿宋" w:cs="仿宋" w:hint="eastAsia"/>
          <w:sz w:val="32"/>
          <w:szCs w:val="32"/>
        </w:rPr>
        <w:t>对个人和家庭补助支出</w:t>
      </w:r>
      <w:r>
        <w:rPr>
          <w:rFonts w:ascii="仿宋_GB2312" w:eastAsia="仿宋_GB2312" w:hAnsi="仿宋" w:cs="仿宋" w:hint="eastAsia"/>
          <w:sz w:val="32"/>
          <w:szCs w:val="32"/>
        </w:rPr>
        <w:t>882.32</w:t>
      </w:r>
      <w:r>
        <w:rPr>
          <w:rFonts w:ascii="仿宋_GB2312" w:eastAsia="仿宋_GB2312" w:hAnsi="仿宋" w:cs="仿宋" w:hint="eastAsia"/>
          <w:sz w:val="32"/>
          <w:szCs w:val="32"/>
        </w:rPr>
        <w:t>万</w:t>
      </w:r>
      <w:r>
        <w:rPr>
          <w:rFonts w:ascii="仿宋_GB2312" w:eastAsia="仿宋_GB2312" w:hAnsi="仿宋" w:cs="仿宋" w:hint="eastAsia"/>
          <w:sz w:val="32"/>
          <w:szCs w:val="32"/>
        </w:rPr>
        <w:t>元</w:t>
      </w:r>
      <w:r>
        <w:rPr>
          <w:rFonts w:ascii="仿宋_GB2312" w:eastAsia="仿宋_GB2312" w:hAnsi="仿宋" w:cs="仿宋" w:hint="eastAsia"/>
          <w:sz w:val="32"/>
          <w:szCs w:val="32"/>
        </w:rPr>
        <w:t>，占比</w:t>
      </w:r>
      <w:r>
        <w:rPr>
          <w:rFonts w:ascii="仿宋_GB2312" w:eastAsia="仿宋_GB2312" w:hAnsi="仿宋" w:cs="仿宋" w:hint="eastAsia"/>
          <w:sz w:val="32"/>
          <w:szCs w:val="32"/>
        </w:rPr>
        <w:t>49%</w:t>
      </w:r>
      <w:r>
        <w:rPr>
          <w:rFonts w:ascii="仿宋_GB2312" w:eastAsia="仿宋_GB2312" w:hAnsi="仿宋" w:cs="仿宋" w:hint="eastAsia"/>
          <w:sz w:val="32"/>
          <w:szCs w:val="32"/>
        </w:rPr>
        <w:t>，同比</w:t>
      </w:r>
      <w:r>
        <w:rPr>
          <w:rFonts w:ascii="仿宋_GB2312" w:eastAsia="仿宋_GB2312" w:hAnsi="仿宋" w:cs="仿宋" w:hint="eastAsia"/>
          <w:sz w:val="32"/>
          <w:szCs w:val="32"/>
        </w:rPr>
        <w:t>2017</w:t>
      </w:r>
      <w:r>
        <w:rPr>
          <w:rFonts w:ascii="仿宋_GB2312" w:eastAsia="仿宋_GB2312" w:hAnsi="仿宋" w:cs="仿宋" w:hint="eastAsia"/>
          <w:sz w:val="32"/>
          <w:szCs w:val="32"/>
        </w:rPr>
        <w:t>年度减少</w:t>
      </w:r>
      <w:r>
        <w:rPr>
          <w:rFonts w:ascii="仿宋_GB2312" w:eastAsia="仿宋_GB2312" w:hAnsi="仿宋" w:cs="仿宋" w:hint="eastAsia"/>
          <w:sz w:val="32"/>
          <w:szCs w:val="32"/>
        </w:rPr>
        <w:t>19%</w:t>
      </w:r>
      <w:r>
        <w:rPr>
          <w:rFonts w:ascii="仿宋_GB2312" w:eastAsia="仿宋_GB2312" w:hAnsi="仿宋" w:cs="仿宋" w:hint="eastAsia"/>
          <w:sz w:val="32"/>
          <w:szCs w:val="32"/>
        </w:rPr>
        <w:t>，是由于部分上级资金</w:t>
      </w:r>
      <w:r>
        <w:rPr>
          <w:rFonts w:ascii="仿宋_GB2312" w:eastAsia="仿宋_GB2312" w:hAnsi="仿宋" w:cs="仿宋" w:hint="eastAsia"/>
          <w:sz w:val="32"/>
          <w:szCs w:val="32"/>
        </w:rPr>
        <w:t>2019</w:t>
      </w:r>
      <w:r>
        <w:rPr>
          <w:rFonts w:ascii="仿宋_GB2312" w:eastAsia="仿宋_GB2312" w:hAnsi="仿宋" w:cs="仿宋" w:hint="eastAsia"/>
          <w:sz w:val="32"/>
          <w:szCs w:val="32"/>
        </w:rPr>
        <w:t>年才会到账，</w:t>
      </w:r>
      <w:r>
        <w:rPr>
          <w:rFonts w:ascii="仿宋_GB2312" w:eastAsia="仿宋_GB2312" w:hAnsi="仿宋" w:cs="仿宋" w:hint="eastAsia"/>
          <w:sz w:val="32"/>
          <w:szCs w:val="32"/>
        </w:rPr>
        <w:t>基本建设</w:t>
      </w:r>
      <w:r>
        <w:rPr>
          <w:rFonts w:ascii="仿宋_GB2312" w:eastAsia="仿宋_GB2312" w:hAnsi="仿宋" w:cs="仿宋" w:hint="eastAsia"/>
          <w:sz w:val="32"/>
          <w:szCs w:val="32"/>
        </w:rPr>
        <w:t>400</w:t>
      </w:r>
      <w:r>
        <w:rPr>
          <w:rFonts w:ascii="仿宋_GB2312" w:eastAsia="仿宋_GB2312" w:hAnsi="仿宋" w:cs="仿宋" w:hint="eastAsia"/>
          <w:sz w:val="32"/>
          <w:szCs w:val="32"/>
        </w:rPr>
        <w:t>万元，占比</w:t>
      </w:r>
      <w:r>
        <w:rPr>
          <w:rFonts w:ascii="仿宋_GB2312" w:eastAsia="仿宋_GB2312" w:hAnsi="仿宋" w:cs="仿宋" w:hint="eastAsia"/>
          <w:sz w:val="32"/>
          <w:szCs w:val="32"/>
        </w:rPr>
        <w:t>22.2%</w:t>
      </w:r>
      <w:r>
        <w:rPr>
          <w:rFonts w:ascii="仿宋_GB2312" w:eastAsia="仿宋_GB2312" w:hAnsi="仿宋" w:cs="仿宋" w:hint="eastAsia"/>
          <w:sz w:val="32"/>
          <w:szCs w:val="32"/>
        </w:rPr>
        <w:t>，上年无该笔资金。</w:t>
      </w:r>
    </w:p>
    <w:p w:rsidR="00C8409A" w:rsidRDefault="006C1533">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十、其他重要事项</w:t>
      </w:r>
    </w:p>
    <w:p w:rsidR="00C8409A" w:rsidRDefault="006C1533">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（一）机关运行经费支出情况。本部门</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年度机关运行经费支出</w:t>
      </w:r>
      <w:r>
        <w:rPr>
          <w:rFonts w:ascii="Times New Roman" w:eastAsia="仿宋_GB2312" w:hAnsi="Times New Roman" w:cs="Times New Roman" w:hint="eastAsia"/>
          <w:kern w:val="0"/>
          <w:sz w:val="32"/>
          <w:szCs w:val="32"/>
        </w:rPr>
        <w:t>29.05</w:t>
      </w:r>
      <w:r>
        <w:rPr>
          <w:rFonts w:ascii="Times New Roman" w:eastAsia="仿宋_GB2312" w:hAnsi="Times New Roman" w:cs="Times New Roman"/>
          <w:kern w:val="0"/>
          <w:sz w:val="32"/>
          <w:szCs w:val="32"/>
        </w:rPr>
        <w:t>万元，比</w:t>
      </w:r>
      <w:r>
        <w:rPr>
          <w:rFonts w:ascii="Times New Roman" w:eastAsia="仿宋_GB2312" w:hAnsi="Times New Roman" w:cs="Times New Roman" w:hint="eastAsia"/>
          <w:kern w:val="0"/>
          <w:sz w:val="32"/>
          <w:szCs w:val="32"/>
        </w:rPr>
        <w:t>年初预算数</w:t>
      </w:r>
      <w:r>
        <w:rPr>
          <w:rFonts w:ascii="Times New Roman" w:eastAsia="仿宋_GB2312" w:hAnsi="Times New Roman" w:cs="Times New Roman" w:hint="eastAsia"/>
          <w:kern w:val="0"/>
          <w:sz w:val="32"/>
          <w:szCs w:val="32"/>
        </w:rPr>
        <w:t>减少了</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降低</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。主要原因是：</w:t>
      </w:r>
      <w:r>
        <w:rPr>
          <w:rFonts w:ascii="Times New Roman" w:eastAsia="仿宋_GB2312" w:hAnsi="Times New Roman" w:cs="Times New Roman" w:hint="eastAsia"/>
          <w:kern w:val="0"/>
          <w:sz w:val="32"/>
          <w:szCs w:val="32"/>
        </w:rPr>
        <w:t>严格执行十八大以来的政策要求，</w:t>
      </w:r>
      <w:r w:rsidR="00AE6E89">
        <w:rPr>
          <w:rFonts w:ascii="Times New Roman" w:eastAsia="仿宋_GB2312" w:hAnsi="Times New Roman" w:cs="Times New Roman" w:hint="eastAsia"/>
          <w:kern w:val="0"/>
          <w:sz w:val="32"/>
          <w:szCs w:val="32"/>
        </w:rPr>
        <w:t>厉行节约</w:t>
      </w:r>
      <w:r>
        <w:rPr>
          <w:rFonts w:ascii="Times New Roman" w:eastAsia="仿宋_GB2312" w:hAnsi="Times New Roman" w:cs="Times New Roman" w:hint="eastAsia"/>
          <w:kern w:val="0"/>
          <w:sz w:val="32"/>
          <w:szCs w:val="32"/>
        </w:rPr>
        <w:t>原则</w:t>
      </w:r>
      <w:r>
        <w:rPr>
          <w:rFonts w:ascii="Times New Roman" w:eastAsia="仿宋_GB2312" w:hAnsi="Times New Roman" w:cs="Times New Roman" w:hint="eastAsia"/>
          <w:kern w:val="0"/>
          <w:sz w:val="32"/>
          <w:szCs w:val="32"/>
        </w:rPr>
        <w:t>。</w:t>
      </w:r>
    </w:p>
    <w:p w:rsidR="00C8409A" w:rsidRDefault="006C1533">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（二）政府采购支出情况。本部门</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年度政府采购支出总额</w:t>
      </w:r>
      <w:r>
        <w:rPr>
          <w:rFonts w:ascii="Times New Roman" w:eastAsia="仿宋_GB2312" w:hAnsi="Times New Roman" w:cs="Times New Roman" w:hint="eastAsia"/>
          <w:kern w:val="0"/>
          <w:sz w:val="32"/>
          <w:szCs w:val="32"/>
        </w:rPr>
        <w:t>79</w:t>
      </w:r>
      <w:r>
        <w:rPr>
          <w:rFonts w:ascii="Times New Roman" w:eastAsia="仿宋_GB2312" w:hAnsi="Times New Roman" w:cs="Times New Roman"/>
          <w:kern w:val="0"/>
          <w:sz w:val="32"/>
          <w:szCs w:val="32"/>
        </w:rPr>
        <w:t>万元，其中：政府采购货物支出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万元、政府采购工程支出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万元、政府采购服务支出</w:t>
      </w:r>
      <w:r>
        <w:rPr>
          <w:rFonts w:ascii="Times New Roman" w:eastAsia="仿宋_GB2312" w:hAnsi="Times New Roman" w:cs="Times New Roman" w:hint="eastAsia"/>
          <w:kern w:val="0"/>
          <w:sz w:val="32"/>
          <w:szCs w:val="32"/>
        </w:rPr>
        <w:t>79</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（为爱卫办灭四害项目服务支出）</w:t>
      </w:r>
      <w:r>
        <w:rPr>
          <w:rFonts w:ascii="Times New Roman" w:eastAsia="仿宋_GB2312" w:hAnsi="Times New Roman" w:cs="Times New Roman"/>
          <w:kern w:val="0"/>
          <w:sz w:val="32"/>
          <w:szCs w:val="32"/>
        </w:rPr>
        <w:t>。授予中小企业合同金额</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万元，其中：授予小微企业合同金额</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万元，占政府采购支出金额的</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C8409A" w:rsidRDefault="006C1533">
      <w:pPr>
        <w:autoSpaceDE w:val="0"/>
        <w:autoSpaceDN w:val="0"/>
        <w:adjustRightInd w:val="0"/>
        <w:spacing w:line="600" w:lineRule="exact"/>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（三）国有资产占用情况。截至</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12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31 </w:t>
      </w:r>
      <w:r>
        <w:rPr>
          <w:rFonts w:ascii="Times New Roman" w:eastAsia="仿宋_GB2312" w:hAnsi="Times New Roman" w:cs="Times New Roman"/>
          <w:kern w:val="0"/>
          <w:sz w:val="32"/>
          <w:szCs w:val="32"/>
        </w:rPr>
        <w:t>日，本部门共有车辆</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辆，其中，部级领导干部用车</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辆、一般公务用车</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辆、一般执法执勤用车</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辆、特种专业技术用车</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lastRenderedPageBreak/>
        <w:t>辆、其他用车</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辆；单位价值</w:t>
      </w:r>
      <w:r>
        <w:rPr>
          <w:rFonts w:ascii="Times New Roman" w:eastAsia="仿宋_GB2312" w:hAnsi="Times New Roman" w:cs="Times New Roman"/>
          <w:kern w:val="0"/>
          <w:sz w:val="32"/>
          <w:szCs w:val="32"/>
        </w:rPr>
        <w:t xml:space="preserve">50 </w:t>
      </w:r>
      <w:r>
        <w:rPr>
          <w:rFonts w:ascii="Times New Roman" w:eastAsia="仿宋_GB2312" w:hAnsi="Times New Roman" w:cs="Times New Roman"/>
          <w:kern w:val="0"/>
          <w:sz w:val="32"/>
          <w:szCs w:val="32"/>
        </w:rPr>
        <w:t>万元以上通用设备</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台（套），单价</w:t>
      </w:r>
      <w:r>
        <w:rPr>
          <w:rFonts w:ascii="Times New Roman" w:eastAsia="仿宋_GB2312" w:hAnsi="Times New Roman" w:cs="Times New Roman"/>
          <w:kern w:val="0"/>
          <w:sz w:val="32"/>
          <w:szCs w:val="32"/>
        </w:rPr>
        <w:t xml:space="preserve">100 </w:t>
      </w:r>
      <w:r>
        <w:rPr>
          <w:rFonts w:ascii="Times New Roman" w:eastAsia="仿宋_GB2312" w:hAnsi="Times New Roman" w:cs="Times New Roman"/>
          <w:kern w:val="0"/>
          <w:sz w:val="32"/>
          <w:szCs w:val="32"/>
        </w:rPr>
        <w:t>万元以上专用设备</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台（套）。</w:t>
      </w:r>
    </w:p>
    <w:p w:rsidR="00C8409A" w:rsidRDefault="006C1533">
      <w:pPr>
        <w:widowControl/>
        <w:spacing w:line="600" w:lineRule="exact"/>
        <w:rPr>
          <w:rFonts w:ascii="仿宋_GB2312" w:eastAsia="仿宋_GB2312" w:hAnsi="Times New Roman" w:cs="Times New Roman"/>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名词解释</w:t>
      </w:r>
    </w:p>
    <w:p w:rsidR="00C8409A" w:rsidRDefault="00C8409A">
      <w:pPr>
        <w:spacing w:line="600" w:lineRule="exact"/>
        <w:rPr>
          <w:rFonts w:ascii="Times New Roman" w:eastAsia="黑体" w:hAnsi="Times New Roman" w:cs="Times New Roman"/>
          <w:sz w:val="28"/>
          <w:szCs w:val="28"/>
        </w:rPr>
      </w:pPr>
    </w:p>
    <w:p w:rsidR="00C8409A" w:rsidRDefault="00C8409A"/>
    <w:sectPr w:rsidR="00C8409A" w:rsidSect="00C840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33" w:rsidRDefault="006C1533" w:rsidP="00C8409A">
      <w:r>
        <w:separator/>
      </w:r>
    </w:p>
  </w:endnote>
  <w:endnote w:type="continuationSeparator" w:id="0">
    <w:p w:rsidR="006C1533" w:rsidRDefault="006C1533" w:rsidP="00C84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altName w:val="华文细黑"/>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C8409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6C1533">
    <w:pPr>
      <w:pStyle w:val="a4"/>
      <w:ind w:firstLine="482"/>
      <w:jc w:val="center"/>
    </w:pPr>
    <w:r>
      <w:rPr>
        <w:rFonts w:hint="eastAsia"/>
        <w:b/>
        <w:sz w:val="24"/>
        <w:szCs w:val="24"/>
      </w:rPr>
      <w:t>－</w:t>
    </w:r>
    <w:r w:rsidR="00C8409A">
      <w:rPr>
        <w:rFonts w:ascii="Arial" w:hAnsi="Arial" w:cs="Arial"/>
        <w:b/>
        <w:sz w:val="21"/>
        <w:szCs w:val="21"/>
      </w:rPr>
      <w:fldChar w:fldCharType="begin"/>
    </w:r>
    <w:r>
      <w:rPr>
        <w:rFonts w:ascii="Arial" w:hAnsi="Arial" w:cs="Arial"/>
        <w:b/>
        <w:sz w:val="21"/>
        <w:szCs w:val="21"/>
      </w:rPr>
      <w:instrText>PAGE</w:instrText>
    </w:r>
    <w:r w:rsidR="00C8409A">
      <w:rPr>
        <w:rFonts w:ascii="Arial" w:hAnsi="Arial" w:cs="Arial"/>
        <w:b/>
        <w:sz w:val="21"/>
        <w:szCs w:val="21"/>
      </w:rPr>
      <w:fldChar w:fldCharType="separate"/>
    </w:r>
    <w:r w:rsidR="00AE6E89">
      <w:rPr>
        <w:rFonts w:ascii="Arial" w:hAnsi="Arial" w:cs="Arial"/>
        <w:b/>
        <w:noProof/>
        <w:sz w:val="21"/>
        <w:szCs w:val="21"/>
      </w:rPr>
      <w:t>1</w:t>
    </w:r>
    <w:r w:rsidR="00C8409A">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C8409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33" w:rsidRDefault="006C1533" w:rsidP="00C8409A">
      <w:r>
        <w:separator/>
      </w:r>
    </w:p>
  </w:footnote>
  <w:footnote w:type="continuationSeparator" w:id="0">
    <w:p w:rsidR="006C1533" w:rsidRDefault="006C1533" w:rsidP="00C8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C8409A">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C8409A">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A" w:rsidRDefault="00C8409A">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1533"/>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AE6E89"/>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8409A"/>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81A7D5C"/>
    <w:rsid w:val="08D44E3B"/>
    <w:rsid w:val="0B94583F"/>
    <w:rsid w:val="14330112"/>
    <w:rsid w:val="19DA56D0"/>
    <w:rsid w:val="1BC325EE"/>
    <w:rsid w:val="216C75E1"/>
    <w:rsid w:val="264B5CB6"/>
    <w:rsid w:val="2A5075F8"/>
    <w:rsid w:val="2C7B3EF6"/>
    <w:rsid w:val="2F494A1C"/>
    <w:rsid w:val="338E59FF"/>
    <w:rsid w:val="36B113A4"/>
    <w:rsid w:val="37D24469"/>
    <w:rsid w:val="3B453143"/>
    <w:rsid w:val="3F322559"/>
    <w:rsid w:val="431144C9"/>
    <w:rsid w:val="488168B0"/>
    <w:rsid w:val="4BD925EA"/>
    <w:rsid w:val="540614BA"/>
    <w:rsid w:val="54FC5FD4"/>
    <w:rsid w:val="56BD65D4"/>
    <w:rsid w:val="5D3A5BD6"/>
    <w:rsid w:val="65242B60"/>
    <w:rsid w:val="6D0B318C"/>
    <w:rsid w:val="7642058C"/>
    <w:rsid w:val="7769051B"/>
    <w:rsid w:val="78DA5307"/>
    <w:rsid w:val="7A8F5F72"/>
    <w:rsid w:val="7DC95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9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409A"/>
    <w:rPr>
      <w:sz w:val="18"/>
      <w:szCs w:val="18"/>
    </w:rPr>
  </w:style>
  <w:style w:type="paragraph" w:styleId="a4">
    <w:name w:val="footer"/>
    <w:basedOn w:val="a"/>
    <w:link w:val="Char0"/>
    <w:uiPriority w:val="99"/>
    <w:unhideWhenUsed/>
    <w:qFormat/>
    <w:rsid w:val="00C8409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8409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8409A"/>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sid w:val="00C8409A"/>
    <w:rPr>
      <w:sz w:val="18"/>
      <w:szCs w:val="18"/>
    </w:rPr>
  </w:style>
  <w:style w:type="character" w:customStyle="1" w:styleId="Char0">
    <w:name w:val="页脚 Char"/>
    <w:basedOn w:val="a0"/>
    <w:link w:val="a4"/>
    <w:uiPriority w:val="99"/>
    <w:rsid w:val="00C8409A"/>
    <w:rPr>
      <w:sz w:val="18"/>
      <w:szCs w:val="18"/>
    </w:rPr>
  </w:style>
  <w:style w:type="character" w:customStyle="1" w:styleId="Char">
    <w:name w:val="批注框文本 Char"/>
    <w:basedOn w:val="a0"/>
    <w:link w:val="a3"/>
    <w:uiPriority w:val="99"/>
    <w:semiHidden/>
    <w:rsid w:val="00C8409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788</Words>
  <Characters>4496</Characters>
  <Application>Microsoft Office Word</Application>
  <DocSecurity>0</DocSecurity>
  <Lines>37</Lines>
  <Paragraphs>10</Paragraphs>
  <ScaleCrop>false</ScaleCrop>
  <Company>Microsoft</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周亮辉 10.104.93.85</dc:creator>
  <cp:lastModifiedBy>xbany</cp:lastModifiedBy>
  <cp:revision>3</cp:revision>
  <dcterms:created xsi:type="dcterms:W3CDTF">2019-08-09T02:13:00Z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