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73DF197" w14:textId="77777777" w:rsidR="003206F9" w:rsidRDefault="003206F9">
      <w:pPr>
        <w:jc w:val="center"/>
        <w:rPr>
          <w:rFonts w:ascii="黑体" w:eastAsia="黑体" w:cs="黑体"/>
          <w:color w:val="000000"/>
          <w:kern w:val="0"/>
          <w:sz w:val="32"/>
          <w:szCs w:val="32"/>
        </w:rPr>
      </w:pPr>
    </w:p>
    <w:p w14:paraId="67E46B80" w14:textId="77777777" w:rsidR="003206F9" w:rsidRDefault="002E4262">
      <w:pPr>
        <w:jc w:val="center"/>
        <w:rPr>
          <w:rFonts w:ascii="方正小标宋_GBK" w:eastAsia="方正小标宋_GBK" w:hAnsi="方正小标宋_GBK" w:cs="方正小标宋_GBK"/>
          <w:b/>
          <w:color w:val="000000"/>
          <w:kern w:val="0"/>
          <w:sz w:val="44"/>
          <w:szCs w:val="44"/>
        </w:rPr>
      </w:pPr>
      <w:r>
        <w:rPr>
          <w:rFonts w:ascii="方正小标宋_GBK" w:eastAsia="方正小标宋_GBK" w:hAnsi="方正小标宋_GBK" w:cs="方正小标宋_GBK" w:hint="eastAsia"/>
          <w:b/>
          <w:color w:val="000000"/>
          <w:kern w:val="0"/>
          <w:sz w:val="44"/>
          <w:szCs w:val="44"/>
        </w:rPr>
        <w:t>中共雁峰区委巡察工作领导小组办公室</w:t>
      </w:r>
    </w:p>
    <w:p w14:paraId="0157638E" w14:textId="77777777" w:rsidR="003206F9" w:rsidRDefault="002E4262">
      <w:pPr>
        <w:jc w:val="center"/>
        <w:rPr>
          <w:rFonts w:ascii="方正小标宋_GBK" w:eastAsia="方正小标宋_GBK" w:hAnsi="方正小标宋_GBK" w:cs="方正小标宋_GBK"/>
          <w:b/>
          <w:color w:val="000000"/>
          <w:kern w:val="0"/>
          <w:sz w:val="44"/>
          <w:szCs w:val="44"/>
        </w:rPr>
      </w:pPr>
      <w:r>
        <w:rPr>
          <w:rFonts w:ascii="方正小标宋_GBK" w:eastAsia="方正小标宋_GBK" w:hAnsi="方正小标宋_GBK" w:cs="方正小标宋_GBK" w:hint="eastAsia"/>
          <w:b/>
          <w:color w:val="000000"/>
          <w:kern w:val="0"/>
          <w:sz w:val="44"/>
          <w:szCs w:val="44"/>
        </w:rPr>
        <w:t>2023</w:t>
      </w:r>
      <w:r>
        <w:rPr>
          <w:rFonts w:ascii="方正小标宋_GBK" w:eastAsia="方正小标宋_GBK" w:hAnsi="方正小标宋_GBK" w:cs="方正小标宋_GBK" w:hint="eastAsia"/>
          <w:b/>
          <w:color w:val="000000"/>
          <w:kern w:val="0"/>
          <w:sz w:val="44"/>
          <w:szCs w:val="44"/>
        </w:rPr>
        <w:t>年度部门整体支出绩效自评报告</w:t>
      </w:r>
    </w:p>
    <w:p w14:paraId="778DC7E0" w14:textId="7212F0B5"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根据《中华人民共和国</w:t>
      </w:r>
      <w:r>
        <w:rPr>
          <w:rStyle w:val="NormalCharacter"/>
          <w:rFonts w:ascii="仿宋_GB2312" w:eastAsia="仿宋_GB2312" w:hAnsi="仿宋_GB2312" w:cs="仿宋_GB2312" w:hint="eastAsia"/>
          <w:sz w:val="32"/>
          <w:szCs w:val="32"/>
        </w:rPr>
        <w:t>预算法》有关“各级政府、各部门、各单位应当对预算支出情况开展绩效评价</w:t>
      </w:r>
      <w:bookmarkStart w:id="0" w:name="_GoBack"/>
      <w:bookmarkEnd w:id="0"/>
      <w:r>
        <w:rPr>
          <w:rStyle w:val="NormalCharacter"/>
          <w:rFonts w:ascii="仿宋_GB2312" w:eastAsia="仿宋_GB2312" w:hAnsi="仿宋_GB2312" w:cs="仿宋_GB2312" w:hint="eastAsia"/>
          <w:sz w:val="32"/>
          <w:szCs w:val="32"/>
        </w:rPr>
        <w:t>”的规定，结合实际情况，我办对</w:t>
      </w:r>
      <w:r>
        <w:rPr>
          <w:rStyle w:val="NormalCharacter"/>
          <w:rFonts w:ascii="仿宋_GB2312" w:eastAsia="仿宋_GB2312" w:hAnsi="仿宋_GB2312" w:cs="仿宋_GB2312" w:hint="eastAsia"/>
          <w:sz w:val="32"/>
          <w:szCs w:val="32"/>
        </w:rPr>
        <w:t>2023</w:t>
      </w:r>
      <w:r>
        <w:rPr>
          <w:rStyle w:val="NormalCharacter"/>
          <w:rFonts w:ascii="仿宋_GB2312" w:eastAsia="仿宋_GB2312" w:hAnsi="仿宋_GB2312" w:cs="仿宋_GB2312" w:hint="eastAsia"/>
          <w:sz w:val="32"/>
          <w:szCs w:val="32"/>
        </w:rPr>
        <w:t>年度部门整体支出进行了绩效自评，现报告如下：</w:t>
      </w:r>
    </w:p>
    <w:p w14:paraId="43BA3AFC"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黑体" w:eastAsia="黑体" w:hAnsi="黑体" w:cs="黑体" w:hint="eastAsia"/>
          <w:bCs/>
          <w:color w:val="000000"/>
          <w:kern w:val="0"/>
          <w:sz w:val="32"/>
          <w:szCs w:val="32"/>
        </w:rPr>
        <w:t>一、基本情况</w:t>
      </w:r>
    </w:p>
    <w:p w14:paraId="009FCC0C" w14:textId="77777777" w:rsidR="003206F9" w:rsidRDefault="002E4262">
      <w:pPr>
        <w:ind w:firstLineChars="200" w:firstLine="640"/>
        <w:rPr>
          <w:rFonts w:ascii="楷体_GB2312" w:eastAsia="楷体_GB2312" w:hAnsi="楷体_GB2312" w:cs="楷体_GB2312"/>
          <w:b/>
          <w:color w:val="000000"/>
          <w:kern w:val="0"/>
          <w:sz w:val="32"/>
          <w:szCs w:val="32"/>
        </w:rPr>
      </w:pPr>
      <w:r>
        <w:rPr>
          <w:rFonts w:ascii="楷体_GB2312" w:eastAsia="楷体_GB2312" w:hAnsi="楷体_GB2312" w:cs="楷体_GB2312" w:hint="eastAsia"/>
          <w:b/>
          <w:color w:val="000000"/>
          <w:kern w:val="0"/>
          <w:sz w:val="32"/>
          <w:szCs w:val="32"/>
        </w:rPr>
        <w:t>1</w:t>
      </w:r>
      <w:r>
        <w:rPr>
          <w:rFonts w:ascii="楷体_GB2312" w:eastAsia="楷体_GB2312" w:hAnsi="楷体_GB2312" w:cs="楷体_GB2312" w:hint="eastAsia"/>
          <w:b/>
          <w:color w:val="000000"/>
          <w:kern w:val="0"/>
          <w:sz w:val="32"/>
          <w:szCs w:val="32"/>
        </w:rPr>
        <w:t>、部门基本情况</w:t>
      </w:r>
    </w:p>
    <w:p w14:paraId="2F71647A"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w:t>
      </w:r>
      <w:r>
        <w:rPr>
          <w:rStyle w:val="NormalCharacter"/>
          <w:rFonts w:ascii="仿宋_GB2312" w:eastAsia="仿宋_GB2312" w:hAnsi="仿宋_GB2312" w:cs="仿宋_GB2312" w:hint="eastAsia"/>
          <w:sz w:val="32"/>
          <w:szCs w:val="32"/>
        </w:rPr>
        <w:t>1</w:t>
      </w:r>
      <w:r>
        <w:rPr>
          <w:rStyle w:val="NormalCharacter"/>
          <w:rFonts w:ascii="仿宋_GB2312" w:eastAsia="仿宋_GB2312" w:hAnsi="仿宋_GB2312" w:cs="仿宋_GB2312" w:hint="eastAsia"/>
          <w:sz w:val="32"/>
          <w:szCs w:val="32"/>
        </w:rPr>
        <w:t>）向市委巡察办和区委巡察工作领导小组报告工作情况，传达贯彻市委巡察工作领导小组、区委和区委巡察工作领导小组的决策和部署；（</w:t>
      </w:r>
      <w:r>
        <w:rPr>
          <w:rStyle w:val="NormalCharacter"/>
          <w:rFonts w:ascii="仿宋_GB2312" w:eastAsia="仿宋_GB2312" w:hAnsi="仿宋_GB2312" w:cs="仿宋_GB2312" w:hint="eastAsia"/>
          <w:sz w:val="32"/>
          <w:szCs w:val="32"/>
        </w:rPr>
        <w:t>2</w:t>
      </w:r>
      <w:r>
        <w:rPr>
          <w:rStyle w:val="NormalCharacter"/>
          <w:rFonts w:ascii="仿宋_GB2312" w:eastAsia="仿宋_GB2312" w:hAnsi="仿宋_GB2312" w:cs="仿宋_GB2312" w:hint="eastAsia"/>
          <w:sz w:val="32"/>
          <w:szCs w:val="32"/>
        </w:rPr>
        <w:t>）统筹、协调、指导区委巡察组开展工作；（</w:t>
      </w:r>
      <w:r>
        <w:rPr>
          <w:rStyle w:val="NormalCharacter"/>
          <w:rFonts w:ascii="仿宋_GB2312" w:eastAsia="仿宋_GB2312" w:hAnsi="仿宋_GB2312" w:cs="仿宋_GB2312" w:hint="eastAsia"/>
          <w:sz w:val="32"/>
          <w:szCs w:val="32"/>
        </w:rPr>
        <w:t>3</w:t>
      </w:r>
      <w:r>
        <w:rPr>
          <w:rStyle w:val="NormalCharacter"/>
          <w:rFonts w:ascii="仿宋_GB2312" w:eastAsia="仿宋_GB2312" w:hAnsi="仿宋_GB2312" w:cs="仿宋_GB2312" w:hint="eastAsia"/>
          <w:sz w:val="32"/>
          <w:szCs w:val="32"/>
        </w:rPr>
        <w:t>）承担区委巡察政策研究、制度建设、服务保障等工作；（</w:t>
      </w:r>
      <w:r>
        <w:rPr>
          <w:rStyle w:val="NormalCharacter"/>
          <w:rFonts w:ascii="仿宋_GB2312" w:eastAsia="仿宋_GB2312" w:hAnsi="仿宋_GB2312" w:cs="仿宋_GB2312" w:hint="eastAsia"/>
          <w:sz w:val="32"/>
          <w:szCs w:val="32"/>
        </w:rPr>
        <w:t>4</w:t>
      </w:r>
      <w:r>
        <w:rPr>
          <w:rStyle w:val="NormalCharacter"/>
          <w:rFonts w:ascii="仿宋_GB2312" w:eastAsia="仿宋_GB2312" w:hAnsi="仿宋_GB2312" w:cs="仿宋_GB2312" w:hint="eastAsia"/>
          <w:sz w:val="32"/>
          <w:szCs w:val="32"/>
        </w:rPr>
        <w:t>）对区委、区委巡察工作领导小组决定的事项及巡察移交事项进行督办；（</w:t>
      </w:r>
      <w:r>
        <w:rPr>
          <w:rStyle w:val="NormalCharacter"/>
          <w:rFonts w:ascii="仿宋_GB2312" w:eastAsia="仿宋_GB2312" w:hAnsi="仿宋_GB2312" w:cs="仿宋_GB2312" w:hint="eastAsia"/>
          <w:sz w:val="32"/>
          <w:szCs w:val="32"/>
        </w:rPr>
        <w:t>5</w:t>
      </w:r>
      <w:r>
        <w:rPr>
          <w:rStyle w:val="NormalCharacter"/>
          <w:rFonts w:ascii="仿宋_GB2312" w:eastAsia="仿宋_GB2312" w:hAnsi="仿宋_GB2312" w:cs="仿宋_GB2312" w:hint="eastAsia"/>
          <w:sz w:val="32"/>
          <w:szCs w:val="32"/>
        </w:rPr>
        <w:t>）配合有关部门对区委巡察工作人员进行培训、考核、监督和管理；（</w:t>
      </w:r>
      <w:r>
        <w:rPr>
          <w:rStyle w:val="NormalCharacter"/>
          <w:rFonts w:ascii="仿宋_GB2312" w:eastAsia="仿宋_GB2312" w:hAnsi="仿宋_GB2312" w:cs="仿宋_GB2312" w:hint="eastAsia"/>
          <w:sz w:val="32"/>
          <w:szCs w:val="32"/>
        </w:rPr>
        <w:t>6</w:t>
      </w:r>
      <w:r>
        <w:rPr>
          <w:rStyle w:val="NormalCharacter"/>
          <w:rFonts w:ascii="仿宋_GB2312" w:eastAsia="仿宋_GB2312" w:hAnsi="仿宋_GB2312" w:cs="仿宋_GB2312" w:hint="eastAsia"/>
          <w:sz w:val="32"/>
          <w:szCs w:val="32"/>
        </w:rPr>
        <w:t>）配合协助省委和市委巡视巡察组在我区开展的巡视巡察工作，做好组织对接、制度对接、工作对接；（</w:t>
      </w:r>
      <w:r>
        <w:rPr>
          <w:rStyle w:val="NormalCharacter"/>
          <w:rFonts w:ascii="仿宋_GB2312" w:eastAsia="仿宋_GB2312" w:hAnsi="仿宋_GB2312" w:cs="仿宋_GB2312" w:hint="eastAsia"/>
          <w:sz w:val="32"/>
          <w:szCs w:val="32"/>
        </w:rPr>
        <w:t>7</w:t>
      </w:r>
      <w:r>
        <w:rPr>
          <w:rStyle w:val="NormalCharacter"/>
          <w:rFonts w:ascii="仿宋_GB2312" w:eastAsia="仿宋_GB2312" w:hAnsi="仿宋_GB2312" w:cs="仿宋_GB2312" w:hint="eastAsia"/>
          <w:sz w:val="32"/>
          <w:szCs w:val="32"/>
        </w:rPr>
        <w:t>）对巡察成果运用履行组织协调、服务指导、督办检查等职责；（</w:t>
      </w:r>
      <w:r>
        <w:rPr>
          <w:rStyle w:val="NormalCharacter"/>
          <w:rFonts w:ascii="仿宋_GB2312" w:eastAsia="仿宋_GB2312" w:hAnsi="仿宋_GB2312" w:cs="仿宋_GB2312" w:hint="eastAsia"/>
          <w:sz w:val="32"/>
          <w:szCs w:val="32"/>
        </w:rPr>
        <w:t>8</w:t>
      </w:r>
      <w:r>
        <w:rPr>
          <w:rStyle w:val="NormalCharacter"/>
          <w:rFonts w:ascii="仿宋_GB2312" w:eastAsia="仿宋_GB2312" w:hAnsi="仿宋_GB2312" w:cs="仿宋_GB2312" w:hint="eastAsia"/>
          <w:sz w:val="32"/>
          <w:szCs w:val="32"/>
        </w:rPr>
        <w:t>）</w:t>
      </w:r>
      <w:r>
        <w:rPr>
          <w:rStyle w:val="NormalCharacter"/>
          <w:rFonts w:ascii="仿宋_GB2312" w:eastAsia="仿宋_GB2312" w:hAnsi="仿宋_GB2312" w:cs="仿宋_GB2312" w:hint="eastAsia"/>
          <w:sz w:val="32"/>
          <w:szCs w:val="32"/>
        </w:rPr>
        <w:t>在巡察中发现的区委管理的党政主要负责人和后备干部违纪违法问题线索，每半年报市委巡察办备案；（</w:t>
      </w:r>
      <w:r>
        <w:rPr>
          <w:rStyle w:val="NormalCharacter"/>
          <w:rFonts w:ascii="仿宋_GB2312" w:eastAsia="仿宋_GB2312" w:hAnsi="仿宋_GB2312" w:cs="仿宋_GB2312" w:hint="eastAsia"/>
          <w:sz w:val="32"/>
          <w:szCs w:val="32"/>
        </w:rPr>
        <w:t>9</w:t>
      </w:r>
      <w:r>
        <w:rPr>
          <w:rStyle w:val="NormalCharacter"/>
          <w:rFonts w:ascii="仿宋_GB2312" w:eastAsia="仿宋_GB2312" w:hAnsi="仿宋_GB2312" w:cs="仿宋_GB2312" w:hint="eastAsia"/>
          <w:sz w:val="32"/>
          <w:szCs w:val="32"/>
        </w:rPr>
        <w:t>）健全完善与其他执纪执法监督机关的信息沟通机制；（</w:t>
      </w:r>
      <w:r>
        <w:rPr>
          <w:rStyle w:val="NormalCharacter"/>
          <w:rFonts w:ascii="仿宋_GB2312" w:eastAsia="仿宋_GB2312" w:hAnsi="仿宋_GB2312" w:cs="仿宋_GB2312" w:hint="eastAsia"/>
          <w:sz w:val="32"/>
          <w:szCs w:val="32"/>
        </w:rPr>
        <w:t>10</w:t>
      </w:r>
      <w:r>
        <w:rPr>
          <w:rStyle w:val="NormalCharacter"/>
          <w:rFonts w:ascii="仿宋_GB2312" w:eastAsia="仿宋_GB2312" w:hAnsi="仿宋_GB2312" w:cs="仿宋_GB2312" w:hint="eastAsia"/>
          <w:sz w:val="32"/>
          <w:szCs w:val="32"/>
        </w:rPr>
        <w:t>）办理市委巡察办和区委巡察工作领导小组交办的其他事项；（</w:t>
      </w:r>
      <w:r>
        <w:rPr>
          <w:rStyle w:val="NormalCharacter"/>
          <w:rFonts w:ascii="仿宋_GB2312" w:eastAsia="仿宋_GB2312" w:hAnsi="仿宋_GB2312" w:cs="仿宋_GB2312" w:hint="eastAsia"/>
          <w:sz w:val="32"/>
          <w:szCs w:val="32"/>
        </w:rPr>
        <w:t>11</w:t>
      </w:r>
      <w:r>
        <w:rPr>
          <w:rStyle w:val="NormalCharacter"/>
          <w:rFonts w:ascii="仿宋_GB2312" w:eastAsia="仿宋_GB2312" w:hAnsi="仿宋_GB2312" w:cs="仿宋_GB2312" w:hint="eastAsia"/>
          <w:sz w:val="32"/>
          <w:szCs w:val="32"/>
        </w:rPr>
        <w:t>）负责承担区委巡察工作任务，向区委巡察工作领导小组负责并报告工作。</w:t>
      </w:r>
    </w:p>
    <w:p w14:paraId="0DE949A9" w14:textId="77777777" w:rsidR="003206F9" w:rsidRDefault="002E4262">
      <w:pPr>
        <w:ind w:firstLineChars="200" w:firstLine="640"/>
        <w:rPr>
          <w:rFonts w:ascii="楷体_GB2312" w:eastAsia="楷体_GB2312" w:hAnsi="楷体_GB2312" w:cs="楷体_GB2312"/>
          <w:b/>
          <w:color w:val="000000"/>
          <w:kern w:val="0"/>
          <w:sz w:val="32"/>
          <w:szCs w:val="32"/>
        </w:rPr>
      </w:pPr>
      <w:r>
        <w:rPr>
          <w:rFonts w:ascii="楷体_GB2312" w:eastAsia="楷体_GB2312" w:hAnsi="楷体_GB2312" w:cs="楷体_GB2312" w:hint="eastAsia"/>
          <w:b/>
          <w:color w:val="000000"/>
          <w:kern w:val="0"/>
          <w:sz w:val="32"/>
          <w:szCs w:val="32"/>
        </w:rPr>
        <w:t>2</w:t>
      </w:r>
      <w:r>
        <w:rPr>
          <w:rFonts w:ascii="楷体_GB2312" w:eastAsia="楷体_GB2312" w:hAnsi="楷体_GB2312" w:cs="楷体_GB2312" w:hint="eastAsia"/>
          <w:b/>
          <w:color w:val="000000"/>
          <w:kern w:val="0"/>
          <w:sz w:val="32"/>
          <w:szCs w:val="32"/>
        </w:rPr>
        <w:t>、机构设置及决算单位构成</w:t>
      </w:r>
    </w:p>
    <w:p w14:paraId="3C9E3B4D"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（一）内设机构设置。雁峰区委巡察工作领导小组办公室内设机构办公室、巡察指导室、巡察督导室。</w:t>
      </w:r>
    </w:p>
    <w:p w14:paraId="5FF66175" w14:textId="77777777" w:rsidR="003206F9" w:rsidRDefault="002E4262">
      <w:pPr>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lastRenderedPageBreak/>
        <w:t>二、部门整体支出管理及使用情况</w:t>
      </w:r>
    </w:p>
    <w:p w14:paraId="7840D821"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（一）</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部门预算情况</w:t>
      </w:r>
    </w:p>
    <w:p w14:paraId="52729B3F"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我办</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度收入预算</w:t>
      </w:r>
      <w:r>
        <w:rPr>
          <w:rFonts w:ascii="仿宋_GB2312" w:eastAsia="仿宋_GB2312" w:hAnsi="仿宋_GB2312" w:cs="仿宋_GB2312" w:hint="eastAsia"/>
          <w:bCs/>
          <w:color w:val="000000"/>
          <w:kern w:val="0"/>
          <w:sz w:val="32"/>
          <w:szCs w:val="32"/>
        </w:rPr>
        <w:t>90</w:t>
      </w:r>
      <w:r>
        <w:rPr>
          <w:rFonts w:ascii="仿宋_GB2312" w:eastAsia="仿宋_GB2312" w:hAnsi="仿宋_GB2312" w:cs="仿宋_GB2312" w:hint="eastAsia"/>
          <w:bCs/>
          <w:color w:val="000000"/>
          <w:kern w:val="0"/>
          <w:sz w:val="32"/>
          <w:szCs w:val="32"/>
        </w:rPr>
        <w:t>万元（其中：一般公共预算拨款</w:t>
      </w:r>
      <w:r>
        <w:rPr>
          <w:rFonts w:ascii="仿宋_GB2312" w:eastAsia="仿宋_GB2312" w:hAnsi="仿宋_GB2312" w:cs="仿宋_GB2312" w:hint="eastAsia"/>
          <w:bCs/>
          <w:color w:val="000000"/>
          <w:kern w:val="0"/>
          <w:sz w:val="32"/>
          <w:szCs w:val="32"/>
        </w:rPr>
        <w:t>90</w:t>
      </w:r>
      <w:r>
        <w:rPr>
          <w:rFonts w:ascii="仿宋_GB2312" w:eastAsia="仿宋_GB2312" w:hAnsi="仿宋_GB2312" w:cs="仿宋_GB2312" w:hint="eastAsia"/>
          <w:bCs/>
          <w:color w:val="000000"/>
          <w:kern w:val="0"/>
          <w:sz w:val="32"/>
          <w:szCs w:val="32"/>
        </w:rPr>
        <w:t>万元），其中：基本支出</w:t>
      </w:r>
      <w:r>
        <w:rPr>
          <w:rFonts w:ascii="仿宋_GB2312" w:eastAsia="仿宋_GB2312" w:hAnsi="仿宋_GB2312" w:cs="仿宋_GB2312" w:hint="eastAsia"/>
          <w:bCs/>
          <w:color w:val="000000"/>
          <w:kern w:val="0"/>
          <w:sz w:val="32"/>
          <w:szCs w:val="32"/>
        </w:rPr>
        <w:t>90</w:t>
      </w:r>
      <w:r>
        <w:rPr>
          <w:rFonts w:ascii="仿宋_GB2312" w:eastAsia="仿宋_GB2312" w:hAnsi="仿宋_GB2312" w:cs="仿宋_GB2312" w:hint="eastAsia"/>
          <w:bCs/>
          <w:color w:val="000000"/>
          <w:kern w:val="0"/>
          <w:sz w:val="32"/>
          <w:szCs w:val="32"/>
        </w:rPr>
        <w:t>万元</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项目支出</w:t>
      </w:r>
      <w:r>
        <w:rPr>
          <w:rFonts w:ascii="仿宋_GB2312" w:eastAsia="仿宋_GB2312" w:hAnsi="仿宋_GB2312" w:cs="仿宋_GB2312" w:hint="eastAsia"/>
          <w:bCs/>
          <w:color w:val="000000"/>
          <w:kern w:val="0"/>
          <w:sz w:val="32"/>
          <w:szCs w:val="32"/>
        </w:rPr>
        <w:t>0</w:t>
      </w:r>
      <w:r>
        <w:rPr>
          <w:rFonts w:ascii="仿宋_GB2312" w:eastAsia="仿宋_GB2312" w:hAnsi="仿宋_GB2312" w:cs="仿宋_GB2312" w:hint="eastAsia"/>
          <w:bCs/>
          <w:color w:val="000000"/>
          <w:kern w:val="0"/>
          <w:sz w:val="32"/>
          <w:szCs w:val="32"/>
        </w:rPr>
        <w:t>万元。</w:t>
      </w:r>
    </w:p>
    <w:p w14:paraId="38B0F331"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（二）</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部门决算情况</w:t>
      </w:r>
    </w:p>
    <w:p w14:paraId="249964DA"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收入决算数</w:t>
      </w:r>
      <w:r>
        <w:rPr>
          <w:rFonts w:ascii="仿宋_GB2312" w:eastAsia="仿宋_GB2312" w:hAnsi="仿宋_GB2312" w:cs="仿宋_GB2312" w:hint="eastAsia"/>
          <w:bCs/>
          <w:color w:val="000000"/>
          <w:kern w:val="0"/>
          <w:sz w:val="32"/>
          <w:szCs w:val="32"/>
        </w:rPr>
        <w:t>230.76</w:t>
      </w:r>
      <w:r>
        <w:rPr>
          <w:rFonts w:ascii="仿宋_GB2312" w:eastAsia="仿宋_GB2312" w:hAnsi="仿宋_GB2312" w:cs="仿宋_GB2312" w:hint="eastAsia"/>
          <w:bCs/>
          <w:color w:val="000000"/>
          <w:kern w:val="0"/>
          <w:sz w:val="32"/>
          <w:szCs w:val="32"/>
        </w:rPr>
        <w:t>万元，其中财政拨款收入</w:t>
      </w:r>
      <w:r>
        <w:rPr>
          <w:rFonts w:ascii="仿宋_GB2312" w:eastAsia="仿宋_GB2312" w:hAnsi="仿宋_GB2312" w:cs="仿宋_GB2312" w:hint="eastAsia"/>
          <w:bCs/>
          <w:color w:val="000000"/>
          <w:kern w:val="0"/>
          <w:sz w:val="32"/>
          <w:szCs w:val="32"/>
        </w:rPr>
        <w:t>23.76</w:t>
      </w:r>
      <w:r>
        <w:rPr>
          <w:rFonts w:ascii="仿宋_GB2312" w:eastAsia="仿宋_GB2312" w:hAnsi="仿宋_GB2312" w:cs="仿宋_GB2312" w:hint="eastAsia"/>
          <w:bCs/>
          <w:color w:val="000000"/>
          <w:kern w:val="0"/>
          <w:sz w:val="32"/>
          <w:szCs w:val="32"/>
        </w:rPr>
        <w:t>万元，其他收入</w:t>
      </w:r>
      <w:r>
        <w:rPr>
          <w:rFonts w:ascii="仿宋_GB2312" w:eastAsia="仿宋_GB2312" w:hAnsi="仿宋_GB2312" w:cs="仿宋_GB2312" w:hint="eastAsia"/>
          <w:bCs/>
          <w:color w:val="000000"/>
          <w:kern w:val="0"/>
          <w:sz w:val="32"/>
          <w:szCs w:val="32"/>
        </w:rPr>
        <w:t>0.99</w:t>
      </w:r>
      <w:r>
        <w:rPr>
          <w:rFonts w:ascii="仿宋_GB2312" w:eastAsia="仿宋_GB2312" w:hAnsi="仿宋_GB2312" w:cs="仿宋_GB2312" w:hint="eastAsia"/>
          <w:bCs/>
          <w:color w:val="000000"/>
          <w:kern w:val="0"/>
          <w:sz w:val="32"/>
          <w:szCs w:val="32"/>
        </w:rPr>
        <w:t>万元。本年度收入决算数较上年收入决算数比上年增加</w:t>
      </w:r>
      <w:r>
        <w:rPr>
          <w:rFonts w:ascii="仿宋_GB2312" w:eastAsia="仿宋_GB2312" w:hAnsi="仿宋_GB2312" w:cs="仿宋_GB2312" w:hint="eastAsia"/>
          <w:bCs/>
          <w:color w:val="000000"/>
          <w:kern w:val="0"/>
          <w:sz w:val="32"/>
          <w:szCs w:val="32"/>
        </w:rPr>
        <w:t>3.89</w:t>
      </w:r>
      <w:r>
        <w:rPr>
          <w:rFonts w:ascii="仿宋_GB2312" w:eastAsia="仿宋_GB2312" w:hAnsi="仿宋_GB2312" w:cs="仿宋_GB2312" w:hint="eastAsia"/>
          <w:bCs/>
          <w:color w:val="000000"/>
          <w:kern w:val="0"/>
          <w:sz w:val="32"/>
          <w:szCs w:val="32"/>
        </w:rPr>
        <w:t>万元，增加</w:t>
      </w:r>
      <w:r>
        <w:rPr>
          <w:rFonts w:ascii="仿宋_GB2312" w:eastAsia="仿宋_GB2312" w:hAnsi="仿宋_GB2312" w:cs="仿宋_GB2312" w:hint="eastAsia"/>
          <w:bCs/>
          <w:color w:val="000000"/>
          <w:kern w:val="0"/>
          <w:sz w:val="32"/>
          <w:szCs w:val="32"/>
        </w:rPr>
        <w:t>1.71</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w:t>
      </w:r>
    </w:p>
    <w:p w14:paraId="668A49C0"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支出决算数</w:t>
      </w:r>
      <w:r>
        <w:rPr>
          <w:rFonts w:ascii="仿宋_GB2312" w:eastAsia="仿宋_GB2312" w:hAnsi="仿宋_GB2312" w:cs="仿宋_GB2312" w:hint="eastAsia"/>
          <w:bCs/>
          <w:color w:val="000000"/>
          <w:kern w:val="0"/>
          <w:sz w:val="32"/>
          <w:szCs w:val="32"/>
        </w:rPr>
        <w:t>218.38</w:t>
      </w:r>
      <w:r>
        <w:rPr>
          <w:rFonts w:ascii="仿宋_GB2312" w:eastAsia="仿宋_GB2312" w:hAnsi="仿宋_GB2312" w:cs="仿宋_GB2312" w:hint="eastAsia"/>
          <w:bCs/>
          <w:color w:val="000000"/>
          <w:kern w:val="0"/>
          <w:sz w:val="32"/>
          <w:szCs w:val="32"/>
        </w:rPr>
        <w:t>万元，其中：人员经费</w:t>
      </w:r>
      <w:r>
        <w:rPr>
          <w:rFonts w:ascii="仿宋_GB2312" w:eastAsia="仿宋_GB2312" w:hAnsi="仿宋_GB2312" w:cs="仿宋_GB2312" w:hint="eastAsia"/>
          <w:bCs/>
          <w:color w:val="000000"/>
          <w:kern w:val="0"/>
          <w:sz w:val="32"/>
          <w:szCs w:val="32"/>
        </w:rPr>
        <w:t>187.88</w:t>
      </w:r>
      <w:r>
        <w:rPr>
          <w:rFonts w:ascii="仿宋_GB2312" w:eastAsia="仿宋_GB2312" w:hAnsi="仿宋_GB2312" w:cs="仿宋_GB2312" w:hint="eastAsia"/>
          <w:bCs/>
          <w:color w:val="000000"/>
          <w:kern w:val="0"/>
          <w:sz w:val="32"/>
          <w:szCs w:val="32"/>
        </w:rPr>
        <w:t>万元，日常公用经费</w:t>
      </w:r>
      <w:r>
        <w:rPr>
          <w:rFonts w:ascii="仿宋_GB2312" w:eastAsia="仿宋_GB2312" w:hAnsi="仿宋_GB2312" w:cs="仿宋_GB2312" w:hint="eastAsia"/>
          <w:bCs/>
          <w:color w:val="000000"/>
          <w:kern w:val="0"/>
          <w:sz w:val="32"/>
          <w:szCs w:val="32"/>
        </w:rPr>
        <w:t>30.5</w:t>
      </w:r>
      <w:r>
        <w:rPr>
          <w:rFonts w:ascii="仿宋_GB2312" w:eastAsia="仿宋_GB2312" w:hAnsi="仿宋_GB2312" w:cs="仿宋_GB2312" w:hint="eastAsia"/>
          <w:bCs/>
          <w:color w:val="000000"/>
          <w:kern w:val="0"/>
          <w:sz w:val="32"/>
          <w:szCs w:val="32"/>
        </w:rPr>
        <w:t>万元。本年度支出决算数较上年支出决算数</w:t>
      </w:r>
      <w:r>
        <w:rPr>
          <w:rFonts w:ascii="仿宋_GB2312" w:eastAsia="仿宋_GB2312" w:hAnsi="仿宋_GB2312" w:cs="仿宋_GB2312" w:hint="eastAsia"/>
          <w:bCs/>
          <w:color w:val="000000"/>
          <w:kern w:val="0"/>
          <w:sz w:val="32"/>
          <w:szCs w:val="32"/>
        </w:rPr>
        <w:t>减少</w:t>
      </w:r>
      <w:r>
        <w:rPr>
          <w:rFonts w:ascii="仿宋_GB2312" w:eastAsia="仿宋_GB2312" w:hAnsi="仿宋_GB2312" w:cs="仿宋_GB2312" w:hint="eastAsia"/>
          <w:bCs/>
          <w:color w:val="000000"/>
          <w:kern w:val="0"/>
          <w:sz w:val="32"/>
          <w:szCs w:val="32"/>
        </w:rPr>
        <w:t>8.49</w:t>
      </w:r>
      <w:r>
        <w:rPr>
          <w:rFonts w:ascii="仿宋_GB2312" w:eastAsia="仿宋_GB2312" w:hAnsi="仿宋_GB2312" w:cs="仿宋_GB2312" w:hint="eastAsia"/>
          <w:bCs/>
          <w:color w:val="000000"/>
          <w:kern w:val="0"/>
          <w:sz w:val="32"/>
          <w:szCs w:val="32"/>
        </w:rPr>
        <w:t>万元</w:t>
      </w:r>
      <w:r>
        <w:rPr>
          <w:rFonts w:ascii="仿宋_GB2312" w:eastAsia="仿宋_GB2312" w:hAnsi="仿宋_GB2312" w:cs="仿宋_GB2312"/>
          <w:bCs/>
          <w:color w:val="000000"/>
          <w:kern w:val="0"/>
          <w:sz w:val="32"/>
          <w:szCs w:val="32"/>
        </w:rPr>
        <w:t>，</w:t>
      </w:r>
      <w:r>
        <w:rPr>
          <w:rFonts w:ascii="仿宋_GB2312" w:eastAsia="仿宋_GB2312" w:hAnsi="仿宋_GB2312" w:cs="仿宋_GB2312" w:hint="eastAsia"/>
          <w:bCs/>
          <w:color w:val="000000"/>
          <w:kern w:val="0"/>
          <w:sz w:val="32"/>
          <w:szCs w:val="32"/>
        </w:rPr>
        <w:t>减少</w:t>
      </w:r>
      <w:r>
        <w:rPr>
          <w:rFonts w:ascii="仿宋_GB2312" w:eastAsia="仿宋_GB2312" w:hAnsi="仿宋_GB2312" w:cs="仿宋_GB2312" w:hint="eastAsia"/>
          <w:bCs/>
          <w:color w:val="000000"/>
          <w:kern w:val="0"/>
          <w:sz w:val="32"/>
          <w:szCs w:val="32"/>
        </w:rPr>
        <w:t>3.74</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w:t>
      </w:r>
    </w:p>
    <w:p w14:paraId="5DAF8EFC"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（三）</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支出分类情况</w:t>
      </w:r>
    </w:p>
    <w:p w14:paraId="5F0A564C"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1.</w:t>
      </w:r>
      <w:r>
        <w:rPr>
          <w:rFonts w:ascii="仿宋_GB2312" w:eastAsia="仿宋_GB2312" w:hAnsi="仿宋_GB2312" w:cs="仿宋_GB2312" w:hint="eastAsia"/>
          <w:bCs/>
          <w:color w:val="000000"/>
          <w:kern w:val="0"/>
          <w:sz w:val="32"/>
          <w:szCs w:val="32"/>
        </w:rPr>
        <w:t>基本支出</w:t>
      </w:r>
    </w:p>
    <w:p w14:paraId="5E706F24"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基本支出系保障我办正常运转、完成日常工作任务而发生的各项支出，包括用于在职和离退休人员基本工资、津贴补贴等人员经费以及办公费、印刷费、</w:t>
      </w:r>
      <w:r>
        <w:rPr>
          <w:rFonts w:ascii="仿宋_GB2312" w:eastAsia="仿宋_GB2312" w:hAnsi="仿宋_GB2312" w:cs="仿宋_GB2312"/>
          <w:bCs/>
          <w:color w:val="000000"/>
          <w:kern w:val="0"/>
          <w:sz w:val="32"/>
          <w:szCs w:val="32"/>
        </w:rPr>
        <w:t>差旅费</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bCs/>
          <w:color w:val="000000"/>
          <w:kern w:val="0"/>
          <w:sz w:val="32"/>
          <w:szCs w:val="32"/>
        </w:rPr>
        <w:t>工会经费</w:t>
      </w:r>
      <w:r>
        <w:rPr>
          <w:rFonts w:ascii="仿宋_GB2312" w:eastAsia="仿宋_GB2312" w:hAnsi="仿宋_GB2312" w:cs="仿宋_GB2312" w:hint="eastAsia"/>
          <w:bCs/>
          <w:color w:val="000000"/>
          <w:kern w:val="0"/>
          <w:sz w:val="32"/>
          <w:szCs w:val="32"/>
        </w:rPr>
        <w:t>等日常公用经费。</w:t>
      </w:r>
      <w:r>
        <w:rPr>
          <w:rFonts w:ascii="仿宋_GB2312" w:eastAsia="仿宋_GB2312" w:hAnsi="仿宋_GB2312" w:cs="仿宋_GB2312" w:hint="eastAsia"/>
          <w:bCs/>
          <w:color w:val="000000"/>
          <w:kern w:val="0"/>
          <w:sz w:val="32"/>
          <w:szCs w:val="32"/>
        </w:rPr>
        <w:t>2023</w:t>
      </w:r>
      <w:r>
        <w:rPr>
          <w:rFonts w:ascii="仿宋_GB2312" w:eastAsia="仿宋_GB2312" w:hAnsi="仿宋_GB2312" w:cs="仿宋_GB2312" w:hint="eastAsia"/>
          <w:bCs/>
          <w:color w:val="000000"/>
          <w:kern w:val="0"/>
          <w:sz w:val="32"/>
          <w:szCs w:val="32"/>
        </w:rPr>
        <w:t>年</w:t>
      </w:r>
      <w:r>
        <w:rPr>
          <w:rFonts w:ascii="仿宋_GB2312" w:eastAsia="仿宋_GB2312" w:hAnsi="仿宋_GB2312" w:cs="仿宋_GB2312" w:hint="eastAsia"/>
          <w:bCs/>
          <w:color w:val="000000"/>
          <w:kern w:val="0"/>
          <w:sz w:val="32"/>
          <w:szCs w:val="32"/>
        </w:rPr>
        <w:t>基本支出</w:t>
      </w:r>
      <w:r>
        <w:rPr>
          <w:rFonts w:ascii="仿宋_GB2312" w:eastAsia="仿宋_GB2312" w:hAnsi="仿宋_GB2312" w:cs="仿宋_GB2312" w:hint="eastAsia"/>
          <w:bCs/>
          <w:color w:val="000000"/>
          <w:kern w:val="0"/>
          <w:sz w:val="32"/>
          <w:szCs w:val="32"/>
        </w:rPr>
        <w:t>218.38</w:t>
      </w:r>
      <w:r>
        <w:rPr>
          <w:rFonts w:ascii="仿宋_GB2312" w:eastAsia="仿宋_GB2312" w:hAnsi="仿宋_GB2312" w:cs="仿宋_GB2312" w:hint="eastAsia"/>
          <w:bCs/>
          <w:color w:val="000000"/>
          <w:kern w:val="0"/>
          <w:sz w:val="32"/>
          <w:szCs w:val="32"/>
        </w:rPr>
        <w:t>万元，较上年</w:t>
      </w:r>
      <w:r>
        <w:rPr>
          <w:rFonts w:ascii="仿宋_GB2312" w:eastAsia="仿宋_GB2312" w:hAnsi="仿宋_GB2312" w:cs="仿宋_GB2312" w:hint="eastAsia"/>
          <w:bCs/>
          <w:color w:val="000000"/>
          <w:kern w:val="0"/>
          <w:sz w:val="32"/>
          <w:szCs w:val="32"/>
        </w:rPr>
        <w:t>226.87</w:t>
      </w:r>
      <w:r>
        <w:rPr>
          <w:rFonts w:ascii="仿宋_GB2312" w:eastAsia="仿宋_GB2312" w:hAnsi="仿宋_GB2312" w:cs="仿宋_GB2312" w:hint="eastAsia"/>
          <w:bCs/>
          <w:color w:val="000000"/>
          <w:kern w:val="0"/>
          <w:sz w:val="32"/>
          <w:szCs w:val="32"/>
        </w:rPr>
        <w:t>万元</w:t>
      </w:r>
      <w:r>
        <w:rPr>
          <w:rFonts w:ascii="仿宋_GB2312" w:eastAsia="仿宋_GB2312" w:hAnsi="仿宋_GB2312" w:cs="仿宋_GB2312" w:hint="eastAsia"/>
          <w:bCs/>
          <w:color w:val="000000"/>
          <w:kern w:val="0"/>
          <w:sz w:val="32"/>
          <w:szCs w:val="32"/>
        </w:rPr>
        <w:t>减少</w:t>
      </w:r>
      <w:r>
        <w:rPr>
          <w:rFonts w:ascii="仿宋_GB2312" w:eastAsia="仿宋_GB2312" w:hAnsi="仿宋_GB2312" w:cs="仿宋_GB2312" w:hint="eastAsia"/>
          <w:bCs/>
          <w:color w:val="000000"/>
          <w:kern w:val="0"/>
          <w:sz w:val="32"/>
          <w:szCs w:val="32"/>
        </w:rPr>
        <w:t>8.49</w:t>
      </w:r>
      <w:r>
        <w:rPr>
          <w:rFonts w:ascii="仿宋_GB2312" w:eastAsia="仿宋_GB2312" w:hAnsi="仿宋_GB2312" w:cs="仿宋_GB2312" w:hint="eastAsia"/>
          <w:bCs/>
          <w:color w:val="000000"/>
          <w:kern w:val="0"/>
          <w:sz w:val="32"/>
          <w:szCs w:val="32"/>
        </w:rPr>
        <w:t>万元</w:t>
      </w:r>
      <w:r>
        <w:rPr>
          <w:rFonts w:ascii="仿宋_GB2312" w:eastAsia="仿宋_GB2312" w:hAnsi="仿宋_GB2312" w:cs="仿宋_GB2312"/>
          <w:bCs/>
          <w:color w:val="000000"/>
          <w:kern w:val="0"/>
          <w:sz w:val="32"/>
          <w:szCs w:val="32"/>
        </w:rPr>
        <w:t>，</w:t>
      </w:r>
      <w:r>
        <w:rPr>
          <w:rFonts w:ascii="仿宋_GB2312" w:eastAsia="仿宋_GB2312" w:hAnsi="仿宋_GB2312" w:cs="仿宋_GB2312" w:hint="eastAsia"/>
          <w:bCs/>
          <w:color w:val="000000"/>
          <w:kern w:val="0"/>
          <w:sz w:val="32"/>
          <w:szCs w:val="32"/>
        </w:rPr>
        <w:t>减少</w:t>
      </w:r>
      <w:r>
        <w:rPr>
          <w:rFonts w:ascii="仿宋_GB2312" w:eastAsia="仿宋_GB2312" w:hAnsi="仿宋_GB2312" w:cs="仿宋_GB2312" w:hint="eastAsia"/>
          <w:bCs/>
          <w:color w:val="000000"/>
          <w:kern w:val="0"/>
          <w:sz w:val="32"/>
          <w:szCs w:val="32"/>
        </w:rPr>
        <w:t>3.74</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。基本支出中人员经费</w:t>
      </w:r>
      <w:r>
        <w:rPr>
          <w:rFonts w:ascii="仿宋_GB2312" w:eastAsia="仿宋_GB2312" w:hAnsi="仿宋_GB2312" w:cs="仿宋_GB2312" w:hint="eastAsia"/>
          <w:bCs/>
          <w:color w:val="000000"/>
          <w:kern w:val="0"/>
          <w:sz w:val="32"/>
          <w:szCs w:val="32"/>
        </w:rPr>
        <w:t>187.88</w:t>
      </w:r>
      <w:r>
        <w:rPr>
          <w:rFonts w:ascii="仿宋_GB2312" w:eastAsia="仿宋_GB2312" w:hAnsi="仿宋_GB2312" w:cs="仿宋_GB2312" w:hint="eastAsia"/>
          <w:bCs/>
          <w:color w:val="000000"/>
          <w:kern w:val="0"/>
          <w:sz w:val="32"/>
          <w:szCs w:val="32"/>
        </w:rPr>
        <w:t>万元，占比</w:t>
      </w:r>
      <w:r>
        <w:rPr>
          <w:rFonts w:ascii="仿宋_GB2312" w:eastAsia="仿宋_GB2312" w:hAnsi="仿宋_GB2312" w:cs="仿宋_GB2312" w:hint="eastAsia"/>
          <w:bCs/>
          <w:color w:val="000000"/>
          <w:kern w:val="0"/>
          <w:sz w:val="32"/>
          <w:szCs w:val="32"/>
        </w:rPr>
        <w:t>86.03</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，日常公用经费</w:t>
      </w:r>
      <w:r>
        <w:rPr>
          <w:rFonts w:ascii="仿宋_GB2312" w:eastAsia="仿宋_GB2312" w:hAnsi="仿宋_GB2312" w:cs="仿宋_GB2312" w:hint="eastAsia"/>
          <w:bCs/>
          <w:color w:val="000000"/>
          <w:kern w:val="0"/>
          <w:sz w:val="32"/>
          <w:szCs w:val="32"/>
        </w:rPr>
        <w:t>30.5</w:t>
      </w:r>
      <w:r>
        <w:rPr>
          <w:rFonts w:ascii="仿宋_GB2312" w:eastAsia="仿宋_GB2312" w:hAnsi="仿宋_GB2312" w:cs="仿宋_GB2312" w:hint="eastAsia"/>
          <w:bCs/>
          <w:color w:val="000000"/>
          <w:kern w:val="0"/>
          <w:sz w:val="32"/>
          <w:szCs w:val="32"/>
        </w:rPr>
        <w:t>万元，占比</w:t>
      </w:r>
      <w:r>
        <w:rPr>
          <w:rFonts w:ascii="仿宋_GB2312" w:eastAsia="仿宋_GB2312" w:hAnsi="仿宋_GB2312" w:cs="仿宋_GB2312" w:hint="eastAsia"/>
          <w:bCs/>
          <w:color w:val="000000"/>
          <w:kern w:val="0"/>
          <w:sz w:val="32"/>
          <w:szCs w:val="32"/>
        </w:rPr>
        <w:t>13.97</w:t>
      </w:r>
      <w:r>
        <w:rPr>
          <w:rFonts w:ascii="仿宋_GB2312" w:eastAsia="仿宋_GB2312" w:hAnsi="仿宋_GB2312" w:cs="仿宋_GB2312" w:hint="eastAsia"/>
          <w:bCs/>
          <w:color w:val="000000"/>
          <w:kern w:val="0"/>
          <w:sz w:val="32"/>
          <w:szCs w:val="32"/>
        </w:rPr>
        <w:t>%</w:t>
      </w:r>
      <w:r>
        <w:rPr>
          <w:rFonts w:ascii="仿宋_GB2312" w:eastAsia="仿宋_GB2312" w:hAnsi="仿宋_GB2312" w:cs="仿宋_GB2312" w:hint="eastAsia"/>
          <w:bCs/>
          <w:color w:val="000000"/>
          <w:kern w:val="0"/>
          <w:sz w:val="32"/>
          <w:szCs w:val="32"/>
        </w:rPr>
        <w:t>。</w:t>
      </w:r>
    </w:p>
    <w:p w14:paraId="5CE83CAE" w14:textId="77777777" w:rsidR="003206F9" w:rsidRDefault="002E4262">
      <w:pPr>
        <w:ind w:firstLineChars="200" w:firstLine="640"/>
        <w:rPr>
          <w:rFonts w:ascii="仿宋_GB2312" w:eastAsia="仿宋_GB2312" w:hAnsi="仿宋_GB2312" w:cs="仿宋_GB2312"/>
          <w:bCs/>
          <w:color w:val="000000"/>
          <w:kern w:val="0"/>
          <w:sz w:val="32"/>
          <w:szCs w:val="32"/>
        </w:rPr>
      </w:pPr>
      <w:r>
        <w:rPr>
          <w:rFonts w:ascii="仿宋_GB2312" w:eastAsia="仿宋_GB2312" w:hAnsi="仿宋_GB2312" w:cs="仿宋_GB2312" w:hint="eastAsia"/>
          <w:bCs/>
          <w:color w:val="000000"/>
          <w:kern w:val="0"/>
          <w:sz w:val="32"/>
          <w:szCs w:val="32"/>
        </w:rPr>
        <w:t>2.</w:t>
      </w:r>
      <w:r>
        <w:rPr>
          <w:rFonts w:ascii="仿宋_GB2312" w:eastAsia="仿宋_GB2312" w:hAnsi="仿宋_GB2312" w:cs="仿宋_GB2312" w:hint="eastAsia"/>
          <w:bCs/>
          <w:color w:val="000000"/>
          <w:kern w:val="0"/>
          <w:sz w:val="32"/>
          <w:szCs w:val="32"/>
        </w:rPr>
        <w:t>“三公”经费情况</w:t>
      </w:r>
    </w:p>
    <w:p w14:paraId="55809081"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“三公”经费财政拨款支出预算为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万元，支出决算为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万元，完成预算的</w:t>
      </w:r>
      <w:r>
        <w:rPr>
          <w:rStyle w:val="NormalCharacter"/>
          <w:rFonts w:ascii="仿宋_GB2312" w:eastAsia="仿宋_GB2312" w:hAnsi="仿宋_GB2312" w:cs="仿宋_GB2312" w:hint="eastAsia"/>
          <w:sz w:val="32"/>
          <w:szCs w:val="32"/>
        </w:rPr>
        <w:t>100</w:t>
      </w:r>
      <w:r>
        <w:rPr>
          <w:rStyle w:val="NormalCharacter"/>
          <w:rFonts w:ascii="仿宋_GB2312" w:eastAsia="仿宋_GB2312" w:hAnsi="仿宋_GB2312" w:cs="仿宋_GB2312"/>
          <w:sz w:val="32"/>
          <w:szCs w:val="32"/>
        </w:rPr>
        <w:t>%</w:t>
      </w:r>
      <w:r>
        <w:rPr>
          <w:rStyle w:val="NormalCharacter"/>
          <w:rFonts w:ascii="仿宋_GB2312" w:eastAsia="仿宋_GB2312" w:hAnsi="仿宋_GB2312" w:cs="仿宋_GB2312" w:hint="eastAsia"/>
          <w:sz w:val="32"/>
          <w:szCs w:val="32"/>
        </w:rPr>
        <w:t>，其中：</w:t>
      </w:r>
    </w:p>
    <w:p w14:paraId="3E30295A"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因公出国（境）费支出预算为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万元，支出决算为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万元，完成预算的</w:t>
      </w:r>
      <w:r>
        <w:rPr>
          <w:rStyle w:val="NormalCharacter"/>
          <w:rFonts w:ascii="仿宋_GB2312" w:eastAsia="仿宋_GB2312" w:hAnsi="仿宋_GB2312" w:cs="仿宋_GB2312" w:hint="eastAsia"/>
          <w:sz w:val="32"/>
          <w:szCs w:val="32"/>
        </w:rPr>
        <w:t>100%</w:t>
      </w:r>
      <w:r>
        <w:rPr>
          <w:rStyle w:val="NormalCharacter"/>
          <w:rFonts w:ascii="仿宋_GB2312" w:eastAsia="仿宋_GB2312" w:hAnsi="仿宋_GB2312" w:cs="仿宋_GB2312" w:hint="eastAsia"/>
          <w:sz w:val="32"/>
          <w:szCs w:val="32"/>
        </w:rPr>
        <w:t>。</w:t>
      </w:r>
    </w:p>
    <w:p w14:paraId="6F3427A1"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公务接待费支出预算为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万元，支出决算为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万元，完成预算的</w:t>
      </w:r>
      <w:r>
        <w:rPr>
          <w:rStyle w:val="NormalCharacter"/>
          <w:rFonts w:ascii="仿宋_GB2312" w:eastAsia="仿宋_GB2312" w:hAnsi="仿宋_GB2312" w:cs="仿宋_GB2312" w:hint="eastAsia"/>
          <w:sz w:val="32"/>
          <w:szCs w:val="32"/>
        </w:rPr>
        <w:t>100%</w:t>
      </w:r>
      <w:r>
        <w:rPr>
          <w:rStyle w:val="NormalCharacter"/>
          <w:rFonts w:ascii="仿宋_GB2312" w:eastAsia="仿宋_GB2312" w:hAnsi="仿宋_GB2312" w:cs="仿宋_GB2312" w:hint="eastAsia"/>
          <w:sz w:val="32"/>
          <w:szCs w:val="32"/>
        </w:rPr>
        <w:t>。</w:t>
      </w:r>
    </w:p>
    <w:p w14:paraId="06C49020"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lastRenderedPageBreak/>
        <w:t>公务用车购置费及运行维护费支出预算为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万元，支出决算为</w:t>
      </w:r>
      <w:r>
        <w:rPr>
          <w:rStyle w:val="NormalCharacter"/>
          <w:rFonts w:ascii="仿宋_GB2312" w:eastAsia="仿宋_GB2312" w:hAnsi="仿宋_GB2312" w:cs="仿宋_GB2312" w:hint="eastAsia"/>
          <w:sz w:val="32"/>
          <w:szCs w:val="32"/>
        </w:rPr>
        <w:t>0</w:t>
      </w:r>
      <w:r>
        <w:rPr>
          <w:rStyle w:val="NormalCharacter"/>
          <w:rFonts w:ascii="仿宋_GB2312" w:eastAsia="仿宋_GB2312" w:hAnsi="仿宋_GB2312" w:cs="仿宋_GB2312" w:hint="eastAsia"/>
          <w:sz w:val="32"/>
          <w:szCs w:val="32"/>
        </w:rPr>
        <w:t>万元，完成预算的</w:t>
      </w:r>
      <w:r>
        <w:rPr>
          <w:rStyle w:val="NormalCharacter"/>
          <w:rFonts w:ascii="仿宋_GB2312" w:eastAsia="仿宋_GB2312" w:hAnsi="仿宋_GB2312" w:cs="仿宋_GB2312" w:hint="eastAsia"/>
          <w:sz w:val="32"/>
          <w:szCs w:val="32"/>
        </w:rPr>
        <w:t>100%</w:t>
      </w:r>
      <w:r>
        <w:rPr>
          <w:rStyle w:val="NormalCharacter"/>
          <w:rFonts w:ascii="仿宋_GB2312" w:eastAsia="仿宋_GB2312" w:hAnsi="仿宋_GB2312" w:cs="仿宋_GB2312" w:hint="eastAsia"/>
          <w:sz w:val="32"/>
          <w:szCs w:val="32"/>
        </w:rPr>
        <w:t>。</w:t>
      </w:r>
    </w:p>
    <w:p w14:paraId="61F1C081" w14:textId="77777777" w:rsidR="003206F9" w:rsidRDefault="002E4262">
      <w:pPr>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三、部门整体支出绩效情况</w:t>
      </w:r>
    </w:p>
    <w:p w14:paraId="27A57025"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2023</w:t>
      </w:r>
      <w:r>
        <w:rPr>
          <w:rStyle w:val="NormalCharacter"/>
          <w:rFonts w:ascii="仿宋_GB2312" w:eastAsia="仿宋_GB2312" w:hAnsi="仿宋_GB2312" w:cs="仿宋_GB2312" w:hint="eastAsia"/>
          <w:sz w:val="32"/>
          <w:szCs w:val="32"/>
        </w:rPr>
        <w:t>年，雁峰区委巡察机构以习近平新时代中国特色社会主义思想为指导，认真贯彻中央、省委、市委和区委关于巡视巡察工作的新精神新要求，突出政治巡察定位，以“发现问题、形成震慑、促进改革、推动发展”为主要任务，稳步推进巡察工作。</w:t>
      </w:r>
    </w:p>
    <w:p w14:paraId="245043DE"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（一）稳步推进常规巡察工作。坚持中</w:t>
      </w:r>
      <w:r>
        <w:rPr>
          <w:rStyle w:val="NormalCharacter"/>
          <w:rFonts w:ascii="仿宋_GB2312" w:eastAsia="仿宋_GB2312" w:hAnsi="仿宋_GB2312" w:cs="仿宋_GB2312" w:hint="eastAsia"/>
          <w:sz w:val="32"/>
          <w:szCs w:val="32"/>
        </w:rPr>
        <w:t>心工作与业务工作“两手抓”，一方面坚决服从区委工作安排，数次下沉到联点的奇峰村督导文明城市创建工作，另一方面于今年</w:t>
      </w:r>
      <w:r>
        <w:rPr>
          <w:rStyle w:val="NormalCharacter"/>
          <w:rFonts w:ascii="仿宋_GB2312" w:eastAsia="仿宋_GB2312" w:hAnsi="仿宋_GB2312" w:cs="仿宋_GB2312" w:hint="eastAsia"/>
          <w:sz w:val="32"/>
          <w:szCs w:val="32"/>
        </w:rPr>
        <w:t>4</w:t>
      </w:r>
      <w:r>
        <w:rPr>
          <w:rStyle w:val="NormalCharacter"/>
          <w:rFonts w:ascii="仿宋_GB2312" w:eastAsia="仿宋_GB2312" w:hAnsi="仿宋_GB2312" w:cs="仿宋_GB2312" w:hint="eastAsia"/>
          <w:sz w:val="32"/>
          <w:szCs w:val="32"/>
        </w:rPr>
        <w:t>月下旬和</w:t>
      </w:r>
      <w:r>
        <w:rPr>
          <w:rStyle w:val="NormalCharacter"/>
          <w:rFonts w:ascii="仿宋_GB2312" w:eastAsia="仿宋_GB2312" w:hAnsi="仿宋_GB2312" w:cs="仿宋_GB2312" w:hint="eastAsia"/>
          <w:sz w:val="32"/>
          <w:szCs w:val="32"/>
        </w:rPr>
        <w:t>9</w:t>
      </w:r>
      <w:r>
        <w:rPr>
          <w:rStyle w:val="NormalCharacter"/>
          <w:rFonts w:ascii="仿宋_GB2312" w:eastAsia="仿宋_GB2312" w:hAnsi="仿宋_GB2312" w:cs="仿宋_GB2312" w:hint="eastAsia"/>
          <w:sz w:val="32"/>
          <w:szCs w:val="32"/>
        </w:rPr>
        <w:t>月中旬分别启动五届区委第四轮、第五轮常规巡察，两轮巡察共对黄茶岭街道及下辖</w:t>
      </w:r>
      <w:r>
        <w:rPr>
          <w:rStyle w:val="NormalCharacter"/>
          <w:rFonts w:ascii="仿宋_GB2312" w:eastAsia="仿宋_GB2312" w:hAnsi="仿宋_GB2312" w:cs="仿宋_GB2312" w:hint="eastAsia"/>
          <w:sz w:val="32"/>
          <w:szCs w:val="32"/>
        </w:rPr>
        <w:t>15</w:t>
      </w:r>
      <w:r>
        <w:rPr>
          <w:rStyle w:val="NormalCharacter"/>
          <w:rFonts w:ascii="仿宋_GB2312" w:eastAsia="仿宋_GB2312" w:hAnsi="仿宋_GB2312" w:cs="仿宋_GB2312" w:hint="eastAsia"/>
          <w:sz w:val="32"/>
          <w:szCs w:val="32"/>
        </w:rPr>
        <w:t>个村（社区）、区卫健局、区科工信局（区产业发展事务中心）、岳屏镇下辖的</w:t>
      </w:r>
      <w:r>
        <w:rPr>
          <w:rStyle w:val="NormalCharacter"/>
          <w:rFonts w:ascii="仿宋_GB2312" w:eastAsia="仿宋_GB2312" w:hAnsi="仿宋_GB2312" w:cs="仿宋_GB2312" w:hint="eastAsia"/>
          <w:sz w:val="32"/>
          <w:szCs w:val="32"/>
        </w:rPr>
        <w:t>7</w:t>
      </w:r>
      <w:r>
        <w:rPr>
          <w:rStyle w:val="NormalCharacter"/>
          <w:rFonts w:ascii="仿宋_GB2312" w:eastAsia="仿宋_GB2312" w:hAnsi="仿宋_GB2312" w:cs="仿宋_GB2312" w:hint="eastAsia"/>
          <w:sz w:val="32"/>
          <w:szCs w:val="32"/>
        </w:rPr>
        <w:t>个村（社区）和车江铜矿社区服务中心共</w:t>
      </w:r>
      <w:r>
        <w:rPr>
          <w:rStyle w:val="NormalCharacter"/>
          <w:rFonts w:ascii="仿宋_GB2312" w:eastAsia="仿宋_GB2312" w:hAnsi="仿宋_GB2312" w:cs="仿宋_GB2312" w:hint="eastAsia"/>
          <w:sz w:val="32"/>
          <w:szCs w:val="32"/>
        </w:rPr>
        <w:t>26</w:t>
      </w:r>
      <w:r>
        <w:rPr>
          <w:rStyle w:val="NormalCharacter"/>
          <w:rFonts w:ascii="仿宋_GB2312" w:eastAsia="仿宋_GB2312" w:hAnsi="仿宋_GB2312" w:cs="仿宋_GB2312" w:hint="eastAsia"/>
          <w:sz w:val="32"/>
          <w:szCs w:val="32"/>
        </w:rPr>
        <w:t>个党组织进行政治体检。</w:t>
      </w:r>
    </w:p>
    <w:p w14:paraId="26AAB789"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（二）配合做好“未巡先改”工作。根据《省委巡视办未巡先改提示函》及衡办发电〔</w:t>
      </w:r>
      <w:r>
        <w:rPr>
          <w:rStyle w:val="NormalCharacter"/>
          <w:rFonts w:ascii="仿宋_GB2312" w:eastAsia="仿宋_GB2312" w:hAnsi="仿宋_GB2312" w:cs="仿宋_GB2312" w:hint="eastAsia"/>
          <w:sz w:val="32"/>
          <w:szCs w:val="32"/>
        </w:rPr>
        <w:t>2023</w:t>
      </w:r>
      <w:r>
        <w:rPr>
          <w:rStyle w:val="NormalCharacter"/>
          <w:rFonts w:ascii="仿宋_GB2312" w:eastAsia="仿宋_GB2312" w:hAnsi="仿宋_GB2312" w:cs="仿宋_GB2312" w:hint="eastAsia"/>
          <w:sz w:val="32"/>
          <w:szCs w:val="32"/>
        </w:rPr>
        <w:t>〕</w:t>
      </w:r>
      <w:r>
        <w:rPr>
          <w:rStyle w:val="NormalCharacter"/>
          <w:rFonts w:ascii="仿宋_GB2312" w:eastAsia="仿宋_GB2312" w:hAnsi="仿宋_GB2312" w:cs="仿宋_GB2312" w:hint="eastAsia"/>
          <w:sz w:val="32"/>
          <w:szCs w:val="32"/>
        </w:rPr>
        <w:t>12</w:t>
      </w:r>
      <w:r>
        <w:rPr>
          <w:rStyle w:val="NormalCharacter"/>
          <w:rFonts w:ascii="仿宋_GB2312" w:eastAsia="仿宋_GB2312" w:hAnsi="仿宋_GB2312" w:cs="仿宋_GB2312" w:hint="eastAsia"/>
          <w:sz w:val="32"/>
          <w:szCs w:val="32"/>
        </w:rPr>
        <w:t>号文件要求，全区认真对照省委巡视办下发的共性问题清单，全面开展自查自纠，扎实推进未</w:t>
      </w:r>
      <w:r>
        <w:rPr>
          <w:rStyle w:val="NormalCharacter"/>
          <w:rFonts w:ascii="仿宋_GB2312" w:eastAsia="仿宋_GB2312" w:hAnsi="仿宋_GB2312" w:cs="仿宋_GB2312" w:hint="eastAsia"/>
          <w:sz w:val="32"/>
          <w:szCs w:val="32"/>
        </w:rPr>
        <w:t>巡先改。</w:t>
      </w:r>
    </w:p>
    <w:p w14:paraId="1A6829A8" w14:textId="77777777" w:rsidR="003206F9" w:rsidRDefault="002E4262">
      <w:pPr>
        <w:ind w:firstLineChars="200" w:firstLine="640"/>
        <w:rPr>
          <w:rStyle w:val="NormalCharacter"/>
          <w:rFonts w:ascii="仿宋_GB2312" w:eastAsia="仿宋_GB2312" w:hAnsi="仿宋_GB2312" w:cs="仿宋_GB2312"/>
          <w:sz w:val="32"/>
          <w:szCs w:val="32"/>
        </w:rPr>
      </w:pPr>
      <w:r>
        <w:rPr>
          <w:rStyle w:val="NormalCharacter"/>
          <w:rFonts w:ascii="仿宋_GB2312" w:eastAsia="仿宋_GB2312" w:hAnsi="仿宋_GB2312" w:cs="仿宋_GB2312" w:hint="eastAsia"/>
          <w:sz w:val="32"/>
          <w:szCs w:val="32"/>
        </w:rPr>
        <w:t>（三）督促推进巡察整改工作。一是积极配合市委第五巡察组对去年市委开展村（社区）提级交叉巡察的山林村和南湖村的整改情况进行督查评估；二是统筹协调五届区委第三轮常规巡察区审计局、区统计局等六个单位的整改工作，同时也将情况反馈给被巡察单位的分管县级领导</w:t>
      </w:r>
      <w:r>
        <w:rPr>
          <w:rStyle w:val="NormalCharacter"/>
          <w:rFonts w:ascii="仿宋_GB2312" w:eastAsia="仿宋_GB2312" w:hAnsi="仿宋_GB2312" w:cs="仿宋_GB2312" w:hint="eastAsia"/>
          <w:sz w:val="32"/>
          <w:szCs w:val="32"/>
        </w:rPr>
        <w:t>,</w:t>
      </w:r>
      <w:r>
        <w:rPr>
          <w:rStyle w:val="NormalCharacter"/>
          <w:rFonts w:ascii="仿宋_GB2312" w:eastAsia="仿宋_GB2312" w:hAnsi="仿宋_GB2312" w:cs="仿宋_GB2312" w:hint="eastAsia"/>
          <w:sz w:val="32"/>
          <w:szCs w:val="32"/>
        </w:rPr>
        <w:t>努力推动同题共答，达到“一起做工作”的目的。三是督促区纪委相关联点室完成五届区委第二轮、第三轮常规巡察单位的反馈问题整改评估工作。</w:t>
      </w:r>
    </w:p>
    <w:p w14:paraId="65C67E3A" w14:textId="77777777" w:rsidR="003206F9" w:rsidRDefault="002E4262">
      <w:pPr>
        <w:ind w:firstLineChars="200" w:firstLine="640"/>
        <w:rPr>
          <w:rFonts w:ascii="黑体" w:eastAsia="黑体" w:hAnsi="黑体" w:cs="黑体"/>
          <w:bCs/>
          <w:color w:val="000000"/>
          <w:kern w:val="0"/>
          <w:sz w:val="32"/>
          <w:szCs w:val="32"/>
        </w:rPr>
      </w:pPr>
      <w:r>
        <w:rPr>
          <w:rFonts w:ascii="黑体" w:eastAsia="黑体" w:hAnsi="黑体" w:cs="黑体" w:hint="eastAsia"/>
          <w:bCs/>
          <w:color w:val="000000"/>
          <w:kern w:val="0"/>
          <w:sz w:val="32"/>
          <w:szCs w:val="32"/>
        </w:rPr>
        <w:t>四、存在的不足</w:t>
      </w:r>
    </w:p>
    <w:p w14:paraId="5B9B5FB9" w14:textId="77777777" w:rsidR="003206F9" w:rsidRDefault="002E4262">
      <w:pPr>
        <w:ind w:firstLineChars="200" w:firstLine="640"/>
      </w:pPr>
      <w:r>
        <w:rPr>
          <w:rStyle w:val="NormalCharacter"/>
          <w:rFonts w:ascii="仿宋_GB2312" w:eastAsia="仿宋_GB2312" w:hAnsi="仿宋_GB2312" w:cs="仿宋_GB2312" w:hint="eastAsia"/>
          <w:sz w:val="32"/>
          <w:szCs w:val="32"/>
        </w:rPr>
        <w:t>运用绩效指标评价体系还不够深入，全面绩效责任约束作用有待加强。</w:t>
      </w:r>
    </w:p>
    <w:sectPr w:rsidR="003206F9">
      <w:pgSz w:w="11906" w:h="16838"/>
      <w:pgMar w:top="720" w:right="720" w:bottom="720" w:left="720" w:header="851" w:footer="992" w:gutter="0"/>
      <w:cols w:space="425"/>
      <w:docGrid w:type="linesAndChar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_GBK">
    <w:altName w:val="微软雅黑"/>
    <w:charset w:val="86"/>
    <w:family w:val="auto"/>
    <w:pitch w:val="default"/>
    <w:sig w:usb0="00000001" w:usb1="080E0000" w:usb2="00000000" w:usb3="00000000" w:csb0="00040000" w:csb1="00000000"/>
  </w:font>
  <w:font w:name="仿宋_GB2312">
    <w:altName w:val="微软雅黑"/>
    <w:charset w:val="86"/>
    <w:family w:val="modern"/>
    <w:pitch w:val="default"/>
    <w:sig w:usb0="00000001" w:usb1="080E0000" w:usb2="00000000" w:usb3="00000000" w:csb0="00040000" w:csb1="00000000"/>
  </w:font>
  <w:font w:name="楷体_GB2312">
    <w:altName w:val="微软雅黑"/>
    <w:charset w:val="86"/>
    <w:family w:val="auto"/>
    <w:pitch w:val="default"/>
    <w:sig w:usb0="00000001" w:usb1="080E0000" w:usb2="0000000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TA2MDk5ZWI4YWE3NjcyZTc4OWRmZmUwN2NiNzlhODMifQ=="/>
  </w:docVars>
  <w:rsids>
    <w:rsidRoot w:val="47A70B54"/>
    <w:rsid w:val="002E4262"/>
    <w:rsid w:val="003206F9"/>
    <w:rsid w:val="16414353"/>
    <w:rsid w:val="1BA06B73"/>
    <w:rsid w:val="24BB7638"/>
    <w:rsid w:val="32036A87"/>
    <w:rsid w:val="37113475"/>
    <w:rsid w:val="38832151"/>
    <w:rsid w:val="440B15C5"/>
    <w:rsid w:val="47A70B54"/>
    <w:rsid w:val="53E42C1A"/>
    <w:rsid w:val="66064C0D"/>
    <w:rsid w:val="6EF8049C"/>
    <w:rsid w:val="7E374D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D9BE76E"/>
  <w15:docId w15:val="{F8044727-FA65-42F5-B8E1-07D552B6CD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link w:val="NormalCharacter"/>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NormalCharacter">
    <w:name w:val="NormalCharacter"/>
    <w:semiHidden/>
    <w:qFormat/>
    <w:rPr>
      <w:rFonts w:asciiTheme="minorHAnsi" w:eastAsiaTheme="minorEastAsia" w:hAnsiTheme="minorHAnsi" w:cstheme="minorBidi"/>
      <w:kern w:val="2"/>
      <w:sz w:val="21"/>
      <w:szCs w:val="22"/>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TotalTime>
  <Pages>3</Pages>
  <Words>277</Words>
  <Characters>1584</Characters>
  <Application>Microsoft Office Word</Application>
  <DocSecurity>0</DocSecurity>
  <Lines>13</Lines>
  <Paragraphs>3</Paragraphs>
  <ScaleCrop>false</ScaleCrop>
  <Company/>
  <LinksUpToDate>false</LinksUpToDate>
  <CharactersWithSpaces>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2</cp:revision>
  <cp:lastPrinted>2024-09-19T04:35:00Z</cp:lastPrinted>
  <dcterms:created xsi:type="dcterms:W3CDTF">2023-10-11T03:32:00Z</dcterms:created>
  <dcterms:modified xsi:type="dcterms:W3CDTF">2024-10-15T02:56:00Z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2052-12.1.0.18166</vt:lpwstr>
  </property>
  <property fmtid="{D5CDD505-2E9C-101B-9397-08002B2CF9AE}" pid="3" name="ICV">
    <vt:lpwstr>4BD2D967C82C46D48276766962C14959_13</vt:lpwstr>
  </property>
</Properties>
</file>