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0EBC" w14:textId="77777777" w:rsidR="008E69A2" w:rsidRDefault="00AA4221">
      <w:pPr>
        <w:ind w:firstLineChars="200" w:firstLine="723"/>
        <w:jc w:val="center"/>
        <w:rPr>
          <w:rFonts w:asciiTheme="minorEastAsia" w:hAnsiTheme="minorEastAsia" w:cs="黑体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6"/>
          <w:szCs w:val="36"/>
        </w:rPr>
        <w:t>202</w:t>
      </w:r>
      <w:r>
        <w:rPr>
          <w:rFonts w:asciiTheme="minorEastAsia" w:hAnsiTheme="minorEastAsia" w:cs="黑体" w:hint="eastAsia"/>
          <w:b/>
          <w:color w:val="000000"/>
          <w:kern w:val="0"/>
          <w:sz w:val="36"/>
          <w:szCs w:val="36"/>
        </w:rPr>
        <w:t>3</w:t>
      </w:r>
      <w:r>
        <w:rPr>
          <w:rFonts w:asciiTheme="minorEastAsia" w:hAnsiTheme="minorEastAsia" w:cs="黑体" w:hint="eastAsia"/>
          <w:b/>
          <w:color w:val="000000"/>
          <w:kern w:val="0"/>
          <w:sz w:val="36"/>
          <w:szCs w:val="36"/>
        </w:rPr>
        <w:t>年度部门整体支出绩效</w:t>
      </w:r>
      <w:r>
        <w:rPr>
          <w:rFonts w:asciiTheme="minorEastAsia" w:hAnsiTheme="minorEastAsia" w:cs="黑体" w:hint="eastAsia"/>
          <w:b/>
          <w:color w:val="000000"/>
          <w:kern w:val="0"/>
          <w:sz w:val="36"/>
          <w:szCs w:val="36"/>
        </w:rPr>
        <w:t>自</w:t>
      </w:r>
      <w:r>
        <w:rPr>
          <w:rFonts w:asciiTheme="minorEastAsia" w:hAnsiTheme="minorEastAsia" w:cs="黑体" w:hint="eastAsia"/>
          <w:b/>
          <w:color w:val="000000"/>
          <w:kern w:val="0"/>
          <w:sz w:val="36"/>
          <w:szCs w:val="36"/>
        </w:rPr>
        <w:t>评报告</w:t>
      </w:r>
    </w:p>
    <w:p w14:paraId="69A2BF19" w14:textId="77777777" w:rsidR="008E69A2" w:rsidRDefault="00AA4221">
      <w:pPr>
        <w:ind w:firstLineChars="200" w:firstLine="602"/>
        <w:jc w:val="center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中共</w:t>
      </w: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雁峰区纪律检查委员会</w:t>
      </w:r>
    </w:p>
    <w:p w14:paraId="2ADF1336" w14:textId="77777777" w:rsidR="008E69A2" w:rsidRDefault="008E69A2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49848971" w14:textId="34D0F9C9" w:rsidR="008E69A2" w:rsidRDefault="00AA4221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根据《中华人民共和国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预算法》有关“各级政府、各部门、各单位应当对预算支出情况开展绩效评价”的规定，结合实际情况，我委对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年度部门整体支出进行了绩效自评，现报告如下：</w:t>
      </w:r>
    </w:p>
    <w:p w14:paraId="2BAFFD49" w14:textId="77777777" w:rsidR="008E69A2" w:rsidRDefault="00AA4221">
      <w:pPr>
        <w:ind w:firstLineChars="200" w:firstLine="602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一、基本情况</w:t>
      </w:r>
    </w:p>
    <w:p w14:paraId="09205A1B" w14:textId="77777777" w:rsidR="008E69A2" w:rsidRDefault="00AA4221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、主要职责</w:t>
      </w:r>
    </w:p>
    <w:p w14:paraId="0ABB77A2" w14:textId="77777777" w:rsidR="008E69A2" w:rsidRDefault="00AA422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中共雁峰区纪律检查委员会和区监委合署办公，行使监督检查和审查调查职能，是党内监督和国家监察的专责机关，政治机关。主要工作职责：部门职能职责因内容涉密，不予公开。</w:t>
      </w:r>
    </w:p>
    <w:p w14:paraId="70355859" w14:textId="77777777" w:rsidR="008E69A2" w:rsidRDefault="00AA4221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机构设置及决算单位构成</w:t>
      </w:r>
    </w:p>
    <w:p w14:paraId="491543E2" w14:textId="77777777" w:rsidR="008E69A2" w:rsidRDefault="00AA4221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中共雁峰区纪委监委设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个内设机构包括：办公室、第一至第四纪检监察室、组织部、案件审理室、案件监督管理办公室、信访室、党风政风监督室、纪检监察干部监督室。</w:t>
      </w:r>
    </w:p>
    <w:p w14:paraId="046368C2" w14:textId="77777777" w:rsidR="008E69A2" w:rsidRDefault="00AA4221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中共雁峰区纪委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年部门决算汇总公开单位构成为中共雁峰区纪委和区监察委本级，区纪委和区监察委属于合署办公，经费由区纪委统一核算，下辖事业单位财务监察所和信息中心事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业单位财务归属本级，未进行独立核算。</w:t>
      </w:r>
    </w:p>
    <w:p w14:paraId="6327A0B4" w14:textId="77777777" w:rsidR="008E69A2" w:rsidRDefault="00AA4221">
      <w:pPr>
        <w:ind w:firstLineChars="200" w:firstLine="602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二、部门整体支出管理及使用情况</w:t>
      </w:r>
    </w:p>
    <w:p w14:paraId="2BEF9BA0" w14:textId="77777777" w:rsidR="008E69A2" w:rsidRDefault="00AA4221">
      <w:pPr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年部门预算情况</w:t>
      </w:r>
    </w:p>
    <w:p w14:paraId="7BFBB14B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20</w:t>
      </w:r>
      <w:r>
        <w:rPr>
          <w:rFonts w:ascii="仿宋" w:eastAsia="仿宋" w:hAnsi="仿宋" w:cs="仿宋" w:hint="eastAsia"/>
          <w:kern w:val="0"/>
          <w:sz w:val="30"/>
          <w:szCs w:val="30"/>
        </w:rPr>
        <w:t>23</w:t>
      </w:r>
      <w:r>
        <w:rPr>
          <w:rFonts w:ascii="仿宋" w:eastAsia="仿宋" w:hAnsi="仿宋" w:cs="仿宋" w:hint="eastAsia"/>
          <w:kern w:val="0"/>
          <w:sz w:val="30"/>
          <w:szCs w:val="30"/>
        </w:rPr>
        <w:t>年度收入预算</w:t>
      </w:r>
      <w:r>
        <w:rPr>
          <w:rFonts w:ascii="仿宋" w:eastAsia="仿宋" w:hAnsi="仿宋" w:cs="仿宋" w:hint="eastAsia"/>
          <w:kern w:val="0"/>
          <w:sz w:val="30"/>
          <w:szCs w:val="30"/>
        </w:rPr>
        <w:t>1517.49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万元（其中：一般公共预算拨款</w:t>
      </w:r>
      <w:r>
        <w:rPr>
          <w:rFonts w:ascii="仿宋" w:eastAsia="仿宋" w:hAnsi="仿宋" w:cs="仿宋" w:hint="eastAsia"/>
          <w:kern w:val="0"/>
          <w:sz w:val="30"/>
          <w:szCs w:val="30"/>
        </w:rPr>
        <w:t>1517.49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万元），其中：基本支出</w:t>
      </w:r>
      <w:r>
        <w:rPr>
          <w:rFonts w:ascii="仿宋" w:eastAsia="仿宋" w:hAnsi="仿宋" w:cs="仿宋" w:hint="eastAsia"/>
          <w:kern w:val="0"/>
          <w:sz w:val="30"/>
          <w:szCs w:val="30"/>
        </w:rPr>
        <w:t>781.09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万元（工资福利支出</w:t>
      </w:r>
      <w:r>
        <w:rPr>
          <w:rFonts w:ascii="仿宋" w:eastAsia="仿宋" w:hAnsi="仿宋" w:cs="仿宋" w:hint="eastAsia"/>
          <w:kern w:val="0"/>
          <w:sz w:val="30"/>
          <w:szCs w:val="30"/>
        </w:rPr>
        <w:t>675.49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万元，商品和服务支出</w:t>
      </w:r>
      <w:r>
        <w:rPr>
          <w:rFonts w:ascii="仿宋" w:eastAsia="仿宋" w:hAnsi="仿宋" w:cs="仿宋" w:hint="eastAsia"/>
          <w:kern w:val="0"/>
          <w:sz w:val="30"/>
          <w:szCs w:val="30"/>
        </w:rPr>
        <w:t>105.6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万元）；项目支出</w:t>
      </w:r>
      <w:r>
        <w:rPr>
          <w:rFonts w:ascii="仿宋" w:eastAsia="仿宋" w:hAnsi="仿宋" w:cs="仿宋" w:hint="eastAsia"/>
          <w:kern w:val="0"/>
          <w:sz w:val="30"/>
          <w:szCs w:val="30"/>
        </w:rPr>
        <w:t>736.4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万元。</w:t>
      </w:r>
    </w:p>
    <w:p w14:paraId="3340999D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</w:t>
      </w:r>
      <w:r>
        <w:rPr>
          <w:rFonts w:ascii="仿宋" w:eastAsia="仿宋" w:hAnsi="仿宋" w:cs="仿宋" w:hint="eastAsia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kern w:val="0"/>
          <w:sz w:val="30"/>
          <w:szCs w:val="30"/>
        </w:rPr>
        <w:t>23</w:t>
      </w:r>
      <w:r>
        <w:rPr>
          <w:rFonts w:ascii="仿宋" w:eastAsia="仿宋" w:hAnsi="仿宋" w:cs="仿宋" w:hint="eastAsia"/>
          <w:kern w:val="0"/>
          <w:sz w:val="30"/>
          <w:szCs w:val="30"/>
        </w:rPr>
        <w:t>年部门决算情况</w:t>
      </w:r>
    </w:p>
    <w:p w14:paraId="7CABB374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2023</w:t>
      </w:r>
      <w:r>
        <w:rPr>
          <w:rFonts w:ascii="仿宋" w:eastAsia="仿宋" w:hAnsi="仿宋" w:cs="仿宋" w:hint="eastAsia"/>
          <w:kern w:val="0"/>
          <w:sz w:val="30"/>
          <w:szCs w:val="30"/>
        </w:rPr>
        <w:t>年收入决算数</w:t>
      </w:r>
      <w:r>
        <w:rPr>
          <w:rFonts w:ascii="仿宋" w:eastAsia="仿宋" w:hAnsi="仿宋" w:cs="仿宋" w:hint="eastAsia"/>
          <w:kern w:val="0"/>
          <w:sz w:val="30"/>
          <w:szCs w:val="30"/>
        </w:rPr>
        <w:t>1412.55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万元，其中财政拨款收入</w:t>
      </w:r>
      <w:r>
        <w:rPr>
          <w:rFonts w:ascii="仿宋" w:eastAsia="仿宋" w:hAnsi="仿宋" w:cs="仿宋" w:hint="eastAsia"/>
          <w:kern w:val="0"/>
          <w:sz w:val="30"/>
          <w:szCs w:val="30"/>
        </w:rPr>
        <w:t>1412.15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万元。本年度收入决算数较上年收入决算数比上年增加</w:t>
      </w:r>
      <w:r>
        <w:rPr>
          <w:rFonts w:ascii="仿宋" w:eastAsia="仿宋" w:hAnsi="仿宋" w:cs="仿宋" w:hint="eastAsia"/>
          <w:kern w:val="0"/>
          <w:sz w:val="30"/>
          <w:szCs w:val="30"/>
        </w:rPr>
        <w:t>2.22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万元，增加</w:t>
      </w:r>
      <w:r>
        <w:rPr>
          <w:rFonts w:ascii="仿宋" w:eastAsia="仿宋" w:hAnsi="仿宋" w:cs="仿宋" w:hint="eastAsia"/>
          <w:kern w:val="0"/>
          <w:sz w:val="30"/>
          <w:szCs w:val="30"/>
        </w:rPr>
        <w:t>0.16%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14:paraId="4F1411E6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2023</w:t>
      </w:r>
      <w:r>
        <w:rPr>
          <w:rFonts w:ascii="仿宋" w:eastAsia="仿宋" w:hAnsi="仿宋" w:cs="仿宋" w:hint="eastAsia"/>
          <w:kern w:val="0"/>
          <w:sz w:val="30"/>
          <w:szCs w:val="30"/>
        </w:rPr>
        <w:t>年支出决算数</w:t>
      </w:r>
      <w:r>
        <w:rPr>
          <w:rFonts w:ascii="仿宋" w:eastAsia="仿宋" w:hAnsi="仿宋" w:cs="仿宋" w:hint="eastAsia"/>
          <w:kern w:val="0"/>
          <w:sz w:val="30"/>
          <w:szCs w:val="30"/>
        </w:rPr>
        <w:t>1412.55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万元，其中：人员经费</w:t>
      </w:r>
      <w:r>
        <w:rPr>
          <w:rFonts w:ascii="仿宋" w:eastAsia="仿宋" w:hAnsi="仿宋" w:cs="仿宋" w:hint="eastAsia"/>
          <w:kern w:val="0"/>
          <w:sz w:val="30"/>
          <w:szCs w:val="30"/>
        </w:rPr>
        <w:t>839.90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万元，日常公用经费</w:t>
      </w:r>
      <w:r>
        <w:rPr>
          <w:rFonts w:ascii="仿宋" w:eastAsia="仿宋" w:hAnsi="仿宋" w:cs="仿宋" w:hint="eastAsia"/>
          <w:kern w:val="0"/>
          <w:sz w:val="30"/>
          <w:szCs w:val="30"/>
        </w:rPr>
        <w:t>169.36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万元，项目支出</w:t>
      </w:r>
      <w:r>
        <w:rPr>
          <w:rFonts w:ascii="仿宋" w:eastAsia="仿宋" w:hAnsi="仿宋" w:cs="仿宋" w:hint="eastAsia"/>
          <w:kern w:val="0"/>
          <w:sz w:val="30"/>
          <w:szCs w:val="30"/>
        </w:rPr>
        <w:t>403.29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万元。本年度支出决算数较上年支出决算数增加</w:t>
      </w:r>
      <w:r>
        <w:rPr>
          <w:rFonts w:ascii="仿宋" w:eastAsia="仿宋" w:hAnsi="仿宋" w:cs="仿宋" w:hint="eastAsia"/>
          <w:kern w:val="0"/>
          <w:sz w:val="30"/>
          <w:szCs w:val="30"/>
        </w:rPr>
        <w:t>2.22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万元，增加</w:t>
      </w:r>
      <w:r>
        <w:rPr>
          <w:rFonts w:ascii="仿宋" w:eastAsia="仿宋" w:hAnsi="仿宋" w:cs="仿宋" w:hint="eastAsia"/>
          <w:kern w:val="0"/>
          <w:sz w:val="30"/>
          <w:szCs w:val="30"/>
        </w:rPr>
        <w:t>0.16%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14:paraId="67563FB5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（三）</w:t>
      </w:r>
      <w:r>
        <w:rPr>
          <w:rFonts w:ascii="仿宋" w:eastAsia="仿宋" w:hAnsi="仿宋" w:cs="仿宋" w:hint="eastAsia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kern w:val="0"/>
          <w:sz w:val="30"/>
          <w:szCs w:val="30"/>
        </w:rPr>
        <w:t>23</w:t>
      </w:r>
      <w:r>
        <w:rPr>
          <w:rFonts w:ascii="仿宋" w:eastAsia="仿宋" w:hAnsi="仿宋" w:cs="仿宋" w:hint="eastAsia"/>
          <w:kern w:val="0"/>
          <w:sz w:val="30"/>
          <w:szCs w:val="30"/>
        </w:rPr>
        <w:t>年支出分类情况</w:t>
      </w:r>
    </w:p>
    <w:p w14:paraId="78D0F0B8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</w:rPr>
        <w:t>基本支出</w:t>
      </w:r>
    </w:p>
    <w:p w14:paraId="133341BC" w14:textId="77777777" w:rsidR="008E69A2" w:rsidRDefault="00AA4221">
      <w:pPr>
        <w:pStyle w:val="Defaul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基本支出系保障我委正常运转、完成日常工作任务而发生的各项支出，包括用于在职和离退休人员基本工资、津贴补贴等人员经费以及办公</w:t>
      </w:r>
      <w:r>
        <w:rPr>
          <w:rFonts w:ascii="仿宋" w:eastAsia="仿宋" w:hAnsi="仿宋" w:cs="仿宋" w:hint="eastAsia"/>
          <w:sz w:val="30"/>
          <w:szCs w:val="30"/>
        </w:rPr>
        <w:t>费、印刷费、水电费、维修（护）费等日常公用经费。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年基本支出</w:t>
      </w:r>
      <w:r>
        <w:rPr>
          <w:rFonts w:ascii="仿宋" w:eastAsia="仿宋" w:hAnsi="仿宋" w:cs="仿宋" w:hint="eastAsia"/>
          <w:sz w:val="30"/>
          <w:szCs w:val="30"/>
        </w:rPr>
        <w:t>1009.26</w:t>
      </w:r>
      <w:r>
        <w:rPr>
          <w:rFonts w:ascii="仿宋" w:eastAsia="仿宋" w:hAnsi="仿宋" w:cs="仿宋" w:hint="eastAsia"/>
          <w:sz w:val="30"/>
          <w:szCs w:val="30"/>
        </w:rPr>
        <w:t>万元，较上年</w:t>
      </w:r>
      <w:r>
        <w:rPr>
          <w:rFonts w:ascii="仿宋" w:eastAsia="仿宋" w:hAnsi="仿宋" w:cs="仿宋" w:hint="eastAsia"/>
          <w:sz w:val="30"/>
          <w:szCs w:val="30"/>
        </w:rPr>
        <w:t>1124.22</w:t>
      </w:r>
      <w:r>
        <w:rPr>
          <w:rFonts w:ascii="仿宋" w:eastAsia="仿宋" w:hAnsi="仿宋" w:cs="仿宋" w:hint="eastAsia"/>
          <w:sz w:val="30"/>
          <w:szCs w:val="30"/>
        </w:rPr>
        <w:t>万元减少</w:t>
      </w:r>
      <w:r>
        <w:rPr>
          <w:rFonts w:ascii="仿宋" w:eastAsia="仿宋" w:hAnsi="仿宋" w:cs="仿宋" w:hint="eastAsia"/>
          <w:sz w:val="30"/>
          <w:szCs w:val="30"/>
        </w:rPr>
        <w:t>114.96</w:t>
      </w:r>
      <w:r>
        <w:rPr>
          <w:rFonts w:ascii="仿宋" w:eastAsia="仿宋" w:hAnsi="仿宋" w:cs="仿宋" w:hint="eastAsia"/>
          <w:sz w:val="30"/>
          <w:szCs w:val="30"/>
        </w:rPr>
        <w:t>万元，减少</w:t>
      </w:r>
      <w:r>
        <w:rPr>
          <w:rFonts w:ascii="仿宋" w:eastAsia="仿宋" w:hAnsi="仿宋" w:cs="仿宋" w:hint="eastAsia"/>
          <w:sz w:val="30"/>
          <w:szCs w:val="30"/>
        </w:rPr>
        <w:t>10.22</w:t>
      </w:r>
      <w:r>
        <w:rPr>
          <w:rFonts w:ascii="仿宋" w:eastAsia="仿宋" w:hAnsi="仿宋" w:cs="仿宋" w:hint="eastAsia"/>
          <w:sz w:val="30"/>
          <w:szCs w:val="30"/>
        </w:rPr>
        <w:t>%</w:t>
      </w:r>
      <w:r>
        <w:rPr>
          <w:rFonts w:ascii="仿宋" w:eastAsia="仿宋" w:hAnsi="仿宋" w:cs="仿宋" w:hint="eastAsia"/>
          <w:sz w:val="30"/>
          <w:szCs w:val="30"/>
        </w:rPr>
        <w:t>。基本支出中人员经费</w:t>
      </w:r>
      <w:r>
        <w:rPr>
          <w:rFonts w:ascii="仿宋" w:eastAsia="仿宋" w:hAnsi="仿宋" w:cs="仿宋" w:hint="eastAsia"/>
          <w:sz w:val="30"/>
          <w:szCs w:val="30"/>
        </w:rPr>
        <w:t>839.90</w:t>
      </w:r>
      <w:r>
        <w:rPr>
          <w:rFonts w:ascii="仿宋" w:eastAsia="仿宋" w:hAnsi="仿宋" w:cs="仿宋" w:hint="eastAsia"/>
          <w:sz w:val="30"/>
          <w:szCs w:val="30"/>
        </w:rPr>
        <w:t>万元，占比</w:t>
      </w:r>
      <w:r>
        <w:rPr>
          <w:rFonts w:ascii="仿宋" w:eastAsia="仿宋" w:hAnsi="仿宋" w:cs="仿宋" w:hint="eastAsia"/>
          <w:sz w:val="30"/>
          <w:szCs w:val="30"/>
        </w:rPr>
        <w:t>83.22</w:t>
      </w:r>
      <w:r>
        <w:rPr>
          <w:rFonts w:ascii="仿宋" w:eastAsia="仿宋" w:hAnsi="仿宋" w:cs="仿宋" w:hint="eastAsia"/>
          <w:sz w:val="30"/>
          <w:szCs w:val="30"/>
        </w:rPr>
        <w:t>%</w:t>
      </w:r>
      <w:r>
        <w:rPr>
          <w:rFonts w:ascii="仿宋" w:eastAsia="仿宋" w:hAnsi="仿宋" w:cs="仿宋" w:hint="eastAsia"/>
          <w:sz w:val="30"/>
          <w:szCs w:val="30"/>
        </w:rPr>
        <w:t>，日常公用经费</w:t>
      </w:r>
      <w:r>
        <w:rPr>
          <w:rFonts w:ascii="仿宋" w:eastAsia="仿宋" w:hAnsi="仿宋" w:cs="仿宋" w:hint="eastAsia"/>
          <w:sz w:val="30"/>
          <w:szCs w:val="30"/>
        </w:rPr>
        <w:t>169.36</w:t>
      </w:r>
      <w:r>
        <w:rPr>
          <w:rFonts w:ascii="仿宋" w:eastAsia="仿宋" w:hAnsi="仿宋" w:cs="仿宋" w:hint="eastAsia"/>
          <w:sz w:val="30"/>
          <w:szCs w:val="30"/>
        </w:rPr>
        <w:t>万元，占比</w:t>
      </w:r>
      <w:r>
        <w:rPr>
          <w:rFonts w:ascii="仿宋" w:eastAsia="仿宋" w:hAnsi="仿宋" w:cs="仿宋" w:hint="eastAsia"/>
          <w:sz w:val="30"/>
          <w:szCs w:val="30"/>
        </w:rPr>
        <w:t>16.78</w:t>
      </w:r>
      <w:r>
        <w:rPr>
          <w:rFonts w:ascii="仿宋" w:eastAsia="仿宋" w:hAnsi="仿宋" w:cs="仿宋" w:hint="eastAsia"/>
          <w:sz w:val="30"/>
          <w:szCs w:val="30"/>
        </w:rPr>
        <w:t>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29207A40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</w:t>
      </w:r>
      <w:r>
        <w:rPr>
          <w:rFonts w:ascii="仿宋" w:eastAsia="仿宋" w:hAnsi="仿宋" w:cs="仿宋" w:hint="eastAsia"/>
          <w:kern w:val="0"/>
          <w:sz w:val="30"/>
          <w:szCs w:val="30"/>
        </w:rPr>
        <w:t>项目支出</w:t>
      </w:r>
    </w:p>
    <w:p w14:paraId="00BD2619" w14:textId="77777777" w:rsidR="008E69A2" w:rsidRDefault="00AA4221">
      <w:pPr>
        <w:snapToGrid w:val="0"/>
        <w:spacing w:line="600" w:lineRule="exac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项目支出系</w:t>
      </w:r>
      <w:r>
        <w:rPr>
          <w:rFonts w:ascii="仿宋" w:eastAsia="仿宋" w:hAnsi="仿宋" w:cs="仿宋" w:hint="eastAsia"/>
          <w:kern w:val="0"/>
          <w:sz w:val="30"/>
          <w:szCs w:val="30"/>
        </w:rPr>
        <w:t>案件查办及党风廉政建设相关费用支出</w:t>
      </w:r>
      <w:r>
        <w:rPr>
          <w:rFonts w:ascii="仿宋" w:eastAsia="仿宋" w:hAnsi="仿宋" w:cs="仿宋" w:hint="eastAsia"/>
          <w:kern w:val="0"/>
          <w:sz w:val="30"/>
          <w:szCs w:val="30"/>
        </w:rPr>
        <w:t>(</w:t>
      </w:r>
      <w:r>
        <w:rPr>
          <w:rFonts w:ascii="仿宋" w:eastAsia="仿宋" w:hAnsi="仿宋" w:cs="仿宋" w:hint="eastAsia"/>
          <w:kern w:val="0"/>
          <w:sz w:val="30"/>
          <w:szCs w:val="30"/>
        </w:rPr>
        <w:t>办案点产生的食宿、办公及人工费，本委廉政文化建设相关费用、设备购置费用等</w:t>
      </w:r>
      <w:r>
        <w:rPr>
          <w:rFonts w:ascii="仿宋" w:eastAsia="仿宋" w:hAnsi="仿宋" w:cs="仿宋" w:hint="eastAsia"/>
          <w:kern w:val="0"/>
          <w:sz w:val="30"/>
          <w:szCs w:val="30"/>
        </w:rPr>
        <w:t>)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  <w:r>
        <w:rPr>
          <w:rFonts w:ascii="仿宋" w:eastAsia="仿宋" w:hAnsi="仿宋" w:cs="仿宋" w:hint="eastAsia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kern w:val="0"/>
          <w:sz w:val="30"/>
          <w:szCs w:val="30"/>
        </w:rPr>
        <w:t>23</w:t>
      </w:r>
      <w:r>
        <w:rPr>
          <w:rFonts w:ascii="仿宋" w:eastAsia="仿宋" w:hAnsi="仿宋" w:cs="仿宋" w:hint="eastAsia"/>
          <w:kern w:val="0"/>
          <w:sz w:val="30"/>
          <w:szCs w:val="30"/>
        </w:rPr>
        <w:t>年项目支出</w:t>
      </w:r>
      <w:r>
        <w:rPr>
          <w:rFonts w:ascii="仿宋" w:eastAsia="仿宋" w:hAnsi="仿宋" w:cs="仿宋" w:hint="eastAsia"/>
          <w:kern w:val="0"/>
          <w:sz w:val="30"/>
          <w:szCs w:val="30"/>
        </w:rPr>
        <w:t>403.29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万元，较上年</w:t>
      </w:r>
      <w:r>
        <w:rPr>
          <w:rFonts w:ascii="仿宋" w:eastAsia="仿宋" w:hAnsi="仿宋" w:cs="仿宋" w:hint="eastAsia"/>
          <w:kern w:val="0"/>
          <w:sz w:val="30"/>
          <w:szCs w:val="30"/>
        </w:rPr>
        <w:t>286.11</w:t>
      </w:r>
      <w:r>
        <w:rPr>
          <w:rFonts w:ascii="仿宋" w:eastAsia="仿宋" w:hAnsi="仿宋" w:cs="仿宋" w:hint="eastAsia"/>
          <w:kern w:val="0"/>
          <w:sz w:val="30"/>
          <w:szCs w:val="30"/>
        </w:rPr>
        <w:t>万</w:t>
      </w: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元增加</w:t>
      </w:r>
      <w:r>
        <w:rPr>
          <w:rFonts w:ascii="仿宋" w:eastAsia="仿宋" w:hAnsi="仿宋" w:cs="仿宋" w:hint="eastAsia"/>
          <w:kern w:val="0"/>
          <w:sz w:val="30"/>
          <w:szCs w:val="30"/>
        </w:rPr>
        <w:t>117.18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万元，增加</w:t>
      </w:r>
      <w:r>
        <w:rPr>
          <w:rFonts w:ascii="仿宋" w:eastAsia="仿宋" w:hAnsi="仿宋" w:cs="仿宋" w:hint="eastAsia"/>
          <w:kern w:val="0"/>
          <w:sz w:val="30"/>
          <w:szCs w:val="30"/>
        </w:rPr>
        <w:t>40.96%</w:t>
      </w:r>
      <w:r>
        <w:rPr>
          <w:rFonts w:ascii="仿宋" w:eastAsia="仿宋" w:hAnsi="仿宋" w:cs="仿宋" w:hint="eastAsia"/>
          <w:kern w:val="0"/>
          <w:sz w:val="30"/>
          <w:szCs w:val="30"/>
        </w:rPr>
        <w:t>。项目支出中行政事业类项目</w:t>
      </w:r>
      <w:r>
        <w:rPr>
          <w:rFonts w:ascii="仿宋" w:eastAsia="仿宋" w:hAnsi="仿宋" w:cs="仿宋" w:hint="eastAsia"/>
          <w:kern w:val="0"/>
          <w:sz w:val="30"/>
          <w:szCs w:val="30"/>
        </w:rPr>
        <w:t>403.29</w:t>
      </w:r>
      <w:r>
        <w:rPr>
          <w:rFonts w:ascii="仿宋" w:eastAsia="仿宋" w:hAnsi="仿宋" w:cs="仿宋" w:hint="eastAsia"/>
          <w:kern w:val="0"/>
          <w:sz w:val="30"/>
          <w:szCs w:val="30"/>
        </w:rPr>
        <w:t>万元，占比</w:t>
      </w:r>
      <w:r>
        <w:rPr>
          <w:rFonts w:ascii="仿宋" w:eastAsia="仿宋" w:hAnsi="仿宋" w:cs="仿宋" w:hint="eastAsia"/>
          <w:kern w:val="0"/>
          <w:sz w:val="30"/>
          <w:szCs w:val="30"/>
        </w:rPr>
        <w:t>100</w:t>
      </w:r>
      <w:r>
        <w:rPr>
          <w:rFonts w:ascii="仿宋" w:eastAsia="仿宋" w:hAnsi="仿宋" w:cs="仿宋" w:hint="eastAsia"/>
          <w:kern w:val="0"/>
          <w:sz w:val="30"/>
          <w:szCs w:val="30"/>
        </w:rPr>
        <w:t>%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14:paraId="070D2BFB" w14:textId="77777777" w:rsidR="008E69A2" w:rsidRDefault="00AA4221">
      <w:pPr>
        <w:pStyle w:val="Default"/>
        <w:ind w:left="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“三公”经费情况</w:t>
      </w:r>
    </w:p>
    <w:p w14:paraId="7CE9137C" w14:textId="77777777" w:rsidR="008E69A2" w:rsidRDefault="00AA4221">
      <w:pPr>
        <w:pStyle w:val="Default"/>
        <w:ind w:firstLineChars="200"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“三公”经费财政拨款支出预算为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11.85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万元，支出决算为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10.09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万元，完成预算的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85.15%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，其中：</w:t>
      </w:r>
    </w:p>
    <w:p w14:paraId="24544295" w14:textId="77777777" w:rsidR="008E69A2" w:rsidRDefault="00AA4221">
      <w:pPr>
        <w:pStyle w:val="Default"/>
        <w:ind w:firstLineChars="200"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因公出国（境）费支出预算为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万元，支出决算为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万元，完成预算的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0%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。</w:t>
      </w:r>
    </w:p>
    <w:p w14:paraId="1D4643A8" w14:textId="77777777" w:rsidR="008E69A2" w:rsidRDefault="00AA4221">
      <w:pPr>
        <w:pStyle w:val="Default"/>
        <w:ind w:firstLineChars="200"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公务接待费支出预算为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1.85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万元，支出决算为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0.09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万元，完成预算的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4.86%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。</w:t>
      </w:r>
    </w:p>
    <w:p w14:paraId="510B5A2D" w14:textId="77777777" w:rsidR="008E69A2" w:rsidRDefault="00AA4221">
      <w:pPr>
        <w:pStyle w:val="Default"/>
        <w:ind w:firstLineChars="200" w:firstLine="600"/>
        <w:rPr>
          <w:rFonts w:ascii="仿宋" w:eastAsia="仿宋" w:hAnsi="仿宋" w:cs="仿宋"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公务用车购置费及运行维护费支出预算为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万元，支出决算为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万元，完成预算的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100%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，决算数等于年初预算数的主要原因是严格执行年初预算，控制公务用车购置及运行维护费用的开支，与上年相比增加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1.10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万元，增加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12.36%,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增加的主要原因是单位本年度案件增加，公务用车运行油费及维修费有所提高。</w:t>
      </w:r>
    </w:p>
    <w:p w14:paraId="6E0828BF" w14:textId="77777777" w:rsidR="008E69A2" w:rsidRDefault="00AA4221">
      <w:pPr>
        <w:snapToGrid w:val="0"/>
        <w:spacing w:line="6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三、部门整体支出绩效情况</w:t>
      </w:r>
    </w:p>
    <w:p w14:paraId="03FC9B16" w14:textId="77777777" w:rsidR="008E69A2" w:rsidRDefault="00AA4221">
      <w:pPr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年是贯彻落实党的二十大精神的开局之年，也是全面建设社会主义现代化新雁峰的关键之年，做好纪检监察工作意义重大、使命光荣。总体要求是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: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坚定不移用习近平新时代中国特色社会主义思想统领纪检监察一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切工作，深入学习、全面贯彻党的二十大精神，深刻领悟“两个确立”的决定性意义，切实增强“四个意识”、始终坚定“四个自信”、自觉做到“两个维护”，时刻牢记“三个务必”，坚决贯彻党的自我革命战略部署和全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从严治党战略方针，认真落实健全全面从严治党体系任务要求，以永远在路上的政治自觉正风肃纪反腐，推动完善党和国家监督体系，一体推进不敢腐、不能腐、不想腐，持之以恒优化政治生态、优化干部作风、优化发展环境，高水平建设清廉雁峰，以纪检监察工作高质量发展奋力护航社会主义现代化新雁峰建设。一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做深做细监督首责，确保党的二十大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决策部署落地见效。二是持续加强作风建设，锲而不舍落实中央八项规定精神。三是始终坚守人民立场，整治群众身边腐败和不正之风。四是全面加强纪律建设，推动钢规铁纪内化于心外化于行。五是保持反腐败斗争政治定力，打好反腐败斗争攻坚战持久战。六是发扬自我革命精神，锻造堪当新时代新征程重任的纪检监察干部队伍。七是其他各项工作认真扎实开展完成。</w:t>
      </w:r>
      <w:r>
        <w:rPr>
          <w:rFonts w:ascii="仿宋" w:eastAsia="仿宋" w:hAnsi="仿宋" w:cs="仿宋" w:hint="eastAsia"/>
          <w:kern w:val="0"/>
          <w:sz w:val="30"/>
          <w:szCs w:val="30"/>
        </w:rPr>
        <w:t>八是办公室在运行成本方面。</w:t>
      </w:r>
      <w:r>
        <w:rPr>
          <w:rFonts w:ascii="仿宋" w:eastAsia="仿宋" w:hAnsi="仿宋" w:cs="仿宋" w:hint="eastAsia"/>
          <w:kern w:val="0"/>
          <w:sz w:val="30"/>
          <w:szCs w:val="30"/>
        </w:rPr>
        <w:t>严格执行各项财经法规制度以及区部门颁发的系列管理办法，切实降低行政运行成本。坚持精打细算、勤俭节约，大力压减一般性支出，持续严控“三公经费”，严格执行因公出国</w:t>
      </w:r>
      <w:r>
        <w:rPr>
          <w:rFonts w:ascii="仿宋" w:eastAsia="仿宋" w:hAnsi="仿宋" w:cs="仿宋" w:hint="eastAsia"/>
          <w:kern w:val="0"/>
          <w:sz w:val="30"/>
          <w:szCs w:val="30"/>
        </w:rPr>
        <w:t>（境）管理规定，严格控制因公出国（境）经费支出；加强车辆定编和更新管理，严格控制公务用车购置和运行经费支出；加强公务接待管理，严格执行公务接待公函、清单、审批以及公务活动的有关规定，严控公务接待费用支出。</w:t>
      </w:r>
    </w:p>
    <w:p w14:paraId="3DF6F0D8" w14:textId="77777777" w:rsidR="008E69A2" w:rsidRDefault="00AA4221">
      <w:pPr>
        <w:widowControl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根据年初设定的绩效目标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我委积极开展了预算绩效管理工作，全面实施预算绩效目标管理，进一步完善资金收支管理和制度体系建设，深化预算绩效评价结果运用，加强培训和宣传等具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体措施。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具体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情况：一是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坚持从严管理，专案专人负责后勤管理，委内严格审批程序，严控不合规经费列支；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二是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坚持依法依规，遵守国家法律法规和党内法规制度的相关规定，严格按程序办事；三是坚持总量控制，科学设定相关标准，严格控制经费支出总额，履行厉行节约绩效要求；四是遵循先有预算、后有支出的原则，严格执行预算管理，控制预算经费支出，有效地控制行政运行成本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</w:p>
    <w:p w14:paraId="558CABFB" w14:textId="77777777" w:rsidR="008E69A2" w:rsidRDefault="00AA4221">
      <w:pPr>
        <w:snapToGrid w:val="0"/>
        <w:spacing w:line="600" w:lineRule="exact"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四、存在的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问题及原因</w:t>
      </w:r>
    </w:p>
    <w:p w14:paraId="0D6ED355" w14:textId="77777777" w:rsidR="008E69A2" w:rsidRDefault="00AA4221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一是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运用绩效指标评价体系还不够深入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；二是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全面绩效责任约束作用不强，预算执行绩效目标完成率有待进一步提高。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下一步改进措施：一是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更深入运用绩效指标评价体系，健全评价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制度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；二是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进一步加强项目资金管理，精心组织实施，最大限度地发挥财政资金效益。</w:t>
      </w:r>
    </w:p>
    <w:p w14:paraId="2B5EB3A3" w14:textId="77777777" w:rsidR="008E69A2" w:rsidRDefault="008E69A2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8E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VhYWJjYTBkMGI1MGJiZWI0ZDA0ODMwMTI3OTJlMGYifQ=="/>
  </w:docVars>
  <w:rsids>
    <w:rsidRoot w:val="008E69A2"/>
    <w:rsid w:val="008E69A2"/>
    <w:rsid w:val="00AA4221"/>
    <w:rsid w:val="034E4F3D"/>
    <w:rsid w:val="055A7363"/>
    <w:rsid w:val="09074F27"/>
    <w:rsid w:val="10D5689C"/>
    <w:rsid w:val="115263C8"/>
    <w:rsid w:val="1226539E"/>
    <w:rsid w:val="14A625C4"/>
    <w:rsid w:val="154C1139"/>
    <w:rsid w:val="16893DF0"/>
    <w:rsid w:val="17612130"/>
    <w:rsid w:val="19BD63E6"/>
    <w:rsid w:val="1B0D745F"/>
    <w:rsid w:val="1B4835F9"/>
    <w:rsid w:val="1B5F21F2"/>
    <w:rsid w:val="1B852378"/>
    <w:rsid w:val="1D2E13A9"/>
    <w:rsid w:val="1DD1690F"/>
    <w:rsid w:val="24DD6EE5"/>
    <w:rsid w:val="27B457A2"/>
    <w:rsid w:val="284212E0"/>
    <w:rsid w:val="2A585CB7"/>
    <w:rsid w:val="338673F1"/>
    <w:rsid w:val="383D70B3"/>
    <w:rsid w:val="3BC572B8"/>
    <w:rsid w:val="44896D41"/>
    <w:rsid w:val="44B422A7"/>
    <w:rsid w:val="49A87C69"/>
    <w:rsid w:val="4AFF5BC7"/>
    <w:rsid w:val="4CA2085B"/>
    <w:rsid w:val="501D2EDD"/>
    <w:rsid w:val="5F3E382A"/>
    <w:rsid w:val="611525C7"/>
    <w:rsid w:val="61F23D20"/>
    <w:rsid w:val="62906E05"/>
    <w:rsid w:val="62F128A8"/>
    <w:rsid w:val="667346C0"/>
    <w:rsid w:val="72A5093A"/>
    <w:rsid w:val="73D80A2F"/>
    <w:rsid w:val="771E52FA"/>
    <w:rsid w:val="776B6051"/>
    <w:rsid w:val="78047D16"/>
    <w:rsid w:val="78C14214"/>
    <w:rsid w:val="7DD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B74F9"/>
  <w15:docId w15:val="{C05E0077-73E3-411E-A687-EAA460AF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qFormat/>
    <w:pPr>
      <w:jc w:val="left"/>
    </w:pPr>
    <w:rPr>
      <w:rFonts w:ascii="Times New Roman" w:eastAsia="宋体" w:hAnsi="Times New Roman" w:cs="黑体"/>
      <w:b/>
      <w:sz w:val="15"/>
    </w:rPr>
  </w:style>
  <w:style w:type="paragraph" w:styleId="a5">
    <w:name w:val="Balloon Text"/>
    <w:basedOn w:val="a"/>
    <w:link w:val="a6"/>
    <w:qFormat/>
    <w:rPr>
      <w:rFonts w:ascii="Times New Roman" w:eastAsia="楷体_GB2312" w:hAnsi="Times New Roman" w:cs="黑体"/>
      <w:b/>
      <w:sz w:val="30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eastAsia="楷体_GB2312" w:hAnsi="Times New Roman" w:cs="黑体"/>
      <w:b/>
      <w:kern w:val="2"/>
      <w:sz w:val="30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2024-10-15T02:57:00Z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93B8098CDB4F48B6BB62873EB2FA63F6_12</vt:lpwstr>
  </property>
</Properties>
</file>