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雁峰区财政局</w:t>
      </w:r>
      <w:r>
        <w:rPr>
          <w:rFonts w:hint="eastAsia" w:ascii="方正小标宋简体" w:hAnsi="方正小标宋简体" w:eastAsia="方正小标宋简体" w:cs="方正小标宋简体"/>
          <w:sz w:val="44"/>
          <w:szCs w:val="44"/>
          <w:lang w:val="en-US" w:eastAsia="zh-CN"/>
        </w:rPr>
        <w:t>“绩效管理提升年”工作总结</w:t>
      </w:r>
    </w:p>
    <w:p>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年，我区严格按照省、市关于财政预算绩效管理相关要求，认真落实“绩效管理提升年”各项工作要点，突出绩效评价管理，硬化执行导向，持续巩固绩效评价管理应用结果，现将工作总结汇报如下：</w:t>
      </w: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pPr>
        <w:keepNext w:val="0"/>
        <w:keepLines w:val="0"/>
        <w:pageBreakBefore w:val="0"/>
        <w:widowControl w:val="0"/>
        <w:kinsoku/>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（一）高站位推动，深化</w:t>
      </w:r>
      <w:r>
        <w:rPr>
          <w:rFonts w:hint="eastAsia" w:ascii="楷体" w:hAnsi="楷体" w:eastAsia="楷体" w:cs="楷体"/>
          <w:b/>
          <w:bCs/>
          <w:sz w:val="32"/>
          <w:szCs w:val="32"/>
          <w:lang w:val="en-US" w:eastAsia="zh-CN"/>
        </w:rPr>
        <w:t>全区绩效管理</w:t>
      </w:r>
      <w:r>
        <w:rPr>
          <w:rFonts w:hint="eastAsia" w:ascii="楷体" w:hAnsi="楷体" w:eastAsia="楷体" w:cs="楷体"/>
          <w:b/>
          <w:bCs/>
          <w:sz w:val="32"/>
          <w:szCs w:val="32"/>
          <w:lang w:eastAsia="zh-CN"/>
        </w:rPr>
        <w:t>工作</w:t>
      </w:r>
      <w:r>
        <w:rPr>
          <w:rFonts w:hint="eastAsia" w:ascii="楷体" w:hAnsi="楷体" w:eastAsia="楷体" w:cs="楷体"/>
          <w:b/>
          <w:bCs/>
          <w:sz w:val="32"/>
          <w:szCs w:val="32"/>
          <w:lang w:val="en-US" w:eastAsia="zh-CN"/>
        </w:rPr>
        <w:t>共识。</w:t>
      </w:r>
      <w:r>
        <w:rPr>
          <w:rFonts w:hint="eastAsia" w:ascii="仿宋" w:hAnsi="仿宋" w:eastAsia="仿宋" w:cs="仿宋"/>
          <w:sz w:val="32"/>
          <w:szCs w:val="32"/>
          <w:lang w:val="en-US" w:eastAsia="zh-CN"/>
        </w:rPr>
        <w:t>建立政府领导、财政部门牵头、部门具体实施、各方共同参与的预算绩效管理组织体系，出台《雁峰区财政局“绩效管理提升年”行动实施方案》《雁峰区预算绩效管理实施办法》等系列办法、规程等，进一步厘清预算绩效管理部门职能职责，加强财政支出精细化管理，夯实预算绩效管理基础，形成绩效管理责任约束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高</w:t>
      </w:r>
      <w:r>
        <w:rPr>
          <w:rFonts w:hint="eastAsia" w:ascii="楷体" w:hAnsi="楷体" w:eastAsia="楷体" w:cs="楷体"/>
          <w:b/>
          <w:bCs/>
          <w:sz w:val="32"/>
          <w:szCs w:val="32"/>
          <w:lang w:val="en-US" w:eastAsia="zh-CN"/>
        </w:rPr>
        <w:t>质量</w:t>
      </w:r>
      <w:r>
        <w:rPr>
          <w:rFonts w:hint="eastAsia" w:ascii="楷体" w:hAnsi="楷体" w:eastAsia="楷体" w:cs="楷体"/>
          <w:b/>
          <w:bCs/>
          <w:sz w:val="32"/>
          <w:szCs w:val="32"/>
          <w:lang w:eastAsia="zh-CN"/>
        </w:rPr>
        <w:t>落实，提升</w:t>
      </w:r>
      <w:r>
        <w:rPr>
          <w:rFonts w:hint="eastAsia" w:ascii="楷体" w:hAnsi="楷体" w:eastAsia="楷体" w:cs="楷体"/>
          <w:b/>
          <w:bCs/>
          <w:sz w:val="32"/>
          <w:szCs w:val="32"/>
          <w:lang w:val="en-US" w:eastAsia="zh-CN"/>
        </w:rPr>
        <w:t>全区</w:t>
      </w:r>
      <w:r>
        <w:rPr>
          <w:rFonts w:hint="eastAsia" w:ascii="楷体" w:hAnsi="楷体" w:eastAsia="楷体" w:cs="楷体"/>
          <w:b/>
          <w:bCs/>
          <w:sz w:val="32"/>
          <w:szCs w:val="32"/>
          <w:lang w:eastAsia="zh-CN"/>
        </w:rPr>
        <w:t>绩效管理工作质</w:t>
      </w:r>
      <w:r>
        <w:rPr>
          <w:rFonts w:hint="eastAsia" w:ascii="楷体" w:hAnsi="楷体" w:eastAsia="楷体" w:cs="楷体"/>
          <w:b/>
          <w:bCs/>
          <w:sz w:val="32"/>
          <w:szCs w:val="32"/>
          <w:lang w:val="en-US" w:eastAsia="zh-CN"/>
        </w:rPr>
        <w:t>效。</w:t>
      </w:r>
      <w:r>
        <w:rPr>
          <w:rFonts w:hint="eastAsia" w:ascii="仿宋" w:hAnsi="仿宋" w:eastAsia="仿宋" w:cs="仿宋"/>
          <w:sz w:val="32"/>
          <w:szCs w:val="32"/>
          <w:lang w:val="en-US" w:eastAsia="zh-CN"/>
        </w:rPr>
        <w:t>深化财政资金监管体系和预算绩效管理改革，出台《雁峰区财政投资评审管理办法优化方案》《关于雁峰区政府投资项目工程变更评审相关事项的通知》等制度，创新政府采购项目询价机制，进一步理顺国有资产管理体系，有效提升了资源配置与、绩效目标与预算绩效管理的结合度。同时上线预算绩效管理信息模块，强化对现有预算绩效管理数据的整合，提升预算绩效管理质量提供技术支撑。</w:t>
      </w:r>
    </w:p>
    <w:p>
      <w:pPr>
        <w:keepNext w:val="0"/>
        <w:keepLines w:val="0"/>
        <w:pageBreakBefore w:val="0"/>
        <w:widowControl w:val="0"/>
        <w:kinsoku/>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高标准推进，落实</w:t>
      </w:r>
      <w:r>
        <w:rPr>
          <w:rFonts w:hint="eastAsia" w:ascii="楷体" w:hAnsi="楷体" w:eastAsia="楷体" w:cs="楷体"/>
          <w:b/>
          <w:bCs/>
          <w:sz w:val="32"/>
          <w:szCs w:val="32"/>
          <w:lang w:val="en-US" w:eastAsia="zh-CN"/>
        </w:rPr>
        <w:t>全区绩效管理</w:t>
      </w:r>
      <w:r>
        <w:rPr>
          <w:rFonts w:hint="eastAsia" w:ascii="楷体" w:hAnsi="楷体" w:eastAsia="楷体" w:cs="楷体"/>
          <w:b/>
          <w:bCs/>
          <w:sz w:val="32"/>
          <w:szCs w:val="32"/>
          <w:lang w:eastAsia="zh-CN"/>
        </w:rPr>
        <w:t>长效机制。</w:t>
      </w:r>
      <w:r>
        <w:rPr>
          <w:rFonts w:hint="eastAsia" w:ascii="仿宋" w:hAnsi="仿宋" w:eastAsia="仿宋" w:cs="仿宋"/>
          <w:sz w:val="32"/>
          <w:szCs w:val="32"/>
          <w:lang w:val="en-US" w:eastAsia="zh-CN"/>
        </w:rPr>
        <w:t>区政府将预算绩效管理工作纳入全区综合目标考核，对全区各部门预算绩效管理工作情况进行年度考核。充分利用各类新闻媒体、政府网络平台等，积极宣传预算绩效管理理念，强化预算绩效意识，同时进一步健全培训机制，加大预算绩效管理培训力度，增强预算绩效管理工作人员的业务素质，在各类媒体网站上发表宣传稿件10余篇，培训200余人次，提高预算绩效管理的工作水平。</w:t>
      </w: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二、工作亮点及成效</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（一）做好预算绩效事前评估。</w:t>
      </w:r>
      <w:r>
        <w:rPr>
          <w:rFonts w:hint="eastAsia" w:ascii="仿宋" w:hAnsi="仿宋" w:eastAsia="仿宋" w:cs="仿宋"/>
          <w:sz w:val="32"/>
          <w:szCs w:val="32"/>
          <w:lang w:val="en-US" w:eastAsia="zh-CN"/>
        </w:rPr>
        <w:t>将预算绩效管理关口前移，对区级财政安排新增重大预算项目和延续性项目开展事前绩效评估，并组织三方机构对雁峰区城市停车场及配套设施建设项目、雁峰区雁峰街道余德堂社区片老旧小区主体及配套基础设施改造工程项目开展事前绩效评估，涉及财政资金1.05亿元。重点从立项的必要性、投入的经济性、绩效目标的合理性、实施方案的可行性、筹资的合规性等进行评估，将评估结果作为项目安排的依据。</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（二）做细预算绩效目标管理。</w:t>
      </w:r>
      <w:r>
        <w:rPr>
          <w:rFonts w:hint="eastAsia" w:ascii="仿宋" w:hAnsi="仿宋" w:eastAsia="仿宋" w:cs="仿宋"/>
          <w:sz w:val="32"/>
          <w:szCs w:val="32"/>
          <w:lang w:val="en-US" w:eastAsia="zh-CN"/>
        </w:rPr>
        <w:t>按照预算绩效管理全覆盖要求，将绩效目标管理范围扩大到所有区级财政拨款安排的项目支出。各预算单位全面编制2023年度部门整体支出、专项预算项目和部门预算项目绩效目标。同时严把绩效目标审核关，组织对绩效目标的内容相关性、指标科学性、规范完整性、绩效合理性和预算匹配性等方面进行审核。重点关注目标任务和预算安排是否匹配，确保绩效目标科学合理、细化量化。</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（三）做严预算绩效运行监控。</w:t>
      </w:r>
      <w:r>
        <w:rPr>
          <w:rFonts w:hint="eastAsia" w:ascii="仿宋" w:hAnsi="仿宋" w:eastAsia="仿宋" w:cs="仿宋"/>
          <w:sz w:val="32"/>
          <w:szCs w:val="32"/>
          <w:lang w:val="en-US" w:eastAsia="zh-CN"/>
        </w:rPr>
        <w:t>按照“谁支出、谁负责”的原则，指导部门对预算执行情况和绩效目标实现程度开展日常监控。推动部门围绕整体及核心业务持续优化支出结构，提高部门预算资金整体效益，提升部门管理效率和行政效能。采取部门自行监控和财政重点监控相结合的方式对所有部门开展了2023年度预算绩效运行监控工作，涉及55个部门、6个镇街。并组织三方机构对区教育局、区农业农村局、区人社局等4个部门实施绩效运行重点监控，整体情况良好。</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（四）做深重点项目支出绩效评价。</w:t>
      </w:r>
      <w:r>
        <w:rPr>
          <w:rFonts w:hint="eastAsia" w:ascii="仿宋" w:hAnsi="仿宋" w:eastAsia="仿宋" w:cs="仿宋"/>
          <w:sz w:val="32"/>
          <w:szCs w:val="32"/>
          <w:lang w:val="en-US" w:eastAsia="zh-CN"/>
        </w:rPr>
        <w:t>以绩效目标为基础，所有部门对2022年度财政预算安排的所有项目开展自评，包括部门整体绩效自评、项目支出绩效自评。区财政选择一些社会关注度高、涉及面广、金额较大的项目开展重点绩效评价，组织三方机构分别对16个部门整体支出和56个债券项目开展绩效评价。同时进一步健全绩效管理常态化机制，切实增强资金使用单位绩效意识，10个部门整体支出（项目）开展了绩效自评抽查工作，对自评抽查工作中发现的问题逐一反馈整改。</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（五）做实预算绩效结果运用。</w:t>
      </w:r>
      <w:r>
        <w:rPr>
          <w:rFonts w:hint="eastAsia" w:ascii="仿宋" w:hAnsi="仿宋" w:eastAsia="仿宋" w:cs="仿宋"/>
          <w:sz w:val="32"/>
          <w:szCs w:val="32"/>
          <w:lang w:val="en-US" w:eastAsia="zh-CN"/>
        </w:rPr>
        <w:t>建立评价反馈整改机制，评价结果及时反馈部门，并跟踪整改落实情况，财政评价结果与预算安排挂钩。采取评分与评级相结合的形式，将事前绩效评估、绩效目标审核、运行监控结果、支出绩效评价结果与预算安排挂钩。根据预算单位绩效评价“优、良、中、差”的结果，分别给予资金足额保障、10%-20%比例压减、取消安排资金等不同结果应用，相关考核结果纳入目标考核内容，切实做到“花钱必问效、无效必问责”。</w:t>
      </w: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三、存在的问题</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（一）单位资金绩效意识还需提高。</w:t>
      </w:r>
      <w:r>
        <w:rPr>
          <w:rFonts w:hint="eastAsia" w:ascii="仿宋" w:hAnsi="仿宋" w:eastAsia="仿宋" w:cs="仿宋"/>
          <w:sz w:val="32"/>
          <w:szCs w:val="32"/>
          <w:lang w:eastAsia="zh-CN"/>
        </w:rPr>
        <w:t>个别单位对资金使用绩效仍未引起足够的重视，预算单位抓财政预算绩效管理机制不健全，工作应付多，重效益、重结果的绩效管理理念尚未完全深入人心，“花钱必问效，无效必问责”的“花钱”理念没有深深植入预算单位思想中。</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（二）绩效管理工作质量还需提升。</w:t>
      </w:r>
      <w:r>
        <w:rPr>
          <w:rFonts w:hint="eastAsia" w:ascii="仿宋" w:hAnsi="仿宋" w:eastAsia="仿宋" w:cs="仿宋"/>
          <w:sz w:val="32"/>
          <w:szCs w:val="32"/>
          <w:lang w:eastAsia="zh-CN"/>
        </w:rPr>
        <w:t>部分预算单位对预算绩效管理业务不够熟练，对政策把握不到位，加之人员变动频繁，个别单位存在项目的数量指标、成本指标用预算金额代替，指标的单位使用错误，定性描述不准确等情况。</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（三）绩效评价结果应用还需强化。</w:t>
      </w:r>
      <w:r>
        <w:rPr>
          <w:rFonts w:hint="eastAsia" w:ascii="仿宋" w:hAnsi="仿宋" w:eastAsia="仿宋" w:cs="仿宋"/>
          <w:sz w:val="32"/>
          <w:szCs w:val="32"/>
          <w:lang w:eastAsia="zh-CN"/>
        </w:rPr>
        <w:t>当前本级财力有限，仅限用于保基本民生、保工资、保运转方面支出，激励约束安排的资金很有限。</w:t>
      </w: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四、工作思路及建议</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（一）推动绩效管理质量提升。</w:t>
      </w:r>
      <w:r>
        <w:rPr>
          <w:rFonts w:hint="eastAsia" w:ascii="仿宋" w:hAnsi="仿宋" w:eastAsia="仿宋" w:cs="仿宋"/>
          <w:sz w:val="32"/>
          <w:szCs w:val="32"/>
          <w:lang w:eastAsia="zh-CN"/>
        </w:rPr>
        <w:t>在工作计划上提前布局，年初研究制定各项财政评价计划，将评价计划与“四本预算”、政府债券、政府采购、政府购买服务等评价项目统筹结合，从求数量向保质量上转变。提前启动各项相关工作，通过压缩前期准备时间，适当拉长评价周期和反馈整改周期，将更多的时间留给第三方机构和部门单位，确保绩效评价工作“见真章、出实效”。</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（二）提升基层队伍专业水平。</w:t>
      </w:r>
      <w:r>
        <w:rPr>
          <w:rFonts w:hint="eastAsia" w:ascii="仿宋" w:hAnsi="仿宋" w:eastAsia="仿宋" w:cs="仿宋"/>
          <w:sz w:val="32"/>
          <w:szCs w:val="32"/>
          <w:lang w:eastAsia="zh-CN"/>
        </w:rPr>
        <w:t>考虑基层人力物力财力短期内难以较大幅度提升的实际情况，建议省厅加强对基层绩效工作队伍的支持力度，通过专题会议、专业培训等方式，加强对现有人员队伍的专业指导，逐步提升预算绩效管理工作人员专业水平。</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（三）增强绩效管理整体合力。</w:t>
      </w:r>
      <w:r>
        <w:rPr>
          <w:rFonts w:hint="eastAsia" w:ascii="仿宋" w:hAnsi="仿宋" w:eastAsia="仿宋" w:cs="仿宋"/>
          <w:sz w:val="32"/>
          <w:szCs w:val="32"/>
          <w:lang w:eastAsia="zh-CN"/>
        </w:rPr>
        <w:t>建议自上而下</w:t>
      </w:r>
      <w:r>
        <w:rPr>
          <w:rFonts w:hint="eastAsia" w:ascii="仿宋" w:hAnsi="仿宋" w:eastAsia="仿宋" w:cs="仿宋"/>
          <w:sz w:val="32"/>
          <w:szCs w:val="32"/>
          <w:lang w:eastAsia="zh-CN"/>
        </w:rPr>
        <w:t>理顺多部门联动工作机制，构建并落实各参与主体的责任体系，持续完善预算绩效管理监督链条。建立针对第三方机构的准入与淘汰规范相应标准，督促第三方机构不断提升服务质量，打造预算单位、财政、审计、纪检、人大等部门和社会第三方及专家等广泛参与、共同监督的绩效管理新格局，实现预算管理、绩效管理、财务管理和项目管理深度融合</w:t>
      </w:r>
    </w:p>
    <w:p>
      <w:pPr>
        <w:keepNext w:val="0"/>
        <w:keepLines w:val="0"/>
        <w:pageBreakBefore w:val="0"/>
        <w:widowControl w:val="0"/>
        <w:kinsoku/>
        <w:wordWrap/>
        <w:overflowPunct w:val="0"/>
        <w:topLinePunct w:val="0"/>
        <w:autoSpaceDE/>
        <w:autoSpaceDN/>
        <w:bidi w:val="0"/>
        <w:adjustRightInd/>
        <w:snapToGrid w:val="0"/>
        <w:spacing w:line="580" w:lineRule="exact"/>
        <w:ind w:firstLine="643" w:firstLineChars="200"/>
        <w:jc w:val="both"/>
        <w:textAlignment w:val="auto"/>
        <w:rPr>
          <w:rFonts w:hint="eastAsia" w:ascii="楷体" w:hAnsi="楷体" w:eastAsia="楷体" w:cs="楷体"/>
          <w:b/>
          <w:bCs/>
          <w:sz w:val="32"/>
          <w:szCs w:val="32"/>
          <w:lang w:eastAsia="zh-CN"/>
        </w:rPr>
      </w:pPr>
    </w:p>
    <w:p>
      <w:pPr>
        <w:rPr>
          <w:rFonts w:hint="eastAsia"/>
          <w:lang w:eastAsia="zh-CN"/>
        </w:rPr>
      </w:pP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val="0"/>
        <w:overflowPunct w:val="0"/>
        <w:topLinePunct w:val="0"/>
        <w:autoSpaceDE/>
        <w:autoSpaceDN/>
        <w:bidi w:val="0"/>
        <w:adjustRightInd/>
        <w:snapToGrid w:val="0"/>
        <w:spacing w:line="580" w:lineRule="exact"/>
        <w:ind w:firstLine="640" w:firstLineChars="200"/>
        <w:jc w:val="right"/>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eastAsia="zh-CN"/>
        </w:rPr>
        <w:t>雁峰区财政局</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2023年12月18日</w:t>
      </w:r>
    </w:p>
    <w:sectPr>
      <w:footerReference r:id="rId3" w:type="default"/>
      <w:pgSz w:w="11906" w:h="16838"/>
      <w:pgMar w:top="1701"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OTBkNTYzYzQ0ZmFmZjkzYmI5YmM0NmQxODEwYTIifQ=="/>
  </w:docVars>
  <w:rsids>
    <w:rsidRoot w:val="00000000"/>
    <w:rsid w:val="15225EAA"/>
    <w:rsid w:val="1C8317A8"/>
    <w:rsid w:val="24493E2A"/>
    <w:rsid w:val="33415C69"/>
    <w:rsid w:val="334E5EA9"/>
    <w:rsid w:val="5C571ED5"/>
    <w:rsid w:val="62EF0682"/>
    <w:rsid w:val="701B4730"/>
    <w:rsid w:val="75BA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2023-12-28T13:38:01Z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CBC41931F64F4FC1978E26739B92DFD4_12</vt:lpwstr>
  </property>
</Properties>
</file>