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C9036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雁峰区财政局</w:t>
      </w:r>
    </w:p>
    <w:p w14:paraId="0B9375F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2024年度部门整体支出绩效自评报告</w:t>
      </w:r>
    </w:p>
    <w:p w14:paraId="0674E35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4D75B4D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根据《预算法》有关“各级政府、各部门、各单位应当对预算支出情况开展绩效评价”的规定，结合实际情况，我单位对202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年度部门整体支出进行了绩效自评，现报告如下：</w:t>
      </w:r>
    </w:p>
    <w:p w14:paraId="1A12539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一、基本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情况</w:t>
      </w:r>
    </w:p>
    <w:p w14:paraId="69EFB1B5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24"/>
          <w:lang w:val="en-US" w:eastAsia="zh-CN"/>
        </w:rPr>
        <w:t>（一）部门职责</w:t>
      </w:r>
    </w:p>
    <w:p w14:paraId="009857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贯彻执行国家财政、税收、国有资本金基础管理和财务会计管理的各项法律法规；根据国家的有关政策法规和要求，拟订和监督执行全区财政预算、地方税收、财务、会计、国有资本金基础管理等方面的规定和基本建设财务管理制度。</w:t>
      </w:r>
    </w:p>
    <w:p w14:paraId="3DD8F98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根据全区国民经济和社会发展战略，拟订全区财政发展战略和中长期财政规划，制定年度财政预算草案，执行区人大批准的地方预算，监督指导各乡、镇、街道及区直部门预算的执行，审编年度财政决算，对社会财力进行综合平衡，参与研究制定全区综合经济规划，提出运用财税政策调控经济运行和综合平衡社会财力的建议；管理本级行政机关和财政供给经费事业单位银行开户；管理全区行政事业性收费票据和罚没收入票据；管理政府性资金和专项资金。</w:t>
      </w:r>
    </w:p>
    <w:p w14:paraId="6184C1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负责行政事业性收费和罚没收入及国有资源（资产）有偿使用收入的征收管理。</w:t>
      </w:r>
    </w:p>
    <w:p w14:paraId="686B9C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根据全区国民经济发展计划和市财政局下达的考核指标，结合地方预算安排，确定全区财政税收收入计划，并组织实施、管理和监督。</w:t>
      </w:r>
    </w:p>
    <w:p w14:paraId="216F84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拟订区对乡、镇、街道的财政预算管理体制，合理划分财力；指导和监督乡、镇、街道财政工作，监督预算执行。</w:t>
      </w:r>
    </w:p>
    <w:p w14:paraId="10903E5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管理和监督区级公共财政支出；拟订和执行政府采购制度，指导政府采购工作；积极稳妥推进政府购买服务工作，负责职责范围内对有关行业、领域的安全生产工作实施监督管理。</w:t>
      </w:r>
    </w:p>
    <w:p w14:paraId="3115E34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办理和监督由区级财政承担的全区经济贸易、农业支出、行政和公共支出、社会保障支出，包括基本建设项目拨款、科技三项费用、支农资金等；统一管理全区基本建设财务。</w:t>
      </w:r>
    </w:p>
    <w:p w14:paraId="00B3EFC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8、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参与全区社会保障制度改革，拟定并组织实施全区社会保障资金（基金）财务管理制度；管理和监督区级财政社会保障支出；对社会保障资金（基金）的使用实施财政监督；管理区级社会保障资金（基金）专户；负责区境内融资担保机构的行业管理工作，受区政府委托办理融资业务。</w:t>
      </w:r>
    </w:p>
    <w:p w14:paraId="2AEFFA2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9、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负责管理全区的会计工作，监督和规范会计行为，组织实施国家统一的会计制度，监督和规范会计行为；指导和管理社会审计。</w:t>
      </w:r>
    </w:p>
    <w:p w14:paraId="5706BBF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10、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管理政府性债务，执行国家债务管理的方针、政策；拟订政府债务管理的实施办法和规章制度；统一管理政府的国内外债权债务，研究政府债务情况，拟订防范政府债务风险的措施。</w:t>
      </w:r>
    </w:p>
    <w:p w14:paraId="49EA380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负责拟订财政投资评审工作相关制度和办法；负责组织财政性投资项目的概（预）算、结算、决算的评审工作；负责财政性投资的市场研究分析、投资风险分析和效益分析工作，为实施财政投资决策提供基础信息服务；实施对财政性基本建设资金使用的监督和管理，参与工程项目的后评价工作。</w:t>
      </w:r>
    </w:p>
    <w:p w14:paraId="0ACDA8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监督检查财政方针政策、法律法规的执行情况，监督区级部门的财务活动，检查反映财政收支管理中的重大问题，对违反财经纪律的事项进行检查和处理。</w:t>
      </w:r>
    </w:p>
    <w:p w14:paraId="5470FB4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协调相关部门抓好镇、街的机构改革、教育布局调整、化解乡村债务等配套改革；研究制定农村基层政权运转、义务教育投入的保障机制。</w:t>
      </w:r>
    </w:p>
    <w:p w14:paraId="50A8AD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制定全区财政系统教育规划，组织指导全区财政干部培训；负责财政宣传和财政信息工作。</w:t>
      </w:r>
    </w:p>
    <w:p w14:paraId="19B80ED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承担经济和信息、安全生产、国有资产监管等方面的部门预算有关工作，研究提出相关财政管理办法；参与研究支持企业改革和发展的措施，研究提出区财政支持有关行业的政策建议；承担国有资本经营预算的有关工作；组织实施企业财务制度和企业财务会计报告编制工作，负责有关区属企业财务监管。</w:t>
      </w:r>
    </w:p>
    <w:p w14:paraId="5875466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负责制定全区行政事业单位国有资产管理规章制度，按规定管理行政事业单位和规定范围内的其他国有资产；负责财政预算内行政、事业单位和社会团体的非贸易外汇管理。</w:t>
      </w:r>
    </w:p>
    <w:p w14:paraId="2C79B6D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参与制定地方金融工作管理的办法、制度，研究提出促进金融事业发展的措施；负责地方金融机构和区本级投融资公司的财务监管；按规定管理地方金融类企业国有资产；负责涉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24"/>
        </w:rPr>
        <w:t>农等政策性保险的相关工作；承担地方政府性债务的融资管理工作。</w:t>
      </w:r>
    </w:p>
    <w:p w14:paraId="4ADF069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负责国有资产管理工作。根据授权，集中统一履行区本级国有金融资本出资人职责，拟订并组织实施区本级国有金融资本管理规章制度；拟订行政事业单位国有资产管理规章制度并组织实施；承担有关资产评估工作；拟订需要区统一规定的开支标准和开支要求。</w:t>
      </w:r>
    </w:p>
    <w:p w14:paraId="667C3F1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19、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承担区深化经济体制改革领导小组的日常工作,配合完善“村账乡代管”和“组账村代管”。</w:t>
      </w:r>
    </w:p>
    <w:p w14:paraId="1944335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20、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负责本行业、领域的应急管理工作，对本行业、领域的安全生产工作实施监督管理。</w:t>
      </w:r>
    </w:p>
    <w:p w14:paraId="58640D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21、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完成区委、区政府交办的其他任务。</w:t>
      </w:r>
    </w:p>
    <w:p w14:paraId="3966AFC0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24"/>
          <w:lang w:val="en-US" w:eastAsia="zh-CN"/>
        </w:rPr>
        <w:t>（二）机构设置及决算单位构成</w:t>
      </w:r>
    </w:p>
    <w:p w14:paraId="4653C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</w:rPr>
        <w:t>内设机构设置。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雁峰区财政局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内设机构包括：财政局是正科级全额拨款单位，由办公室（法规股、财务股、组织人事股、税政法规股、行政审批服务股、政策研究股）、预算股、国库股、综合股（津补贴办公室）、企业外经国资股、会计股、行政政法股、教科文股、经济建设股（自然资源与生态环境股）、社会保障股、监督评价股、镇街财政管理股、农业农村股、金融债务股（政府和社会资本合作（PPP）办公室）、政府采购管理股组成。下设3个二级机构，分别为正科级事业单位财政事务中心、副科级事业单位财政评审中心、正股级事业单位国库集中支付中心。</w:t>
      </w:r>
    </w:p>
    <w:p w14:paraId="44DC936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2、决算单位构成。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雁峰区财政局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202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年部门决算汇总公开单位构成包括：雁峰区财政局本级。</w:t>
      </w:r>
    </w:p>
    <w:p w14:paraId="6FB259E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  <w:t>二、部门整体支出管理及使用情况</w:t>
      </w:r>
    </w:p>
    <w:p w14:paraId="738E60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（一）202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年部门预算情况</w:t>
      </w:r>
    </w:p>
    <w:p w14:paraId="41E5137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年年初预算收入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1196.07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万元，收入较去年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增长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55.45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万元。202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年年初预算支出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1196.07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万元，较去年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增长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55.45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万元，主要是人员经费增加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80DD26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政府性基金预算支出，本部门无政府性基金安排的支出。</w:t>
      </w:r>
    </w:p>
    <w:p w14:paraId="68F215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（二）202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年部门决算情况</w:t>
      </w:r>
    </w:p>
    <w:p w14:paraId="000C08DE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年度收、支总计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978.01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万元。与上年相比，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减少344.15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减少26.03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%，主要是因为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根据工作需求和人员调整，减少了预算资金支出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。本年收入合计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978.01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万元，其中：财政拨款收入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891.14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万元，占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91.12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%；其他收入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86.87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万元，占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8.88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%。202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年度财政拨款收、支总计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891.14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万元，与上年相比，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减少370.64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万元,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减少29.37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%，主要是因为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根据工作需求和人员调整，减少了预算资金支出。</w:t>
      </w:r>
    </w:p>
    <w:p w14:paraId="4181FF6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（三）202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年支出分类情况</w:t>
      </w:r>
    </w:p>
    <w:p w14:paraId="11E532B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4" w:firstLineChars="3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1.基本支出</w:t>
      </w:r>
    </w:p>
    <w:p w14:paraId="2A4769F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年度财政拨款基本支出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647.6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万元，其中：人员经费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613.82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万元，占基本支出的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94.78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%,主要包括基本工资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161.55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万元、津贴补贴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113.85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万元、奖金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144.78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万元、伙食补助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5.03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万元、机关事业单位养老保险费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48.34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万元、职工基本医疗保险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36.48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万元、其他社会保障缴费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1.56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万元、住房公积金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56.03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生活补助38.68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万元；公用经费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33.78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万元，占基本支出的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5.22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%，主要包括办公费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7.92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万元、印刷费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2.84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手续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费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0.26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万元、邮电费1.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万元、差旅费0.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万元、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劳务费17.19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、其他商品和服务支出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1.17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万元。</w:t>
      </w:r>
    </w:p>
    <w:p w14:paraId="0115F15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4" w:firstLineChars="3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2.项目支出</w:t>
      </w:r>
    </w:p>
    <w:p w14:paraId="5924BC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年度财政拨款项目支出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243.54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万元。比上年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减少96.64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万元，主要是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预算股绩效评价服务费和财政承受能力论证报告费等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DF072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3、“三公”经费情况</w:t>
      </w:r>
    </w:p>
    <w:p w14:paraId="4A882A2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2024年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“三公”经费财政拨款支出预算为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万元，支出决算为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万元。</w:t>
      </w:r>
    </w:p>
    <w:p w14:paraId="3952D2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三、部门整体支出绩效情况</w:t>
      </w:r>
    </w:p>
    <w:p w14:paraId="5DF865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/>
        <w:textAlignment w:val="auto"/>
        <w:rPr>
          <w:rFonts w:hint="default" w:ascii="Times New Roman" w:hAnsi="Times New Roman" w:cs="Times New Roman"/>
          <w:b/>
          <w:color w:val="auto"/>
          <w:sz w:val="32"/>
          <w:szCs w:val="24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24"/>
          <w:highlight w:val="none"/>
          <w:lang w:val="en-US"/>
        </w:rPr>
        <w:t>（一）收入支出预算安排情况。</w:t>
      </w:r>
    </w:p>
    <w:p w14:paraId="28F3979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年，本部门年初预算收入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1196.07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万元，比上年增长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55.45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万元，增长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4.86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%,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增减变化的主要原因是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：我单位202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年预算收入增加。其中：一般公共预算财政拨款收入年初预算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869.11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万元，比上年增长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110.00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；政府性基金预算财政拨款收入年初预算0万元，比上年增减0万元；上级补助收入年初预算0万元，比上年增减0万元；事业收入年初预算0万元，比上年增减0万元；经营收入年初预算收入0万元，比上年增减0万元；附属单位上缴收入年初预算收入0万元，比上年增减0万元；其他收入年初预算收入0万元，比上年增减0万元。年度执行中因单位人数变动及单位事权调整，预算跟随调整情况，主要变化是：收入调整预算数为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891.14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万元。</w:t>
      </w:r>
    </w:p>
    <w:p w14:paraId="5194A91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24"/>
          <w:lang w:val="en-US" w:eastAsia="zh-CN"/>
        </w:rPr>
        <w:t>（二）收入支出预算执行情况。</w:t>
      </w:r>
    </w:p>
    <w:p w14:paraId="757A77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年收入实际完成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978.01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万元，比上年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减少344.15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减少26.03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%。主要原因是：我单位202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年本年收入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。其中：一般公共预算财政拨款收入完成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891.14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万元，比上年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减少370.64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减少29.37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%，变化的主要原因是：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财政拨款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；政府性基金财政拨款收入完成0万元，比上年0万元，增长(下降)0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变化的主要原因是：本单位无政府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性基金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；上级补助收入完成0万元，比上年0万元；事业收入完成0万元，比上年0万元，增长(下降)0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变化的主要原因是：本单位无事业收入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；经营收入完成0万元，比上年0万元,增长(下降)0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%，变化的主要原因是：本单位无经营收入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附属单位上缴收入完成0万元，比上年0万元；其他收入完成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86.87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万元，比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减少26.49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万元，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减少43.87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%，变化的主要原因是：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其他收入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C37D1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年，本部门支出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978.01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万元，比上年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344.15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26.03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%；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变化的主要原因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：我单位202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年本年支出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。其中：基本支出完成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649.13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万元，比上年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减少280.45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减少30.17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变化的主要原因：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我单位202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年本年支出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。项目支出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328.88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万元，比上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年减少63.70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减少16.23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%；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变化的主要原因：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我单位202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年本年支出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人员经费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完成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614.57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万元，比上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年减少210.01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减少25.47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变化的主要原因：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；公用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经费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完成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34.56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万元，比上年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减少70.45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减少67.09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变化的主要原因：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我单位202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年本年支出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。</w:t>
      </w:r>
      <w:bookmarkStart w:id="0" w:name="_GoBack"/>
      <w:bookmarkEnd w:id="0"/>
    </w:p>
    <w:p w14:paraId="0D778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四、存在的不足</w:t>
      </w:r>
    </w:p>
    <w:p w14:paraId="711B9EC2">
      <w:pPr>
        <w:spacing w:before="203" w:line="346" w:lineRule="auto"/>
        <w:ind w:left="26" w:right="96" w:firstLine="660"/>
        <w:rPr>
          <w:rFonts w:hint="eastAsia" w:ascii="仿宋" w:hAnsi="仿宋" w:eastAsia="仿宋" w:cs="仿宋"/>
          <w:color w:val="auto"/>
          <w:sz w:val="31"/>
          <w:szCs w:val="31"/>
          <w:lang w:eastAsia="zh-CN"/>
        </w:rPr>
      </w:pPr>
      <w:r>
        <w:rPr>
          <w:rFonts w:ascii="仿宋" w:hAnsi="仿宋" w:eastAsia="仿宋" w:cs="仿宋"/>
          <w:color w:val="auto"/>
          <w:spacing w:val="14"/>
          <w:sz w:val="31"/>
          <w:szCs w:val="31"/>
        </w:rPr>
        <w:t>一是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>预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算执行率有待进一步提高。</w:t>
      </w:r>
      <w:r>
        <w:rPr>
          <w:rFonts w:hint="eastAsia" w:ascii="仿宋" w:hAnsi="仿宋" w:eastAsia="仿宋" w:cs="仿宋"/>
          <w:color w:val="auto"/>
          <w:spacing w:val="7"/>
          <w:sz w:val="31"/>
          <w:szCs w:val="31"/>
        </w:rPr>
        <w:t>预算执行不到位</w:t>
      </w:r>
      <w:r>
        <w:rPr>
          <w:rFonts w:hint="eastAsia" w:ascii="仿宋" w:hAnsi="仿宋" w:eastAsia="仿宋" w:cs="仿宋"/>
          <w:color w:val="auto"/>
          <w:spacing w:val="7"/>
          <w:sz w:val="31"/>
          <w:szCs w:val="31"/>
          <w:lang w:eastAsia="zh-CN"/>
        </w:rPr>
        <w:t>。</w:t>
      </w:r>
    </w:p>
    <w:p w14:paraId="59893E35">
      <w:pPr>
        <w:spacing w:before="184" w:line="346" w:lineRule="auto"/>
        <w:ind w:left="36" w:right="47" w:firstLine="654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hint="eastAsia" w:ascii="仿宋" w:hAnsi="仿宋" w:cs="仿宋"/>
          <w:color w:val="auto"/>
          <w:spacing w:val="14"/>
          <w:sz w:val="31"/>
          <w:szCs w:val="31"/>
        </w:rPr>
        <w:t>二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是</w:t>
      </w:r>
      <w:r>
        <w:rPr>
          <w:rFonts w:ascii="仿宋" w:hAnsi="仿宋" w:eastAsia="仿宋" w:cs="仿宋"/>
          <w:color w:val="auto"/>
          <w:spacing w:val="12"/>
          <w:sz w:val="31"/>
          <w:szCs w:val="31"/>
        </w:rPr>
        <w:t>年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初部门预算前瞻性有待进一步加强。年初部门预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>算编制不够精准，年中</w:t>
      </w:r>
      <w:r>
        <w:rPr>
          <w:rFonts w:hint="eastAsia" w:ascii="仿宋" w:hAnsi="仿宋" w:eastAsia="仿宋" w:cs="仿宋"/>
          <w:color w:val="auto"/>
          <w:spacing w:val="-4"/>
          <w:sz w:val="31"/>
          <w:szCs w:val="31"/>
          <w:lang w:eastAsia="zh-CN"/>
        </w:rPr>
        <w:t>进行了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>预算</w:t>
      </w:r>
      <w:r>
        <w:rPr>
          <w:rFonts w:hint="eastAsia" w:ascii="仿宋" w:hAnsi="仿宋" w:eastAsia="仿宋" w:cs="仿宋"/>
          <w:color w:val="auto"/>
          <w:spacing w:val="-4"/>
          <w:sz w:val="31"/>
          <w:szCs w:val="31"/>
          <w:lang w:eastAsia="zh-CN"/>
        </w:rPr>
        <w:t>调整</w:t>
      </w:r>
      <w:r>
        <w:rPr>
          <w:rFonts w:ascii="仿宋" w:hAnsi="仿宋" w:eastAsia="仿宋" w:cs="仿宋"/>
          <w:color w:val="auto"/>
          <w:spacing w:val="-2"/>
          <w:sz w:val="31"/>
          <w:szCs w:val="31"/>
        </w:rPr>
        <w:t>。</w:t>
      </w:r>
    </w:p>
    <w:p w14:paraId="33348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eastAsia="黑体" w:cs="Times New Roman"/>
          <w:b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、下一步改进措施</w:t>
      </w:r>
    </w:p>
    <w:p w14:paraId="7B30D781">
      <w:pPr>
        <w:spacing w:before="207" w:line="345" w:lineRule="auto"/>
        <w:ind w:left="20" w:firstLine="666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10"/>
          <w:sz w:val="31"/>
          <w:szCs w:val="31"/>
        </w:rPr>
        <w:t>一是进一步提高预算执行率。加强预算执行动态分析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color w:val="auto"/>
          <w:spacing w:val="-1"/>
          <w:sz w:val="31"/>
          <w:szCs w:val="31"/>
        </w:rPr>
        <w:t>针对项目跨年度结算的问题，争取项目尽早计划、尽早开展</w:t>
      </w:r>
      <w:r>
        <w:rPr>
          <w:rFonts w:ascii="仿宋" w:hAnsi="仿宋" w:eastAsia="仿宋" w:cs="仿宋"/>
          <w:color w:val="auto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>尽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早结算，加快预算执行进度，提高财政资金使用效益。</w:t>
      </w:r>
    </w:p>
    <w:p w14:paraId="260FED0A">
      <w:pPr>
        <w:spacing w:before="4" w:line="344" w:lineRule="auto"/>
        <w:ind w:left="29" w:right="47" w:firstLine="655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8"/>
          <w:sz w:val="31"/>
          <w:szCs w:val="31"/>
        </w:rPr>
        <w:t>二是进一步加强预算绩效管理。加大对《湖南省预算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绩</w:t>
      </w:r>
      <w:r>
        <w:rPr>
          <w:rFonts w:ascii="仿宋" w:hAnsi="仿宋" w:eastAsia="仿宋" w:cs="仿宋"/>
          <w:color w:val="auto"/>
          <w:spacing w:val="16"/>
          <w:sz w:val="31"/>
          <w:szCs w:val="31"/>
        </w:rPr>
        <w:t>效目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标管理办法》相关规定的宣传和培训，增强绩效目标设</w:t>
      </w:r>
      <w:r>
        <w:rPr>
          <w:rFonts w:ascii="仿宋" w:hAnsi="仿宋" w:eastAsia="仿宋" w:cs="仿宋"/>
          <w:color w:val="auto"/>
          <w:spacing w:val="9"/>
          <w:sz w:val="31"/>
          <w:szCs w:val="31"/>
        </w:rPr>
        <w:t>置的科学性、合理性和规范性，强化预算支出责任，提高</w:t>
      </w:r>
      <w:r>
        <w:rPr>
          <w:rFonts w:ascii="仿宋" w:hAnsi="仿宋" w:eastAsia="仿宋" w:cs="仿宋"/>
          <w:color w:val="auto"/>
          <w:spacing w:val="3"/>
          <w:sz w:val="31"/>
          <w:szCs w:val="31"/>
        </w:rPr>
        <w:t>资</w:t>
      </w:r>
      <w:r>
        <w:rPr>
          <w:rFonts w:ascii="仿宋" w:hAnsi="仿宋" w:eastAsia="仿宋" w:cs="仿宋"/>
          <w:color w:val="auto"/>
          <w:spacing w:val="-5"/>
          <w:sz w:val="31"/>
          <w:szCs w:val="31"/>
        </w:rPr>
        <w:t>金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>使用效益。</w:t>
      </w:r>
    </w:p>
    <w:p w14:paraId="123F8F2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/>
        </w:rPr>
      </w:pPr>
    </w:p>
    <w:sectPr>
      <w:pgSz w:w="11906" w:h="16838"/>
      <w:pgMar w:top="2154" w:right="1531" w:bottom="15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43B574-4890-41F7-967B-9FC5D7C796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C669974-5D3F-4171-8D22-809C9B563E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FBBD3C-FF48-481B-9D24-8735C97DCD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5E64E7-00E5-4704-B70B-629C46AEE4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C04DC03-0B84-47C6-9BF6-578023DF62F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1922F64A-BBE2-4A2E-A1AA-222A9E77838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OTVkYjcyZWY3OWJlMDY4YjNjNDVjM2VkNjZmNDUifQ=="/>
  </w:docVars>
  <w:rsids>
    <w:rsidRoot w:val="00172A27"/>
    <w:rsid w:val="03F4702C"/>
    <w:rsid w:val="072608F4"/>
    <w:rsid w:val="13963C5C"/>
    <w:rsid w:val="148443FC"/>
    <w:rsid w:val="17A679BE"/>
    <w:rsid w:val="17E551B2"/>
    <w:rsid w:val="208C08C0"/>
    <w:rsid w:val="27226E4D"/>
    <w:rsid w:val="2AD73080"/>
    <w:rsid w:val="2FF975F4"/>
    <w:rsid w:val="349270CA"/>
    <w:rsid w:val="464556EE"/>
    <w:rsid w:val="4C545E87"/>
    <w:rsid w:val="50395ABF"/>
    <w:rsid w:val="50574197"/>
    <w:rsid w:val="54295E4B"/>
    <w:rsid w:val="559D12B8"/>
    <w:rsid w:val="5CF350D1"/>
    <w:rsid w:val="607544CD"/>
    <w:rsid w:val="67B86D00"/>
    <w:rsid w:val="685272C6"/>
    <w:rsid w:val="6F165311"/>
    <w:rsid w:val="75986535"/>
    <w:rsid w:val="77384726"/>
    <w:rsid w:val="7FA70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  <w:jc w:val="left"/>
    </w:pPr>
    <w:rPr>
      <w:rFonts w:hint="eastAsia"/>
      <w:kern w:val="0"/>
      <w:sz w:val="20"/>
      <w:szCs w:val="24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rFonts w:hint="eastAsia"/>
      <w:sz w:val="21"/>
      <w:szCs w:val="24"/>
    </w:rPr>
  </w:style>
  <w:style w:type="paragraph" w:customStyle="1" w:styleId="4">
    <w:name w:val="font5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2"/>
    <w:unhideWhenUsed/>
    <w:qFormat/>
    <w:uiPriority w:val="99"/>
    <w:pPr>
      <w:ind w:firstLine="420" w:firstLineChars="200"/>
    </w:pPr>
    <w:rPr>
      <w:rFonts w:hint="eastAsia"/>
      <w:sz w:val="21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3872</Words>
  <Characters>4315</Characters>
  <Lines>0</Lines>
  <Paragraphs>0</Paragraphs>
  <TotalTime>22</TotalTime>
  <ScaleCrop>false</ScaleCrop>
  <LinksUpToDate>false</LinksUpToDate>
  <CharactersWithSpaces>4321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肖振邦</dc:creator>
  <cp:lastModifiedBy>夭夭姑娘</cp:lastModifiedBy>
  <cp:lastPrinted>2025-07-14T00:38:22Z</cp:lastPrinted>
  <dcterms:modified xsi:type="dcterms:W3CDTF">2025-07-14T02:49:21Z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9522ADE77FB44FC89F7D68E442AC9D3A_13</vt:lpwstr>
  </property>
  <property fmtid="{D5CDD505-2E9C-101B-9397-08002B2CF9AE}" pid="4" name="KSOTemplateDocerSaveRecord">
    <vt:lpwstr>eyJoZGlkIjoiNDgxOTVkYjcyZWY3OWJlMDY4YjNjNDVjM2VkNjZmNDUiLCJ1c2VySWQiOiI0ODc3NjQ4NTEifQ==</vt:lpwstr>
  </property>
</Properties>
</file>