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D9C84">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雁峰区融媒体中心202</w:t>
      </w:r>
      <w:r>
        <w:rPr>
          <w:rFonts w:hint="eastAsia" w:ascii="Times New Roman" w:hAnsi="Times New Roman" w:eastAsia="方正小标宋_GBK"/>
          <w:sz w:val="44"/>
          <w:szCs w:val="44"/>
          <w:lang w:val="en-US" w:eastAsia="zh-CN"/>
        </w:rPr>
        <w:t>4</w:t>
      </w:r>
      <w:r>
        <w:rPr>
          <w:rFonts w:hint="eastAsia" w:ascii="Times New Roman" w:hAnsi="Times New Roman" w:eastAsia="方正小标宋_GBK"/>
          <w:sz w:val="44"/>
          <w:szCs w:val="44"/>
        </w:rPr>
        <w:t>年度部门</w:t>
      </w:r>
    </w:p>
    <w:p w14:paraId="494F9B0B">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整体支出绩效自评报告</w:t>
      </w:r>
    </w:p>
    <w:p w14:paraId="6F9EA38E">
      <w:pPr>
        <w:spacing w:line="600" w:lineRule="exact"/>
        <w:jc w:val="center"/>
        <w:rPr>
          <w:rFonts w:hint="eastAsia" w:ascii="Times New Roman" w:hAnsi="Times New Roman" w:eastAsia="方正小标宋_GBK"/>
          <w:sz w:val="44"/>
          <w:szCs w:val="44"/>
        </w:rPr>
      </w:pPr>
    </w:p>
    <w:p w14:paraId="7FFE65C5">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根据《预算法》有关“各级政府、各部门、各单位应当对预算支出情况开展绩效评价”的规定，结合实际情况，我中心对202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年度部门整体支出进行了绩效自评，现报告如下：</w:t>
      </w:r>
    </w:p>
    <w:p w14:paraId="7000408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14:paraId="03AA4B68">
      <w:pPr>
        <w:spacing w:line="600" w:lineRule="exact"/>
        <w:ind w:firstLine="643" w:firstLineChars="200"/>
        <w:rPr>
          <w:rFonts w:ascii="楷体_GB2312" w:hAnsi="楷体_GB2312" w:eastAsia="楷体_GB2312" w:cs="楷体_GB2312"/>
          <w:b/>
          <w:snapToGrid w:val="0"/>
          <w:kern w:val="0"/>
          <w:sz w:val="32"/>
          <w:szCs w:val="32"/>
        </w:rPr>
      </w:pPr>
      <w:r>
        <w:rPr>
          <w:rFonts w:ascii="楷体_GB2312" w:hAnsi="楷体_GB2312" w:eastAsia="楷体_GB2312" w:cs="楷体_GB2312"/>
          <w:b/>
          <w:snapToGrid w:val="0"/>
          <w:kern w:val="0"/>
          <w:sz w:val="32"/>
          <w:szCs w:val="32"/>
        </w:rPr>
        <w:t>（一）部门职能职</w:t>
      </w:r>
      <w:r>
        <w:rPr>
          <w:rFonts w:ascii="Times New Roman" w:hAnsi="Times New Roman" w:eastAsia="楷体_GB2312"/>
          <w:b/>
          <w:snapToGrid w:val="0"/>
          <w:kern w:val="0"/>
          <w:sz w:val="32"/>
          <w:szCs w:val="32"/>
        </w:rPr>
        <w:t>责</w:t>
      </w:r>
    </w:p>
    <w:p w14:paraId="3A9E9EDA">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贯彻落实党的新闻宣传方针政策，宣传党的理论、路线和各项方针政策，把握新闻宣传基调，坚持团结鼓劲、正面宣传的方针，坚持正确的舆论导向，为全区经济社会发展提供舆论支持，负责全区新闻业务管理和对外通联工作。</w:t>
      </w:r>
    </w:p>
    <w:p w14:paraId="518DE55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负责区内媒体流程深化改造，负责媒体业务平台拓宽、服务功能升级，强化“媒体+党建+政务+服务”功能。</w:t>
      </w:r>
    </w:p>
    <w:p w14:paraId="1513DD4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负责加强区融媒体中心队伍建设。负责对全区采编播从业人员的系统培训管理。根据相关政策规定，负责互联网新闻信息服务许可、广播电视播出机构许可、信息网络传播视听节目服务许可等的申领工作。负责所属人员职业从业证件的申领、管理，抓好全区新闻宣传阵地和人才队伍建设。</w:t>
      </w:r>
    </w:p>
    <w:p w14:paraId="290F27E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围绕区委、区政府中心工作，负责开展新闻宣传，落实全区新闻报道计划，完成上级下达的各项宣传任务；</w:t>
      </w:r>
    </w:p>
    <w:p w14:paraId="26BEA14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协助配合上级媒体和新闻单位来我区采访及其他工作；</w:t>
      </w:r>
    </w:p>
    <w:p w14:paraId="2587C6A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负责协调、指导、参与全区各单位宣传片、微视频、微博、微信、客户端、网站、广告牌等宣传产品的策划、制作、审定；</w:t>
      </w:r>
    </w:p>
    <w:p w14:paraId="49C498A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负责建设、管理、运维融媒体技术支撑平台。负责并组织实施全区媒体覆盖网络建设、运营与管理。负责全区网络安全相关工作；负责区中心机房及全区网络日常管理与维护；</w:t>
      </w:r>
    </w:p>
    <w:p w14:paraId="4B8FE42F">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w:t>
      </w:r>
      <w:r>
        <w:rPr>
          <w:rFonts w:hint="eastAsia" w:ascii="Times New Roman" w:hAnsi="Times New Roman" w:eastAsia="仿宋_GB2312"/>
          <w:sz w:val="32"/>
          <w:szCs w:val="32"/>
        </w:rPr>
        <w:t>完成区委交办的其他任务。</w:t>
      </w:r>
    </w:p>
    <w:p w14:paraId="45BF636F">
      <w:pPr>
        <w:spacing w:line="60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snapToGrid w:val="0"/>
          <w:kern w:val="0"/>
          <w:sz w:val="32"/>
          <w:szCs w:val="32"/>
        </w:rPr>
        <w:t>（二）</w:t>
      </w:r>
      <w:r>
        <w:rPr>
          <w:rFonts w:hint="eastAsia" w:ascii="楷体_GB2312" w:hAnsi="楷体_GB2312" w:eastAsia="楷体_GB2312" w:cs="楷体_GB2312"/>
          <w:b/>
          <w:bCs/>
          <w:sz w:val="32"/>
          <w:szCs w:val="32"/>
        </w:rPr>
        <w:t>机构设置及决算单位构成</w:t>
      </w:r>
    </w:p>
    <w:p w14:paraId="100162A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内设机构设置。雁峰区融媒体中心单位内设机构包括：办公室、新闻采访股、编辑制作股、技术和运营股。</w:t>
      </w:r>
    </w:p>
    <w:p w14:paraId="6FC46B3B">
      <w:pPr>
        <w:spacing w:line="240" w:lineRule="auto"/>
        <w:ind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决算单位构成。雁峰区融媒体中心单位</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年部门决算汇总公开单位构成包括：雁峰区融媒体中心单位本级。</w:t>
      </w:r>
    </w:p>
    <w:p w14:paraId="4C7A2401">
      <w:pPr>
        <w:spacing w:line="240" w:lineRule="auto"/>
        <w:ind w:firstLine="643" w:firstLineChars="200"/>
        <w:rPr>
          <w:rFonts w:ascii="Times New Roman" w:hAnsi="Times New Roman" w:eastAsia="仿宋_GB2312"/>
          <w:sz w:val="32"/>
          <w:szCs w:val="32"/>
        </w:rPr>
      </w:pPr>
      <w:r>
        <w:rPr>
          <w:rFonts w:ascii="Times New Roman" w:hAnsi="Times New Roman" w:eastAsia="楷体_GB2312"/>
          <w:b/>
          <w:sz w:val="32"/>
          <w:szCs w:val="32"/>
        </w:rPr>
        <w:t>（三）人员编制情况</w:t>
      </w:r>
    </w:p>
    <w:p w14:paraId="6E981723">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年12月31日止我办在职人员</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人。</w:t>
      </w:r>
    </w:p>
    <w:p w14:paraId="6B806EA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二、一般公共预算支出情况</w:t>
      </w:r>
    </w:p>
    <w:p w14:paraId="36155724">
      <w:pPr>
        <w:spacing w:line="600" w:lineRule="exact"/>
        <w:ind w:firstLine="643" w:firstLineChars="200"/>
        <w:rPr>
          <w:rFonts w:hint="eastAsia" w:ascii="楷体_GB2312" w:hAnsi="楷体_GB2312" w:eastAsia="楷体_GB2312" w:cs="楷体_GB2312"/>
          <w:b/>
          <w:bCs/>
          <w:sz w:val="32"/>
          <w:szCs w:val="32"/>
        </w:rPr>
      </w:pPr>
      <w:r>
        <w:rPr>
          <w:rFonts w:ascii="Times New Roman" w:hAnsi="Times New Roman" w:eastAsia="楷体_GB2312"/>
          <w:b/>
          <w:sz w:val="32"/>
          <w:szCs w:val="32"/>
        </w:rPr>
        <w:t>（一）基本支出情况</w:t>
      </w:r>
    </w:p>
    <w:p w14:paraId="3CCA06E9">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基本支出是保障机构正常运转、完成日常工作任务而发生的各项支出，包括用于在职和离退休人员基本工资、津贴补贴等人员经费以及办公费、印刷费、水电费、办公设备购置等日常公用经费。</w:t>
      </w:r>
      <w:r>
        <w:rPr>
          <w:rFonts w:hint="eastAsia" w:ascii="Times New Roman" w:hAnsi="Times New Roman" w:eastAsia="仿宋_GB2312"/>
          <w:sz w:val="32"/>
          <w:szCs w:val="32"/>
        </w:rPr>
        <w:t>2024年年初预算</w:t>
      </w:r>
      <w:r>
        <w:rPr>
          <w:rFonts w:hint="eastAsia" w:ascii="Times New Roman" w:hAnsi="Times New Roman" w:eastAsia="仿宋_GB2312"/>
          <w:color w:val="FF0000"/>
          <w:sz w:val="32"/>
          <w:szCs w:val="32"/>
        </w:rPr>
        <w:t>391.39</w:t>
      </w:r>
      <w:r>
        <w:rPr>
          <w:rFonts w:hint="eastAsia" w:ascii="Times New Roman" w:hAnsi="Times New Roman" w:eastAsia="仿宋_GB2312"/>
          <w:sz w:val="32"/>
          <w:szCs w:val="32"/>
        </w:rPr>
        <w:t>万元，全年预算安排775.18万元，全年预算执行数775.18万元，预算执行率100%。</w:t>
      </w:r>
      <w:r>
        <w:rPr>
          <w:rFonts w:ascii="Times New Roman" w:hAnsi="Times New Roman" w:eastAsia="仿宋_GB2312"/>
          <w:color w:val="000000" w:themeColor="text1"/>
          <w:sz w:val="32"/>
          <w:szCs w:val="32"/>
          <w14:textFill>
            <w14:solidFill>
              <w14:schemeClr w14:val="tx1"/>
            </w14:solidFill>
          </w14:textFill>
        </w:rPr>
        <w:t>基本支出预算安排</w:t>
      </w:r>
      <w:r>
        <w:rPr>
          <w:rFonts w:hint="eastAsia" w:ascii="Times New Roman" w:hAnsi="Times New Roman" w:eastAsia="仿宋_GB2312"/>
          <w:color w:val="FF0000"/>
          <w:sz w:val="32"/>
          <w:szCs w:val="32"/>
        </w:rPr>
        <w:t>111.01</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全年预算数279.12万元，</w:t>
      </w:r>
      <w:r>
        <w:rPr>
          <w:rFonts w:ascii="Times New Roman" w:hAnsi="Times New Roman" w:eastAsia="仿宋_GB2312"/>
          <w:color w:val="000000" w:themeColor="text1"/>
          <w:sz w:val="32"/>
          <w:szCs w:val="32"/>
          <w14:textFill>
            <w14:solidFill>
              <w14:schemeClr w14:val="tx1"/>
            </w14:solidFill>
          </w14:textFill>
        </w:rPr>
        <w:t>实际支出</w:t>
      </w:r>
      <w:r>
        <w:rPr>
          <w:rFonts w:hint="eastAsia" w:ascii="Times New Roman" w:hAnsi="Times New Roman" w:eastAsia="仿宋_GB2312"/>
          <w:color w:val="000000" w:themeColor="text1"/>
          <w:sz w:val="32"/>
          <w:szCs w:val="32"/>
          <w14:textFill>
            <w14:solidFill>
              <w14:schemeClr w14:val="tx1"/>
            </w14:solidFill>
          </w14:textFill>
        </w:rPr>
        <w:t>279.12</w:t>
      </w:r>
      <w:r>
        <w:rPr>
          <w:rFonts w:ascii="Times New Roman" w:hAnsi="Times New Roman" w:eastAsia="仿宋_GB2312"/>
          <w:color w:val="000000" w:themeColor="text1"/>
          <w:sz w:val="32"/>
          <w:szCs w:val="32"/>
          <w14:textFill>
            <w14:solidFill>
              <w14:schemeClr w14:val="tx1"/>
            </w14:solidFill>
          </w14:textFill>
        </w:rPr>
        <w:t>万元，完成预算安排的</w:t>
      </w:r>
      <w:r>
        <w:rPr>
          <w:rFonts w:hint="eastAsia" w:ascii="Times New Roman" w:hAnsi="Times New Roman" w:eastAsia="仿宋_GB2312"/>
          <w:color w:val="000000" w:themeColor="text1"/>
          <w:sz w:val="32"/>
          <w:szCs w:val="32"/>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%。人员经费支出</w:t>
      </w:r>
      <w:r>
        <w:rPr>
          <w:rFonts w:hint="eastAsia" w:ascii="Times New Roman" w:hAnsi="Times New Roman" w:eastAsia="仿宋_GB2312"/>
          <w:color w:val="FF0000"/>
          <w:sz w:val="32"/>
          <w:szCs w:val="32"/>
        </w:rPr>
        <w:t>95.47</w:t>
      </w:r>
      <w:r>
        <w:rPr>
          <w:rFonts w:ascii="Times New Roman" w:hAnsi="Times New Roman" w:eastAsia="仿宋_GB2312"/>
          <w:color w:val="000000" w:themeColor="text1"/>
          <w:sz w:val="32"/>
          <w:szCs w:val="32"/>
          <w14:textFill>
            <w14:solidFill>
              <w14:schemeClr w14:val="tx1"/>
            </w14:solidFill>
          </w14:textFill>
        </w:rPr>
        <w:t>万元，占基本支出的</w:t>
      </w:r>
      <w:r>
        <w:rPr>
          <w:rFonts w:hint="eastAsia" w:ascii="Times New Roman" w:hAnsi="Times New Roman" w:eastAsia="仿宋_GB2312"/>
          <w:color w:val="000000" w:themeColor="text1"/>
          <w:sz w:val="32"/>
          <w:szCs w:val="32"/>
          <w14:textFill>
            <w14:solidFill>
              <w14:schemeClr w14:val="tx1"/>
            </w14:solidFill>
          </w14:textFill>
        </w:rPr>
        <w:t>34.2</w:t>
      </w:r>
      <w:r>
        <w:rPr>
          <w:rFonts w:ascii="Times New Roman" w:hAnsi="Times New Roman" w:eastAsia="仿宋_GB2312"/>
          <w:color w:val="000000" w:themeColor="text1"/>
          <w:sz w:val="32"/>
          <w:szCs w:val="32"/>
          <w14:textFill>
            <w14:solidFill>
              <w14:schemeClr w14:val="tx1"/>
            </w14:solidFill>
          </w14:textFill>
        </w:rPr>
        <w:t>%；日常公用经费支出</w:t>
      </w:r>
      <w:r>
        <w:rPr>
          <w:rFonts w:hint="eastAsia" w:ascii="Times New Roman" w:hAnsi="Times New Roman" w:eastAsia="仿宋_GB2312"/>
          <w:color w:val="FF0000"/>
          <w:sz w:val="32"/>
          <w:szCs w:val="32"/>
        </w:rPr>
        <w:t>183.64</w:t>
      </w:r>
      <w:r>
        <w:rPr>
          <w:rFonts w:ascii="Times New Roman" w:hAnsi="Times New Roman" w:eastAsia="仿宋_GB2312"/>
          <w:color w:val="000000" w:themeColor="text1"/>
          <w:sz w:val="32"/>
          <w:szCs w:val="32"/>
          <w14:textFill>
            <w14:solidFill>
              <w14:schemeClr w14:val="tx1"/>
            </w14:solidFill>
          </w14:textFill>
        </w:rPr>
        <w:t>万元，占基本支出的</w:t>
      </w:r>
      <w:r>
        <w:rPr>
          <w:rFonts w:hint="eastAsia" w:ascii="Times New Roman" w:hAnsi="Times New Roman" w:eastAsia="仿宋_GB2312"/>
          <w:color w:val="000000" w:themeColor="text1"/>
          <w:sz w:val="32"/>
          <w:szCs w:val="32"/>
          <w14:textFill>
            <w14:solidFill>
              <w14:schemeClr w14:val="tx1"/>
            </w14:solidFill>
          </w14:textFill>
        </w:rPr>
        <w:t>63.8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系全区</w:t>
      </w:r>
      <w:r>
        <w:rPr>
          <w:rFonts w:hint="eastAsia" w:ascii="Times New Roman" w:hAnsi="Times New Roman" w:eastAsia="仿宋_GB2312"/>
          <w:color w:val="000000" w:themeColor="text1"/>
          <w:sz w:val="32"/>
          <w:szCs w:val="32"/>
          <w:lang w:eastAsia="zh-CN"/>
          <w14:textFill>
            <w14:solidFill>
              <w14:schemeClr w14:val="tx1"/>
            </w14:solidFill>
          </w14:textFill>
        </w:rPr>
        <w:t>宣传工作</w:t>
      </w:r>
      <w:r>
        <w:rPr>
          <w:rFonts w:hint="eastAsia" w:ascii="Times New Roman" w:hAnsi="Times New Roman" w:eastAsia="仿宋_GB2312"/>
          <w:color w:val="000000" w:themeColor="text1"/>
          <w:sz w:val="32"/>
          <w:szCs w:val="32"/>
          <w14:textFill>
            <w14:solidFill>
              <w14:schemeClr w14:val="tx1"/>
            </w14:solidFill>
          </w14:textFill>
        </w:rPr>
        <w:t>开支</w:t>
      </w:r>
      <w:r>
        <w:rPr>
          <w:rFonts w:hint="eastAsia" w:ascii="Times New Roman" w:hAnsi="Times New Roman" w:eastAsia="仿宋_GB2312"/>
          <w:color w:val="000000" w:themeColor="text1"/>
          <w:sz w:val="32"/>
          <w:szCs w:val="32"/>
          <w:lang w:eastAsia="zh-CN"/>
          <w14:textFill>
            <w14:solidFill>
              <w14:schemeClr w14:val="tx1"/>
            </w14:solidFill>
          </w14:textFill>
        </w:rPr>
        <w:t>等</w:t>
      </w:r>
      <w:r>
        <w:rPr>
          <w:rFonts w:hint="eastAsia" w:ascii="Times New Roman" w:hAnsi="Times New Roman" w:eastAsia="仿宋_GB2312"/>
          <w:color w:val="000000" w:themeColor="text1"/>
          <w:sz w:val="32"/>
          <w:szCs w:val="32"/>
          <w14:textFill>
            <w14:solidFill>
              <w14:schemeClr w14:val="tx1"/>
            </w14:solidFill>
          </w14:textFill>
        </w:rPr>
        <w:t>。</w:t>
      </w:r>
    </w:p>
    <w:p w14:paraId="6441A83B">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（二）项目支出情况</w:t>
      </w:r>
    </w:p>
    <w:p w14:paraId="67BBF854">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项目支出是单位为完成特定行政工作任务或事业发展目标而发生的支出。</w:t>
      </w:r>
      <w:r>
        <w:rPr>
          <w:rFonts w:hint="eastAsia" w:ascii="Times New Roman" w:hAnsi="Times New Roman" w:eastAsia="仿宋_GB2312"/>
          <w:color w:val="000000" w:themeColor="text1"/>
          <w:sz w:val="32"/>
          <w:szCs w:val="32"/>
          <w14:textFill>
            <w14:solidFill>
              <w14:schemeClr w14:val="tx1"/>
            </w14:solidFill>
          </w14:textFill>
        </w:rPr>
        <w:t>2024</w:t>
      </w:r>
      <w:r>
        <w:rPr>
          <w:rFonts w:ascii="Times New Roman" w:hAnsi="Times New Roman" w:eastAsia="仿宋_GB2312"/>
          <w:color w:val="000000" w:themeColor="text1"/>
          <w:sz w:val="32"/>
          <w:szCs w:val="32"/>
          <w14:textFill>
            <w14:solidFill>
              <w14:schemeClr w14:val="tx1"/>
            </w14:solidFill>
          </w14:textFill>
        </w:rPr>
        <w:t>年度项目预算安排</w:t>
      </w:r>
      <w:r>
        <w:rPr>
          <w:rFonts w:hint="eastAsia" w:ascii="Times New Roman" w:hAnsi="Times New Roman" w:eastAsia="仿宋_GB2312"/>
          <w:color w:val="000000" w:themeColor="text1"/>
          <w:sz w:val="32"/>
          <w:szCs w:val="32"/>
          <w14:textFill>
            <w14:solidFill>
              <w14:schemeClr w14:val="tx1"/>
            </w14:solidFill>
          </w14:textFill>
        </w:rPr>
        <w:t>280.35</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全年预算数为496.06万元，</w:t>
      </w:r>
      <w:r>
        <w:rPr>
          <w:rFonts w:ascii="Times New Roman" w:hAnsi="Times New Roman" w:eastAsia="仿宋_GB2312"/>
          <w:color w:val="000000" w:themeColor="text1"/>
          <w:sz w:val="32"/>
          <w:szCs w:val="32"/>
          <w14:textFill>
            <w14:solidFill>
              <w14:schemeClr w14:val="tx1"/>
            </w14:solidFill>
          </w14:textFill>
        </w:rPr>
        <w:t>实际支出496.06万元，完成预算安排的</w:t>
      </w:r>
      <w:r>
        <w:rPr>
          <w:rFonts w:hint="eastAsia" w:ascii="Times New Roman" w:hAnsi="Times New Roman" w:eastAsia="仿宋_GB2312"/>
          <w:color w:val="000000" w:themeColor="text1"/>
          <w:sz w:val="32"/>
          <w:szCs w:val="32"/>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项目系全区网络租赁及维护费开支</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保密机房建设费</w:t>
      </w:r>
      <w:r>
        <w:rPr>
          <w:rFonts w:hint="eastAsia" w:ascii="Times New Roman" w:hAnsi="Times New Roman" w:eastAsia="仿宋_GB2312"/>
          <w:color w:val="000000" w:themeColor="text1"/>
          <w:sz w:val="32"/>
          <w:szCs w:val="32"/>
          <w:lang w:eastAsia="zh-CN"/>
          <w14:textFill>
            <w14:solidFill>
              <w14:schemeClr w14:val="tx1"/>
            </w14:solidFill>
          </w14:textFill>
        </w:rPr>
        <w:t>、区应急广播建设费等。</w:t>
      </w:r>
    </w:p>
    <w:p w14:paraId="0026BB0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三、政府性基金预算支出情况</w:t>
      </w:r>
    </w:p>
    <w:p w14:paraId="481B752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年度无政府性基金预算支出。</w:t>
      </w:r>
    </w:p>
    <w:p w14:paraId="403B4C77">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四、国有资本经营预算支出情况</w:t>
      </w:r>
    </w:p>
    <w:p w14:paraId="424B76E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年度无国有资本经营预算支出。</w:t>
      </w:r>
    </w:p>
    <w:p w14:paraId="5BFC542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五、部门整体支出绩效情况</w:t>
      </w:r>
    </w:p>
    <w:p w14:paraId="382843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雁峰区融媒体中心以习近平总书记关于媒体融合发展的重要论述为指引，认真贯彻落实党的二十大精神，紧紧围绕区委、区政府中心工作，凝心聚力、砥砺前行，持续推进媒体深度融合，开辟了一条具有雁峰特色的媒体融合之路。</w:t>
      </w:r>
      <w:r>
        <w:rPr>
          <w:rFonts w:ascii="Times New Roman" w:hAnsi="Times New Roman" w:eastAsia="仿宋_GB2312"/>
          <w:sz w:val="32"/>
          <w:szCs w:val="32"/>
        </w:rPr>
        <w:t>根据部门整体支出绩效评价指标，部门整体支出绩效得分</w:t>
      </w:r>
      <w:r>
        <w:rPr>
          <w:rFonts w:hint="eastAsia" w:ascii="Times New Roman" w:hAnsi="Times New Roman" w:eastAsia="仿宋_GB2312"/>
          <w:sz w:val="32"/>
          <w:szCs w:val="32"/>
        </w:rPr>
        <w:t>99</w:t>
      </w:r>
      <w:r>
        <w:rPr>
          <w:rFonts w:ascii="Times New Roman" w:hAnsi="Times New Roman" w:eastAsia="仿宋_GB2312"/>
          <w:sz w:val="32"/>
          <w:szCs w:val="32"/>
        </w:rPr>
        <w:t>分，具体情况如下：</w:t>
      </w:r>
    </w:p>
    <w:p w14:paraId="490BF728">
      <w:pPr>
        <w:spacing w:line="60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(一)预算执行率(分值10分，得</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分</w:t>
      </w:r>
      <w:r>
        <w:rPr>
          <w:rFonts w:hint="eastAsia" w:ascii="楷体_GB2312" w:hAnsi="楷体_GB2312" w:eastAsia="楷体_GB2312" w:cs="楷体_GB2312"/>
          <w:b/>
          <w:bCs/>
          <w:sz w:val="32"/>
          <w:szCs w:val="32"/>
          <w:lang w:eastAsia="zh-CN"/>
        </w:rPr>
        <w:t>）</w:t>
      </w:r>
    </w:p>
    <w:p w14:paraId="7040038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财政拨款全年预算数</w:t>
      </w:r>
      <w:r>
        <w:rPr>
          <w:rFonts w:hint="eastAsia" w:ascii="Times New Roman" w:hAnsi="Times New Roman" w:eastAsia="仿宋_GB2312"/>
          <w:sz w:val="32"/>
          <w:szCs w:val="32"/>
          <w:lang w:val="en-US" w:eastAsia="zh-CN"/>
        </w:rPr>
        <w:t>691.74</w:t>
      </w:r>
      <w:r>
        <w:rPr>
          <w:rFonts w:ascii="Times New Roman" w:hAnsi="Times New Roman" w:eastAsia="仿宋_GB2312"/>
          <w:sz w:val="32"/>
          <w:szCs w:val="32"/>
        </w:rPr>
        <w:t>万元，全年执行数</w:t>
      </w:r>
      <w:r>
        <w:rPr>
          <w:rFonts w:hint="eastAsia" w:ascii="Times New Roman" w:hAnsi="Times New Roman" w:eastAsia="仿宋_GB2312"/>
          <w:sz w:val="32"/>
          <w:szCs w:val="32"/>
          <w:lang w:val="en-US" w:eastAsia="zh-CN"/>
        </w:rPr>
        <w:t>691.74</w:t>
      </w:r>
      <w:r>
        <w:rPr>
          <w:rFonts w:ascii="Times New Roman" w:hAnsi="Times New Roman" w:eastAsia="仿宋_GB2312"/>
          <w:sz w:val="32"/>
          <w:szCs w:val="32"/>
        </w:rPr>
        <w:t>万元，预算执行率</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p>
    <w:p w14:paraId="066F1C76">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(二)产出指标(分值50分，得</w:t>
      </w:r>
      <w:r>
        <w:rPr>
          <w:rFonts w:hint="eastAsia" w:ascii="楷体_GB2312" w:hAnsi="楷体_GB2312" w:eastAsia="楷体_GB2312" w:cs="楷体_GB2312"/>
          <w:b/>
          <w:bCs/>
          <w:sz w:val="32"/>
          <w:szCs w:val="32"/>
          <w:lang w:val="en-US" w:eastAsia="zh-CN"/>
        </w:rPr>
        <w:t>49</w:t>
      </w:r>
      <w:r>
        <w:rPr>
          <w:rFonts w:ascii="楷体_GB2312" w:hAnsi="楷体_GB2312" w:eastAsia="楷体_GB2312" w:cs="楷体_GB2312"/>
          <w:b/>
          <w:bCs/>
          <w:sz w:val="32"/>
          <w:szCs w:val="32"/>
        </w:rPr>
        <w:t>分，</w:t>
      </w:r>
      <w:r>
        <w:rPr>
          <w:rFonts w:hint="eastAsia" w:ascii="楷体_GB2312" w:hAnsi="楷体_GB2312" w:eastAsia="楷体_GB2312" w:cs="楷体_GB2312"/>
          <w:b/>
          <w:bCs/>
          <w:sz w:val="32"/>
          <w:szCs w:val="32"/>
          <w:lang w:eastAsia="zh-CN"/>
        </w:rPr>
        <w:t>扣</w:t>
      </w:r>
      <w:r>
        <w:rPr>
          <w:rFonts w:hint="eastAsia" w:ascii="楷体_GB2312" w:hAnsi="楷体_GB2312" w:eastAsia="楷体_GB2312" w:cs="楷体_GB2312"/>
          <w:b/>
          <w:bCs/>
          <w:sz w:val="32"/>
          <w:szCs w:val="32"/>
          <w:lang w:val="en-US" w:eastAsia="zh-CN"/>
        </w:rPr>
        <w:t>1</w:t>
      </w:r>
      <w:r>
        <w:rPr>
          <w:rFonts w:ascii="楷体_GB2312" w:hAnsi="楷体_GB2312" w:eastAsia="楷体_GB2312" w:cs="楷体_GB2312"/>
          <w:b/>
          <w:bCs/>
          <w:sz w:val="32"/>
          <w:szCs w:val="32"/>
        </w:rPr>
        <w:t>分)</w:t>
      </w:r>
    </w:p>
    <w:p w14:paraId="35D0365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1、全区网络租赁及运行，年度指标值：正常运行，实际完成值：完成，分值10分，得分10分。</w:t>
      </w:r>
    </w:p>
    <w:p w14:paraId="06570E8F">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2、聚合资源，</w:t>
      </w:r>
      <w:r>
        <w:rPr>
          <w:rFonts w:hint="eastAsia" w:ascii="Times New Roman" w:hAnsi="Times New Roman" w:eastAsia="仿宋_GB2312"/>
          <w:color w:val="000000" w:themeColor="text1"/>
          <w:sz w:val="32"/>
          <w:szCs w:val="32"/>
          <w:lang w:eastAsia="zh-CN"/>
          <w14:textFill>
            <w14:solidFill>
              <w14:schemeClr w14:val="tx1"/>
            </w14:solidFill>
          </w14:textFill>
        </w:rPr>
        <w:t>建设</w:t>
      </w:r>
      <w:r>
        <w:rPr>
          <w:rFonts w:hint="eastAsia" w:ascii="Times New Roman" w:hAnsi="Times New Roman" w:eastAsia="仿宋_GB2312"/>
          <w:color w:val="000000" w:themeColor="text1"/>
          <w:sz w:val="32"/>
          <w:szCs w:val="32"/>
          <w14:textFill>
            <w14:solidFill>
              <w14:schemeClr w14:val="tx1"/>
            </w14:solidFill>
          </w14:textFill>
        </w:rPr>
        <w:t>新型</w:t>
      </w:r>
      <w:r>
        <w:rPr>
          <w:rFonts w:hint="eastAsia" w:ascii="Times New Roman" w:hAnsi="Times New Roman" w:eastAsia="仿宋_GB2312"/>
          <w:color w:val="000000" w:themeColor="text1"/>
          <w:sz w:val="32"/>
          <w:szCs w:val="32"/>
          <w:lang w:eastAsia="zh-CN"/>
          <w14:textFill>
            <w14:solidFill>
              <w14:schemeClr w14:val="tx1"/>
            </w14:solidFill>
          </w14:textFill>
        </w:rPr>
        <w:t>宣传</w:t>
      </w:r>
      <w:r>
        <w:rPr>
          <w:rFonts w:hint="eastAsia" w:ascii="Times New Roman" w:hAnsi="Times New Roman" w:eastAsia="仿宋_GB2312"/>
          <w:color w:val="000000" w:themeColor="text1"/>
          <w:sz w:val="32"/>
          <w:szCs w:val="32"/>
          <w14:textFill>
            <w14:solidFill>
              <w14:schemeClr w14:val="tx1"/>
            </w14:solidFill>
          </w14:textFill>
        </w:rPr>
        <w:t>平台，年度指标值：</w:t>
      </w:r>
      <w:r>
        <w:rPr>
          <w:rFonts w:hint="eastAsia" w:ascii="Times New Roman" w:hAnsi="Times New Roman" w:eastAsia="仿宋_GB2312"/>
          <w:color w:val="000000" w:themeColor="text1"/>
          <w:sz w:val="32"/>
          <w:szCs w:val="32"/>
          <w:lang w:eastAsia="zh-CN"/>
          <w14:textFill>
            <w14:solidFill>
              <w14:schemeClr w14:val="tx1"/>
            </w14:solidFill>
          </w14:textFill>
        </w:rPr>
        <w:t>完成全区应急广播建设，实际完成值：完成，</w:t>
      </w:r>
      <w:r>
        <w:rPr>
          <w:rFonts w:hint="eastAsia" w:ascii="仿宋_GB2312" w:hAnsi="仿宋_GB2312" w:eastAsia="仿宋_GB2312" w:cs="仿宋_GB2312"/>
          <w:b w:val="0"/>
          <w:bCs w:val="0"/>
          <w:sz w:val="32"/>
          <w:szCs w:val="32"/>
          <w:lang w:val="en-US" w:eastAsia="zh-CN"/>
        </w:rPr>
        <w:t>分值10分，得分10分。</w:t>
      </w:r>
    </w:p>
    <w:p w14:paraId="28C35D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olor w:val="FF0000"/>
          <w:sz w:val="32"/>
          <w:szCs w:val="32"/>
        </w:rPr>
      </w:pPr>
      <w:r>
        <w:rPr>
          <w:rFonts w:hint="eastAsia" w:ascii="仿宋_GB2312" w:hAnsi="仿宋_GB2312" w:eastAsia="仿宋_GB2312" w:cs="仿宋_GB2312"/>
          <w:b w:val="0"/>
          <w:bCs w:val="0"/>
          <w:sz w:val="32"/>
          <w:szCs w:val="32"/>
          <w:lang w:val="en-US" w:eastAsia="zh-CN"/>
        </w:rPr>
        <w:t>超进度高质量完成全区</w:t>
      </w:r>
      <w:r>
        <w:rPr>
          <w:rFonts w:hint="default" w:ascii="仿宋_GB2312" w:hAnsi="仿宋_GB2312" w:eastAsia="仿宋_GB2312" w:cs="仿宋_GB2312"/>
          <w:b w:val="0"/>
          <w:bCs w:val="0"/>
          <w:sz w:val="32"/>
          <w:szCs w:val="32"/>
          <w:lang w:val="en-US" w:eastAsia="zh-CN"/>
        </w:rPr>
        <w:t>应急广播体系建设，充分发挥应急广播“覆盖面广、传播面宽、灵活迅速”的优势，保证全</w:t>
      </w:r>
      <w:r>
        <w:rPr>
          <w:rFonts w:hint="eastAsia" w:ascii="仿宋_GB2312" w:hAnsi="仿宋_GB2312" w:eastAsia="仿宋_GB2312" w:cs="仿宋_GB2312"/>
          <w:b w:val="0"/>
          <w:bCs w:val="0"/>
          <w:sz w:val="32"/>
          <w:szCs w:val="32"/>
          <w:lang w:val="en-US" w:eastAsia="zh-CN"/>
        </w:rPr>
        <w:t>区</w:t>
      </w:r>
      <w:r>
        <w:rPr>
          <w:rFonts w:hint="default" w:ascii="仿宋_GB2312" w:hAnsi="仿宋_GB2312" w:eastAsia="仿宋_GB2312" w:cs="仿宋_GB2312"/>
          <w:b w:val="0"/>
          <w:bCs w:val="0"/>
          <w:sz w:val="32"/>
          <w:szCs w:val="32"/>
          <w:lang w:val="en-US" w:eastAsia="zh-CN"/>
        </w:rPr>
        <w:t>应急广播每天早中晚三个时段正常播、安全播</w:t>
      </w:r>
      <w:r>
        <w:rPr>
          <w:rFonts w:hint="eastAsia" w:ascii="仿宋_GB2312" w:hAnsi="仿宋_GB2312" w:eastAsia="仿宋_GB2312" w:cs="仿宋_GB2312"/>
          <w:b w:val="0"/>
          <w:bCs w:val="0"/>
          <w:sz w:val="32"/>
          <w:szCs w:val="32"/>
          <w:lang w:val="en-US" w:eastAsia="zh-CN"/>
        </w:rPr>
        <w:t>，自主创新打造《首峰新闻》《首峰夜读》特色栏目</w:t>
      </w:r>
      <w:r>
        <w:rPr>
          <w:rFonts w:hint="default" w:ascii="仿宋_GB2312" w:hAnsi="仿宋_GB2312" w:eastAsia="仿宋_GB2312" w:cs="仿宋_GB2312"/>
          <w:b w:val="0"/>
          <w:bCs w:val="0"/>
          <w:sz w:val="32"/>
          <w:szCs w:val="32"/>
          <w:lang w:val="en-US" w:eastAsia="zh-CN"/>
        </w:rPr>
        <w:t>，截至目前，</w:t>
      </w:r>
      <w:r>
        <w:rPr>
          <w:rFonts w:hint="eastAsia" w:ascii="仿宋_GB2312" w:hAnsi="仿宋_GB2312" w:eastAsia="仿宋_GB2312" w:cs="仿宋_GB2312"/>
          <w:b w:val="0"/>
          <w:bCs w:val="0"/>
          <w:sz w:val="32"/>
          <w:szCs w:val="32"/>
          <w:lang w:val="en-US" w:eastAsia="zh-CN"/>
        </w:rPr>
        <w:t>已制作播发240期，常态化开设</w:t>
      </w:r>
      <w:r>
        <w:rPr>
          <w:rFonts w:hint="default" w:ascii="仿宋_GB2312" w:hAnsi="仿宋_GB2312" w:eastAsia="仿宋_GB2312" w:cs="仿宋_GB2312"/>
          <w:b w:val="0"/>
          <w:bCs w:val="0"/>
          <w:sz w:val="32"/>
          <w:szCs w:val="32"/>
          <w:lang w:val="en-US" w:eastAsia="zh-CN"/>
        </w:rPr>
        <w:t>《交通安全》《防溺水》《</w:t>
      </w:r>
      <w:r>
        <w:rPr>
          <w:rFonts w:hint="eastAsia" w:ascii="仿宋_GB2312" w:hAnsi="仿宋_GB2312" w:eastAsia="仿宋_GB2312" w:cs="仿宋_GB2312"/>
          <w:b w:val="0"/>
          <w:bCs w:val="0"/>
          <w:sz w:val="32"/>
          <w:szCs w:val="32"/>
          <w:lang w:val="en-US" w:eastAsia="zh-CN"/>
        </w:rPr>
        <w:t>森林防火</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安全生产》</w:t>
      </w:r>
      <w:r>
        <w:rPr>
          <w:rFonts w:hint="default"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val="en-US" w:eastAsia="zh-CN"/>
        </w:rPr>
        <w:t>各类公益广告栏目，播发相关信息4</w:t>
      </w:r>
      <w:r>
        <w:rPr>
          <w:rFonts w:hint="default" w:ascii="仿宋_GB2312" w:hAnsi="仿宋_GB2312" w:eastAsia="仿宋_GB2312" w:cs="仿宋_GB2312"/>
          <w:b w:val="0"/>
          <w:bCs w:val="0"/>
          <w:sz w:val="32"/>
          <w:szCs w:val="32"/>
          <w:lang w:val="en-US" w:eastAsia="zh-CN"/>
        </w:rPr>
        <w:t>00余条次</w:t>
      </w:r>
      <w:r>
        <w:rPr>
          <w:rFonts w:hint="eastAsia" w:ascii="仿宋_GB2312" w:hAnsi="仿宋_GB2312" w:eastAsia="仿宋_GB2312" w:cs="仿宋_GB2312"/>
          <w:b w:val="0"/>
          <w:bCs w:val="0"/>
          <w:sz w:val="32"/>
          <w:szCs w:val="32"/>
          <w:lang w:val="en-US" w:eastAsia="zh-CN"/>
        </w:rPr>
        <w:t>。</w:t>
      </w:r>
    </w:p>
    <w:p w14:paraId="032EAD1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3、擦亮品牌，扩大影响力，年度指标值：实行新闻量质双提升，实际完成值：</w:t>
      </w:r>
      <w:r>
        <w:rPr>
          <w:rFonts w:hint="eastAsia" w:ascii="Times New Roman" w:hAnsi="Times New Roman" w:eastAsia="仿宋_GB2312"/>
          <w:sz w:val="32"/>
          <w:szCs w:val="32"/>
          <w:lang w:eastAsia="zh-CN"/>
        </w:rPr>
        <w:t>完成</w:t>
      </w:r>
      <w:r>
        <w:rPr>
          <w:rFonts w:hint="eastAsia" w:ascii="Times New Roman" w:hAnsi="Times New Roman" w:eastAsia="仿宋_GB2312"/>
          <w:sz w:val="32"/>
          <w:szCs w:val="32"/>
        </w:rPr>
        <w:t>，分值10分，得分</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分。</w:t>
      </w:r>
    </w:p>
    <w:p w14:paraId="07F89B2E">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今年以来，我中心在央媒上稿</w:t>
      </w:r>
      <w:r>
        <w:rPr>
          <w:rFonts w:hint="eastAsia" w:ascii="仿宋_GB2312" w:hAnsi="仿宋_GB2312" w:eastAsia="仿宋_GB2312" w:cs="仿宋_GB2312"/>
          <w:b w:val="0"/>
          <w:bCs w:val="0"/>
          <w:sz w:val="32"/>
          <w:szCs w:val="32"/>
          <w:lang w:val="en-US" w:eastAsia="zh-CN"/>
        </w:rPr>
        <w:t>316</w:t>
      </w:r>
      <w:r>
        <w:rPr>
          <w:rFonts w:hint="eastAsia" w:ascii="仿宋_GB2312" w:hAnsi="仿宋_GB2312" w:eastAsia="仿宋_GB2312" w:cs="仿宋_GB2312"/>
          <w:b w:val="0"/>
          <w:bCs w:val="0"/>
          <w:sz w:val="32"/>
          <w:szCs w:val="32"/>
          <w:lang w:eastAsia="zh-CN"/>
        </w:rPr>
        <w:t>篇，省媒上稿</w:t>
      </w:r>
      <w:r>
        <w:rPr>
          <w:rFonts w:hint="eastAsia" w:ascii="仿宋_GB2312" w:hAnsi="仿宋_GB2312" w:eastAsia="仿宋_GB2312" w:cs="仿宋_GB2312"/>
          <w:b w:val="0"/>
          <w:bCs w:val="0"/>
          <w:sz w:val="32"/>
          <w:szCs w:val="32"/>
          <w:lang w:val="en-US" w:eastAsia="zh-CN"/>
        </w:rPr>
        <w:t>1764</w:t>
      </w:r>
      <w:r>
        <w:rPr>
          <w:rFonts w:hint="eastAsia" w:ascii="仿宋_GB2312" w:hAnsi="仿宋_GB2312" w:eastAsia="仿宋_GB2312" w:cs="仿宋_GB2312"/>
          <w:b w:val="0"/>
          <w:bCs w:val="0"/>
          <w:sz w:val="32"/>
          <w:szCs w:val="32"/>
          <w:lang w:eastAsia="zh-CN"/>
        </w:rPr>
        <w:t>篇，其他媒体上稿</w:t>
      </w:r>
      <w:r>
        <w:rPr>
          <w:rFonts w:hint="eastAsia" w:ascii="仿宋_GB2312" w:hAnsi="仿宋_GB2312" w:eastAsia="仿宋_GB2312" w:cs="仿宋_GB2312"/>
          <w:b w:val="0"/>
          <w:bCs w:val="0"/>
          <w:sz w:val="32"/>
          <w:szCs w:val="32"/>
          <w:lang w:val="en-US" w:eastAsia="zh-CN"/>
        </w:rPr>
        <w:t>1128</w:t>
      </w:r>
      <w:r>
        <w:rPr>
          <w:rFonts w:hint="eastAsia" w:ascii="仿宋_GB2312" w:hAnsi="仿宋_GB2312" w:eastAsia="仿宋_GB2312" w:cs="仿宋_GB2312"/>
          <w:b w:val="0"/>
          <w:bCs w:val="0"/>
          <w:sz w:val="32"/>
          <w:szCs w:val="32"/>
          <w:lang w:eastAsia="zh-CN"/>
        </w:rPr>
        <w:t>篇，其中学习强国上稿</w:t>
      </w:r>
      <w:r>
        <w:rPr>
          <w:rFonts w:hint="eastAsia" w:ascii="仿宋_GB2312" w:hAnsi="仿宋_GB2312" w:eastAsia="仿宋_GB2312" w:cs="仿宋_GB2312"/>
          <w:b w:val="0"/>
          <w:bCs w:val="0"/>
          <w:sz w:val="32"/>
          <w:szCs w:val="32"/>
          <w:lang w:val="en-US" w:eastAsia="zh-CN"/>
        </w:rPr>
        <w:t>121</w:t>
      </w:r>
      <w:r>
        <w:rPr>
          <w:rFonts w:hint="eastAsia" w:ascii="仿宋_GB2312" w:hAnsi="仿宋_GB2312" w:eastAsia="仿宋_GB2312" w:cs="仿宋_GB2312"/>
          <w:b w:val="0"/>
          <w:bCs w:val="0"/>
          <w:sz w:val="32"/>
          <w:szCs w:val="32"/>
          <w:lang w:eastAsia="zh-CN"/>
        </w:rPr>
        <w:t>篇（</w:t>
      </w:r>
      <w:r>
        <w:rPr>
          <w:rFonts w:hint="eastAsia" w:ascii="仿宋_GB2312" w:hAnsi="仿宋_GB2312" w:eastAsia="仿宋_GB2312" w:cs="仿宋_GB2312"/>
          <w:b w:val="0"/>
          <w:bCs w:val="0"/>
          <w:sz w:val="32"/>
          <w:szCs w:val="32"/>
          <w:lang w:val="en-US" w:eastAsia="zh-CN"/>
        </w:rPr>
        <w:t>含首峰夜读90篇）；迴雁新闻客户端累计发稿5000余篇，中国雁峰公众号发稿1300余篇，雁峰发布视频号、抖音号发布视频683个，《雁峰欢迎你》播放量突破10万+，雁峰发布视频号挤进2024年第一季度衡阳市新闻和政务微信视频号影响力15强。</w:t>
      </w:r>
    </w:p>
    <w:p w14:paraId="429A822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4、开设各种专题专栏，年度指标值：为新雁峰宣传，实际完成值：完成相关专题专栏</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余个，分值10分，得分</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分。</w:t>
      </w:r>
    </w:p>
    <w:p w14:paraId="708F6272">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紧贴区委、区政府中心工作，服务全区所有的重大会议、重要活动、重点部署的主题报道，以图文、视频、宣传片等各类形式，讲好雁峰故事，展示雁峰形象。一年来，聚焦区两会、文旅项目建设、文明创建、安全生产、全民禁毒、“两重”“两新”送解忧等重点工作，在全媒体平台开设“聚焦雁峰两会｜奋楫再出发”“助力旅发会 绿植添精彩”“国庆错峰 就来雁峰”“三湘四水，相约湖南—第三届湖南旅发大会”“全民禁毒月主题宣传”“‘两重’‘两新’送解忧专项行动”等专题专栏20余个，发布稿件800余篇，进行全方位、立体化宣传报道，为建设高质量发展、高品质生活、高效能治理的现代化新雁峰提供强大舆论支持。</w:t>
      </w:r>
    </w:p>
    <w:p w14:paraId="05062BE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资金使用合规性，年度指标值：合规，实际完成值：合规，分值</w:t>
      </w:r>
      <w:r>
        <w:rPr>
          <w:rFonts w:hint="eastAsia" w:ascii="Times New Roman" w:hAnsi="Times New Roman" w:eastAsia="仿宋_GB2312"/>
          <w:sz w:val="32"/>
          <w:szCs w:val="32"/>
        </w:rPr>
        <w:t>5</w:t>
      </w:r>
      <w:r>
        <w:rPr>
          <w:rFonts w:ascii="Times New Roman" w:hAnsi="Times New Roman" w:eastAsia="仿宋_GB2312"/>
          <w:sz w:val="32"/>
          <w:szCs w:val="32"/>
        </w:rPr>
        <w:t>分，得分</w:t>
      </w:r>
      <w:r>
        <w:rPr>
          <w:rFonts w:hint="eastAsia" w:ascii="Times New Roman" w:hAnsi="Times New Roman" w:eastAsia="仿宋_GB2312"/>
          <w:sz w:val="32"/>
          <w:szCs w:val="32"/>
        </w:rPr>
        <w:t>5</w:t>
      </w:r>
      <w:r>
        <w:rPr>
          <w:rFonts w:ascii="Times New Roman" w:hAnsi="Times New Roman" w:eastAsia="仿宋_GB2312"/>
          <w:sz w:val="32"/>
          <w:szCs w:val="32"/>
        </w:rPr>
        <w:t>分。</w:t>
      </w:r>
    </w:p>
    <w:p w14:paraId="62220A6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全面实施预算绩效管理，合理安排预算收支；预算资金使用符合国家财经法规和单位财务管理制度规定，资金支付有完整的审批流程和手续；资金使用无截留、挤占、挪用、虚列支出等情况。</w:t>
      </w:r>
    </w:p>
    <w:p w14:paraId="720801EE">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 (三)效益指标(分值30分，得30分，未扣分)</w:t>
      </w:r>
    </w:p>
    <w:p w14:paraId="46748A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1、围绕中心工作做新闻</w:t>
      </w:r>
      <w:r>
        <w:rPr>
          <w:rFonts w:ascii="Times New Roman" w:hAnsi="Times New Roman" w:eastAsia="仿宋_GB2312"/>
          <w:sz w:val="32"/>
          <w:szCs w:val="32"/>
        </w:rPr>
        <w:t>，年度指标值：</w:t>
      </w:r>
      <w:r>
        <w:rPr>
          <w:rFonts w:hint="eastAsia" w:ascii="Times New Roman" w:hAnsi="Times New Roman" w:eastAsia="仿宋_GB2312"/>
          <w:sz w:val="32"/>
          <w:szCs w:val="32"/>
        </w:rPr>
        <w:t>展示中心工作</w:t>
      </w:r>
      <w:r>
        <w:rPr>
          <w:rFonts w:ascii="Times New Roman" w:hAnsi="Times New Roman" w:eastAsia="仿宋_GB2312"/>
          <w:sz w:val="32"/>
          <w:szCs w:val="32"/>
        </w:rPr>
        <w:t>，实际完成值：</w:t>
      </w:r>
      <w:r>
        <w:rPr>
          <w:rFonts w:hint="eastAsia" w:ascii="Times New Roman" w:hAnsi="Times New Roman" w:eastAsia="仿宋_GB2312"/>
          <w:sz w:val="32"/>
          <w:szCs w:val="32"/>
        </w:rPr>
        <w:t>较好的完成</w:t>
      </w:r>
      <w:r>
        <w:rPr>
          <w:rFonts w:ascii="Times New Roman" w:hAnsi="Times New Roman" w:eastAsia="仿宋_GB2312"/>
          <w:sz w:val="32"/>
          <w:szCs w:val="32"/>
        </w:rPr>
        <w:t>，分值</w:t>
      </w:r>
      <w:r>
        <w:rPr>
          <w:rFonts w:hint="eastAsia" w:ascii="Times New Roman" w:hAnsi="Times New Roman" w:eastAsia="仿宋_GB2312"/>
          <w:sz w:val="32"/>
          <w:szCs w:val="32"/>
        </w:rPr>
        <w:t>10</w:t>
      </w:r>
      <w:r>
        <w:rPr>
          <w:rFonts w:ascii="Times New Roman" w:hAnsi="Times New Roman" w:eastAsia="仿宋_GB2312"/>
          <w:sz w:val="32"/>
          <w:szCs w:val="32"/>
        </w:rPr>
        <w:t>分，得分</w:t>
      </w:r>
      <w:r>
        <w:rPr>
          <w:rFonts w:hint="eastAsia" w:ascii="Times New Roman" w:hAnsi="Times New Roman" w:eastAsia="仿宋_GB2312"/>
          <w:sz w:val="32"/>
          <w:szCs w:val="32"/>
        </w:rPr>
        <w:t>10</w:t>
      </w:r>
      <w:r>
        <w:rPr>
          <w:rFonts w:ascii="Times New Roman" w:hAnsi="Times New Roman" w:eastAsia="仿宋_GB2312"/>
          <w:sz w:val="32"/>
          <w:szCs w:val="32"/>
        </w:rPr>
        <w:t>分。</w:t>
      </w:r>
    </w:p>
    <w:p w14:paraId="5FD7F4E3">
      <w:pPr>
        <w:spacing w:line="600" w:lineRule="exact"/>
        <w:ind w:firstLine="640"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聚焦第三届湖南旅发大会，策划《首峰新韵》《大城向南 走读雁峰》《大城之南·乐游雁峰》《迎旅发 游雁峰》《拍了拍雁峰》《潮玩雁峰》等专题栏目，推出“镜头下的惠民之旅”“委员说雁峰文旅”“喜迎旅发会 当好东道主”“雁峰印记”等系列报道，推送短视频、宣传片引流出圈，形成了多兵团、多层级、多模式的主流媒体宣传矩阵，今年以来，文旅相关稿件央媒上稿50余篇、省媒上稿180余篇，助力雁峰文旅“火出圈”，也让雁峰的旅发故事更加深入人心，雁峰文旅的知名度、美誉度和影响力不断扩大。</w:t>
      </w:r>
    </w:p>
    <w:p w14:paraId="3D8F54E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2、宣传工作，年度指标值：强化主流媒体作用，实际完成值：在主流媒体发布作品，</w:t>
      </w:r>
      <w:r>
        <w:rPr>
          <w:rFonts w:ascii="Times New Roman" w:hAnsi="Times New Roman" w:eastAsia="仿宋_GB2312"/>
          <w:sz w:val="32"/>
          <w:szCs w:val="32"/>
        </w:rPr>
        <w:t>分值</w:t>
      </w:r>
      <w:r>
        <w:rPr>
          <w:rFonts w:hint="eastAsia" w:ascii="Times New Roman" w:hAnsi="Times New Roman" w:eastAsia="仿宋_GB2312"/>
          <w:sz w:val="32"/>
          <w:szCs w:val="32"/>
        </w:rPr>
        <w:t>10</w:t>
      </w:r>
      <w:r>
        <w:rPr>
          <w:rFonts w:ascii="Times New Roman" w:hAnsi="Times New Roman" w:eastAsia="仿宋_GB2312"/>
          <w:sz w:val="32"/>
          <w:szCs w:val="32"/>
        </w:rPr>
        <w:t>分，得分</w:t>
      </w:r>
      <w:r>
        <w:rPr>
          <w:rFonts w:hint="eastAsia" w:ascii="Times New Roman" w:hAnsi="Times New Roman" w:eastAsia="仿宋_GB2312"/>
          <w:sz w:val="32"/>
          <w:szCs w:val="32"/>
        </w:rPr>
        <w:t>10</w:t>
      </w:r>
      <w:r>
        <w:rPr>
          <w:rFonts w:ascii="Times New Roman" w:hAnsi="Times New Roman" w:eastAsia="仿宋_GB2312"/>
          <w:sz w:val="32"/>
          <w:szCs w:val="32"/>
        </w:rPr>
        <w:t>分。</w:t>
      </w:r>
    </w:p>
    <w:p w14:paraId="2F660002">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《雁峰欢迎你》播放量突破10万+，雁峰发布视频号挤进2024年第一季度衡阳市新闻和政务微信视频号影响力15强</w:t>
      </w:r>
    </w:p>
    <w:p w14:paraId="721CCC1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bookmarkStart w:id="0" w:name="_GoBack"/>
      <w:r>
        <w:rPr>
          <w:rFonts w:hint="eastAsia" w:ascii="Times New Roman" w:hAnsi="Times New Roman" w:eastAsia="仿宋_GB2312"/>
          <w:sz w:val="32"/>
          <w:szCs w:val="32"/>
        </w:rPr>
        <w:t>贴近民生服务群众</w:t>
      </w:r>
      <w:bookmarkEnd w:id="0"/>
      <w:r>
        <w:rPr>
          <w:rFonts w:hint="eastAsia" w:ascii="Times New Roman" w:hAnsi="Times New Roman" w:eastAsia="仿宋_GB2312"/>
          <w:sz w:val="32"/>
          <w:szCs w:val="32"/>
        </w:rPr>
        <w:t>，年度指标值：利用平台，服务群众，实际完成值：为群众办实事，</w:t>
      </w:r>
      <w:r>
        <w:rPr>
          <w:rFonts w:ascii="Times New Roman" w:hAnsi="Times New Roman" w:eastAsia="仿宋_GB2312"/>
          <w:sz w:val="32"/>
          <w:szCs w:val="32"/>
        </w:rPr>
        <w:t>分值</w:t>
      </w:r>
      <w:r>
        <w:rPr>
          <w:rFonts w:hint="eastAsia" w:ascii="Times New Roman" w:hAnsi="Times New Roman" w:eastAsia="仿宋_GB2312"/>
          <w:sz w:val="32"/>
          <w:szCs w:val="32"/>
        </w:rPr>
        <w:t>5</w:t>
      </w:r>
      <w:r>
        <w:rPr>
          <w:rFonts w:ascii="Times New Roman" w:hAnsi="Times New Roman" w:eastAsia="仿宋_GB2312"/>
          <w:sz w:val="32"/>
          <w:szCs w:val="32"/>
        </w:rPr>
        <w:t>分，得分</w:t>
      </w:r>
      <w:r>
        <w:rPr>
          <w:rFonts w:hint="eastAsia" w:ascii="Times New Roman" w:hAnsi="Times New Roman" w:eastAsia="仿宋_GB2312"/>
          <w:sz w:val="32"/>
          <w:szCs w:val="32"/>
        </w:rPr>
        <w:t>5</w:t>
      </w:r>
      <w:r>
        <w:rPr>
          <w:rFonts w:ascii="Times New Roman" w:hAnsi="Times New Roman" w:eastAsia="仿宋_GB2312"/>
          <w:sz w:val="32"/>
          <w:szCs w:val="32"/>
        </w:rPr>
        <w:t>分。</w:t>
      </w:r>
    </w:p>
    <w:p w14:paraId="77581DDA">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通过新闻+党建+政务+服务三大功能模块融合雁峰资源，让广大市民足不出户就可以办理行政审批、生活缴费等业务。</w:t>
      </w:r>
    </w:p>
    <w:p w14:paraId="1E73663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预决算信息公开，年度指标值：按要求公开，实际完成值：按照规定内容在规定时限内公开预决算信息，分值</w:t>
      </w:r>
      <w:r>
        <w:rPr>
          <w:rFonts w:hint="eastAsia" w:ascii="Times New Roman" w:hAnsi="Times New Roman" w:eastAsia="仿宋_GB2312"/>
          <w:sz w:val="32"/>
          <w:szCs w:val="32"/>
        </w:rPr>
        <w:t>5</w:t>
      </w:r>
      <w:r>
        <w:rPr>
          <w:rFonts w:ascii="Times New Roman" w:hAnsi="Times New Roman" w:eastAsia="仿宋_GB2312"/>
          <w:sz w:val="32"/>
          <w:szCs w:val="32"/>
        </w:rPr>
        <w:t>分，得分</w:t>
      </w:r>
      <w:r>
        <w:rPr>
          <w:rFonts w:hint="eastAsia" w:ascii="Times New Roman" w:hAnsi="Times New Roman" w:eastAsia="仿宋_GB2312"/>
          <w:sz w:val="32"/>
          <w:szCs w:val="32"/>
        </w:rPr>
        <w:t>5</w:t>
      </w:r>
      <w:r>
        <w:rPr>
          <w:rFonts w:ascii="Times New Roman" w:hAnsi="Times New Roman" w:eastAsia="仿宋_GB2312"/>
          <w:sz w:val="32"/>
          <w:szCs w:val="32"/>
        </w:rPr>
        <w:t>分。</w:t>
      </w:r>
    </w:p>
    <w:p w14:paraId="77775FF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ascii="楷体_GB2312" w:hAnsi="楷体_GB2312" w:eastAsia="楷体_GB2312" w:cs="楷体_GB2312"/>
          <w:b/>
          <w:bCs/>
          <w:sz w:val="32"/>
          <w:szCs w:val="32"/>
        </w:rPr>
        <w:t>(四)满意度指标(分值10分，得10分，未扣分)</w:t>
      </w:r>
    </w:p>
    <w:p w14:paraId="234A125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群众满意度</w:t>
      </w:r>
      <w:r>
        <w:rPr>
          <w:rFonts w:ascii="Times New Roman" w:hAnsi="Times New Roman" w:eastAsia="仿宋_GB2312"/>
          <w:sz w:val="32"/>
          <w:szCs w:val="32"/>
        </w:rPr>
        <w:t>，年度指标值：≥90%，实际完成值：</w:t>
      </w:r>
      <w:r>
        <w:rPr>
          <w:rFonts w:hint="eastAsia" w:ascii="Times New Roman" w:hAnsi="Times New Roman" w:eastAsia="仿宋_GB2312"/>
          <w:sz w:val="32"/>
          <w:szCs w:val="32"/>
        </w:rPr>
        <w:t>90</w:t>
      </w:r>
      <w:r>
        <w:rPr>
          <w:rFonts w:ascii="Times New Roman" w:hAnsi="Times New Roman" w:eastAsia="仿宋_GB2312"/>
          <w:sz w:val="32"/>
          <w:szCs w:val="32"/>
        </w:rPr>
        <w:t>%，分值</w:t>
      </w:r>
      <w:r>
        <w:rPr>
          <w:rFonts w:hint="eastAsia" w:ascii="Times New Roman" w:hAnsi="Times New Roman" w:eastAsia="仿宋_GB2312"/>
          <w:sz w:val="32"/>
          <w:szCs w:val="32"/>
        </w:rPr>
        <w:t>10</w:t>
      </w:r>
      <w:r>
        <w:rPr>
          <w:rFonts w:ascii="Times New Roman" w:hAnsi="Times New Roman" w:eastAsia="仿宋_GB2312"/>
          <w:sz w:val="32"/>
          <w:szCs w:val="32"/>
        </w:rPr>
        <w:t>分，得分</w:t>
      </w:r>
      <w:r>
        <w:rPr>
          <w:rFonts w:hint="eastAsia" w:ascii="Times New Roman" w:hAnsi="Times New Roman" w:eastAsia="仿宋_GB2312"/>
          <w:sz w:val="32"/>
          <w:szCs w:val="32"/>
        </w:rPr>
        <w:t>10</w:t>
      </w:r>
      <w:r>
        <w:rPr>
          <w:rFonts w:ascii="Times New Roman" w:hAnsi="Times New Roman" w:eastAsia="仿宋_GB2312"/>
          <w:sz w:val="32"/>
          <w:szCs w:val="32"/>
        </w:rPr>
        <w:t>分。</w:t>
      </w:r>
    </w:p>
    <w:p w14:paraId="789E081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09FB8D5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年初部门预算前瞻性有待进一步加强。年初部门预算编制不够精准，年中</w:t>
      </w:r>
      <w:r>
        <w:rPr>
          <w:rFonts w:hint="eastAsia" w:ascii="Times New Roman" w:hAnsi="Times New Roman" w:eastAsia="仿宋_GB2312"/>
          <w:sz w:val="32"/>
          <w:szCs w:val="32"/>
        </w:rPr>
        <w:t>调整了</w:t>
      </w:r>
      <w:r>
        <w:rPr>
          <w:rFonts w:ascii="Times New Roman" w:hAnsi="Times New Roman" w:eastAsia="仿宋_GB2312"/>
          <w:sz w:val="32"/>
          <w:szCs w:val="32"/>
        </w:rPr>
        <w:t>部分预算。</w:t>
      </w:r>
    </w:p>
    <w:p w14:paraId="4260FCA5">
      <w:pPr>
        <w:tabs>
          <w:tab w:val="left" w:pos="5638"/>
        </w:tabs>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八、下一步改进措施</w:t>
      </w:r>
      <w:r>
        <w:rPr>
          <w:rFonts w:hint="eastAsia" w:ascii="黑体" w:hAnsi="黑体" w:eastAsia="黑体" w:cs="黑体"/>
          <w:sz w:val="32"/>
          <w:szCs w:val="32"/>
        </w:rPr>
        <w:tab/>
      </w:r>
    </w:p>
    <w:p w14:paraId="4D4B6F46">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一是进一步提高预算执行率。</w:t>
      </w:r>
      <w:r>
        <w:rPr>
          <w:rFonts w:ascii="Times New Roman" w:hAnsi="Times New Roman" w:eastAsia="仿宋_GB2312"/>
          <w:sz w:val="32"/>
          <w:szCs w:val="32"/>
        </w:rPr>
        <w:t>加强预算执行动态分析，针对项目跨年度结算的问题，争取项目尽早计划、尽早开展、尽早结算，加快预算执行进度，提高财政资金使用效益。</w:t>
      </w:r>
    </w:p>
    <w:p w14:paraId="16C9F773">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二是进一步加强预算绩效管理。</w:t>
      </w:r>
      <w:r>
        <w:rPr>
          <w:rFonts w:ascii="Times New Roman" w:hAnsi="Times New Roman" w:eastAsia="仿宋_GB2312"/>
          <w:sz w:val="32"/>
          <w:szCs w:val="32"/>
        </w:rPr>
        <w:t>加大对《湖南省预算绩效目标管理办法》相关规定的宣传和培训，增强绩效目标设置的科学性、合理性和规范性，强化预算支出责任，提高资金使用效益。</w:t>
      </w:r>
    </w:p>
    <w:p w14:paraId="2D5715ED">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2FEC137F">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1BECE438">
      <w:pPr>
        <w:spacing w:line="600" w:lineRule="exact"/>
        <w:ind w:firstLine="640" w:firstLineChars="200"/>
        <w:rPr>
          <w:rFonts w:hint="eastAsia" w:ascii="Times New Roman" w:hAnsi="Times New Roman" w:eastAsia="仿宋_GB2312"/>
          <w:sz w:val="32"/>
          <w:szCs w:val="32"/>
        </w:rPr>
      </w:pPr>
    </w:p>
    <w:p w14:paraId="6258A30F">
      <w:pPr>
        <w:spacing w:line="600" w:lineRule="exact"/>
        <w:ind w:firstLine="640" w:firstLineChars="200"/>
        <w:rPr>
          <w:rFonts w:ascii="Times New Roman" w:hAnsi="Times New Roman" w:eastAsia="仿宋_GB2312"/>
          <w:sz w:val="32"/>
          <w:szCs w:val="32"/>
        </w:rPr>
      </w:pPr>
    </w:p>
    <w:p w14:paraId="0BBEDC6D">
      <w:pPr>
        <w:spacing w:line="600" w:lineRule="exact"/>
        <w:ind w:firstLine="640" w:firstLineChars="200"/>
        <w:rPr>
          <w:rFonts w:hint="eastAsia" w:ascii="Times New Roman" w:hAnsi="Times New Roman" w:eastAsia="仿宋_GB2312"/>
          <w:sz w:val="32"/>
          <w:szCs w:val="32"/>
        </w:rPr>
      </w:pPr>
    </w:p>
    <w:p w14:paraId="5B522E05">
      <w:pPr>
        <w:spacing w:line="600" w:lineRule="exact"/>
        <w:ind w:firstLine="640" w:firstLineChars="200"/>
        <w:rPr>
          <w:rFonts w:hint="eastAsia" w:ascii="Times New Roman" w:hAnsi="Times New Roman" w:eastAsia="仿宋_GB2312"/>
          <w:sz w:val="32"/>
          <w:szCs w:val="32"/>
        </w:rPr>
      </w:pPr>
    </w:p>
    <w:p w14:paraId="2C4EF2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2405617-3760-4B9F-832C-3CC9318313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481B46-6CD4-4E14-ADEA-35A9A404ED86}"/>
  </w:font>
  <w:font w:name="方正小标宋_GBK">
    <w:panose1 w:val="02000000000000000000"/>
    <w:charset w:val="86"/>
    <w:family w:val="auto"/>
    <w:pitch w:val="default"/>
    <w:sig w:usb0="A00002BF" w:usb1="38CF7CFA" w:usb2="00082016" w:usb3="00000000" w:csb0="00040001" w:csb1="00000000"/>
    <w:embedRegular r:id="rId3" w:fontKey="{430D647C-7584-4D2D-8967-DC4AA0CAA3B5}"/>
  </w:font>
  <w:font w:name="仿宋_GB2312">
    <w:panose1 w:val="02010609030101010101"/>
    <w:charset w:val="86"/>
    <w:family w:val="auto"/>
    <w:pitch w:val="default"/>
    <w:sig w:usb0="00000001" w:usb1="080E0000" w:usb2="00000000" w:usb3="00000000" w:csb0="00040000" w:csb1="00000000"/>
    <w:embedRegular r:id="rId4" w:fontKey="{19D21A50-4DBD-42AD-8586-B5DA5B3E5ABF}"/>
  </w:font>
  <w:font w:name="楷体_GB2312">
    <w:panose1 w:val="02010609030101010101"/>
    <w:charset w:val="86"/>
    <w:family w:val="modern"/>
    <w:pitch w:val="default"/>
    <w:sig w:usb0="00000001" w:usb1="080E0000" w:usb2="00000000" w:usb3="00000000" w:csb0="00040000" w:csb1="00000000"/>
    <w:embedRegular r:id="rId5" w:fontKey="{C8013568-6BB4-4B55-8D30-DD6488C18A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76DA6"/>
    <w:rsid w:val="1E4833FD"/>
    <w:rsid w:val="1E915750"/>
    <w:rsid w:val="6287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3101</Words>
  <Characters>3278</Characters>
  <Lines>0</Lines>
  <Paragraphs>0</Paragraphs>
  <TotalTime>112</TotalTime>
  <ScaleCrop>false</ScaleCrop>
  <LinksUpToDate>false</LinksUpToDate>
  <CharactersWithSpaces>3292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2025-07-08T02:24:00Z</dcterms:created>
  <dc:creator>寒</dc:creator>
  <cp:lastModifiedBy>寒</cp:lastModifiedBy>
  <dcterms:modified xsi:type="dcterms:W3CDTF">2025-07-14T07:12:01Z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0107971E699F4BA8B5B6875258FDC184_11</vt:lpwstr>
  </property>
  <property fmtid="{D5CDD505-2E9C-101B-9397-08002B2CF9AE}" pid="4" name="KSOTemplateDocerSaveRecord">
    <vt:lpwstr>eyJoZGlkIjoiODkzMDE4N2EwYmNiOTBjZjg1NWQzOTZjZjM4MTcwNzYiLCJ1c2VySWQiOiI0MjkxMTM4MTgifQ==</vt:lpwstr>
  </property>
</Properties>
</file>