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C72BE">
      <w:pPr>
        <w:spacing w:line="360" w:lineRule="auto"/>
        <w:jc w:val="center"/>
        <w:rPr>
          <w:rFonts w:hint="eastAsia" w:ascii="Times New Roman" w:hAnsi="Times New Roman" w:eastAsia="宋体"/>
          <w:color w:val="000000"/>
          <w:sz w:val="32"/>
          <w:szCs w:val="32"/>
          <w:lang w:val="en-US" w:eastAsia="zh-CN"/>
        </w:rPr>
      </w:pPr>
    </w:p>
    <w:p w14:paraId="0105BFDF">
      <w:pPr>
        <w:spacing w:line="360" w:lineRule="auto"/>
        <w:jc w:val="center"/>
        <w:rPr>
          <w:rFonts w:hint="eastAsia" w:ascii="Times New Roman" w:hAnsi="Times New Roman" w:eastAsia="宋体"/>
          <w:color w:val="000000"/>
          <w:sz w:val="32"/>
          <w:szCs w:val="32"/>
          <w:lang w:val="en-US" w:eastAsia="zh-CN"/>
        </w:rPr>
      </w:pPr>
    </w:p>
    <w:p w14:paraId="67220FA5">
      <w:pPr>
        <w:spacing w:line="360" w:lineRule="auto"/>
        <w:jc w:val="center"/>
        <w:rPr>
          <w:rFonts w:hint="eastAsia" w:ascii="Times New Roman" w:hAnsi="Times New Roman" w:eastAsia="宋体"/>
          <w:color w:val="000000"/>
          <w:sz w:val="32"/>
          <w:szCs w:val="32"/>
          <w:lang w:val="en-US" w:eastAsia="zh-CN"/>
        </w:rPr>
      </w:pPr>
      <w:r>
        <w:rPr>
          <w:rFonts w:hint="eastAsia" w:ascii="Times New Roman" w:hAnsi="Times New Roman" w:eastAsia="宋体"/>
          <w:color w:val="000000"/>
          <w:sz w:val="32"/>
          <w:szCs w:val="32"/>
          <w:lang w:val="en-US" w:eastAsia="zh-CN"/>
        </w:rPr>
        <w:t>衡雁环评【2025】3号</w:t>
      </w:r>
    </w:p>
    <w:p w14:paraId="24B9C341">
      <w:pPr>
        <w:keepNext w:val="0"/>
        <w:keepLines w:val="0"/>
        <w:pageBreakBefore w:val="0"/>
        <w:widowControl w:val="0"/>
        <w:kinsoku/>
        <w:wordWrap/>
        <w:overflowPunct/>
        <w:topLinePunct w:val="0"/>
        <w:autoSpaceDE/>
        <w:autoSpaceDN/>
        <w:bidi w:val="0"/>
        <w:snapToGrid/>
        <w:ind w:firstLine="0" w:firstLineChars="0"/>
        <w:jc w:val="center"/>
        <w:rPr>
          <w:rFonts w:hint="eastAsia" w:ascii="黑体" w:hAnsi="黑体" w:eastAsia="黑体"/>
          <w:b w:val="0"/>
          <w:bCs w:val="0"/>
          <w:color w:val="000000"/>
          <w:sz w:val="44"/>
          <w:szCs w:val="44"/>
        </w:rPr>
      </w:pPr>
      <w:r>
        <w:rPr>
          <w:rFonts w:hint="eastAsia" w:ascii="黑体" w:hAnsi="黑体" w:eastAsia="黑体"/>
          <w:b w:val="0"/>
          <w:bCs w:val="0"/>
          <w:color w:val="000000"/>
          <w:sz w:val="44"/>
          <w:szCs w:val="44"/>
        </w:rPr>
        <w:t>关于</w:t>
      </w:r>
      <w:r>
        <w:rPr>
          <w:rFonts w:hint="eastAsia" w:ascii="黑体" w:hAnsi="黑体" w:eastAsia="黑体"/>
          <w:b w:val="0"/>
          <w:bCs w:val="0"/>
          <w:color w:val="000000"/>
          <w:sz w:val="44"/>
          <w:szCs w:val="44"/>
          <w:lang w:eastAsia="zh-CN"/>
        </w:rPr>
        <w:t>衡阳市弘湘产业更新发展有限责任公司</w:t>
      </w:r>
      <w:r>
        <w:rPr>
          <w:rFonts w:hint="eastAsia" w:ascii="黑体" w:hAnsi="黑体" w:eastAsia="黑体"/>
          <w:b w:val="0"/>
          <w:bCs w:val="0"/>
          <w:color w:val="000000"/>
          <w:sz w:val="44"/>
          <w:szCs w:val="44"/>
        </w:rPr>
        <w:t>《</w:t>
      </w:r>
      <w:r>
        <w:rPr>
          <w:rFonts w:hint="eastAsia" w:ascii="黑体" w:hAnsi="黑体" w:eastAsia="黑体"/>
          <w:b w:val="0"/>
          <w:bCs w:val="0"/>
          <w:color w:val="000000"/>
          <w:sz w:val="44"/>
          <w:szCs w:val="44"/>
          <w:lang w:eastAsia="zh-CN"/>
        </w:rPr>
        <w:t>衡阳市茶园路(南二环-回雁路）新建工程</w:t>
      </w:r>
      <w:r>
        <w:rPr>
          <w:rFonts w:hint="eastAsia" w:ascii="黑体" w:hAnsi="黑体" w:eastAsia="黑体"/>
          <w:b w:val="0"/>
          <w:bCs w:val="0"/>
          <w:color w:val="000000"/>
          <w:sz w:val="44"/>
          <w:szCs w:val="44"/>
        </w:rPr>
        <w:t>环境影响报告表》的批复</w:t>
      </w:r>
    </w:p>
    <w:p w14:paraId="693A1B1F">
      <w:pPr>
        <w:keepNext w:val="0"/>
        <w:keepLines w:val="0"/>
        <w:pageBreakBefore w:val="0"/>
        <w:widowControl w:val="0"/>
        <w:kinsoku/>
        <w:wordWrap/>
        <w:overflowPunct/>
        <w:topLinePunct w:val="0"/>
        <w:autoSpaceDE/>
        <w:autoSpaceDN/>
        <w:bidi w:val="0"/>
        <w:snapToGrid/>
        <w:jc w:val="both"/>
        <w:rPr>
          <w:rFonts w:hint="eastAsia" w:ascii="仿宋" w:hAnsi="仿宋" w:eastAsia="仿宋"/>
          <w:color w:val="000000"/>
          <w:sz w:val="30"/>
          <w:szCs w:val="30"/>
        </w:rPr>
      </w:pPr>
    </w:p>
    <w:p w14:paraId="70EA6654">
      <w:pPr>
        <w:pStyle w:val="7"/>
        <w:keepNext w:val="0"/>
        <w:keepLines w:val="0"/>
        <w:pageBreakBefore w:val="0"/>
        <w:widowControl w:val="0"/>
        <w:kinsoku/>
        <w:wordWrap w:val="0"/>
        <w:overflowPunct w:val="0"/>
        <w:topLinePunct w:val="0"/>
        <w:autoSpaceDE/>
        <w:autoSpaceDN/>
        <w:bidi w:val="0"/>
        <w:snapToGrid w:val="0"/>
        <w:spacing w:before="0" w:beforeAutospacing="0" w:after="0" w:afterAutospacing="0" w:line="590" w:lineRule="exact"/>
        <w:jc w:val="both"/>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衡阳市弘湘产业更新发展有限责任公司：</w:t>
      </w:r>
    </w:p>
    <w:p w14:paraId="11F8585B">
      <w:pPr>
        <w:pStyle w:val="7"/>
        <w:keepNext w:val="0"/>
        <w:keepLines w:val="0"/>
        <w:pageBreakBefore w:val="0"/>
        <w:widowControl w:val="0"/>
        <w:kinsoku/>
        <w:wordWrap w:val="0"/>
        <w:overflowPunct w:val="0"/>
        <w:topLinePunct w:val="0"/>
        <w:autoSpaceDE/>
        <w:autoSpaceDN/>
        <w:bidi w:val="0"/>
        <w:snapToGrid w:val="0"/>
        <w:spacing w:before="0" w:beforeAutospacing="0" w:after="0" w:afterAutospacing="0" w:line="59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sz w:val="32"/>
          <w:szCs w:val="32"/>
        </w:rPr>
        <w:t>地址：湖南省衡阳市高新区华新大道11号C2栋306</w:t>
      </w:r>
      <w:r>
        <w:rPr>
          <w:rFonts w:hint="eastAsia" w:ascii="仿宋_GB2312" w:hAnsi="仿宋_GB2312" w:eastAsia="仿宋_GB2312"/>
          <w:sz w:val="32"/>
          <w:szCs w:val="32"/>
          <w:lang w:val="en-US" w:eastAsia="zh-CN"/>
        </w:rPr>
        <w:t>室，法定代表人：胡兴花，统一社会信用代码：91430400MADKQF6D6C。</w:t>
      </w:r>
    </w:p>
    <w:p w14:paraId="37742527">
      <w:pPr>
        <w:pStyle w:val="7"/>
        <w:keepNext w:val="0"/>
        <w:keepLines w:val="0"/>
        <w:pageBreakBefore w:val="0"/>
        <w:widowControl w:val="0"/>
        <w:kinsoku/>
        <w:wordWrap w:val="0"/>
        <w:overflowPunct w:val="0"/>
        <w:topLinePunct w:val="0"/>
        <w:autoSpaceDE/>
        <w:autoSpaceDN/>
        <w:bidi w:val="0"/>
        <w:snapToGrid w:val="0"/>
        <w:spacing w:before="0" w:beforeAutospacing="0" w:after="0" w:afterAutospacing="0" w:line="57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sz w:val="32"/>
          <w:szCs w:val="32"/>
        </w:rPr>
        <w:t>你单位于2025年</w:t>
      </w:r>
      <w:r>
        <w:rPr>
          <w:rFonts w:hint="eastAsia" w:ascii="仿宋_GB2312" w:hAnsi="仿宋_GB2312" w:eastAsia="仿宋_GB2312"/>
          <w:sz w:val="32"/>
          <w:szCs w:val="32"/>
          <w:lang w:val="en-US" w:eastAsia="zh-CN"/>
        </w:rPr>
        <w:t>11</w:t>
      </w:r>
      <w:r>
        <w:rPr>
          <w:rFonts w:hint="eastAsia" w:ascii="仿宋_GB2312" w:hAnsi="仿宋_GB2312" w:eastAsia="仿宋_GB2312"/>
          <w:sz w:val="32"/>
          <w:szCs w:val="32"/>
        </w:rPr>
        <w:t>月1</w:t>
      </w:r>
      <w:r>
        <w:rPr>
          <w:rFonts w:hint="eastAsia" w:ascii="仿宋_GB2312" w:hAnsi="仿宋_GB2312" w:eastAsia="仿宋_GB2312"/>
          <w:sz w:val="32"/>
          <w:szCs w:val="32"/>
          <w:lang w:val="en-US" w:eastAsia="zh-CN"/>
        </w:rPr>
        <w:t>4</w:t>
      </w:r>
      <w:r>
        <w:rPr>
          <w:rFonts w:hint="eastAsia" w:ascii="仿宋_GB2312" w:hAnsi="仿宋_GB2312" w:eastAsia="仿宋_GB2312"/>
          <w:sz w:val="32"/>
          <w:szCs w:val="32"/>
        </w:rPr>
        <w:t>日提出建设项目环境影响评价审批报告表（普通类）行政许可申请，我局已依法于2025年</w:t>
      </w:r>
      <w:r>
        <w:rPr>
          <w:rFonts w:hint="eastAsia" w:ascii="仿宋_GB2312" w:hAnsi="仿宋_GB2312" w:eastAsia="仿宋_GB2312"/>
          <w:sz w:val="32"/>
          <w:szCs w:val="32"/>
          <w:lang w:val="en-US" w:eastAsia="zh-CN"/>
        </w:rPr>
        <w:t>11</w:t>
      </w:r>
      <w:r>
        <w:rPr>
          <w:rFonts w:hint="eastAsia" w:ascii="仿宋_GB2312" w:hAnsi="仿宋_GB2312" w:eastAsia="仿宋_GB2312"/>
          <w:sz w:val="32"/>
          <w:szCs w:val="32"/>
        </w:rPr>
        <w:t>月</w:t>
      </w:r>
      <w:r>
        <w:rPr>
          <w:rFonts w:hint="eastAsia" w:ascii="仿宋_GB2312" w:hAnsi="仿宋_GB2312" w:eastAsia="仿宋_GB2312"/>
          <w:sz w:val="32"/>
          <w:szCs w:val="32"/>
          <w:lang w:val="en-US" w:eastAsia="zh-CN"/>
        </w:rPr>
        <w:t>14</w:t>
      </w:r>
      <w:r>
        <w:rPr>
          <w:rFonts w:hint="eastAsia" w:ascii="仿宋_GB2312" w:hAnsi="仿宋_GB2312" w:eastAsia="仿宋_GB2312"/>
          <w:sz w:val="32"/>
          <w:szCs w:val="32"/>
        </w:rPr>
        <w:t>日受理，并完成受理公示和拟审批公示。经审查，你单位委托宏诚国际工程咨询有限公司编制并通过专家</w:t>
      </w:r>
      <w:r>
        <w:rPr>
          <w:rFonts w:hint="eastAsia" w:ascii="仿宋_GB2312" w:hAnsi="仿宋_GB2312" w:eastAsia="仿宋_GB2312"/>
          <w:kern w:val="2"/>
          <w:sz w:val="32"/>
          <w:szCs w:val="32"/>
        </w:rPr>
        <w:t>评审取得审查意见的《</w:t>
      </w:r>
      <w:r>
        <w:rPr>
          <w:rFonts w:hint="eastAsia" w:ascii="仿宋_GB2312" w:hAnsi="仿宋_GB2312" w:eastAsia="仿宋_GB2312"/>
          <w:color w:val="000000"/>
          <w:sz w:val="32"/>
          <w:szCs w:val="32"/>
          <w:lang w:eastAsia="zh-CN"/>
        </w:rPr>
        <w:t>衡阳市茶园路(南二环-回雁路）新建工程环境影响报告表</w:t>
      </w:r>
      <w:r>
        <w:rPr>
          <w:rFonts w:hint="eastAsia" w:ascii="仿宋_GB2312" w:hAnsi="仿宋_GB2312" w:eastAsia="仿宋_GB2312"/>
          <w:kern w:val="2"/>
          <w:sz w:val="32"/>
          <w:szCs w:val="32"/>
        </w:rPr>
        <w:t>》符合国家关于建设项目环境影响评价文件审批的有关规定，根据《中华人民共和国行政许可法》第三十八条第一款“申请人的申请符合法定条件、标准的，行政机关应当依法作出准予行政许可的书面决定”以及</w:t>
      </w:r>
      <w:r>
        <w:rPr>
          <w:rFonts w:hint="eastAsia" w:ascii="仿宋_GB2312" w:hAnsi="仿宋_GB2312" w:eastAsia="仿宋_GB2312"/>
          <w:sz w:val="32"/>
          <w:szCs w:val="32"/>
        </w:rPr>
        <w:t>《中华人民共和国环境影响评价法》第二十二条规定，我局决定准予行政许可，并作要求如下：</w:t>
      </w:r>
    </w:p>
    <w:p w14:paraId="660808EF">
      <w:pPr>
        <w:keepNext w:val="0"/>
        <w:keepLines w:val="0"/>
        <w:pageBreakBefore w:val="0"/>
        <w:widowControl w:val="0"/>
        <w:kinsoku/>
        <w:wordWrap/>
        <w:overflowPunct/>
        <w:topLinePunct w:val="0"/>
        <w:autoSpaceDE/>
        <w:autoSpaceDN/>
        <w:bidi w:val="0"/>
        <w:snapToGrid/>
        <w:jc w:val="both"/>
        <w:rPr>
          <w:rFonts w:hint="eastAsia" w:ascii="仿宋_GB2312" w:hAnsi="仿宋_GB2312" w:eastAsia="仿宋_GB2312"/>
          <w:color w:val="000000"/>
          <w:sz w:val="32"/>
          <w:szCs w:val="32"/>
          <w:lang w:eastAsia="zh-CN"/>
        </w:rPr>
      </w:pPr>
    </w:p>
    <w:p w14:paraId="4DD2FDED">
      <w:pPr>
        <w:pStyle w:val="7"/>
        <w:keepNext w:val="0"/>
        <w:keepLines w:val="0"/>
        <w:pageBreakBefore w:val="0"/>
        <w:widowControl w:val="0"/>
        <w:numPr>
          <w:ilvl w:val="0"/>
          <w:numId w:val="1"/>
        </w:numPr>
        <w:kinsoku/>
        <w:wordWrap w:val="0"/>
        <w:overflowPunct w:val="0"/>
        <w:topLinePunct w:val="0"/>
        <w:autoSpaceDE/>
        <w:autoSpaceDN/>
        <w:bidi w:val="0"/>
        <w:snapToGrid w:val="0"/>
        <w:spacing w:before="0" w:beforeAutospacing="0" w:after="0" w:afterAutospacing="0" w:line="570" w:lineRule="exact"/>
        <w:ind w:firstLine="640" w:firstLineChars="200"/>
        <w:jc w:val="both"/>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衡阳市弘湘产业更新发展有限责任公司拟投资6000万在衡阳市雁峰区黄茶岭街道高兴村、白沙洲街道塑田村建设茶园路(南二环-回雁路）项目。该项目建设基本内容：茶园路(南二环-回雁路）道路及配套管线工程，呈南北走向，北起南二环，路线往南依次交于规划的彩凤路、竺山路，往南止于回雁路，全长819.262m。规划道路红线宽60m，道路等级为城市快速路。</w:t>
      </w:r>
    </w:p>
    <w:p w14:paraId="0A3D9BED">
      <w:pPr>
        <w:pStyle w:val="7"/>
        <w:keepNext w:val="0"/>
        <w:keepLines w:val="0"/>
        <w:pageBreakBefore w:val="0"/>
        <w:widowControl w:val="0"/>
        <w:numPr>
          <w:ilvl w:val="0"/>
          <w:numId w:val="0"/>
        </w:numPr>
        <w:kinsoku/>
        <w:wordWrap w:val="0"/>
        <w:overflowPunct w:val="0"/>
        <w:topLinePunct w:val="0"/>
        <w:autoSpaceDE/>
        <w:autoSpaceDN/>
        <w:bidi w:val="0"/>
        <w:snapToGrid w:val="0"/>
        <w:spacing w:before="0" w:beforeAutospacing="0" w:after="0" w:afterAutospacing="0" w:line="570" w:lineRule="exact"/>
        <w:ind w:right="0" w:rightChars="0" w:firstLine="640" w:firstLineChars="200"/>
        <w:jc w:val="both"/>
        <w:rPr>
          <w:rFonts w:hint="eastAsia" w:ascii="仿宋_GB2312" w:hAnsi="仿宋_GB2312" w:eastAsia="仿宋_GB2312"/>
          <w:sz w:val="32"/>
          <w:szCs w:val="32"/>
        </w:rPr>
      </w:pPr>
      <w:r>
        <w:rPr>
          <w:rFonts w:hint="eastAsia" w:ascii="仿宋_GB2312" w:hAnsi="仿宋_GB2312" w:eastAsia="仿宋_GB2312"/>
          <w:sz w:val="32"/>
          <w:szCs w:val="32"/>
        </w:rPr>
        <w:t>二、根据《报告表》的分析结论，</w:t>
      </w:r>
      <w:r>
        <w:rPr>
          <w:rFonts w:hint="eastAsia" w:ascii="仿宋_GB2312" w:hAnsi="仿宋_GB2312" w:eastAsia="仿宋_GB2312"/>
          <w:sz w:val="32"/>
          <w:szCs w:val="32"/>
          <w:lang w:val="en-US" w:eastAsia="zh-CN"/>
        </w:rPr>
        <w:t>建设</w:t>
      </w:r>
      <w:r>
        <w:rPr>
          <w:rFonts w:hint="eastAsia" w:ascii="仿宋_GB2312" w:hAnsi="仿宋_GB2312" w:eastAsia="仿宋_GB2312"/>
          <w:sz w:val="32"/>
          <w:szCs w:val="32"/>
        </w:rPr>
        <w:t>项目符合国家产业政策</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选址</w:t>
      </w:r>
      <w:r>
        <w:rPr>
          <w:rFonts w:hint="eastAsia" w:ascii="仿宋_GB2312" w:hAnsi="仿宋_GB2312" w:eastAsia="仿宋_GB2312"/>
          <w:sz w:val="32"/>
          <w:szCs w:val="32"/>
          <w:lang w:val="en-US" w:eastAsia="zh-CN"/>
        </w:rPr>
        <w:t>符合用地规划。</w:t>
      </w:r>
      <w:r>
        <w:rPr>
          <w:rFonts w:hint="eastAsia" w:ascii="仿宋_GB2312" w:hAnsi="仿宋_GB2312" w:eastAsia="仿宋_GB2312"/>
          <w:sz w:val="32"/>
          <w:szCs w:val="32"/>
        </w:rPr>
        <w:t>在建设单位按照《报告表》所列性质、规模、地点进行建设、运营并严格落实《报告表》和本批复提出的各项环境保护措施和污染防治措施，确保各类污染物稳定达标排放的前提下，项目对环境产生的影响较小。从环保角度，本局原则同意该项目建设。</w:t>
      </w:r>
    </w:p>
    <w:p w14:paraId="70097A56">
      <w:pPr>
        <w:keepNext w:val="0"/>
        <w:keepLines w:val="0"/>
        <w:pageBreakBefore w:val="0"/>
        <w:widowControl w:val="0"/>
        <w:kinsoku/>
        <w:wordWrap/>
        <w:overflowPunct/>
        <w:topLinePunct w:val="0"/>
        <w:autoSpaceDE/>
        <w:autoSpaceDN/>
        <w:bidi w:val="0"/>
        <w:snapToGrid/>
        <w:ind w:firstLine="640" w:firstLineChars="200"/>
        <w:jc w:val="left"/>
        <w:rPr>
          <w:rFonts w:hint="eastAsia" w:ascii="仿宋_GB2312" w:hAnsi="仿宋_GB2312" w:eastAsia="仿宋_GB2312"/>
          <w:b w:val="0"/>
          <w:bCs w:val="0"/>
          <w:color w:val="000000"/>
          <w:sz w:val="32"/>
          <w:szCs w:val="32"/>
          <w:lang w:val="en-US" w:eastAsia="zh-CN"/>
        </w:rPr>
      </w:pPr>
      <w:r>
        <w:rPr>
          <w:rFonts w:hint="eastAsia" w:ascii="仿宋_GB2312" w:hAnsi="仿宋_GB2312" w:eastAsia="仿宋_GB2312"/>
          <w:b w:val="0"/>
          <w:bCs w:val="0"/>
          <w:color w:val="000000"/>
          <w:sz w:val="32"/>
          <w:szCs w:val="32"/>
          <w:lang w:val="en-US" w:eastAsia="zh-CN"/>
        </w:rPr>
        <w:t>三、</w:t>
      </w:r>
      <w:r>
        <w:rPr>
          <w:rFonts w:hint="eastAsia" w:ascii="仿宋_GB2312" w:hAnsi="仿宋_GB2312" w:eastAsia="仿宋_GB2312"/>
          <w:color w:val="000000"/>
          <w:sz w:val="32"/>
          <w:szCs w:val="32"/>
          <w:lang w:val="en-US" w:eastAsia="zh-CN"/>
        </w:rPr>
        <w:t>项目施工期和运营期，应全面落实各项污染防治措施，着重做好以下防控工作：</w:t>
      </w:r>
    </w:p>
    <w:p w14:paraId="42D44BEF">
      <w:pPr>
        <w:keepNext w:val="0"/>
        <w:keepLines w:val="0"/>
        <w:widowControl/>
        <w:suppressLineNumbers w:val="0"/>
        <w:ind w:firstLine="640" w:firstLineChars="200"/>
        <w:jc w:val="lef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（一）加强施工期环境管理。必须严格控制临时占地面积，缩短临时占地使用时间，各阶段施工结束后应对临时占地及时进行清理平整并复植复绿。</w:t>
      </w:r>
    </w:p>
    <w:p w14:paraId="55FF6CF8">
      <w:pPr>
        <w:keepNext w:val="0"/>
        <w:keepLines w:val="0"/>
        <w:widowControl/>
        <w:suppressLineNumbers w:val="0"/>
        <w:ind w:firstLine="640" w:firstLineChars="200"/>
        <w:jc w:val="lef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二）加强大气污染防治。建设单位和施工单位应当履行主体责任，加强施工期间的全过程环境管理，严格对标执行建筑施工扬尘污染防治"6个100%"抑尘措施，全面落实现场围挡、场地硬化、车辆冲洗、洒水喷淋、抑尘覆盖、封闭运输等防护功能建设。必须定期对施工现场、施工路面、运输车辆进行清洗保洁，加强道路施工路段的环境维护。</w:t>
      </w:r>
      <w:r>
        <w:rPr>
          <w:rFonts w:hint="eastAsia" w:ascii="仿宋_GB2312" w:hAnsi="仿宋_GB2312" w:eastAsia="仿宋_GB2312"/>
          <w:b w:val="0"/>
          <w:bCs w:val="0"/>
          <w:color w:val="000000"/>
          <w:spacing w:val="0"/>
          <w:kern w:val="2"/>
          <w:sz w:val="32"/>
          <w:szCs w:val="32"/>
          <w:lang w:val="en-US" w:eastAsia="zh-CN"/>
        </w:rPr>
        <w:t>施工期必须使用符合国家规定标准的运输车辆和施工机械设备。运营期加强对道路及两侧绿化的保养维护，定期做好道路洒水保洁。</w:t>
      </w:r>
    </w:p>
    <w:p w14:paraId="6E8478DD">
      <w:pPr>
        <w:keepNext w:val="0"/>
        <w:keepLines w:val="0"/>
        <w:widowControl/>
        <w:suppressLineNumbers w:val="0"/>
        <w:ind w:firstLine="640" w:firstLineChars="200"/>
        <w:jc w:val="lef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三)加强废水污染防治。切实按照标准化道路施工建设的环保要求，落实路面排水设施建设及施工场地的临时隔油沉砂池设置，做好对施工机械、运输车辆冲洗废水的隔油沉砂处理及回用，上层浮油交由相关资质单位处置。施工人员生活污水依托当地居民已建房屋化粪池处理，达到《污水综合排放标准》（GB 8978-1996 ）表4中三级标准后排入二环路市政污水管网。</w:t>
      </w:r>
    </w:p>
    <w:p w14:paraId="414D260C">
      <w:pPr>
        <w:keepNext w:val="0"/>
        <w:keepLines w:val="0"/>
        <w:widowControl/>
        <w:suppressLineNumbers w:val="0"/>
        <w:ind w:firstLine="640" w:firstLineChars="200"/>
        <w:jc w:val="lef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lang w:val="en-US" w:eastAsia="zh-CN"/>
        </w:rPr>
        <w:t>(四)加强固体废物污染防治。应在施工现场设置专用的收集设施和堆放场地，对建筑和生活垃圾进行集中收集并</w:t>
      </w:r>
      <w:r>
        <w:rPr>
          <w:rFonts w:hint="eastAsia" w:ascii="仿宋_GB2312" w:hAnsi="仿宋_GB2312" w:eastAsia="仿宋_GB2312"/>
          <w:color w:val="000000"/>
          <w:sz w:val="32"/>
          <w:szCs w:val="32"/>
          <w:lang w:val="en-US" w:eastAsia="zh-CN"/>
        </w:rPr>
        <w:t>按规清运处置，不得违规堆放、丢弃、倾倒。营运期应对道路进行定期清扫，及时清除路面丢弃物，做好环境卫生保洁。</w:t>
      </w:r>
    </w:p>
    <w:p w14:paraId="497274A5">
      <w:pPr>
        <w:keepNext w:val="0"/>
        <w:keepLines w:val="0"/>
        <w:pageBreakBefore w:val="0"/>
        <w:widowControl w:val="0"/>
        <w:kinsoku/>
        <w:wordWrap/>
        <w:overflowPunct/>
        <w:topLinePunct w:val="0"/>
        <w:autoSpaceDE/>
        <w:autoSpaceDN/>
        <w:bidi w:val="0"/>
        <w:snapToGrid/>
        <w:spacing w:line="360" w:lineRule="auto"/>
        <w:ind w:firstLine="640" w:firstLineChars="2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lang w:val="en-US" w:eastAsia="zh-CN"/>
        </w:rPr>
        <w:t>(五)加强噪声污染防治。施工期必须合理安排施工时间，加强设备维护和运输车辆的现场管理；应选用低噪设备作业，落实施工噪声控制措施，现场施工噪声排放须满足《建筑施工场界环境噪声排放标准》（GB12523-2011）。运营期应加强路面养护，设定车辆禁鸣区域，禁止超速超载行驶，全面</w:t>
      </w:r>
      <w:r>
        <w:rPr>
          <w:rFonts w:hint="eastAsia" w:ascii="仿宋_GB2312" w:hAnsi="仿宋_GB2312" w:eastAsia="仿宋_GB2312"/>
          <w:color w:val="000000"/>
          <w:sz w:val="32"/>
          <w:szCs w:val="32"/>
          <w:lang w:val="en-US" w:eastAsia="zh-CN"/>
        </w:rPr>
        <w:t>落实道路的交通管理。</w:t>
      </w:r>
    </w:p>
    <w:p w14:paraId="53A224CA">
      <w:pPr>
        <w:keepNext w:val="0"/>
        <w:keepLines w:val="0"/>
        <w:pageBreakBefore w:val="0"/>
        <w:widowControl/>
        <w:kinsoku/>
        <w:wordWrap/>
        <w:autoSpaceDE/>
        <w:autoSpaceDN/>
        <w:bidi w:val="0"/>
        <w:snapToGrid w:val="0"/>
        <w:spacing w:line="700" w:lineRule="exact"/>
        <w:ind w:firstLine="643" w:firstLineChars="200"/>
        <w:rPr>
          <w:rFonts w:hint="eastAsia" w:ascii="仿宋_GB2312" w:hAnsi="仿宋_GB2312" w:eastAsia="仿宋_GB2312"/>
          <w:b/>
          <w:bCs/>
          <w:color w:val="000000"/>
          <w:sz w:val="32"/>
          <w:szCs w:val="32"/>
          <w:lang w:eastAsia="zh-CN"/>
        </w:rPr>
      </w:pPr>
    </w:p>
    <w:p w14:paraId="14A6BA14">
      <w:pPr>
        <w:keepNext w:val="0"/>
        <w:keepLines w:val="0"/>
        <w:pageBreakBefore w:val="0"/>
        <w:widowControl/>
        <w:kinsoku/>
        <w:wordWrap/>
        <w:autoSpaceDE/>
        <w:autoSpaceDN/>
        <w:bidi w:val="0"/>
        <w:snapToGrid w:val="0"/>
        <w:spacing w:line="700" w:lineRule="exact"/>
        <w:ind w:firstLine="640" w:firstLineChars="2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四、</w:t>
      </w:r>
      <w:r>
        <w:rPr>
          <w:rFonts w:hint="eastAsia" w:ascii="仿宋_GB2312" w:hAnsi="仿宋_GB2312" w:eastAsia="仿宋_GB2312"/>
          <w:color w:val="000000"/>
          <w:sz w:val="32"/>
          <w:szCs w:val="32"/>
        </w:rPr>
        <w:t>本项目</w:t>
      </w:r>
      <w:r>
        <w:rPr>
          <w:rFonts w:hint="eastAsia" w:ascii="仿宋_GB2312" w:hAnsi="仿宋_GB2312" w:eastAsia="仿宋_GB2312"/>
          <w:color w:val="000000"/>
          <w:sz w:val="32"/>
          <w:szCs w:val="32"/>
          <w:lang w:val="en-US" w:eastAsia="zh-CN"/>
        </w:rPr>
        <w:t>如</w:t>
      </w:r>
      <w:r>
        <w:rPr>
          <w:rFonts w:hint="eastAsia" w:ascii="仿宋_GB2312" w:hAnsi="仿宋_GB2312" w:eastAsia="仿宋_GB2312"/>
          <w:color w:val="000000"/>
          <w:sz w:val="32"/>
          <w:lang w:val="en-US" w:eastAsia="zh-CN"/>
        </w:rPr>
        <w:t>有</w:t>
      </w:r>
      <w:r>
        <w:rPr>
          <w:rFonts w:hint="eastAsia" w:ascii="仿宋_GB2312" w:hAnsi="仿宋_GB2312" w:eastAsia="仿宋_GB2312"/>
          <w:color w:val="000000"/>
          <w:sz w:val="32"/>
          <w:szCs w:val="32"/>
        </w:rPr>
        <w:t>涉须审批的建设工程</w:t>
      </w:r>
      <w:r>
        <w:rPr>
          <w:rFonts w:hint="eastAsia" w:ascii="仿宋_GB2312" w:hAnsi="仿宋_GB2312" w:eastAsia="仿宋_GB2312"/>
          <w:color w:val="000000"/>
          <w:sz w:val="32"/>
        </w:rPr>
        <w:t>或需</w:t>
      </w:r>
      <w:r>
        <w:rPr>
          <w:rFonts w:hint="eastAsia" w:ascii="仿宋_GB2312" w:hAnsi="仿宋_GB2312" w:eastAsia="仿宋_GB2312"/>
          <w:color w:val="000000"/>
          <w:sz w:val="32"/>
          <w:u w:val="none"/>
          <w:lang w:val="en-US" w:eastAsia="zh-CN"/>
        </w:rPr>
        <w:t>许可、验收等</w:t>
      </w:r>
      <w:r>
        <w:rPr>
          <w:rFonts w:hint="eastAsia" w:ascii="仿宋_GB2312" w:hAnsi="仿宋_GB2312" w:eastAsia="仿宋_GB2312"/>
          <w:bCs/>
          <w:color w:val="000000"/>
          <w:sz w:val="32"/>
          <w:szCs w:val="32"/>
          <w:u w:val="none"/>
          <w:lang w:val="en-US" w:eastAsia="zh-CN"/>
        </w:rPr>
        <w:t>事项，</w:t>
      </w:r>
      <w:r>
        <w:rPr>
          <w:rFonts w:hint="eastAsia" w:ascii="仿宋_GB2312" w:hAnsi="仿宋_GB2312" w:eastAsia="仿宋_GB2312"/>
          <w:color w:val="000000"/>
          <w:sz w:val="32"/>
          <w:szCs w:val="32"/>
        </w:rPr>
        <w:t>必须</w:t>
      </w:r>
      <w:r>
        <w:rPr>
          <w:rFonts w:hint="eastAsia" w:ascii="仿宋_GB2312" w:hAnsi="仿宋_GB2312" w:eastAsia="仿宋_GB2312"/>
          <w:color w:val="000000"/>
          <w:sz w:val="32"/>
          <w:szCs w:val="32"/>
          <w:lang w:eastAsia="zh-CN"/>
        </w:rPr>
        <w:t>在</w:t>
      </w:r>
      <w:r>
        <w:rPr>
          <w:rFonts w:hint="eastAsia" w:ascii="仿宋_GB2312" w:hAnsi="仿宋_GB2312" w:eastAsia="仿宋_GB2312"/>
          <w:bCs/>
          <w:color w:val="000000"/>
          <w:sz w:val="32"/>
          <w:szCs w:val="32"/>
          <w:u w:val="none"/>
          <w:lang w:val="en-US" w:eastAsia="zh-CN"/>
        </w:rPr>
        <w:t>未运营之前</w:t>
      </w:r>
      <w:r>
        <w:rPr>
          <w:rFonts w:hint="eastAsia" w:ascii="仿宋_GB2312" w:hAnsi="仿宋_GB2312" w:eastAsia="仿宋_GB2312"/>
          <w:color w:val="000000"/>
          <w:sz w:val="32"/>
          <w:szCs w:val="32"/>
        </w:rPr>
        <w:t>按规</w:t>
      </w:r>
      <w:r>
        <w:rPr>
          <w:rFonts w:hint="eastAsia" w:ascii="仿宋_GB2312" w:hAnsi="仿宋_GB2312" w:eastAsia="仿宋_GB2312"/>
          <w:color w:val="000000"/>
          <w:sz w:val="32"/>
          <w:szCs w:val="32"/>
          <w:lang w:val="en-US" w:eastAsia="zh-CN"/>
        </w:rPr>
        <w:t>取</w:t>
      </w:r>
      <w:r>
        <w:rPr>
          <w:rFonts w:hint="eastAsia" w:ascii="仿宋_GB2312" w:hAnsi="仿宋_GB2312" w:eastAsia="仿宋_GB2312"/>
          <w:color w:val="000000"/>
          <w:sz w:val="32"/>
          <w:szCs w:val="32"/>
        </w:rPr>
        <w:t>得相关职能部门的</w:t>
      </w:r>
      <w:r>
        <w:rPr>
          <w:rFonts w:hint="eastAsia" w:ascii="仿宋_GB2312" w:hAnsi="仿宋_GB2312" w:eastAsia="仿宋_GB2312"/>
          <w:color w:val="000000"/>
          <w:sz w:val="32"/>
          <w:szCs w:val="32"/>
          <w:lang w:eastAsia="zh-CN"/>
        </w:rPr>
        <w:t>审查</w:t>
      </w:r>
      <w:r>
        <w:rPr>
          <w:rFonts w:hint="eastAsia" w:ascii="仿宋_GB2312" w:hAnsi="仿宋_GB2312" w:eastAsia="仿宋_GB2312"/>
          <w:color w:val="000000"/>
          <w:sz w:val="32"/>
          <w:szCs w:val="32"/>
        </w:rPr>
        <w:t>批准</w:t>
      </w:r>
      <w:r>
        <w:rPr>
          <w:rFonts w:hint="eastAsia" w:ascii="仿宋_GB2312" w:hAnsi="仿宋_GB2312" w:eastAsia="仿宋_GB2312"/>
          <w:color w:val="000000"/>
          <w:sz w:val="32"/>
          <w:szCs w:val="32"/>
          <w:lang w:val="en-US" w:eastAsia="zh-CN"/>
        </w:rPr>
        <w:t>后</w:t>
      </w:r>
      <w:r>
        <w:rPr>
          <w:rFonts w:hint="eastAsia" w:ascii="仿宋_GB2312" w:hAnsi="仿宋_GB2312" w:eastAsia="仿宋_GB2312"/>
          <w:color w:val="000000"/>
          <w:sz w:val="32"/>
          <w:szCs w:val="32"/>
          <w:u w:val="none"/>
        </w:rPr>
        <w:t>方可投入使用</w:t>
      </w:r>
      <w:r>
        <w:rPr>
          <w:rFonts w:hint="eastAsia" w:ascii="仿宋_GB2312" w:hAnsi="仿宋_GB2312" w:eastAsia="仿宋_GB2312"/>
          <w:color w:val="000000"/>
          <w:sz w:val="32"/>
          <w:szCs w:val="32"/>
          <w:lang w:val="en-US" w:eastAsia="zh-CN"/>
        </w:rPr>
        <w:t>。</w:t>
      </w:r>
    </w:p>
    <w:p w14:paraId="1F71A83A">
      <w:pPr>
        <w:spacing w:line="360" w:lineRule="auto"/>
        <w:ind w:firstLine="640" w:firstLineChars="200"/>
        <w:jc w:val="righ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五、《</w:t>
      </w:r>
      <w:r>
        <w:rPr>
          <w:rFonts w:hint="eastAsia" w:ascii="仿宋_GB2312" w:hAnsi="仿宋_GB2312" w:eastAsia="仿宋_GB2312"/>
          <w:color w:val="000000"/>
          <w:sz w:val="32"/>
          <w:szCs w:val="32"/>
        </w:rPr>
        <w:t>报告表》经批准后，若项目的性质</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规模</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rPr>
        <w:t>地点或者防治污染的措施发生重大变动的，须重新报批环境影响评价文件</w:t>
      </w:r>
      <w:r>
        <w:rPr>
          <w:rFonts w:hint="eastAsia" w:ascii="仿宋_GB2312" w:hAnsi="仿宋_GB2312" w:eastAsia="仿宋_GB2312"/>
          <w:color w:val="000000"/>
          <w:sz w:val="32"/>
          <w:szCs w:val="32"/>
        </w:rPr>
        <w:t>。本《报告表》批复文件</w:t>
      </w:r>
      <w:r>
        <w:rPr>
          <w:rFonts w:hint="eastAsia" w:ascii="仿宋_GB2312" w:hAnsi="仿宋_GB2312" w:eastAsia="仿宋_GB2312"/>
          <w:color w:val="000000"/>
          <w:sz w:val="32"/>
          <w:szCs w:val="32"/>
          <w:lang w:val="en-US" w:eastAsia="zh-CN"/>
        </w:rPr>
        <w:t>自</w:t>
      </w:r>
      <w:r>
        <w:rPr>
          <w:rFonts w:hint="eastAsia" w:ascii="仿宋_GB2312" w:hAnsi="仿宋_GB2312" w:eastAsia="仿宋_GB2312"/>
          <w:color w:val="000000"/>
          <w:sz w:val="32"/>
          <w:szCs w:val="32"/>
        </w:rPr>
        <w:t>批准之日起，超过5</w:t>
      </w:r>
      <w:r>
        <w:rPr>
          <w:rFonts w:hint="eastAsia" w:ascii="仿宋_GB2312" w:hAnsi="仿宋_GB2312" w:eastAsia="仿宋_GB2312"/>
          <w:color w:val="000000"/>
          <w:sz w:val="32"/>
          <w:szCs w:val="32"/>
          <w:lang w:val="en-US" w:eastAsia="zh-CN"/>
        </w:rPr>
        <w:t>年</w:t>
      </w:r>
    </w:p>
    <w:p w14:paraId="3425FF52">
      <w:pPr>
        <w:spacing w:line="360" w:lineRule="auto"/>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方</w:t>
      </w:r>
      <w:bookmarkStart w:id="0" w:name="_GoBack"/>
      <w:bookmarkEnd w:id="0"/>
      <w:r>
        <w:rPr>
          <w:rFonts w:hint="eastAsia" w:ascii="仿宋_GB2312" w:hAnsi="仿宋_GB2312" w:eastAsia="仿宋_GB2312"/>
          <w:color w:val="000000"/>
          <w:sz w:val="32"/>
          <w:szCs w:val="32"/>
        </w:rPr>
        <w:t>决定</w:t>
      </w:r>
      <w:r>
        <w:rPr>
          <w:rFonts w:hint="eastAsia" w:ascii="仿宋_GB2312" w:hAnsi="仿宋_GB2312" w:eastAsia="仿宋_GB2312"/>
          <w:color w:val="000000"/>
          <w:sz w:val="32"/>
          <w:szCs w:val="32"/>
          <w:lang w:val="en-US" w:eastAsia="zh-CN"/>
        </w:rPr>
        <w:t>该项目</w:t>
      </w:r>
      <w:r>
        <w:rPr>
          <w:rFonts w:hint="eastAsia" w:ascii="仿宋_GB2312" w:hAnsi="仿宋_GB2312" w:eastAsia="仿宋_GB2312"/>
          <w:color w:val="000000"/>
          <w:sz w:val="32"/>
          <w:szCs w:val="32"/>
        </w:rPr>
        <w:t>开工建设的，环境影响</w:t>
      </w:r>
      <w:r>
        <w:rPr>
          <w:rFonts w:hint="eastAsia" w:ascii="仿宋_GB2312" w:hAnsi="仿宋_GB2312" w:eastAsia="仿宋_GB2312"/>
          <w:color w:val="000000"/>
          <w:sz w:val="32"/>
          <w:szCs w:val="32"/>
          <w:lang w:val="en-US" w:eastAsia="zh-CN"/>
        </w:rPr>
        <w:t>评价文件</w:t>
      </w:r>
      <w:r>
        <w:rPr>
          <w:rFonts w:hint="eastAsia" w:ascii="仿宋_GB2312" w:hAnsi="仿宋_GB2312" w:eastAsia="仿宋_GB2312"/>
          <w:color w:val="000000"/>
          <w:sz w:val="32"/>
          <w:szCs w:val="32"/>
        </w:rPr>
        <w:t>应当报本局重新审核。</w:t>
      </w:r>
    </w:p>
    <w:p w14:paraId="780954B6">
      <w:pPr>
        <w:spacing w:line="360" w:lineRule="auto"/>
        <w:ind w:firstLine="640" w:firstLineChars="200"/>
        <w:jc w:val="righ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你单位如对本批复不服，可以在收到决定书之日起六十日内依法向衡阳市人民政府申请行政复议，或者六个月内向</w:t>
      </w:r>
    </w:p>
    <w:p w14:paraId="32F216D4">
      <w:pPr>
        <w:spacing w:line="360" w:lineRule="auto"/>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衡阳铁路运输法院提起行政诉讼。</w:t>
      </w:r>
    </w:p>
    <w:p w14:paraId="38C4E66B">
      <w:pPr>
        <w:spacing w:line="360" w:lineRule="auto"/>
        <w:ind w:firstLine="5440" w:firstLineChars="1700"/>
        <w:jc w:val="both"/>
        <w:rPr>
          <w:rFonts w:hint="eastAsia" w:ascii="仿宋_GB2312" w:hAnsi="仿宋_GB2312" w:eastAsia="仿宋_GB2312"/>
          <w:color w:val="000000"/>
          <w:sz w:val="32"/>
          <w:szCs w:val="32"/>
        </w:rPr>
      </w:pPr>
    </w:p>
    <w:p w14:paraId="3BCBA287">
      <w:pPr>
        <w:spacing w:line="360" w:lineRule="auto"/>
        <w:ind w:firstLine="5440" w:firstLineChars="1700"/>
        <w:jc w:val="both"/>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衡阳市生态环境局</w:t>
      </w:r>
    </w:p>
    <w:p w14:paraId="694E972F">
      <w:pPr>
        <w:spacing w:line="360" w:lineRule="auto"/>
        <w:ind w:firstLine="640" w:firstLineChars="200"/>
        <w:jc w:val="center"/>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 xml:space="preserve">                            2025年12月23日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A44435"/>
    <w:multiLevelType w:val="singleLevel"/>
    <w:tmpl w:val="0DA4443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66186E"/>
    <w:rsid w:val="56F95F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默认段落字体1"/>
    <w:link w:val="1"/>
    <w:semiHidden/>
    <w:qFormat/>
    <w:uiPriority w:val="0"/>
  </w:style>
  <w:style w:type="table" w:customStyle="1" w:styleId="5">
    <w:name w:val="普通表格1"/>
    <w:semiHidden/>
    <w:qFormat/>
    <w:uiPriority w:val="0"/>
  </w:style>
  <w:style w:type="paragraph" w:customStyle="1" w:styleId="6">
    <w:name w:val="Default1"/>
    <w:uiPriority w:val="0"/>
    <w:pPr>
      <w:widowControl w:val="0"/>
      <w:autoSpaceDE w:val="0"/>
      <w:autoSpaceDN w:val="0"/>
    </w:pPr>
    <w:rPr>
      <w:rFonts w:ascii="宋体" w:hAnsi="Calibri" w:eastAsia="宋体" w:cs="Times New Roman"/>
      <w:color w:val="000000"/>
      <w:sz w:val="24"/>
      <w:szCs w:val="24"/>
      <w:lang w:val="en-US" w:eastAsia="zh-CN" w:bidi="ar-SA"/>
    </w:rPr>
  </w:style>
  <w:style w:type="paragraph" w:customStyle="1" w:styleId="7">
    <w:name w:val="普通(网站)1"/>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1644</Words>
  <Characters>1720</Characters>
  <Lines>0</Lines>
  <Paragraphs>0</Paragraphs>
  <TotalTime>4</TotalTime>
  <ScaleCrop>false</ScaleCrop>
  <LinksUpToDate>false</LinksUpToDate>
  <CharactersWithSpaces>1750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2025-12-23T07:04:00Z</dcterms:created>
  <dc:creator>煌</dc:creator>
  <cp:lastModifiedBy>煌</cp:lastModifiedBy>
  <dcterms:modified xsi:type="dcterms:W3CDTF">2025-12-23T07:10:19Z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eyJoZGlkIjoiNmEzZTUyNmNjOTAyZGEyNGE3ZWM0OTUxN2FkOTFiODQiLCJ1c2VySWQiOiI3MDMxNjc5MjcifQ==</vt:lpwstr>
  </property>
  <property fmtid="{D5CDD505-2E9C-101B-9397-08002B2CF9AE}" pid="3" name="KSOProductBuildVer">
    <vt:lpwstr>2052-12.1.0.23125</vt:lpwstr>
  </property>
  <property fmtid="{D5CDD505-2E9C-101B-9397-08002B2CF9AE}" pid="4" name="ICV">
    <vt:lpwstr>B468A29CA4F44DD49B5E0B3B1763B304_13</vt:lpwstr>
  </property>
</Properties>
</file>