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118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14:paraId="4B9E7E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14:paraId="013CF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（国家企业信用信息公示系统）</w:t>
      </w:r>
    </w:p>
    <w:p w14:paraId="7723B4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p>
    <w:p w14:paraId="5C1237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14:paraId="606B75F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w:t>
      </w:r>
      <w:bookmarkStart w:id="0" w:name="_GoBack"/>
      <w:bookmarkEnd w:id="0"/>
      <w:r>
        <w:rPr>
          <w:rFonts w:hint="default" w:ascii="Times New Roman" w:hAnsi="Times New Roman" w:eastAsia="仿宋_GB2312" w:cs="Times New Roman"/>
          <w:spacing w:val="-4"/>
          <w:sz w:val="32"/>
          <w:szCs w:val="32"/>
        </w:rPr>
        <w:t>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14:paraId="65BF8C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14:paraId="4D6F866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访问国家企业信用信息公示系统（湖南）（https://hn.gsxt.gov.cn）点击“企业信息填报”，或湖南省市场监督管理局官网（https://amr.hunan.gov.cn/）在</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服务</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栏目找到</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高频应用-企业年度报告填报</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进入经营主体年报填报登录页面。</w:t>
      </w:r>
    </w:p>
    <w:p w14:paraId="0A1DB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种登录方式：</w:t>
      </w:r>
    </w:p>
    <w:p w14:paraId="6CBA5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电子营业执照登录。适用于已领取电子营业执照的企业。</w:t>
      </w:r>
    </w:p>
    <w:p w14:paraId="728AE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联络员备案须知</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14:paraId="7AD38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14:paraId="0EA4DB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年度报告填写</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657184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我已阅读以上填报须知</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，并</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确认</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01E6BF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14:paraId="3BA4D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14:paraId="28AD20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14:paraId="50447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14:paraId="0BAB85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14:paraId="49ACB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14:paraId="4BA8E5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14:paraId="5DFD9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14:paraId="202A87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14:paraId="10AAB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14:paraId="3603CF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14:paraId="1A8D0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14:paraId="3B801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5、工业产品获证企业年度自查报告</w:t>
      </w:r>
    </w:p>
    <w:p w14:paraId="78DA2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，添加工业产品生产许可证自查报告，点击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进入工业产品生产许可证列表页面，点击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，可以修改已填报的工业产品生产许可证自查报告，点击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，保存成功，返回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工业产品生产许可证列表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页面。企业无此信息时可以不填写该项内容。</w:t>
      </w:r>
    </w:p>
    <w:p w14:paraId="20FB61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、企业基本信息</w:t>
      </w:r>
    </w:p>
    <w:p w14:paraId="01FA5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2415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1A4A1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年12月31日的信息。</w:t>
      </w:r>
    </w:p>
    <w:p w14:paraId="01BD6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左侧信息栏相关信息则为灰色，无法填报。</w:t>
      </w:r>
    </w:p>
    <w:p w14:paraId="4D7584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7、股东及出资信息</w:t>
      </w:r>
    </w:p>
    <w:p w14:paraId="649B1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股东及出资信息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F36D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14:paraId="6181C1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8、网站或网店信息</w:t>
      </w:r>
    </w:p>
    <w:p w14:paraId="048A6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网站或网店信息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w:t>
      </w:r>
    </w:p>
    <w:p w14:paraId="367548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9、股权变更信息</w:t>
      </w:r>
    </w:p>
    <w:p w14:paraId="13F98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股权变更信息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4600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14:paraId="403355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10、对外投资信息</w:t>
      </w:r>
    </w:p>
    <w:p w14:paraId="49D0B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对外投资信息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0439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14:paraId="137B07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11、资产状况信息</w:t>
      </w:r>
    </w:p>
    <w:p w14:paraId="26A6E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B95B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14:paraId="195B6E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12、对外担保信息</w:t>
      </w:r>
    </w:p>
    <w:p w14:paraId="31948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对外担保信息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80321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13、党建信息</w:t>
      </w:r>
    </w:p>
    <w:p w14:paraId="763CE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28B2C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14、团建信息</w:t>
      </w:r>
    </w:p>
    <w:p w14:paraId="3637F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3441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14:paraId="574FB0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15、社保信息</w:t>
      </w:r>
    </w:p>
    <w:p w14:paraId="3B5E5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56B067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14:paraId="05C977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16、报关信息</w:t>
      </w:r>
    </w:p>
    <w:p w14:paraId="15458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C8EC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4826A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A5F5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经营补充信息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为所报告年度的信息，其余信息均为报送时的信息。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仅部分企业需要填报。</w:t>
      </w:r>
    </w:p>
    <w:p w14:paraId="167EE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经营者英文名称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企业名称（英文）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，国际货运代理企业填《国际货运代理企业备案表》上的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企业英文名称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，其他企业或组织机构可以根据情况填写。</w:t>
      </w:r>
    </w:p>
    <w:p w14:paraId="4C642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w:t>
      </w:r>
      <w:r>
        <w:rPr>
          <w:rFonts w:hint="default" w:ascii="Times New Roman" w:hAnsi="Times New Roman" w:eastAsia="仿宋_GB2312" w:cs="Times New Roman"/>
          <w:spacing w:val="-2"/>
          <w:sz w:val="32"/>
          <w:szCs w:val="32"/>
        </w:rPr>
        <w:t>商务企业</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电子商务交易平台</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物流企业</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支付企业</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监管场所运营人</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，可同时勾选多项；非跨境贸易电子商务企业不勾选。</w:t>
      </w:r>
    </w:p>
    <w:p w14:paraId="6446E8F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14:paraId="4113E2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17、外商投资企业基本情况</w:t>
      </w:r>
    </w:p>
    <w:p w14:paraId="43AB2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1DB4A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14:paraId="758DD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14:paraId="26B56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14:paraId="3AFF9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14:paraId="33072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14:paraId="4412C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14:paraId="59D58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14:paraId="09431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14:paraId="312C7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14:paraId="52A18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14:paraId="529D9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14:paraId="1AD82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14:paraId="7B2700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14:paraId="073596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18、投资者信息</w:t>
      </w:r>
    </w:p>
    <w:p w14:paraId="11BDC75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p>
    <w:p w14:paraId="0FCA019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403539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中国</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14:paraId="47486B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全球最大五百家公司</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排行榜实际情况填写。</w:t>
      </w:r>
    </w:p>
    <w:p w14:paraId="5D7E54B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14:paraId="0BC08E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14:paraId="37DE6A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14:paraId="012438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19、外商投资经营情况</w:t>
      </w:r>
    </w:p>
    <w:p w14:paraId="172E5B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567548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7E573D8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14:paraId="00F1472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14:paraId="454AE6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14:paraId="4F1F90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14:paraId="79D63E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14:paraId="6FA1F8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14:paraId="54776F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14:paraId="2F750D3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14:paraId="1D4761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14:paraId="3A97877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14:paraId="4B8FB8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14:paraId="703BD6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表示。按报告年度财务会计报告中</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利润总额</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738A40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表示。按当年财务会计报告中</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净利润</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5177B64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14:paraId="6DE6DA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14:paraId="56C0F5E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14:paraId="631CA6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14:paraId="342E15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14:paraId="308345E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14:paraId="3AB9984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14:paraId="592ACD6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14:paraId="0EDBE4A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14:paraId="37083D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14:paraId="0626128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14:paraId="5BF24A2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14:paraId="278F8AA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14:paraId="100A1E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14:paraId="581E54F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14:paraId="462905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14:paraId="12E4BE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14:paraId="3F207C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14:paraId="73FAFE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14:paraId="7D1A34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14:paraId="3E8FADD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14:paraId="388457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14:paraId="65E401F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14:paraId="4CAB2B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14:paraId="4451AEA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14:paraId="5F115A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14:paraId="1DD333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14:paraId="07B738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14:paraId="388404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20、债券、债务情况</w:t>
      </w:r>
    </w:p>
    <w:p w14:paraId="383E0B2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0015AD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21、进口设备减免税情况</w:t>
      </w:r>
    </w:p>
    <w:p w14:paraId="6B35CED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25FFA9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22、资产负债情况</w:t>
      </w:r>
    </w:p>
    <w:p w14:paraId="5DF52A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71D7CA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14:paraId="0E507692">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14:paraId="1B51A3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 xml:space="preserve">23、逾期尚未支付合同情况 </w:t>
      </w:r>
    </w:p>
    <w:p w14:paraId="0D0EBB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14:paraId="734A791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14:paraId="0488C2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14:paraId="4C6BEFF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14:paraId="1AD92B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14:paraId="105FBD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14:paraId="0B22EAF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14:paraId="2D0624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14:paraId="6F27D8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14:paraId="27479A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14:paraId="79F4BC4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14:paraId="288722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14:paraId="52C6B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预览并公示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页面，检查填报内容是否无误。</w:t>
      </w:r>
    </w:p>
    <w:p w14:paraId="49517E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14:paraId="7BDF8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，完成本年度年报公示；如未点击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，则所填写信息仅保存成功，未进行公示，年报未完成。报送成功后页面自动显示记录。</w:t>
      </w:r>
    </w:p>
    <w:p w14:paraId="2E94C6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14:paraId="6BB3DF5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企业年报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信息中可查询已报送信息，如无信息，则未完成年报。</w:t>
      </w:r>
    </w:p>
    <w:p w14:paraId="7E9880C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14:paraId="0DD0749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14:paraId="6C3FF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年6月30日前进入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页面进行更正（6月30日后更正功能关闭）。</w:t>
      </w:r>
    </w:p>
    <w:p w14:paraId="1A432E0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14:paraId="4DC4B0D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企业在填报年报时如遇问题，请拨打所属登记机关电话进行咨询。</w:t>
      </w:r>
    </w:p>
    <w:p w14:paraId="24BDAB5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湖南省市场监管局：0731-85693069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（年报业务咨询电话）、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0731-82112315（技术咨询电话）</w:t>
      </w:r>
    </w:p>
    <w:p w14:paraId="7252C52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雁峰区市场监督管理局：0734-2895685</w:t>
      </w:r>
    </w:p>
    <w:p w14:paraId="36965AB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先锋市场监督管理所：0734-8226775</w:t>
      </w:r>
    </w:p>
    <w:p w14:paraId="0DEF951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雁峰市场监督管理所：0734-8225750</w:t>
      </w:r>
    </w:p>
    <w:p w14:paraId="7EA9CB8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天马市场监督管理所：0734-8220356</w:t>
      </w:r>
    </w:p>
    <w:p w14:paraId="6AA0ED9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黄茶市场监督管理所：0734-8225010</w:t>
      </w:r>
    </w:p>
    <w:p w14:paraId="5B2426A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岳屏市场监督管理所：0734-8478393</w:t>
      </w:r>
    </w:p>
    <w:p w14:paraId="0974F8C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白沙市场监督管理所：0734-8493143</w:t>
      </w:r>
    </w:p>
    <w:p w14:paraId="1D35695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p>
    <w:p w14:paraId="468A4BE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highlight w:val="none"/>
          <w:lang w:val="en-US" w:eastAsia="zh-CN"/>
        </w:rPr>
      </w:pPr>
    </w:p>
    <w:sectPr>
      <w:pgSz w:w="11906" w:h="16838"/>
      <w:pgMar w:top="1984" w:right="1814" w:bottom="1587"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5BBB6D-81A4-4358-99D9-71F71D2AED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89C335D-C808-4F6D-99CC-32ABD21910FC}"/>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283B7DD9-D138-4F19-A82F-83C4ADAC2C22}"/>
  </w:font>
  <w:font w:name="方正仿宋_GBK">
    <w:panose1 w:val="02000000000000000000"/>
    <w:charset w:val="86"/>
    <w:family w:val="script"/>
    <w:pitch w:val="default"/>
    <w:sig w:usb0="A00002BF" w:usb1="38CF7CFA" w:usb2="00082016" w:usb3="00000000" w:csb0="00040001" w:csb1="00000000"/>
    <w:embedRegular r:id="rId4" w:fontKey="{48573B4E-0235-48C9-99AB-801FC2227B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2895F88"/>
    <w:rsid w:val="32F7B125"/>
    <w:rsid w:val="333D4315"/>
    <w:rsid w:val="390B049F"/>
    <w:rsid w:val="3E3FE4E7"/>
    <w:rsid w:val="3EA937DF"/>
    <w:rsid w:val="41B827F4"/>
    <w:rsid w:val="4DE81EE1"/>
    <w:rsid w:val="4FB5100E"/>
    <w:rsid w:val="59AE2032"/>
    <w:rsid w:val="59FBF081"/>
    <w:rsid w:val="61F6204C"/>
    <w:rsid w:val="6C7B2402"/>
    <w:rsid w:val="6DEB0B34"/>
    <w:rsid w:val="6E9D9FD3"/>
    <w:rsid w:val="737FB7CE"/>
    <w:rsid w:val="7A11256C"/>
    <w:rsid w:val="7E6F6F85"/>
    <w:rsid w:val="7EA5885F"/>
    <w:rsid w:val="7ED7E246"/>
    <w:rsid w:val="7EF61F6C"/>
    <w:rsid w:val="7F7EC83E"/>
    <w:rsid w:val="7FBF5117"/>
    <w:rsid w:val="7FEB5371"/>
    <w:rsid w:val="7FFF14B4"/>
    <w:rsid w:val="8A6D9EBD"/>
    <w:rsid w:val="9EFF005D"/>
    <w:rsid w:val="BAFFC846"/>
    <w:rsid w:val="EEBC6301"/>
    <w:rsid w:val="F7DD6F3E"/>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6205</Words>
  <Characters>6395</Characters>
  <Lines>43</Lines>
  <Paragraphs>12</Paragraphs>
  <TotalTime>10</TotalTime>
  <ScaleCrop>false</ScaleCrop>
  <LinksUpToDate>false</LinksUpToDate>
  <CharactersWithSpaces>6396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2018-05-09T00:14:00Z</dcterms:created>
  <dc:creator>admin</dc:creator>
  <cp:lastModifiedBy>陈皮种子不加糖</cp:lastModifiedBy>
  <cp:lastPrinted>2026-01-06T05:45:07Z</cp:lastPrinted>
  <dcterms:modified xsi:type="dcterms:W3CDTF">2026-01-06T05:46:33Z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eyJoZGlkIjoiOTA3M2I1NzZjNjNiOTliZmZhMzViODc3ZGI5OGNmYjkiLCJ1c2VySWQiOiI0MjU1Mjg3MzIifQ==</vt:lpwstr>
  </property>
  <property fmtid="{D5CDD505-2E9C-101B-9397-08002B2CF9AE}" pid="4" name="ICV">
    <vt:lpwstr>A47F1B29BA1A4A0DA34CCBAB7E2DB62D_12</vt:lpwstr>
  </property>
</Properties>
</file>