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bookmarkStart w:id="55" w:name="_GoBack"/>
      <w:bookmarkEnd w:id="55"/>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C4</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C4</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2024年雁峰区车江铜矿社区服务中心</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项目单位：雁峰区车江铜矿社区服务中心</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：2025年12月7日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3A992CB9">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_Toc30052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_Toc30052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03B9F07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_Toc18698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_Toc18698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6ABBCB2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_Toc27561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_Toc27561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7FA180B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_Toc1997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_Toc1997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50188E4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_Toc20812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_Toc20812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31FB3BC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_Toc23871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_Toc23871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477F226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_Toc31110 </w:instrText>
      </w:r>
      <w:r>
        <w:rPr>
          <w:rFonts w:hint="default"/>
          <w:sz w:val="32"/>
          <w:szCs w:val="32"/>
          <w:lang w:val="en-US" w:eastAsia="zh-CN"/>
        </w:rPr>
        <w:fldChar w:fldCharType="separate"/>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）部门</w:t>
      </w:r>
      <w:r>
        <w:rPr>
          <w:rFonts w:hint="eastAsia" w:ascii="楷体" w:hAnsi="楷体" w:eastAsia="楷体" w:cs="楷体"/>
          <w:bCs/>
          <w:sz w:val="32"/>
          <w:szCs w:val="32"/>
          <w:highlight w:val="none"/>
          <w:lang w:val="en-US" w:eastAsia="zh-CN"/>
        </w:rPr>
        <w:t>主要职责</w:t>
      </w:r>
      <w:r>
        <w:rPr>
          <w:sz w:val="32"/>
          <w:szCs w:val="32"/>
        </w:rPr>
        <w:tab/>
      </w:r>
      <w:r>
        <w:rPr>
          <w:sz w:val="32"/>
          <w:szCs w:val="32"/>
        </w:rPr>
        <w:fldChar w:fldCharType="begin"/>
      </w:r>
      <w:r>
        <w:rPr>
          <w:sz w:val="32"/>
          <w:szCs w:val="32"/>
        </w:rPr>
        <w:instrText xml:space="preserve"> PAGEREF _Toc31110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2D9C385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_Toc14333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_Toc14333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626530F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_Toc1954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_Toc1954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59504D13">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_Toc26820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_Toc26820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4305331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_Toc16796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_Toc16796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14E05AA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_Toc15623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_Toc15623 \h </w:instrText>
      </w:r>
      <w:r>
        <w:rPr>
          <w:sz w:val="32"/>
          <w:szCs w:val="32"/>
        </w:rPr>
        <w:fldChar w:fldCharType="separate"/>
      </w:r>
      <w:r>
        <w:rPr>
          <w:sz w:val="32"/>
          <w:szCs w:val="32"/>
        </w:rPr>
        <w:t>8</w:t>
      </w:r>
      <w:r>
        <w:rPr>
          <w:sz w:val="32"/>
          <w:szCs w:val="32"/>
        </w:rPr>
        <w:fldChar w:fldCharType="end"/>
      </w:r>
      <w:r>
        <w:rPr>
          <w:rFonts w:hint="default"/>
          <w:sz w:val="32"/>
          <w:szCs w:val="32"/>
          <w:lang w:val="en-US" w:eastAsia="zh-CN"/>
        </w:rPr>
        <w:fldChar w:fldCharType="end"/>
      </w:r>
    </w:p>
    <w:p w14:paraId="4197DF2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_Toc2268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_Toc2268 \h </w:instrText>
      </w:r>
      <w:r>
        <w:rPr>
          <w:sz w:val="32"/>
          <w:szCs w:val="32"/>
        </w:rPr>
        <w:fldChar w:fldCharType="separate"/>
      </w:r>
      <w:r>
        <w:rPr>
          <w:sz w:val="32"/>
          <w:szCs w:val="32"/>
        </w:rPr>
        <w:t>11</w:t>
      </w:r>
      <w:r>
        <w:rPr>
          <w:sz w:val="32"/>
          <w:szCs w:val="32"/>
        </w:rPr>
        <w:fldChar w:fldCharType="end"/>
      </w:r>
      <w:r>
        <w:rPr>
          <w:rFonts w:hint="default"/>
          <w:sz w:val="32"/>
          <w:szCs w:val="32"/>
          <w:lang w:val="en-US" w:eastAsia="zh-CN"/>
        </w:rPr>
        <w:fldChar w:fldCharType="end"/>
      </w:r>
    </w:p>
    <w:p w14:paraId="2955811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_Toc15178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_Toc15178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5A3B312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_Toc12713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_Toc12713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1CD9F80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_Toc30532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_Toc30532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7F770B5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_Toc30529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_Toc30529 \h </w:instrText>
      </w:r>
      <w:r>
        <w:rPr>
          <w:sz w:val="32"/>
          <w:szCs w:val="32"/>
        </w:rPr>
        <w:fldChar w:fldCharType="separate"/>
      </w:r>
      <w:r>
        <w:rPr>
          <w:sz w:val="32"/>
          <w:szCs w:val="32"/>
        </w:rPr>
        <w:t>18</w:t>
      </w:r>
      <w:r>
        <w:rPr>
          <w:sz w:val="32"/>
          <w:szCs w:val="32"/>
        </w:rPr>
        <w:fldChar w:fldCharType="end"/>
      </w:r>
      <w:r>
        <w:rPr>
          <w:rFonts w:hint="default"/>
          <w:sz w:val="32"/>
          <w:szCs w:val="32"/>
          <w:lang w:val="en-US" w:eastAsia="zh-CN"/>
        </w:rPr>
        <w:fldChar w:fldCharType="end"/>
      </w:r>
    </w:p>
    <w:p w14:paraId="64EC79C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_Toc25615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_Toc25615 \h </w:instrText>
      </w:r>
      <w:r>
        <w:rPr>
          <w:sz w:val="32"/>
          <w:szCs w:val="32"/>
        </w:rPr>
        <w:fldChar w:fldCharType="separate"/>
      </w:r>
      <w:r>
        <w:rPr>
          <w:sz w:val="32"/>
          <w:szCs w:val="32"/>
        </w:rPr>
        <w:t>19</w:t>
      </w:r>
      <w:r>
        <w:rPr>
          <w:sz w:val="32"/>
          <w:szCs w:val="32"/>
        </w:rPr>
        <w:fldChar w:fldCharType="end"/>
      </w:r>
      <w:r>
        <w:rPr>
          <w:rFonts w:hint="default"/>
          <w:sz w:val="32"/>
          <w:szCs w:val="32"/>
          <w:lang w:val="en-US" w:eastAsia="zh-CN"/>
        </w:rPr>
        <w:fldChar w:fldCharType="end"/>
      </w:r>
    </w:p>
    <w:p w14:paraId="64472DA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_Toc31172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_Toc31172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18C01C7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_Toc31993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_Toc31993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67F02E4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_Toc23628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）分类目标</w:t>
      </w:r>
      <w:r>
        <w:rPr>
          <w:sz w:val="32"/>
          <w:szCs w:val="32"/>
        </w:rPr>
        <w:tab/>
      </w:r>
      <w:r>
        <w:rPr>
          <w:sz w:val="32"/>
          <w:szCs w:val="32"/>
        </w:rPr>
        <w:fldChar w:fldCharType="begin"/>
      </w:r>
      <w:r>
        <w:rPr>
          <w:sz w:val="32"/>
          <w:szCs w:val="32"/>
        </w:rPr>
        <w:instrText xml:space="preserve"> PAGEREF _Toc23628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5668585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_Toc8623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_Toc8623 \h </w:instrText>
      </w:r>
      <w:r>
        <w:rPr>
          <w:sz w:val="32"/>
          <w:szCs w:val="32"/>
        </w:rPr>
        <w:fldChar w:fldCharType="separate"/>
      </w:r>
      <w:r>
        <w:rPr>
          <w:sz w:val="32"/>
          <w:szCs w:val="32"/>
        </w:rPr>
        <w:t>23</w:t>
      </w:r>
      <w:r>
        <w:rPr>
          <w:sz w:val="32"/>
          <w:szCs w:val="32"/>
        </w:rPr>
        <w:fldChar w:fldCharType="end"/>
      </w:r>
      <w:r>
        <w:rPr>
          <w:rFonts w:hint="default"/>
          <w:sz w:val="32"/>
          <w:szCs w:val="32"/>
          <w:lang w:val="en-US" w:eastAsia="zh-CN"/>
        </w:rPr>
        <w:fldChar w:fldCharType="end"/>
      </w:r>
    </w:p>
    <w:p w14:paraId="093FFA8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_Toc3302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_Toc3302 \h </w:instrText>
      </w:r>
      <w:r>
        <w:rPr>
          <w:sz w:val="32"/>
          <w:szCs w:val="32"/>
        </w:rPr>
        <w:fldChar w:fldCharType="separate"/>
      </w:r>
      <w:r>
        <w:rPr>
          <w:sz w:val="32"/>
          <w:szCs w:val="32"/>
        </w:rPr>
        <w:t>23</w:t>
      </w:r>
      <w:r>
        <w:rPr>
          <w:sz w:val="32"/>
          <w:szCs w:val="32"/>
        </w:rPr>
        <w:fldChar w:fldCharType="end"/>
      </w:r>
      <w:r>
        <w:rPr>
          <w:rFonts w:hint="default"/>
          <w:sz w:val="32"/>
          <w:szCs w:val="32"/>
          <w:lang w:val="en-US" w:eastAsia="zh-CN"/>
        </w:rPr>
        <w:fldChar w:fldCharType="end"/>
      </w:r>
    </w:p>
    <w:p w14:paraId="061FC69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_Toc10449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_Toc10449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203C9E1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_Toc19793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_Toc19793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3C18B7A2">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_Toc1084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_Toc1084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03268FF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_Toc2728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_Toc2728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6C2CF67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_Toc27786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（二）人员经费管理方面存在的问题及建议</w:t>
      </w:r>
      <w:r>
        <w:rPr>
          <w:sz w:val="32"/>
          <w:szCs w:val="32"/>
        </w:rPr>
        <w:tab/>
      </w:r>
      <w:r>
        <w:rPr>
          <w:sz w:val="32"/>
          <w:szCs w:val="32"/>
        </w:rPr>
        <w:fldChar w:fldCharType="begin"/>
      </w:r>
      <w:r>
        <w:rPr>
          <w:sz w:val="32"/>
          <w:szCs w:val="32"/>
        </w:rPr>
        <w:instrText xml:space="preserve"> PAGEREF _Toc27786 \h </w:instrText>
      </w:r>
      <w:r>
        <w:rPr>
          <w:sz w:val="32"/>
          <w:szCs w:val="32"/>
        </w:rPr>
        <w:fldChar w:fldCharType="separate"/>
      </w:r>
      <w:r>
        <w:rPr>
          <w:sz w:val="32"/>
          <w:szCs w:val="32"/>
        </w:rPr>
        <w:t>26</w:t>
      </w:r>
      <w:r>
        <w:rPr>
          <w:sz w:val="32"/>
          <w:szCs w:val="32"/>
        </w:rPr>
        <w:fldChar w:fldCharType="end"/>
      </w:r>
      <w:r>
        <w:rPr>
          <w:rFonts w:hint="default"/>
          <w:sz w:val="32"/>
          <w:szCs w:val="32"/>
          <w:lang w:val="en-US" w:eastAsia="zh-CN"/>
        </w:rPr>
        <w:fldChar w:fldCharType="end"/>
      </w:r>
    </w:p>
    <w:p w14:paraId="6A3BD969">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asciiTheme="minorHAnsi" w:hAnsiTheme="minorHAnsi" w:eastAsiaTheme="minorEastAsia" w:cstheme="minorBidi"/>
          <w:kern w:val="0"/>
          <w:sz w:val="28"/>
          <w:szCs w:val="28"/>
          <w:lang w:val="en-US" w:eastAsia="zh-CN" w:bidi="ar"/>
        </w:rPr>
      </w:pPr>
      <w:r>
        <w:rPr>
          <w:rFonts w:hint="default"/>
          <w:sz w:val="32"/>
          <w:szCs w:val="32"/>
          <w:lang w:val="en-US" w:eastAsia="zh-CN"/>
        </w:rPr>
        <w:fldChar w:fldCharType="end"/>
      </w: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2024年雁峰区车江铜矿社区服务中心部门整体支出绩效评价报告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雁峰区车江铜矿社区服务中心（以下简称“区车江铜矿服务中心”）的部门整体支出进行了绩效评价。建立健全内部控制制度，保护资金与资产的安全和完整，保证会计资料和其他绩效评价的相关资料的真实性、合法性和完整性，是区车江铜矿服务中心的责任。我们的责任是在区车江铜矿服务中心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30052"/>
      <w:bookmarkStart w:id="2" w:name="_Toc20127"/>
      <w:bookmarkStart w:id="3" w:name="_Toc9891"/>
      <w:bookmarkStart w:id="4" w:name="_Toc18591"/>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6464"/>
      <w:bookmarkStart w:id="6" w:name="_Toc2812"/>
      <w:bookmarkStart w:id="7" w:name="_Toc18698"/>
      <w:bookmarkStart w:id="8" w:name="_Toc3257"/>
      <w:bookmarkStart w:id="9" w:name="_Toc13350"/>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29635"/>
      <w:bookmarkStart w:id="11" w:name="_Toc8069"/>
      <w:bookmarkStart w:id="12" w:name="_Toc7691"/>
      <w:r>
        <w:rPr>
          <w:rFonts w:hint="eastAsia" w:ascii="仿宋" w:hAnsi="仿宋" w:eastAsia="仿宋" w:cs="仿宋"/>
          <w:sz w:val="32"/>
          <w:szCs w:val="32"/>
          <w:lang w:val="en-US" w:eastAsia="zh-CN"/>
        </w:rPr>
        <w:t>评价对象为2024年雁峰区车江铜矿社区服务中心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27561"/>
      <w:bookmarkStart w:id="14" w:name="_Toc1228"/>
      <w:bookmarkStart w:id="15" w:name="_Toc7231"/>
      <w:bookmarkStart w:id="16" w:name="_Toc24072"/>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1997"/>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听取情况介绍、进行实地核查、发放调查问卷、对照复核及分析等方式，对区车江铜矿服务中心提供的相关资料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21063"/>
      <w:bookmarkStart w:id="22" w:name="_Toc32697"/>
      <w:bookmarkStart w:id="23" w:name="_Toc20812"/>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23871"/>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统一社会信用代码124304035954856247</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为乡</w:t>
      </w:r>
      <w:r>
        <w:rPr>
          <w:rFonts w:hint="default" w:ascii="仿宋" w:hAnsi="仿宋" w:eastAsia="仿宋" w:cs="仿宋"/>
          <w:sz w:val="32"/>
          <w:szCs w:val="32"/>
          <w:lang w:val="en-US" w:eastAsia="zh-CN"/>
        </w:rPr>
        <w:t>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31110"/>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7506E7E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聚焦党建引领，筑牢基层战斗堡垒。</w:t>
      </w:r>
    </w:p>
    <w:p w14:paraId="58E1E9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聚焦民生改善，提升居民生活品质。</w:t>
      </w:r>
    </w:p>
    <w:p w14:paraId="420CF1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聚焦环境保护，守护社区生态安全。</w:t>
      </w:r>
    </w:p>
    <w:p w14:paraId="66EC69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聚焦基层治理，维护社区和谐稳定。</w:t>
      </w:r>
    </w:p>
    <w:p w14:paraId="40CF43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14333"/>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3C6EE7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bCs/>
          <w:kern w:val="0"/>
          <w:sz w:val="32"/>
          <w:szCs w:val="32"/>
          <w:highlight w:val="none"/>
          <w:lang w:eastAsia="zh-CN"/>
        </w:rPr>
      </w:pPr>
      <w:r>
        <w:rPr>
          <w:rFonts w:hint="eastAsia" w:ascii="仿宋" w:hAnsi="仿宋" w:eastAsia="仿宋"/>
          <w:bCs/>
          <w:kern w:val="0"/>
          <w:sz w:val="32"/>
          <w:szCs w:val="32"/>
          <w:highlight w:val="none"/>
          <w:lang w:eastAsia="zh-CN"/>
        </w:rPr>
        <w:t>成立由党委主导的内部控制领导小组，明确党委书记为第一责任人，分管领导具体落实，形成“党委统筹、支部协同、责任到岗”的内部控制组织架构。在重点领域（如公墓山管理）成立专项自治小组，通过居民代表大会选举产生管理小组，实现居民自治与党委指导相结合。规范退休党支部建设，推进党建活动室规范化筹备工作，为党员提供学习与交流平台。</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7A3428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sz w:val="32"/>
          <w:szCs w:val="32"/>
          <w:lang w:val="en-US" w:eastAsia="zh-CN"/>
        </w:rPr>
        <w:t>截至2024年12月31日，区车江铜矿服务中心退休</w:t>
      </w:r>
      <w:r>
        <w:rPr>
          <w:rFonts w:hint="eastAsia" w:ascii="仿宋" w:hAnsi="仿宋" w:eastAsia="仿宋" w:cs="仿宋"/>
          <w:sz w:val="32"/>
          <w:szCs w:val="32"/>
          <w:highlight w:val="none"/>
          <w:lang w:val="en-US" w:eastAsia="zh-CN"/>
        </w:rPr>
        <w:t>人员4人。</w:t>
      </w:r>
      <w:r>
        <w:rPr>
          <w:rFonts w:hint="eastAsia" w:ascii="仿宋" w:hAnsi="仿宋" w:eastAsia="仿宋" w:cs="仿宋"/>
          <w:sz w:val="32"/>
          <w:szCs w:val="32"/>
          <w:lang w:val="en-US" w:eastAsia="zh-CN"/>
        </w:rPr>
        <w:t>编制7个，在编在岗职工6人，</w:t>
      </w:r>
      <w:r>
        <w:rPr>
          <w:rFonts w:hint="eastAsia" w:ascii="仿宋" w:hAnsi="仿宋" w:eastAsia="仿宋" w:cs="仿宋"/>
          <w:sz w:val="32"/>
          <w:szCs w:val="32"/>
          <w:highlight w:val="none"/>
          <w:lang w:val="en-US" w:eastAsia="zh-CN"/>
        </w:rPr>
        <w:t>人员控制率85.71%。</w:t>
      </w:r>
      <w:r>
        <w:rPr>
          <w:rFonts w:hint="eastAsia" w:ascii="仿宋" w:hAnsi="仿宋" w:eastAsia="仿宋" w:cs="仿宋"/>
          <w:b/>
          <w:bCs/>
          <w:sz w:val="32"/>
          <w:szCs w:val="32"/>
          <w:highlight w:val="none"/>
          <w:lang w:val="en-US" w:eastAsia="zh-CN"/>
        </w:rPr>
        <w:t>其中高志平、董立美、范静3人的工资在岳屏镇发放。</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1954"/>
      <w:r>
        <w:rPr>
          <w:rFonts w:hint="eastAsia" w:ascii="楷体" w:hAnsi="楷体" w:eastAsia="楷体" w:cs="楷体"/>
          <w:b/>
          <w:bCs/>
          <w:sz w:val="32"/>
          <w:szCs w:val="32"/>
          <w:lang w:val="en-US" w:eastAsia="zh-CN"/>
        </w:rPr>
        <w:t>部门2024年度职责履行及履职效益</w:t>
      </w:r>
      <w:bookmarkEnd w:id="27"/>
    </w:p>
    <w:p w14:paraId="50C1E21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2024年度从党建、民生、环保和基层治理四个方面履行职责。</w:t>
      </w:r>
    </w:p>
    <w:p w14:paraId="1499F282">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sz w:val="32"/>
          <w:szCs w:val="32"/>
          <w:lang w:eastAsia="zh-CN"/>
        </w:rPr>
        <w:t>、</w:t>
      </w:r>
      <w:r>
        <w:rPr>
          <w:rFonts w:hint="eastAsia" w:ascii="仿宋" w:hAnsi="仿宋" w:eastAsia="仿宋" w:cs="仿宋"/>
          <w:b/>
          <w:bCs/>
          <w:sz w:val="32"/>
          <w:szCs w:val="32"/>
          <w:lang w:val="en-US" w:eastAsia="zh-CN"/>
        </w:rPr>
        <w:t>扛起主体责任，种好党建责任田。一是</w:t>
      </w:r>
      <w:r>
        <w:rPr>
          <w:rFonts w:hint="eastAsia" w:ascii="仿宋" w:hAnsi="仿宋" w:eastAsia="仿宋" w:cs="仿宋"/>
          <w:b w:val="0"/>
          <w:bCs/>
          <w:sz w:val="32"/>
          <w:szCs w:val="32"/>
        </w:rPr>
        <w:t>强化理论武装</w:t>
      </w:r>
      <w:r>
        <w:rPr>
          <w:rFonts w:hint="eastAsia" w:ascii="仿宋" w:hAnsi="仿宋" w:eastAsia="仿宋" w:cs="仿宋"/>
          <w:b w:val="0"/>
          <w:bCs/>
          <w:sz w:val="32"/>
          <w:szCs w:val="32"/>
          <w:lang w:eastAsia="zh-CN"/>
        </w:rPr>
        <w:t>。</w:t>
      </w:r>
      <w:r>
        <w:rPr>
          <w:rFonts w:hint="eastAsia" w:ascii="仿宋" w:hAnsi="仿宋" w:eastAsia="仿宋" w:cs="仿宋"/>
          <w:sz w:val="32"/>
          <w:szCs w:val="32"/>
          <w:lang w:val="en-US" w:eastAsia="zh-CN"/>
        </w:rPr>
        <w:t>认真学习习近平新时代中国特色社会主义思想、党的二十届三中全会精神，利用第一议题制度学习习近平总书记最新重要讲话和重要指示批示精神；采用集中学习、个人自学、专题研讨等多种形式，累计举办中心组集中学习11次。</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推进党风廉政建设。组织3个支部开展党纪学习教育并交流研讨4次，书记讲党课2次。带领党员</w:t>
      </w:r>
      <w:r>
        <w:rPr>
          <w:rFonts w:hint="eastAsia" w:ascii="仿宋" w:hAnsi="仿宋" w:eastAsia="仿宋" w:cs="仿宋"/>
          <w:color w:val="auto"/>
          <w:sz w:val="32"/>
          <w:szCs w:val="32"/>
        </w:rPr>
        <w:t>观看警示教育片</w:t>
      </w:r>
      <w:r>
        <w:rPr>
          <w:rFonts w:hint="eastAsia" w:ascii="仿宋" w:hAnsi="仿宋" w:eastAsia="仿宋" w:cs="仿宋"/>
          <w:color w:val="auto"/>
          <w:sz w:val="32"/>
          <w:szCs w:val="32"/>
          <w:lang w:val="en-US" w:eastAsia="zh-CN"/>
        </w:rPr>
        <w:t>2次，</w:t>
      </w:r>
      <w:r>
        <w:rPr>
          <w:rFonts w:hint="eastAsia" w:ascii="仿宋" w:hAnsi="仿宋" w:eastAsia="仿宋" w:cs="仿宋"/>
          <w:color w:val="auto"/>
          <w:sz w:val="32"/>
          <w:szCs w:val="32"/>
        </w:rPr>
        <w:t>参观</w:t>
      </w:r>
      <w:r>
        <w:rPr>
          <w:rFonts w:hint="eastAsia" w:ascii="仿宋" w:hAnsi="仿宋" w:eastAsia="仿宋" w:cs="仿宋"/>
          <w:color w:val="auto"/>
          <w:sz w:val="32"/>
          <w:szCs w:val="32"/>
          <w:lang w:val="en-US" w:eastAsia="zh-CN"/>
        </w:rPr>
        <w:t>红色</w:t>
      </w:r>
      <w:r>
        <w:rPr>
          <w:rFonts w:hint="eastAsia" w:ascii="仿宋" w:hAnsi="仿宋" w:eastAsia="仿宋" w:cs="仿宋"/>
          <w:color w:val="auto"/>
          <w:sz w:val="32"/>
          <w:szCs w:val="32"/>
        </w:rPr>
        <w:t>教育基地</w:t>
      </w:r>
      <w:r>
        <w:rPr>
          <w:rFonts w:hint="eastAsia" w:ascii="仿宋" w:hAnsi="仿宋" w:eastAsia="仿宋" w:cs="仿宋"/>
          <w:color w:val="auto"/>
          <w:sz w:val="32"/>
          <w:szCs w:val="32"/>
          <w:lang w:val="en-US" w:eastAsia="zh-CN"/>
        </w:rPr>
        <w:t>1次</w:t>
      </w:r>
      <w:r>
        <w:rPr>
          <w:rFonts w:hint="eastAsia" w:ascii="仿宋" w:hAnsi="仿宋" w:eastAsia="仿宋" w:cs="仿宋"/>
          <w:color w:val="auto"/>
          <w:sz w:val="32"/>
          <w:szCs w:val="32"/>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抓好党支部标准化规范化建设。对党委3个党支部进行全面摸底排查，为有需要的流动党员转移党组织关系。新建退休支部活动室和党建宣传栏，确保党员活动有稳定场所、服务有坚实依托。</w:t>
      </w:r>
    </w:p>
    <w:p w14:paraId="1B78F83C">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val="0"/>
          <w:sz w:val="32"/>
          <w:szCs w:val="32"/>
          <w:lang w:val="en-US" w:eastAsia="zh-CN"/>
        </w:rPr>
        <w:t>2</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坚守为民情怀，改善群众生活。</w:t>
      </w:r>
      <w:r>
        <w:rPr>
          <w:rFonts w:hint="eastAsia" w:ascii="仿宋" w:hAnsi="仿宋" w:eastAsia="仿宋" w:cs="仿宋"/>
          <w:sz w:val="32"/>
          <w:szCs w:val="32"/>
          <w:lang w:val="en-US" w:eastAsia="zh-CN"/>
        </w:rPr>
        <w:t>坚持以人为本</w:t>
      </w:r>
      <w:r>
        <w:rPr>
          <w:rFonts w:hint="eastAsia" w:ascii="仿宋" w:hAnsi="仿宋" w:eastAsia="仿宋" w:cs="仿宋"/>
          <w:sz w:val="32"/>
          <w:szCs w:val="32"/>
        </w:rPr>
        <w:t>，量力而行、尽力而为，着力改善民生福祉。出资</w:t>
      </w:r>
      <w:r>
        <w:rPr>
          <w:rFonts w:hint="eastAsia" w:ascii="仿宋" w:hAnsi="仿宋" w:eastAsia="仿宋" w:cs="仿宋"/>
          <w:sz w:val="32"/>
          <w:szCs w:val="32"/>
          <w:lang w:val="en-US" w:eastAsia="zh-CN"/>
        </w:rPr>
        <w:t>启动</w:t>
      </w:r>
      <w:r>
        <w:rPr>
          <w:rFonts w:hint="eastAsia" w:ascii="仿宋" w:hAnsi="仿宋" w:eastAsia="仿宋" w:cs="仿宋"/>
          <w:sz w:val="32"/>
          <w:szCs w:val="32"/>
        </w:rPr>
        <w:t>社区水管网改造维修工程，统一安装水表</w:t>
      </w:r>
      <w:r>
        <w:rPr>
          <w:rFonts w:hint="eastAsia" w:ascii="仿宋" w:hAnsi="仿宋" w:eastAsia="仿宋" w:cs="仿宋"/>
          <w:sz w:val="32"/>
          <w:szCs w:val="32"/>
          <w:lang w:val="en-US" w:eastAsia="zh-CN"/>
        </w:rPr>
        <w:t>237块</w:t>
      </w:r>
      <w:r>
        <w:rPr>
          <w:rFonts w:hint="eastAsia" w:ascii="仿宋" w:hAnsi="仿宋" w:eastAsia="仿宋" w:cs="仿宋"/>
          <w:sz w:val="32"/>
          <w:szCs w:val="32"/>
        </w:rPr>
        <w:t>，妥善解决水资源浪费的问题；</w:t>
      </w:r>
      <w:r>
        <w:rPr>
          <w:rFonts w:hint="eastAsia" w:ascii="仿宋" w:hAnsi="仿宋" w:eastAsia="仿宋" w:cs="仿宋"/>
          <w:sz w:val="32"/>
          <w:szCs w:val="32"/>
          <w:lang w:val="en-US" w:eastAsia="zh-CN"/>
        </w:rPr>
        <w:t>根据住建部门和第三方公司检测建议，</w:t>
      </w:r>
      <w:r>
        <w:rPr>
          <w:rFonts w:hint="eastAsia" w:ascii="仿宋" w:hAnsi="仿宋" w:eastAsia="仿宋" w:cs="仿宋"/>
          <w:sz w:val="32"/>
          <w:szCs w:val="32"/>
        </w:rPr>
        <w:t>拆除</w:t>
      </w:r>
      <w:r>
        <w:rPr>
          <w:rFonts w:hint="eastAsia" w:ascii="仿宋" w:hAnsi="仿宋" w:eastAsia="仿宋" w:cs="仿宋"/>
          <w:sz w:val="32"/>
          <w:szCs w:val="32"/>
          <w:lang w:val="en-US" w:eastAsia="zh-CN"/>
        </w:rPr>
        <w:t>第</w:t>
      </w:r>
      <w:r>
        <w:rPr>
          <w:rFonts w:hint="eastAsia" w:ascii="仿宋" w:hAnsi="仿宋" w:eastAsia="仿宋" w:cs="仿宋"/>
          <w:sz w:val="32"/>
          <w:szCs w:val="32"/>
        </w:rPr>
        <w:t>28栋</w:t>
      </w:r>
      <w:r>
        <w:rPr>
          <w:rFonts w:hint="eastAsia" w:ascii="仿宋" w:hAnsi="仿宋" w:eastAsia="仿宋" w:cs="仿宋"/>
          <w:sz w:val="32"/>
          <w:szCs w:val="32"/>
          <w:lang w:val="en-US" w:eastAsia="zh-CN"/>
        </w:rPr>
        <w:t>危房</w:t>
      </w:r>
      <w:r>
        <w:rPr>
          <w:rFonts w:hint="eastAsia" w:ascii="仿宋" w:hAnsi="仿宋" w:eastAsia="仿宋" w:cs="仿宋"/>
          <w:sz w:val="32"/>
          <w:szCs w:val="32"/>
        </w:rPr>
        <w:t>，</w:t>
      </w:r>
      <w:r>
        <w:rPr>
          <w:rFonts w:hint="eastAsia" w:ascii="仿宋" w:hAnsi="仿宋" w:eastAsia="仿宋" w:cs="仿宋"/>
          <w:sz w:val="32"/>
          <w:szCs w:val="32"/>
          <w:lang w:val="en-US" w:eastAsia="zh-CN"/>
        </w:rPr>
        <w:t>平整地面，加固护坡并设立不锈钢围栏，解决了“危旧房屋存隐患、停车休闲无去处”的问题；</w:t>
      </w:r>
      <w:r>
        <w:rPr>
          <w:rFonts w:hint="eastAsia" w:ascii="仿宋" w:hAnsi="仿宋" w:eastAsia="仿宋" w:cs="仿宋"/>
          <w:sz w:val="32"/>
          <w:szCs w:val="32"/>
        </w:rPr>
        <w:t>拆除</w:t>
      </w:r>
      <w:r>
        <w:rPr>
          <w:rFonts w:hint="eastAsia" w:ascii="仿宋" w:hAnsi="仿宋" w:eastAsia="仿宋" w:cs="仿宋"/>
          <w:sz w:val="32"/>
          <w:szCs w:val="32"/>
          <w:lang w:val="en-US" w:eastAsia="zh-CN"/>
        </w:rPr>
        <w:t>社区</w:t>
      </w:r>
      <w:r>
        <w:rPr>
          <w:rFonts w:hint="eastAsia" w:ascii="仿宋" w:hAnsi="仿宋" w:eastAsia="仿宋" w:cs="仿宋"/>
          <w:sz w:val="32"/>
          <w:szCs w:val="32"/>
        </w:rPr>
        <w:t>锈蚀严重的菜市场</w:t>
      </w:r>
      <w:r>
        <w:rPr>
          <w:rFonts w:hint="eastAsia" w:ascii="仿宋" w:hAnsi="仿宋" w:eastAsia="仿宋" w:cs="仿宋"/>
          <w:sz w:val="32"/>
          <w:szCs w:val="32"/>
          <w:lang w:val="en-US" w:eastAsia="zh-CN"/>
        </w:rPr>
        <w:t>棚，</w:t>
      </w:r>
      <w:r>
        <w:rPr>
          <w:rFonts w:hint="eastAsia" w:ascii="仿宋" w:hAnsi="仿宋" w:eastAsia="仿宋" w:cs="仿宋"/>
          <w:sz w:val="32"/>
          <w:szCs w:val="32"/>
        </w:rPr>
        <w:t>重建钢结构菜市场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消除安全隐患的同时，为居民提供了更好的采买环境</w:t>
      </w:r>
      <w:r>
        <w:rPr>
          <w:rFonts w:hint="eastAsia" w:ascii="仿宋" w:hAnsi="仿宋" w:eastAsia="仿宋" w:cs="仿宋"/>
          <w:sz w:val="32"/>
          <w:szCs w:val="32"/>
          <w:lang w:eastAsia="zh-CN"/>
        </w:rPr>
        <w:t>。</w:t>
      </w:r>
    </w:p>
    <w:p w14:paraId="0282521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textAlignment w:val="auto"/>
        <w:rPr>
          <w:rFonts w:hint="eastAsia" w:ascii="仿宋" w:hAnsi="仿宋" w:eastAsia="仿宋" w:cs="仿宋"/>
          <w:sz w:val="32"/>
          <w:szCs w:val="32"/>
          <w:lang w:eastAsia="zh-CN"/>
        </w:rPr>
      </w:pPr>
      <w:r>
        <w:rPr>
          <w:rFonts w:hint="eastAsia" w:ascii="仿宋" w:hAnsi="仿宋" w:eastAsia="仿宋" w:cs="仿宋"/>
          <w:b/>
          <w:bCs/>
          <w:i w:val="0"/>
          <w:iCs w:val="0"/>
          <w:caps w:val="0"/>
          <w:color w:val="000000"/>
          <w:spacing w:val="0"/>
          <w:sz w:val="32"/>
          <w:szCs w:val="32"/>
          <w:lang w:val="en-US" w:eastAsia="zh-CN"/>
        </w:rPr>
        <w:t>3、践行环保理念，做好环境监管。</w:t>
      </w:r>
      <w:r>
        <w:rPr>
          <w:rFonts w:hint="eastAsia" w:ascii="仿宋" w:hAnsi="仿宋" w:eastAsia="仿宋" w:cs="仿宋"/>
          <w:b w:val="0"/>
          <w:bCs w:val="0"/>
          <w:i w:val="0"/>
          <w:iCs w:val="0"/>
          <w:caps w:val="0"/>
          <w:color w:val="000000"/>
          <w:spacing w:val="0"/>
          <w:sz w:val="32"/>
          <w:szCs w:val="32"/>
          <w:lang w:val="en-US" w:eastAsia="zh-CN"/>
        </w:rPr>
        <w:t>配合市、区环保局做好尾矿库降级申请工作；汛期前组织开展尾矿库沟渠清淤工作，确保排水沟通畅，清除滩面和尾矿库道路杂草杂树，改善环境面貌；召开专题会议宣传环保工作要求和环保知识，劝导居民滩面管控区不得种植农作物，全面清除滩面已种植的农作物并重新竖立保护环境以及禁止种植的宣传标语10块；积极向区政府申请资金对尾矿库滩面加设隔离护栏1700余米，全面杜绝滩面非法种植行为，保障周边居民人身安全。</w:t>
      </w:r>
    </w:p>
    <w:p w14:paraId="37960646">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4、强化基层治理</w:t>
      </w:r>
      <w:r>
        <w:rPr>
          <w:rFonts w:hint="eastAsia" w:ascii="仿宋" w:hAnsi="仿宋" w:eastAsia="仿宋" w:cs="仿宋"/>
          <w:b/>
          <w:bCs/>
          <w:sz w:val="32"/>
          <w:szCs w:val="32"/>
          <w:lang w:eastAsia="zh-CN"/>
        </w:rPr>
        <w:t>，维护安全稳定。</w:t>
      </w:r>
      <w:r>
        <w:rPr>
          <w:rFonts w:hint="eastAsia" w:ascii="仿宋" w:hAnsi="仿宋" w:eastAsia="仿宋" w:cs="仿宋"/>
          <w:sz w:val="32"/>
          <w:szCs w:val="32"/>
          <w:lang w:eastAsia="zh-CN"/>
        </w:rPr>
        <w:t>定期排查及时调处矛盾纠纷，重点做好原铜矿职工</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信访工作，多次</w:t>
      </w:r>
      <w:r>
        <w:rPr>
          <w:rFonts w:hint="eastAsia" w:ascii="仿宋" w:hAnsi="仿宋" w:eastAsia="仿宋" w:cs="仿宋"/>
          <w:sz w:val="32"/>
          <w:szCs w:val="32"/>
          <w:lang w:val="en-US" w:eastAsia="zh-CN"/>
        </w:rPr>
        <w:t>谈话</w:t>
      </w:r>
      <w:r>
        <w:rPr>
          <w:rFonts w:hint="eastAsia" w:ascii="仿宋" w:hAnsi="仿宋" w:eastAsia="仿宋" w:cs="仿宋"/>
          <w:sz w:val="32"/>
          <w:szCs w:val="32"/>
          <w:lang w:eastAsia="zh-CN"/>
        </w:rPr>
        <w:t>做好</w:t>
      </w:r>
      <w:r>
        <w:rPr>
          <w:rFonts w:hint="eastAsia" w:ascii="仿宋" w:hAnsi="仿宋" w:eastAsia="仿宋" w:cs="仿宋"/>
          <w:sz w:val="32"/>
          <w:szCs w:val="32"/>
          <w:lang w:val="en-US" w:eastAsia="zh-CN"/>
        </w:rPr>
        <w:t>信访对象的</w:t>
      </w:r>
      <w:r>
        <w:rPr>
          <w:rFonts w:hint="eastAsia" w:ascii="仿宋" w:hAnsi="仿宋" w:eastAsia="仿宋" w:cs="仿宋"/>
          <w:sz w:val="32"/>
          <w:szCs w:val="32"/>
          <w:lang w:eastAsia="zh-CN"/>
        </w:rPr>
        <w:t>思想工作，</w:t>
      </w:r>
      <w:r>
        <w:rPr>
          <w:rFonts w:hint="eastAsia" w:ascii="仿宋" w:hAnsi="仿宋" w:eastAsia="仿宋" w:cs="仿宋"/>
          <w:sz w:val="32"/>
          <w:szCs w:val="32"/>
          <w:lang w:val="en-US" w:eastAsia="zh-CN"/>
        </w:rPr>
        <w:t>将</w:t>
      </w:r>
      <w:r>
        <w:rPr>
          <w:rFonts w:hint="eastAsia" w:ascii="仿宋" w:hAnsi="仿宋" w:eastAsia="仿宋" w:cs="仿宋"/>
          <w:sz w:val="32"/>
          <w:szCs w:val="32"/>
          <w:lang w:eastAsia="zh-CN"/>
        </w:rPr>
        <w:t>矛盾隐患稳控在源头。加大对辖区企业、闲置房屋安全隐患排查工作，</w:t>
      </w:r>
      <w:r>
        <w:rPr>
          <w:rFonts w:hint="eastAsia" w:ascii="仿宋" w:hAnsi="仿宋" w:eastAsia="仿宋" w:cs="仿宋"/>
          <w:sz w:val="32"/>
          <w:szCs w:val="32"/>
          <w:lang w:val="en-US" w:eastAsia="zh-CN"/>
        </w:rPr>
        <w:t>经</w:t>
      </w:r>
      <w:r>
        <w:rPr>
          <w:rFonts w:hint="eastAsia" w:ascii="仿宋" w:hAnsi="仿宋" w:eastAsia="仿宋" w:cs="仿宋"/>
          <w:sz w:val="32"/>
          <w:szCs w:val="32"/>
        </w:rPr>
        <w:t>第三方检测机构对第58栋房屋进行房屋安全检测，</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D级</w:t>
      </w:r>
      <w:r>
        <w:rPr>
          <w:rFonts w:hint="eastAsia" w:ascii="仿宋" w:hAnsi="仿宋" w:eastAsia="仿宋" w:cs="仿宋"/>
          <w:sz w:val="32"/>
          <w:szCs w:val="32"/>
          <w:lang w:eastAsia="zh-CN"/>
        </w:rPr>
        <w:t>房屋</w:t>
      </w:r>
      <w:r>
        <w:rPr>
          <w:rFonts w:hint="eastAsia" w:ascii="仿宋" w:hAnsi="仿宋" w:eastAsia="仿宋" w:cs="仿宋"/>
          <w:sz w:val="32"/>
          <w:szCs w:val="32"/>
          <w:lang w:val="en-US" w:eastAsia="zh-CN"/>
        </w:rPr>
        <w:t>第</w:t>
      </w:r>
      <w:r>
        <w:rPr>
          <w:rFonts w:hint="eastAsia" w:ascii="仿宋" w:hAnsi="仿宋" w:eastAsia="仿宋" w:cs="仿宋"/>
          <w:sz w:val="32"/>
          <w:szCs w:val="32"/>
          <w:lang w:eastAsia="zh-CN"/>
        </w:rPr>
        <w:t>58栋</w:t>
      </w:r>
      <w:r>
        <w:rPr>
          <w:rFonts w:hint="eastAsia" w:ascii="仿宋" w:hAnsi="仿宋" w:eastAsia="仿宋" w:cs="仿宋"/>
          <w:sz w:val="32"/>
          <w:szCs w:val="32"/>
          <w:lang w:val="en-US" w:eastAsia="zh-CN"/>
        </w:rPr>
        <w:t>实施封闭管理并</w:t>
      </w:r>
      <w:r>
        <w:rPr>
          <w:rFonts w:hint="eastAsia" w:ascii="仿宋" w:hAnsi="仿宋" w:eastAsia="仿宋" w:cs="仿宋"/>
          <w:sz w:val="32"/>
          <w:szCs w:val="32"/>
          <w:lang w:eastAsia="zh-CN"/>
        </w:rPr>
        <w:t>粘贴危房警示牌，确保人不进危房；考虑到社区入口与S219线交叉</w:t>
      </w:r>
      <w:r>
        <w:rPr>
          <w:rFonts w:hint="eastAsia" w:ascii="仿宋" w:hAnsi="仿宋" w:eastAsia="仿宋" w:cs="仿宋"/>
          <w:sz w:val="32"/>
          <w:szCs w:val="32"/>
          <w:lang w:val="en-US" w:eastAsia="zh-CN"/>
        </w:rPr>
        <w:t>路口交通事故频发的问题，</w:t>
      </w:r>
      <w:r>
        <w:rPr>
          <w:rFonts w:hint="eastAsia" w:ascii="仿宋" w:hAnsi="仿宋" w:eastAsia="仿宋" w:cs="仿宋"/>
          <w:sz w:val="32"/>
          <w:szCs w:val="32"/>
          <w:lang w:eastAsia="zh-CN"/>
        </w:rPr>
        <w:t>新增社区入口安全警示标志牌</w:t>
      </w:r>
      <w:r>
        <w:rPr>
          <w:rFonts w:hint="eastAsia" w:ascii="仿宋" w:hAnsi="仿宋" w:eastAsia="仿宋" w:cs="仿宋"/>
          <w:sz w:val="32"/>
          <w:szCs w:val="32"/>
          <w:lang w:val="en-US" w:eastAsia="zh-CN"/>
        </w:rPr>
        <w:t>4块</w:t>
      </w:r>
      <w:r>
        <w:rPr>
          <w:rFonts w:hint="eastAsia" w:ascii="仿宋" w:hAnsi="仿宋" w:eastAsia="仿宋" w:cs="仿宋"/>
          <w:sz w:val="32"/>
          <w:szCs w:val="32"/>
          <w:lang w:eastAsia="zh-CN"/>
        </w:rPr>
        <w:t>。</w:t>
      </w:r>
    </w:p>
    <w:p w14:paraId="6EBA30C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取得以下履职益：</w:t>
      </w:r>
      <w:r>
        <w:rPr>
          <w:rFonts w:hint="eastAsia" w:ascii="仿宋" w:hAnsi="仿宋" w:eastAsia="仿宋" w:cs="仿宋"/>
          <w:b/>
          <w:bCs/>
          <w:sz w:val="32"/>
          <w:szCs w:val="32"/>
          <w:lang w:eastAsia="zh-CN"/>
        </w:rPr>
        <w:t>一是以党建铸魂，筑牢了信仰坚定、纪律严明的战斗堡垒。</w:t>
      </w:r>
      <w:r>
        <w:rPr>
          <w:rFonts w:hint="eastAsia" w:ascii="仿宋" w:hAnsi="仿宋" w:eastAsia="仿宋" w:cs="仿宋"/>
          <w:sz w:val="32"/>
          <w:szCs w:val="32"/>
          <w:lang w:eastAsia="zh-CN"/>
        </w:rPr>
        <w:t>通过强化理论武装与组织建设，党员思想根基更加牢固，支部运行更加规范，风清气正的政治生态持续巩固，党组织的凝聚力、战斗力显著增强。</w:t>
      </w:r>
      <w:r>
        <w:rPr>
          <w:rFonts w:hint="eastAsia" w:ascii="仿宋" w:hAnsi="仿宋" w:eastAsia="仿宋" w:cs="仿宋"/>
          <w:b/>
          <w:bCs/>
          <w:sz w:val="32"/>
          <w:szCs w:val="32"/>
          <w:lang w:eastAsia="zh-CN"/>
        </w:rPr>
        <w:t>二是以民生为本，办成了惠及百姓、提升品质的暖心实事。</w:t>
      </w:r>
      <w:r>
        <w:rPr>
          <w:rFonts w:hint="eastAsia" w:ascii="仿宋" w:hAnsi="仿宋" w:eastAsia="仿宋" w:cs="仿宋"/>
          <w:sz w:val="32"/>
          <w:szCs w:val="32"/>
          <w:lang w:eastAsia="zh-CN"/>
        </w:rPr>
        <w:t>通过着力改造基础设施、消除安全隐患，居民用水更加安全便利，居住环境更加整洁舒适，社区功能更加完善，群众获得感、幸福感切实提升。</w:t>
      </w:r>
      <w:r>
        <w:rPr>
          <w:rFonts w:hint="eastAsia" w:ascii="仿宋" w:hAnsi="仿宋" w:eastAsia="仿宋" w:cs="仿宋"/>
          <w:b/>
          <w:bCs/>
          <w:sz w:val="32"/>
          <w:szCs w:val="32"/>
          <w:lang w:eastAsia="zh-CN"/>
        </w:rPr>
        <w:t>三是以环保为要，守护了绿水青山、安全可控的生态环境。</w:t>
      </w:r>
      <w:r>
        <w:rPr>
          <w:rFonts w:hint="eastAsia" w:ascii="仿宋" w:hAnsi="仿宋" w:eastAsia="仿宋" w:cs="仿宋"/>
          <w:sz w:val="32"/>
          <w:szCs w:val="32"/>
          <w:lang w:eastAsia="zh-CN"/>
        </w:rPr>
        <w:t>通过系统治理与严格监管，历史遗留环境风险有效降低，区域生态面貌持续改善，环保意识深入人心，实现了环境安全与生态保护的同步加强。</w:t>
      </w:r>
      <w:r>
        <w:rPr>
          <w:rFonts w:hint="eastAsia" w:ascii="仿宋" w:hAnsi="仿宋" w:eastAsia="仿宋" w:cs="仿宋"/>
          <w:b/>
          <w:bCs/>
          <w:sz w:val="32"/>
          <w:szCs w:val="32"/>
          <w:lang w:eastAsia="zh-CN"/>
        </w:rPr>
        <w:t>四是以治理为基，构建了矛盾化解、安全稳定的和谐家园。</w:t>
      </w:r>
      <w:r>
        <w:rPr>
          <w:rFonts w:hint="eastAsia" w:ascii="仿宋" w:hAnsi="仿宋" w:eastAsia="仿宋" w:cs="仿宋"/>
          <w:sz w:val="32"/>
          <w:szCs w:val="32"/>
          <w:lang w:eastAsia="zh-CN"/>
        </w:rPr>
        <w:t>通过源头化解矛盾纠纷与动态排查风险隐患，信访维稳成效明显，社区安全防线更加牢固，公共安全得到保障，基层社会保持了和谐有序的良好局面。</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26820"/>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16796"/>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度727,500.00元，</w:t>
      </w:r>
      <w:r>
        <w:rPr>
          <w:rFonts w:hint="eastAsia" w:ascii="仿宋" w:hAnsi="仿宋" w:eastAsia="仿宋" w:cs="仿宋"/>
          <w:b w:val="0"/>
          <w:bCs w:val="0"/>
          <w:sz w:val="32"/>
          <w:szCs w:val="32"/>
          <w:highlight w:val="none"/>
          <w:lang w:val="en-US" w:eastAsia="zh-CN"/>
        </w:rPr>
        <w:t>预算调整后额度577,535.31元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5B1306EB">
      <w:pPr>
        <w:pStyle w:val="4"/>
        <w:numPr>
          <w:ilvl w:val="0"/>
          <w:numId w:val="0"/>
        </w:numPr>
        <w:jc w:val="center"/>
      </w:pPr>
      <w:r>
        <w:drawing>
          <wp:inline distT="0" distB="0" distL="114300" distR="114300">
            <wp:extent cx="5186045" cy="752475"/>
            <wp:effectExtent l="9525" t="9525" r="24130" b="19050"/>
            <wp:docPr id="10" name="图片 1"/>
            <wp:cNvGraphicFramePr/>
            <a:graphic xmlns:a="http://schemas.openxmlformats.org/drawingml/2006/main">
              <a:graphicData uri="http://schemas.openxmlformats.org/drawingml/2006/picture">
                <pic:pic xmlns:pic="http://schemas.openxmlformats.org/drawingml/2006/picture">
                  <pic:nvPicPr>
                    <pic:cNvPr id="10" name="图片 1"/>
                    <pic:cNvPicPr/>
                  </pic:nvPicPr>
                  <pic:blipFill>
                    <a:blip r:embed="rId7"/>
                  </pic:blipFill>
                  <pic:spPr>
                    <a:xfrm>
                      <a:off x="0" y="0"/>
                      <a:ext cx="5186045" cy="752475"/>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预算调整率为33.56%，调整明细如下：</w:t>
      </w:r>
    </w:p>
    <w:p w14:paraId="41626721">
      <w:pPr>
        <w:pStyle w:val="4"/>
        <w:numPr>
          <w:ilvl w:val="0"/>
          <w:numId w:val="0"/>
        </w:numPr>
        <w:jc w:val="center"/>
      </w:pPr>
      <w:r>
        <w:drawing>
          <wp:inline distT="0" distB="0" distL="114300" distR="114300">
            <wp:extent cx="6085205" cy="1039495"/>
            <wp:effectExtent l="9525" t="9525" r="20320" b="17780"/>
            <wp:docPr id="22" name="图片 2"/>
            <wp:cNvGraphicFramePr/>
            <a:graphic xmlns:a="http://schemas.openxmlformats.org/drawingml/2006/main">
              <a:graphicData uri="http://schemas.openxmlformats.org/drawingml/2006/picture">
                <pic:pic xmlns:pic="http://schemas.openxmlformats.org/drawingml/2006/picture">
                  <pic:nvPicPr>
                    <pic:cNvPr id="22" name="图片 2"/>
                    <pic:cNvPicPr/>
                  </pic:nvPicPr>
                  <pic:blipFill>
                    <a:blip r:embed="rId8"/>
                  </pic:blipFill>
                  <pic:spPr>
                    <a:xfrm>
                      <a:off x="0" y="0"/>
                      <a:ext cx="6085205" cy="1039495"/>
                    </a:xfrm>
                    <a:prstGeom prst="rect">
                      <a:avLst/>
                    </a:prstGeom>
                    <a:solidFill>
                      <a:srgbClr val="FFFFFF"/>
                    </a:solidFill>
                    <a:ln w="9525">
                      <a:solidFill>
                        <a:srgbClr val="000000"/>
                      </a:solidFill>
                    </a:ln>
                  </pic:spPr>
                </pic:pic>
              </a:graphicData>
            </a:graphic>
          </wp:inline>
        </w:drawing>
      </w:r>
    </w:p>
    <w:p w14:paraId="72D9FC1C">
      <w:pPr>
        <w:rPr>
          <w:rFonts w:hint="eastAsia" w:ascii="楷体" w:hAnsi="楷体" w:eastAsia="楷体" w:cs="楷体"/>
          <w:b/>
          <w:bCs/>
          <w:sz w:val="32"/>
          <w:szCs w:val="32"/>
          <w:lang w:eastAsia="zh-CN"/>
        </w:rPr>
      </w:pPr>
      <w:r>
        <w:drawing>
          <wp:inline distT="0" distB="0" distL="114300" distR="114300">
            <wp:extent cx="6111240" cy="1167765"/>
            <wp:effectExtent l="9525" t="9525" r="13335" b="2286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9"/>
                  </pic:blipFill>
                  <pic:spPr>
                    <a:xfrm>
                      <a:off x="0" y="0"/>
                      <a:ext cx="6111240" cy="1167765"/>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15623"/>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（1）收入来源总计1,439,452.25元，其中一般公共预算财政拨款906,234.61元，其他收入533,217.64元。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w:t>
      </w:r>
    </w:p>
    <w:tbl>
      <w:tblPr>
        <w:tblStyle w:val="14"/>
        <w:tblW w:w="7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5"/>
        <w:gridCol w:w="1920"/>
        <w:gridCol w:w="1319"/>
      </w:tblGrid>
      <w:tr w14:paraId="7386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155" w:type="dxa"/>
            <w:tcBorders>
              <w:top w:val="single" w:color="5B9BD5" w:sz="4" w:space="0"/>
              <w:left w:val="single" w:color="5B9BD5" w:sz="4" w:space="0"/>
              <w:bottom w:val="single" w:color="5B9BD5" w:sz="8" w:space="0"/>
              <w:right w:val="single" w:color="9BC2E6" w:sz="4" w:space="0"/>
            </w:tcBorders>
            <w:shd w:val="clear" w:color="auto" w:fill="auto"/>
            <w:noWrap/>
            <w:vAlign w:val="center"/>
          </w:tcPr>
          <w:p w14:paraId="7487C2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支付单位</w:t>
            </w:r>
          </w:p>
        </w:tc>
        <w:tc>
          <w:tcPr>
            <w:tcW w:w="1920"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47CE4C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1319" w:type="dxa"/>
            <w:tcBorders>
              <w:top w:val="single" w:color="5B9BD5" w:sz="4" w:space="0"/>
              <w:left w:val="single" w:color="9BC2E6" w:sz="4" w:space="0"/>
              <w:bottom w:val="single" w:color="5B9BD5" w:sz="8" w:space="0"/>
              <w:right w:val="single" w:color="5B9BD5" w:sz="4" w:space="0"/>
            </w:tcBorders>
            <w:shd w:val="clear" w:color="auto" w:fill="auto"/>
            <w:noWrap/>
            <w:vAlign w:val="center"/>
          </w:tcPr>
          <w:p w14:paraId="42CC17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p>
        </w:tc>
      </w:tr>
      <w:tr w14:paraId="7762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5B9BD5" w:sz="8" w:space="0"/>
              <w:left w:val="single" w:color="5B9BD5" w:sz="4" w:space="0"/>
              <w:bottom w:val="single" w:color="9BC2E6" w:sz="4" w:space="0"/>
              <w:right w:val="single" w:color="9BC2E6" w:sz="4" w:space="0"/>
            </w:tcBorders>
            <w:shd w:val="clear" w:color="DDEBF7" w:fill="DDEBF7"/>
            <w:noWrap/>
            <w:vAlign w:val="center"/>
          </w:tcPr>
          <w:p w14:paraId="405CE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雁峰区车江铜矿社区服务中心本级</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22905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1,439,452.25 </w:t>
            </w:r>
          </w:p>
        </w:tc>
        <w:tc>
          <w:tcPr>
            <w:tcW w:w="0" w:type="auto"/>
            <w:tcBorders>
              <w:top w:val="single" w:color="5B9BD5" w:sz="8" w:space="0"/>
              <w:left w:val="single" w:color="9BC2E6" w:sz="4" w:space="0"/>
              <w:bottom w:val="single" w:color="9BC2E6" w:sz="4" w:space="0"/>
              <w:right w:val="single" w:color="5B9BD5" w:sz="4" w:space="0"/>
            </w:tcBorders>
            <w:shd w:val="clear" w:color="DDEBF7" w:fill="DDEBF7"/>
            <w:noWrap/>
            <w:vAlign w:val="center"/>
          </w:tcPr>
          <w:p w14:paraId="740BE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r w14:paraId="1D0A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9BC2E6" w:sz="4" w:space="0"/>
              <w:left w:val="single" w:color="5B9BD5" w:sz="4" w:space="0"/>
              <w:bottom w:val="single" w:color="5B9BD5" w:sz="4" w:space="0"/>
              <w:right w:val="single" w:color="9BC2E6" w:sz="4" w:space="0"/>
            </w:tcBorders>
            <w:shd w:val="clear" w:color="auto" w:fill="auto"/>
            <w:noWrap/>
            <w:vAlign w:val="center"/>
          </w:tcPr>
          <w:p w14:paraId="6B42E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0" w:type="auto"/>
            <w:tcBorders>
              <w:top w:val="single" w:color="9BC2E6" w:sz="4" w:space="0"/>
              <w:left w:val="single" w:color="9BC2E6" w:sz="4" w:space="0"/>
              <w:bottom w:val="single" w:color="5B9BD5" w:sz="4" w:space="0"/>
              <w:right w:val="single" w:color="9BC2E6" w:sz="4" w:space="0"/>
            </w:tcBorders>
            <w:shd w:val="clear" w:color="auto" w:fill="auto"/>
            <w:noWrap/>
            <w:vAlign w:val="center"/>
          </w:tcPr>
          <w:p w14:paraId="08B4F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1,439,452.25 </w:t>
            </w:r>
          </w:p>
        </w:tc>
        <w:tc>
          <w:tcPr>
            <w:tcW w:w="0" w:type="auto"/>
            <w:tcBorders>
              <w:top w:val="single" w:color="9BC2E6" w:sz="4" w:space="0"/>
              <w:left w:val="single" w:color="9BC2E6" w:sz="4" w:space="0"/>
              <w:bottom w:val="single" w:color="5B9BD5" w:sz="4" w:space="0"/>
              <w:right w:val="single" w:color="5B9BD5" w:sz="4" w:space="0"/>
            </w:tcBorders>
            <w:shd w:val="clear" w:color="auto" w:fill="auto"/>
            <w:noWrap/>
            <w:vAlign w:val="center"/>
          </w:tcPr>
          <w:p w14:paraId="2739D465">
            <w:pPr>
              <w:jc w:val="center"/>
              <w:rPr>
                <w:rFonts w:hint="eastAsia" w:ascii="宋体" w:hAnsi="宋体" w:eastAsia="宋体" w:cs="宋体"/>
                <w:i w:val="0"/>
                <w:iCs w:val="0"/>
                <w:color w:val="000000"/>
                <w:sz w:val="24"/>
                <w:szCs w:val="24"/>
                <w:u w:val="none"/>
              </w:rPr>
            </w:pPr>
          </w:p>
        </w:tc>
      </w:tr>
    </w:tbl>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预算执行率为99.98%。详情如下：</w:t>
      </w:r>
    </w:p>
    <w:p w14:paraId="10E3F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9"/>
        <w:rPr>
          <w:rFonts w:hint="eastAsia" w:ascii="仿宋" w:hAnsi="仿宋" w:eastAsia="仿宋" w:cs="仿宋"/>
          <w:b/>
          <w:bCs/>
          <w:sz w:val="32"/>
          <w:szCs w:val="32"/>
          <w:lang w:eastAsia="zh-CN"/>
        </w:rPr>
      </w:pPr>
      <w:r>
        <w:drawing>
          <wp:inline distT="0" distB="0" distL="114300" distR="114300">
            <wp:extent cx="5979795" cy="1038860"/>
            <wp:effectExtent l="9525" t="9525" r="11430" b="1841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0"/>
                  </pic:blipFill>
                  <pic:spPr>
                    <a:xfrm>
                      <a:off x="0" y="0"/>
                      <a:ext cx="5979795" cy="1038860"/>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资金支付及时，不存在项目等钱情况。2024年11月与12月资金指标使用数占比分别为28.06%与23.36%，高于其他月份。指标下达数与指标使用数对比详情列示如下：</w:t>
      </w:r>
    </w:p>
    <w:p w14:paraId="3017C704">
      <w:pPr>
        <w:pStyle w:val="4"/>
        <w:jc w:val="center"/>
        <w:rPr>
          <w:rFonts w:hint="eastAsia" w:ascii="仿宋" w:hAnsi="仿宋" w:eastAsia="仿宋" w:cs="仿宋"/>
          <w:b w:val="0"/>
          <w:bCs w:val="0"/>
          <w:sz w:val="32"/>
          <w:szCs w:val="32"/>
          <w:lang w:val="en-US" w:eastAsia="zh-CN"/>
        </w:rPr>
      </w:pPr>
      <w:r>
        <w:drawing>
          <wp:inline distT="0" distB="0" distL="114300" distR="114300">
            <wp:extent cx="4754245" cy="2581275"/>
            <wp:effectExtent l="9525" t="9525" r="17780" b="19050"/>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11"/>
                  </pic:blipFill>
                  <pic:spPr>
                    <a:xfrm>
                      <a:off x="0" y="0"/>
                      <a:ext cx="4754245" cy="2581275"/>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4827270" cy="2743200"/>
            <wp:effectExtent l="4445" t="4445" r="6985" b="1460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从预算约束、用途合规、程序合规、报销凭证完整性与合规性四个方面进行核查，在检查凭证过程中，我们发现存在基本挤占项目支出的情况。详情见后附各类支出情况汇总及分析。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本年度决算数与上年度决算数对比，减少率33.35%。</w:t>
      </w:r>
    </w:p>
    <w:p w14:paraId="5A66D042">
      <w:pPr>
        <w:pStyle w:val="7"/>
      </w:pPr>
      <w:r>
        <w:drawing>
          <wp:inline distT="0" distB="0" distL="114300" distR="114300">
            <wp:extent cx="5801995" cy="3413760"/>
            <wp:effectExtent l="9525" t="9525" r="17780" b="24765"/>
            <wp:docPr id="26" name="图片 4"/>
            <wp:cNvGraphicFramePr/>
            <a:graphic xmlns:a="http://schemas.openxmlformats.org/drawingml/2006/main">
              <a:graphicData uri="http://schemas.openxmlformats.org/drawingml/2006/picture">
                <pic:pic xmlns:pic="http://schemas.openxmlformats.org/drawingml/2006/picture">
                  <pic:nvPicPr>
                    <pic:cNvPr id="26" name="图片 4"/>
                    <pic:cNvPicPr/>
                  </pic:nvPicPr>
                  <pic:blipFill>
                    <a:blip r:embed="rId13"/>
                  </pic:blipFill>
                  <pic:spPr>
                    <a:xfrm>
                      <a:off x="0" y="0"/>
                      <a:ext cx="5801995" cy="3413760"/>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val="en-US" w:eastAsia="zh-CN"/>
        </w:rPr>
        <w:t>（7）本年度全年预算数、账套数、决算数、重分类决算数汇总对比表列示如下：</w:t>
      </w:r>
    </w:p>
    <w:p w14:paraId="682859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677535" cy="1238250"/>
            <wp:effectExtent l="9525" t="9525" r="27940" b="9525"/>
            <wp:docPr id="25" name="图片 6"/>
            <wp:cNvGraphicFramePr/>
            <a:graphic xmlns:a="http://schemas.openxmlformats.org/drawingml/2006/main">
              <a:graphicData uri="http://schemas.openxmlformats.org/drawingml/2006/picture">
                <pic:pic xmlns:pic="http://schemas.openxmlformats.org/drawingml/2006/picture">
                  <pic:nvPicPr>
                    <pic:cNvPr id="25" name="图片 6"/>
                    <pic:cNvPicPr/>
                  </pic:nvPicPr>
                  <pic:blipFill>
                    <a:blip r:embed="rId14"/>
                  </pic:blipFill>
                  <pic:spPr>
                    <a:xfrm>
                      <a:off x="0" y="0"/>
                      <a:ext cx="5677535" cy="1238250"/>
                    </a:xfrm>
                    <a:prstGeom prst="rect">
                      <a:avLst/>
                    </a:prstGeom>
                    <a:solidFill>
                      <a:srgbClr val="FFFFFF"/>
                    </a:solidFill>
                    <a:ln w="9525">
                      <a:solidFill>
                        <a:srgbClr val="000000"/>
                      </a:solidFill>
                    </a:ln>
                  </pic:spPr>
                </pic:pic>
              </a:graphicData>
            </a:graphic>
          </wp:inline>
        </w:drawing>
      </w:r>
    </w:p>
    <w:p w14:paraId="353A0C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01A1EA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745480" cy="1705610"/>
            <wp:effectExtent l="9525" t="9525" r="17145" b="18415"/>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5"/>
                  </pic:blipFill>
                  <pic:spPr>
                    <a:xfrm>
                      <a:off x="0" y="0"/>
                      <a:ext cx="5745480" cy="1705610"/>
                    </a:xfrm>
                    <a:prstGeom prst="rect">
                      <a:avLst/>
                    </a:prstGeom>
                    <a:solidFill>
                      <a:srgbClr val="FFFFFF"/>
                    </a:solidFill>
                    <a:ln w="9525">
                      <a:solidFill>
                        <a:srgbClr val="000000"/>
                      </a:solidFill>
                    </a:ln>
                  </pic:spPr>
                </pic:pic>
              </a:graphicData>
            </a:graphic>
          </wp:inline>
        </w:drawing>
      </w:r>
    </w:p>
    <w:p w14:paraId="2FC1C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5235575" cy="4142740"/>
            <wp:effectExtent l="4445" t="4445" r="17780" b="571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2268"/>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0E4BBA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区车江铜矿服务中心的整体支出分为三大类，分别为基本支出-人员经费、基本支出-公用经费（一般性支出）与项目支出。</w:t>
      </w: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包括基本工资、社会保障缴费、住房公积金、奖金、对家庭和个人的补助、其他保障等。</w:t>
      </w: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包括办公经费、工会经费、食堂餐费、培训费、报告咨询、差旅费、维修费、网络运营费等。</w:t>
      </w:r>
      <w:r>
        <w:rPr>
          <w:rFonts w:hint="eastAsia" w:ascii="仿宋" w:hAnsi="仿宋" w:eastAsia="仿宋" w:cs="仿宋"/>
          <w:b/>
          <w:bCs/>
          <w:sz w:val="32"/>
          <w:szCs w:val="32"/>
          <w:lang w:val="en-US" w:eastAsia="zh-CN"/>
        </w:rPr>
        <w:t>三是项目支出内容包括</w:t>
      </w:r>
      <w:r>
        <w:rPr>
          <w:rFonts w:hint="eastAsia" w:ascii="仿宋" w:hAnsi="仿宋" w:eastAsia="仿宋" w:cs="仿宋"/>
          <w:b w:val="0"/>
          <w:bCs w:val="0"/>
          <w:sz w:val="32"/>
          <w:szCs w:val="32"/>
          <w:lang w:val="en-US" w:eastAsia="zh-CN"/>
        </w:rPr>
        <w:t>农贸市场屋顶、农贸市场钢构棚改造、危房改造、尾矿库围栏工程、社区改造等。</w:t>
      </w:r>
    </w:p>
    <w:p w14:paraId="44719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（2）各类支出从账套数到重分类数的调整过程如下，其中公用经费无原账套数。</w:t>
      </w:r>
    </w:p>
    <w:p w14:paraId="764ACB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6000750" cy="2314575"/>
            <wp:effectExtent l="9525" t="9525" r="9525" b="19050"/>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7"/>
                  </pic:blipFill>
                  <pic:spPr>
                    <a:xfrm>
                      <a:off x="0" y="0"/>
                      <a:ext cx="6000750" cy="2314575"/>
                    </a:xfrm>
                    <a:prstGeom prst="rect">
                      <a:avLst/>
                    </a:prstGeom>
                    <a:solidFill>
                      <a:srgbClr val="FFFFFF"/>
                    </a:solidFill>
                    <a:ln w="9525">
                      <a:solidFill>
                        <a:srgbClr val="000000"/>
                      </a:solidFill>
                    </a:ln>
                  </pic:spPr>
                </pic:pic>
              </a:graphicData>
            </a:graphic>
          </wp:inline>
        </w:drawing>
      </w: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992370" cy="4677410"/>
            <wp:effectExtent l="9525" t="9525" r="27305" b="18415"/>
            <wp:docPr id="20" name="图片 1"/>
            <wp:cNvGraphicFramePr/>
            <a:graphic xmlns:a="http://schemas.openxmlformats.org/drawingml/2006/main">
              <a:graphicData uri="http://schemas.openxmlformats.org/drawingml/2006/picture">
                <pic:pic xmlns:pic="http://schemas.openxmlformats.org/drawingml/2006/picture">
                  <pic:nvPicPr>
                    <pic:cNvPr id="20" name="图片 1"/>
                    <pic:cNvPicPr/>
                  </pic:nvPicPr>
                  <pic:blipFill>
                    <a:blip r:embed="rId18"/>
                  </pic:blipFill>
                  <pic:spPr>
                    <a:xfrm>
                      <a:off x="0" y="0"/>
                      <a:ext cx="4992370" cy="4677410"/>
                    </a:xfrm>
                    <a:prstGeom prst="rect">
                      <a:avLst/>
                    </a:prstGeom>
                    <a:solidFill>
                      <a:srgbClr val="FFFFFF"/>
                    </a:solidFill>
                    <a:ln w="9525">
                      <a:solidFill>
                        <a:srgbClr val="000000"/>
                      </a:solidFill>
                    </a:ln>
                  </pic:spPr>
                </pic:pic>
              </a:graphicData>
            </a:graphic>
          </wp:inline>
        </w:drawing>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37A37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由下表可知，重分类数与决算数相比，人员经费增加128,422.15元，增长率24.66%。公用经费增加237,684.42元，增加率100%。项目支出减少366,106.57元，减少率39.85%。原因为基本支出指标不够用，使用项目支出指标。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b/>
          <w:bCs/>
          <w:sz w:val="32"/>
          <w:szCs w:val="32"/>
          <w:lang w:val="en-US" w:eastAsia="zh-CN"/>
        </w:rPr>
      </w:pPr>
      <w:r>
        <w:drawing>
          <wp:inline distT="0" distB="0" distL="114300" distR="114300">
            <wp:extent cx="6023610" cy="1168400"/>
            <wp:effectExtent l="9525" t="9525" r="24765" b="22225"/>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19"/>
                  </pic:blipFill>
                  <pic:spPr>
                    <a:xfrm>
                      <a:off x="0" y="0"/>
                      <a:ext cx="6023610" cy="1168400"/>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03CAB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248275" cy="1657350"/>
            <wp:effectExtent l="9525" t="9525" r="19050" b="9525"/>
            <wp:docPr id="21" name="图片 2"/>
            <wp:cNvGraphicFramePr/>
            <a:graphic xmlns:a="http://schemas.openxmlformats.org/drawingml/2006/main">
              <a:graphicData uri="http://schemas.openxmlformats.org/drawingml/2006/picture">
                <pic:pic xmlns:pic="http://schemas.openxmlformats.org/drawingml/2006/picture">
                  <pic:nvPicPr>
                    <pic:cNvPr id="21" name="图片 2"/>
                    <pic:cNvPicPr/>
                  </pic:nvPicPr>
                  <pic:blipFill>
                    <a:blip r:embed="rId20"/>
                  </pic:blipFill>
                  <pic:spPr>
                    <a:xfrm>
                      <a:off x="0" y="0"/>
                      <a:ext cx="5248275" cy="1657350"/>
                    </a:xfrm>
                    <a:prstGeom prst="rect">
                      <a:avLst/>
                    </a:prstGeom>
                    <a:solidFill>
                      <a:srgbClr val="FFFFFF"/>
                    </a:solidFill>
                    <a:ln w="9525">
                      <a:solidFill>
                        <a:srgbClr val="000000"/>
                      </a:solidFill>
                    </a:ln>
                  </pic:spPr>
                </pic:pic>
              </a:graphicData>
            </a:graphic>
          </wp:inline>
        </w:drawing>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3.基本支出-公用经费重分类数汇总及分析</w:t>
      </w:r>
    </w:p>
    <w:p w14:paraId="4706AD1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sz w:val="32"/>
          <w:szCs w:val="32"/>
          <w:highlight w:val="yellow"/>
          <w:lang w:val="en-US" w:eastAsia="zh-CN"/>
        </w:rPr>
      </w:pPr>
      <w:r>
        <w:drawing>
          <wp:inline distT="0" distB="0" distL="114300" distR="114300">
            <wp:extent cx="5276850" cy="2647950"/>
            <wp:effectExtent l="9525" t="9525" r="9525" b="9525"/>
            <wp:docPr id="23" name="图片 1"/>
            <wp:cNvGraphicFramePr/>
            <a:graphic xmlns:a="http://schemas.openxmlformats.org/drawingml/2006/main">
              <a:graphicData uri="http://schemas.openxmlformats.org/drawingml/2006/picture">
                <pic:pic xmlns:pic="http://schemas.openxmlformats.org/drawingml/2006/picture">
                  <pic:nvPicPr>
                    <pic:cNvPr id="23" name="图片 1"/>
                    <pic:cNvPicPr/>
                  </pic:nvPicPr>
                  <pic:blipFill>
                    <a:blip r:embed="rId21"/>
                  </pic:blipFill>
                  <pic:spPr>
                    <a:xfrm>
                      <a:off x="0" y="0"/>
                      <a:ext cx="5276850" cy="2647950"/>
                    </a:xfrm>
                    <a:prstGeom prst="rect">
                      <a:avLst/>
                    </a:prstGeom>
                    <a:solidFill>
                      <a:srgbClr val="FFFFFF"/>
                    </a:solidFill>
                    <a:ln w="9525">
                      <a:solidFill>
                        <a:srgbClr val="000000"/>
                      </a:solidFill>
                    </a:ln>
                  </pic:spPr>
                </pic:pic>
              </a:graphicData>
            </a:graphic>
          </wp:inline>
        </w:drawing>
      </w:r>
    </w:p>
    <w:p w14:paraId="0A42E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检查凭证存在以下情况：</w:t>
      </w:r>
    </w:p>
    <w:p w14:paraId="68144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2024年10月3号凭证此笔款项通过区车江铜矿社区服务中心工资代发过渡账户支付退休干部节日慰问7200元。二</w:t>
      </w:r>
      <w:r>
        <w:rPr>
          <w:rFonts w:hint="eastAsia" w:ascii="仿宋" w:hAnsi="仿宋" w:eastAsia="仿宋" w:cs="仿宋"/>
          <w:b/>
          <w:bCs/>
          <w:sz w:val="32"/>
          <w:szCs w:val="32"/>
          <w:lang w:val="en-US" w:eastAsia="zh-CN"/>
        </w:rPr>
        <w:t>是</w:t>
      </w:r>
      <w:r>
        <w:rPr>
          <w:rFonts w:hint="eastAsia" w:ascii="仿宋" w:hAnsi="仿宋" w:eastAsia="仿宋" w:cs="仿宋"/>
          <w:b w:val="0"/>
          <w:bCs w:val="0"/>
          <w:sz w:val="32"/>
          <w:szCs w:val="32"/>
          <w:lang w:val="en-US" w:eastAsia="zh-CN"/>
        </w:rPr>
        <w:t>2024年11月16号凭证付工会体检费用等，每人体检费823元。社区居委会临聘人员全春林为非本单位的非编制人员，但为其支付体检费。三</w:t>
      </w:r>
      <w:r>
        <w:rPr>
          <w:rFonts w:hint="eastAsia" w:ascii="仿宋" w:hAnsi="仿宋" w:eastAsia="仿宋" w:cs="仿宋"/>
          <w:b/>
          <w:bCs/>
          <w:sz w:val="32"/>
          <w:szCs w:val="32"/>
          <w:lang w:val="en-US" w:eastAsia="zh-CN"/>
        </w:rPr>
        <w:t>是跨期支付。</w:t>
      </w:r>
      <w:r>
        <w:rPr>
          <w:rFonts w:hint="eastAsia" w:ascii="仿宋" w:hAnsi="仿宋" w:eastAsia="仿宋" w:cs="仿宋"/>
          <w:b w:val="0"/>
          <w:bCs w:val="0"/>
          <w:sz w:val="32"/>
          <w:szCs w:val="32"/>
          <w:lang w:val="en-US" w:eastAsia="zh-CN"/>
        </w:rPr>
        <w:t>2024年11月16号凭证预付2025的工会经费32538元及2025年退休老干部节日慰问及体检费用9669元。四</w:t>
      </w:r>
      <w:r>
        <w:rPr>
          <w:rFonts w:hint="eastAsia" w:ascii="仿宋" w:hAnsi="仿宋" w:eastAsia="仿宋" w:cs="仿宋"/>
          <w:b/>
          <w:bCs/>
          <w:sz w:val="32"/>
          <w:szCs w:val="32"/>
          <w:lang w:val="en-US" w:eastAsia="zh-CN"/>
        </w:rPr>
        <w:t>是未标明网络使用费日期。</w:t>
      </w:r>
      <w:r>
        <w:rPr>
          <w:rFonts w:hint="eastAsia" w:ascii="仿宋" w:hAnsi="仿宋" w:eastAsia="仿宋" w:cs="仿宋"/>
          <w:b w:val="0"/>
          <w:bCs w:val="0"/>
          <w:sz w:val="32"/>
          <w:szCs w:val="32"/>
          <w:lang w:val="en-US" w:eastAsia="zh-CN"/>
        </w:rPr>
        <w:t>2024年3月6号凭证付两年服务费1800元。未附合同及验收单，发票上无服务费截止日期2024年5月10号凭证付网络使用费2800元。五</w:t>
      </w:r>
      <w:r>
        <w:rPr>
          <w:rFonts w:hint="eastAsia" w:ascii="仿宋" w:hAnsi="仿宋" w:eastAsia="仿宋" w:cs="仿宋"/>
          <w:b/>
          <w:bCs/>
          <w:sz w:val="32"/>
          <w:szCs w:val="32"/>
          <w:lang w:val="en-US" w:eastAsia="zh-CN"/>
        </w:rPr>
        <w:t>是小金额业务未签合同。</w:t>
      </w:r>
      <w:r>
        <w:rPr>
          <w:rFonts w:hint="eastAsia" w:ascii="仿宋" w:hAnsi="仿宋" w:eastAsia="仿宋" w:cs="仿宋"/>
          <w:b w:val="0"/>
          <w:bCs w:val="0"/>
          <w:sz w:val="32"/>
          <w:szCs w:val="32"/>
          <w:lang w:val="en-US" w:eastAsia="zh-CN"/>
        </w:rPr>
        <w:t>2024年6月2号凭证付网络维修费600元。有付款给个人的说明，发票已开，未签合同及验收。2024年7月3号凭证主题党日活动支出3766元。有方案，有发票，未见合同。衡阳红雁文化旅游发展公司。2024年8月1号凭证办公室空调维修费450元，支付个人周建华，代开发票，无合同，无验收。2024年8月10号凭证水管维修1460元有效果图，无合同，无验收单。2024年10月1号凭证28栋房屋检测费2400.01元。有项目选取确认书（湖南省网上中介服务超市），无合同，无验收单。</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2024年11月22号凭证拨给社区居委会，付社区垫付电费、付社区消防通道改造费用、付社区路灯改造费用、付社区食堂餐费，有往来收据，国库支付单，申请报告，三重一大会议纪要，无效果汇报。</w:t>
      </w:r>
      <w:r>
        <w:rPr>
          <w:rFonts w:hint="eastAsia" w:ascii="仿宋" w:hAnsi="仿宋" w:eastAsia="仿宋" w:cs="仿宋"/>
          <w:b/>
          <w:bCs/>
          <w:sz w:val="32"/>
          <w:szCs w:val="32"/>
          <w:lang w:val="en-US" w:eastAsia="zh-CN"/>
        </w:rPr>
        <w:t>七是</w:t>
      </w:r>
      <w:r>
        <w:rPr>
          <w:rFonts w:hint="eastAsia" w:ascii="仿宋" w:hAnsi="仿宋" w:eastAsia="仿宋" w:cs="仿宋"/>
          <w:b w:val="0"/>
          <w:bCs w:val="0"/>
          <w:sz w:val="32"/>
          <w:szCs w:val="32"/>
          <w:lang w:val="en-US" w:eastAsia="zh-CN"/>
        </w:rPr>
        <w:t>支付食堂餐费于陈平平或全春林个人，未支付社区居委会或劳务公司。解释原因为食堂没有管理制度，车铜社区居委会跟劳务公司签了合同。</w:t>
      </w:r>
    </w:p>
    <w:p w14:paraId="6C95C3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4BA22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（1）区车江铜矿服务中心2024年度无因公出国（境）费。（2）区车江铜矿服务中心2024年度无公车费。</w:t>
      </w: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另存在交通补贴造表发放，发放表未见人力资源部或组织部审批盖章，有本部门领导签字。（3）区车江铜矿服务中心2024年度无公务接待费。</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无。</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lang w:val="en-US" w:eastAsia="zh-CN"/>
        </w:rPr>
        <w:t>基本支出-公用经费-办公经费重分类数24,046.97元，</w:t>
      </w:r>
    </w:p>
    <w:p w14:paraId="02FA75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5276850" cy="1647825"/>
            <wp:effectExtent l="9525" t="9525" r="9525" b="1905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22"/>
                  </pic:blipFill>
                  <pic:spPr>
                    <a:xfrm>
                      <a:off x="0" y="0"/>
                      <a:ext cx="5276850" cy="1647825"/>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15178"/>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val="0"/>
          <w:bCs w:val="0"/>
          <w:sz w:val="32"/>
          <w:szCs w:val="32"/>
          <w:highlight w:val="none"/>
          <w:lang w:val="en-US" w:eastAsia="zh-CN"/>
        </w:rPr>
        <w:t>部门在预算管理方面建立的制度：提供了财务管理制度及政府采购内部控制制度。其涵盖了</w:t>
      </w:r>
      <w:r>
        <w:rPr>
          <w:rFonts w:hint="eastAsia" w:ascii="仿宋" w:hAnsi="仿宋" w:eastAsia="仿宋" w:cs="仿宋"/>
          <w:b/>
          <w:bCs/>
          <w:sz w:val="32"/>
          <w:szCs w:val="32"/>
          <w:highlight w:val="none"/>
          <w:lang w:val="en-US" w:eastAsia="zh-CN"/>
        </w:rPr>
        <w:t>预算管理制度，合同管理制度，专项资金管理办法，绩效管理制度，信息化管理制度，决算与财务报告制度，监督与审计制度，工会管理制度等。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衡阳雁峰区政府网上可以查到区车江铜矿服务中心的2024年预算公开信息。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财务管理制度覆盖预算编制、调整、核算等关键环节。</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（5）管理规范性：未提供预算调整批复文件。存在基本支出挤占项目支出的情况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12713"/>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2.检查凭证过程中，发现存在以下情况：</w:t>
      </w:r>
    </w:p>
    <w:p w14:paraId="621B8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一是</w:t>
      </w:r>
      <w:r>
        <w:rPr>
          <w:rFonts w:hint="default" w:ascii="仿宋" w:hAnsi="仿宋" w:eastAsia="仿宋" w:cs="仿宋"/>
          <w:b w:val="0"/>
          <w:bCs w:val="0"/>
          <w:sz w:val="32"/>
          <w:szCs w:val="32"/>
          <w:highlight w:val="none"/>
          <w:lang w:val="en-US" w:eastAsia="zh-CN"/>
        </w:rPr>
        <w:t>工资后附国库支付单，无回单，无</w:t>
      </w:r>
      <w:r>
        <w:rPr>
          <w:rFonts w:hint="eastAsia" w:ascii="仿宋" w:hAnsi="仿宋" w:eastAsia="仿宋" w:cs="仿宋"/>
          <w:b w:val="0"/>
          <w:bCs w:val="0"/>
          <w:sz w:val="32"/>
          <w:szCs w:val="32"/>
          <w:highlight w:val="none"/>
          <w:lang w:val="en-US" w:eastAsia="zh-CN"/>
        </w:rPr>
        <w:t>人力资源</w:t>
      </w:r>
      <w:r>
        <w:rPr>
          <w:rFonts w:hint="default" w:ascii="仿宋" w:hAnsi="仿宋" w:eastAsia="仿宋" w:cs="仿宋"/>
          <w:b w:val="0"/>
          <w:bCs w:val="0"/>
          <w:sz w:val="32"/>
          <w:szCs w:val="32"/>
          <w:highlight w:val="none"/>
          <w:lang w:val="en-US" w:eastAsia="zh-CN"/>
        </w:rPr>
        <w:t>审批。</w:t>
      </w:r>
      <w:r>
        <w:rPr>
          <w:rFonts w:hint="eastAsia" w:ascii="仿宋" w:hAnsi="仿宋" w:eastAsia="仿宋" w:cs="仿宋"/>
          <w:b/>
          <w:bCs/>
          <w:sz w:val="32"/>
          <w:szCs w:val="32"/>
          <w:highlight w:val="none"/>
          <w:lang w:val="en-US" w:eastAsia="zh-CN"/>
        </w:rPr>
        <w:t>二是</w:t>
      </w:r>
      <w:r>
        <w:rPr>
          <w:rFonts w:hint="default" w:ascii="仿宋" w:hAnsi="仿宋" w:eastAsia="仿宋" w:cs="仿宋"/>
          <w:b w:val="0"/>
          <w:bCs w:val="0"/>
          <w:sz w:val="32"/>
          <w:szCs w:val="32"/>
          <w:highlight w:val="none"/>
          <w:lang w:val="en-US" w:eastAsia="zh-CN"/>
        </w:rPr>
        <w:t>后附计提五险一金表</w:t>
      </w:r>
      <w:r>
        <w:rPr>
          <w:rFonts w:hint="eastAsia" w:ascii="仿宋" w:hAnsi="仿宋" w:eastAsia="仿宋" w:cs="仿宋"/>
          <w:b w:val="0"/>
          <w:bCs w:val="0"/>
          <w:sz w:val="32"/>
          <w:szCs w:val="32"/>
          <w:highlight w:val="none"/>
          <w:lang w:val="en-US" w:eastAsia="zh-CN"/>
        </w:rPr>
        <w:t>无计提供依据及对应明细，</w:t>
      </w:r>
      <w:r>
        <w:rPr>
          <w:rFonts w:hint="default" w:ascii="仿宋" w:hAnsi="仿宋" w:eastAsia="仿宋" w:cs="仿宋"/>
          <w:b w:val="0"/>
          <w:bCs w:val="0"/>
          <w:sz w:val="32"/>
          <w:szCs w:val="32"/>
          <w:highlight w:val="none"/>
          <w:lang w:val="en-US" w:eastAsia="zh-CN"/>
        </w:rPr>
        <w:t>人力资源审批签字。</w:t>
      </w:r>
      <w:r>
        <w:rPr>
          <w:rFonts w:hint="eastAsia" w:ascii="仿宋" w:hAnsi="仿宋" w:eastAsia="仿宋" w:cs="仿宋"/>
          <w:b/>
          <w:bCs/>
          <w:sz w:val="32"/>
          <w:szCs w:val="32"/>
          <w:highlight w:val="none"/>
          <w:lang w:val="en-US" w:eastAsia="zh-CN"/>
        </w:rPr>
        <w:t>三是</w:t>
      </w:r>
      <w:r>
        <w:rPr>
          <w:rFonts w:hint="default" w:ascii="仿宋" w:hAnsi="仿宋" w:eastAsia="仿宋" w:cs="仿宋"/>
          <w:b w:val="0"/>
          <w:bCs w:val="0"/>
          <w:sz w:val="32"/>
          <w:szCs w:val="32"/>
          <w:highlight w:val="none"/>
          <w:lang w:val="en-US" w:eastAsia="zh-CN"/>
        </w:rPr>
        <w:t>住房公积金</w:t>
      </w:r>
      <w:r>
        <w:rPr>
          <w:rFonts w:hint="eastAsia" w:ascii="仿宋" w:hAnsi="仿宋" w:eastAsia="仿宋" w:cs="仿宋"/>
          <w:b w:val="0"/>
          <w:bCs w:val="0"/>
          <w:sz w:val="32"/>
          <w:szCs w:val="32"/>
          <w:highlight w:val="none"/>
          <w:lang w:val="en-US" w:eastAsia="zh-CN"/>
        </w:rPr>
        <w:t>的计提依据</w:t>
      </w:r>
      <w:r>
        <w:rPr>
          <w:rFonts w:hint="default" w:ascii="仿宋" w:hAnsi="仿宋" w:eastAsia="仿宋" w:cs="仿宋"/>
          <w:b w:val="0"/>
          <w:bCs w:val="0"/>
          <w:sz w:val="32"/>
          <w:szCs w:val="32"/>
          <w:highlight w:val="none"/>
          <w:lang w:val="en-US" w:eastAsia="zh-CN"/>
        </w:rPr>
        <w:t>，无人力资源</w:t>
      </w:r>
      <w:r>
        <w:rPr>
          <w:rFonts w:hint="eastAsia" w:ascii="仿宋" w:hAnsi="仿宋" w:eastAsia="仿宋" w:cs="仿宋"/>
          <w:b w:val="0"/>
          <w:bCs w:val="0"/>
          <w:sz w:val="32"/>
          <w:szCs w:val="32"/>
          <w:highlight w:val="none"/>
          <w:lang w:val="en-US" w:eastAsia="zh-CN"/>
        </w:rPr>
        <w:t>审核</w:t>
      </w:r>
      <w:r>
        <w:rPr>
          <w:rFonts w:hint="default" w:ascii="仿宋" w:hAnsi="仿宋" w:eastAsia="仿宋" w:cs="仿宋"/>
          <w:b w:val="0"/>
          <w:bCs w:val="0"/>
          <w:sz w:val="32"/>
          <w:szCs w:val="32"/>
          <w:highlight w:val="none"/>
          <w:lang w:val="en-US" w:eastAsia="zh-CN"/>
        </w:rPr>
        <w:t>盖章</w:t>
      </w:r>
      <w:r>
        <w:rPr>
          <w:rFonts w:hint="eastAsia" w:ascii="仿宋" w:hAnsi="仿宋" w:eastAsia="仿宋" w:cs="仿宋"/>
          <w:b w:val="0"/>
          <w:bCs w:val="0"/>
          <w:sz w:val="32"/>
          <w:szCs w:val="32"/>
          <w:highlight w:val="none"/>
          <w:lang w:val="en-US" w:eastAsia="zh-CN"/>
        </w:rPr>
        <w:t>及</w:t>
      </w:r>
      <w:r>
        <w:rPr>
          <w:rFonts w:hint="default" w:ascii="仿宋" w:hAnsi="仿宋" w:eastAsia="仿宋" w:cs="仿宋"/>
          <w:b w:val="0"/>
          <w:bCs w:val="0"/>
          <w:sz w:val="32"/>
          <w:szCs w:val="32"/>
          <w:highlight w:val="none"/>
          <w:lang w:val="en-US" w:eastAsia="zh-CN"/>
        </w:rPr>
        <w:t>交通补贴</w:t>
      </w:r>
      <w:r>
        <w:rPr>
          <w:rFonts w:hint="eastAsia" w:ascii="仿宋" w:hAnsi="仿宋" w:eastAsia="仿宋" w:cs="仿宋"/>
          <w:b w:val="0"/>
          <w:bCs w:val="0"/>
          <w:sz w:val="32"/>
          <w:szCs w:val="32"/>
          <w:highlight w:val="none"/>
          <w:lang w:val="en-US" w:eastAsia="zh-CN"/>
        </w:rPr>
        <w:t>津贴</w:t>
      </w:r>
      <w:r>
        <w:rPr>
          <w:rFonts w:hint="default" w:ascii="仿宋" w:hAnsi="仿宋" w:eastAsia="仿宋" w:cs="仿宋"/>
          <w:b w:val="0"/>
          <w:bCs w:val="0"/>
          <w:sz w:val="32"/>
          <w:szCs w:val="32"/>
          <w:highlight w:val="none"/>
          <w:lang w:val="en-US" w:eastAsia="zh-CN"/>
        </w:rPr>
        <w:t>缺乏人力资源或组织部门的审核盖章。由本单位领导签字，无人力资源</w:t>
      </w:r>
      <w:r>
        <w:rPr>
          <w:rFonts w:hint="eastAsia" w:ascii="仿宋" w:hAnsi="仿宋" w:eastAsia="仿宋" w:cs="仿宋"/>
          <w:b w:val="0"/>
          <w:bCs w:val="0"/>
          <w:sz w:val="32"/>
          <w:szCs w:val="32"/>
          <w:highlight w:val="none"/>
          <w:lang w:val="en-US" w:eastAsia="zh-CN"/>
        </w:rPr>
        <w:t>或组织部</w:t>
      </w:r>
      <w:r>
        <w:rPr>
          <w:rFonts w:hint="default" w:ascii="仿宋" w:hAnsi="仿宋" w:eastAsia="仿宋" w:cs="仿宋"/>
          <w:b w:val="0"/>
          <w:bCs w:val="0"/>
          <w:sz w:val="32"/>
          <w:szCs w:val="32"/>
          <w:highlight w:val="none"/>
          <w:lang w:val="en-US" w:eastAsia="zh-CN"/>
        </w:rPr>
        <w:t>审核。</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月绩效由本单位领导签字，无人力资源或组织部签字审核盖章。</w:t>
      </w:r>
      <w:r>
        <w:rPr>
          <w:rFonts w:hint="eastAsia" w:ascii="仿宋" w:hAnsi="仿宋" w:eastAsia="仿宋" w:cs="仿宋"/>
          <w:b/>
          <w:bCs/>
          <w:sz w:val="32"/>
          <w:szCs w:val="32"/>
          <w:highlight w:val="none"/>
          <w:lang w:val="en-US" w:eastAsia="zh-CN"/>
        </w:rPr>
        <w:t>五是</w:t>
      </w:r>
      <w:r>
        <w:rPr>
          <w:rFonts w:hint="default" w:ascii="仿宋" w:hAnsi="仿宋" w:eastAsia="仿宋" w:cs="仿宋"/>
          <w:b w:val="0"/>
          <w:bCs w:val="0"/>
          <w:sz w:val="32"/>
          <w:szCs w:val="32"/>
          <w:highlight w:val="none"/>
          <w:lang w:val="en-US" w:eastAsia="zh-CN"/>
        </w:rPr>
        <w:t>发放退休人员补贴由本单位领导签字，无人力资源审核</w:t>
      </w:r>
      <w:r>
        <w:rPr>
          <w:rFonts w:hint="eastAsia" w:ascii="仿宋" w:hAnsi="仿宋" w:eastAsia="仿宋" w:cs="仿宋"/>
          <w:b w:val="0"/>
          <w:bCs w:val="0"/>
          <w:sz w:val="32"/>
          <w:szCs w:val="32"/>
          <w:highlight w:val="none"/>
          <w:lang w:val="en-US" w:eastAsia="zh-CN"/>
        </w:rPr>
        <w:t>，无回单</w:t>
      </w:r>
      <w:r>
        <w:rPr>
          <w:rFonts w:hint="default"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六是</w:t>
      </w:r>
      <w:r>
        <w:rPr>
          <w:rFonts w:hint="eastAsia" w:ascii="仿宋" w:hAnsi="仿宋" w:eastAsia="仿宋" w:cs="仿宋"/>
          <w:b w:val="0"/>
          <w:bCs w:val="0"/>
          <w:sz w:val="32"/>
          <w:szCs w:val="32"/>
          <w:highlight w:val="none"/>
          <w:lang w:val="en-US" w:eastAsia="zh-CN"/>
        </w:rPr>
        <w:t>花名册未反映人员的动态管理过程。</w:t>
      </w:r>
      <w:r>
        <w:rPr>
          <w:rFonts w:hint="eastAsia" w:ascii="仿宋" w:hAnsi="仿宋" w:eastAsia="仿宋" w:cs="仿宋"/>
          <w:b/>
          <w:bCs/>
          <w:sz w:val="32"/>
          <w:szCs w:val="32"/>
          <w:highlight w:val="none"/>
          <w:lang w:val="en-US" w:eastAsia="zh-CN"/>
        </w:rPr>
        <w:t>七是</w:t>
      </w:r>
      <w:r>
        <w:rPr>
          <w:rFonts w:hint="eastAsia" w:ascii="仿宋" w:hAnsi="仿宋" w:eastAsia="仿宋" w:cs="仿宋"/>
          <w:b w:val="0"/>
          <w:bCs w:val="0"/>
          <w:sz w:val="32"/>
          <w:szCs w:val="32"/>
          <w:highlight w:val="none"/>
          <w:lang w:val="en-US" w:eastAsia="zh-CN"/>
        </w:rPr>
        <w:t>存在</w:t>
      </w:r>
      <w:r>
        <w:rPr>
          <w:rFonts w:hint="eastAsia" w:ascii="仿宋" w:hAnsi="仿宋" w:eastAsia="仿宋" w:cs="仿宋"/>
          <w:b/>
          <w:bCs/>
          <w:sz w:val="32"/>
          <w:szCs w:val="32"/>
          <w:highlight w:val="none"/>
          <w:lang w:val="en-US" w:eastAsia="zh-CN"/>
        </w:rPr>
        <w:t>高志平、董立美、范静3人编制为区车江铜矿社区，工资在岳屏镇发放情况。</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30532"/>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区车江铜矿服务中心未提供项目管理制度，未提供政府采购管理制度。</w:t>
      </w:r>
    </w:p>
    <w:p w14:paraId="7F0D5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1.项目支出内容包括</w:t>
      </w:r>
      <w:r>
        <w:rPr>
          <w:rFonts w:hint="eastAsia" w:ascii="仿宋" w:hAnsi="仿宋" w:eastAsia="仿宋" w:cs="仿宋"/>
          <w:b w:val="0"/>
          <w:bCs w:val="0"/>
          <w:sz w:val="32"/>
          <w:szCs w:val="32"/>
          <w:lang w:val="en-US" w:eastAsia="zh-CN"/>
        </w:rPr>
        <w:t>农贸市场屋顶、</w:t>
      </w:r>
      <w:r>
        <w:rPr>
          <w:rFonts w:hint="default" w:ascii="仿宋" w:hAnsi="仿宋" w:eastAsia="仿宋" w:cs="仿宋"/>
          <w:b w:val="0"/>
          <w:bCs w:val="0"/>
          <w:sz w:val="32"/>
          <w:szCs w:val="32"/>
          <w:lang w:val="en-US" w:eastAsia="zh-CN"/>
        </w:rPr>
        <w:t>农贸市场钢构棚改造</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危房改造</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尾矿库围栏工程</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社区改造</w:t>
      </w:r>
      <w:r>
        <w:rPr>
          <w:rFonts w:hint="eastAsia" w:ascii="仿宋" w:hAnsi="仿宋" w:eastAsia="仿宋" w:cs="仿宋"/>
          <w:b w:val="0"/>
          <w:bCs w:val="0"/>
          <w:sz w:val="32"/>
          <w:szCs w:val="32"/>
          <w:lang w:val="en-US" w:eastAsia="zh-CN"/>
        </w:rPr>
        <w:t>等。</w:t>
      </w:r>
    </w:p>
    <w:p w14:paraId="3219461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outlineLvl w:val="9"/>
        <w:rPr>
          <w:rFonts w:hint="default" w:ascii="仿宋" w:hAnsi="仿宋" w:eastAsia="仿宋" w:cs="仿宋"/>
          <w:sz w:val="32"/>
          <w:szCs w:val="32"/>
          <w:lang w:val="en-US" w:eastAsia="zh-CN"/>
        </w:rPr>
      </w:pPr>
      <w:r>
        <w:drawing>
          <wp:inline distT="0" distB="0" distL="114300" distR="114300">
            <wp:extent cx="5810250" cy="1447800"/>
            <wp:effectExtent l="9525" t="9525" r="9525" b="9525"/>
            <wp:docPr id="24" name="图片 2"/>
            <wp:cNvGraphicFramePr/>
            <a:graphic xmlns:a="http://schemas.openxmlformats.org/drawingml/2006/main">
              <a:graphicData uri="http://schemas.openxmlformats.org/drawingml/2006/picture">
                <pic:pic xmlns:pic="http://schemas.openxmlformats.org/drawingml/2006/picture">
                  <pic:nvPicPr>
                    <pic:cNvPr id="24" name="图片 2"/>
                    <pic:cNvPicPr/>
                  </pic:nvPicPr>
                  <pic:blipFill>
                    <a:blip r:embed="rId23"/>
                  </pic:blipFill>
                  <pic:spPr>
                    <a:xfrm>
                      <a:off x="0" y="0"/>
                      <a:ext cx="5810250" cy="1447800"/>
                    </a:xfrm>
                    <a:prstGeom prst="rect">
                      <a:avLst/>
                    </a:prstGeom>
                    <a:solidFill>
                      <a:srgbClr val="FFFFFF"/>
                    </a:solidFill>
                    <a:ln w="9525">
                      <a:solidFill>
                        <a:srgbClr val="000000"/>
                      </a:solidFill>
                    </a:ln>
                  </pic:spPr>
                </pic:pic>
              </a:graphicData>
            </a:graphic>
          </wp:inline>
        </w:drawing>
      </w:r>
    </w:p>
    <w:p w14:paraId="5D989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2.检查凭证信息，存在以下情况：</w:t>
      </w:r>
    </w:p>
    <w:p w14:paraId="14AF0E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2024年5月11号凭证付广告制作费16500元。有合同，验收，清单，效果图，但未提供三重一大会议纪要（财务管理制度会议起点为3万元），未明确政府采购方式。</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2024年11月1号付尾矿库围栏工程咨询费1000元，合同由总公司（湖南财苑工程咨询有限公司）签订，收款及发票为分公司（湖南财苑工程咨询有限公司衡阳分公司）。</w:t>
      </w:r>
    </w:p>
    <w:p w14:paraId="568AA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3.项目支出取得效益</w:t>
      </w:r>
    </w:p>
    <w:p w14:paraId="2FEDFD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一是安全保障效益显著。</w:t>
      </w:r>
      <w:r>
        <w:rPr>
          <w:rFonts w:hint="eastAsia" w:ascii="仿宋" w:hAnsi="仿宋" w:eastAsia="仿宋" w:cs="仿宋"/>
          <w:b w:val="0"/>
          <w:bCs w:val="0"/>
          <w:kern w:val="0"/>
          <w:sz w:val="32"/>
          <w:szCs w:val="32"/>
          <w:lang w:val="en-US" w:eastAsia="zh-CN" w:bidi="ar"/>
        </w:rPr>
        <w:t>消除了危房、危棚、交通事故点、尾矿库非法入侵等多处安全隐患。</w:t>
      </w:r>
      <w:r>
        <w:rPr>
          <w:rFonts w:hint="eastAsia" w:ascii="仿宋" w:hAnsi="仿宋" w:eastAsia="仿宋" w:cs="仿宋"/>
          <w:b/>
          <w:bCs/>
          <w:kern w:val="0"/>
          <w:sz w:val="32"/>
          <w:szCs w:val="32"/>
          <w:lang w:val="en-US" w:eastAsia="zh-CN" w:bidi="ar"/>
        </w:rPr>
        <w:t>二是民生服务品质提升。</w:t>
      </w:r>
      <w:r>
        <w:rPr>
          <w:rFonts w:hint="eastAsia" w:ascii="仿宋" w:hAnsi="仿宋" w:eastAsia="仿宋" w:cs="仿宋"/>
          <w:b w:val="0"/>
          <w:bCs w:val="0"/>
          <w:kern w:val="0"/>
          <w:sz w:val="32"/>
          <w:szCs w:val="32"/>
          <w:lang w:val="en-US" w:eastAsia="zh-CN" w:bidi="ar"/>
        </w:rPr>
        <w:t>通过供水改造、市场重建、空间优化，直接改善了居民日常生活质量。</w:t>
      </w:r>
      <w:r>
        <w:rPr>
          <w:rFonts w:hint="eastAsia" w:ascii="仿宋" w:hAnsi="仿宋" w:eastAsia="仿宋" w:cs="仿宋"/>
          <w:b/>
          <w:bCs/>
          <w:kern w:val="0"/>
          <w:sz w:val="32"/>
          <w:szCs w:val="32"/>
          <w:lang w:val="en-US" w:eastAsia="zh-CN" w:bidi="ar"/>
        </w:rPr>
        <w:t>三是生态环境有效治理。</w:t>
      </w:r>
      <w:r>
        <w:rPr>
          <w:rFonts w:hint="eastAsia" w:ascii="仿宋" w:hAnsi="仿宋" w:eastAsia="仿宋" w:cs="仿宋"/>
          <w:b w:val="0"/>
          <w:bCs w:val="0"/>
          <w:kern w:val="0"/>
          <w:sz w:val="32"/>
          <w:szCs w:val="32"/>
          <w:lang w:val="en-US" w:eastAsia="zh-CN" w:bidi="ar"/>
        </w:rPr>
        <w:t>通过工程与管理结合的方式，解决了历史遗留的环境风险点，美化了社区环境。</w:t>
      </w:r>
      <w:r>
        <w:rPr>
          <w:rFonts w:hint="eastAsia" w:ascii="仿宋" w:hAnsi="仿宋" w:eastAsia="仿宋" w:cs="仿宋"/>
          <w:b/>
          <w:bCs/>
          <w:kern w:val="0"/>
          <w:sz w:val="32"/>
          <w:szCs w:val="32"/>
          <w:lang w:val="en-US" w:eastAsia="zh-CN" w:bidi="ar"/>
        </w:rPr>
        <w:t>四是治理能力持续增强。</w:t>
      </w:r>
      <w:r>
        <w:rPr>
          <w:rFonts w:hint="eastAsia" w:ascii="仿宋" w:hAnsi="仿宋" w:eastAsia="仿宋" w:cs="仿宋"/>
          <w:b w:val="0"/>
          <w:bCs w:val="0"/>
          <w:kern w:val="0"/>
          <w:sz w:val="32"/>
          <w:szCs w:val="32"/>
          <w:lang w:val="en-US" w:eastAsia="zh-CN" w:bidi="ar"/>
        </w:rPr>
        <w:t>项目实施过程融合了矛盾化解、群众工作与长效管理，巩固了基层和谐稳定局面。</w:t>
      </w:r>
      <w:r>
        <w:rPr>
          <w:rFonts w:hint="eastAsia" w:ascii="仿宋" w:hAnsi="仿宋" w:eastAsia="仿宋" w:cs="仿宋"/>
          <w:b/>
          <w:bCs/>
          <w:kern w:val="0"/>
          <w:sz w:val="32"/>
          <w:szCs w:val="32"/>
          <w:lang w:val="en-US" w:eastAsia="zh-CN" w:bidi="ar"/>
        </w:rPr>
        <w:t>体现了项目资金使用的针对性、实效性和惠民性，实现了社会效益、环境效益与安全效益的统一。</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30529"/>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0B593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2024年固定资产存在拆除28栋小车库172,935.36元，增加农贸市场农贸市场棚改造81,209.35元，厨房用具2，898.00元。存在记账凭证号待完善,固定资产的管理部门为临时部门情况。详情见下：</w:t>
      </w:r>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1.固定资产2024年原值及折旧变动情况（金额：元）</w:t>
      </w:r>
    </w:p>
    <w:tbl>
      <w:tblPr>
        <w:tblStyle w:val="14"/>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83"/>
        <w:gridCol w:w="1758"/>
        <w:gridCol w:w="1758"/>
        <w:gridCol w:w="1758"/>
        <w:gridCol w:w="1758"/>
      </w:tblGrid>
      <w:tr w14:paraId="7975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83" w:type="dxa"/>
            <w:tcBorders>
              <w:top w:val="single" w:color="5B9BD5" w:sz="4" w:space="0"/>
              <w:left w:val="single" w:color="5B9BD5" w:sz="4" w:space="0"/>
              <w:bottom w:val="single" w:color="5B9BD5" w:sz="8" w:space="0"/>
              <w:right w:val="single" w:color="9BC2E6" w:sz="4" w:space="0"/>
            </w:tcBorders>
            <w:shd w:val="clear" w:color="auto" w:fill="auto"/>
            <w:vAlign w:val="center"/>
          </w:tcPr>
          <w:p w14:paraId="4DA7CD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58"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306634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758"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6509E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758"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3FBFE6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1758" w:type="dxa"/>
            <w:tcBorders>
              <w:top w:val="single" w:color="5B9BD5" w:sz="4" w:space="0"/>
              <w:left w:val="single" w:color="9BC2E6" w:sz="4" w:space="0"/>
              <w:bottom w:val="single" w:color="5B9BD5" w:sz="8" w:space="0"/>
              <w:right w:val="single" w:color="5B9BD5" w:sz="4" w:space="0"/>
            </w:tcBorders>
            <w:shd w:val="clear" w:color="auto" w:fill="auto"/>
            <w:noWrap/>
            <w:vAlign w:val="center"/>
          </w:tcPr>
          <w:p w14:paraId="6FABE5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23C8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83" w:type="dxa"/>
            <w:tcBorders>
              <w:top w:val="single" w:color="5B9BD5" w:sz="8" w:space="0"/>
              <w:left w:val="single" w:color="5B9BD5" w:sz="4" w:space="0"/>
              <w:bottom w:val="single" w:color="9BC2E6" w:sz="4" w:space="0"/>
              <w:right w:val="single" w:color="9BC2E6" w:sz="4" w:space="0"/>
            </w:tcBorders>
            <w:shd w:val="clear" w:color="DDEBF7" w:fill="DDEBF7"/>
            <w:vAlign w:val="center"/>
          </w:tcPr>
          <w:p w14:paraId="3BD1B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15D76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3,318,139.87</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05407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84,107.35</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5AE020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172,935.36</w:t>
            </w:r>
          </w:p>
        </w:tc>
        <w:tc>
          <w:tcPr>
            <w:tcW w:w="0" w:type="auto"/>
            <w:tcBorders>
              <w:top w:val="single" w:color="5B9BD5" w:sz="8" w:space="0"/>
              <w:left w:val="single" w:color="9BC2E6" w:sz="4" w:space="0"/>
              <w:bottom w:val="single" w:color="9BC2E6" w:sz="4" w:space="0"/>
              <w:right w:val="single" w:color="5B9BD5" w:sz="4" w:space="0"/>
            </w:tcBorders>
            <w:shd w:val="clear" w:color="DDEBF7" w:fill="DDEBF7"/>
            <w:noWrap/>
            <w:vAlign w:val="bottom"/>
          </w:tcPr>
          <w:p w14:paraId="22F4E1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3,229,311.86</w:t>
            </w:r>
          </w:p>
        </w:tc>
      </w:tr>
      <w:tr w14:paraId="7216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83" w:type="dxa"/>
            <w:tcBorders>
              <w:top w:val="single" w:color="9BC2E6" w:sz="4" w:space="0"/>
              <w:left w:val="single" w:color="5B9BD5" w:sz="4" w:space="0"/>
              <w:bottom w:val="single" w:color="9BC2E6" w:sz="4" w:space="0"/>
              <w:right w:val="single" w:color="9BC2E6" w:sz="4" w:space="0"/>
            </w:tcBorders>
            <w:shd w:val="clear" w:color="auto" w:fill="auto"/>
            <w:vAlign w:val="center"/>
          </w:tcPr>
          <w:p w14:paraId="18FD2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786818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518,929.60</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7E33A3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98,279.60</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448812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16,332.92</w:t>
            </w:r>
          </w:p>
        </w:tc>
        <w:tc>
          <w:tcPr>
            <w:tcW w:w="0" w:type="auto"/>
            <w:tcBorders>
              <w:top w:val="single" w:color="9BC2E6" w:sz="4" w:space="0"/>
              <w:left w:val="single" w:color="9BC2E6" w:sz="4" w:space="0"/>
              <w:bottom w:val="single" w:color="9BC2E6" w:sz="4" w:space="0"/>
              <w:right w:val="single" w:color="5B9BD5" w:sz="4" w:space="0"/>
            </w:tcBorders>
            <w:shd w:val="clear" w:color="auto" w:fill="auto"/>
            <w:noWrap/>
            <w:vAlign w:val="bottom"/>
          </w:tcPr>
          <w:p w14:paraId="2D8DC7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600,876.28</w:t>
            </w:r>
          </w:p>
        </w:tc>
      </w:tr>
      <w:tr w14:paraId="58CD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83" w:type="dxa"/>
            <w:tcBorders>
              <w:top w:val="single" w:color="9BC2E6" w:sz="4" w:space="0"/>
              <w:left w:val="single" w:color="5B9BD5" w:sz="4" w:space="0"/>
              <w:bottom w:val="single" w:color="9BC2E6" w:sz="4" w:space="0"/>
              <w:right w:val="single" w:color="9BC2E6" w:sz="4" w:space="0"/>
            </w:tcBorders>
            <w:shd w:val="clear" w:color="DDEBF7" w:fill="DDEBF7"/>
            <w:vAlign w:val="center"/>
          </w:tcPr>
          <w:p w14:paraId="4A1E0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0" w:type="auto"/>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615286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2,799,210.27</w:t>
            </w:r>
          </w:p>
        </w:tc>
        <w:tc>
          <w:tcPr>
            <w:tcW w:w="0" w:type="auto"/>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67DDA6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-14172.25</w:t>
            </w:r>
          </w:p>
        </w:tc>
        <w:tc>
          <w:tcPr>
            <w:tcW w:w="0" w:type="auto"/>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3F157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156,602.44 </w:t>
            </w:r>
          </w:p>
        </w:tc>
        <w:tc>
          <w:tcPr>
            <w:tcW w:w="0" w:type="auto"/>
            <w:tcBorders>
              <w:top w:val="single" w:color="9BC2E6" w:sz="4" w:space="0"/>
              <w:left w:val="single" w:color="9BC2E6" w:sz="4" w:space="0"/>
              <w:bottom w:val="single" w:color="9BC2E6" w:sz="4" w:space="0"/>
              <w:right w:val="single" w:color="5B9BD5" w:sz="4" w:space="0"/>
            </w:tcBorders>
            <w:shd w:val="clear" w:color="DDEBF7" w:fill="DDEBF7"/>
            <w:noWrap/>
            <w:vAlign w:val="bottom"/>
          </w:tcPr>
          <w:p w14:paraId="55A289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2,628,435.58</w:t>
            </w:r>
          </w:p>
        </w:tc>
      </w:tr>
    </w:tbl>
    <w:p w14:paraId="19FF5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2.固定资产明细如下：（金额：元）</w:t>
      </w:r>
    </w:p>
    <w:p w14:paraId="461D13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default" w:ascii="仿宋" w:hAnsi="仿宋" w:eastAsia="仿宋" w:cs="仿宋"/>
          <w:b/>
          <w:bCs/>
          <w:sz w:val="32"/>
          <w:szCs w:val="32"/>
          <w:highlight w:val="none"/>
          <w:lang w:val="en-US" w:eastAsia="zh-CN"/>
        </w:rPr>
      </w:pPr>
      <w:r>
        <w:drawing>
          <wp:inline distT="0" distB="0" distL="114300" distR="114300">
            <wp:extent cx="6092190" cy="4659630"/>
            <wp:effectExtent l="9525" t="9525" r="13335" b="17145"/>
            <wp:docPr id="18" name="图片 1"/>
            <wp:cNvGraphicFramePr/>
            <a:graphic xmlns:a="http://schemas.openxmlformats.org/drawingml/2006/main">
              <a:graphicData uri="http://schemas.openxmlformats.org/drawingml/2006/picture">
                <pic:pic xmlns:pic="http://schemas.openxmlformats.org/drawingml/2006/picture">
                  <pic:nvPicPr>
                    <pic:cNvPr id="18" name="图片 1"/>
                    <pic:cNvPicPr/>
                  </pic:nvPicPr>
                  <pic:blipFill>
                    <a:blip r:embed="rId24"/>
                  </pic:blipFill>
                  <pic:spPr>
                    <a:xfrm>
                      <a:off x="0" y="0"/>
                      <a:ext cx="6092190" cy="4659630"/>
                    </a:xfrm>
                    <a:prstGeom prst="rect">
                      <a:avLst/>
                    </a:prstGeom>
                    <a:solidFill>
                      <a:srgbClr val="FFFFFF"/>
                    </a:solidFill>
                    <a:ln w="9525">
                      <a:solidFill>
                        <a:srgbClr val="000000"/>
                      </a:solidFill>
                    </a:ln>
                  </pic:spPr>
                </pic:pic>
              </a:graphicData>
            </a:graphic>
          </wp:inline>
        </w:drawing>
      </w:r>
    </w:p>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5615"/>
      <w:r>
        <w:rPr>
          <w:rFonts w:hint="eastAsia" w:ascii="楷体" w:hAnsi="楷体" w:eastAsia="楷体" w:cs="楷体"/>
          <w:b/>
          <w:bCs/>
          <w:sz w:val="32"/>
          <w:szCs w:val="32"/>
          <w:highlight w:val="none"/>
          <w:lang w:val="en-US" w:eastAsia="zh-CN"/>
        </w:rPr>
        <w:t>（八）厉行节约保障措施的执行情况及其政策效果</w:t>
      </w:r>
      <w:bookmarkEnd w:id="36"/>
    </w:p>
    <w:p w14:paraId="3ADD41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仿宋" w:hAnsi="仿宋" w:eastAsia="仿宋" w:cs="仿宋"/>
          <w:sz w:val="32"/>
          <w:szCs w:val="32"/>
        </w:rPr>
        <w:t>2024年，雁峰区车江铜矿社区服务中心深入贯彻习近平总书记关于"坚持勤俭节约办一切事业"的重要指示精神，认真落实中央、省、市关于推动党政机关带头厉行节约、反对铺张浪费的相关规定，坚持落实创建"节约型机关"。我们牢固树立"绿色发展、机关先行"的理念，把节约理念贯穿于机关运行的各个方面，从思想上、行动上坚决反对享乐主义、奢靡之风，自觉发扬艰苦奋斗、勤俭节约的优良作风。</w:t>
      </w: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是</w:t>
      </w:r>
      <w:r>
        <w:rPr>
          <w:rFonts w:hint="eastAsia" w:ascii="仿宋" w:hAnsi="仿宋" w:eastAsia="仿宋" w:cs="仿宋"/>
          <w:b/>
          <w:bCs/>
          <w:sz w:val="32"/>
          <w:szCs w:val="32"/>
        </w:rPr>
        <w:t>强化宣传教育，树立节约意识</w:t>
      </w:r>
      <w:r>
        <w:rPr>
          <w:rFonts w:hint="eastAsia" w:ascii="仿宋" w:hAnsi="仿宋" w:eastAsia="仿宋" w:cs="仿宋"/>
          <w:b/>
          <w:bCs/>
          <w:sz w:val="32"/>
          <w:szCs w:val="32"/>
          <w:lang w:eastAsia="zh-CN"/>
        </w:rPr>
        <w:t>。</w:t>
      </w:r>
      <w:r>
        <w:rPr>
          <w:rFonts w:hint="eastAsia" w:ascii="仿宋" w:hAnsi="仿宋" w:eastAsia="仿宋" w:cs="仿宋"/>
          <w:sz w:val="32"/>
          <w:szCs w:val="32"/>
        </w:rPr>
        <w:t>我中心高度重视干部职工节约意识的培养，通过多形式、多渠道开展宣传教育活动，营造勤俭节约的工作氛围。专题学习部署，组织全体干部职工深入学习习近平总书记关于厉行节约、反对浪费的重要论述，传达上级关于习惯过“紧日子”的要求。会议明确要求从政治高度认识节约工作的重要性，将思想与行动统一到中央部署上来，增强了干部职工节约资源的责任感和使命感。同时，通过在办公区域张贴节约标识、发放节能倡议书、内部工作群推送提醒等方式，营造随处可见、时刻提醒的节约氛围。结合全国节能宣传周、世界水日、地球日等重要节点，组织开展形式多样的主题宣传活动，推广节能节水知识，倡导绿色办公理念。在文化培育方面，引导干部职工养成简约适度、绿色低碳的生活和工作方式。鼓励无纸化办公、双面打印；提倡使用环保袋、减少一次性用品使用；培养随手关灯、关水的习惯，让节约意识内化于心、外化于行，形成全员参与、共同践行的良好局面。</w:t>
      </w: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是</w:t>
      </w:r>
      <w:r>
        <w:rPr>
          <w:rFonts w:hint="eastAsia" w:ascii="仿宋" w:hAnsi="仿宋" w:eastAsia="仿宋" w:cs="仿宋"/>
          <w:b/>
          <w:bCs/>
          <w:sz w:val="32"/>
          <w:szCs w:val="32"/>
        </w:rPr>
        <w:t>规范资源管理，降低机关能耗</w:t>
      </w:r>
      <w:r>
        <w:rPr>
          <w:rFonts w:hint="eastAsia" w:ascii="仿宋" w:hAnsi="仿宋" w:eastAsia="仿宋" w:cs="仿宋"/>
          <w:b/>
          <w:bCs/>
          <w:sz w:val="32"/>
          <w:szCs w:val="32"/>
          <w:lang w:eastAsia="zh-CN"/>
        </w:rPr>
        <w:t>。</w:t>
      </w:r>
      <w:r>
        <w:rPr>
          <w:rFonts w:hint="eastAsia" w:ascii="仿宋" w:hAnsi="仿宋" w:eastAsia="仿宋" w:cs="仿宋"/>
          <w:sz w:val="32"/>
          <w:szCs w:val="32"/>
        </w:rPr>
        <w:t>我中心从制度建设入手，严格管理能源资源使用，切实降低机关运行成本，提升资源利用效率。完善管理制度：健全节约能源资源管理制度，提高能源资源利用效率，降低机关运行成本。制定并严格执行用水、用电、用纸等相关要求，明确节能目标和措施，落实管理责任。建立资源消耗台账，按月统计分析，及时发现和纠正浪费现象。文印管理：推行无纸化办公，减少纸质文件印发，严格控制文件印刷数量和复印次数。</w:t>
      </w:r>
      <w:r>
        <w:rPr>
          <w:rFonts w:hint="eastAsia" w:ascii="仿宋" w:hAnsi="仿宋" w:eastAsia="仿宋" w:cs="仿宋"/>
          <w:sz w:val="32"/>
          <w:szCs w:val="32"/>
          <w:lang w:eastAsia="zh-CN"/>
        </w:rPr>
        <w:t>必须</w:t>
      </w:r>
      <w:r>
        <w:rPr>
          <w:rFonts w:hint="eastAsia" w:ascii="仿宋" w:hAnsi="仿宋" w:eastAsia="仿宋" w:cs="仿宋"/>
          <w:sz w:val="32"/>
          <w:szCs w:val="32"/>
        </w:rPr>
        <w:t>打印的文件一律采用双面打印，单面使用过的纸张重复利用于草稿纸，大幅减少纸张消耗。</w:t>
      </w: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是</w:t>
      </w:r>
      <w:r>
        <w:rPr>
          <w:rFonts w:hint="eastAsia" w:ascii="仿宋" w:hAnsi="仿宋" w:eastAsia="仿宋" w:cs="仿宋"/>
          <w:b/>
          <w:bCs/>
          <w:sz w:val="32"/>
          <w:szCs w:val="32"/>
        </w:rPr>
        <w:t>严格经费控制，压减公务支出</w:t>
      </w:r>
      <w:r>
        <w:rPr>
          <w:rFonts w:hint="eastAsia" w:ascii="仿宋" w:hAnsi="仿宋" w:eastAsia="仿宋" w:cs="仿宋"/>
          <w:b/>
          <w:bCs/>
          <w:sz w:val="32"/>
          <w:szCs w:val="32"/>
          <w:lang w:eastAsia="zh-CN"/>
        </w:rPr>
        <w:t>。</w:t>
      </w:r>
      <w:r>
        <w:rPr>
          <w:rFonts w:hint="eastAsia" w:ascii="仿宋" w:hAnsi="仿宋" w:eastAsia="仿宋" w:cs="仿宋"/>
          <w:sz w:val="32"/>
          <w:szCs w:val="32"/>
        </w:rPr>
        <w:t>我中心坚持“先预算、后支出”的原则，加强经费审批和使用管理，严控“三公”经费和其他公务支出。认真贯彻落实中央八项规定精神和厉行节约要求，从严控制公务接待开支。严格执行公务接待审批制度，控制接待标准和陪餐人数，简化接待。通过一系列有力措施，取得了显著成效。我们坚持落实“节约型机关”，把节约理念贯穿于机关运行各环节。通过建立健全能源资源管理制度，推行绿色办公模式，引导干部职工养成简约适度、绿色低碳的生活和工作方式。</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31172"/>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31993"/>
      <w:r>
        <w:rPr>
          <w:rFonts w:hint="eastAsia" w:ascii="楷体" w:hAnsi="楷体" w:eastAsia="楷体" w:cs="楷体"/>
          <w:b/>
          <w:bCs/>
          <w:sz w:val="32"/>
          <w:szCs w:val="32"/>
          <w:lang w:eastAsia="zh-CN"/>
        </w:rPr>
        <w:t>（一）总体目标</w:t>
      </w:r>
      <w:bookmarkEnd w:id="38"/>
    </w:p>
    <w:p w14:paraId="2019EE6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坚持和加强党的全面领导，以党建引领为核心，统筹推进民生改善、环境保护与基层治理现代化。力争到2024年底，实现党建工作规范化水平、民生实事项目完成率、辖区环境风险管控率、矛盾纠纷源头化解率均达到95%以上，显著提升社区居民的获得感、幸福感、安全感，构建组织有力、服务完善、环境优美、和谐稳定的宜居社区。</w:t>
      </w:r>
    </w:p>
    <w:p w14:paraId="2E97E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楷体" w:hAnsi="楷体" w:eastAsia="楷体" w:cs="楷体"/>
          <w:b/>
          <w:bCs/>
          <w:sz w:val="32"/>
          <w:szCs w:val="32"/>
          <w:lang w:eastAsia="zh-CN"/>
        </w:rPr>
      </w:pPr>
      <w:bookmarkStart w:id="39" w:name="_Toc23628"/>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9"/>
    </w:p>
    <w:p w14:paraId="15170A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highlight w:val="none"/>
          <w:lang w:val="en-US" w:eastAsia="zh-CN"/>
        </w:rPr>
      </w:pPr>
      <w:bookmarkStart w:id="40" w:name="_Toc29770"/>
      <w:bookmarkStart w:id="41" w:name="_Toc6424"/>
      <w:r>
        <w:rPr>
          <w:rFonts w:hint="eastAsia" w:ascii="仿宋" w:hAnsi="仿宋" w:eastAsia="仿宋" w:cs="仿宋"/>
          <w:b/>
          <w:bCs/>
          <w:sz w:val="32"/>
          <w:szCs w:val="32"/>
          <w:highlight w:val="none"/>
          <w:lang w:val="en-US" w:eastAsia="zh-CN"/>
        </w:rPr>
        <w:t>一是党建工作目标，铸魂强基，锻造坚强战斗堡垒。思想政治建设深化目标。</w:t>
      </w:r>
      <w:r>
        <w:rPr>
          <w:rFonts w:hint="eastAsia" w:ascii="仿宋" w:hAnsi="仿宋" w:eastAsia="仿宋" w:cs="仿宋"/>
          <w:sz w:val="32"/>
          <w:szCs w:val="32"/>
          <w:highlight w:val="none"/>
          <w:lang w:val="en-US" w:eastAsia="zh-CN"/>
        </w:rPr>
        <w:t>确保“第一议题”制度100%落实，全年组织党委理论学习中心组集中学习不少于12次，党员年度参与各类理论学习和专题研讨覆盖率不低于95%，推动党的创新理论入脑入心。</w:t>
      </w:r>
      <w:r>
        <w:rPr>
          <w:rFonts w:hint="eastAsia" w:ascii="仿宋" w:hAnsi="仿宋" w:eastAsia="仿宋" w:cs="仿宋"/>
          <w:b/>
          <w:bCs/>
          <w:sz w:val="32"/>
          <w:szCs w:val="32"/>
          <w:highlight w:val="none"/>
          <w:lang w:val="en-US" w:eastAsia="zh-CN"/>
        </w:rPr>
        <w:t>党风廉政建设强化目标。</w:t>
      </w:r>
      <w:r>
        <w:rPr>
          <w:rFonts w:hint="eastAsia" w:ascii="仿宋" w:hAnsi="仿宋" w:eastAsia="仿宋" w:cs="仿宋"/>
          <w:sz w:val="32"/>
          <w:szCs w:val="32"/>
          <w:highlight w:val="none"/>
          <w:lang w:val="en-US" w:eastAsia="zh-CN"/>
        </w:rPr>
        <w:t>全年组织党纪学习教育及专题研讨不少于4次，党委书记及班子成员带头讲党课不少于2次，开展警示教育活动不少于2场，确保党员干部受教育率100%，持续巩固风清气正的政治生态。</w:t>
      </w:r>
      <w:r>
        <w:rPr>
          <w:rFonts w:hint="eastAsia" w:ascii="仿宋" w:hAnsi="仿宋" w:eastAsia="仿宋" w:cs="仿宋"/>
          <w:b/>
          <w:bCs/>
          <w:sz w:val="32"/>
          <w:szCs w:val="32"/>
          <w:highlight w:val="none"/>
          <w:lang w:val="en-US" w:eastAsia="zh-CN"/>
        </w:rPr>
        <w:t>组织基础巩固提升目标。</w:t>
      </w:r>
      <w:r>
        <w:rPr>
          <w:rFonts w:hint="eastAsia" w:ascii="仿宋" w:hAnsi="仿宋" w:eastAsia="仿宋" w:cs="仿宋"/>
          <w:sz w:val="32"/>
          <w:szCs w:val="32"/>
          <w:highlight w:val="none"/>
          <w:lang w:val="en-US" w:eastAsia="zh-CN"/>
        </w:rPr>
        <w:t>完成下属3个党支部标准化规范化建设全面达标验收，流动党员组织关系规范管理率达到100%，新建或升级党员活动阵地（如退休支部活动室）至少1处，党建宣传栏更新维护不少于2次，保障党组织活动有场所、有阵地。</w:t>
      </w:r>
    </w:p>
    <w:p w14:paraId="3CB6FA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二是民生服务目标，务实惠民，提升居民生活品质。基础设施改造目标。</w:t>
      </w:r>
      <w:r>
        <w:rPr>
          <w:rFonts w:hint="eastAsia" w:ascii="仿宋" w:hAnsi="仿宋" w:eastAsia="仿宋" w:cs="仿宋"/>
          <w:sz w:val="32"/>
          <w:szCs w:val="32"/>
          <w:highlight w:val="none"/>
          <w:lang w:val="en-US" w:eastAsia="zh-CN"/>
        </w:rPr>
        <w:t>完成社区老旧水管网改造维修工程，并实现100%通水验收；完成居民水表统一安装与数据对接，安装准确率达100%，有效解决水资源计量与管理难题。</w:t>
      </w:r>
      <w:r>
        <w:rPr>
          <w:rFonts w:hint="eastAsia" w:ascii="仿宋" w:hAnsi="仿宋" w:eastAsia="仿宋" w:cs="仿宋"/>
          <w:b/>
          <w:bCs/>
          <w:sz w:val="32"/>
          <w:szCs w:val="32"/>
          <w:highlight w:val="none"/>
          <w:lang w:val="en-US" w:eastAsia="zh-CN"/>
        </w:rPr>
        <w:t>安全隐患消除目标。</w:t>
      </w:r>
      <w:r>
        <w:rPr>
          <w:rFonts w:hint="eastAsia" w:ascii="仿宋" w:hAnsi="仿宋" w:eastAsia="仿宋" w:cs="仿宋"/>
          <w:sz w:val="32"/>
          <w:szCs w:val="32"/>
          <w:highlight w:val="none"/>
          <w:lang w:val="en-US" w:eastAsia="zh-CN"/>
        </w:rPr>
        <w:t>完成对鉴定为危房的第28栋、第58栋房屋的100%拆除或封闭管理，并设立规范警示标识；完成锈蚀菜市场棚的拆除与钢结构新市场重建并投入使用，彻底消除重大公共安全隐患。</w:t>
      </w:r>
      <w:r>
        <w:rPr>
          <w:rFonts w:hint="eastAsia" w:ascii="仿宋" w:hAnsi="仿宋" w:eastAsia="仿宋" w:cs="仿宋"/>
          <w:b/>
          <w:bCs/>
          <w:sz w:val="32"/>
          <w:szCs w:val="32"/>
          <w:highlight w:val="none"/>
          <w:lang w:val="en-US" w:eastAsia="zh-CN"/>
        </w:rPr>
        <w:t>居住环境优化目标。</w:t>
      </w:r>
      <w:r>
        <w:rPr>
          <w:rFonts w:hint="eastAsia" w:ascii="仿宋" w:hAnsi="仿宋" w:eastAsia="仿宋" w:cs="仿宋"/>
          <w:sz w:val="32"/>
          <w:szCs w:val="32"/>
          <w:highlight w:val="none"/>
          <w:lang w:val="en-US" w:eastAsia="zh-CN"/>
        </w:rPr>
        <w:t>在危房拆除区域，完成地面平整、护坡加固及必要配套设施（如围栏、休闲区域）建设，项目验收合格率达100%，切实增加社区公共活动与停车空间。</w:t>
      </w:r>
    </w:p>
    <w:p w14:paraId="72FDA28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三是环境保护目标，防治结合，守护辖区生态安全。环境风险管控目标。</w:t>
      </w:r>
      <w:r>
        <w:rPr>
          <w:rFonts w:hint="eastAsia" w:ascii="仿宋" w:hAnsi="仿宋" w:eastAsia="仿宋" w:cs="仿宋"/>
          <w:sz w:val="32"/>
          <w:szCs w:val="32"/>
          <w:highlight w:val="none"/>
          <w:lang w:val="en-US" w:eastAsia="zh-CN"/>
        </w:rPr>
        <w:t>积极配合上级部门完成尾矿库降级申请的技术准备工作，进度符合计划要求；汛前完成尾矿库沟渠清淤工作，确保排水系统畅通度100%，保障汛期安全。</w:t>
      </w:r>
      <w:r>
        <w:rPr>
          <w:rFonts w:hint="eastAsia" w:ascii="仿宋" w:hAnsi="仿宋" w:eastAsia="仿宋" w:cs="仿宋"/>
          <w:b/>
          <w:bCs/>
          <w:sz w:val="32"/>
          <w:szCs w:val="32"/>
          <w:highlight w:val="none"/>
          <w:lang w:val="en-US" w:eastAsia="zh-CN"/>
        </w:rPr>
        <w:t>环境面貌整治目标。</w:t>
      </w:r>
      <w:r>
        <w:rPr>
          <w:rFonts w:hint="eastAsia" w:ascii="仿宋" w:hAnsi="仿宋" w:eastAsia="仿宋" w:cs="仿宋"/>
          <w:sz w:val="32"/>
          <w:szCs w:val="32"/>
          <w:highlight w:val="none"/>
          <w:lang w:val="en-US" w:eastAsia="zh-CN"/>
        </w:rPr>
        <w:t>全面清除尾矿库滩面及道路区域的杂草杂树与违规种植农作物，完成率100%；增设或更新环境保护宣传标语、警示牌不少于10处，居民环保宣传教育覆盖率显著提升。</w:t>
      </w:r>
      <w:r>
        <w:rPr>
          <w:rFonts w:hint="eastAsia" w:ascii="仿宋" w:hAnsi="仿宋" w:eastAsia="仿宋" w:cs="仿宋"/>
          <w:b/>
          <w:bCs/>
          <w:sz w:val="32"/>
          <w:szCs w:val="32"/>
          <w:highlight w:val="none"/>
          <w:lang w:val="en-US" w:eastAsia="zh-CN"/>
        </w:rPr>
        <w:t>长效隔离防护目标。</w:t>
      </w:r>
      <w:r>
        <w:rPr>
          <w:rFonts w:hint="eastAsia" w:ascii="仿宋" w:hAnsi="仿宋" w:eastAsia="仿宋" w:cs="仿宋"/>
          <w:sz w:val="32"/>
          <w:szCs w:val="32"/>
          <w:highlight w:val="none"/>
          <w:lang w:val="en-US" w:eastAsia="zh-CN"/>
        </w:rPr>
        <w:t>成功申请并落实专项资金，完成尾矿库滩面关键区域隔离护栏安装不少于1700米，实现重点管控区域物理隔离全覆盖，非法种植行为发生率降至零。</w:t>
      </w:r>
    </w:p>
    <w:p w14:paraId="65E545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b/>
          <w:bCs/>
          <w:sz w:val="32"/>
          <w:szCs w:val="32"/>
          <w:highlight w:val="none"/>
          <w:lang w:val="en-US" w:eastAsia="zh-CN"/>
        </w:rPr>
        <w:t>四是基层治理目标，协同共治，筑牢安全稳定防线。矛盾化解维稳目标。</w:t>
      </w:r>
      <w:r>
        <w:rPr>
          <w:rFonts w:hint="eastAsia" w:ascii="仿宋" w:hAnsi="仿宋" w:eastAsia="仿宋" w:cs="仿宋"/>
          <w:sz w:val="32"/>
          <w:szCs w:val="32"/>
          <w:highlight w:val="none"/>
          <w:lang w:val="en-US" w:eastAsia="zh-CN"/>
        </w:rPr>
        <w:t>建立重点信访人员（如原铜矿职工）动态管理台账，定期排查调处矛盾纠纷，确保重点人员稳控率达到100%，力争矛盾纠纷源头调解成功率达到90%以上。</w:t>
      </w:r>
      <w:r>
        <w:rPr>
          <w:rFonts w:hint="eastAsia" w:ascii="仿宋" w:hAnsi="仿宋" w:eastAsia="仿宋" w:cs="仿宋"/>
          <w:b/>
          <w:bCs/>
          <w:sz w:val="32"/>
          <w:szCs w:val="32"/>
          <w:highlight w:val="none"/>
          <w:lang w:val="en-US" w:eastAsia="zh-CN"/>
        </w:rPr>
        <w:t>安全隐患排查目标。</w:t>
      </w:r>
      <w:r>
        <w:rPr>
          <w:rFonts w:hint="eastAsia" w:ascii="仿宋" w:hAnsi="仿宋" w:eastAsia="仿宋" w:cs="仿宋"/>
          <w:sz w:val="32"/>
          <w:szCs w:val="32"/>
          <w:highlight w:val="none"/>
          <w:lang w:val="en-US" w:eastAsia="zh-CN"/>
        </w:rPr>
        <w:t>对辖区企业、闲置房屋开展常态化安全隐患排查，每季度至少1次全覆盖检查；对疑似危房完成第三方专业安全鉴定，鉴定完成率100%，并对确认的D级危房立即实施封闭管理。</w:t>
      </w:r>
      <w:r>
        <w:rPr>
          <w:rFonts w:hint="eastAsia" w:ascii="仿宋" w:hAnsi="仿宋" w:eastAsia="仿宋" w:cs="仿宋"/>
          <w:b/>
          <w:bCs/>
          <w:sz w:val="32"/>
          <w:szCs w:val="32"/>
          <w:highlight w:val="none"/>
          <w:lang w:val="en-US" w:eastAsia="zh-CN"/>
        </w:rPr>
        <w:t>公共安全设施目标。</w:t>
      </w:r>
      <w:r>
        <w:rPr>
          <w:rFonts w:hint="eastAsia" w:ascii="仿宋" w:hAnsi="仿宋" w:eastAsia="仿宋" w:cs="仿宋"/>
          <w:sz w:val="32"/>
          <w:szCs w:val="32"/>
          <w:highlight w:val="none"/>
          <w:lang w:val="en-US" w:eastAsia="zh-CN"/>
        </w:rPr>
        <w:t>针对社区入口与S219线交叉路口等事故多发点，完成交通安全警示标志牌的新增或优化设置不少于4块，确保设置规范、醒目，助力降低交通安全事故风险。</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8623"/>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10865"/>
      <w:bookmarkStart w:id="44" w:name="_Toc8508"/>
      <w:bookmarkStart w:id="45" w:name="_Toc3302"/>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00765E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25462"/>
      <w:bookmarkStart w:id="47" w:name="_Toc10449"/>
      <w:bookmarkStart w:id="48" w:name="_Toc7412"/>
      <w:r>
        <w:rPr>
          <w:rFonts w:hint="eastAsia" w:ascii="楷体" w:hAnsi="楷体" w:eastAsia="楷体" w:cs="楷体"/>
          <w:b/>
          <w:bCs/>
          <w:sz w:val="32"/>
          <w:szCs w:val="32"/>
          <w:highlight w:val="none"/>
          <w:lang w:val="en-US" w:eastAsia="zh-CN"/>
        </w:rPr>
        <w:t>（二）评价分析</w:t>
      </w:r>
      <w:bookmarkEnd w:id="46"/>
      <w:bookmarkEnd w:id="47"/>
      <w:bookmarkEnd w:id="48"/>
    </w:p>
    <w:p w14:paraId="464AA21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1.总分100分，得分84分，扣分16分，详见后述绩效评价得分扣分表</w:t>
      </w:r>
    </w:p>
    <w:p w14:paraId="08B2F50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02DC88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2A9A9DB9">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评价分析</w:t>
      </w:r>
    </w:p>
    <w:p w14:paraId="00F7212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1.总分100分，得分84分，扣分16分，详见后述绩效评价得分扣分表。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2076"/>
        <w:gridCol w:w="841"/>
        <w:gridCol w:w="696"/>
        <w:gridCol w:w="696"/>
        <w:gridCol w:w="696"/>
        <w:gridCol w:w="3862"/>
        <w:gridCol w:w="3585"/>
      </w:tblGrid>
      <w:tr w14:paraId="6235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D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4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8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B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C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3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扣分说明</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2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7D1C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A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65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D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5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E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515">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59F1">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8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40EF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0EF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22F93">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E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C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1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29C0">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69F0">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01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140E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56F2">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E1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2F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5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F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CA34">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9EE8">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19B0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765A">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FB88">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1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D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3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高志平、董立美、范静3人的编制在车江铜矿，工资在岳屏镇发放。</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B2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1636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5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2E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3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9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90EC">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9EA3">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FE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0B83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0108">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D4AE">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92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0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7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7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4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1.存在基本支出挤占项目支出的情况。</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D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76B9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D3E3">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0787">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B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E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F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A103">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F958">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F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3061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AC89">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7941">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C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E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3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3B29">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8E1F">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2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7DF8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D89">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92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20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6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B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0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65DB">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B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①部门（单位）内控制度、内部财务管理制度和会计核算制度是否健全；②相关管理制度是否合法、合规、完整、有效；</w:t>
            </w:r>
          </w:p>
        </w:tc>
      </w:tr>
      <w:tr w14:paraId="6FD0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B7F7">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E853">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8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7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7F8C">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26F3">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88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①相关管理制度是否得到有效执行；②是否存在整改情况；</w:t>
            </w:r>
          </w:p>
        </w:tc>
      </w:tr>
      <w:tr w14:paraId="6BAD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68FD">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2389">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9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6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5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2AA3">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2161">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43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①无涉密情况的预算单位按规定及时、准确、完整地公开预决算和绩效管理信息；②基础数据信息和会计信息资料真实、准确、完整；</w:t>
            </w:r>
          </w:p>
        </w:tc>
      </w:tr>
      <w:tr w14:paraId="7F76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332D">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FACC">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8A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0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3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C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是工资后附国库支付单，无回单，无人力资源审批。二是后附计提五险一金表无计提供依据及对应明细，人力资源审批签字。三是住房公积金的计提依据，无人力资源审核盖章及交通补贴津贴缺乏人力资源或组织部门的审核盖章。由本单位领导签字，无人力资源或组织部审核。四是月绩效由本单位领导签字，无人力资源或组织部签字审核盖章。五是发放退休人员补贴由本单位领导签字，无人力资源审核，无回单。六是花名册未反映人员的动态管理过程。六是2024年10月3号凭证此笔款项通过区车江铜矿社区服务中心工资代发过渡账户支付退休干部节日慰问7200元。七是2024年11月16号凭证付工会体检费用等，每人体检费823元。社区居委会临聘人员全春林为非本单位的非编制人员，但为其支付体检费。八是跨期支付。2024年11月16号凭证预付2025的工会经费32538元及2025年退休老干部节日慰问及体检费用9669元。九是未标明网络使用费日期。2024年3月6号凭证付两年服务费1800元。未附合同及验收单，发票上无服务费截止日期2024年5月10号凭证付网络使用费2800元。十是小金额业务未签合同。2024年6月2号凭证付网络维修费600元。有付款给个人的说明，发票已开，未签合同及验收。2024年7月3号凭证主题党日活动支出3766元。有方案，有发票，未见合同。衡阳红雁文化旅游发展公司。2024年8月1号凭证办公室空调维修费450元，支付个人周建华，代开发票，无合同，无验收。2024年8月10号凭证水管维修1460元有效果图，无合同，无验收单。2024年10月1号凭证28栋房屋检测费2400.01元。有项目选取确认书（湖南省网上中介服务超市），无合同，无验收单。十一是2024年11月22号凭证拨给社区居委会，付社区垫付电费、付社区消防通道改造费用、付社区路灯改造费用、付社区食堂餐费，有往来收据，国库支付单，申请报告，三重一大会议纪要，无效果汇报。十二是支付食堂餐费于陈平平或全春林个人，未支付社区居委会或劳务公司。解释原因为食堂没有管理制度，车铜社区居委会跟劳务公司签了合同。</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3A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751A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65C3">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5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8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5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C9B5">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283A">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9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②资产配置是否合理，是否有闲置现象；③资产处置是否规范；④资产账务管理是否合规，是否账实相符；⑤是否完成国有“三资”盘活工作，资产是否有偿使用或处置收入及时足额上缴；⑥相关资产购置是否履行政府采购手续，外租资产是否走合规程序；⑦资产是否定期进行盘点并有记录。</w:t>
            </w:r>
          </w:p>
        </w:tc>
      </w:tr>
      <w:tr w14:paraId="3A20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A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94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3A5C273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党建工作计划完成率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7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B929">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EB78">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42C985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“第一议题”制度落实率是否达100%；中心组集中学习是否达到不少于12次的目标。2. 党纪学习教育、专题研讨是否完成不少于4次；书记及班子成员讲党课是否不少于2次；警示教育活动是否不少于2场。3. 下属党支部标准化规范化建设是否100%达标验收；流动党员规范管理率是否达100%；党员活动阵地（如退休支部活动室）是否新建或升级至少1处。</w:t>
            </w:r>
          </w:p>
        </w:tc>
      </w:tr>
      <w:tr w14:paraId="2BFE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E39D">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E06A">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54DB2E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民生实事项目完成率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D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62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A116">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08C0282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社区老旧水管网改造维修工程是否100%完成并通水验收；水表是否完成统一安装，安装准确率是否达100%。2. 鉴定为危房的第28栋、第58栋是否100%完成拆除或封闭管理，并设立规范警示标识；锈蚀菜市场棚是否拆除并完成钢结构新市场重建投入使用。3. 危房拆除区域的地面平整、护坡加固及配套设施建设是否100%验收合格。</w:t>
            </w:r>
          </w:p>
        </w:tc>
      </w:tr>
      <w:tr w14:paraId="2179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D7E1">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9408">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65A42C1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环境治理任务完成率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6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6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5647">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C8B3">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D1A25D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是否按要求配合完成尾矿库降级申请的技术准备；汛前尾矿库沟渠清淤是否完成，排水系统畅通度是否达100%。2. 尾矿库滩面及道路区域的杂草杂树、违规农作物是否100%清除；环境保护宣传标语、警示牌是否增设或更新不少于10处。3. 是否成功申请资金并完成尾矿库滩面关键区域隔离护栏安装不少于1700米。</w:t>
            </w:r>
          </w:p>
        </w:tc>
      </w:tr>
      <w:tr w14:paraId="7620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AE9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2CDD">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5F0A2A7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基层治理工作完成率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9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1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534A">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E094">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EA48BF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是否建立重点信访人员动态管理台账；重点人员稳控率是否达100%；矛盾纠纷源头调解成功率是否达90%以上。2. 对辖区企业、闲置房屋是否做到每季度至少1次全覆盖安全隐患排查；疑似危房第三方安全鉴定完成率是否达100%；对D级危房是否100%立即封闭管理。3. 社区入口等事故多发点是否新增或优化设置交通安全警示标志牌不少于4块，且设置规范、醒目。</w:t>
            </w:r>
          </w:p>
        </w:tc>
      </w:tr>
      <w:tr w14:paraId="7B02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D6A4">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E0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FDBF78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重大安全隐患消除率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C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A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48B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1764">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707B903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对已识别的重大安全隐患（第28栋、第58栋危房，锈蚀菜市场棚，尾矿库汛期安全）的处置措施是否100%按计划完成并验收闭环。</w:t>
            </w:r>
          </w:p>
        </w:tc>
      </w:tr>
      <w:tr w14:paraId="1E20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FFEF">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2270">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F2877C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 关键民生工程竣工率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F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0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BDC5">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AA1E">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767FA30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水管网改造、新菜市场建设等关键民生工程是否按既定时间节点100%竣工并投入使用。</w:t>
            </w:r>
          </w:p>
        </w:tc>
      </w:tr>
      <w:tr w14:paraId="087F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3B11">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2134">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1E5352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长效管控机制建设率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4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3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0923">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D52A">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0F98A10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针对尾矿库非法种植、危房动态监测、重点人员维稳等难点问题，是否100%建立了相应的物理隔离、定期排查、动态台账等长效管控机制。</w:t>
            </w:r>
          </w:p>
        </w:tc>
      </w:tr>
      <w:tr w14:paraId="0A53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3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F9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5E61610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组织效能提升度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E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5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1B7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910E">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7E3C771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通过党员学习教育与支部规范化建设，党员的理论素养、纪律意识是否显著增强；党组织的凝聚力、战斗力在具体工作中是否有切实体现（如攻坚克难时的表现）。</w:t>
            </w:r>
          </w:p>
        </w:tc>
      </w:tr>
      <w:tr w14:paraId="42F5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C163">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B53B">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3C20601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 居民生活改善度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A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9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5276">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0717">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67C4BA9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居民用水便利性与安全性是否得到验证性反馈（如投诉率下降）；社区公共空间（危房改造后区域、新菜市场）的使用率与居民满意度是否提高；整体居住环境品质是否有直观提升。</w:t>
            </w:r>
          </w:p>
        </w:tc>
      </w:tr>
      <w:tr w14:paraId="4315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669C">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D2AD">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6A19AE0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 环境与安全风险降低度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A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450B">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C34">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5F62A89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尾矿库区域的环境面貌是否明显改善，汛期安全风险是否可控；滩面非法种植现象是否基本杜绝；社区内危房伤人、交通事故等公共安全风险是否显著降低（可对比往年数据）。</w:t>
            </w:r>
          </w:p>
        </w:tc>
      </w:tr>
      <w:tr w14:paraId="2EE8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2A13">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DC4A">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64AC67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 社区和谐稳定度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6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47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E7C6">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608A6A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重点信访矛盾是否得到有效稳控或化解，相关信访量是否下降；居民对社区安全感和治理秩序的满意度是否提升。</w:t>
            </w:r>
          </w:p>
        </w:tc>
      </w:tr>
      <w:tr w14:paraId="5055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A87E">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483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890F41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党员满意度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6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7441">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8246">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6EDA5F0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通过匿名问卷调查或座谈，了解党员对学习教育形式内容、活动阵地保障、组织关怀等方面的满意度，目标不低于95%。</w:t>
            </w:r>
          </w:p>
        </w:tc>
      </w:tr>
      <w:tr w14:paraId="299D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D921">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FC92">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C39099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社区居民满意度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C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2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D68E">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192A">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52DEFFD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通过随机抽样调查，了解居民对水管改造、危房处理、菜市场重建、环境整治、安全治理等具体项目的满意度，目标不低于90%。</w:t>
            </w:r>
          </w:p>
        </w:tc>
      </w:tr>
      <w:tr w14:paraId="59B9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B68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2460">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2CB9A04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 相关管理单位评价</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D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0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729A">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AF82">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0E924B9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通过征求意见，获取上级党委、住建、环保、信访等部门对社区在党建、项目配合、环境监管、信访维稳等方面工作执行与效果的正面评</w:t>
            </w:r>
          </w:p>
        </w:tc>
      </w:tr>
      <w:tr w14:paraId="6FBE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F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C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A392">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CF49">
            <w:pPr>
              <w:rPr>
                <w:rFonts w:hint="eastAsia" w:ascii="宋体" w:hAnsi="宋体" w:eastAsia="宋体" w:cs="宋体"/>
                <w:i w:val="0"/>
                <w:iCs w:val="0"/>
                <w:color w:val="000000"/>
                <w:sz w:val="24"/>
                <w:szCs w:val="24"/>
                <w:u w:val="none"/>
              </w:rPr>
            </w:pPr>
          </w:p>
        </w:tc>
      </w:tr>
    </w:tbl>
    <w:p w14:paraId="5552D1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49" w:name="_Toc31438"/>
      <w:bookmarkStart w:id="50" w:name="_Toc19793"/>
      <w:bookmarkStart w:id="51" w:name="_Toc26985"/>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4D50F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84</w:t>
      </w:r>
      <w:r>
        <w:rPr>
          <w:rFonts w:hint="eastAsia" w:ascii="仿宋" w:hAnsi="仿宋" w:eastAsia="仿宋" w:cs="仿宋"/>
          <w:b w:val="0"/>
          <w:bCs w:val="0"/>
          <w:i w:val="0"/>
          <w:iCs w:val="0"/>
          <w:caps w:val="0"/>
          <w:color w:val="000000"/>
          <w:spacing w:val="0"/>
          <w:sz w:val="32"/>
          <w:szCs w:val="32"/>
          <w:u w:val="none"/>
          <w:shd w:val="clear" w:fill="FFFFFF"/>
          <w:lang w:val="en-US" w:eastAsia="zh-CN"/>
        </w:rPr>
        <w:t>分，等级为“良好”。2024年区车江铜矿服务中心</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33.56%</w:t>
      </w:r>
      <w:r>
        <w:rPr>
          <w:rFonts w:hint="eastAsia" w:ascii="仿宋" w:hAnsi="仿宋" w:eastAsia="仿宋" w:cs="仿宋"/>
          <w:b/>
          <w:bCs/>
          <w:i w:val="0"/>
          <w:iCs w:val="0"/>
          <w:caps w:val="0"/>
          <w:color w:val="000000"/>
          <w:spacing w:val="0"/>
          <w:sz w:val="32"/>
          <w:szCs w:val="32"/>
          <w:u w:val="none"/>
          <w:shd w:val="clear" w:fill="FFFFFF"/>
          <w:lang w:val="en-US" w:eastAsia="zh-CN"/>
        </w:rPr>
        <w:t>，预算整体执行率为99.98</w:t>
      </w:r>
      <w:r>
        <w:rPr>
          <w:rFonts w:hint="eastAsia" w:ascii="仿宋" w:hAnsi="仿宋" w:eastAsia="仿宋" w:cs="仿宋"/>
          <w:b/>
          <w:bCs/>
          <w:sz w:val="32"/>
          <w:szCs w:val="32"/>
          <w:highlight w:val="none"/>
          <w:lang w:val="en-US" w:eastAsia="zh-CN"/>
        </w:rPr>
        <w:t>%</w:t>
      </w:r>
      <w:r>
        <w:rPr>
          <w:rFonts w:hint="eastAsia" w:ascii="仿宋" w:hAnsi="仿宋" w:eastAsia="仿宋" w:cs="仿宋"/>
          <w:b/>
          <w:bCs/>
          <w:i w:val="0"/>
          <w:iCs w:val="0"/>
          <w:caps w:val="0"/>
          <w:color w:val="000000"/>
          <w:spacing w:val="0"/>
          <w:sz w:val="32"/>
          <w:szCs w:val="32"/>
          <w:u w:val="none"/>
          <w:shd w:val="clear" w:fill="FFFFFF"/>
          <w:lang w:val="en-US" w:eastAsia="zh-CN"/>
        </w:rPr>
        <w:t>，人员控制率为</w:t>
      </w:r>
      <w:r>
        <w:rPr>
          <w:rFonts w:hint="eastAsia" w:ascii="仿宋" w:hAnsi="仿宋" w:eastAsia="仿宋" w:cs="仿宋"/>
          <w:b/>
          <w:bCs/>
          <w:sz w:val="32"/>
          <w:szCs w:val="32"/>
          <w:highlight w:val="none"/>
          <w:lang w:val="en-US" w:eastAsia="zh-CN"/>
        </w:rPr>
        <w:t>85.71</w:t>
      </w:r>
      <w:r>
        <w:rPr>
          <w:rFonts w:hint="eastAsia" w:ascii="仿宋" w:hAnsi="仿宋" w:eastAsia="仿宋" w:cs="仿宋"/>
          <w:b/>
          <w:bCs/>
          <w:i w:val="0"/>
          <w:iCs w:val="0"/>
          <w:caps w:val="0"/>
          <w:color w:val="000000"/>
          <w:spacing w:val="0"/>
          <w:sz w:val="32"/>
          <w:szCs w:val="32"/>
          <w:u w:val="none"/>
          <w:shd w:val="clear" w:fill="FFFFFF"/>
          <w:lang w:val="en-US" w:eastAsia="zh-CN"/>
        </w:rPr>
        <w:t>%。</w:t>
      </w:r>
      <w:r>
        <w:rPr>
          <w:rFonts w:hint="eastAsia" w:ascii="仿宋" w:hAnsi="仿宋" w:eastAsia="仿宋" w:cs="仿宋"/>
          <w:b w:val="0"/>
          <w:bCs w:val="0"/>
          <w:i w:val="0"/>
          <w:iCs w:val="0"/>
          <w:caps w:val="0"/>
          <w:color w:val="000000"/>
          <w:spacing w:val="0"/>
          <w:sz w:val="32"/>
          <w:szCs w:val="32"/>
          <w:u w:val="none"/>
          <w:shd w:val="clear" w:fill="FFFFFF"/>
          <w:lang w:val="en-US" w:eastAsia="zh-CN"/>
        </w:rPr>
        <w:t>2024年区车江铜矿服务中心</w:t>
      </w:r>
      <w:r>
        <w:rPr>
          <w:rFonts w:hint="eastAsia" w:ascii="仿宋" w:hAnsi="仿宋" w:eastAsia="仿宋" w:cs="仿宋"/>
          <w:b w:val="0"/>
          <w:bCs w:val="0"/>
          <w:sz w:val="32"/>
          <w:szCs w:val="32"/>
          <w:lang w:eastAsia="zh-CN"/>
        </w:rPr>
        <w:t>以党建铸魂，筑牢了信仰坚定、纪律严明的战斗堡垒。以民生为本，办成了惠及百姓、提升品质的暖心实事。以环保为要，守护了绿水青山、安全可控的生态环境。以治理为基，构建了矛盾化解、安全稳定的和谐家园</w:t>
      </w:r>
      <w:r>
        <w:rPr>
          <w:rFonts w:hint="eastAsia" w:ascii="仿宋" w:hAnsi="仿宋" w:eastAsia="仿宋" w:cs="仿宋"/>
          <w:b/>
          <w:bCs/>
          <w:sz w:val="32"/>
          <w:szCs w:val="32"/>
          <w:lang w:eastAsia="zh-CN"/>
        </w:rPr>
        <w:t>。</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方面、及人员经费管理方面存在不足，在预算精准化、程序规范化、管理精细化和效益长效化方面仍有提升空间。建议补短板、强弱项，推动区车江铜矿服务中心工作绩效管理水平再上新台阶。</w:t>
      </w:r>
    </w:p>
    <w:p w14:paraId="5F9D58C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2" w:name="_Toc1084"/>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2728"/>
      <w:r>
        <w:rPr>
          <w:rFonts w:hint="eastAsia" w:ascii="楷体" w:hAnsi="楷体" w:eastAsia="楷体" w:cs="楷体"/>
          <w:b/>
          <w:bCs/>
          <w:sz w:val="32"/>
          <w:szCs w:val="32"/>
          <w:lang w:val="en-US" w:eastAsia="zh-CN"/>
        </w:rPr>
        <w:t>（一）预算配置与执行方面存在的问题及建议</w:t>
      </w:r>
      <w:bookmarkEnd w:id="53"/>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5CF6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如果确实因政策性因素等导致基本支出出现巨大缺口，应通过正式渠道向财政主管部门申请调整预算或追加经费。</w:t>
      </w:r>
    </w:p>
    <w:p w14:paraId="7F3E6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2.2024年10月3号凭证使用“工资代发过渡账户”支付慰问金，即区车江铜矿社区服务中心工资代发过渡账户支付退休干部节日慰问7200元。</w:t>
      </w:r>
    </w:p>
    <w:p w14:paraId="051C2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上述违反了行政事业单位关于工资津贴补贴应单独、规范核算的要求。这种做法</w:t>
      </w:r>
      <w:r>
        <w:rPr>
          <w:rFonts w:hint="eastAsia" w:ascii="仿宋" w:hAnsi="仿宋" w:eastAsia="仿宋" w:cs="仿宋"/>
          <w:b/>
          <w:bCs/>
          <w:sz w:val="32"/>
          <w:szCs w:val="32"/>
          <w:lang w:val="en-US" w:eastAsia="zh-CN"/>
        </w:rPr>
        <w:t>混淆了不同性质的支出，</w:t>
      </w:r>
      <w:r>
        <w:rPr>
          <w:rFonts w:hint="eastAsia" w:ascii="仿宋" w:hAnsi="仿宋" w:eastAsia="仿宋" w:cs="仿宋"/>
          <w:b w:val="0"/>
          <w:bCs w:val="0"/>
          <w:sz w:val="32"/>
          <w:szCs w:val="32"/>
          <w:lang w:val="en-US" w:eastAsia="zh-CN"/>
        </w:rPr>
        <w:t>可能导致会计信息失真。使用了“工资代发过渡账户”发放非工资类款项。此类代发户有严格用途限制，按规定只能用于发放给本单位干部职工个人的工资，或特定的民生补贴，严禁用于向单位、商家支付款项或发放其他性质的资金。通过此账户发慰问金属于窜用账户。通过</w:t>
      </w:r>
      <w:r>
        <w:rPr>
          <w:rFonts w:hint="eastAsia" w:ascii="仿宋" w:hAnsi="仿宋" w:eastAsia="仿宋" w:cs="仿宋"/>
          <w:b/>
          <w:bCs/>
          <w:sz w:val="32"/>
          <w:szCs w:val="32"/>
          <w:lang w:val="en-US" w:eastAsia="zh-CN"/>
        </w:rPr>
        <w:t>不恰当的账户</w:t>
      </w:r>
      <w:r>
        <w:rPr>
          <w:rFonts w:hint="eastAsia" w:ascii="仿宋" w:hAnsi="仿宋" w:eastAsia="仿宋" w:cs="仿宋"/>
          <w:b w:val="0"/>
          <w:bCs w:val="0"/>
          <w:sz w:val="32"/>
          <w:szCs w:val="32"/>
          <w:lang w:val="en-US" w:eastAsia="zh-CN"/>
        </w:rPr>
        <w:t>支付，易被认定为变相违规发放。通过工资账户支付，无法体现其合规的资金来源，</w:t>
      </w:r>
      <w:r>
        <w:rPr>
          <w:rFonts w:hint="eastAsia" w:ascii="仿宋" w:hAnsi="仿宋" w:eastAsia="仿宋" w:cs="仿宋"/>
          <w:b/>
          <w:bCs/>
          <w:sz w:val="32"/>
          <w:szCs w:val="32"/>
          <w:lang w:val="en-US" w:eastAsia="zh-CN"/>
        </w:rPr>
        <w:t>存在挪用其他资金或设置账外账的风险。</w:t>
      </w:r>
    </w:p>
    <w:p w14:paraId="076D4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建议：一是追溯并定性资金性质。</w:t>
      </w:r>
      <w:r>
        <w:rPr>
          <w:rFonts w:hint="eastAsia" w:ascii="仿宋" w:hAnsi="仿宋" w:eastAsia="仿宋" w:cs="仿宋"/>
          <w:b w:val="0"/>
          <w:bCs w:val="0"/>
          <w:sz w:val="32"/>
          <w:szCs w:val="32"/>
          <w:lang w:val="en-US" w:eastAsia="zh-CN"/>
        </w:rPr>
        <w:t>首先核实这7200元在预算中最初属于哪类资金。如果是财政拨款的工作经费，则属于挪用；如果本身就是单位计提的福利费或离退休经费，则问题主要集中在支付渠道错误。</w:t>
      </w:r>
      <w:r>
        <w:rPr>
          <w:rFonts w:hint="eastAsia" w:ascii="仿宋" w:hAnsi="仿宋" w:eastAsia="仿宋" w:cs="仿宋"/>
          <w:b/>
          <w:bCs/>
          <w:sz w:val="32"/>
          <w:szCs w:val="32"/>
          <w:lang w:val="en-US" w:eastAsia="zh-CN"/>
        </w:rPr>
        <w:t>二是进行账务调整。如果资金来源错误，</w:t>
      </w:r>
      <w:r>
        <w:rPr>
          <w:rFonts w:hint="eastAsia" w:ascii="仿宋" w:hAnsi="仿宋" w:eastAsia="仿宋" w:cs="仿宋"/>
          <w:b w:val="0"/>
          <w:bCs w:val="0"/>
          <w:sz w:val="32"/>
          <w:szCs w:val="32"/>
          <w:lang w:val="en-US" w:eastAsia="zh-CN"/>
        </w:rPr>
        <w:t>需将这笔支出从财政资金中冲回，并按照本单位《离退休干部管理办法》等规定，从正确的经费来源（如离退休人员活动费、退休公务费等）中重新列支。</w:t>
      </w:r>
      <w:r>
        <w:rPr>
          <w:rFonts w:hint="eastAsia" w:ascii="仿宋" w:hAnsi="仿宋" w:eastAsia="仿宋" w:cs="仿宋"/>
          <w:b/>
          <w:bCs/>
          <w:sz w:val="32"/>
          <w:szCs w:val="32"/>
          <w:lang w:val="en-US" w:eastAsia="zh-CN"/>
        </w:rPr>
        <w:t>如果仅支付渠道错误，</w:t>
      </w:r>
      <w:r>
        <w:rPr>
          <w:rFonts w:hint="eastAsia" w:ascii="仿宋" w:hAnsi="仿宋" w:eastAsia="仿宋" w:cs="仿宋"/>
          <w:b w:val="0"/>
          <w:bCs w:val="0"/>
          <w:sz w:val="32"/>
          <w:szCs w:val="32"/>
          <w:lang w:val="en-US" w:eastAsia="zh-CN"/>
        </w:rPr>
        <w:t>在账务上需更正支付路径的说明，确保未来同类支出不再使用“工资代发户”。</w:t>
      </w:r>
      <w:r>
        <w:rPr>
          <w:rFonts w:hint="eastAsia" w:ascii="仿宋" w:hAnsi="仿宋" w:eastAsia="仿宋" w:cs="仿宋"/>
          <w:b/>
          <w:bCs/>
          <w:sz w:val="32"/>
          <w:szCs w:val="32"/>
          <w:lang w:val="en-US" w:eastAsia="zh-CN"/>
        </w:rPr>
        <w:t>三是规范未来操作流程。经费分离，</w:t>
      </w:r>
      <w:r>
        <w:rPr>
          <w:rFonts w:hint="eastAsia" w:ascii="仿宋" w:hAnsi="仿宋" w:eastAsia="仿宋" w:cs="仿宋"/>
          <w:b w:val="0"/>
          <w:bCs w:val="0"/>
          <w:sz w:val="32"/>
          <w:szCs w:val="32"/>
          <w:lang w:val="en-US" w:eastAsia="zh-CN"/>
        </w:rPr>
        <w:t>严格区分在职职工福利与离退休干部慰问的经费来源，分别预算、分别列支。</w:t>
      </w:r>
      <w:r>
        <w:rPr>
          <w:rFonts w:hint="eastAsia" w:ascii="仿宋" w:hAnsi="仿宋" w:eastAsia="仿宋" w:cs="仿宋"/>
          <w:b/>
          <w:bCs/>
          <w:sz w:val="32"/>
          <w:szCs w:val="32"/>
          <w:lang w:val="en-US" w:eastAsia="zh-CN"/>
        </w:rPr>
        <w:t>渠道合规，</w:t>
      </w:r>
      <w:r>
        <w:rPr>
          <w:rFonts w:hint="eastAsia" w:ascii="仿宋" w:hAnsi="仿宋" w:eastAsia="仿宋" w:cs="仿宋"/>
          <w:b w:val="0"/>
          <w:bCs w:val="0"/>
          <w:sz w:val="32"/>
          <w:szCs w:val="32"/>
          <w:lang w:val="en-US" w:eastAsia="zh-CN"/>
        </w:rPr>
        <w:t>支付离退休干部慰问金，应通过对公转账至其个人银行账户，绝对避免使用“工资代发户” 。</w:t>
      </w:r>
      <w:r>
        <w:rPr>
          <w:rFonts w:hint="eastAsia" w:ascii="仿宋" w:hAnsi="仿宋" w:eastAsia="仿宋" w:cs="仿宋"/>
          <w:b/>
          <w:bCs/>
          <w:sz w:val="32"/>
          <w:szCs w:val="32"/>
          <w:lang w:val="en-US" w:eastAsia="zh-CN"/>
        </w:rPr>
        <w:t>依据明确，</w:t>
      </w:r>
      <w:r>
        <w:rPr>
          <w:rFonts w:hint="eastAsia" w:ascii="仿宋" w:hAnsi="仿宋" w:eastAsia="仿宋" w:cs="仿宋"/>
          <w:b w:val="0"/>
          <w:bCs w:val="0"/>
          <w:sz w:val="32"/>
          <w:szCs w:val="32"/>
          <w:lang w:val="en-US" w:eastAsia="zh-CN"/>
        </w:rPr>
        <w:t>建议参照类似单位，制定或完善本单位的《离退休人员经费使用管理办法》，明确慰问对象、标准、经费来源和审批支付流程。</w:t>
      </w:r>
    </w:p>
    <w:p w14:paraId="787C0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3.2024年11月16号凭证付工会体检费用等，每人体检费823元。社区居委会临聘人员全春林为社区居委会临聘人员，非本单位的非编制人员，但为其支付体检费。</w:t>
      </w:r>
    </w:p>
    <w:p w14:paraId="54716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上述违反了工会经费</w:t>
      </w:r>
      <w:r>
        <w:rPr>
          <w:rFonts w:hint="eastAsia" w:ascii="仿宋" w:hAnsi="仿宋" w:eastAsia="仿宋" w:cs="仿宋"/>
          <w:b/>
          <w:bCs/>
          <w:sz w:val="32"/>
          <w:szCs w:val="32"/>
          <w:lang w:val="en-US" w:eastAsia="zh-CN"/>
        </w:rPr>
        <w:t>专款专用</w:t>
      </w:r>
      <w:r>
        <w:rPr>
          <w:rFonts w:hint="eastAsia" w:ascii="仿宋" w:hAnsi="仿宋" w:eastAsia="仿宋" w:cs="仿宋"/>
          <w:b w:val="0"/>
          <w:bCs w:val="0"/>
          <w:sz w:val="32"/>
          <w:szCs w:val="32"/>
          <w:lang w:val="en-US" w:eastAsia="zh-CN"/>
        </w:rPr>
        <w:t>原则。中华全国总工会印发的《基层工会经费收支管理办法》明确规定，工会经费应坚持</w:t>
      </w:r>
      <w:r>
        <w:rPr>
          <w:rFonts w:hint="eastAsia" w:ascii="仿宋" w:hAnsi="仿宋" w:eastAsia="仿宋" w:cs="仿宋"/>
          <w:b/>
          <w:bCs/>
          <w:sz w:val="32"/>
          <w:szCs w:val="32"/>
          <w:lang w:val="en-US" w:eastAsia="zh-CN"/>
        </w:rPr>
        <w:t>“服务职工”</w:t>
      </w:r>
      <w:r>
        <w:rPr>
          <w:rFonts w:hint="eastAsia" w:ascii="仿宋" w:hAnsi="仿宋" w:eastAsia="仿宋" w:cs="仿宋"/>
          <w:b w:val="0"/>
          <w:bCs w:val="0"/>
          <w:sz w:val="32"/>
          <w:szCs w:val="32"/>
          <w:lang w:val="en-US" w:eastAsia="zh-CN"/>
        </w:rPr>
        <w:t>原则，全部用于为职工服务和开展工会活动。其支出范围严格限定于</w:t>
      </w:r>
      <w:r>
        <w:rPr>
          <w:rFonts w:hint="eastAsia" w:ascii="仿宋" w:hAnsi="仿宋" w:eastAsia="仿宋" w:cs="仿宋"/>
          <w:b/>
          <w:bCs/>
          <w:sz w:val="32"/>
          <w:szCs w:val="32"/>
          <w:lang w:val="en-US" w:eastAsia="zh-CN"/>
        </w:rPr>
        <w:t>“全体会员”</w:t>
      </w:r>
      <w:r>
        <w:rPr>
          <w:rFonts w:hint="eastAsia" w:ascii="仿宋" w:hAnsi="仿宋" w:eastAsia="仿宋" w:cs="仿宋"/>
          <w:b w:val="0"/>
          <w:bCs w:val="0"/>
          <w:sz w:val="32"/>
          <w:szCs w:val="32"/>
          <w:lang w:val="en-US" w:eastAsia="zh-CN"/>
        </w:rPr>
        <w:t>。为非本单位、非会员的人员列支福利费用，实质上是挤占、挪用工会经费，使经费未能用于服务法定对象。</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涉嫌预算执行不严与财务核算不实。此笔支出名义上是工会活动支出，但服务对象是外部人员，导致会计科目核算与业务实质不符，影响财务信息的真实性与准确性。面临审计与监督检查风险。在审计、纪检监察或上级工会经费审查时，此类支出极易被认定为</w:t>
      </w:r>
      <w:r>
        <w:rPr>
          <w:rFonts w:hint="eastAsia" w:ascii="仿宋" w:hAnsi="仿宋" w:eastAsia="仿宋" w:cs="仿宋"/>
          <w:b/>
          <w:bCs/>
          <w:sz w:val="32"/>
          <w:szCs w:val="32"/>
          <w:lang w:val="en-US" w:eastAsia="zh-CN"/>
        </w:rPr>
        <w:t>违规扩大开支范围，</w:t>
      </w:r>
      <w:r>
        <w:rPr>
          <w:rFonts w:hint="eastAsia" w:ascii="仿宋" w:hAnsi="仿宋" w:eastAsia="仿宋" w:cs="仿宋"/>
          <w:b w:val="0"/>
          <w:bCs w:val="0"/>
          <w:sz w:val="32"/>
          <w:szCs w:val="32"/>
          <w:lang w:val="en-US" w:eastAsia="zh-CN"/>
        </w:rPr>
        <w:t>要求整改并可能追究相关人员责任。</w:t>
      </w:r>
    </w:p>
    <w:p w14:paraId="2CB74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建议：一是及时核查与定性。核实关系。</w:t>
      </w:r>
      <w:r>
        <w:rPr>
          <w:rFonts w:hint="eastAsia" w:ascii="仿宋" w:hAnsi="仿宋" w:eastAsia="仿宋" w:cs="仿宋"/>
          <w:b w:val="0"/>
          <w:bCs w:val="0"/>
          <w:sz w:val="32"/>
          <w:szCs w:val="32"/>
          <w:lang w:val="en-US" w:eastAsia="zh-CN"/>
        </w:rPr>
        <w:t>及时核实全春林与贵单位的真实关系。重点确认：① 他/她是否为社区居委会聘用并支付薪酬的人员？② 他/她是否与贵单位存在任何形式的劳务派遣或服务协议？③ 最关键的是，他/她是否正式加入了贵单位的工会组织并按规定缴纳会费？</w:t>
      </w:r>
      <w:r>
        <w:rPr>
          <w:rFonts w:hint="eastAsia" w:ascii="仿宋" w:hAnsi="仿宋" w:eastAsia="仿宋" w:cs="仿宋"/>
          <w:b/>
          <w:bCs/>
          <w:sz w:val="32"/>
          <w:szCs w:val="32"/>
          <w:lang w:val="en-US" w:eastAsia="zh-CN"/>
        </w:rPr>
        <w:t>获取依据。</w:t>
      </w:r>
      <w:r>
        <w:rPr>
          <w:rFonts w:hint="eastAsia" w:ascii="仿宋" w:hAnsi="仿宋" w:eastAsia="仿宋" w:cs="仿宋"/>
          <w:b w:val="0"/>
          <w:bCs w:val="0"/>
          <w:sz w:val="32"/>
          <w:szCs w:val="32"/>
          <w:lang w:val="en-US" w:eastAsia="zh-CN"/>
        </w:rPr>
        <w:t>如果认为支付是合理的，必须找到并归档能够证明其资格的文件，如工会会员证明、相关的服务协议或上级批准文件。</w:t>
      </w:r>
      <w:r>
        <w:rPr>
          <w:rFonts w:hint="eastAsia" w:ascii="仿宋" w:hAnsi="仿宋" w:eastAsia="仿宋" w:cs="仿宋"/>
          <w:b/>
          <w:bCs/>
          <w:sz w:val="32"/>
          <w:szCs w:val="32"/>
          <w:lang w:val="en-US" w:eastAsia="zh-CN"/>
        </w:rPr>
        <w:t>二是分类处理与纠正。</w:t>
      </w:r>
      <w:r>
        <w:rPr>
          <w:rFonts w:hint="eastAsia" w:ascii="仿宋" w:hAnsi="仿宋" w:eastAsia="仿宋" w:cs="仿宋"/>
          <w:b w:val="0"/>
          <w:bCs w:val="0"/>
          <w:sz w:val="32"/>
          <w:szCs w:val="32"/>
          <w:lang w:val="en-US" w:eastAsia="zh-CN"/>
        </w:rPr>
        <w:t>根据核查结果，分两种情况处理。</w:t>
      </w:r>
      <w:r>
        <w:rPr>
          <w:rFonts w:hint="eastAsia" w:ascii="仿宋" w:hAnsi="仿宋" w:eastAsia="仿宋" w:cs="仿宋"/>
          <w:b/>
          <w:bCs/>
          <w:sz w:val="32"/>
          <w:szCs w:val="32"/>
          <w:lang w:val="en-US" w:eastAsia="zh-CN"/>
        </w:rPr>
        <w:t>情况A：</w:t>
      </w:r>
      <w:r>
        <w:rPr>
          <w:rFonts w:hint="eastAsia" w:ascii="仿宋" w:hAnsi="仿宋" w:eastAsia="仿宋" w:cs="仿宋"/>
          <w:b w:val="0"/>
          <w:bCs w:val="0"/>
          <w:sz w:val="32"/>
          <w:szCs w:val="32"/>
          <w:lang w:val="en-US" w:eastAsia="zh-CN"/>
        </w:rPr>
        <w:t>确认无合规资格。如果全春林确实非本单位会员，也非服务对象，则应立即纠正。最彻底的方式是与相关人员沟通，追回已支付的823元体检费，并调整相关账目。同时，需在内部对责任人进行提醒。</w:t>
      </w:r>
      <w:r>
        <w:rPr>
          <w:rFonts w:hint="eastAsia" w:ascii="仿宋" w:hAnsi="仿宋" w:eastAsia="仿宋" w:cs="仿宋"/>
          <w:b/>
          <w:bCs/>
          <w:sz w:val="32"/>
          <w:szCs w:val="32"/>
          <w:lang w:val="en-US" w:eastAsia="zh-CN"/>
        </w:rPr>
        <w:t>情况B。</w:t>
      </w:r>
      <w:r>
        <w:rPr>
          <w:rFonts w:hint="eastAsia" w:ascii="仿宋" w:hAnsi="仿宋" w:eastAsia="仿宋" w:cs="仿宋"/>
          <w:b w:val="0"/>
          <w:bCs w:val="0"/>
          <w:sz w:val="32"/>
          <w:szCs w:val="32"/>
          <w:lang w:val="en-US" w:eastAsia="zh-CN"/>
        </w:rPr>
        <w:t>存在特殊合规依据。如果能找到批准其享受福利的特殊规定或文件，应将这些依据作为会计凭证的重要附件单独归档，并在凭证摘要中清晰说明，以备核查。</w:t>
      </w:r>
      <w:r>
        <w:rPr>
          <w:rFonts w:hint="eastAsia" w:ascii="仿宋" w:hAnsi="仿宋" w:eastAsia="仿宋" w:cs="仿宋"/>
          <w:b/>
          <w:bCs/>
          <w:sz w:val="32"/>
          <w:szCs w:val="32"/>
          <w:lang w:val="en-US" w:eastAsia="zh-CN"/>
        </w:rPr>
        <w:t>三是完善制度，防范风险。明确福利对象清单。</w:t>
      </w:r>
      <w:r>
        <w:rPr>
          <w:rFonts w:hint="eastAsia" w:ascii="仿宋" w:hAnsi="仿宋" w:eastAsia="仿宋" w:cs="仿宋"/>
          <w:b w:val="0"/>
          <w:bCs w:val="0"/>
          <w:sz w:val="32"/>
          <w:szCs w:val="32"/>
          <w:lang w:val="en-US" w:eastAsia="zh-CN"/>
        </w:rPr>
        <w:t>建议工会与财务部门共同制定明确的职工福利（如体检、节日慰问等）享受人员资格标准，建立动态名册，支付前严格核对。</w:t>
      </w:r>
      <w:r>
        <w:rPr>
          <w:rFonts w:hint="eastAsia" w:ascii="仿宋" w:hAnsi="仿宋" w:eastAsia="仿宋" w:cs="仿宋"/>
          <w:b/>
          <w:bCs/>
          <w:sz w:val="32"/>
          <w:szCs w:val="32"/>
          <w:lang w:val="en-US" w:eastAsia="zh-CN"/>
        </w:rPr>
        <w:t>强化审批流程。</w:t>
      </w:r>
      <w:r>
        <w:rPr>
          <w:rFonts w:hint="eastAsia" w:ascii="仿宋" w:hAnsi="仿宋" w:eastAsia="仿宋" w:cs="仿宋"/>
          <w:b w:val="0"/>
          <w:bCs w:val="0"/>
          <w:sz w:val="32"/>
          <w:szCs w:val="32"/>
          <w:lang w:val="en-US" w:eastAsia="zh-CN"/>
        </w:rPr>
        <w:t>支付此类费用前，增加工会负责人对人员名单的审核确认环节，从流程上杜绝为无关人员支付费用。</w:t>
      </w:r>
    </w:p>
    <w:p w14:paraId="31E48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跨期支付。2024年11月16号凭证预付2025的工会经费32538元及2025年退休老干部节日慰问及体检费用9669元。此两笔款项均拨入工会账户，参照2024年10月3号凭证支付退休干部节日慰问通过国库支付，即区车江铜矿社区服务中心工资代发过渡账户支付退休干部节日慰问7200元，为行政支出。但该笔2025年预拨款显示退休老干部节日慰问支出以预付形式打入了工会账户，依据其来源将来使用从工会账户支付，与2024年行政支付退休老干部节日慰问口径不一致。</w:t>
      </w:r>
    </w:p>
    <w:p w14:paraId="4F414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上述违反了《中华人民共和国预算法》关于预算执行的基本规定。在预算批准前支出。所有财政性资金支出，必须“先有预算，后有支出”。</w:t>
      </w:r>
      <w:r>
        <w:rPr>
          <w:rFonts w:hint="eastAsia" w:ascii="仿宋" w:hAnsi="仿宋" w:eastAsia="仿宋" w:cs="仿宋"/>
          <w:b/>
          <w:bCs/>
          <w:sz w:val="32"/>
          <w:szCs w:val="32"/>
          <w:lang w:val="en-US" w:eastAsia="zh-CN"/>
        </w:rPr>
        <w:t>在2024年底，2025年度的预算通常还处于编制或上报审批阶段，未经法定程序（如人代会审议）正式批准。</w:t>
      </w:r>
      <w:r>
        <w:rPr>
          <w:rFonts w:hint="eastAsia" w:ascii="仿宋" w:hAnsi="仿宋" w:eastAsia="仿宋" w:cs="仿宋"/>
          <w:b w:val="0"/>
          <w:bCs w:val="0"/>
          <w:sz w:val="32"/>
          <w:szCs w:val="32"/>
          <w:lang w:val="en-US" w:eastAsia="zh-CN"/>
        </w:rPr>
        <w:t>此时将2025年的资金（无论是工会经费还是其他资金）从国库支付出去，属于“无预算支出”或“超预算进度拨款”，属程序违规。</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内容违规。</w:t>
      </w:r>
      <w:r>
        <w:rPr>
          <w:rFonts w:hint="eastAsia" w:ascii="仿宋" w:hAnsi="仿宋" w:eastAsia="仿宋" w:cs="仿宋"/>
          <w:b w:val="0"/>
          <w:bCs w:val="0"/>
          <w:sz w:val="32"/>
          <w:szCs w:val="32"/>
          <w:lang w:val="en-US" w:eastAsia="zh-CN"/>
        </w:rPr>
        <w:t>将不属于工会预算的支出打入工会账户。</w:t>
      </w:r>
    </w:p>
    <w:p w14:paraId="2F010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建议：</w:t>
      </w:r>
      <w:r>
        <w:rPr>
          <w:rFonts w:hint="eastAsia" w:ascii="仿宋" w:hAnsi="仿宋" w:eastAsia="仿宋" w:cs="仿宋"/>
          <w:b/>
          <w:bCs/>
          <w:sz w:val="32"/>
          <w:szCs w:val="32"/>
          <w:lang w:val="en-US" w:eastAsia="zh-CN"/>
        </w:rPr>
        <w:t>一是及时进行账务冲正。</w:t>
      </w:r>
      <w:r>
        <w:rPr>
          <w:rFonts w:hint="eastAsia" w:ascii="仿宋" w:hAnsi="仿宋" w:eastAsia="仿宋" w:cs="仿宋"/>
          <w:b w:val="0"/>
          <w:bCs w:val="0"/>
          <w:sz w:val="32"/>
          <w:szCs w:val="32"/>
          <w:lang w:val="en-US" w:eastAsia="zh-CN"/>
        </w:rPr>
        <w:t>全额追回资金。将所有已预拨的资金（32538元 + 9669元）原路径全额退回至2024年的财政账户。同步调整会计记录：在2024年的账务中，对这笔支付进行冲销处理，确保当年决算的准确性。</w:t>
      </w:r>
      <w:r>
        <w:rPr>
          <w:rFonts w:hint="eastAsia" w:ascii="仿宋" w:hAnsi="仿宋" w:eastAsia="仿宋" w:cs="仿宋"/>
          <w:b/>
          <w:bCs/>
          <w:sz w:val="32"/>
          <w:szCs w:val="32"/>
          <w:lang w:val="en-US" w:eastAsia="zh-CN"/>
        </w:rPr>
        <w:t>二是严格遵循预算流程。</w:t>
      </w:r>
      <w:r>
        <w:rPr>
          <w:rFonts w:hint="eastAsia" w:ascii="仿宋" w:hAnsi="仿宋" w:eastAsia="仿宋" w:cs="仿宋"/>
          <w:b w:val="0"/>
          <w:bCs w:val="0"/>
          <w:sz w:val="32"/>
          <w:szCs w:val="32"/>
          <w:lang w:val="en-US" w:eastAsia="zh-CN"/>
        </w:rPr>
        <w:t>待2025年度预算经法定程序正式批准后，再严格按照批复的预算科目和金额执行。工会经费（32538元）应从批复的“工会经费”科目中列支。退休干部费用（9669元）应从批复的行政经费相关科目（如“离退休人员经费”）中列支。</w:t>
      </w:r>
      <w:r>
        <w:rPr>
          <w:rFonts w:hint="eastAsia" w:ascii="仿宋" w:hAnsi="仿宋" w:eastAsia="仿宋" w:cs="仿宋"/>
          <w:b/>
          <w:bCs/>
          <w:sz w:val="32"/>
          <w:szCs w:val="32"/>
          <w:lang w:val="en-US" w:eastAsia="zh-CN"/>
        </w:rPr>
        <w:t>三是强化预算编制准确性。</w:t>
      </w:r>
      <w:r>
        <w:rPr>
          <w:rFonts w:hint="eastAsia" w:ascii="仿宋" w:hAnsi="仿宋" w:eastAsia="仿宋" w:cs="仿宋"/>
          <w:b w:val="0"/>
          <w:bCs w:val="0"/>
          <w:sz w:val="32"/>
          <w:szCs w:val="32"/>
          <w:lang w:val="en-US" w:eastAsia="zh-CN"/>
        </w:rPr>
        <w:t>在未来编制年度预算时，必须根据支出事项的真实经济性质归入正确的功能分类和经济分类科目，从源头上杜绝此类“张冠李戴”的情况。</w:t>
      </w:r>
    </w:p>
    <w:p w14:paraId="220620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5.未标明网络使用费日期。2024年3月6号凭证付两年服务费1800元。未附合同及验收单，发票上无服务费截止日期2024年5月10号凭证付网络使用费2800元。</w:t>
      </w:r>
    </w:p>
    <w:p w14:paraId="23CD2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支出真实性、准确性要求。</w:t>
      </w:r>
      <w:r>
        <w:rPr>
          <w:rFonts w:hint="eastAsia" w:ascii="仿宋" w:hAnsi="仿宋" w:eastAsia="仿宋" w:cs="仿宋"/>
          <w:b w:val="0"/>
          <w:bCs w:val="0"/>
          <w:sz w:val="32"/>
          <w:szCs w:val="32"/>
          <w:lang w:val="en-US" w:eastAsia="zh-CN"/>
        </w:rPr>
        <w:t>未附合同和验收单，导致无法证实业务真实发生及服务达标，不符合《会计基础工作规范》对原始凭证“真实、完整”的要求。根据财政部门的相关检查案例，此类问题通常会被认定为审计程序执行不到位或审计证据不充分。</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上述违反了发票未注明服务期间，导致会计核算无法准确进行分期摊销或成本确认，影响会计信息质量。在审计中被视为截止性测试执行不到位的风险点。</w:t>
      </w:r>
    </w:p>
    <w:p w14:paraId="184E4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建议：一是及时补充完善档案材料。</w:t>
      </w:r>
      <w:r>
        <w:rPr>
          <w:rFonts w:hint="eastAsia" w:ascii="仿宋" w:hAnsi="仿宋" w:eastAsia="仿宋" w:cs="仿宋"/>
          <w:b w:val="0"/>
          <w:bCs w:val="0"/>
          <w:sz w:val="32"/>
          <w:szCs w:val="32"/>
          <w:lang w:val="en-US" w:eastAsia="zh-CN"/>
        </w:rPr>
        <w:t>针对3月凭证：立即联系供应商，补签服务合同（需注明服务期限、内容、金额等关键条款）。同时，要求业务使用部门出具情况说明作为替代性验收证明，说明该服务在合同期内已实际使用且无异议。针对5月凭证：联系开票方，要求重开或补充开具信息完整的发票，在备注栏或品名处注明明确的服务期间（如“服务期间：2024年X月X日至X月X日”）。</w:t>
      </w:r>
      <w:r>
        <w:rPr>
          <w:rFonts w:hint="eastAsia" w:ascii="仿宋" w:hAnsi="仿宋" w:eastAsia="仿宋" w:cs="仿宋"/>
          <w:b/>
          <w:bCs/>
          <w:sz w:val="32"/>
          <w:szCs w:val="32"/>
          <w:lang w:val="en-US" w:eastAsia="zh-CN"/>
        </w:rPr>
        <w:t>二是完善制度并加强审核。明确采购门槛。</w:t>
      </w:r>
      <w:r>
        <w:rPr>
          <w:rFonts w:hint="eastAsia" w:ascii="仿宋" w:hAnsi="仿宋" w:eastAsia="仿宋" w:cs="仿宋"/>
          <w:b w:val="0"/>
          <w:bCs w:val="0"/>
          <w:sz w:val="32"/>
          <w:szCs w:val="32"/>
          <w:lang w:val="en-US" w:eastAsia="zh-CN"/>
        </w:rPr>
        <w:t>在单位内部财务管理制度中，明确不同金额服务类支出的采购方式（如询价、比选、签订合同等）。</w:t>
      </w:r>
      <w:r>
        <w:rPr>
          <w:rFonts w:hint="eastAsia" w:ascii="仿宋" w:hAnsi="仿宋" w:eastAsia="仿宋" w:cs="仿宋"/>
          <w:b/>
          <w:bCs/>
          <w:sz w:val="32"/>
          <w:szCs w:val="32"/>
          <w:lang w:val="en-US" w:eastAsia="zh-CN"/>
        </w:rPr>
        <w:t>规范报销要件。</w:t>
      </w:r>
      <w:r>
        <w:rPr>
          <w:rFonts w:hint="eastAsia" w:ascii="仿宋" w:hAnsi="仿宋" w:eastAsia="仿宋" w:cs="仿宋"/>
          <w:b w:val="0"/>
          <w:bCs w:val="0"/>
          <w:sz w:val="32"/>
          <w:szCs w:val="32"/>
          <w:lang w:val="en-US" w:eastAsia="zh-CN"/>
        </w:rPr>
        <w:t>规定所有服务费报销，必须提供合同（协议） 和服务验收单或使用部门确认单。</w:t>
      </w:r>
      <w:r>
        <w:rPr>
          <w:rFonts w:hint="eastAsia" w:ascii="仿宋" w:hAnsi="仿宋" w:eastAsia="仿宋" w:cs="仿宋"/>
          <w:b/>
          <w:bCs/>
          <w:i w:val="0"/>
          <w:iCs w:val="0"/>
          <w:sz w:val="32"/>
          <w:szCs w:val="32"/>
          <w:lang w:val="en-US" w:eastAsia="zh-CN"/>
        </w:rPr>
        <w:t>强化财务审核。</w:t>
      </w:r>
      <w:r>
        <w:rPr>
          <w:rFonts w:hint="eastAsia" w:ascii="仿宋" w:hAnsi="仿宋" w:eastAsia="仿宋" w:cs="仿宋"/>
          <w:b w:val="0"/>
          <w:bCs w:val="0"/>
          <w:sz w:val="32"/>
          <w:szCs w:val="32"/>
          <w:lang w:val="en-US" w:eastAsia="zh-CN"/>
        </w:rPr>
        <w:t>财务人员审核时，应将发票要素</w:t>
      </w:r>
      <w:r>
        <w:rPr>
          <w:rFonts w:hint="eastAsia" w:ascii="仿宋" w:hAnsi="仿宋" w:eastAsia="仿宋" w:cs="仿宋"/>
          <w:b/>
          <w:bCs/>
          <w:sz w:val="32"/>
          <w:szCs w:val="32"/>
          <w:lang w:val="en-US" w:eastAsia="zh-CN"/>
        </w:rPr>
        <w:t>（特别是服务期间）</w:t>
      </w:r>
      <w:r>
        <w:rPr>
          <w:rFonts w:hint="eastAsia" w:ascii="仿宋" w:hAnsi="仿宋" w:eastAsia="仿宋" w:cs="仿宋"/>
          <w:b w:val="0"/>
          <w:bCs w:val="0"/>
          <w:sz w:val="32"/>
          <w:szCs w:val="32"/>
          <w:lang w:val="en-US" w:eastAsia="zh-CN"/>
        </w:rPr>
        <w:t>是否齐全、是否有佐证业务真实性的合同与验收材料作为刚性要求。</w:t>
      </w:r>
      <w:r>
        <w:rPr>
          <w:rFonts w:hint="eastAsia" w:ascii="仿宋" w:hAnsi="仿宋" w:eastAsia="仿宋" w:cs="仿宋"/>
          <w:b/>
          <w:bCs/>
          <w:sz w:val="32"/>
          <w:szCs w:val="32"/>
          <w:lang w:val="en-US" w:eastAsia="zh-CN"/>
        </w:rPr>
        <w:t>三是进行风险排查。</w:t>
      </w:r>
      <w:r>
        <w:rPr>
          <w:rFonts w:hint="eastAsia" w:ascii="仿宋" w:hAnsi="仿宋" w:eastAsia="仿宋" w:cs="仿宋"/>
          <w:b w:val="0"/>
          <w:bCs w:val="0"/>
          <w:sz w:val="32"/>
          <w:szCs w:val="32"/>
          <w:lang w:val="en-US" w:eastAsia="zh-CN"/>
        </w:rPr>
        <w:t>建议对2024年度所有类似的服务费、维护费、会员费等周期性支出进行一次自查，检查是否存在同类问题，并一并整改。</w:t>
      </w:r>
    </w:p>
    <w:p w14:paraId="74057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6.2024年11月22号凭证拨给社区居委会，付社区垫付电费4万、付社区消防通道改造费用3万、付社区路灯改造费用4万、付社区食堂餐费4万，有往来收据，国库支付单，申请报告，三重一大会议纪要，无效果汇报。</w:t>
      </w:r>
    </w:p>
    <w:p w14:paraId="5B03F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财政资金及自治经费的使用普遍要求进行绩效管理或效果评估。“三重一大”决策事项更要求对执行情况和效果进行监督考核。缺少效果汇报，导致无法验证资金使用的真实性和有效性，可能掩盖项目未实施、实施不到位或质量不达标等问题，构成财务管理和内控缺陷。</w:t>
      </w:r>
    </w:p>
    <w:p w14:paraId="78FF9B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特定支出用途不明，涉嫌违规列支。</w:t>
      </w:r>
      <w:r>
        <w:rPr>
          <w:rFonts w:hint="eastAsia" w:ascii="仿宋" w:hAnsi="仿宋" w:eastAsia="仿宋" w:cs="仿宋"/>
          <w:b/>
          <w:bCs/>
          <w:sz w:val="32"/>
          <w:szCs w:val="32"/>
          <w:lang w:val="en-US" w:eastAsia="zh-CN"/>
        </w:rPr>
        <w:t>“食堂餐费”风险。</w:t>
      </w:r>
      <w:r>
        <w:rPr>
          <w:rFonts w:hint="eastAsia" w:ascii="仿宋" w:hAnsi="仿宋" w:eastAsia="仿宋" w:cs="仿宋"/>
          <w:b w:val="0"/>
          <w:bCs w:val="0"/>
          <w:sz w:val="32"/>
          <w:szCs w:val="32"/>
          <w:lang w:val="en-US" w:eastAsia="zh-CN"/>
        </w:rPr>
        <w:t>若无具体事由和人员清单，可能违反各地关于社区公务“零招待”或工作餐的严格规定，涉嫌违规列支招待费或变相发放福利。</w:t>
      </w:r>
      <w:r>
        <w:rPr>
          <w:rFonts w:hint="eastAsia" w:ascii="仿宋" w:hAnsi="仿宋" w:eastAsia="仿宋" w:cs="仿宋"/>
          <w:b/>
          <w:bCs/>
          <w:sz w:val="32"/>
          <w:szCs w:val="32"/>
          <w:lang w:val="en-US" w:eastAsia="zh-CN"/>
        </w:rPr>
        <w:t>“垫付电费”风险。</w:t>
      </w:r>
      <w:r>
        <w:rPr>
          <w:rFonts w:hint="eastAsia" w:ascii="仿宋" w:hAnsi="仿宋" w:eastAsia="仿宋" w:cs="仿宋"/>
          <w:b w:val="0"/>
          <w:bCs w:val="0"/>
          <w:sz w:val="32"/>
          <w:szCs w:val="32"/>
          <w:lang w:val="en-US" w:eastAsia="zh-CN"/>
        </w:rPr>
        <w:t>若涉及电费加价或代收代付，则违反国家电价政策。</w:t>
      </w:r>
    </w:p>
    <w:p w14:paraId="3819E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建议：一是及时补充材料，完成支付闭环。限时补报。</w:t>
      </w:r>
      <w:r>
        <w:rPr>
          <w:rFonts w:hint="eastAsia" w:ascii="仿宋" w:hAnsi="仿宋" w:eastAsia="仿宋" w:cs="仿宋"/>
          <w:b w:val="0"/>
          <w:bCs w:val="0"/>
          <w:sz w:val="32"/>
          <w:szCs w:val="32"/>
          <w:lang w:val="en-US" w:eastAsia="zh-CN"/>
        </w:rPr>
        <w:t>要求社区居委会立即就消防通道改造、路灯改造两项工程，补充提供竣工验收报告、前后对比照片或效果评估说明。</w:t>
      </w:r>
      <w:r>
        <w:rPr>
          <w:rFonts w:hint="eastAsia" w:ascii="仿宋" w:hAnsi="仿宋" w:eastAsia="仿宋" w:cs="仿宋"/>
          <w:b/>
          <w:bCs/>
          <w:sz w:val="32"/>
          <w:szCs w:val="32"/>
          <w:lang w:val="en-US" w:eastAsia="zh-CN"/>
        </w:rPr>
        <w:t>详细说明。</w:t>
      </w:r>
      <w:r>
        <w:rPr>
          <w:rFonts w:hint="eastAsia" w:ascii="仿宋" w:hAnsi="仿宋" w:eastAsia="仿宋" w:cs="仿宋"/>
          <w:b w:val="0"/>
          <w:bCs w:val="0"/>
          <w:sz w:val="32"/>
          <w:szCs w:val="32"/>
          <w:lang w:val="en-US" w:eastAsia="zh-CN"/>
        </w:rPr>
        <w:t>要求社区对食堂餐费的每一笔开支，补充提供就餐事由、参与人员签到表、费用明细清单，确保符合工作餐标准。</w:t>
      </w:r>
      <w:r>
        <w:rPr>
          <w:rFonts w:hint="eastAsia" w:ascii="仿宋" w:hAnsi="仿宋" w:eastAsia="仿宋" w:cs="仿宋"/>
          <w:b/>
          <w:bCs/>
          <w:sz w:val="32"/>
          <w:szCs w:val="32"/>
          <w:lang w:val="en-US" w:eastAsia="zh-CN"/>
        </w:rPr>
        <w:t>核实电费。</w:t>
      </w:r>
      <w:r>
        <w:rPr>
          <w:rFonts w:hint="eastAsia" w:ascii="仿宋" w:hAnsi="仿宋" w:eastAsia="仿宋" w:cs="仿宋"/>
          <w:b w:val="0"/>
          <w:bCs w:val="0"/>
          <w:sz w:val="32"/>
          <w:szCs w:val="32"/>
          <w:lang w:val="en-US" w:eastAsia="zh-CN"/>
        </w:rPr>
        <w:t>核查4万元电费的原始发票，确认用电主体和电价完全合规。</w:t>
      </w:r>
      <w:r>
        <w:rPr>
          <w:rFonts w:hint="eastAsia" w:ascii="仿宋" w:hAnsi="仿宋" w:eastAsia="仿宋" w:cs="仿宋"/>
          <w:b/>
          <w:bCs/>
          <w:sz w:val="32"/>
          <w:szCs w:val="32"/>
          <w:lang w:val="en-US" w:eastAsia="zh-CN"/>
        </w:rPr>
        <w:t>二是完善制度，强调“决策-执行-评估”全流程。</w:t>
      </w:r>
      <w:r>
        <w:rPr>
          <w:rFonts w:hint="eastAsia" w:ascii="仿宋" w:hAnsi="仿宋" w:eastAsia="仿宋" w:cs="仿宋"/>
          <w:b w:val="0"/>
          <w:bCs w:val="0"/>
          <w:sz w:val="32"/>
          <w:szCs w:val="32"/>
          <w:lang w:val="en-US" w:eastAsia="zh-CN"/>
        </w:rPr>
        <w:t>修订内部财务管理办法，明确规定。所有项目支出，尤其是“三重一大”决策项目，报销时除前期审批文件外，必须附有证明项目已完成且达到预期效果的材料（如验收单、效果报告、活动总结等），方可最终结算付款。</w:t>
      </w:r>
      <w:r>
        <w:rPr>
          <w:rFonts w:hint="eastAsia" w:ascii="仿宋" w:hAnsi="仿宋" w:eastAsia="仿宋" w:cs="仿宋"/>
          <w:b/>
          <w:bCs/>
          <w:sz w:val="32"/>
          <w:szCs w:val="32"/>
          <w:lang w:val="en-US" w:eastAsia="zh-CN"/>
        </w:rPr>
        <w:t>三是强化审核，前置监督关口。</w:t>
      </w:r>
      <w:r>
        <w:rPr>
          <w:rFonts w:hint="eastAsia" w:ascii="仿宋" w:hAnsi="仿宋" w:eastAsia="仿宋" w:cs="仿宋"/>
          <w:b w:val="0"/>
          <w:bCs w:val="0"/>
          <w:sz w:val="32"/>
          <w:szCs w:val="32"/>
          <w:lang w:val="en-US" w:eastAsia="zh-CN"/>
        </w:rPr>
        <w:t>财务人员在今后审核类似拨付时，应将效果证明材料作为必备附件。对于“餐费”“补贴”等敏感支出，必须见到最明细的佐证材料才予报销。这笔支付的手续“前半程”看似完备，但因缺失了验证结果的“后半程”，使整个支出存在实质性风险。当前最紧迫的任务是追补效果证明材料，将支出闭环做实，这是应对审计或检查的关键。</w:t>
      </w:r>
    </w:p>
    <w:p w14:paraId="0B452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7.支付食堂餐费于陈平平或全春林个人，有税务代开发票。但未支付社区居委会或劳务公司。解释原因为食堂没有管理制度，车铜社区居委会跟劳务公司签了食堂承包合同。</w:t>
      </w:r>
    </w:p>
    <w:p w14:paraId="45EB8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“收支两条线”</w:t>
      </w:r>
      <w:r>
        <w:rPr>
          <w:rFonts w:hint="eastAsia" w:ascii="仿宋" w:hAnsi="仿宋" w:eastAsia="仿宋" w:cs="仿宋"/>
          <w:b w:val="0"/>
          <w:bCs w:val="0"/>
          <w:sz w:val="32"/>
          <w:szCs w:val="32"/>
          <w:lang w:val="en-US" w:eastAsia="zh-CN"/>
        </w:rPr>
        <w:t>原则，构成</w:t>
      </w:r>
      <w:r>
        <w:rPr>
          <w:rFonts w:hint="eastAsia" w:ascii="仿宋" w:hAnsi="仿宋" w:eastAsia="仿宋" w:cs="仿宋"/>
          <w:b/>
          <w:bCs/>
          <w:sz w:val="32"/>
          <w:szCs w:val="32"/>
          <w:lang w:val="en-US" w:eastAsia="zh-CN"/>
        </w:rPr>
        <w:t>“公款私存”</w:t>
      </w:r>
      <w:r>
        <w:rPr>
          <w:rFonts w:hint="eastAsia" w:ascii="仿宋" w:hAnsi="仿宋" w:eastAsia="仿宋" w:cs="仿宋"/>
          <w:b w:val="0"/>
          <w:bCs w:val="0"/>
          <w:sz w:val="32"/>
          <w:szCs w:val="32"/>
          <w:lang w:val="en-US" w:eastAsia="zh-CN"/>
        </w:rPr>
        <w:t>。《中华人民共和国会计法》、财政管理规定公共资金必须纳入单位统一财务管理，不得存入个人账户。将公共资金存入个人账户，无论是否挪用，都已构成“公款私存”。食堂餐费属于公共资金，支付给个人账户，绕开了单位（社区或劳务公司）的对公账户监管。</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上述违反了合同约定，导致支付关系混乱。社区居委会与劳务公司已签订合同，双方应按照合同约定的付款方式进行结算。</w:t>
      </w:r>
      <w:r>
        <w:rPr>
          <w:rFonts w:hint="eastAsia" w:ascii="仿宋" w:hAnsi="仿宋" w:eastAsia="仿宋" w:cs="仿宋"/>
          <w:b/>
          <w:bCs/>
          <w:sz w:val="32"/>
          <w:szCs w:val="32"/>
          <w:lang w:val="en-US" w:eastAsia="zh-CN"/>
        </w:rPr>
        <w:t>直接向个人付款，违反了合同相对性原则。</w:t>
      </w:r>
      <w:r>
        <w:rPr>
          <w:rFonts w:hint="eastAsia" w:ascii="仿宋" w:hAnsi="仿宋" w:eastAsia="仿宋" w:cs="仿宋"/>
          <w:b w:val="0"/>
          <w:bCs w:val="0"/>
          <w:sz w:val="32"/>
          <w:szCs w:val="32"/>
          <w:lang w:val="en-US" w:eastAsia="zh-CN"/>
        </w:rPr>
        <w:t>劳务公司是合同约定的服务提供方和收款方，向其个人员工付款混淆了法律关系，可能导致劳务公司不确认收入、无法开具合法票据。严禁虚列伙食费套取资金等。资金流向个人账户后，难以追踪真实用途，极易出现虚报就餐人数、套取资金等“微腐败”问题。</w:t>
      </w:r>
    </w:p>
    <w:p w14:paraId="6E4CF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建议：一是及时停止向个人付款。</w:t>
      </w:r>
      <w:r>
        <w:rPr>
          <w:rFonts w:hint="eastAsia" w:ascii="仿宋" w:hAnsi="仿宋" w:eastAsia="仿宋" w:cs="仿宋"/>
          <w:b w:val="0"/>
          <w:bCs w:val="0"/>
          <w:sz w:val="32"/>
          <w:szCs w:val="32"/>
          <w:lang w:val="en-US" w:eastAsia="zh-CN"/>
        </w:rPr>
        <w:t>切断违规资金流，防止问题扩大。</w:t>
      </w:r>
      <w:r>
        <w:rPr>
          <w:rFonts w:hint="eastAsia" w:ascii="仿宋" w:hAnsi="仿宋" w:eastAsia="仿宋" w:cs="仿宋"/>
          <w:b/>
          <w:bCs/>
          <w:sz w:val="32"/>
          <w:szCs w:val="32"/>
          <w:lang w:val="en-US" w:eastAsia="zh-CN"/>
        </w:rPr>
        <w:t>二是厘清并遵循合同支付路径。</w:t>
      </w:r>
      <w:r>
        <w:rPr>
          <w:rFonts w:hint="eastAsia" w:ascii="仿宋" w:hAnsi="仿宋" w:eastAsia="仿宋" w:cs="仿宋"/>
          <w:b w:val="0"/>
          <w:bCs w:val="0"/>
          <w:sz w:val="32"/>
          <w:szCs w:val="32"/>
          <w:lang w:val="en-US" w:eastAsia="zh-CN"/>
        </w:rPr>
        <w:t>严格按合同约定，将所有餐费支付给签约方“劳务公司”（或其指定的对公账户）。确保支付主体合法，资金流向清晰，便于劳务公司开具发票。</w:t>
      </w:r>
      <w:r>
        <w:rPr>
          <w:rFonts w:hint="eastAsia" w:ascii="仿宋" w:hAnsi="仿宋" w:eastAsia="仿宋" w:cs="仿宋"/>
          <w:b/>
          <w:bCs/>
          <w:sz w:val="32"/>
          <w:szCs w:val="32"/>
          <w:lang w:val="en-US" w:eastAsia="zh-CN"/>
        </w:rPr>
        <w:t>三是建立食堂内部管理制度</w:t>
      </w:r>
      <w:r>
        <w:rPr>
          <w:rFonts w:hint="eastAsia" w:ascii="仿宋" w:hAnsi="仿宋" w:eastAsia="仿宋" w:cs="仿宋"/>
          <w:b w:val="0"/>
          <w:bCs w:val="0"/>
          <w:sz w:val="32"/>
          <w:szCs w:val="32"/>
          <w:lang w:val="en-US" w:eastAsia="zh-CN"/>
        </w:rPr>
        <w:t>。制定本社区的《食堂管理办法》，明确就餐人员、餐标、采购、报销流程及公示要求。填补制度空白，实现长效规范管理。</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规范票据与账务处理。支付时须取得劳务公司开具的正式发票（或符合财政要求的结算凭证），而不是税务代开个人发票，并附上经审核的用餐人员名单、签到表等明细作为附件。确保支出凭证合法、完整，满足会计核算和审计要求。</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对历史账务进行清理。对已支付给个人的餐费进行清理，务必补开劳务公司的发票或合规收据，并完善审批手续。若无法补办，应说明情况并作为风险点上报。弥补历史漏洞，降低审计追责风险。</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4" w:name="_Toc27786"/>
      <w:r>
        <w:rPr>
          <w:rFonts w:hint="eastAsia" w:ascii="楷体" w:hAnsi="楷体" w:eastAsia="楷体" w:cs="楷体"/>
          <w:b/>
          <w:bCs/>
          <w:sz w:val="32"/>
          <w:szCs w:val="32"/>
          <w:lang w:val="en-US" w:eastAsia="zh-CN"/>
        </w:rPr>
        <w:t>（二）人员经费管理方面存在的问题及建议</w:t>
      </w:r>
      <w:bookmarkEnd w:id="54"/>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1.发放工资后附件有国库支付单，无人力资源部审核意见及盖章且无银行回单。</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（如人力资源和社会保障部门的批复文件）。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由人力资源和社会保障部门或指定人员根据政策编制工资变动表和应发数据。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2.支付医疗保险、工伤保险、职业年金后仅附国库支付单，附银行端查询缴税凭证，未附人员名单、未附缴费基数确认表及明确的计算依据、无银行回单，无人力资源部审批意见及盖章等。</w:t>
      </w:r>
    </w:p>
    <w:p w14:paraId="01EE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 与审核（审批） 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可能导致社保缴费不符合《中华人民共和国社会保险法》及相关规定，面临社保稽查部门的处罚。</w:t>
      </w:r>
    </w:p>
    <w:p w14:paraId="039E2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 -&gt; 提交至财务部门 -&gt; 财务部门复核无误后 -&gt; 进行计提和缴费 -&gt; 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56679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3.住房公积金交通补贴津贴的计提缺乏人力资源或组织部门的审核盖章。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及时补办，对于已发放但缺少签章的补贴，应尽快联系人力资源或组织部门，对发放名单和金额进行事后审核与追认，并在发放表上加盖部门公章。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BB66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w:t>
      </w:r>
      <w:r>
        <w:rPr>
          <w:rFonts w:hint="default" w:ascii="仿宋" w:hAnsi="仿宋" w:eastAsia="仿宋" w:cs="仿宋"/>
          <w:b/>
          <w:bCs/>
          <w:sz w:val="32"/>
          <w:szCs w:val="32"/>
          <w:highlight w:val="none"/>
          <w:lang w:val="en-US" w:eastAsia="zh-CN"/>
        </w:rPr>
        <w:t>发放退休人员补贴由本单位领导签字，无人力资源审核</w:t>
      </w:r>
      <w:r>
        <w:rPr>
          <w:rFonts w:hint="eastAsia" w:ascii="仿宋" w:hAnsi="仿宋" w:eastAsia="仿宋" w:cs="仿宋"/>
          <w:b/>
          <w:bCs/>
          <w:sz w:val="32"/>
          <w:szCs w:val="32"/>
          <w:highlight w:val="none"/>
          <w:lang w:val="en-US" w:eastAsia="zh-CN"/>
        </w:rPr>
        <w:t>，无回单</w:t>
      </w:r>
      <w:r>
        <w:rPr>
          <w:rFonts w:hint="default" w:ascii="仿宋" w:hAnsi="仿宋" w:eastAsia="仿宋" w:cs="仿宋"/>
          <w:b/>
          <w:bCs/>
          <w:sz w:val="32"/>
          <w:szCs w:val="32"/>
          <w:highlight w:val="none"/>
          <w:lang w:val="en-US" w:eastAsia="zh-CN"/>
        </w:rPr>
        <w:t>。</w:t>
      </w:r>
    </w:p>
    <w:p w14:paraId="04DA0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上述违反了《行政事业单位内部控制规范（试行）》，违反了“不相容岗位分离”和“业务归口管理”原则。退休待遇的核定（人事权） 与执行支付（财务权） 必须由不同部门负责，相互审核与制约。</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上述违反了《政府会计制度》，要求支出必须“附有原始凭证”，银行回单是关键支付凭证，其缺失导致会计信息无法真实反映“资金已付</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上述违反了《关于工资福利支出管理的相关政策》，各级政府对退休人员待遇发放均有严格规定，必须由人力资源和社会保障部门根据档案和政策准确核定，不允许未经审核直接发放。</w:t>
      </w:r>
    </w:p>
    <w:p w14:paraId="7D22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建议：一是及时暂停与全面核查（紧急纠错），及时暂停当前仅凭领导签字即发放的模式。</w:t>
      </w:r>
      <w:r>
        <w:rPr>
          <w:rFonts w:hint="eastAsia" w:ascii="仿宋" w:hAnsi="仿宋" w:eastAsia="仿宋" w:cs="仿宋"/>
          <w:b w:val="0"/>
          <w:bCs w:val="0"/>
          <w:sz w:val="32"/>
          <w:szCs w:val="32"/>
          <w:highlight w:val="none"/>
          <w:lang w:val="en-US" w:eastAsia="zh-CN"/>
        </w:rPr>
        <w:t>对过往已发放的补贴进行全面核查。责成人力资源部门补审核所有历史发放名单与金额，确认是否正确无误。如发现错发、多发，必须制定计划及时追回。</w:t>
      </w:r>
      <w:r>
        <w:rPr>
          <w:rFonts w:hint="eastAsia" w:ascii="仿宋" w:hAnsi="仿宋" w:eastAsia="仿宋" w:cs="仿宋"/>
          <w:b/>
          <w:bCs/>
          <w:sz w:val="32"/>
          <w:szCs w:val="32"/>
          <w:highlight w:val="none"/>
          <w:lang w:val="en-US" w:eastAsia="zh-CN"/>
        </w:rPr>
        <w:t>二是建立健全标准化流程（长效机制）。</w:t>
      </w:r>
      <w:r>
        <w:rPr>
          <w:rFonts w:hint="eastAsia" w:ascii="仿宋" w:hAnsi="仿宋" w:eastAsia="仿宋" w:cs="仿宋"/>
          <w:b w:val="0"/>
          <w:bCs w:val="0"/>
          <w:sz w:val="32"/>
          <w:szCs w:val="32"/>
          <w:highlight w:val="none"/>
          <w:lang w:val="en-US" w:eastAsia="zh-CN"/>
        </w:rPr>
        <w:t>必须推行“人力资源审核前置”的标准化流程，建议设计并使用统一的《退休人员补贴发放审批表》。</w:t>
      </w:r>
      <w:r>
        <w:rPr>
          <w:rFonts w:hint="eastAsia" w:ascii="仿宋" w:hAnsi="仿宋" w:eastAsia="仿宋" w:cs="仿宋"/>
          <w:b/>
          <w:bCs/>
          <w:sz w:val="32"/>
          <w:szCs w:val="32"/>
          <w:highlight w:val="none"/>
          <w:lang w:val="en-US" w:eastAsia="zh-CN"/>
        </w:rPr>
        <w:t>三是明确责任与加强监督。明确责任。</w:t>
      </w:r>
      <w:r>
        <w:rPr>
          <w:rFonts w:hint="eastAsia" w:ascii="仿宋" w:hAnsi="仿宋" w:eastAsia="仿宋" w:cs="仿宋"/>
          <w:b w:val="0"/>
          <w:bCs w:val="0"/>
          <w:sz w:val="32"/>
          <w:szCs w:val="32"/>
          <w:highlight w:val="none"/>
          <w:lang w:val="en-US" w:eastAsia="zh-CN"/>
        </w:rPr>
        <w:t>在制度中明确，人力资源部门对人员资格和标准的准确性负首要责任。财务部门对支付凭证的完整性负责。领导负最终审批责任。</w:t>
      </w:r>
      <w:r>
        <w:rPr>
          <w:rFonts w:hint="eastAsia" w:ascii="仿宋" w:hAnsi="仿宋" w:eastAsia="仿宋" w:cs="仿宋"/>
          <w:b/>
          <w:bCs/>
          <w:sz w:val="32"/>
          <w:szCs w:val="32"/>
          <w:highlight w:val="none"/>
          <w:lang w:val="en-US" w:eastAsia="zh-CN"/>
        </w:rPr>
        <w:t>加强监督。</w:t>
      </w:r>
      <w:r>
        <w:rPr>
          <w:rFonts w:hint="eastAsia" w:ascii="仿宋" w:hAnsi="仿宋" w:eastAsia="仿宋" w:cs="仿宋"/>
          <w:b w:val="0"/>
          <w:bCs w:val="0"/>
          <w:sz w:val="32"/>
          <w:szCs w:val="32"/>
          <w:highlight w:val="none"/>
          <w:lang w:val="en-US" w:eastAsia="zh-CN"/>
        </w:rPr>
        <w:t>审计或纪检部门应定期对此类支出进行专项检查，确保流程得到遵循。</w:t>
      </w:r>
    </w:p>
    <w:p w14:paraId="10583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5.工资管理“四张表、两家发”的模式是一种碎片化的管理方式，虽然可能源于历史习惯或特定管理需求，但其弊端明显，体现在以下九个方面：一是维权成本高。</w:t>
      </w:r>
      <w:r>
        <w:rPr>
          <w:rFonts w:hint="eastAsia" w:ascii="仿宋" w:hAnsi="仿宋" w:eastAsia="仿宋" w:cs="仿宋"/>
          <w:b w:val="0"/>
          <w:bCs w:val="0"/>
          <w:sz w:val="32"/>
          <w:szCs w:val="32"/>
          <w:highlight w:val="none"/>
          <w:lang w:val="en-US" w:eastAsia="zh-CN"/>
        </w:rPr>
        <w:t>如果对某一笔收入有疑问，员工需要分别向财政局和单位办公室咨询，沟通成本高，问题处理链条长。</w:t>
      </w:r>
      <w:r>
        <w:rPr>
          <w:rFonts w:hint="eastAsia" w:ascii="仿宋" w:hAnsi="仿宋" w:eastAsia="仿宋" w:cs="仿宋"/>
          <w:b/>
          <w:bCs/>
          <w:sz w:val="32"/>
          <w:szCs w:val="32"/>
          <w:highlight w:val="none"/>
          <w:lang w:val="en-US" w:eastAsia="zh-CN"/>
        </w:rPr>
        <w:t>二是数据一致性风险高。</w:t>
      </w:r>
      <w:r>
        <w:rPr>
          <w:rFonts w:hint="eastAsia" w:ascii="仿宋" w:hAnsi="仿宋" w:eastAsia="仿宋" w:cs="仿宋"/>
          <w:b w:val="0"/>
          <w:bCs w:val="0"/>
          <w:sz w:val="32"/>
          <w:szCs w:val="32"/>
          <w:highlight w:val="none"/>
          <w:lang w:val="en-US" w:eastAsia="zh-CN"/>
        </w:rPr>
        <w:t>财政统发部分和单位发放部分的基础数据（如基本工资、职级、扣款基数等）需要高度同步。任何一方的数据变动（如职级晋升、公积金调整）若未及时通知另一方，就会导致发放错误，后续纠错流程烦琐。</w:t>
      </w:r>
      <w:r>
        <w:rPr>
          <w:rFonts w:hint="eastAsia" w:ascii="仿宋" w:hAnsi="仿宋" w:eastAsia="仿宋" w:cs="仿宋"/>
          <w:b/>
          <w:bCs/>
          <w:sz w:val="32"/>
          <w:szCs w:val="32"/>
          <w:highlight w:val="none"/>
          <w:lang w:val="en-US" w:eastAsia="zh-CN"/>
        </w:rPr>
        <w:t>三是资金安全风险。</w:t>
      </w:r>
      <w:r>
        <w:rPr>
          <w:rFonts w:hint="eastAsia" w:ascii="仿宋" w:hAnsi="仿宋" w:eastAsia="仿宋" w:cs="仿宋"/>
          <w:b w:val="0"/>
          <w:bCs w:val="0"/>
          <w:sz w:val="32"/>
          <w:szCs w:val="32"/>
          <w:highlight w:val="none"/>
          <w:lang w:val="en-US" w:eastAsia="zh-CN"/>
        </w:rPr>
        <w:t>单位通常通过自有账户发放补贴，涉及资金的请款、保管、支付等环节，内部控制若不到位，存在资金安全风险。</w:t>
      </w:r>
      <w:r>
        <w:rPr>
          <w:rFonts w:hint="eastAsia" w:ascii="仿宋" w:hAnsi="仿宋" w:eastAsia="仿宋" w:cs="仿宋"/>
          <w:b/>
          <w:bCs/>
          <w:sz w:val="32"/>
          <w:szCs w:val="32"/>
          <w:highlight w:val="none"/>
          <w:lang w:val="en-US" w:eastAsia="zh-CN"/>
        </w:rPr>
        <w:t>四是人事变动同步延迟。</w:t>
      </w:r>
      <w:r>
        <w:rPr>
          <w:rFonts w:hint="eastAsia" w:ascii="仿宋" w:hAnsi="仿宋" w:eastAsia="仿宋" w:cs="仿宋"/>
          <w:b w:val="0"/>
          <w:bCs w:val="0"/>
          <w:sz w:val="32"/>
          <w:szCs w:val="32"/>
          <w:highlight w:val="none"/>
          <w:lang w:val="en-US" w:eastAsia="zh-CN"/>
        </w:rPr>
        <w:t>对于人员调入、调出、离职、退休等情况，财政局和单位办公室之间的信息传递可能存在时间差，导致多发、少发或漏发工资。</w:t>
      </w:r>
      <w:r>
        <w:rPr>
          <w:rFonts w:hint="eastAsia" w:ascii="仿宋" w:hAnsi="仿宋" w:eastAsia="仿宋" w:cs="仿宋"/>
          <w:b/>
          <w:bCs/>
          <w:sz w:val="32"/>
          <w:szCs w:val="32"/>
          <w:highlight w:val="none"/>
          <w:lang w:val="en-US" w:eastAsia="zh-CN"/>
        </w:rPr>
        <w:t>五是核算与对账复杂。</w:t>
      </w:r>
      <w:r>
        <w:rPr>
          <w:rFonts w:hint="eastAsia" w:ascii="仿宋" w:hAnsi="仿宋" w:eastAsia="仿宋" w:cs="仿宋"/>
          <w:b w:val="0"/>
          <w:bCs w:val="0"/>
          <w:sz w:val="32"/>
          <w:szCs w:val="32"/>
          <w:highlight w:val="none"/>
          <w:lang w:val="en-US" w:eastAsia="zh-CN"/>
        </w:rPr>
        <w:t>单位财务人员需要将财政发放和单位发放的两部分金额在账务上进行合并处理，期末与财政局、银行等多方对账工作量翻倍，容易出错。</w:t>
      </w:r>
      <w:r>
        <w:rPr>
          <w:rFonts w:hint="eastAsia" w:ascii="仿宋" w:hAnsi="仿宋" w:eastAsia="仿宋" w:cs="仿宋"/>
          <w:b/>
          <w:bCs/>
          <w:sz w:val="32"/>
          <w:szCs w:val="32"/>
          <w:highlight w:val="none"/>
          <w:lang w:val="en-US" w:eastAsia="zh-CN"/>
        </w:rPr>
        <w:t>六是预算编制和执行困难。</w:t>
      </w:r>
      <w:r>
        <w:rPr>
          <w:rFonts w:hint="eastAsia" w:ascii="仿宋" w:hAnsi="仿宋" w:eastAsia="仿宋" w:cs="仿宋"/>
          <w:b w:val="0"/>
          <w:bCs w:val="0"/>
          <w:sz w:val="32"/>
          <w:szCs w:val="32"/>
          <w:highlight w:val="none"/>
          <w:lang w:val="en-US" w:eastAsia="zh-CN"/>
        </w:rPr>
        <w:t>工资福利支出被分割成两块，不利于单位财务进行准确的全年人员经费预算编制，也不利于对预算执行情况进行整体把控和分析。</w:t>
      </w:r>
      <w:r>
        <w:rPr>
          <w:rFonts w:hint="eastAsia" w:ascii="仿宋" w:hAnsi="仿宋" w:eastAsia="仿宋" w:cs="仿宋"/>
          <w:b/>
          <w:bCs/>
          <w:sz w:val="32"/>
          <w:szCs w:val="32"/>
          <w:highlight w:val="none"/>
          <w:lang w:val="en-US" w:eastAsia="zh-CN"/>
        </w:rPr>
        <w:t>七是审计风险高。</w:t>
      </w:r>
      <w:r>
        <w:rPr>
          <w:rFonts w:hint="eastAsia" w:ascii="仿宋" w:hAnsi="仿宋" w:eastAsia="仿宋" w:cs="仿宋"/>
          <w:b w:val="0"/>
          <w:bCs w:val="0"/>
          <w:sz w:val="32"/>
          <w:szCs w:val="32"/>
          <w:highlight w:val="none"/>
          <w:lang w:val="en-US" w:eastAsia="zh-CN"/>
        </w:rPr>
        <w:t>这种模式在审计时会被重点关注。审计人员会审查发放依据、标准、内部控制的完整性，任何环节的疏漏都可能被提出审计质疑。津补贴的发放是否符合政策规定是审计的重中之重。</w:t>
      </w:r>
    </w:p>
    <w:p w14:paraId="6B940F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八是信息孤岛。</w:t>
      </w:r>
      <w:r>
        <w:rPr>
          <w:rFonts w:hint="eastAsia" w:ascii="仿宋" w:hAnsi="仿宋" w:eastAsia="仿宋" w:cs="仿宋"/>
          <w:b w:val="0"/>
          <w:bCs w:val="0"/>
          <w:sz w:val="32"/>
          <w:szCs w:val="32"/>
          <w:highlight w:val="none"/>
          <w:lang w:val="en-US" w:eastAsia="zh-CN"/>
        </w:rPr>
        <w:t>薪资数据分散在两套甚至多套系统中，无法形成完整、统一的人员薪酬数据库，难以进行有效的薪酬数据分析和决策支持。</w:t>
      </w:r>
      <w:r>
        <w:rPr>
          <w:rFonts w:hint="eastAsia" w:ascii="仿宋" w:hAnsi="仿宋" w:eastAsia="仿宋" w:cs="仿宋"/>
          <w:b/>
          <w:bCs/>
          <w:sz w:val="32"/>
          <w:szCs w:val="32"/>
          <w:highlight w:val="none"/>
          <w:lang w:val="en-US" w:eastAsia="zh-CN"/>
        </w:rPr>
        <w:t>九是统计报表困难。</w:t>
      </w:r>
      <w:r>
        <w:rPr>
          <w:rFonts w:hint="eastAsia" w:ascii="仿宋" w:hAnsi="仿宋" w:eastAsia="仿宋" w:cs="仿宋"/>
          <w:b w:val="0"/>
          <w:bCs w:val="0"/>
          <w:sz w:val="32"/>
          <w:szCs w:val="32"/>
          <w:highlight w:val="none"/>
          <w:lang w:val="en-US" w:eastAsia="zh-CN"/>
        </w:rPr>
        <w:t>每当需要向上级部门报送人事、工资统计报表时，需要人工从不同来源汇总数据，费时费力，且数据准确性难以保证。</w:t>
      </w:r>
    </w:p>
    <w:p w14:paraId="0C191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 xml:space="preserve">上述违反了《中华人民共和国预算法》及其实施条例 - </w:t>
      </w:r>
      <w:r>
        <w:rPr>
          <w:rFonts w:hint="eastAsia" w:ascii="仿宋" w:hAnsi="仿宋" w:eastAsia="仿宋" w:cs="仿宋"/>
          <w:b/>
          <w:bCs/>
          <w:sz w:val="32"/>
          <w:szCs w:val="32"/>
          <w:highlight w:val="none"/>
          <w:lang w:val="en-US" w:eastAsia="zh-CN"/>
        </w:rPr>
        <w:t>全口径预算与支出管理</w:t>
      </w:r>
      <w:r>
        <w:rPr>
          <w:rFonts w:hint="eastAsia" w:ascii="仿宋" w:hAnsi="仿宋" w:eastAsia="仿宋" w:cs="仿宋"/>
          <w:b w:val="0"/>
          <w:bCs w:val="0"/>
          <w:sz w:val="32"/>
          <w:szCs w:val="32"/>
          <w:highlight w:val="none"/>
          <w:lang w:val="en-US" w:eastAsia="zh-CN"/>
        </w:rPr>
        <w:t>。核心要求：政府的全部收入和支出都应当纳入预算。所有工资性支出作为单位预算的重要组成部分，必须接受严格的预算管理和控制。将工资拆分发放，尤其是使用单位“小金库”、未纳入预算的收支或其他非财政渠道的资金，规避了预算的统筹管理和监督，使得部分人员支出脱离了人大和财政的监管视野，属于典型的“预算管理碎片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 xml:space="preserve">上述违反了《政府会计制度》 - </w:t>
      </w:r>
      <w:r>
        <w:rPr>
          <w:rFonts w:hint="eastAsia" w:ascii="仿宋" w:hAnsi="仿宋" w:eastAsia="仿宋" w:cs="仿宋"/>
          <w:b/>
          <w:bCs/>
          <w:sz w:val="32"/>
          <w:szCs w:val="32"/>
          <w:highlight w:val="none"/>
          <w:lang w:val="en-US" w:eastAsia="zh-CN"/>
        </w:rPr>
        <w:t>核算的完整性与准确性。</w:t>
      </w:r>
      <w:r>
        <w:rPr>
          <w:rFonts w:hint="eastAsia" w:ascii="仿宋" w:hAnsi="仿宋" w:eastAsia="仿宋" w:cs="仿宋"/>
          <w:b w:val="0"/>
          <w:bCs w:val="0"/>
          <w:sz w:val="32"/>
          <w:szCs w:val="32"/>
          <w:highlight w:val="none"/>
          <w:lang w:val="en-US" w:eastAsia="zh-CN"/>
        </w:rPr>
        <w:t>核心要求：会计核算应当以实际发生的经济业务为依据，</w:t>
      </w:r>
      <w:r>
        <w:rPr>
          <w:rFonts w:hint="eastAsia" w:ascii="仿宋" w:hAnsi="仿宋" w:eastAsia="仿宋" w:cs="仿宋"/>
          <w:b/>
          <w:bCs/>
          <w:sz w:val="32"/>
          <w:szCs w:val="32"/>
          <w:highlight w:val="none"/>
          <w:lang w:val="en-US" w:eastAsia="zh-CN"/>
        </w:rPr>
        <w:t>真实、完整</w:t>
      </w:r>
      <w:r>
        <w:rPr>
          <w:rFonts w:hint="eastAsia" w:ascii="仿宋" w:hAnsi="仿宋" w:eastAsia="仿宋" w:cs="仿宋"/>
          <w:b w:val="0"/>
          <w:bCs w:val="0"/>
          <w:sz w:val="32"/>
          <w:szCs w:val="32"/>
          <w:highlight w:val="none"/>
          <w:lang w:val="en-US" w:eastAsia="zh-CN"/>
        </w:rPr>
        <w:t>地反映单位的财务状况和运行情况。人为将同一笔经济业务（支付职工薪酬）拆分，导致单位的“人员支出”总额在账面上无法真实、完整地体现。这扭曲了成本信息，影响了会计信息的质量，使得报表使用者无法准确了解单位真实的人工成本。</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 xml:space="preserve">上述违反了《行政事业单位内部控制规范（试行）》 - </w:t>
      </w:r>
      <w:r>
        <w:rPr>
          <w:rFonts w:hint="eastAsia" w:ascii="仿宋" w:hAnsi="仿宋" w:eastAsia="仿宋" w:cs="仿宋"/>
          <w:b/>
          <w:bCs/>
          <w:sz w:val="32"/>
          <w:szCs w:val="32"/>
          <w:highlight w:val="none"/>
          <w:lang w:val="en-US" w:eastAsia="zh-CN"/>
        </w:rPr>
        <w:t>业务归口管理与控制。</w:t>
      </w:r>
      <w:r>
        <w:rPr>
          <w:rFonts w:hint="eastAsia" w:ascii="仿宋" w:hAnsi="仿宋" w:eastAsia="仿宋" w:cs="仿宋"/>
          <w:b w:val="0"/>
          <w:bCs w:val="0"/>
          <w:sz w:val="32"/>
          <w:szCs w:val="32"/>
          <w:highlight w:val="none"/>
          <w:lang w:val="en-US" w:eastAsia="zh-CN"/>
        </w:rPr>
        <w:t>核心要求：单位应当建立健全内部控制体系，对经济活动实行归口管理。工资薪金发放作为一个完整的经济活动，应由人力资源和社会保障部门和财务部门统一审核、统一支付。“四张表、两家发”的模式破坏了业务的完整性和归口管理原则。导致审核控制弱化，人力资源和社会保障部门可能无法全面掌握职工的总收入，无法进行有效的总量控制和合规性审核。支付控制分散，财务部门无法对人员经费进行统一的支付控制和账务处理，内控环节出现断点。</w:t>
      </w:r>
    </w:p>
    <w:p w14:paraId="0343A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建议：推动整合与规范化，利用信息化手段，明确责任分工，强化内部控制，实现工资性收入的“一个标准、归口管理、统一核算、统一发放”</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一是确定终极目标，推动“工资一体化发放”。</w:t>
      </w:r>
      <w:r>
        <w:rPr>
          <w:rFonts w:hint="eastAsia" w:ascii="仿宋" w:hAnsi="仿宋" w:eastAsia="仿宋" w:cs="仿宋"/>
          <w:b w:val="0"/>
          <w:bCs w:val="0"/>
          <w:sz w:val="32"/>
          <w:szCs w:val="32"/>
          <w:highlight w:val="none"/>
          <w:lang w:val="en-US" w:eastAsia="zh-CN"/>
        </w:rPr>
        <w:t>积极与上级财政部门沟通，争取将所有合规的津补贴、绩效工资等项目全部纳入财政统发系统。由单位提供完整、准确的发放数据和依据，由财政局通过一个渠道统一发放。这是最彻底、最规范的解决方案，能从根本上解决上述所有问题。</w:t>
      </w:r>
      <w:r>
        <w:rPr>
          <w:rFonts w:hint="eastAsia" w:ascii="仿宋" w:hAnsi="仿宋" w:eastAsia="仿宋" w:cs="仿宋"/>
          <w:b/>
          <w:bCs/>
          <w:sz w:val="32"/>
          <w:szCs w:val="32"/>
          <w:highlight w:val="none"/>
          <w:lang w:val="en-US" w:eastAsia="zh-CN"/>
        </w:rPr>
        <w:t>二是优化流程与加强管理，实施现阶段过渡方案。</w:t>
      </w:r>
      <w:r>
        <w:rPr>
          <w:rFonts w:hint="eastAsia" w:ascii="仿宋" w:hAnsi="仿宋" w:eastAsia="仿宋" w:cs="仿宋"/>
          <w:b w:val="0"/>
          <w:bCs w:val="0"/>
          <w:sz w:val="32"/>
          <w:szCs w:val="32"/>
          <w:highlight w:val="none"/>
          <w:lang w:val="en-US" w:eastAsia="zh-CN"/>
        </w:rPr>
        <w:t>如果短期内无法实现全部财政统发，应采取以下措施进行优化：</w:t>
      </w:r>
      <w:r>
        <w:rPr>
          <w:rFonts w:hint="eastAsia" w:ascii="仿宋" w:hAnsi="仿宋" w:eastAsia="仿宋" w:cs="仿宋"/>
          <w:b/>
          <w:bCs/>
          <w:sz w:val="32"/>
          <w:szCs w:val="32"/>
          <w:highlight w:val="none"/>
          <w:lang w:val="en-US" w:eastAsia="zh-CN"/>
        </w:rPr>
        <w:t>①流程优化。</w:t>
      </w:r>
      <w:r>
        <w:rPr>
          <w:rFonts w:hint="eastAsia" w:ascii="仿宋" w:hAnsi="仿宋" w:eastAsia="仿宋" w:cs="仿宋"/>
          <w:b w:val="0"/>
          <w:bCs w:val="0"/>
          <w:sz w:val="32"/>
          <w:szCs w:val="32"/>
          <w:highlight w:val="none"/>
          <w:lang w:val="en-US" w:eastAsia="zh-CN"/>
        </w:rPr>
        <w:t>明确发放项目和标准，制定内部的《薪酬发放管理办法》，以书面形式明确财政统发哪些、单位发哪些，每个项目的计算标准、发放时间、责任部门，并向全体员工公示，减少误解。</w:t>
      </w:r>
      <w:r>
        <w:rPr>
          <w:rFonts w:hint="eastAsia" w:ascii="仿宋" w:hAnsi="仿宋" w:eastAsia="仿宋" w:cs="仿宋"/>
          <w:b/>
          <w:bCs/>
          <w:sz w:val="32"/>
          <w:szCs w:val="32"/>
          <w:highlight w:val="none"/>
          <w:lang w:val="en-US" w:eastAsia="zh-CN"/>
        </w:rPr>
        <w:t>②建立数据同步机制。</w:t>
      </w:r>
      <w:r>
        <w:rPr>
          <w:rFonts w:hint="eastAsia" w:ascii="仿宋" w:hAnsi="仿宋" w:eastAsia="仿宋" w:cs="仿宋"/>
          <w:b w:val="0"/>
          <w:bCs w:val="0"/>
          <w:sz w:val="32"/>
          <w:szCs w:val="32"/>
          <w:highlight w:val="none"/>
          <w:lang w:val="en-US" w:eastAsia="zh-CN"/>
        </w:rPr>
        <w:t>建立“人事-财务-办公室”联动机制。任何人员信息、薪资标准的变动，由人力资源岗统一发起，同时通知财政局对接人员和单位办公室发放负责人，确保两边数据源一致</w:t>
      </w:r>
      <w:r>
        <w:rPr>
          <w:rFonts w:hint="eastAsia" w:ascii="仿宋" w:hAnsi="仿宋" w:eastAsia="仿宋" w:cs="仿宋"/>
          <w:b/>
          <w:bCs/>
          <w:sz w:val="32"/>
          <w:szCs w:val="32"/>
          <w:highlight w:val="none"/>
          <w:lang w:val="en-US" w:eastAsia="zh-CN"/>
        </w:rPr>
        <w:t>。③合并发放时间。</w:t>
      </w:r>
      <w:r>
        <w:rPr>
          <w:rFonts w:hint="eastAsia" w:ascii="仿宋" w:hAnsi="仿宋" w:eastAsia="仿宋" w:cs="仿宋"/>
          <w:b w:val="0"/>
          <w:bCs w:val="0"/>
          <w:sz w:val="32"/>
          <w:szCs w:val="32"/>
          <w:highlight w:val="none"/>
          <w:lang w:val="en-US" w:eastAsia="zh-CN"/>
        </w:rPr>
        <w:t>尽量将单位发放的补贴与财政统发工资的到账时间安排在相近的日期，减轻员工的核算困惑。</w:t>
      </w:r>
      <w:r>
        <w:rPr>
          <w:rFonts w:hint="eastAsia" w:ascii="仿宋" w:hAnsi="仿宋" w:eastAsia="仿宋" w:cs="仿宋"/>
          <w:b/>
          <w:bCs/>
          <w:sz w:val="32"/>
          <w:szCs w:val="32"/>
          <w:highlight w:val="none"/>
          <w:lang w:val="en-US" w:eastAsia="zh-CN"/>
        </w:rPr>
        <w:t>④技术赋能。</w:t>
      </w:r>
      <w:r>
        <w:rPr>
          <w:rFonts w:hint="eastAsia" w:ascii="仿宋" w:hAnsi="仿宋" w:eastAsia="仿宋" w:cs="仿宋"/>
          <w:b w:val="0"/>
          <w:bCs w:val="0"/>
          <w:sz w:val="32"/>
          <w:szCs w:val="32"/>
          <w:highlight w:val="none"/>
          <w:lang w:val="en-US" w:eastAsia="zh-CN"/>
        </w:rPr>
        <w:t>引入或优化薪资管理系统，即使发放渠道不同，也应使用一套统一的软件或Excel模板进行所有工资项目的计算和汇总。系统应能自动生成财政统发表和单位发放表，并能合并生成一张完整的、给员工看的综合工资条（详细列出所有收入项目和扣除项目）。</w:t>
      </w:r>
      <w:r>
        <w:rPr>
          <w:rFonts w:hint="eastAsia" w:ascii="仿宋" w:hAnsi="仿宋" w:eastAsia="仿宋" w:cs="仿宋"/>
          <w:b/>
          <w:bCs/>
          <w:sz w:val="32"/>
          <w:szCs w:val="32"/>
          <w:highlight w:val="none"/>
          <w:lang w:val="en-US" w:eastAsia="zh-CN"/>
        </w:rPr>
        <w:t>⑤推广电子工资条。</w:t>
      </w:r>
      <w:r>
        <w:rPr>
          <w:rFonts w:hint="eastAsia" w:ascii="仿宋" w:hAnsi="仿宋" w:eastAsia="仿宋" w:cs="仿宋"/>
          <w:b w:val="0"/>
          <w:bCs w:val="0"/>
          <w:sz w:val="32"/>
          <w:szCs w:val="32"/>
          <w:highlight w:val="none"/>
          <w:lang w:val="en-US" w:eastAsia="zh-CN"/>
        </w:rPr>
        <w:t>通过短信、邮件或内部OA系统推送完整的电子工资条，方便员工查询、保存和核对。</w:t>
      </w:r>
      <w:r>
        <w:rPr>
          <w:rFonts w:hint="eastAsia" w:ascii="仿宋" w:hAnsi="仿宋" w:eastAsia="仿宋" w:cs="仿宋"/>
          <w:b/>
          <w:bCs/>
          <w:sz w:val="32"/>
          <w:szCs w:val="32"/>
          <w:highlight w:val="none"/>
          <w:lang w:val="en-US" w:eastAsia="zh-CN"/>
        </w:rPr>
        <w:t>⑥强化审核与监督。</w:t>
      </w:r>
      <w:r>
        <w:rPr>
          <w:rFonts w:hint="eastAsia" w:ascii="仿宋" w:hAnsi="仿宋" w:eastAsia="仿宋" w:cs="仿宋"/>
          <w:b w:val="0"/>
          <w:bCs w:val="0"/>
          <w:sz w:val="32"/>
          <w:szCs w:val="32"/>
          <w:highlight w:val="none"/>
          <w:lang w:val="en-US" w:eastAsia="zh-CN"/>
        </w:rPr>
        <w:t>单位办公室制作补贴发放表时，必须经过制表人、审核人（财务负责人）、审批人（单位分管领导）三级审核签字确认，确保数据准确、合规。</w:t>
      </w:r>
      <w:r>
        <w:rPr>
          <w:rFonts w:hint="eastAsia" w:ascii="仿宋" w:hAnsi="仿宋" w:eastAsia="仿宋" w:cs="仿宋"/>
          <w:b/>
          <w:bCs/>
          <w:sz w:val="32"/>
          <w:szCs w:val="32"/>
          <w:highlight w:val="none"/>
          <w:lang w:val="en-US" w:eastAsia="zh-CN"/>
        </w:rPr>
        <w:t>⑦定期对账与审计。</w:t>
      </w:r>
      <w:r>
        <w:rPr>
          <w:rFonts w:hint="eastAsia" w:ascii="仿宋" w:hAnsi="仿宋" w:eastAsia="仿宋" w:cs="仿宋"/>
          <w:b w:val="0"/>
          <w:bCs w:val="0"/>
          <w:sz w:val="32"/>
          <w:szCs w:val="32"/>
          <w:highlight w:val="none"/>
          <w:lang w:val="en-US" w:eastAsia="zh-CN"/>
        </w:rPr>
        <w:t>财务部门每月、每季度都要对财政发放和单位发放的记录进行核对，确保账实相符。定期邀请内审或上级审计部门进行抽查，提前发现问题。</w:t>
      </w:r>
      <w:r>
        <w:rPr>
          <w:rFonts w:hint="eastAsia" w:ascii="仿宋" w:hAnsi="仿宋" w:eastAsia="仿宋" w:cs="仿宋"/>
          <w:b/>
          <w:bCs/>
          <w:sz w:val="32"/>
          <w:szCs w:val="32"/>
          <w:highlight w:val="none"/>
          <w:lang w:val="en-US" w:eastAsia="zh-CN"/>
        </w:rPr>
        <w:t>⑧专款专用与账户管理。</w:t>
      </w:r>
      <w:r>
        <w:rPr>
          <w:rFonts w:hint="eastAsia" w:ascii="仿宋" w:hAnsi="仿宋" w:eastAsia="仿宋" w:cs="仿宋"/>
          <w:b w:val="0"/>
          <w:bCs w:val="0"/>
          <w:sz w:val="32"/>
          <w:szCs w:val="32"/>
          <w:highlight w:val="none"/>
          <w:lang w:val="en-US" w:eastAsia="zh-CN"/>
        </w:rPr>
        <w:t>对用于发放补贴的账户进行严格管理，收支清晰，杜绝与其他经费混用。</w:t>
      </w:r>
      <w:r>
        <w:rPr>
          <w:rFonts w:hint="eastAsia" w:ascii="仿宋" w:hAnsi="仿宋" w:eastAsia="仿宋" w:cs="仿宋"/>
          <w:b/>
          <w:bCs/>
          <w:sz w:val="32"/>
          <w:szCs w:val="32"/>
          <w:highlight w:val="none"/>
          <w:lang w:val="en-US" w:eastAsia="zh-CN"/>
        </w:rPr>
        <w:t>三是加强沟通与培训。对员工，</w:t>
      </w:r>
      <w:r>
        <w:rPr>
          <w:rFonts w:hint="eastAsia" w:ascii="仿宋" w:hAnsi="仿宋" w:eastAsia="仿宋" w:cs="仿宋"/>
          <w:b w:val="0"/>
          <w:bCs w:val="0"/>
          <w:sz w:val="32"/>
          <w:szCs w:val="32"/>
          <w:highlight w:val="none"/>
          <w:lang w:val="en-US" w:eastAsia="zh-CN"/>
        </w:rPr>
        <w:t>定期召开说明会或印发通知，解释工资构成和发放方式，公布咨询渠道，减少因信息不对称带来的误会。</w:t>
      </w:r>
      <w:r>
        <w:rPr>
          <w:rFonts w:hint="eastAsia" w:ascii="仿宋" w:hAnsi="仿宋" w:eastAsia="仿宋" w:cs="仿宋"/>
          <w:b/>
          <w:bCs/>
          <w:sz w:val="32"/>
          <w:szCs w:val="32"/>
          <w:highlight w:val="none"/>
          <w:lang w:val="en-US" w:eastAsia="zh-CN"/>
        </w:rPr>
        <w:t>对相关经办人员，</w:t>
      </w:r>
      <w:r>
        <w:rPr>
          <w:rFonts w:hint="eastAsia" w:ascii="仿宋" w:hAnsi="仿宋" w:eastAsia="仿宋" w:cs="仿宋"/>
          <w:b w:val="0"/>
          <w:bCs w:val="0"/>
          <w:sz w:val="32"/>
          <w:szCs w:val="32"/>
          <w:highlight w:val="none"/>
          <w:lang w:val="en-US" w:eastAsia="zh-CN"/>
        </w:rPr>
        <w:t>组织办公室、财务室人员进行业务培训，确保他们熟悉政策、精通流程、熟练操作软件，减少人为差错。</w:t>
      </w:r>
    </w:p>
    <w:p w14:paraId="5A52D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6.花名册列示个人联系电话，未列示制发责任主体，未反映本年度本部门在编人员的增减变动情况。</w:t>
      </w:r>
    </w:p>
    <w:p w14:paraId="482E7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个人信息保护法》第五条、第六条规定。处理个人信息应当遵循合法、正当、必要和诚信原则，采取对个人权益影响最小的方式，实现处理目的。在内部花名册中公开全体人员的手机号码，超出了实现人事管理目的的必要性原则。上述违反了第五十一条规定。个人信息处理者采取必要的措施确保个人信息安全。将敏感个人信息以明文形式列于表格中，且可能在部门内较广流传，存在安全隐患。</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干部人事档案工作条例》及相关配套规定。机关单位内部控制和文档管理规范，任何重要的内部管理文档，尤其是涉及人员核心信息的，都必须有明确的制发责任主体，以确保信息的权威性和在发生争议时可追溯。</w:t>
      </w:r>
    </w:p>
    <w:p w14:paraId="53A18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建议：一是处理敏感信息，严守安全底线。</w:t>
      </w:r>
      <w:r>
        <w:rPr>
          <w:rFonts w:hint="eastAsia" w:ascii="仿宋" w:hAnsi="仿宋" w:eastAsia="仿宋" w:cs="仿宋"/>
          <w:b w:val="0"/>
          <w:bCs w:val="0"/>
          <w:sz w:val="32"/>
          <w:szCs w:val="32"/>
          <w:highlight w:val="none"/>
          <w:lang w:val="en-US" w:eastAsia="zh-CN"/>
        </w:rPr>
        <w:t>从花名册中彻底删除“联系电话”一栏。员工的个人手机号码属于受法律保护的敏感信息，在通用花名册中公开存储和传阅存在严重泄漏风险。</w:t>
      </w:r>
      <w:r>
        <w:rPr>
          <w:rFonts w:hint="eastAsia" w:ascii="仿宋" w:hAnsi="仿宋" w:eastAsia="仿宋" w:cs="仿宋"/>
          <w:b/>
          <w:bCs/>
          <w:sz w:val="32"/>
          <w:szCs w:val="32"/>
          <w:highlight w:val="none"/>
          <w:lang w:val="en-US" w:eastAsia="zh-CN"/>
        </w:rPr>
        <w:t>替代方案，</w:t>
      </w:r>
      <w:r>
        <w:rPr>
          <w:rFonts w:hint="eastAsia" w:ascii="仿宋" w:hAnsi="仿宋" w:eastAsia="仿宋" w:cs="仿宋"/>
          <w:b w:val="0"/>
          <w:bCs w:val="0"/>
          <w:sz w:val="32"/>
          <w:szCs w:val="32"/>
          <w:highlight w:val="none"/>
          <w:lang w:val="en-US" w:eastAsia="zh-CN"/>
        </w:rPr>
        <w:t>内部通讯需求应通过权限受控的独立通讯录（建议仅保留办公室座机）来满足，并与花名册分开管理。</w:t>
      </w:r>
      <w:r>
        <w:rPr>
          <w:rFonts w:hint="eastAsia" w:ascii="仿宋" w:hAnsi="仿宋" w:eastAsia="仿宋" w:cs="仿宋"/>
          <w:b/>
          <w:bCs/>
          <w:sz w:val="32"/>
          <w:szCs w:val="32"/>
          <w:highlight w:val="none"/>
          <w:lang w:val="en-US" w:eastAsia="zh-CN"/>
        </w:rPr>
        <w:t>二是补全管理责任要素，明确权威来源。</w:t>
      </w:r>
      <w:r>
        <w:rPr>
          <w:rFonts w:hint="eastAsia" w:ascii="仿宋" w:hAnsi="仿宋" w:eastAsia="仿宋" w:cs="仿宋"/>
          <w:b w:val="0"/>
          <w:bCs w:val="0"/>
          <w:sz w:val="32"/>
          <w:szCs w:val="32"/>
          <w:highlight w:val="none"/>
          <w:lang w:val="en-US" w:eastAsia="zh-CN"/>
        </w:rPr>
        <w:t>在表格末尾或页眉处添加，制表部门（如：办公室）、制表人、审核人、批准领导，并预留盖章位置。最终定稿的版本应由审核人签字并加盖单位公章后，方可作为正式文件存档或在一定权限范围内使用。</w:t>
      </w:r>
      <w:r>
        <w:rPr>
          <w:rFonts w:hint="eastAsia" w:ascii="仿宋" w:hAnsi="仿宋" w:eastAsia="仿宋" w:cs="仿宋"/>
          <w:b/>
          <w:bCs/>
          <w:sz w:val="32"/>
          <w:szCs w:val="32"/>
          <w:highlight w:val="none"/>
          <w:lang w:val="en-US" w:eastAsia="zh-CN"/>
        </w:rPr>
        <w:t>三是建立花名册动态更新机制，确保信息实时准确。明确更新触发条件。</w:t>
      </w:r>
      <w:r>
        <w:rPr>
          <w:rFonts w:hint="eastAsia" w:ascii="仿宋" w:hAnsi="仿宋" w:eastAsia="仿宋" w:cs="仿宋"/>
          <w:b w:val="0"/>
          <w:bCs w:val="0"/>
          <w:sz w:val="32"/>
          <w:szCs w:val="32"/>
          <w:highlight w:val="none"/>
          <w:lang w:val="en-US" w:eastAsia="zh-CN"/>
        </w:rPr>
        <w:t>规定在发生新员工入职、人员调离/退休、职务/职级变动、学历/学位取得、政治面貌变化、联系方式变更等情况时，必须启动花名册更新流程。</w:t>
      </w:r>
      <w:r>
        <w:rPr>
          <w:rFonts w:hint="eastAsia" w:ascii="仿宋" w:hAnsi="仿宋" w:eastAsia="仿宋" w:cs="仿宋"/>
          <w:b/>
          <w:bCs/>
          <w:sz w:val="32"/>
          <w:szCs w:val="32"/>
          <w:highlight w:val="none"/>
          <w:lang w:val="en-US" w:eastAsia="zh-CN"/>
        </w:rPr>
        <w:t>明确责任人与时限。</w:t>
      </w:r>
      <w:r>
        <w:rPr>
          <w:rFonts w:hint="eastAsia" w:ascii="仿宋" w:hAnsi="仿宋" w:eastAsia="仿宋" w:cs="仿宋"/>
          <w:b w:val="0"/>
          <w:bCs w:val="0"/>
          <w:sz w:val="32"/>
          <w:szCs w:val="32"/>
          <w:highlight w:val="none"/>
          <w:lang w:val="en-US" w:eastAsia="zh-CN"/>
        </w:rPr>
        <w:t>指定专人（如组织人事干部或办公室文秘）负责花名册的维护，并规定相关信息变动发生后，必须在多少个工作日内完成花名册的更新。</w:t>
      </w:r>
      <w:r>
        <w:rPr>
          <w:rFonts w:hint="eastAsia" w:ascii="仿宋" w:hAnsi="仿宋" w:eastAsia="仿宋" w:cs="仿宋"/>
          <w:b/>
          <w:bCs/>
          <w:sz w:val="32"/>
          <w:szCs w:val="32"/>
          <w:highlight w:val="none"/>
          <w:lang w:val="en-US" w:eastAsia="zh-CN"/>
        </w:rPr>
        <w:t>建立联动核查机制。</w:t>
      </w:r>
      <w:r>
        <w:rPr>
          <w:rFonts w:hint="eastAsia" w:ascii="仿宋" w:hAnsi="仿宋" w:eastAsia="仿宋" w:cs="仿宋"/>
          <w:b w:val="0"/>
          <w:bCs w:val="0"/>
          <w:sz w:val="32"/>
          <w:szCs w:val="32"/>
          <w:highlight w:val="none"/>
          <w:lang w:val="en-US" w:eastAsia="zh-CN"/>
        </w:rPr>
        <w:t>将花名册的定期审核（如每季度或每半年）与干部人事档案核查、年度考核等工作相结合，形成制度性安排，确保花名册信息与档案记录、实际情况“三统一”。</w:t>
      </w:r>
      <w:r>
        <w:rPr>
          <w:rFonts w:hint="eastAsia" w:ascii="仿宋" w:hAnsi="仿宋" w:eastAsia="仿宋" w:cs="仿宋"/>
          <w:b/>
          <w:bCs/>
          <w:sz w:val="32"/>
          <w:szCs w:val="32"/>
          <w:highlight w:val="none"/>
          <w:lang w:val="en-US" w:eastAsia="zh-CN"/>
        </w:rPr>
        <w:t>版本管理。</w:t>
      </w:r>
      <w:r>
        <w:rPr>
          <w:rFonts w:hint="eastAsia" w:ascii="仿宋" w:hAnsi="仿宋" w:eastAsia="仿宋" w:cs="仿宋"/>
          <w:b w:val="0"/>
          <w:bCs w:val="0"/>
          <w:sz w:val="32"/>
          <w:szCs w:val="32"/>
          <w:highlight w:val="none"/>
          <w:lang w:val="en-US" w:eastAsia="zh-CN"/>
        </w:rPr>
        <w:t>对每次重大更新后形成的花名册进行版本标注和存档，明确其统计截止日期，避免新旧版本混淆。整改的核心在于从</w:t>
      </w:r>
      <w:r>
        <w:rPr>
          <w:rFonts w:hint="eastAsia" w:ascii="仿宋" w:hAnsi="仿宋" w:eastAsia="仿宋" w:cs="仿宋"/>
          <w:b/>
          <w:bCs/>
          <w:sz w:val="32"/>
          <w:szCs w:val="32"/>
          <w:highlight w:val="none"/>
          <w:lang w:val="en-US" w:eastAsia="zh-CN"/>
        </w:rPr>
        <w:t>“形式合规”</w:t>
      </w:r>
      <w:r>
        <w:rPr>
          <w:rFonts w:hint="eastAsia" w:ascii="仿宋" w:hAnsi="仿宋" w:eastAsia="仿宋" w:cs="仿宋"/>
          <w:b w:val="0"/>
          <w:bCs w:val="0"/>
          <w:sz w:val="32"/>
          <w:szCs w:val="32"/>
          <w:highlight w:val="none"/>
          <w:lang w:val="en-US" w:eastAsia="zh-CN"/>
        </w:rPr>
        <w:t>迈向</w:t>
      </w:r>
      <w:r>
        <w:rPr>
          <w:rFonts w:hint="eastAsia" w:ascii="仿宋" w:hAnsi="仿宋" w:eastAsia="仿宋" w:cs="仿宋"/>
          <w:b/>
          <w:bCs/>
          <w:sz w:val="32"/>
          <w:szCs w:val="32"/>
          <w:highlight w:val="none"/>
          <w:lang w:val="en-US" w:eastAsia="zh-CN"/>
        </w:rPr>
        <w:t>“实质合规”</w:t>
      </w:r>
      <w:r>
        <w:rPr>
          <w:rFonts w:hint="eastAsia" w:ascii="仿宋" w:hAnsi="仿宋" w:eastAsia="仿宋" w:cs="仿宋"/>
          <w:b w:val="0"/>
          <w:bCs w:val="0"/>
          <w:sz w:val="32"/>
          <w:szCs w:val="32"/>
          <w:highlight w:val="none"/>
          <w:lang w:val="en-US" w:eastAsia="zh-CN"/>
        </w:rPr>
        <w:t>和</w:t>
      </w:r>
      <w:r>
        <w:rPr>
          <w:rFonts w:hint="eastAsia" w:ascii="仿宋" w:hAnsi="仿宋" w:eastAsia="仿宋" w:cs="仿宋"/>
          <w:b/>
          <w:bCs/>
          <w:sz w:val="32"/>
          <w:szCs w:val="32"/>
          <w:highlight w:val="none"/>
          <w:lang w:val="en-US" w:eastAsia="zh-CN"/>
        </w:rPr>
        <w:t>“动态合规”</w:t>
      </w:r>
      <w:r>
        <w:rPr>
          <w:rFonts w:hint="eastAsia" w:ascii="仿宋" w:hAnsi="仿宋" w:eastAsia="仿宋" w:cs="仿宋"/>
          <w:b w:val="0"/>
          <w:bCs w:val="0"/>
          <w:sz w:val="32"/>
          <w:szCs w:val="32"/>
          <w:highlight w:val="none"/>
          <w:lang w:val="en-US" w:eastAsia="zh-CN"/>
        </w:rPr>
        <w:t>。通过删除敏感信息来规避法律风险，通过规范填写来提升数据质量，通过明确责任来加强内部控制，最后通过建立动态更新机制来确保这套基础管理工具能够持续、真实、有效地反映组织人事状况，为各项管理工作提供可靠依据。</w:t>
      </w:r>
    </w:p>
    <w:p w14:paraId="2E58F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7.存在</w:t>
      </w:r>
      <w:r>
        <w:rPr>
          <w:rFonts w:hint="eastAsia" w:ascii="仿宋" w:hAnsi="仿宋" w:eastAsia="仿宋" w:cs="仿宋"/>
          <w:b/>
          <w:bCs/>
          <w:sz w:val="32"/>
          <w:szCs w:val="32"/>
          <w:highlight w:val="none"/>
          <w:lang w:val="en-US" w:eastAsia="zh-CN"/>
        </w:rPr>
        <w:t>高志平、董立美、范静3人编制为区车江铜矿社区，工资在岳屏镇发放情况。</w:t>
      </w:r>
    </w:p>
    <w:p w14:paraId="3AA4CC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bCs/>
          <w:sz w:val="32"/>
          <w:szCs w:val="32"/>
          <w:highlight w:val="none"/>
          <w:lang w:val="en-US" w:eastAsia="zh-CN"/>
        </w:rPr>
        <w:t>违规发放津贴补贴</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根据规定，“超过规定范围发放津贴补贴”是明确的违规行为。</w:t>
      </w:r>
      <w:r>
        <w:rPr>
          <w:rFonts w:hint="default" w:ascii="仿宋" w:hAnsi="仿宋" w:eastAsia="仿宋" w:cs="仿宋"/>
          <w:b w:val="0"/>
          <w:bCs w:val="0"/>
          <w:sz w:val="32"/>
          <w:szCs w:val="32"/>
          <w:highlight w:val="none"/>
          <w:lang w:val="en-US" w:eastAsia="zh-CN"/>
        </w:rPr>
        <w:t>岳屏镇向非本单位人员发放工资，即属于此类。高志平等3人实际在岗，但这种混岗、混编、混账的做法，极易滋生管理漏洞，在审计巡察中会成为重点核查对象。</w:t>
      </w:r>
      <w:r>
        <w:rPr>
          <w:rFonts w:hint="eastAsia" w:ascii="仿宋" w:hAnsi="仿宋" w:eastAsia="仿宋" w:cs="仿宋"/>
          <w:b/>
          <w:bCs/>
          <w:sz w:val="32"/>
          <w:szCs w:val="32"/>
          <w:highlight w:val="none"/>
          <w:lang w:val="en-US" w:eastAsia="zh-CN"/>
        </w:rPr>
        <w:t>A</w:t>
      </w:r>
      <w:r>
        <w:rPr>
          <w:rFonts w:hint="default" w:ascii="仿宋" w:hAnsi="仿宋" w:eastAsia="仿宋" w:cs="仿宋"/>
          <w:b/>
          <w:bCs/>
          <w:sz w:val="32"/>
          <w:szCs w:val="32"/>
          <w:highlight w:val="none"/>
          <w:lang w:val="en-US" w:eastAsia="zh-CN"/>
        </w:rPr>
        <w:t>人员与预算主体分离</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人员编制在A单位（社区），工资却由B单位（乡镇）的财政资金发放。预算管理要求</w:t>
      </w:r>
      <w:r>
        <w:rPr>
          <w:rFonts w:hint="default" w:ascii="仿宋" w:hAnsi="仿宋" w:eastAsia="仿宋" w:cs="仿宋"/>
          <w:b/>
          <w:bCs/>
          <w:sz w:val="32"/>
          <w:szCs w:val="32"/>
          <w:highlight w:val="none"/>
          <w:lang w:val="en-US" w:eastAsia="zh-CN"/>
        </w:rPr>
        <w:t>“费随人走”</w:t>
      </w:r>
      <w:r>
        <w:rPr>
          <w:rFonts w:hint="default" w:ascii="仿宋" w:hAnsi="仿宋" w:eastAsia="仿宋" w:cs="仿宋"/>
          <w:b w:val="0"/>
          <w:bCs w:val="0"/>
          <w:sz w:val="32"/>
          <w:szCs w:val="32"/>
          <w:highlight w:val="none"/>
          <w:lang w:val="en-US" w:eastAsia="zh-CN"/>
        </w:rPr>
        <w:t>。人员经费原则上应由其</w:t>
      </w:r>
      <w:r>
        <w:rPr>
          <w:rFonts w:hint="default" w:ascii="仿宋" w:hAnsi="仿宋" w:eastAsia="仿宋" w:cs="仿宋"/>
          <w:b/>
          <w:bCs/>
          <w:sz w:val="32"/>
          <w:szCs w:val="32"/>
          <w:highlight w:val="none"/>
          <w:lang w:val="en-US" w:eastAsia="zh-CN"/>
        </w:rPr>
        <w:t>编制所在单位的预算</w:t>
      </w:r>
      <w:r>
        <w:rPr>
          <w:rFonts w:hint="default" w:ascii="仿宋" w:hAnsi="仿宋" w:eastAsia="仿宋" w:cs="仿宋"/>
          <w:b w:val="0"/>
          <w:bCs w:val="0"/>
          <w:sz w:val="32"/>
          <w:szCs w:val="32"/>
          <w:highlight w:val="none"/>
          <w:lang w:val="en-US" w:eastAsia="zh-CN"/>
        </w:rPr>
        <w:t>保障。这种做法打破了预算的归属性，使资金流与人事关系不匹配。</w:t>
      </w:r>
      <w:r>
        <w:rPr>
          <w:rFonts w:hint="eastAsia" w:ascii="仿宋" w:hAnsi="仿宋" w:eastAsia="仿宋" w:cs="仿宋"/>
          <w:b/>
          <w:bCs/>
          <w:sz w:val="32"/>
          <w:szCs w:val="32"/>
          <w:highlight w:val="none"/>
          <w:lang w:val="en-US" w:eastAsia="zh-CN"/>
        </w:rPr>
        <w:t>B</w:t>
      </w:r>
      <w:r>
        <w:rPr>
          <w:rFonts w:hint="default" w:ascii="仿宋" w:hAnsi="仿宋" w:eastAsia="仿宋" w:cs="仿宋"/>
          <w:b/>
          <w:bCs/>
          <w:sz w:val="32"/>
          <w:szCs w:val="32"/>
          <w:highlight w:val="none"/>
          <w:lang w:val="en-US" w:eastAsia="zh-CN"/>
        </w:rPr>
        <w:t>工资发放责任不明</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“岳屏镇”为何承担非本单位编制人员的工资，缺乏合法合规的委托或划转手续。</w:t>
      </w:r>
      <w:r>
        <w:rPr>
          <w:rFonts w:hint="default" w:ascii="仿宋" w:hAnsi="仿宋" w:eastAsia="仿宋" w:cs="仿宋"/>
          <w:b/>
          <w:bCs/>
          <w:sz w:val="32"/>
          <w:szCs w:val="32"/>
          <w:highlight w:val="none"/>
          <w:lang w:val="en-US" w:eastAsia="zh-CN"/>
        </w:rPr>
        <w:t>规范的工资统发流程为“编制部门核编、人社部门核人员工资、财政部门核经费、银行代发”</w:t>
      </w:r>
      <w:r>
        <w:rPr>
          <w:rFonts w:hint="default" w:ascii="仿宋" w:hAnsi="仿宋" w:eastAsia="仿宋" w:cs="仿宋"/>
          <w:b w:val="0"/>
          <w:bCs w:val="0"/>
          <w:sz w:val="32"/>
          <w:szCs w:val="32"/>
          <w:highlight w:val="none"/>
          <w:lang w:val="en-US" w:eastAsia="zh-CN"/>
        </w:rPr>
        <w:t>，各环节责任主体必须明确。</w:t>
      </w:r>
      <w:r>
        <w:rPr>
          <w:rFonts w:hint="eastAsia" w:ascii="仿宋" w:hAnsi="仿宋" w:eastAsia="仿宋" w:cs="仿宋"/>
          <w:b/>
          <w:bCs/>
          <w:sz w:val="32"/>
          <w:szCs w:val="32"/>
          <w:highlight w:val="none"/>
          <w:lang w:val="en-US" w:eastAsia="zh-CN"/>
        </w:rPr>
        <w:t>C</w:t>
      </w:r>
      <w:r>
        <w:rPr>
          <w:rFonts w:hint="default" w:ascii="仿宋" w:hAnsi="仿宋" w:eastAsia="仿宋" w:cs="仿宋"/>
          <w:b/>
          <w:bCs/>
          <w:sz w:val="32"/>
          <w:szCs w:val="32"/>
          <w:highlight w:val="none"/>
          <w:lang w:val="en-US" w:eastAsia="zh-CN"/>
        </w:rPr>
        <w:t>财务核算不清晰</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对“岳屏镇”而言，这笔支出属于“借调人员费用”、“对下级单位补助”还是其他性质，会计科目可能难以准确反映。</w:t>
      </w:r>
      <w:r>
        <w:rPr>
          <w:rFonts w:hint="default" w:ascii="仿宋" w:hAnsi="仿宋" w:eastAsia="仿宋" w:cs="仿宋"/>
          <w:b w:val="0"/>
          <w:bCs w:val="0"/>
          <w:sz w:val="32"/>
          <w:szCs w:val="32"/>
          <w:highlight w:val="none"/>
          <w:lang w:val="en-US" w:eastAsia="zh-CN"/>
        </w:rPr>
        <w:tab/>
      </w:r>
      <w:r>
        <w:rPr>
          <w:rFonts w:hint="default" w:ascii="仿宋" w:hAnsi="仿宋" w:eastAsia="仿宋" w:cs="仿宋"/>
          <w:b w:val="0"/>
          <w:bCs w:val="0"/>
          <w:sz w:val="32"/>
          <w:szCs w:val="32"/>
          <w:highlight w:val="none"/>
          <w:lang w:val="en-US" w:eastAsia="zh-CN"/>
        </w:rPr>
        <w:t>会计信息质量要求如实反映经济业务。资金用途与核算科目应真实、合法、清晰。</w:t>
      </w:r>
    </w:p>
    <w:p w14:paraId="61EC1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default" w:ascii="仿宋" w:hAnsi="仿宋" w:eastAsia="仿宋" w:cs="仿宋"/>
          <w:b/>
          <w:bCs/>
          <w:sz w:val="32"/>
          <w:szCs w:val="32"/>
          <w:highlight w:val="none"/>
          <w:lang w:val="en-US" w:eastAsia="zh-CN"/>
        </w:rPr>
        <w:t>建议：</w:t>
      </w:r>
      <w:r>
        <w:rPr>
          <w:rFonts w:hint="default" w:ascii="仿宋" w:hAnsi="仿宋" w:eastAsia="仿宋" w:cs="仿宋"/>
          <w:b w:val="0"/>
          <w:bCs w:val="0"/>
          <w:sz w:val="32"/>
          <w:szCs w:val="32"/>
          <w:highlight w:val="none"/>
          <w:lang w:val="en-US" w:eastAsia="zh-CN"/>
        </w:rPr>
        <w:t>从规范角度，向单位领导汇报此情况，推动理顺人事与预算关系。规范的做法是</w:t>
      </w:r>
      <w:r>
        <w:rPr>
          <w:rFonts w:hint="default" w:ascii="仿宋" w:hAnsi="仿宋" w:eastAsia="仿宋" w:cs="仿宋"/>
          <w:b/>
          <w:bCs/>
          <w:sz w:val="32"/>
          <w:szCs w:val="32"/>
          <w:highlight w:val="none"/>
          <w:lang w:val="en-US" w:eastAsia="zh-CN"/>
        </w:rPr>
        <w:t>“人编岗</w:t>
      </w:r>
      <w:r>
        <w:rPr>
          <w:rFonts w:hint="eastAsia" w:ascii="仿宋" w:hAnsi="仿宋" w:eastAsia="仿宋" w:cs="仿宋"/>
          <w:b/>
          <w:bCs/>
          <w:sz w:val="32"/>
          <w:szCs w:val="32"/>
          <w:highlight w:val="none"/>
          <w:lang w:val="en-US" w:eastAsia="zh-CN"/>
        </w:rPr>
        <w:t>费</w:t>
      </w:r>
      <w:r>
        <w:rPr>
          <w:rFonts w:hint="default" w:ascii="仿宋" w:hAnsi="仿宋" w:eastAsia="仿宋" w:cs="仿宋"/>
          <w:b/>
          <w:bCs/>
          <w:sz w:val="32"/>
          <w:szCs w:val="32"/>
          <w:highlight w:val="none"/>
          <w:lang w:val="en-US" w:eastAsia="zh-CN"/>
        </w:rPr>
        <w:t>”一致</w:t>
      </w:r>
      <w:r>
        <w:rPr>
          <w:rFonts w:hint="default" w:ascii="仿宋" w:hAnsi="仿宋" w:eastAsia="仿宋" w:cs="仿宋"/>
          <w:b w:val="0"/>
          <w:bCs w:val="0"/>
          <w:sz w:val="32"/>
          <w:szCs w:val="32"/>
          <w:highlight w:val="none"/>
          <w:lang w:val="en-US" w:eastAsia="zh-CN"/>
        </w:rPr>
        <w:t>，或将人员编制及工资预算关系正式划转至实际用工单位。部分地方在基层治理中可能存在特殊的人员统筹使用安排，但必须有正式的</w:t>
      </w:r>
      <w:r>
        <w:rPr>
          <w:rFonts w:hint="default" w:ascii="仿宋" w:hAnsi="仿宋" w:eastAsia="仿宋" w:cs="仿宋"/>
          <w:b/>
          <w:bCs/>
          <w:sz w:val="32"/>
          <w:szCs w:val="32"/>
          <w:highlight w:val="none"/>
          <w:lang w:val="en-US" w:eastAsia="zh-CN"/>
        </w:rPr>
        <w:t>上级文件或协议</w:t>
      </w:r>
      <w:r>
        <w:rPr>
          <w:rFonts w:hint="default" w:ascii="仿宋" w:hAnsi="仿宋" w:eastAsia="仿宋" w:cs="仿宋"/>
          <w:b w:val="0"/>
          <w:bCs w:val="0"/>
          <w:sz w:val="32"/>
          <w:szCs w:val="32"/>
          <w:highlight w:val="none"/>
          <w:lang w:val="en-US" w:eastAsia="zh-CN"/>
        </w:rPr>
        <w:t>作为依据。</w:t>
      </w:r>
    </w:p>
    <w:p w14:paraId="12943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p>
    <w:p w14:paraId="11F37C83">
      <w:pPr>
        <w:rPr>
          <w:rFonts w:hint="default"/>
          <w:lang w:val="en-US" w:eastAsia="zh-CN"/>
        </w:rPr>
      </w:pPr>
    </w:p>
    <w:p w14:paraId="2A665980">
      <w:pPr>
        <w:rPr>
          <w:rFonts w:hint="default"/>
          <w:lang w:val="en-US" w:eastAsia="zh-CN"/>
        </w:rPr>
      </w:pPr>
    </w:p>
    <w:p w14:paraId="20C7154E">
      <w:pPr>
        <w:rPr>
          <w:rFonts w:hint="default"/>
          <w:lang w:val="en-US" w:eastAsia="zh-CN"/>
        </w:rPr>
      </w:pPr>
    </w:p>
    <w:p w14:paraId="06984545">
      <w:pPr>
        <w:rPr>
          <w:rFonts w:hint="default"/>
          <w:lang w:val="en-US" w:eastAsia="zh-CN"/>
        </w:rPr>
      </w:pPr>
    </w:p>
    <w:p w14:paraId="0B83C6C8">
      <w:pPr>
        <w:rPr>
          <w:rFonts w:hint="default"/>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2025年12月7日</w:t>
            </w:r>
          </w:p>
        </w:tc>
      </w:tr>
    </w:tbl>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altName w:val="宋体"/>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2024年雁峰区车江铜矿社区服务中心整体支出绩效评价报告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C86B9F76"/>
    <w:multiLevelType w:val="singleLevel"/>
    <w:tmpl w:val="C86B9F76"/>
    <w:lvl w:ilvl="0" w:tentative="0">
      <w:start w:val="6"/>
      <w:numFmt w:val="chineseCounting"/>
      <w:suff w:val="nothing"/>
      <w:lvlText w:val="%1、"/>
      <w:lvlJc w:val="left"/>
      <w:rPr>
        <w:rFonts w:hint="eastAsia"/>
      </w:rPr>
    </w:lvl>
  </w:abstractNum>
  <w:abstractNum w:abstractNumId="4">
    <w:nsid w:val="D84C4568"/>
    <w:multiLevelType w:val="singleLevel"/>
    <w:tmpl w:val="D84C4568"/>
    <w:lvl w:ilvl="0" w:tentative="0">
      <w:start w:val="1"/>
      <w:numFmt w:val="chineseCounting"/>
      <w:suff w:val="nothing"/>
      <w:lvlText w:val="（%1）"/>
      <w:lvlJc w:val="left"/>
      <w:rPr>
        <w:rFonts w:hint="eastAsia"/>
      </w:rPr>
    </w:lvl>
  </w:abstractNum>
  <w:abstractNum w:abstractNumId="5">
    <w:nsid w:val="EBF7B6E1"/>
    <w:multiLevelType w:val="singleLevel"/>
    <w:tmpl w:val="EBF7B6E1"/>
    <w:lvl w:ilvl="0" w:tentative="0">
      <w:start w:val="1"/>
      <w:numFmt w:val="chineseCounting"/>
      <w:suff w:val="nothing"/>
      <w:lvlText w:val="（%1）"/>
      <w:lvlJc w:val="left"/>
      <w:rPr>
        <w:rFonts w:hint="eastAsia"/>
      </w:rPr>
    </w:lvl>
  </w:abstractNum>
  <w:abstractNum w:abstractNumId="6">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0AFC"/>
    <w:rsid w:val="00441793"/>
    <w:rsid w:val="0046375D"/>
    <w:rsid w:val="004E616D"/>
    <w:rsid w:val="00543B5B"/>
    <w:rsid w:val="006C4A5C"/>
    <w:rsid w:val="0075235C"/>
    <w:rsid w:val="008C4773"/>
    <w:rsid w:val="00957601"/>
    <w:rsid w:val="00AC7437"/>
    <w:rsid w:val="00CE50BF"/>
    <w:rsid w:val="00DC574A"/>
    <w:rsid w:val="00ED1E2A"/>
    <w:rsid w:val="00F114F5"/>
    <w:rsid w:val="00F96DAA"/>
    <w:rsid w:val="00FE0086"/>
    <w:rsid w:val="01017684"/>
    <w:rsid w:val="010D6479"/>
    <w:rsid w:val="01142B69"/>
    <w:rsid w:val="011655D4"/>
    <w:rsid w:val="01211959"/>
    <w:rsid w:val="013F2781"/>
    <w:rsid w:val="014F34AC"/>
    <w:rsid w:val="01543F37"/>
    <w:rsid w:val="018A7679"/>
    <w:rsid w:val="018E2466"/>
    <w:rsid w:val="0196601E"/>
    <w:rsid w:val="01967D5E"/>
    <w:rsid w:val="019755DD"/>
    <w:rsid w:val="019D115B"/>
    <w:rsid w:val="019E58B5"/>
    <w:rsid w:val="019F1377"/>
    <w:rsid w:val="01B374F8"/>
    <w:rsid w:val="01CB7507"/>
    <w:rsid w:val="01D846CD"/>
    <w:rsid w:val="01EE5E5A"/>
    <w:rsid w:val="021E5540"/>
    <w:rsid w:val="023A109F"/>
    <w:rsid w:val="023F2351"/>
    <w:rsid w:val="024C492F"/>
    <w:rsid w:val="025739FF"/>
    <w:rsid w:val="0263637C"/>
    <w:rsid w:val="026774FC"/>
    <w:rsid w:val="02811C50"/>
    <w:rsid w:val="028D5673"/>
    <w:rsid w:val="029D18A6"/>
    <w:rsid w:val="029F7154"/>
    <w:rsid w:val="02A1111E"/>
    <w:rsid w:val="02A815EB"/>
    <w:rsid w:val="02AD3FBE"/>
    <w:rsid w:val="02AE478C"/>
    <w:rsid w:val="02B50726"/>
    <w:rsid w:val="02B726F0"/>
    <w:rsid w:val="02BA21E0"/>
    <w:rsid w:val="02C443E7"/>
    <w:rsid w:val="02D42FE5"/>
    <w:rsid w:val="02F859E5"/>
    <w:rsid w:val="02F94384"/>
    <w:rsid w:val="03074E87"/>
    <w:rsid w:val="03103BAE"/>
    <w:rsid w:val="03105CDF"/>
    <w:rsid w:val="031713E0"/>
    <w:rsid w:val="031763B2"/>
    <w:rsid w:val="03191EEE"/>
    <w:rsid w:val="031D6EFB"/>
    <w:rsid w:val="03267F2A"/>
    <w:rsid w:val="03295034"/>
    <w:rsid w:val="032A758D"/>
    <w:rsid w:val="03303491"/>
    <w:rsid w:val="034A1211"/>
    <w:rsid w:val="03754F19"/>
    <w:rsid w:val="03764359"/>
    <w:rsid w:val="03773C2D"/>
    <w:rsid w:val="0391431A"/>
    <w:rsid w:val="03A3304A"/>
    <w:rsid w:val="03A36FA0"/>
    <w:rsid w:val="03A47774"/>
    <w:rsid w:val="03A5079A"/>
    <w:rsid w:val="03AA1CFF"/>
    <w:rsid w:val="03C3438E"/>
    <w:rsid w:val="03C47923"/>
    <w:rsid w:val="03CE545F"/>
    <w:rsid w:val="03D25723"/>
    <w:rsid w:val="03E64831"/>
    <w:rsid w:val="04073203"/>
    <w:rsid w:val="04125FCD"/>
    <w:rsid w:val="04160862"/>
    <w:rsid w:val="04220309"/>
    <w:rsid w:val="04245B63"/>
    <w:rsid w:val="042E3A1F"/>
    <w:rsid w:val="043229AE"/>
    <w:rsid w:val="04330D71"/>
    <w:rsid w:val="043E5100"/>
    <w:rsid w:val="04421B33"/>
    <w:rsid w:val="04460AFF"/>
    <w:rsid w:val="047100E1"/>
    <w:rsid w:val="047C774D"/>
    <w:rsid w:val="047F1C73"/>
    <w:rsid w:val="04986613"/>
    <w:rsid w:val="04B62533"/>
    <w:rsid w:val="04B70785"/>
    <w:rsid w:val="04C133B2"/>
    <w:rsid w:val="04C1427B"/>
    <w:rsid w:val="04C218DA"/>
    <w:rsid w:val="04C6380B"/>
    <w:rsid w:val="04CD774D"/>
    <w:rsid w:val="04E57AC0"/>
    <w:rsid w:val="04ED064B"/>
    <w:rsid w:val="05183F1A"/>
    <w:rsid w:val="05281683"/>
    <w:rsid w:val="05353DA0"/>
    <w:rsid w:val="053B68BC"/>
    <w:rsid w:val="05620FEB"/>
    <w:rsid w:val="056B5638"/>
    <w:rsid w:val="0571031E"/>
    <w:rsid w:val="057714C1"/>
    <w:rsid w:val="05791A70"/>
    <w:rsid w:val="058C131C"/>
    <w:rsid w:val="058C1C12"/>
    <w:rsid w:val="059C3F40"/>
    <w:rsid w:val="059E7B97"/>
    <w:rsid w:val="05A11BAC"/>
    <w:rsid w:val="05A3319B"/>
    <w:rsid w:val="05A50F26"/>
    <w:rsid w:val="05BA0D70"/>
    <w:rsid w:val="05DB66F5"/>
    <w:rsid w:val="05DE1D42"/>
    <w:rsid w:val="05E0766C"/>
    <w:rsid w:val="05F309FB"/>
    <w:rsid w:val="05F45A09"/>
    <w:rsid w:val="05F57389"/>
    <w:rsid w:val="05FA2A1A"/>
    <w:rsid w:val="05FF0279"/>
    <w:rsid w:val="06062574"/>
    <w:rsid w:val="06093E43"/>
    <w:rsid w:val="06106186"/>
    <w:rsid w:val="061B656D"/>
    <w:rsid w:val="06222576"/>
    <w:rsid w:val="062865D7"/>
    <w:rsid w:val="06316B63"/>
    <w:rsid w:val="06322AAB"/>
    <w:rsid w:val="06341813"/>
    <w:rsid w:val="06345BBB"/>
    <w:rsid w:val="064514DA"/>
    <w:rsid w:val="06462747"/>
    <w:rsid w:val="064A35D0"/>
    <w:rsid w:val="065D6663"/>
    <w:rsid w:val="0660046B"/>
    <w:rsid w:val="066A1F1E"/>
    <w:rsid w:val="06700636"/>
    <w:rsid w:val="067369FB"/>
    <w:rsid w:val="06875F36"/>
    <w:rsid w:val="068D0A84"/>
    <w:rsid w:val="069112CA"/>
    <w:rsid w:val="06930D7E"/>
    <w:rsid w:val="06B069BA"/>
    <w:rsid w:val="06C30126"/>
    <w:rsid w:val="06C57799"/>
    <w:rsid w:val="06C92D5A"/>
    <w:rsid w:val="06CC0578"/>
    <w:rsid w:val="06D86978"/>
    <w:rsid w:val="06DF5D71"/>
    <w:rsid w:val="070337A4"/>
    <w:rsid w:val="07097643"/>
    <w:rsid w:val="07143785"/>
    <w:rsid w:val="071E67C4"/>
    <w:rsid w:val="072639A0"/>
    <w:rsid w:val="072801E2"/>
    <w:rsid w:val="073F4A62"/>
    <w:rsid w:val="074D53D1"/>
    <w:rsid w:val="0756191C"/>
    <w:rsid w:val="076A180B"/>
    <w:rsid w:val="076C47A9"/>
    <w:rsid w:val="077376CB"/>
    <w:rsid w:val="07760BAA"/>
    <w:rsid w:val="078D3874"/>
    <w:rsid w:val="079468F0"/>
    <w:rsid w:val="079B120C"/>
    <w:rsid w:val="07A7684E"/>
    <w:rsid w:val="07AC013B"/>
    <w:rsid w:val="07BA10F5"/>
    <w:rsid w:val="07BB6140"/>
    <w:rsid w:val="07BB67DE"/>
    <w:rsid w:val="07BE4341"/>
    <w:rsid w:val="07D442F0"/>
    <w:rsid w:val="07E00C9C"/>
    <w:rsid w:val="07E22674"/>
    <w:rsid w:val="07ED2710"/>
    <w:rsid w:val="07F9321E"/>
    <w:rsid w:val="07FF1CDD"/>
    <w:rsid w:val="08253FEF"/>
    <w:rsid w:val="08313B80"/>
    <w:rsid w:val="083E11BD"/>
    <w:rsid w:val="084542FA"/>
    <w:rsid w:val="085821DB"/>
    <w:rsid w:val="085B544F"/>
    <w:rsid w:val="085E70A3"/>
    <w:rsid w:val="086A6018"/>
    <w:rsid w:val="087921F6"/>
    <w:rsid w:val="08A53B3F"/>
    <w:rsid w:val="08BB245F"/>
    <w:rsid w:val="08BE2639"/>
    <w:rsid w:val="08C12927"/>
    <w:rsid w:val="08C14499"/>
    <w:rsid w:val="08C8551C"/>
    <w:rsid w:val="08CD7790"/>
    <w:rsid w:val="08D33389"/>
    <w:rsid w:val="091E489D"/>
    <w:rsid w:val="09214A58"/>
    <w:rsid w:val="09322AD0"/>
    <w:rsid w:val="09436EC0"/>
    <w:rsid w:val="0949606C"/>
    <w:rsid w:val="094F2CD3"/>
    <w:rsid w:val="096B15C8"/>
    <w:rsid w:val="097F0956"/>
    <w:rsid w:val="098026A7"/>
    <w:rsid w:val="098244A7"/>
    <w:rsid w:val="098368C3"/>
    <w:rsid w:val="09964F9A"/>
    <w:rsid w:val="099A08B5"/>
    <w:rsid w:val="09A5179F"/>
    <w:rsid w:val="09B90AFC"/>
    <w:rsid w:val="09BF0001"/>
    <w:rsid w:val="09BF1E8A"/>
    <w:rsid w:val="09D70DA6"/>
    <w:rsid w:val="09E024BB"/>
    <w:rsid w:val="0A0F3905"/>
    <w:rsid w:val="0A355EA0"/>
    <w:rsid w:val="0A3D472E"/>
    <w:rsid w:val="0A4106A1"/>
    <w:rsid w:val="0A5F7F8F"/>
    <w:rsid w:val="0A653918"/>
    <w:rsid w:val="0A6E2124"/>
    <w:rsid w:val="0A863B1E"/>
    <w:rsid w:val="0A8777EC"/>
    <w:rsid w:val="0A891C20"/>
    <w:rsid w:val="0AA364AD"/>
    <w:rsid w:val="0AAC0F25"/>
    <w:rsid w:val="0AB74823"/>
    <w:rsid w:val="0ABB08A3"/>
    <w:rsid w:val="0AC21A36"/>
    <w:rsid w:val="0ADF27E4"/>
    <w:rsid w:val="0B0D610C"/>
    <w:rsid w:val="0B1A34E5"/>
    <w:rsid w:val="0B42710B"/>
    <w:rsid w:val="0B553428"/>
    <w:rsid w:val="0B6131F9"/>
    <w:rsid w:val="0B7E1DF4"/>
    <w:rsid w:val="0BAB2B32"/>
    <w:rsid w:val="0BAD643E"/>
    <w:rsid w:val="0BB72F3C"/>
    <w:rsid w:val="0BC419DA"/>
    <w:rsid w:val="0BD452F2"/>
    <w:rsid w:val="0BE45812"/>
    <w:rsid w:val="0BE71C3D"/>
    <w:rsid w:val="0BFE0100"/>
    <w:rsid w:val="0C0753B5"/>
    <w:rsid w:val="0C250048"/>
    <w:rsid w:val="0C254F7A"/>
    <w:rsid w:val="0C2B3573"/>
    <w:rsid w:val="0C3A7178"/>
    <w:rsid w:val="0C476893"/>
    <w:rsid w:val="0C5517B2"/>
    <w:rsid w:val="0C5556CA"/>
    <w:rsid w:val="0C5965C6"/>
    <w:rsid w:val="0C7476C0"/>
    <w:rsid w:val="0C7B2664"/>
    <w:rsid w:val="0C925AC4"/>
    <w:rsid w:val="0C9772B7"/>
    <w:rsid w:val="0C9E401A"/>
    <w:rsid w:val="0CA350DD"/>
    <w:rsid w:val="0CAC044E"/>
    <w:rsid w:val="0CAF0502"/>
    <w:rsid w:val="0CB841CC"/>
    <w:rsid w:val="0CBC3E25"/>
    <w:rsid w:val="0CBF0132"/>
    <w:rsid w:val="0CC06645"/>
    <w:rsid w:val="0CC852E6"/>
    <w:rsid w:val="0CCF6888"/>
    <w:rsid w:val="0CD56D9C"/>
    <w:rsid w:val="0CDB0A03"/>
    <w:rsid w:val="0CE25880"/>
    <w:rsid w:val="0CE27DCE"/>
    <w:rsid w:val="0CE5798A"/>
    <w:rsid w:val="0CF462EF"/>
    <w:rsid w:val="0CFF338E"/>
    <w:rsid w:val="0D0201EA"/>
    <w:rsid w:val="0D02609B"/>
    <w:rsid w:val="0D0332A3"/>
    <w:rsid w:val="0D1C2595"/>
    <w:rsid w:val="0D1C43CC"/>
    <w:rsid w:val="0D22141A"/>
    <w:rsid w:val="0D35644A"/>
    <w:rsid w:val="0D483858"/>
    <w:rsid w:val="0D5C5D7C"/>
    <w:rsid w:val="0D6B7889"/>
    <w:rsid w:val="0D81478E"/>
    <w:rsid w:val="0D862FC8"/>
    <w:rsid w:val="0D8A2FED"/>
    <w:rsid w:val="0D940C01"/>
    <w:rsid w:val="0D9E6986"/>
    <w:rsid w:val="0DA4187D"/>
    <w:rsid w:val="0DAB4CA3"/>
    <w:rsid w:val="0DAC2D80"/>
    <w:rsid w:val="0DAC6DFF"/>
    <w:rsid w:val="0DB461AA"/>
    <w:rsid w:val="0DB55A7E"/>
    <w:rsid w:val="0DBA6115"/>
    <w:rsid w:val="0DBB7938"/>
    <w:rsid w:val="0DC01F09"/>
    <w:rsid w:val="0DC24E06"/>
    <w:rsid w:val="0DC64126"/>
    <w:rsid w:val="0DCA29A0"/>
    <w:rsid w:val="0DD208F0"/>
    <w:rsid w:val="0DD66235"/>
    <w:rsid w:val="0DDC7AB4"/>
    <w:rsid w:val="0DE16873"/>
    <w:rsid w:val="0DE73F9D"/>
    <w:rsid w:val="0DF14288"/>
    <w:rsid w:val="0E0E0ABB"/>
    <w:rsid w:val="0E156855"/>
    <w:rsid w:val="0E180AFA"/>
    <w:rsid w:val="0E1E1689"/>
    <w:rsid w:val="0E355A5F"/>
    <w:rsid w:val="0E434CA2"/>
    <w:rsid w:val="0E452056"/>
    <w:rsid w:val="0E4A60A8"/>
    <w:rsid w:val="0E664FCA"/>
    <w:rsid w:val="0E7159E2"/>
    <w:rsid w:val="0E90419B"/>
    <w:rsid w:val="0E906868"/>
    <w:rsid w:val="0E9F40E6"/>
    <w:rsid w:val="0EAA7A46"/>
    <w:rsid w:val="0EAB349F"/>
    <w:rsid w:val="0EB151DA"/>
    <w:rsid w:val="0EB8122F"/>
    <w:rsid w:val="0EBA1FBA"/>
    <w:rsid w:val="0EBD5965"/>
    <w:rsid w:val="0EC40B28"/>
    <w:rsid w:val="0ED270CE"/>
    <w:rsid w:val="0EE30765"/>
    <w:rsid w:val="0EE875CA"/>
    <w:rsid w:val="0EEF3211"/>
    <w:rsid w:val="0F033BBE"/>
    <w:rsid w:val="0F0B71C2"/>
    <w:rsid w:val="0F16254C"/>
    <w:rsid w:val="0F1F58A5"/>
    <w:rsid w:val="0F2904D1"/>
    <w:rsid w:val="0F2E527C"/>
    <w:rsid w:val="0F333973"/>
    <w:rsid w:val="0F36499C"/>
    <w:rsid w:val="0F61365E"/>
    <w:rsid w:val="0F6C03BE"/>
    <w:rsid w:val="0F775D3E"/>
    <w:rsid w:val="0F7811AE"/>
    <w:rsid w:val="0F817B6C"/>
    <w:rsid w:val="0F8B17F6"/>
    <w:rsid w:val="0F9C62AB"/>
    <w:rsid w:val="0F9E175C"/>
    <w:rsid w:val="0FA270B4"/>
    <w:rsid w:val="0FAB006A"/>
    <w:rsid w:val="0FB10A42"/>
    <w:rsid w:val="0FDA17CC"/>
    <w:rsid w:val="0FE53F92"/>
    <w:rsid w:val="0FE90290"/>
    <w:rsid w:val="0FF67C3E"/>
    <w:rsid w:val="0FFC7697"/>
    <w:rsid w:val="100F5919"/>
    <w:rsid w:val="101E7BF6"/>
    <w:rsid w:val="10246EEB"/>
    <w:rsid w:val="10345524"/>
    <w:rsid w:val="10362DC0"/>
    <w:rsid w:val="103750DB"/>
    <w:rsid w:val="103A6D61"/>
    <w:rsid w:val="105B5D71"/>
    <w:rsid w:val="106612B1"/>
    <w:rsid w:val="107069BA"/>
    <w:rsid w:val="10762B40"/>
    <w:rsid w:val="10810372"/>
    <w:rsid w:val="1099323E"/>
    <w:rsid w:val="109B53FF"/>
    <w:rsid w:val="10AA3894"/>
    <w:rsid w:val="10AD4E1F"/>
    <w:rsid w:val="10AD6328"/>
    <w:rsid w:val="10AE5B85"/>
    <w:rsid w:val="10B2256F"/>
    <w:rsid w:val="10C8771B"/>
    <w:rsid w:val="10E2584A"/>
    <w:rsid w:val="10F770B9"/>
    <w:rsid w:val="10F9096F"/>
    <w:rsid w:val="11045EE1"/>
    <w:rsid w:val="110C12EC"/>
    <w:rsid w:val="11186A50"/>
    <w:rsid w:val="11275806"/>
    <w:rsid w:val="11456666"/>
    <w:rsid w:val="1152799A"/>
    <w:rsid w:val="11553800"/>
    <w:rsid w:val="115820C3"/>
    <w:rsid w:val="116339D1"/>
    <w:rsid w:val="1165571B"/>
    <w:rsid w:val="116972AB"/>
    <w:rsid w:val="1170063A"/>
    <w:rsid w:val="11910B2A"/>
    <w:rsid w:val="11B60016"/>
    <w:rsid w:val="11BD1BAD"/>
    <w:rsid w:val="11C22644"/>
    <w:rsid w:val="11C73FD2"/>
    <w:rsid w:val="11C90F52"/>
    <w:rsid w:val="11D53180"/>
    <w:rsid w:val="11DB182B"/>
    <w:rsid w:val="11DB47CB"/>
    <w:rsid w:val="11EA5F58"/>
    <w:rsid w:val="11F84BB9"/>
    <w:rsid w:val="12144AEB"/>
    <w:rsid w:val="12185560"/>
    <w:rsid w:val="121B783C"/>
    <w:rsid w:val="12213A4B"/>
    <w:rsid w:val="12266F4A"/>
    <w:rsid w:val="122E4051"/>
    <w:rsid w:val="1246013E"/>
    <w:rsid w:val="125A4E46"/>
    <w:rsid w:val="125B775D"/>
    <w:rsid w:val="12656690"/>
    <w:rsid w:val="126D4B79"/>
    <w:rsid w:val="126F08F1"/>
    <w:rsid w:val="12712954"/>
    <w:rsid w:val="127D5172"/>
    <w:rsid w:val="12843C71"/>
    <w:rsid w:val="12872C68"/>
    <w:rsid w:val="1288550F"/>
    <w:rsid w:val="129C457B"/>
    <w:rsid w:val="12A01767"/>
    <w:rsid w:val="12A41E2E"/>
    <w:rsid w:val="12C5502F"/>
    <w:rsid w:val="12CE0BB5"/>
    <w:rsid w:val="12D47F8E"/>
    <w:rsid w:val="12DE2F04"/>
    <w:rsid w:val="12E52E35"/>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40275A9"/>
    <w:rsid w:val="14076BA8"/>
    <w:rsid w:val="140C37B9"/>
    <w:rsid w:val="14182A2A"/>
    <w:rsid w:val="141F1EA3"/>
    <w:rsid w:val="142A5125"/>
    <w:rsid w:val="142E6F34"/>
    <w:rsid w:val="14304FFA"/>
    <w:rsid w:val="143F0CC5"/>
    <w:rsid w:val="145558C5"/>
    <w:rsid w:val="145E6E6F"/>
    <w:rsid w:val="147D4F92"/>
    <w:rsid w:val="14897C91"/>
    <w:rsid w:val="148A2C9A"/>
    <w:rsid w:val="14962256"/>
    <w:rsid w:val="14AB450A"/>
    <w:rsid w:val="14B35F82"/>
    <w:rsid w:val="14B8240A"/>
    <w:rsid w:val="14BA1BA8"/>
    <w:rsid w:val="14BC1DE8"/>
    <w:rsid w:val="14BF2D3F"/>
    <w:rsid w:val="14C21E3B"/>
    <w:rsid w:val="14C67AFB"/>
    <w:rsid w:val="14D7452C"/>
    <w:rsid w:val="14E530ED"/>
    <w:rsid w:val="14ED01F3"/>
    <w:rsid w:val="14ED5843"/>
    <w:rsid w:val="15032920"/>
    <w:rsid w:val="151439D2"/>
    <w:rsid w:val="151A411A"/>
    <w:rsid w:val="151B65FC"/>
    <w:rsid w:val="151C1DCA"/>
    <w:rsid w:val="152A4FA3"/>
    <w:rsid w:val="152E409F"/>
    <w:rsid w:val="15314652"/>
    <w:rsid w:val="153328BD"/>
    <w:rsid w:val="153E5E21"/>
    <w:rsid w:val="153F568C"/>
    <w:rsid w:val="15542020"/>
    <w:rsid w:val="15712BD2"/>
    <w:rsid w:val="1582093B"/>
    <w:rsid w:val="158703BA"/>
    <w:rsid w:val="15894CE1"/>
    <w:rsid w:val="158E5532"/>
    <w:rsid w:val="158F3058"/>
    <w:rsid w:val="1595558F"/>
    <w:rsid w:val="159863B3"/>
    <w:rsid w:val="159D39C7"/>
    <w:rsid w:val="15CB1E48"/>
    <w:rsid w:val="15D95D65"/>
    <w:rsid w:val="15E51B78"/>
    <w:rsid w:val="15E93E01"/>
    <w:rsid w:val="15F66544"/>
    <w:rsid w:val="160C46A9"/>
    <w:rsid w:val="16296B24"/>
    <w:rsid w:val="162E461F"/>
    <w:rsid w:val="162E75CC"/>
    <w:rsid w:val="16306774"/>
    <w:rsid w:val="16314110"/>
    <w:rsid w:val="163C4C29"/>
    <w:rsid w:val="1646419B"/>
    <w:rsid w:val="16465E0D"/>
    <w:rsid w:val="164E6A70"/>
    <w:rsid w:val="165764A9"/>
    <w:rsid w:val="165A3F0C"/>
    <w:rsid w:val="165D428C"/>
    <w:rsid w:val="16714EDD"/>
    <w:rsid w:val="16716242"/>
    <w:rsid w:val="1674502D"/>
    <w:rsid w:val="167D3682"/>
    <w:rsid w:val="167E22F8"/>
    <w:rsid w:val="1682657E"/>
    <w:rsid w:val="16827510"/>
    <w:rsid w:val="16931292"/>
    <w:rsid w:val="169C0F78"/>
    <w:rsid w:val="16BB3429"/>
    <w:rsid w:val="16C54A69"/>
    <w:rsid w:val="16D725CF"/>
    <w:rsid w:val="16D74A36"/>
    <w:rsid w:val="16E573D4"/>
    <w:rsid w:val="16EF70D4"/>
    <w:rsid w:val="16F13FCB"/>
    <w:rsid w:val="16F97785"/>
    <w:rsid w:val="17000058"/>
    <w:rsid w:val="1700420E"/>
    <w:rsid w:val="170A3ED8"/>
    <w:rsid w:val="170D5CC4"/>
    <w:rsid w:val="17215F32"/>
    <w:rsid w:val="17253C74"/>
    <w:rsid w:val="172D2B29"/>
    <w:rsid w:val="173E0892"/>
    <w:rsid w:val="17430EB3"/>
    <w:rsid w:val="175761FF"/>
    <w:rsid w:val="175A569D"/>
    <w:rsid w:val="175C045F"/>
    <w:rsid w:val="177C42CE"/>
    <w:rsid w:val="17956A47"/>
    <w:rsid w:val="1798391D"/>
    <w:rsid w:val="17A42169"/>
    <w:rsid w:val="17B62B1E"/>
    <w:rsid w:val="17C52AFB"/>
    <w:rsid w:val="17CC0594"/>
    <w:rsid w:val="17EC02EE"/>
    <w:rsid w:val="17F12F10"/>
    <w:rsid w:val="17FB2C27"/>
    <w:rsid w:val="18145A0D"/>
    <w:rsid w:val="18185587"/>
    <w:rsid w:val="183C0DD2"/>
    <w:rsid w:val="1862727E"/>
    <w:rsid w:val="18930AC2"/>
    <w:rsid w:val="18B232E6"/>
    <w:rsid w:val="18B31317"/>
    <w:rsid w:val="18CA2B7F"/>
    <w:rsid w:val="18D05E62"/>
    <w:rsid w:val="18D33CA4"/>
    <w:rsid w:val="19000E9A"/>
    <w:rsid w:val="19103042"/>
    <w:rsid w:val="19173A91"/>
    <w:rsid w:val="191E4E1F"/>
    <w:rsid w:val="192166BD"/>
    <w:rsid w:val="192E3215"/>
    <w:rsid w:val="193B229C"/>
    <w:rsid w:val="193F3921"/>
    <w:rsid w:val="19412BFE"/>
    <w:rsid w:val="1960649E"/>
    <w:rsid w:val="196A3BC0"/>
    <w:rsid w:val="196B6713"/>
    <w:rsid w:val="196C36C2"/>
    <w:rsid w:val="196C5B8A"/>
    <w:rsid w:val="19721E8A"/>
    <w:rsid w:val="19831DCC"/>
    <w:rsid w:val="198A065A"/>
    <w:rsid w:val="198D27BE"/>
    <w:rsid w:val="199B6790"/>
    <w:rsid w:val="199E7D0E"/>
    <w:rsid w:val="19A364CF"/>
    <w:rsid w:val="19B4308D"/>
    <w:rsid w:val="19C31523"/>
    <w:rsid w:val="19C33487"/>
    <w:rsid w:val="19C94420"/>
    <w:rsid w:val="19CA0467"/>
    <w:rsid w:val="19DA2BE1"/>
    <w:rsid w:val="19E05346"/>
    <w:rsid w:val="19F41671"/>
    <w:rsid w:val="19FD105D"/>
    <w:rsid w:val="1A02204B"/>
    <w:rsid w:val="1A0A00C9"/>
    <w:rsid w:val="1A0C111B"/>
    <w:rsid w:val="1A1136AE"/>
    <w:rsid w:val="1A1520AE"/>
    <w:rsid w:val="1A275223"/>
    <w:rsid w:val="1A2771D6"/>
    <w:rsid w:val="1A331C30"/>
    <w:rsid w:val="1A336C1E"/>
    <w:rsid w:val="1A367F46"/>
    <w:rsid w:val="1A4E5A90"/>
    <w:rsid w:val="1A512FED"/>
    <w:rsid w:val="1A570B02"/>
    <w:rsid w:val="1A5C123E"/>
    <w:rsid w:val="1A607DD7"/>
    <w:rsid w:val="1A6774E6"/>
    <w:rsid w:val="1A6D284D"/>
    <w:rsid w:val="1A80358B"/>
    <w:rsid w:val="1A8667BD"/>
    <w:rsid w:val="1A8B200C"/>
    <w:rsid w:val="1A956CF1"/>
    <w:rsid w:val="1A9941E3"/>
    <w:rsid w:val="1A9E31DD"/>
    <w:rsid w:val="1A9E44A3"/>
    <w:rsid w:val="1AA141FF"/>
    <w:rsid w:val="1AA17AB6"/>
    <w:rsid w:val="1AA42D85"/>
    <w:rsid w:val="1AAC69B5"/>
    <w:rsid w:val="1AAE7B07"/>
    <w:rsid w:val="1AAF7C6D"/>
    <w:rsid w:val="1ABE0417"/>
    <w:rsid w:val="1AC436A6"/>
    <w:rsid w:val="1ACC581E"/>
    <w:rsid w:val="1AD3193F"/>
    <w:rsid w:val="1AD627EF"/>
    <w:rsid w:val="1AD86238"/>
    <w:rsid w:val="1AE479A2"/>
    <w:rsid w:val="1AF5570C"/>
    <w:rsid w:val="1AFA6A9C"/>
    <w:rsid w:val="1AFD2812"/>
    <w:rsid w:val="1B131612"/>
    <w:rsid w:val="1B317B00"/>
    <w:rsid w:val="1B707488"/>
    <w:rsid w:val="1B7A0AA9"/>
    <w:rsid w:val="1B7E1411"/>
    <w:rsid w:val="1B8F4A8D"/>
    <w:rsid w:val="1BA553F0"/>
    <w:rsid w:val="1BAA299A"/>
    <w:rsid w:val="1BAD2058"/>
    <w:rsid w:val="1BB65A6F"/>
    <w:rsid w:val="1BD815BE"/>
    <w:rsid w:val="1BE83F4F"/>
    <w:rsid w:val="1C0302FC"/>
    <w:rsid w:val="1C142509"/>
    <w:rsid w:val="1C1F16EE"/>
    <w:rsid w:val="1C1F6B10"/>
    <w:rsid w:val="1C221F2A"/>
    <w:rsid w:val="1C2344FA"/>
    <w:rsid w:val="1C286643"/>
    <w:rsid w:val="1C5B32F3"/>
    <w:rsid w:val="1C69492B"/>
    <w:rsid w:val="1C7A7B16"/>
    <w:rsid w:val="1C7B644A"/>
    <w:rsid w:val="1C7F10E3"/>
    <w:rsid w:val="1C837694"/>
    <w:rsid w:val="1C927A29"/>
    <w:rsid w:val="1C9F39A1"/>
    <w:rsid w:val="1C9F475A"/>
    <w:rsid w:val="1CA308FE"/>
    <w:rsid w:val="1CAC44F0"/>
    <w:rsid w:val="1CCD27DE"/>
    <w:rsid w:val="1CD06430"/>
    <w:rsid w:val="1CD25DDB"/>
    <w:rsid w:val="1CD81161"/>
    <w:rsid w:val="1CDD0B4D"/>
    <w:rsid w:val="1CE855C9"/>
    <w:rsid w:val="1CE974F2"/>
    <w:rsid w:val="1D061B33"/>
    <w:rsid w:val="1D0924B1"/>
    <w:rsid w:val="1D0B425E"/>
    <w:rsid w:val="1D245888"/>
    <w:rsid w:val="1D3A5FA0"/>
    <w:rsid w:val="1D3F35B6"/>
    <w:rsid w:val="1D4110DC"/>
    <w:rsid w:val="1D444728"/>
    <w:rsid w:val="1D4A3A19"/>
    <w:rsid w:val="1D4A5B59"/>
    <w:rsid w:val="1D50131F"/>
    <w:rsid w:val="1D6645D6"/>
    <w:rsid w:val="1D7023BC"/>
    <w:rsid w:val="1D7F2BF3"/>
    <w:rsid w:val="1D845CE8"/>
    <w:rsid w:val="1D89551A"/>
    <w:rsid w:val="1D8B67FB"/>
    <w:rsid w:val="1DA1442D"/>
    <w:rsid w:val="1DA23326"/>
    <w:rsid w:val="1DAB37E2"/>
    <w:rsid w:val="1DB573D4"/>
    <w:rsid w:val="1DBB1717"/>
    <w:rsid w:val="1DCB2F5B"/>
    <w:rsid w:val="1DDC7057"/>
    <w:rsid w:val="1DEB7D24"/>
    <w:rsid w:val="1E0565AE"/>
    <w:rsid w:val="1E1124CF"/>
    <w:rsid w:val="1E192DF2"/>
    <w:rsid w:val="1E1C5753"/>
    <w:rsid w:val="1E1E31CB"/>
    <w:rsid w:val="1E221057"/>
    <w:rsid w:val="1E23318F"/>
    <w:rsid w:val="1E2D4F19"/>
    <w:rsid w:val="1E3C6829"/>
    <w:rsid w:val="1E3F1E9B"/>
    <w:rsid w:val="1E450758"/>
    <w:rsid w:val="1E4918BD"/>
    <w:rsid w:val="1E5D5BA1"/>
    <w:rsid w:val="1E606CD7"/>
    <w:rsid w:val="1E625188"/>
    <w:rsid w:val="1E635A1F"/>
    <w:rsid w:val="1E6B7566"/>
    <w:rsid w:val="1E711282"/>
    <w:rsid w:val="1E783EF3"/>
    <w:rsid w:val="1E82375A"/>
    <w:rsid w:val="1E8528CF"/>
    <w:rsid w:val="1E890F8D"/>
    <w:rsid w:val="1E8A0C48"/>
    <w:rsid w:val="1E903CEC"/>
    <w:rsid w:val="1E91399D"/>
    <w:rsid w:val="1E9439C2"/>
    <w:rsid w:val="1E957931"/>
    <w:rsid w:val="1E9F0ACC"/>
    <w:rsid w:val="1EA37B56"/>
    <w:rsid w:val="1ECE699F"/>
    <w:rsid w:val="1ECE79DD"/>
    <w:rsid w:val="1ED94129"/>
    <w:rsid w:val="1EE77A61"/>
    <w:rsid w:val="1EFA20E0"/>
    <w:rsid w:val="1EFD2393"/>
    <w:rsid w:val="1F065EF2"/>
    <w:rsid w:val="1F110314"/>
    <w:rsid w:val="1F170F70"/>
    <w:rsid w:val="1F2C36C6"/>
    <w:rsid w:val="1F2E64B0"/>
    <w:rsid w:val="1F331BA6"/>
    <w:rsid w:val="1F3360E0"/>
    <w:rsid w:val="1F38206B"/>
    <w:rsid w:val="1F3B1407"/>
    <w:rsid w:val="1F404DD2"/>
    <w:rsid w:val="1F500E1F"/>
    <w:rsid w:val="1F5A7246"/>
    <w:rsid w:val="1F5C21FD"/>
    <w:rsid w:val="1F5F5356"/>
    <w:rsid w:val="1F6B6B09"/>
    <w:rsid w:val="1F6F3700"/>
    <w:rsid w:val="1F78274B"/>
    <w:rsid w:val="1F7D3F22"/>
    <w:rsid w:val="1F7E38EF"/>
    <w:rsid w:val="1F7E3B60"/>
    <w:rsid w:val="1F937D4E"/>
    <w:rsid w:val="1F9B1C69"/>
    <w:rsid w:val="1FC72E8E"/>
    <w:rsid w:val="1FD03E69"/>
    <w:rsid w:val="1FD06EA3"/>
    <w:rsid w:val="1FEE56C8"/>
    <w:rsid w:val="1FF044EA"/>
    <w:rsid w:val="1FF74D8F"/>
    <w:rsid w:val="2011123A"/>
    <w:rsid w:val="20142AD8"/>
    <w:rsid w:val="202B4E35"/>
    <w:rsid w:val="2040567B"/>
    <w:rsid w:val="2043516B"/>
    <w:rsid w:val="204F1D62"/>
    <w:rsid w:val="204F50E3"/>
    <w:rsid w:val="20531831"/>
    <w:rsid w:val="206B09C9"/>
    <w:rsid w:val="20740615"/>
    <w:rsid w:val="20791657"/>
    <w:rsid w:val="207E61A3"/>
    <w:rsid w:val="208C266E"/>
    <w:rsid w:val="208C3A33"/>
    <w:rsid w:val="20A7394C"/>
    <w:rsid w:val="20B028B9"/>
    <w:rsid w:val="20B82C45"/>
    <w:rsid w:val="20B83463"/>
    <w:rsid w:val="20C130C2"/>
    <w:rsid w:val="20CC30EE"/>
    <w:rsid w:val="20D47DCE"/>
    <w:rsid w:val="20D51E07"/>
    <w:rsid w:val="20D9164A"/>
    <w:rsid w:val="20DA5073"/>
    <w:rsid w:val="20DA5ACF"/>
    <w:rsid w:val="20E22BD6"/>
    <w:rsid w:val="20F82C6C"/>
    <w:rsid w:val="20FA0A99"/>
    <w:rsid w:val="20FE18B0"/>
    <w:rsid w:val="2107361C"/>
    <w:rsid w:val="210E6EDF"/>
    <w:rsid w:val="211C60E8"/>
    <w:rsid w:val="21283337"/>
    <w:rsid w:val="212925B3"/>
    <w:rsid w:val="212A1E87"/>
    <w:rsid w:val="212E1977"/>
    <w:rsid w:val="213673FE"/>
    <w:rsid w:val="214E5B76"/>
    <w:rsid w:val="215267DE"/>
    <w:rsid w:val="215B0293"/>
    <w:rsid w:val="21676E41"/>
    <w:rsid w:val="216D0BA0"/>
    <w:rsid w:val="217537B9"/>
    <w:rsid w:val="2188552B"/>
    <w:rsid w:val="21902632"/>
    <w:rsid w:val="21924322"/>
    <w:rsid w:val="21964C43"/>
    <w:rsid w:val="219E4D4F"/>
    <w:rsid w:val="21A13B19"/>
    <w:rsid w:val="21AF0D0A"/>
    <w:rsid w:val="21CC6CC6"/>
    <w:rsid w:val="21D0786F"/>
    <w:rsid w:val="21DF2D22"/>
    <w:rsid w:val="21E408A9"/>
    <w:rsid w:val="21EA6F2F"/>
    <w:rsid w:val="21EC1864"/>
    <w:rsid w:val="21EF3EC7"/>
    <w:rsid w:val="21F204F5"/>
    <w:rsid w:val="21F430C2"/>
    <w:rsid w:val="21FF50C2"/>
    <w:rsid w:val="220041D9"/>
    <w:rsid w:val="220A5F40"/>
    <w:rsid w:val="220B1D86"/>
    <w:rsid w:val="220B3CA8"/>
    <w:rsid w:val="22123047"/>
    <w:rsid w:val="2219330B"/>
    <w:rsid w:val="22361059"/>
    <w:rsid w:val="2238523E"/>
    <w:rsid w:val="22435553"/>
    <w:rsid w:val="225455D2"/>
    <w:rsid w:val="227331B1"/>
    <w:rsid w:val="22775899"/>
    <w:rsid w:val="227D2BB6"/>
    <w:rsid w:val="22A53EBB"/>
    <w:rsid w:val="22B57049"/>
    <w:rsid w:val="230633CA"/>
    <w:rsid w:val="230C1041"/>
    <w:rsid w:val="230F0CBA"/>
    <w:rsid w:val="23163D80"/>
    <w:rsid w:val="231D7E1D"/>
    <w:rsid w:val="232667AF"/>
    <w:rsid w:val="232C1EE7"/>
    <w:rsid w:val="234207E5"/>
    <w:rsid w:val="23494ECF"/>
    <w:rsid w:val="234E4979"/>
    <w:rsid w:val="2352435A"/>
    <w:rsid w:val="23542AC1"/>
    <w:rsid w:val="236203FB"/>
    <w:rsid w:val="23645B24"/>
    <w:rsid w:val="236D42CA"/>
    <w:rsid w:val="2374336A"/>
    <w:rsid w:val="237613B4"/>
    <w:rsid w:val="238910E7"/>
    <w:rsid w:val="239A1546"/>
    <w:rsid w:val="23B1211E"/>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77478"/>
    <w:rsid w:val="244839EA"/>
    <w:rsid w:val="244C4E24"/>
    <w:rsid w:val="245C4A4D"/>
    <w:rsid w:val="24635A19"/>
    <w:rsid w:val="24780534"/>
    <w:rsid w:val="2480073C"/>
    <w:rsid w:val="24850BE6"/>
    <w:rsid w:val="24B16B47"/>
    <w:rsid w:val="24C778B4"/>
    <w:rsid w:val="24D25EE9"/>
    <w:rsid w:val="24D32F62"/>
    <w:rsid w:val="24D40A88"/>
    <w:rsid w:val="24D61CD0"/>
    <w:rsid w:val="24DC16EA"/>
    <w:rsid w:val="24E64719"/>
    <w:rsid w:val="24EE3D24"/>
    <w:rsid w:val="24F030F2"/>
    <w:rsid w:val="250467D9"/>
    <w:rsid w:val="250A44A9"/>
    <w:rsid w:val="250A5253"/>
    <w:rsid w:val="25122D5D"/>
    <w:rsid w:val="251D3FC0"/>
    <w:rsid w:val="25254322"/>
    <w:rsid w:val="25261647"/>
    <w:rsid w:val="25275183"/>
    <w:rsid w:val="25357D1C"/>
    <w:rsid w:val="25381CE0"/>
    <w:rsid w:val="253B0B07"/>
    <w:rsid w:val="253D2630"/>
    <w:rsid w:val="25467197"/>
    <w:rsid w:val="254774AC"/>
    <w:rsid w:val="25560250"/>
    <w:rsid w:val="255761C5"/>
    <w:rsid w:val="2563762C"/>
    <w:rsid w:val="257007B0"/>
    <w:rsid w:val="257D2ECD"/>
    <w:rsid w:val="25821466"/>
    <w:rsid w:val="25842805"/>
    <w:rsid w:val="25873D4C"/>
    <w:rsid w:val="259322B4"/>
    <w:rsid w:val="25965391"/>
    <w:rsid w:val="25A53853"/>
    <w:rsid w:val="25A6572B"/>
    <w:rsid w:val="25AE3087"/>
    <w:rsid w:val="25AF5988"/>
    <w:rsid w:val="25BC6855"/>
    <w:rsid w:val="25C52C92"/>
    <w:rsid w:val="25DA526E"/>
    <w:rsid w:val="25EC2454"/>
    <w:rsid w:val="25EE5B79"/>
    <w:rsid w:val="26197F8E"/>
    <w:rsid w:val="261E6BA2"/>
    <w:rsid w:val="262F7F34"/>
    <w:rsid w:val="263712CE"/>
    <w:rsid w:val="26385E8A"/>
    <w:rsid w:val="263E265D"/>
    <w:rsid w:val="26607A60"/>
    <w:rsid w:val="266D4CF0"/>
    <w:rsid w:val="26773DC1"/>
    <w:rsid w:val="268931AA"/>
    <w:rsid w:val="269F41B3"/>
    <w:rsid w:val="26A175D1"/>
    <w:rsid w:val="26B90BBD"/>
    <w:rsid w:val="26C443E1"/>
    <w:rsid w:val="26CD1C32"/>
    <w:rsid w:val="26D0702D"/>
    <w:rsid w:val="26DB30B5"/>
    <w:rsid w:val="26DD00C8"/>
    <w:rsid w:val="26DF742E"/>
    <w:rsid w:val="26F074B1"/>
    <w:rsid w:val="270A253F"/>
    <w:rsid w:val="270C4FC5"/>
    <w:rsid w:val="27127645"/>
    <w:rsid w:val="272301A4"/>
    <w:rsid w:val="27244E5A"/>
    <w:rsid w:val="273121F9"/>
    <w:rsid w:val="27354EC1"/>
    <w:rsid w:val="273B34AE"/>
    <w:rsid w:val="274E0EEF"/>
    <w:rsid w:val="2755492F"/>
    <w:rsid w:val="27555BC1"/>
    <w:rsid w:val="27565140"/>
    <w:rsid w:val="276F5D75"/>
    <w:rsid w:val="276F6846"/>
    <w:rsid w:val="278D3D61"/>
    <w:rsid w:val="2791112C"/>
    <w:rsid w:val="279679E3"/>
    <w:rsid w:val="27BA131D"/>
    <w:rsid w:val="27BD1CA7"/>
    <w:rsid w:val="27BD3EC2"/>
    <w:rsid w:val="27C313CD"/>
    <w:rsid w:val="27C61578"/>
    <w:rsid w:val="27CB7F20"/>
    <w:rsid w:val="27DB6949"/>
    <w:rsid w:val="27DD762A"/>
    <w:rsid w:val="27ED7B74"/>
    <w:rsid w:val="27F92A22"/>
    <w:rsid w:val="27FB46DA"/>
    <w:rsid w:val="28275AF0"/>
    <w:rsid w:val="283D6944"/>
    <w:rsid w:val="28427C92"/>
    <w:rsid w:val="28475108"/>
    <w:rsid w:val="284F17D4"/>
    <w:rsid w:val="28575047"/>
    <w:rsid w:val="28745BEF"/>
    <w:rsid w:val="2880617F"/>
    <w:rsid w:val="28817483"/>
    <w:rsid w:val="288307FB"/>
    <w:rsid w:val="288376B0"/>
    <w:rsid w:val="288E20B9"/>
    <w:rsid w:val="28B62261"/>
    <w:rsid w:val="28C76B60"/>
    <w:rsid w:val="28E61013"/>
    <w:rsid w:val="28F12CF2"/>
    <w:rsid w:val="28F827CB"/>
    <w:rsid w:val="28F90ABD"/>
    <w:rsid w:val="28FB2A87"/>
    <w:rsid w:val="29143B49"/>
    <w:rsid w:val="29290B96"/>
    <w:rsid w:val="292B0388"/>
    <w:rsid w:val="292E2EDE"/>
    <w:rsid w:val="293F5790"/>
    <w:rsid w:val="29512576"/>
    <w:rsid w:val="29514455"/>
    <w:rsid w:val="29591B52"/>
    <w:rsid w:val="29593727"/>
    <w:rsid w:val="296070AC"/>
    <w:rsid w:val="29696464"/>
    <w:rsid w:val="297445E7"/>
    <w:rsid w:val="297F67EF"/>
    <w:rsid w:val="298C36DF"/>
    <w:rsid w:val="299010C2"/>
    <w:rsid w:val="299041AF"/>
    <w:rsid w:val="29997556"/>
    <w:rsid w:val="29AD4EDD"/>
    <w:rsid w:val="29CC761E"/>
    <w:rsid w:val="29DE0E87"/>
    <w:rsid w:val="29E05449"/>
    <w:rsid w:val="29E24ED4"/>
    <w:rsid w:val="29EE3795"/>
    <w:rsid w:val="29F13DA9"/>
    <w:rsid w:val="2A056A4F"/>
    <w:rsid w:val="2A390B59"/>
    <w:rsid w:val="2A3E73D9"/>
    <w:rsid w:val="2A502A30"/>
    <w:rsid w:val="2A502FEB"/>
    <w:rsid w:val="2A596352"/>
    <w:rsid w:val="2A71692E"/>
    <w:rsid w:val="2A83594F"/>
    <w:rsid w:val="2A8A2271"/>
    <w:rsid w:val="2A8B37C2"/>
    <w:rsid w:val="2AB71864"/>
    <w:rsid w:val="2ABA427C"/>
    <w:rsid w:val="2AC633CF"/>
    <w:rsid w:val="2AD551AF"/>
    <w:rsid w:val="2AD9612A"/>
    <w:rsid w:val="2AE24705"/>
    <w:rsid w:val="2AF23A16"/>
    <w:rsid w:val="2AF75AE0"/>
    <w:rsid w:val="2AF91248"/>
    <w:rsid w:val="2B0100FD"/>
    <w:rsid w:val="2B081734"/>
    <w:rsid w:val="2B09317D"/>
    <w:rsid w:val="2B116592"/>
    <w:rsid w:val="2B181536"/>
    <w:rsid w:val="2B2C6BA2"/>
    <w:rsid w:val="2B341EF0"/>
    <w:rsid w:val="2B3D4992"/>
    <w:rsid w:val="2B3D7387"/>
    <w:rsid w:val="2B544339"/>
    <w:rsid w:val="2B5B15BB"/>
    <w:rsid w:val="2B634FBD"/>
    <w:rsid w:val="2B764647"/>
    <w:rsid w:val="2B830CED"/>
    <w:rsid w:val="2B842931"/>
    <w:rsid w:val="2B842DE8"/>
    <w:rsid w:val="2B8815F9"/>
    <w:rsid w:val="2B8F1669"/>
    <w:rsid w:val="2B960AC3"/>
    <w:rsid w:val="2B9C3BC7"/>
    <w:rsid w:val="2BA75E7D"/>
    <w:rsid w:val="2BAE2033"/>
    <w:rsid w:val="2BBD4024"/>
    <w:rsid w:val="2BCA6741"/>
    <w:rsid w:val="2BDD1F05"/>
    <w:rsid w:val="2BDF043E"/>
    <w:rsid w:val="2BEE68D3"/>
    <w:rsid w:val="2C091017"/>
    <w:rsid w:val="2C093EC7"/>
    <w:rsid w:val="2C181352"/>
    <w:rsid w:val="2C1D1E6D"/>
    <w:rsid w:val="2C2045B2"/>
    <w:rsid w:val="2C210A56"/>
    <w:rsid w:val="2C22657D"/>
    <w:rsid w:val="2C2E0D4E"/>
    <w:rsid w:val="2C2E1BA9"/>
    <w:rsid w:val="2C31056E"/>
    <w:rsid w:val="2C493B09"/>
    <w:rsid w:val="2C5A7AC4"/>
    <w:rsid w:val="2C66290D"/>
    <w:rsid w:val="2C703257"/>
    <w:rsid w:val="2C710EE2"/>
    <w:rsid w:val="2C797E8C"/>
    <w:rsid w:val="2C895EB5"/>
    <w:rsid w:val="2C981092"/>
    <w:rsid w:val="2C9D3A89"/>
    <w:rsid w:val="2CB2345D"/>
    <w:rsid w:val="2CB92402"/>
    <w:rsid w:val="2CC3566A"/>
    <w:rsid w:val="2CEC5E40"/>
    <w:rsid w:val="2D0B6A5D"/>
    <w:rsid w:val="2D11433C"/>
    <w:rsid w:val="2D123224"/>
    <w:rsid w:val="2D2154E0"/>
    <w:rsid w:val="2D2D1B91"/>
    <w:rsid w:val="2D3043FB"/>
    <w:rsid w:val="2D455999"/>
    <w:rsid w:val="2D4C0AA8"/>
    <w:rsid w:val="2D560DCD"/>
    <w:rsid w:val="2D8A7EAC"/>
    <w:rsid w:val="2DA326E8"/>
    <w:rsid w:val="2DBB27E5"/>
    <w:rsid w:val="2DC1265E"/>
    <w:rsid w:val="2DCC46A5"/>
    <w:rsid w:val="2DD60AAE"/>
    <w:rsid w:val="2DEA3ADD"/>
    <w:rsid w:val="2DEC6E42"/>
    <w:rsid w:val="2E060D0E"/>
    <w:rsid w:val="2E0C4DEE"/>
    <w:rsid w:val="2E144526"/>
    <w:rsid w:val="2E1562CD"/>
    <w:rsid w:val="2E2111E7"/>
    <w:rsid w:val="2E230AA6"/>
    <w:rsid w:val="2E262354"/>
    <w:rsid w:val="2E2843FB"/>
    <w:rsid w:val="2E294772"/>
    <w:rsid w:val="2E2E799A"/>
    <w:rsid w:val="2E3063D5"/>
    <w:rsid w:val="2E336C50"/>
    <w:rsid w:val="2E400F3C"/>
    <w:rsid w:val="2E4B2482"/>
    <w:rsid w:val="2E57625B"/>
    <w:rsid w:val="2E5B0E2E"/>
    <w:rsid w:val="2E6279C6"/>
    <w:rsid w:val="2E635A59"/>
    <w:rsid w:val="2EAA5F11"/>
    <w:rsid w:val="2EB72AA3"/>
    <w:rsid w:val="2EC600FF"/>
    <w:rsid w:val="2EC639EA"/>
    <w:rsid w:val="2EC733AD"/>
    <w:rsid w:val="2ECB4CA9"/>
    <w:rsid w:val="2ED27DE6"/>
    <w:rsid w:val="2EE45D6B"/>
    <w:rsid w:val="2EEE2BA1"/>
    <w:rsid w:val="2EF16F7E"/>
    <w:rsid w:val="2EFE507F"/>
    <w:rsid w:val="2EFF2BA5"/>
    <w:rsid w:val="2F0C4C23"/>
    <w:rsid w:val="2F1C5505"/>
    <w:rsid w:val="2F394689"/>
    <w:rsid w:val="2F3B0811"/>
    <w:rsid w:val="2F594288"/>
    <w:rsid w:val="2F6110DD"/>
    <w:rsid w:val="2F62059B"/>
    <w:rsid w:val="2F66436B"/>
    <w:rsid w:val="2F6856D6"/>
    <w:rsid w:val="2F75131F"/>
    <w:rsid w:val="2F806FFC"/>
    <w:rsid w:val="2F843AFF"/>
    <w:rsid w:val="2F8512FC"/>
    <w:rsid w:val="2F856F8B"/>
    <w:rsid w:val="2F987F32"/>
    <w:rsid w:val="2FA86D99"/>
    <w:rsid w:val="2FAD5F0B"/>
    <w:rsid w:val="2FB120F1"/>
    <w:rsid w:val="2FBA5EDC"/>
    <w:rsid w:val="2FBE78D3"/>
    <w:rsid w:val="2FC736C3"/>
    <w:rsid w:val="2FCD3757"/>
    <w:rsid w:val="2FCF25FE"/>
    <w:rsid w:val="2FDB0F1C"/>
    <w:rsid w:val="2FDE27BA"/>
    <w:rsid w:val="2FE74BAE"/>
    <w:rsid w:val="2FF540FA"/>
    <w:rsid w:val="2FF54C06"/>
    <w:rsid w:val="2FFE2E5D"/>
    <w:rsid w:val="30003A4C"/>
    <w:rsid w:val="30030473"/>
    <w:rsid w:val="30040A11"/>
    <w:rsid w:val="30146793"/>
    <w:rsid w:val="30147BBD"/>
    <w:rsid w:val="301B7CA8"/>
    <w:rsid w:val="30466CDD"/>
    <w:rsid w:val="305731A1"/>
    <w:rsid w:val="306F0A59"/>
    <w:rsid w:val="3082680F"/>
    <w:rsid w:val="309243C0"/>
    <w:rsid w:val="309C0D26"/>
    <w:rsid w:val="309E140D"/>
    <w:rsid w:val="30A457B2"/>
    <w:rsid w:val="30AD45FE"/>
    <w:rsid w:val="30B52A83"/>
    <w:rsid w:val="30B755D1"/>
    <w:rsid w:val="30C9346B"/>
    <w:rsid w:val="30C95EA8"/>
    <w:rsid w:val="30E7256B"/>
    <w:rsid w:val="31012C04"/>
    <w:rsid w:val="310668FC"/>
    <w:rsid w:val="310E70CF"/>
    <w:rsid w:val="31327262"/>
    <w:rsid w:val="31375948"/>
    <w:rsid w:val="313F4FFA"/>
    <w:rsid w:val="31402948"/>
    <w:rsid w:val="314760EE"/>
    <w:rsid w:val="315076E8"/>
    <w:rsid w:val="315A745C"/>
    <w:rsid w:val="315B61CA"/>
    <w:rsid w:val="31634B42"/>
    <w:rsid w:val="317319DE"/>
    <w:rsid w:val="319A665C"/>
    <w:rsid w:val="31A72A29"/>
    <w:rsid w:val="31AD2471"/>
    <w:rsid w:val="31AD7BE9"/>
    <w:rsid w:val="31B50B0C"/>
    <w:rsid w:val="31C07AE8"/>
    <w:rsid w:val="31C75008"/>
    <w:rsid w:val="31D50D66"/>
    <w:rsid w:val="31DA4405"/>
    <w:rsid w:val="31DB16A7"/>
    <w:rsid w:val="31F2450F"/>
    <w:rsid w:val="32087FC3"/>
    <w:rsid w:val="32143204"/>
    <w:rsid w:val="32186458"/>
    <w:rsid w:val="321E77E6"/>
    <w:rsid w:val="321F3CD8"/>
    <w:rsid w:val="32236288"/>
    <w:rsid w:val="322D1335"/>
    <w:rsid w:val="32544FB6"/>
    <w:rsid w:val="3260443B"/>
    <w:rsid w:val="32672F3B"/>
    <w:rsid w:val="32676A97"/>
    <w:rsid w:val="32751B8C"/>
    <w:rsid w:val="327A1535"/>
    <w:rsid w:val="327F76D8"/>
    <w:rsid w:val="32851613"/>
    <w:rsid w:val="3288246C"/>
    <w:rsid w:val="32926B0B"/>
    <w:rsid w:val="329454D3"/>
    <w:rsid w:val="32A63A63"/>
    <w:rsid w:val="32A95302"/>
    <w:rsid w:val="32AF0265"/>
    <w:rsid w:val="32BE5501"/>
    <w:rsid w:val="32D47F84"/>
    <w:rsid w:val="32D87995"/>
    <w:rsid w:val="32D92259"/>
    <w:rsid w:val="32D92CDB"/>
    <w:rsid w:val="32DA6D7E"/>
    <w:rsid w:val="32DB1C5F"/>
    <w:rsid w:val="32EA681C"/>
    <w:rsid w:val="32EC5C70"/>
    <w:rsid w:val="32EE1841"/>
    <w:rsid w:val="32FF4F22"/>
    <w:rsid w:val="33014A95"/>
    <w:rsid w:val="33022C64"/>
    <w:rsid w:val="3308789D"/>
    <w:rsid w:val="33095DA0"/>
    <w:rsid w:val="331462D9"/>
    <w:rsid w:val="331A61FF"/>
    <w:rsid w:val="331D2CEA"/>
    <w:rsid w:val="332B3F69"/>
    <w:rsid w:val="332C69B5"/>
    <w:rsid w:val="3341340F"/>
    <w:rsid w:val="33460345"/>
    <w:rsid w:val="33514C1C"/>
    <w:rsid w:val="33580FD6"/>
    <w:rsid w:val="335C57D6"/>
    <w:rsid w:val="33812D41"/>
    <w:rsid w:val="33835B53"/>
    <w:rsid w:val="33941B0E"/>
    <w:rsid w:val="33B51A84"/>
    <w:rsid w:val="33B55D30"/>
    <w:rsid w:val="33C42EFC"/>
    <w:rsid w:val="33C61EE3"/>
    <w:rsid w:val="33CC5059"/>
    <w:rsid w:val="33D068BE"/>
    <w:rsid w:val="33D72BA4"/>
    <w:rsid w:val="33E915F3"/>
    <w:rsid w:val="33F14E3F"/>
    <w:rsid w:val="33F43719"/>
    <w:rsid w:val="33FE6037"/>
    <w:rsid w:val="34002C60"/>
    <w:rsid w:val="34224B16"/>
    <w:rsid w:val="343017E0"/>
    <w:rsid w:val="344057F2"/>
    <w:rsid w:val="344175CA"/>
    <w:rsid w:val="34470F4D"/>
    <w:rsid w:val="344D7F0F"/>
    <w:rsid w:val="3458039D"/>
    <w:rsid w:val="34593FB8"/>
    <w:rsid w:val="345A3198"/>
    <w:rsid w:val="34757B91"/>
    <w:rsid w:val="34790259"/>
    <w:rsid w:val="347D07F4"/>
    <w:rsid w:val="347E1FD2"/>
    <w:rsid w:val="34833825"/>
    <w:rsid w:val="348558FB"/>
    <w:rsid w:val="3490711A"/>
    <w:rsid w:val="34A246FE"/>
    <w:rsid w:val="34AE2A73"/>
    <w:rsid w:val="34BD32E6"/>
    <w:rsid w:val="34C40D15"/>
    <w:rsid w:val="34C617CF"/>
    <w:rsid w:val="34CD748C"/>
    <w:rsid w:val="34DB5183"/>
    <w:rsid w:val="34DC3ECC"/>
    <w:rsid w:val="34E24AFB"/>
    <w:rsid w:val="34E54528"/>
    <w:rsid w:val="34EB675E"/>
    <w:rsid w:val="350902DA"/>
    <w:rsid w:val="35132F06"/>
    <w:rsid w:val="35144DC0"/>
    <w:rsid w:val="3518051D"/>
    <w:rsid w:val="352132DA"/>
    <w:rsid w:val="35284C04"/>
    <w:rsid w:val="35310C1F"/>
    <w:rsid w:val="35397B62"/>
    <w:rsid w:val="354D5B85"/>
    <w:rsid w:val="35707279"/>
    <w:rsid w:val="3578720D"/>
    <w:rsid w:val="357D4824"/>
    <w:rsid w:val="358160C2"/>
    <w:rsid w:val="35902DB7"/>
    <w:rsid w:val="35A27F45"/>
    <w:rsid w:val="35AD1CD3"/>
    <w:rsid w:val="35AF0108"/>
    <w:rsid w:val="35B12CA3"/>
    <w:rsid w:val="35C169CA"/>
    <w:rsid w:val="35CA69B5"/>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8E703A"/>
    <w:rsid w:val="36C4095C"/>
    <w:rsid w:val="36D64360"/>
    <w:rsid w:val="36E515F1"/>
    <w:rsid w:val="36E82F71"/>
    <w:rsid w:val="36E903C3"/>
    <w:rsid w:val="36FB1EA4"/>
    <w:rsid w:val="370944C7"/>
    <w:rsid w:val="370C7B03"/>
    <w:rsid w:val="37214898"/>
    <w:rsid w:val="37255FFD"/>
    <w:rsid w:val="37323B03"/>
    <w:rsid w:val="374019EB"/>
    <w:rsid w:val="3747333B"/>
    <w:rsid w:val="37494B6F"/>
    <w:rsid w:val="374A4436"/>
    <w:rsid w:val="374A6F7B"/>
    <w:rsid w:val="374C6AA7"/>
    <w:rsid w:val="374E2388"/>
    <w:rsid w:val="375430B6"/>
    <w:rsid w:val="377048B9"/>
    <w:rsid w:val="3776710C"/>
    <w:rsid w:val="379540A7"/>
    <w:rsid w:val="379C34DB"/>
    <w:rsid w:val="37A662B4"/>
    <w:rsid w:val="37AC319E"/>
    <w:rsid w:val="37C96CE5"/>
    <w:rsid w:val="37CA566B"/>
    <w:rsid w:val="37D2672A"/>
    <w:rsid w:val="37D3697D"/>
    <w:rsid w:val="37E172EC"/>
    <w:rsid w:val="37E623B5"/>
    <w:rsid w:val="37E82428"/>
    <w:rsid w:val="37E87724"/>
    <w:rsid w:val="37F222D9"/>
    <w:rsid w:val="37FA50C2"/>
    <w:rsid w:val="38003798"/>
    <w:rsid w:val="380803DD"/>
    <w:rsid w:val="38080D1C"/>
    <w:rsid w:val="380D40C9"/>
    <w:rsid w:val="380E46BF"/>
    <w:rsid w:val="38170F5F"/>
    <w:rsid w:val="38194CD8"/>
    <w:rsid w:val="38234CA6"/>
    <w:rsid w:val="38241F15"/>
    <w:rsid w:val="38292433"/>
    <w:rsid w:val="38313807"/>
    <w:rsid w:val="383832E4"/>
    <w:rsid w:val="38412DA1"/>
    <w:rsid w:val="384A512D"/>
    <w:rsid w:val="3853724F"/>
    <w:rsid w:val="386341A5"/>
    <w:rsid w:val="387A2D4D"/>
    <w:rsid w:val="389A08FE"/>
    <w:rsid w:val="38A241A6"/>
    <w:rsid w:val="38A464F9"/>
    <w:rsid w:val="38A528A2"/>
    <w:rsid w:val="38A677FE"/>
    <w:rsid w:val="38B14F10"/>
    <w:rsid w:val="38D4441C"/>
    <w:rsid w:val="38E52E0C"/>
    <w:rsid w:val="38FA30DF"/>
    <w:rsid w:val="39046EC4"/>
    <w:rsid w:val="390908A8"/>
    <w:rsid w:val="391060DB"/>
    <w:rsid w:val="391B25BA"/>
    <w:rsid w:val="393950DD"/>
    <w:rsid w:val="393B2A2C"/>
    <w:rsid w:val="39462F2A"/>
    <w:rsid w:val="394F0285"/>
    <w:rsid w:val="3954386D"/>
    <w:rsid w:val="39564958"/>
    <w:rsid w:val="395A201B"/>
    <w:rsid w:val="395D6E46"/>
    <w:rsid w:val="396C150B"/>
    <w:rsid w:val="39730417"/>
    <w:rsid w:val="399034BF"/>
    <w:rsid w:val="399D7242"/>
    <w:rsid w:val="39A15CD6"/>
    <w:rsid w:val="39A60AF6"/>
    <w:rsid w:val="39AF6EAD"/>
    <w:rsid w:val="39B17496"/>
    <w:rsid w:val="39B506F2"/>
    <w:rsid w:val="39C03197"/>
    <w:rsid w:val="39C66799"/>
    <w:rsid w:val="39E03482"/>
    <w:rsid w:val="39F107F1"/>
    <w:rsid w:val="3A021CB9"/>
    <w:rsid w:val="3A082F84"/>
    <w:rsid w:val="3A234D7B"/>
    <w:rsid w:val="3A3A1AE8"/>
    <w:rsid w:val="3A3B7187"/>
    <w:rsid w:val="3A4A73CA"/>
    <w:rsid w:val="3A667F7C"/>
    <w:rsid w:val="3A6F38E4"/>
    <w:rsid w:val="3A726921"/>
    <w:rsid w:val="3A7D53E1"/>
    <w:rsid w:val="3A87079F"/>
    <w:rsid w:val="3A8E29D3"/>
    <w:rsid w:val="3A903883"/>
    <w:rsid w:val="3A9E3272"/>
    <w:rsid w:val="3AA50161"/>
    <w:rsid w:val="3AC0143A"/>
    <w:rsid w:val="3AD249E7"/>
    <w:rsid w:val="3ADF3C25"/>
    <w:rsid w:val="3AE11DE1"/>
    <w:rsid w:val="3AE16E49"/>
    <w:rsid w:val="3AFA0DF0"/>
    <w:rsid w:val="3B0F5F1E"/>
    <w:rsid w:val="3B1039F4"/>
    <w:rsid w:val="3B217306"/>
    <w:rsid w:val="3B293484"/>
    <w:rsid w:val="3B2F1426"/>
    <w:rsid w:val="3B381D4F"/>
    <w:rsid w:val="3B433CCB"/>
    <w:rsid w:val="3B4A3779"/>
    <w:rsid w:val="3B5953EB"/>
    <w:rsid w:val="3B69348E"/>
    <w:rsid w:val="3B6E698C"/>
    <w:rsid w:val="3B7874E6"/>
    <w:rsid w:val="3B7B4311"/>
    <w:rsid w:val="3B8E0546"/>
    <w:rsid w:val="3B92543E"/>
    <w:rsid w:val="3B997AE8"/>
    <w:rsid w:val="3B9A4359"/>
    <w:rsid w:val="3B9D79CE"/>
    <w:rsid w:val="3BA96B71"/>
    <w:rsid w:val="3BAB20EB"/>
    <w:rsid w:val="3BAC1821"/>
    <w:rsid w:val="3BAC5E63"/>
    <w:rsid w:val="3BAC628D"/>
    <w:rsid w:val="3BC60A9D"/>
    <w:rsid w:val="3BD11DBB"/>
    <w:rsid w:val="3BD81646"/>
    <w:rsid w:val="3BE164EA"/>
    <w:rsid w:val="3BE81FCD"/>
    <w:rsid w:val="3BEA0701"/>
    <w:rsid w:val="3BEE28FF"/>
    <w:rsid w:val="3BF61B6B"/>
    <w:rsid w:val="3BFC64A2"/>
    <w:rsid w:val="3C0B0DDB"/>
    <w:rsid w:val="3C4877ED"/>
    <w:rsid w:val="3C4B1FA8"/>
    <w:rsid w:val="3C547B47"/>
    <w:rsid w:val="3C5A58BF"/>
    <w:rsid w:val="3C5B37E7"/>
    <w:rsid w:val="3C6127A9"/>
    <w:rsid w:val="3C636171"/>
    <w:rsid w:val="3C664263"/>
    <w:rsid w:val="3C706B34"/>
    <w:rsid w:val="3C8674DF"/>
    <w:rsid w:val="3C911248"/>
    <w:rsid w:val="3C9A5CBB"/>
    <w:rsid w:val="3CA479E0"/>
    <w:rsid w:val="3CBD3289"/>
    <w:rsid w:val="3CC243E3"/>
    <w:rsid w:val="3CCC214C"/>
    <w:rsid w:val="3CD147A4"/>
    <w:rsid w:val="3CD5706C"/>
    <w:rsid w:val="3CD66855"/>
    <w:rsid w:val="3CDA6FAE"/>
    <w:rsid w:val="3CDF60CE"/>
    <w:rsid w:val="3CE6634A"/>
    <w:rsid w:val="3CF85FDC"/>
    <w:rsid w:val="3CF93E6F"/>
    <w:rsid w:val="3D0329CE"/>
    <w:rsid w:val="3D134DE8"/>
    <w:rsid w:val="3D3A30E3"/>
    <w:rsid w:val="3D424389"/>
    <w:rsid w:val="3D482D9A"/>
    <w:rsid w:val="3D504798"/>
    <w:rsid w:val="3D5B0736"/>
    <w:rsid w:val="3D5C0760"/>
    <w:rsid w:val="3D5E3B4D"/>
    <w:rsid w:val="3D63018E"/>
    <w:rsid w:val="3D6407A3"/>
    <w:rsid w:val="3D9C2824"/>
    <w:rsid w:val="3DAE5EC2"/>
    <w:rsid w:val="3DB95AEB"/>
    <w:rsid w:val="3DBC024A"/>
    <w:rsid w:val="3DCF659A"/>
    <w:rsid w:val="3DD96D0B"/>
    <w:rsid w:val="3DDF0D0F"/>
    <w:rsid w:val="3DEC0798"/>
    <w:rsid w:val="3DEC564C"/>
    <w:rsid w:val="3DEE5BAB"/>
    <w:rsid w:val="3DFD4AF1"/>
    <w:rsid w:val="3E104487"/>
    <w:rsid w:val="3E1D4AF4"/>
    <w:rsid w:val="3E1E6276"/>
    <w:rsid w:val="3E276F6E"/>
    <w:rsid w:val="3E317495"/>
    <w:rsid w:val="3E4B4094"/>
    <w:rsid w:val="3E4D4B98"/>
    <w:rsid w:val="3E636451"/>
    <w:rsid w:val="3E650719"/>
    <w:rsid w:val="3E69030B"/>
    <w:rsid w:val="3E6F5651"/>
    <w:rsid w:val="3E8D3D29"/>
    <w:rsid w:val="3E95498C"/>
    <w:rsid w:val="3EA1684F"/>
    <w:rsid w:val="3EBA2645"/>
    <w:rsid w:val="3ED63527"/>
    <w:rsid w:val="3ED67B55"/>
    <w:rsid w:val="3EE70C7C"/>
    <w:rsid w:val="3EEF6C51"/>
    <w:rsid w:val="3EF075F6"/>
    <w:rsid w:val="3EF74D33"/>
    <w:rsid w:val="3F0120EC"/>
    <w:rsid w:val="3F057D64"/>
    <w:rsid w:val="3F063FF5"/>
    <w:rsid w:val="3F075CC4"/>
    <w:rsid w:val="3F0D6C18"/>
    <w:rsid w:val="3F187CFD"/>
    <w:rsid w:val="3F21712E"/>
    <w:rsid w:val="3F275F2C"/>
    <w:rsid w:val="3F285DF0"/>
    <w:rsid w:val="3F2C29E1"/>
    <w:rsid w:val="3F300C1F"/>
    <w:rsid w:val="3F384C10"/>
    <w:rsid w:val="3F410957"/>
    <w:rsid w:val="3F463D6D"/>
    <w:rsid w:val="3F586511"/>
    <w:rsid w:val="3F5A28C3"/>
    <w:rsid w:val="3F740A45"/>
    <w:rsid w:val="3F8E5733"/>
    <w:rsid w:val="3FA163F2"/>
    <w:rsid w:val="3FA4757D"/>
    <w:rsid w:val="3FA5067B"/>
    <w:rsid w:val="3FAA3C10"/>
    <w:rsid w:val="3FB43DF9"/>
    <w:rsid w:val="3FD3204B"/>
    <w:rsid w:val="3FDB4706"/>
    <w:rsid w:val="3FF51B86"/>
    <w:rsid w:val="3FFD6C8D"/>
    <w:rsid w:val="4010076E"/>
    <w:rsid w:val="40193A36"/>
    <w:rsid w:val="401B483B"/>
    <w:rsid w:val="40204729"/>
    <w:rsid w:val="402C3B0D"/>
    <w:rsid w:val="404011A2"/>
    <w:rsid w:val="40402FA6"/>
    <w:rsid w:val="40584539"/>
    <w:rsid w:val="405D1A2A"/>
    <w:rsid w:val="40612D9E"/>
    <w:rsid w:val="40635A95"/>
    <w:rsid w:val="40782251"/>
    <w:rsid w:val="408A2001"/>
    <w:rsid w:val="40A23968"/>
    <w:rsid w:val="40B445FE"/>
    <w:rsid w:val="40BA4B7E"/>
    <w:rsid w:val="40C55EA8"/>
    <w:rsid w:val="40C61775"/>
    <w:rsid w:val="40CF687B"/>
    <w:rsid w:val="40DB409D"/>
    <w:rsid w:val="40E35B04"/>
    <w:rsid w:val="40E972DF"/>
    <w:rsid w:val="40ED136E"/>
    <w:rsid w:val="40F24F08"/>
    <w:rsid w:val="41076FBE"/>
    <w:rsid w:val="41126768"/>
    <w:rsid w:val="411E6EBB"/>
    <w:rsid w:val="412160C9"/>
    <w:rsid w:val="41250249"/>
    <w:rsid w:val="412D5718"/>
    <w:rsid w:val="41480E16"/>
    <w:rsid w:val="414B08D8"/>
    <w:rsid w:val="414C2E08"/>
    <w:rsid w:val="414F3F68"/>
    <w:rsid w:val="41582082"/>
    <w:rsid w:val="41821212"/>
    <w:rsid w:val="41872CB2"/>
    <w:rsid w:val="41874A60"/>
    <w:rsid w:val="41982020"/>
    <w:rsid w:val="41AE1418"/>
    <w:rsid w:val="41BA6D64"/>
    <w:rsid w:val="41BE544A"/>
    <w:rsid w:val="41C4132E"/>
    <w:rsid w:val="41D35EF7"/>
    <w:rsid w:val="41DA7286"/>
    <w:rsid w:val="41FD3677"/>
    <w:rsid w:val="41FD4053"/>
    <w:rsid w:val="42063A3A"/>
    <w:rsid w:val="4214405D"/>
    <w:rsid w:val="42171D70"/>
    <w:rsid w:val="42183589"/>
    <w:rsid w:val="422A6DE4"/>
    <w:rsid w:val="42341E97"/>
    <w:rsid w:val="42376E3B"/>
    <w:rsid w:val="42613503"/>
    <w:rsid w:val="42755200"/>
    <w:rsid w:val="427721CF"/>
    <w:rsid w:val="428627B5"/>
    <w:rsid w:val="429A0F55"/>
    <w:rsid w:val="42A31D6D"/>
    <w:rsid w:val="42AA3A13"/>
    <w:rsid w:val="42AC6B19"/>
    <w:rsid w:val="42B20202"/>
    <w:rsid w:val="42B67CE3"/>
    <w:rsid w:val="42BB7663"/>
    <w:rsid w:val="42C24431"/>
    <w:rsid w:val="42C700D1"/>
    <w:rsid w:val="42CB0D1B"/>
    <w:rsid w:val="42CB7EE2"/>
    <w:rsid w:val="42CD30A6"/>
    <w:rsid w:val="42F779C3"/>
    <w:rsid w:val="430D110E"/>
    <w:rsid w:val="430D368B"/>
    <w:rsid w:val="431C167A"/>
    <w:rsid w:val="431E02ED"/>
    <w:rsid w:val="433E55F2"/>
    <w:rsid w:val="4355293C"/>
    <w:rsid w:val="43827BD5"/>
    <w:rsid w:val="438356FB"/>
    <w:rsid w:val="438374A9"/>
    <w:rsid w:val="438C7FE1"/>
    <w:rsid w:val="43970571"/>
    <w:rsid w:val="43994DD7"/>
    <w:rsid w:val="439B2D87"/>
    <w:rsid w:val="43A53412"/>
    <w:rsid w:val="43AC3ED1"/>
    <w:rsid w:val="43BC275F"/>
    <w:rsid w:val="43BE41CB"/>
    <w:rsid w:val="43F16B09"/>
    <w:rsid w:val="43F202D8"/>
    <w:rsid w:val="43F45BD0"/>
    <w:rsid w:val="43FB478E"/>
    <w:rsid w:val="43FC6D22"/>
    <w:rsid w:val="440873F8"/>
    <w:rsid w:val="441049B7"/>
    <w:rsid w:val="4411001F"/>
    <w:rsid w:val="44112439"/>
    <w:rsid w:val="44142073"/>
    <w:rsid w:val="44204C51"/>
    <w:rsid w:val="44301B45"/>
    <w:rsid w:val="443C78D0"/>
    <w:rsid w:val="443F3F3E"/>
    <w:rsid w:val="44555450"/>
    <w:rsid w:val="445D7297"/>
    <w:rsid w:val="44633349"/>
    <w:rsid w:val="446403A9"/>
    <w:rsid w:val="446A1915"/>
    <w:rsid w:val="446B5E6B"/>
    <w:rsid w:val="44790B63"/>
    <w:rsid w:val="4491109A"/>
    <w:rsid w:val="449C1238"/>
    <w:rsid w:val="449F0024"/>
    <w:rsid w:val="449F5E85"/>
    <w:rsid w:val="44A1052F"/>
    <w:rsid w:val="44AD5B3A"/>
    <w:rsid w:val="44B10EA1"/>
    <w:rsid w:val="44B53FC2"/>
    <w:rsid w:val="44B546FA"/>
    <w:rsid w:val="44BF2CE3"/>
    <w:rsid w:val="44C13F54"/>
    <w:rsid w:val="44C401EC"/>
    <w:rsid w:val="44D80E18"/>
    <w:rsid w:val="44D83825"/>
    <w:rsid w:val="44E14D9A"/>
    <w:rsid w:val="44E16B7D"/>
    <w:rsid w:val="44EA7277"/>
    <w:rsid w:val="44EC452F"/>
    <w:rsid w:val="44FC597B"/>
    <w:rsid w:val="451707F1"/>
    <w:rsid w:val="451A1577"/>
    <w:rsid w:val="451A6CEE"/>
    <w:rsid w:val="451E70F3"/>
    <w:rsid w:val="452901CE"/>
    <w:rsid w:val="452D580C"/>
    <w:rsid w:val="453E08E3"/>
    <w:rsid w:val="45500BC7"/>
    <w:rsid w:val="456078ED"/>
    <w:rsid w:val="456F753C"/>
    <w:rsid w:val="4570761C"/>
    <w:rsid w:val="457C5F26"/>
    <w:rsid w:val="458A4B1F"/>
    <w:rsid w:val="45975CBC"/>
    <w:rsid w:val="45AA3413"/>
    <w:rsid w:val="45C30031"/>
    <w:rsid w:val="45C53E45"/>
    <w:rsid w:val="45D36920"/>
    <w:rsid w:val="45D43FEC"/>
    <w:rsid w:val="45D60368"/>
    <w:rsid w:val="46001285"/>
    <w:rsid w:val="46050649"/>
    <w:rsid w:val="462211FB"/>
    <w:rsid w:val="462417D4"/>
    <w:rsid w:val="462E5DF2"/>
    <w:rsid w:val="46302433"/>
    <w:rsid w:val="463A4797"/>
    <w:rsid w:val="463C5F52"/>
    <w:rsid w:val="46431172"/>
    <w:rsid w:val="464521E7"/>
    <w:rsid w:val="46455732"/>
    <w:rsid w:val="46495120"/>
    <w:rsid w:val="465D66F5"/>
    <w:rsid w:val="466B19C4"/>
    <w:rsid w:val="467D4684"/>
    <w:rsid w:val="468269BA"/>
    <w:rsid w:val="46AB281B"/>
    <w:rsid w:val="46B67B95"/>
    <w:rsid w:val="46C329DE"/>
    <w:rsid w:val="46C97C75"/>
    <w:rsid w:val="46D00C57"/>
    <w:rsid w:val="46D6477E"/>
    <w:rsid w:val="46D851CA"/>
    <w:rsid w:val="46E14C12"/>
    <w:rsid w:val="46E3355B"/>
    <w:rsid w:val="46E94D27"/>
    <w:rsid w:val="46EF27ED"/>
    <w:rsid w:val="46EF355C"/>
    <w:rsid w:val="46F663C7"/>
    <w:rsid w:val="471274C2"/>
    <w:rsid w:val="47233BB3"/>
    <w:rsid w:val="472657A6"/>
    <w:rsid w:val="47304C90"/>
    <w:rsid w:val="473110DC"/>
    <w:rsid w:val="473F25F0"/>
    <w:rsid w:val="473F3908"/>
    <w:rsid w:val="47406A95"/>
    <w:rsid w:val="474C71FC"/>
    <w:rsid w:val="474D5189"/>
    <w:rsid w:val="474D6260"/>
    <w:rsid w:val="4754581B"/>
    <w:rsid w:val="475A449F"/>
    <w:rsid w:val="475D1DCE"/>
    <w:rsid w:val="47625A6E"/>
    <w:rsid w:val="47644DAE"/>
    <w:rsid w:val="4779309D"/>
    <w:rsid w:val="477F442B"/>
    <w:rsid w:val="478A7058"/>
    <w:rsid w:val="478C6CF3"/>
    <w:rsid w:val="478F28C0"/>
    <w:rsid w:val="479202CF"/>
    <w:rsid w:val="47925F0D"/>
    <w:rsid w:val="47946129"/>
    <w:rsid w:val="47963FF7"/>
    <w:rsid w:val="47A3636C"/>
    <w:rsid w:val="47A80D71"/>
    <w:rsid w:val="47A85096"/>
    <w:rsid w:val="47AD0D2F"/>
    <w:rsid w:val="47AF44AD"/>
    <w:rsid w:val="47AF4D11"/>
    <w:rsid w:val="47B425AF"/>
    <w:rsid w:val="47C54534"/>
    <w:rsid w:val="47C75C4C"/>
    <w:rsid w:val="47CD0DEC"/>
    <w:rsid w:val="47CD5197"/>
    <w:rsid w:val="47D112E0"/>
    <w:rsid w:val="47F00E85"/>
    <w:rsid w:val="47F1579B"/>
    <w:rsid w:val="48041AAC"/>
    <w:rsid w:val="480D3A23"/>
    <w:rsid w:val="483A0C1F"/>
    <w:rsid w:val="4846741F"/>
    <w:rsid w:val="484D0086"/>
    <w:rsid w:val="484E4529"/>
    <w:rsid w:val="485C55E7"/>
    <w:rsid w:val="485C7379"/>
    <w:rsid w:val="487D4E0F"/>
    <w:rsid w:val="488E0B1A"/>
    <w:rsid w:val="48954542"/>
    <w:rsid w:val="489C48EF"/>
    <w:rsid w:val="48AB372A"/>
    <w:rsid w:val="48B06F92"/>
    <w:rsid w:val="48D72771"/>
    <w:rsid w:val="48D90193"/>
    <w:rsid w:val="48DA7B6B"/>
    <w:rsid w:val="48E54B66"/>
    <w:rsid w:val="48F01FB9"/>
    <w:rsid w:val="49173469"/>
    <w:rsid w:val="49175151"/>
    <w:rsid w:val="492872E4"/>
    <w:rsid w:val="492A4964"/>
    <w:rsid w:val="493A64EB"/>
    <w:rsid w:val="4941303B"/>
    <w:rsid w:val="4941669C"/>
    <w:rsid w:val="4949284A"/>
    <w:rsid w:val="494B6C4D"/>
    <w:rsid w:val="4958156F"/>
    <w:rsid w:val="495D296B"/>
    <w:rsid w:val="496941FF"/>
    <w:rsid w:val="496C2214"/>
    <w:rsid w:val="496D5E51"/>
    <w:rsid w:val="496D6036"/>
    <w:rsid w:val="496D7ED3"/>
    <w:rsid w:val="49706721"/>
    <w:rsid w:val="49790663"/>
    <w:rsid w:val="49822BAA"/>
    <w:rsid w:val="49861160"/>
    <w:rsid w:val="49883A05"/>
    <w:rsid w:val="49933A5A"/>
    <w:rsid w:val="49A14359"/>
    <w:rsid w:val="49AF10F0"/>
    <w:rsid w:val="49B74940"/>
    <w:rsid w:val="49C03205"/>
    <w:rsid w:val="49C04C0E"/>
    <w:rsid w:val="49C11CF5"/>
    <w:rsid w:val="49C2084A"/>
    <w:rsid w:val="49C660D4"/>
    <w:rsid w:val="49D16BE6"/>
    <w:rsid w:val="49F044ED"/>
    <w:rsid w:val="49FD12F9"/>
    <w:rsid w:val="49FE5F91"/>
    <w:rsid w:val="4A026F25"/>
    <w:rsid w:val="4A0E4BFD"/>
    <w:rsid w:val="4A113742"/>
    <w:rsid w:val="4A1A5506"/>
    <w:rsid w:val="4A1C041F"/>
    <w:rsid w:val="4A2026B1"/>
    <w:rsid w:val="4A372155"/>
    <w:rsid w:val="4A3749D0"/>
    <w:rsid w:val="4A3D7280"/>
    <w:rsid w:val="4A553B36"/>
    <w:rsid w:val="4A5A2744"/>
    <w:rsid w:val="4A626327"/>
    <w:rsid w:val="4A6726BA"/>
    <w:rsid w:val="4A783AE0"/>
    <w:rsid w:val="4A8A6B0D"/>
    <w:rsid w:val="4A8E3F79"/>
    <w:rsid w:val="4A8F7AF1"/>
    <w:rsid w:val="4AA448D5"/>
    <w:rsid w:val="4ACC7988"/>
    <w:rsid w:val="4ACF669A"/>
    <w:rsid w:val="4AD877C8"/>
    <w:rsid w:val="4ADA535A"/>
    <w:rsid w:val="4AE271AB"/>
    <w:rsid w:val="4AE65A17"/>
    <w:rsid w:val="4AEA67B3"/>
    <w:rsid w:val="4B2E0642"/>
    <w:rsid w:val="4B3734F6"/>
    <w:rsid w:val="4B3B7A64"/>
    <w:rsid w:val="4B4900AE"/>
    <w:rsid w:val="4B6021EA"/>
    <w:rsid w:val="4B6B0F4E"/>
    <w:rsid w:val="4B6F679E"/>
    <w:rsid w:val="4B83273C"/>
    <w:rsid w:val="4B840262"/>
    <w:rsid w:val="4BB5666E"/>
    <w:rsid w:val="4BB906DD"/>
    <w:rsid w:val="4BEB6533"/>
    <w:rsid w:val="4BFB0C29"/>
    <w:rsid w:val="4BFF74B1"/>
    <w:rsid w:val="4C0263CE"/>
    <w:rsid w:val="4C0473C6"/>
    <w:rsid w:val="4C2537F3"/>
    <w:rsid w:val="4C2555A1"/>
    <w:rsid w:val="4C266086"/>
    <w:rsid w:val="4C3618DB"/>
    <w:rsid w:val="4C3673D0"/>
    <w:rsid w:val="4C4F0AB3"/>
    <w:rsid w:val="4C531C47"/>
    <w:rsid w:val="4C586FC6"/>
    <w:rsid w:val="4C5D0796"/>
    <w:rsid w:val="4C6360FE"/>
    <w:rsid w:val="4C72455F"/>
    <w:rsid w:val="4C793B3F"/>
    <w:rsid w:val="4C8E75EA"/>
    <w:rsid w:val="4C9C194B"/>
    <w:rsid w:val="4CC01CF8"/>
    <w:rsid w:val="4CC15AE1"/>
    <w:rsid w:val="4CC35BEB"/>
    <w:rsid w:val="4CCF60BD"/>
    <w:rsid w:val="4CD02929"/>
    <w:rsid w:val="4CD370C7"/>
    <w:rsid w:val="4CDE5035"/>
    <w:rsid w:val="4CE41265"/>
    <w:rsid w:val="4CEE4C2A"/>
    <w:rsid w:val="4D103667"/>
    <w:rsid w:val="4D144D0B"/>
    <w:rsid w:val="4D185106"/>
    <w:rsid w:val="4D1A59F9"/>
    <w:rsid w:val="4D363E53"/>
    <w:rsid w:val="4D3701CB"/>
    <w:rsid w:val="4D386DDA"/>
    <w:rsid w:val="4D4B7AFC"/>
    <w:rsid w:val="4D715F84"/>
    <w:rsid w:val="4D7851EB"/>
    <w:rsid w:val="4D8F6A66"/>
    <w:rsid w:val="4D9229C5"/>
    <w:rsid w:val="4D930C30"/>
    <w:rsid w:val="4D953FDE"/>
    <w:rsid w:val="4D9B543E"/>
    <w:rsid w:val="4D9C7AE5"/>
    <w:rsid w:val="4D9E1AAF"/>
    <w:rsid w:val="4DA501AA"/>
    <w:rsid w:val="4DAA3EA7"/>
    <w:rsid w:val="4DB36BDD"/>
    <w:rsid w:val="4DB4344C"/>
    <w:rsid w:val="4DB51455"/>
    <w:rsid w:val="4DC62FE4"/>
    <w:rsid w:val="4DC8250B"/>
    <w:rsid w:val="4DE3710F"/>
    <w:rsid w:val="4DED4BFE"/>
    <w:rsid w:val="4DEE61D1"/>
    <w:rsid w:val="4E0005F3"/>
    <w:rsid w:val="4E005F07"/>
    <w:rsid w:val="4E0B6496"/>
    <w:rsid w:val="4E0E6509"/>
    <w:rsid w:val="4E186966"/>
    <w:rsid w:val="4E3F2CAA"/>
    <w:rsid w:val="4E4854B2"/>
    <w:rsid w:val="4E4C6050"/>
    <w:rsid w:val="4E5263F6"/>
    <w:rsid w:val="4E6951D8"/>
    <w:rsid w:val="4E74636C"/>
    <w:rsid w:val="4E78439B"/>
    <w:rsid w:val="4E7B1363"/>
    <w:rsid w:val="4E8A3DE2"/>
    <w:rsid w:val="4ED65CB0"/>
    <w:rsid w:val="4EE84443"/>
    <w:rsid w:val="4F0352F3"/>
    <w:rsid w:val="4F135B85"/>
    <w:rsid w:val="4F1B712F"/>
    <w:rsid w:val="4F2D30F6"/>
    <w:rsid w:val="4F2D4EEE"/>
    <w:rsid w:val="4F3F2683"/>
    <w:rsid w:val="4F431A16"/>
    <w:rsid w:val="4F58517B"/>
    <w:rsid w:val="4F5E5D57"/>
    <w:rsid w:val="4F5F526E"/>
    <w:rsid w:val="4F664600"/>
    <w:rsid w:val="4F6C109F"/>
    <w:rsid w:val="4F7A20A8"/>
    <w:rsid w:val="4F846A83"/>
    <w:rsid w:val="4F8847C5"/>
    <w:rsid w:val="4F8D432D"/>
    <w:rsid w:val="4F90367A"/>
    <w:rsid w:val="4F98252E"/>
    <w:rsid w:val="4F993C1F"/>
    <w:rsid w:val="4F9A241D"/>
    <w:rsid w:val="4F9E6E48"/>
    <w:rsid w:val="4FA52839"/>
    <w:rsid w:val="4FA60096"/>
    <w:rsid w:val="4FA831D2"/>
    <w:rsid w:val="4FB6798D"/>
    <w:rsid w:val="4FBC575D"/>
    <w:rsid w:val="4FC1120E"/>
    <w:rsid w:val="4FCF5F48"/>
    <w:rsid w:val="4FD77F76"/>
    <w:rsid w:val="4FDC68BF"/>
    <w:rsid w:val="4FE72524"/>
    <w:rsid w:val="50093135"/>
    <w:rsid w:val="50100316"/>
    <w:rsid w:val="50107F18"/>
    <w:rsid w:val="50165391"/>
    <w:rsid w:val="501A73E7"/>
    <w:rsid w:val="501D4EFB"/>
    <w:rsid w:val="50241A99"/>
    <w:rsid w:val="502D711A"/>
    <w:rsid w:val="503469BD"/>
    <w:rsid w:val="503844DC"/>
    <w:rsid w:val="50496D46"/>
    <w:rsid w:val="504E0E81"/>
    <w:rsid w:val="5057648D"/>
    <w:rsid w:val="505B18D4"/>
    <w:rsid w:val="50621059"/>
    <w:rsid w:val="507028FD"/>
    <w:rsid w:val="50831F00"/>
    <w:rsid w:val="508661BD"/>
    <w:rsid w:val="508A55B1"/>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41F2C"/>
    <w:rsid w:val="512C73D2"/>
    <w:rsid w:val="512C7ED2"/>
    <w:rsid w:val="51450494"/>
    <w:rsid w:val="5148134E"/>
    <w:rsid w:val="51510BE7"/>
    <w:rsid w:val="5164091A"/>
    <w:rsid w:val="51677F27"/>
    <w:rsid w:val="518F170F"/>
    <w:rsid w:val="51A056CA"/>
    <w:rsid w:val="51A451BA"/>
    <w:rsid w:val="51B51D64"/>
    <w:rsid w:val="51B80BAA"/>
    <w:rsid w:val="51BF28E4"/>
    <w:rsid w:val="51C1288B"/>
    <w:rsid w:val="51C20B31"/>
    <w:rsid w:val="51DC2283"/>
    <w:rsid w:val="51E34ACA"/>
    <w:rsid w:val="51E657D3"/>
    <w:rsid w:val="51EA1F0C"/>
    <w:rsid w:val="51FB798D"/>
    <w:rsid w:val="51FC4FF6"/>
    <w:rsid w:val="52081B54"/>
    <w:rsid w:val="520836B9"/>
    <w:rsid w:val="520B6FE7"/>
    <w:rsid w:val="522B58DB"/>
    <w:rsid w:val="52314BF0"/>
    <w:rsid w:val="52393E48"/>
    <w:rsid w:val="523957BE"/>
    <w:rsid w:val="52477F24"/>
    <w:rsid w:val="524B7D2C"/>
    <w:rsid w:val="52501DAB"/>
    <w:rsid w:val="5256651E"/>
    <w:rsid w:val="52691BE6"/>
    <w:rsid w:val="526B23B2"/>
    <w:rsid w:val="52730B44"/>
    <w:rsid w:val="52733A71"/>
    <w:rsid w:val="5277467D"/>
    <w:rsid w:val="52983DB8"/>
    <w:rsid w:val="529C0587"/>
    <w:rsid w:val="52A5743C"/>
    <w:rsid w:val="52AE4870"/>
    <w:rsid w:val="52B1623B"/>
    <w:rsid w:val="52B66E3F"/>
    <w:rsid w:val="52BD5936"/>
    <w:rsid w:val="52C378C2"/>
    <w:rsid w:val="52C7501B"/>
    <w:rsid w:val="52C8137C"/>
    <w:rsid w:val="52C86D86"/>
    <w:rsid w:val="52D27B05"/>
    <w:rsid w:val="52E53CDC"/>
    <w:rsid w:val="52E73435"/>
    <w:rsid w:val="52EF6909"/>
    <w:rsid w:val="52F56F98"/>
    <w:rsid w:val="531620E8"/>
    <w:rsid w:val="531E2D4A"/>
    <w:rsid w:val="53301E1E"/>
    <w:rsid w:val="533802B0"/>
    <w:rsid w:val="5349426B"/>
    <w:rsid w:val="53570DD0"/>
    <w:rsid w:val="535C7948"/>
    <w:rsid w:val="53605111"/>
    <w:rsid w:val="53626210"/>
    <w:rsid w:val="536C61AC"/>
    <w:rsid w:val="53764934"/>
    <w:rsid w:val="5376752B"/>
    <w:rsid w:val="537979E1"/>
    <w:rsid w:val="53861A20"/>
    <w:rsid w:val="538816E0"/>
    <w:rsid w:val="53AE4137"/>
    <w:rsid w:val="53BD18F1"/>
    <w:rsid w:val="53D8114B"/>
    <w:rsid w:val="53E04DBD"/>
    <w:rsid w:val="53EF674A"/>
    <w:rsid w:val="53F669EB"/>
    <w:rsid w:val="54041F40"/>
    <w:rsid w:val="5414048A"/>
    <w:rsid w:val="54172B75"/>
    <w:rsid w:val="541A68A8"/>
    <w:rsid w:val="5420228D"/>
    <w:rsid w:val="54322F51"/>
    <w:rsid w:val="543D1818"/>
    <w:rsid w:val="544B3EE9"/>
    <w:rsid w:val="545D5EF6"/>
    <w:rsid w:val="546538BA"/>
    <w:rsid w:val="5468108F"/>
    <w:rsid w:val="5472334E"/>
    <w:rsid w:val="54756AF5"/>
    <w:rsid w:val="5483555B"/>
    <w:rsid w:val="548A4B3B"/>
    <w:rsid w:val="548B71EB"/>
    <w:rsid w:val="549A6186"/>
    <w:rsid w:val="549F69EF"/>
    <w:rsid w:val="54CB0CB0"/>
    <w:rsid w:val="54E0475B"/>
    <w:rsid w:val="54EA6C0E"/>
    <w:rsid w:val="54F372B3"/>
    <w:rsid w:val="5503044A"/>
    <w:rsid w:val="551D1C19"/>
    <w:rsid w:val="55201C9C"/>
    <w:rsid w:val="5523208A"/>
    <w:rsid w:val="552F56E3"/>
    <w:rsid w:val="5549554B"/>
    <w:rsid w:val="554D1A31"/>
    <w:rsid w:val="55684751"/>
    <w:rsid w:val="556E644F"/>
    <w:rsid w:val="55782BA3"/>
    <w:rsid w:val="55874F5B"/>
    <w:rsid w:val="5592206E"/>
    <w:rsid w:val="55A27C63"/>
    <w:rsid w:val="55BB0D24"/>
    <w:rsid w:val="55C776C9"/>
    <w:rsid w:val="55DB2EFA"/>
    <w:rsid w:val="55DD6540"/>
    <w:rsid w:val="55E737FF"/>
    <w:rsid w:val="55E93AE3"/>
    <w:rsid w:val="55EB238D"/>
    <w:rsid w:val="55ED4109"/>
    <w:rsid w:val="55F87E98"/>
    <w:rsid w:val="561B1CE0"/>
    <w:rsid w:val="562B4FD7"/>
    <w:rsid w:val="563A7E9B"/>
    <w:rsid w:val="56586573"/>
    <w:rsid w:val="56725887"/>
    <w:rsid w:val="5685346F"/>
    <w:rsid w:val="568B419B"/>
    <w:rsid w:val="569752EE"/>
    <w:rsid w:val="569F23F4"/>
    <w:rsid w:val="56AA5F28"/>
    <w:rsid w:val="56B506F1"/>
    <w:rsid w:val="56B7303F"/>
    <w:rsid w:val="56B934B6"/>
    <w:rsid w:val="56BC09FD"/>
    <w:rsid w:val="56D02B61"/>
    <w:rsid w:val="56D71B8E"/>
    <w:rsid w:val="56DF6C95"/>
    <w:rsid w:val="57165E73"/>
    <w:rsid w:val="57305C46"/>
    <w:rsid w:val="57394A4D"/>
    <w:rsid w:val="57435475"/>
    <w:rsid w:val="57547004"/>
    <w:rsid w:val="5758495A"/>
    <w:rsid w:val="575C2093"/>
    <w:rsid w:val="57631EDC"/>
    <w:rsid w:val="57643792"/>
    <w:rsid w:val="576D3C31"/>
    <w:rsid w:val="576F0018"/>
    <w:rsid w:val="57725AAD"/>
    <w:rsid w:val="5774562F"/>
    <w:rsid w:val="578F06BB"/>
    <w:rsid w:val="579857A6"/>
    <w:rsid w:val="579F74A6"/>
    <w:rsid w:val="57A2797B"/>
    <w:rsid w:val="57A36349"/>
    <w:rsid w:val="57A70D03"/>
    <w:rsid w:val="57AC4DC9"/>
    <w:rsid w:val="57B44CCE"/>
    <w:rsid w:val="57C514C8"/>
    <w:rsid w:val="57C71C02"/>
    <w:rsid w:val="57D45CF1"/>
    <w:rsid w:val="57E74DAE"/>
    <w:rsid w:val="57F13854"/>
    <w:rsid w:val="580520C8"/>
    <w:rsid w:val="580B3421"/>
    <w:rsid w:val="58187D01"/>
    <w:rsid w:val="581A249A"/>
    <w:rsid w:val="584315C4"/>
    <w:rsid w:val="5846239B"/>
    <w:rsid w:val="586E207E"/>
    <w:rsid w:val="586E3461"/>
    <w:rsid w:val="586E7274"/>
    <w:rsid w:val="588A02D8"/>
    <w:rsid w:val="5891087F"/>
    <w:rsid w:val="589D0BB5"/>
    <w:rsid w:val="58B8581B"/>
    <w:rsid w:val="58BA45A1"/>
    <w:rsid w:val="58C12EE1"/>
    <w:rsid w:val="58D864B6"/>
    <w:rsid w:val="58DA784C"/>
    <w:rsid w:val="58DE5456"/>
    <w:rsid w:val="58EB2245"/>
    <w:rsid w:val="590649AC"/>
    <w:rsid w:val="59161F59"/>
    <w:rsid w:val="591744C4"/>
    <w:rsid w:val="592E0EF6"/>
    <w:rsid w:val="594204CF"/>
    <w:rsid w:val="594A2AEB"/>
    <w:rsid w:val="5951357A"/>
    <w:rsid w:val="59544BDF"/>
    <w:rsid w:val="59775A81"/>
    <w:rsid w:val="597B2CA5"/>
    <w:rsid w:val="59811737"/>
    <w:rsid w:val="59854011"/>
    <w:rsid w:val="599223FD"/>
    <w:rsid w:val="59941601"/>
    <w:rsid w:val="59951645"/>
    <w:rsid w:val="59965D30"/>
    <w:rsid w:val="59A117BD"/>
    <w:rsid w:val="59B03041"/>
    <w:rsid w:val="59BA45FA"/>
    <w:rsid w:val="59C33F06"/>
    <w:rsid w:val="59C962AE"/>
    <w:rsid w:val="59D10B16"/>
    <w:rsid w:val="59D625D1"/>
    <w:rsid w:val="5A0738B3"/>
    <w:rsid w:val="5A1223DE"/>
    <w:rsid w:val="5A126AC9"/>
    <w:rsid w:val="5A20479B"/>
    <w:rsid w:val="5A47527D"/>
    <w:rsid w:val="5A594B8D"/>
    <w:rsid w:val="5A612F7B"/>
    <w:rsid w:val="5A690A9C"/>
    <w:rsid w:val="5A6A2C63"/>
    <w:rsid w:val="5A7B0A82"/>
    <w:rsid w:val="5A8E36CC"/>
    <w:rsid w:val="5A9802AF"/>
    <w:rsid w:val="5AAB75B9"/>
    <w:rsid w:val="5AAC3332"/>
    <w:rsid w:val="5AAE5CD6"/>
    <w:rsid w:val="5ABF5916"/>
    <w:rsid w:val="5AC3781F"/>
    <w:rsid w:val="5AC90A7E"/>
    <w:rsid w:val="5AD71A00"/>
    <w:rsid w:val="5AD73617"/>
    <w:rsid w:val="5ADF1BC9"/>
    <w:rsid w:val="5AE20B01"/>
    <w:rsid w:val="5AE76118"/>
    <w:rsid w:val="5AEF10C3"/>
    <w:rsid w:val="5B1036BE"/>
    <w:rsid w:val="5B1B1714"/>
    <w:rsid w:val="5B242EC8"/>
    <w:rsid w:val="5B280C0A"/>
    <w:rsid w:val="5B2C65A4"/>
    <w:rsid w:val="5B3E6680"/>
    <w:rsid w:val="5B413A7A"/>
    <w:rsid w:val="5B4325A2"/>
    <w:rsid w:val="5B4672E2"/>
    <w:rsid w:val="5B4E481E"/>
    <w:rsid w:val="5B601CC1"/>
    <w:rsid w:val="5B6234AA"/>
    <w:rsid w:val="5B6854AA"/>
    <w:rsid w:val="5B813346"/>
    <w:rsid w:val="5B871DD5"/>
    <w:rsid w:val="5B9F6DE2"/>
    <w:rsid w:val="5BA265DE"/>
    <w:rsid w:val="5BA46CE2"/>
    <w:rsid w:val="5BB95E08"/>
    <w:rsid w:val="5BBA0393"/>
    <w:rsid w:val="5BBD57F6"/>
    <w:rsid w:val="5BCE7981"/>
    <w:rsid w:val="5BD41136"/>
    <w:rsid w:val="5BD54692"/>
    <w:rsid w:val="5BD7618C"/>
    <w:rsid w:val="5BD92F2A"/>
    <w:rsid w:val="5BE32D83"/>
    <w:rsid w:val="5BEA4FCD"/>
    <w:rsid w:val="5BEC1C38"/>
    <w:rsid w:val="5BF84A80"/>
    <w:rsid w:val="5BFA4B6A"/>
    <w:rsid w:val="5C003935"/>
    <w:rsid w:val="5C043425"/>
    <w:rsid w:val="5C124BEB"/>
    <w:rsid w:val="5C1D44E7"/>
    <w:rsid w:val="5C1F498A"/>
    <w:rsid w:val="5C25339C"/>
    <w:rsid w:val="5C380531"/>
    <w:rsid w:val="5C4B3416"/>
    <w:rsid w:val="5C4D0F4D"/>
    <w:rsid w:val="5C4F1B7F"/>
    <w:rsid w:val="5C4F21C6"/>
    <w:rsid w:val="5C504241"/>
    <w:rsid w:val="5C6550CC"/>
    <w:rsid w:val="5C7731D7"/>
    <w:rsid w:val="5C826B51"/>
    <w:rsid w:val="5C93136F"/>
    <w:rsid w:val="5C957AE8"/>
    <w:rsid w:val="5CA61CCA"/>
    <w:rsid w:val="5CA61FE4"/>
    <w:rsid w:val="5CA67A5D"/>
    <w:rsid w:val="5CAA564F"/>
    <w:rsid w:val="5CAC7619"/>
    <w:rsid w:val="5CB526EE"/>
    <w:rsid w:val="5CC31B3E"/>
    <w:rsid w:val="5CC67A06"/>
    <w:rsid w:val="5CD718AB"/>
    <w:rsid w:val="5CDD125B"/>
    <w:rsid w:val="5CF039A9"/>
    <w:rsid w:val="5D131446"/>
    <w:rsid w:val="5D1551BE"/>
    <w:rsid w:val="5D17220F"/>
    <w:rsid w:val="5D213E13"/>
    <w:rsid w:val="5D301FF8"/>
    <w:rsid w:val="5D3543FB"/>
    <w:rsid w:val="5D3A69D3"/>
    <w:rsid w:val="5D3D7B55"/>
    <w:rsid w:val="5D49561A"/>
    <w:rsid w:val="5D4D4B67"/>
    <w:rsid w:val="5D692B4A"/>
    <w:rsid w:val="5D6E1FD6"/>
    <w:rsid w:val="5D760DFE"/>
    <w:rsid w:val="5D8F4370"/>
    <w:rsid w:val="5D972077"/>
    <w:rsid w:val="5DA87DE0"/>
    <w:rsid w:val="5DAB1143"/>
    <w:rsid w:val="5DAF2A40"/>
    <w:rsid w:val="5DB17D02"/>
    <w:rsid w:val="5DC0337C"/>
    <w:rsid w:val="5DCF2503"/>
    <w:rsid w:val="5DD43000"/>
    <w:rsid w:val="5DD619A0"/>
    <w:rsid w:val="5DD97B2E"/>
    <w:rsid w:val="5DE33377"/>
    <w:rsid w:val="5DE52DE2"/>
    <w:rsid w:val="5E183CFF"/>
    <w:rsid w:val="5E1E394A"/>
    <w:rsid w:val="5E2B7EEF"/>
    <w:rsid w:val="5E2C0A11"/>
    <w:rsid w:val="5E2E1600"/>
    <w:rsid w:val="5E416216"/>
    <w:rsid w:val="5E4C10B3"/>
    <w:rsid w:val="5E50072C"/>
    <w:rsid w:val="5E52616B"/>
    <w:rsid w:val="5E6623EB"/>
    <w:rsid w:val="5E664F76"/>
    <w:rsid w:val="5E67417C"/>
    <w:rsid w:val="5E6B1C04"/>
    <w:rsid w:val="5E6C3504"/>
    <w:rsid w:val="5E8048B9"/>
    <w:rsid w:val="5E912F6A"/>
    <w:rsid w:val="5E914D18"/>
    <w:rsid w:val="5E9345EC"/>
    <w:rsid w:val="5E946DA5"/>
    <w:rsid w:val="5E961741"/>
    <w:rsid w:val="5E9B254F"/>
    <w:rsid w:val="5EA05BE0"/>
    <w:rsid w:val="5EAE7678"/>
    <w:rsid w:val="5EBA601D"/>
    <w:rsid w:val="5ED94EE3"/>
    <w:rsid w:val="5EDC1A1D"/>
    <w:rsid w:val="5EE673AD"/>
    <w:rsid w:val="5EE906B0"/>
    <w:rsid w:val="5EF05EE3"/>
    <w:rsid w:val="5F0B4ACB"/>
    <w:rsid w:val="5F100333"/>
    <w:rsid w:val="5F3176B9"/>
    <w:rsid w:val="5F4B7B56"/>
    <w:rsid w:val="5F5046EA"/>
    <w:rsid w:val="5F5F0972"/>
    <w:rsid w:val="5F6441ED"/>
    <w:rsid w:val="5F6661A5"/>
    <w:rsid w:val="5F6A6AC8"/>
    <w:rsid w:val="5F6F6A29"/>
    <w:rsid w:val="5F84250C"/>
    <w:rsid w:val="5F866EC2"/>
    <w:rsid w:val="5F875EC9"/>
    <w:rsid w:val="5F920EC8"/>
    <w:rsid w:val="5F9A5E4E"/>
    <w:rsid w:val="5F9E1348"/>
    <w:rsid w:val="5FA12D39"/>
    <w:rsid w:val="5FAA42E4"/>
    <w:rsid w:val="5FAC4886"/>
    <w:rsid w:val="5FB66D02"/>
    <w:rsid w:val="5FC058B5"/>
    <w:rsid w:val="5FC41398"/>
    <w:rsid w:val="5FE311ED"/>
    <w:rsid w:val="5FE42E7C"/>
    <w:rsid w:val="5FEC48FC"/>
    <w:rsid w:val="5FF2749D"/>
    <w:rsid w:val="5FF87C5D"/>
    <w:rsid w:val="600315B6"/>
    <w:rsid w:val="60071C9B"/>
    <w:rsid w:val="600E3B45"/>
    <w:rsid w:val="60273055"/>
    <w:rsid w:val="603242D9"/>
    <w:rsid w:val="60522285"/>
    <w:rsid w:val="605C5A30"/>
    <w:rsid w:val="607D63DF"/>
    <w:rsid w:val="60A3539C"/>
    <w:rsid w:val="60AE7E03"/>
    <w:rsid w:val="60B149D0"/>
    <w:rsid w:val="60B70030"/>
    <w:rsid w:val="60BC0397"/>
    <w:rsid w:val="60C627BB"/>
    <w:rsid w:val="60C90799"/>
    <w:rsid w:val="60D443A1"/>
    <w:rsid w:val="60DC2CC3"/>
    <w:rsid w:val="60DD7D2A"/>
    <w:rsid w:val="60E21853"/>
    <w:rsid w:val="61366D54"/>
    <w:rsid w:val="613720DD"/>
    <w:rsid w:val="613979C7"/>
    <w:rsid w:val="61447E20"/>
    <w:rsid w:val="614A1A89"/>
    <w:rsid w:val="614E6EF1"/>
    <w:rsid w:val="614F763C"/>
    <w:rsid w:val="615755BD"/>
    <w:rsid w:val="615D2A65"/>
    <w:rsid w:val="61613BEB"/>
    <w:rsid w:val="61693D2A"/>
    <w:rsid w:val="61796574"/>
    <w:rsid w:val="618042CE"/>
    <w:rsid w:val="61880654"/>
    <w:rsid w:val="6189617B"/>
    <w:rsid w:val="619E4563"/>
    <w:rsid w:val="619F63A8"/>
    <w:rsid w:val="61CD6067"/>
    <w:rsid w:val="61DD059C"/>
    <w:rsid w:val="61E06BEB"/>
    <w:rsid w:val="61FA38A4"/>
    <w:rsid w:val="61FB44F2"/>
    <w:rsid w:val="62026A91"/>
    <w:rsid w:val="62086C73"/>
    <w:rsid w:val="624060C2"/>
    <w:rsid w:val="625941A1"/>
    <w:rsid w:val="625C0D21"/>
    <w:rsid w:val="62671448"/>
    <w:rsid w:val="62726C0F"/>
    <w:rsid w:val="628110AA"/>
    <w:rsid w:val="62875A90"/>
    <w:rsid w:val="629047BC"/>
    <w:rsid w:val="629762BF"/>
    <w:rsid w:val="62B13E15"/>
    <w:rsid w:val="62B56ACB"/>
    <w:rsid w:val="62C30852"/>
    <w:rsid w:val="62E61DA2"/>
    <w:rsid w:val="62EC0759"/>
    <w:rsid w:val="62EC69C1"/>
    <w:rsid w:val="62FA0C93"/>
    <w:rsid w:val="62FD472A"/>
    <w:rsid w:val="63065CD5"/>
    <w:rsid w:val="63102F38"/>
    <w:rsid w:val="631421D2"/>
    <w:rsid w:val="633012F7"/>
    <w:rsid w:val="6333416A"/>
    <w:rsid w:val="63387D47"/>
    <w:rsid w:val="63414F5F"/>
    <w:rsid w:val="634C61F4"/>
    <w:rsid w:val="635D7C35"/>
    <w:rsid w:val="636C0637"/>
    <w:rsid w:val="63873AE1"/>
    <w:rsid w:val="63AA7892"/>
    <w:rsid w:val="63AB062A"/>
    <w:rsid w:val="63AE2A15"/>
    <w:rsid w:val="63C65464"/>
    <w:rsid w:val="63CA40E4"/>
    <w:rsid w:val="63D11CD0"/>
    <w:rsid w:val="63D60D6D"/>
    <w:rsid w:val="63DA0F0F"/>
    <w:rsid w:val="63DC4C88"/>
    <w:rsid w:val="63FE1B1D"/>
    <w:rsid w:val="64083EBA"/>
    <w:rsid w:val="640A6B8A"/>
    <w:rsid w:val="641B5F97"/>
    <w:rsid w:val="64243F39"/>
    <w:rsid w:val="64262637"/>
    <w:rsid w:val="64270A9F"/>
    <w:rsid w:val="643144B1"/>
    <w:rsid w:val="643423CE"/>
    <w:rsid w:val="64430863"/>
    <w:rsid w:val="64441708"/>
    <w:rsid w:val="644B2E9F"/>
    <w:rsid w:val="64601415"/>
    <w:rsid w:val="646107A2"/>
    <w:rsid w:val="6469042C"/>
    <w:rsid w:val="647944D1"/>
    <w:rsid w:val="647D7FBC"/>
    <w:rsid w:val="64802D6E"/>
    <w:rsid w:val="64805613"/>
    <w:rsid w:val="648A0240"/>
    <w:rsid w:val="64AD2B0F"/>
    <w:rsid w:val="64B11C70"/>
    <w:rsid w:val="64BD5DA3"/>
    <w:rsid w:val="64C67161"/>
    <w:rsid w:val="64E42046"/>
    <w:rsid w:val="64EA5182"/>
    <w:rsid w:val="64EC297E"/>
    <w:rsid w:val="64F102BF"/>
    <w:rsid w:val="64FE364A"/>
    <w:rsid w:val="6507754E"/>
    <w:rsid w:val="650D2C1F"/>
    <w:rsid w:val="65123962"/>
    <w:rsid w:val="65337EC4"/>
    <w:rsid w:val="65434131"/>
    <w:rsid w:val="654B7228"/>
    <w:rsid w:val="654D7C2E"/>
    <w:rsid w:val="65505F7C"/>
    <w:rsid w:val="657C5654"/>
    <w:rsid w:val="6593581A"/>
    <w:rsid w:val="65AF1C1C"/>
    <w:rsid w:val="65C17EA5"/>
    <w:rsid w:val="65C200D8"/>
    <w:rsid w:val="65C41297"/>
    <w:rsid w:val="65C60E87"/>
    <w:rsid w:val="65CF5000"/>
    <w:rsid w:val="65D22501"/>
    <w:rsid w:val="65D969F1"/>
    <w:rsid w:val="65F468C3"/>
    <w:rsid w:val="66081D64"/>
    <w:rsid w:val="660B53B0"/>
    <w:rsid w:val="661669E2"/>
    <w:rsid w:val="661B76D3"/>
    <w:rsid w:val="662B74D0"/>
    <w:rsid w:val="662D3578"/>
    <w:rsid w:val="663533F6"/>
    <w:rsid w:val="663F14FE"/>
    <w:rsid w:val="663F7253"/>
    <w:rsid w:val="66415147"/>
    <w:rsid w:val="664D7777"/>
    <w:rsid w:val="666E0E1B"/>
    <w:rsid w:val="667529CC"/>
    <w:rsid w:val="66763171"/>
    <w:rsid w:val="667D51BE"/>
    <w:rsid w:val="667E2883"/>
    <w:rsid w:val="667E6793"/>
    <w:rsid w:val="668313EA"/>
    <w:rsid w:val="66860EDB"/>
    <w:rsid w:val="669C0748"/>
    <w:rsid w:val="66A51361"/>
    <w:rsid w:val="66A80E51"/>
    <w:rsid w:val="66A8260B"/>
    <w:rsid w:val="66AB3962"/>
    <w:rsid w:val="66C12C09"/>
    <w:rsid w:val="66C15989"/>
    <w:rsid w:val="66C739CD"/>
    <w:rsid w:val="66C814F3"/>
    <w:rsid w:val="66DE6A20"/>
    <w:rsid w:val="66E6060C"/>
    <w:rsid w:val="66EB050D"/>
    <w:rsid w:val="67055E1B"/>
    <w:rsid w:val="672277D6"/>
    <w:rsid w:val="67290209"/>
    <w:rsid w:val="67290ACE"/>
    <w:rsid w:val="672F50CE"/>
    <w:rsid w:val="67307EB3"/>
    <w:rsid w:val="67355406"/>
    <w:rsid w:val="6739040E"/>
    <w:rsid w:val="674E60A1"/>
    <w:rsid w:val="67531912"/>
    <w:rsid w:val="675D60DF"/>
    <w:rsid w:val="676129D2"/>
    <w:rsid w:val="676378A7"/>
    <w:rsid w:val="67644C59"/>
    <w:rsid w:val="677B490E"/>
    <w:rsid w:val="677B7C35"/>
    <w:rsid w:val="6785559A"/>
    <w:rsid w:val="678673E4"/>
    <w:rsid w:val="678A6C8A"/>
    <w:rsid w:val="67955879"/>
    <w:rsid w:val="67B5271A"/>
    <w:rsid w:val="67B57CC9"/>
    <w:rsid w:val="67C021CA"/>
    <w:rsid w:val="67C16637"/>
    <w:rsid w:val="67CD37DA"/>
    <w:rsid w:val="67E916C6"/>
    <w:rsid w:val="67E934CF"/>
    <w:rsid w:val="67EC408F"/>
    <w:rsid w:val="67FE19E3"/>
    <w:rsid w:val="68071BA7"/>
    <w:rsid w:val="68076A48"/>
    <w:rsid w:val="68106CAE"/>
    <w:rsid w:val="68125890"/>
    <w:rsid w:val="682E5386"/>
    <w:rsid w:val="683A1C10"/>
    <w:rsid w:val="683B4874"/>
    <w:rsid w:val="683F7593"/>
    <w:rsid w:val="684352D5"/>
    <w:rsid w:val="684A6664"/>
    <w:rsid w:val="684F3C7A"/>
    <w:rsid w:val="68A67612"/>
    <w:rsid w:val="68AE414D"/>
    <w:rsid w:val="68C6767F"/>
    <w:rsid w:val="68C81889"/>
    <w:rsid w:val="68E424F2"/>
    <w:rsid w:val="68EB171F"/>
    <w:rsid w:val="68F12C01"/>
    <w:rsid w:val="68FA6539"/>
    <w:rsid w:val="69045669"/>
    <w:rsid w:val="69061428"/>
    <w:rsid w:val="690F3409"/>
    <w:rsid w:val="6927078B"/>
    <w:rsid w:val="69286279"/>
    <w:rsid w:val="69393D31"/>
    <w:rsid w:val="693F5EA4"/>
    <w:rsid w:val="69460607"/>
    <w:rsid w:val="694858F0"/>
    <w:rsid w:val="69550BFB"/>
    <w:rsid w:val="696A6B29"/>
    <w:rsid w:val="696E0A9A"/>
    <w:rsid w:val="69715E72"/>
    <w:rsid w:val="69750E21"/>
    <w:rsid w:val="69842192"/>
    <w:rsid w:val="698450AA"/>
    <w:rsid w:val="6985687C"/>
    <w:rsid w:val="699851AD"/>
    <w:rsid w:val="69A048BD"/>
    <w:rsid w:val="69A71034"/>
    <w:rsid w:val="69A83492"/>
    <w:rsid w:val="69A9560C"/>
    <w:rsid w:val="69C27B02"/>
    <w:rsid w:val="69C91F97"/>
    <w:rsid w:val="69E623BC"/>
    <w:rsid w:val="69ED6F02"/>
    <w:rsid w:val="69EE7223"/>
    <w:rsid w:val="69FD14B4"/>
    <w:rsid w:val="6A056DDC"/>
    <w:rsid w:val="6A057393"/>
    <w:rsid w:val="6A0E1913"/>
    <w:rsid w:val="6A143694"/>
    <w:rsid w:val="6A1C0949"/>
    <w:rsid w:val="6A1E0A41"/>
    <w:rsid w:val="6A2E3F76"/>
    <w:rsid w:val="6A2E73C3"/>
    <w:rsid w:val="6A465FF0"/>
    <w:rsid w:val="6A472B4C"/>
    <w:rsid w:val="6A570A63"/>
    <w:rsid w:val="6A63210D"/>
    <w:rsid w:val="6A7670F5"/>
    <w:rsid w:val="6A8120E5"/>
    <w:rsid w:val="6A987C6F"/>
    <w:rsid w:val="6AAA1DFE"/>
    <w:rsid w:val="6AAF79FF"/>
    <w:rsid w:val="6AC00E5F"/>
    <w:rsid w:val="6AC306AA"/>
    <w:rsid w:val="6AC33F7B"/>
    <w:rsid w:val="6AC60616"/>
    <w:rsid w:val="6AC87871"/>
    <w:rsid w:val="6AD26369"/>
    <w:rsid w:val="6AD959DC"/>
    <w:rsid w:val="6AEB19C5"/>
    <w:rsid w:val="6AF40B09"/>
    <w:rsid w:val="6B0B1A2E"/>
    <w:rsid w:val="6B193F82"/>
    <w:rsid w:val="6B33736F"/>
    <w:rsid w:val="6B3453A9"/>
    <w:rsid w:val="6B39476E"/>
    <w:rsid w:val="6B450D39"/>
    <w:rsid w:val="6B4A1FF9"/>
    <w:rsid w:val="6B592AF9"/>
    <w:rsid w:val="6B5C2732"/>
    <w:rsid w:val="6B633598"/>
    <w:rsid w:val="6B7E44A8"/>
    <w:rsid w:val="6B802B7B"/>
    <w:rsid w:val="6B851761"/>
    <w:rsid w:val="6B9D2F4E"/>
    <w:rsid w:val="6BA22313"/>
    <w:rsid w:val="6BAF67DE"/>
    <w:rsid w:val="6BB32772"/>
    <w:rsid w:val="6BB641D1"/>
    <w:rsid w:val="6BDD77EF"/>
    <w:rsid w:val="6BE75F78"/>
    <w:rsid w:val="6BEB1F0C"/>
    <w:rsid w:val="6BFB26B9"/>
    <w:rsid w:val="6C003F58"/>
    <w:rsid w:val="6C0510AF"/>
    <w:rsid w:val="6C0A12A0"/>
    <w:rsid w:val="6C131371"/>
    <w:rsid w:val="6C1E27FB"/>
    <w:rsid w:val="6C2125B9"/>
    <w:rsid w:val="6C45127D"/>
    <w:rsid w:val="6C465394"/>
    <w:rsid w:val="6C477A48"/>
    <w:rsid w:val="6C497C2B"/>
    <w:rsid w:val="6C4D6279"/>
    <w:rsid w:val="6C691929"/>
    <w:rsid w:val="6C6B4DFB"/>
    <w:rsid w:val="6C7653EA"/>
    <w:rsid w:val="6C80161C"/>
    <w:rsid w:val="6C8346BA"/>
    <w:rsid w:val="6C8C7A1A"/>
    <w:rsid w:val="6C8E07EB"/>
    <w:rsid w:val="6C922387"/>
    <w:rsid w:val="6CAA1C24"/>
    <w:rsid w:val="6CC5763D"/>
    <w:rsid w:val="6CD7449F"/>
    <w:rsid w:val="6CEF50C6"/>
    <w:rsid w:val="6CF43A7A"/>
    <w:rsid w:val="6CF803B7"/>
    <w:rsid w:val="6CFC7A9E"/>
    <w:rsid w:val="6CFD633E"/>
    <w:rsid w:val="6D147240"/>
    <w:rsid w:val="6D1A3AF6"/>
    <w:rsid w:val="6D281E21"/>
    <w:rsid w:val="6D295F60"/>
    <w:rsid w:val="6D347596"/>
    <w:rsid w:val="6D596E90"/>
    <w:rsid w:val="6D68758C"/>
    <w:rsid w:val="6D7F1132"/>
    <w:rsid w:val="6D82064E"/>
    <w:rsid w:val="6D860032"/>
    <w:rsid w:val="6DA07862"/>
    <w:rsid w:val="6DAB5AB0"/>
    <w:rsid w:val="6DAE7C8E"/>
    <w:rsid w:val="6DC7004F"/>
    <w:rsid w:val="6DD864C0"/>
    <w:rsid w:val="6DE33684"/>
    <w:rsid w:val="6DE60B88"/>
    <w:rsid w:val="6DEB5D49"/>
    <w:rsid w:val="6DF33D76"/>
    <w:rsid w:val="6DF40A60"/>
    <w:rsid w:val="6DFD3487"/>
    <w:rsid w:val="6DFF1AAA"/>
    <w:rsid w:val="6E015BBB"/>
    <w:rsid w:val="6E061D25"/>
    <w:rsid w:val="6E0F7A08"/>
    <w:rsid w:val="6E16620A"/>
    <w:rsid w:val="6E182D60"/>
    <w:rsid w:val="6E217E67"/>
    <w:rsid w:val="6E2900AC"/>
    <w:rsid w:val="6E2B7977"/>
    <w:rsid w:val="6E2E4063"/>
    <w:rsid w:val="6E3C285F"/>
    <w:rsid w:val="6E414A73"/>
    <w:rsid w:val="6E562AD8"/>
    <w:rsid w:val="6E5E6D9D"/>
    <w:rsid w:val="6E714591"/>
    <w:rsid w:val="6E772037"/>
    <w:rsid w:val="6E786804"/>
    <w:rsid w:val="6E8250F1"/>
    <w:rsid w:val="6E846A90"/>
    <w:rsid w:val="6E970129"/>
    <w:rsid w:val="6E9D5013"/>
    <w:rsid w:val="6EAD16FA"/>
    <w:rsid w:val="6ECB3E6A"/>
    <w:rsid w:val="6ECB4CD8"/>
    <w:rsid w:val="6ECE1BA8"/>
    <w:rsid w:val="6ECF5D6D"/>
    <w:rsid w:val="6EDC418C"/>
    <w:rsid w:val="6EE15A63"/>
    <w:rsid w:val="6EE67590"/>
    <w:rsid w:val="6EEA69AD"/>
    <w:rsid w:val="6EEE6498"/>
    <w:rsid w:val="6EFD1D73"/>
    <w:rsid w:val="6EFD5AB2"/>
    <w:rsid w:val="6F053C43"/>
    <w:rsid w:val="6F075837"/>
    <w:rsid w:val="6F1B6067"/>
    <w:rsid w:val="6F256125"/>
    <w:rsid w:val="6F2620DC"/>
    <w:rsid w:val="6F28453E"/>
    <w:rsid w:val="6F4656AB"/>
    <w:rsid w:val="6F49551F"/>
    <w:rsid w:val="6F540B15"/>
    <w:rsid w:val="6F54601A"/>
    <w:rsid w:val="6F555835"/>
    <w:rsid w:val="6F5837CB"/>
    <w:rsid w:val="6F597080"/>
    <w:rsid w:val="6F626E48"/>
    <w:rsid w:val="6F630BD6"/>
    <w:rsid w:val="6F812184"/>
    <w:rsid w:val="6F845B2B"/>
    <w:rsid w:val="6F8D5088"/>
    <w:rsid w:val="6F970471"/>
    <w:rsid w:val="6F974654"/>
    <w:rsid w:val="6FA10C39"/>
    <w:rsid w:val="6FC51A41"/>
    <w:rsid w:val="6FC532F8"/>
    <w:rsid w:val="6FE32EFA"/>
    <w:rsid w:val="6FEC1DAE"/>
    <w:rsid w:val="6FF8441E"/>
    <w:rsid w:val="70092D5A"/>
    <w:rsid w:val="702E0D9C"/>
    <w:rsid w:val="70300C7F"/>
    <w:rsid w:val="70312EE4"/>
    <w:rsid w:val="70385739"/>
    <w:rsid w:val="703F7E7D"/>
    <w:rsid w:val="704020FA"/>
    <w:rsid w:val="70457711"/>
    <w:rsid w:val="704A5564"/>
    <w:rsid w:val="70751679"/>
    <w:rsid w:val="708B47AA"/>
    <w:rsid w:val="709616C4"/>
    <w:rsid w:val="70981E9C"/>
    <w:rsid w:val="709F2104"/>
    <w:rsid w:val="70A47E6A"/>
    <w:rsid w:val="70B52D25"/>
    <w:rsid w:val="70C36F04"/>
    <w:rsid w:val="70C740E1"/>
    <w:rsid w:val="70D07EC3"/>
    <w:rsid w:val="70D319E7"/>
    <w:rsid w:val="70D75F53"/>
    <w:rsid w:val="70D80585"/>
    <w:rsid w:val="70EC468E"/>
    <w:rsid w:val="70EE7DA8"/>
    <w:rsid w:val="70F33FDC"/>
    <w:rsid w:val="70FD71A6"/>
    <w:rsid w:val="71082AAC"/>
    <w:rsid w:val="711D6AEF"/>
    <w:rsid w:val="71202DBA"/>
    <w:rsid w:val="714E3E56"/>
    <w:rsid w:val="71614A1E"/>
    <w:rsid w:val="7176585C"/>
    <w:rsid w:val="71902BFF"/>
    <w:rsid w:val="719A5DCE"/>
    <w:rsid w:val="719B7F30"/>
    <w:rsid w:val="71A74762"/>
    <w:rsid w:val="71A93FA1"/>
    <w:rsid w:val="71BA28B0"/>
    <w:rsid w:val="71BD203C"/>
    <w:rsid w:val="71CC3CC0"/>
    <w:rsid w:val="71D76943"/>
    <w:rsid w:val="71EC41F4"/>
    <w:rsid w:val="72035AD5"/>
    <w:rsid w:val="720E21AB"/>
    <w:rsid w:val="72127AC6"/>
    <w:rsid w:val="72135D18"/>
    <w:rsid w:val="72172DD6"/>
    <w:rsid w:val="72190E55"/>
    <w:rsid w:val="723E4170"/>
    <w:rsid w:val="72422A05"/>
    <w:rsid w:val="724759C2"/>
    <w:rsid w:val="72516841"/>
    <w:rsid w:val="725716A5"/>
    <w:rsid w:val="726A16B0"/>
    <w:rsid w:val="726F7761"/>
    <w:rsid w:val="72780225"/>
    <w:rsid w:val="727C5F33"/>
    <w:rsid w:val="727F77F5"/>
    <w:rsid w:val="72816D82"/>
    <w:rsid w:val="7299539E"/>
    <w:rsid w:val="729C3F60"/>
    <w:rsid w:val="72B37534"/>
    <w:rsid w:val="72B70089"/>
    <w:rsid w:val="72B73C27"/>
    <w:rsid w:val="72C7009D"/>
    <w:rsid w:val="72D354A8"/>
    <w:rsid w:val="72D36A71"/>
    <w:rsid w:val="72DB0E40"/>
    <w:rsid w:val="72E4478C"/>
    <w:rsid w:val="72FD42D3"/>
    <w:rsid w:val="72FF004B"/>
    <w:rsid w:val="72FF2DB8"/>
    <w:rsid w:val="731352DC"/>
    <w:rsid w:val="731F249B"/>
    <w:rsid w:val="73237AF4"/>
    <w:rsid w:val="73253671"/>
    <w:rsid w:val="73306456"/>
    <w:rsid w:val="73317A27"/>
    <w:rsid w:val="73357E69"/>
    <w:rsid w:val="733817AF"/>
    <w:rsid w:val="7351733F"/>
    <w:rsid w:val="73593E7F"/>
    <w:rsid w:val="735B6DB7"/>
    <w:rsid w:val="735C2691"/>
    <w:rsid w:val="735D3FB1"/>
    <w:rsid w:val="736D7FD1"/>
    <w:rsid w:val="737353DE"/>
    <w:rsid w:val="73767F05"/>
    <w:rsid w:val="7379604F"/>
    <w:rsid w:val="73886292"/>
    <w:rsid w:val="73935567"/>
    <w:rsid w:val="73A62438"/>
    <w:rsid w:val="73AC0E24"/>
    <w:rsid w:val="73BA21C4"/>
    <w:rsid w:val="73BA3CC2"/>
    <w:rsid w:val="73BC5F3C"/>
    <w:rsid w:val="73BE02D8"/>
    <w:rsid w:val="73CF5C6F"/>
    <w:rsid w:val="73D50144"/>
    <w:rsid w:val="73E060CE"/>
    <w:rsid w:val="73F602AE"/>
    <w:rsid w:val="74034BE4"/>
    <w:rsid w:val="740D1EA9"/>
    <w:rsid w:val="74165E03"/>
    <w:rsid w:val="741E5489"/>
    <w:rsid w:val="741F7825"/>
    <w:rsid w:val="742F7A23"/>
    <w:rsid w:val="74325266"/>
    <w:rsid w:val="74417576"/>
    <w:rsid w:val="7452064E"/>
    <w:rsid w:val="745443C6"/>
    <w:rsid w:val="74685677"/>
    <w:rsid w:val="74895730"/>
    <w:rsid w:val="74943E9C"/>
    <w:rsid w:val="749A50E1"/>
    <w:rsid w:val="749B1FF5"/>
    <w:rsid w:val="749F1AE5"/>
    <w:rsid w:val="74A0551B"/>
    <w:rsid w:val="74A30713"/>
    <w:rsid w:val="74B6122E"/>
    <w:rsid w:val="74C54CA2"/>
    <w:rsid w:val="74CA6436"/>
    <w:rsid w:val="74EB5F77"/>
    <w:rsid w:val="74EE481B"/>
    <w:rsid w:val="74F2284A"/>
    <w:rsid w:val="74F26A6B"/>
    <w:rsid w:val="74FB1883"/>
    <w:rsid w:val="750F7705"/>
    <w:rsid w:val="75241FEA"/>
    <w:rsid w:val="75275B9B"/>
    <w:rsid w:val="75275C40"/>
    <w:rsid w:val="752D0D38"/>
    <w:rsid w:val="753560F9"/>
    <w:rsid w:val="75482A22"/>
    <w:rsid w:val="758208D8"/>
    <w:rsid w:val="758A424E"/>
    <w:rsid w:val="758E3C4E"/>
    <w:rsid w:val="75947170"/>
    <w:rsid w:val="75A44310"/>
    <w:rsid w:val="75B52BD6"/>
    <w:rsid w:val="75B72D40"/>
    <w:rsid w:val="75BB6DDA"/>
    <w:rsid w:val="75BC0475"/>
    <w:rsid w:val="75C84C1B"/>
    <w:rsid w:val="75E14175"/>
    <w:rsid w:val="75E85141"/>
    <w:rsid w:val="75F76319"/>
    <w:rsid w:val="76094035"/>
    <w:rsid w:val="760A3051"/>
    <w:rsid w:val="760B6D06"/>
    <w:rsid w:val="761262E7"/>
    <w:rsid w:val="76155DFB"/>
    <w:rsid w:val="761757F3"/>
    <w:rsid w:val="76230272"/>
    <w:rsid w:val="76263B40"/>
    <w:rsid w:val="76360227"/>
    <w:rsid w:val="76371C9A"/>
    <w:rsid w:val="763E40F3"/>
    <w:rsid w:val="764D35D7"/>
    <w:rsid w:val="76581B86"/>
    <w:rsid w:val="765A1DB4"/>
    <w:rsid w:val="765A68B9"/>
    <w:rsid w:val="765D1540"/>
    <w:rsid w:val="7662023E"/>
    <w:rsid w:val="76643AE7"/>
    <w:rsid w:val="767A306F"/>
    <w:rsid w:val="768309E0"/>
    <w:rsid w:val="7684793E"/>
    <w:rsid w:val="769767EC"/>
    <w:rsid w:val="76983734"/>
    <w:rsid w:val="76A235BC"/>
    <w:rsid w:val="76B305FF"/>
    <w:rsid w:val="76C02622"/>
    <w:rsid w:val="76C04379"/>
    <w:rsid w:val="76D66190"/>
    <w:rsid w:val="76F352B7"/>
    <w:rsid w:val="76F62536"/>
    <w:rsid w:val="76F63F8E"/>
    <w:rsid w:val="7705394C"/>
    <w:rsid w:val="77541DD9"/>
    <w:rsid w:val="77560455"/>
    <w:rsid w:val="775B3563"/>
    <w:rsid w:val="77737259"/>
    <w:rsid w:val="77750B1E"/>
    <w:rsid w:val="77785FC0"/>
    <w:rsid w:val="777C69F4"/>
    <w:rsid w:val="7782124A"/>
    <w:rsid w:val="779D6D1F"/>
    <w:rsid w:val="77B37656"/>
    <w:rsid w:val="77C3377A"/>
    <w:rsid w:val="77C35AEB"/>
    <w:rsid w:val="77C51D8C"/>
    <w:rsid w:val="77C655DB"/>
    <w:rsid w:val="77C74EAF"/>
    <w:rsid w:val="77DE46D3"/>
    <w:rsid w:val="77E617D9"/>
    <w:rsid w:val="77EB6DF0"/>
    <w:rsid w:val="77F43EF6"/>
    <w:rsid w:val="77F54AD9"/>
    <w:rsid w:val="78024049"/>
    <w:rsid w:val="780802FA"/>
    <w:rsid w:val="78177082"/>
    <w:rsid w:val="78212811"/>
    <w:rsid w:val="78291AB0"/>
    <w:rsid w:val="78320EC2"/>
    <w:rsid w:val="785051F3"/>
    <w:rsid w:val="78632E2A"/>
    <w:rsid w:val="78646F86"/>
    <w:rsid w:val="787057C4"/>
    <w:rsid w:val="78727E4E"/>
    <w:rsid w:val="7873289B"/>
    <w:rsid w:val="787B63C5"/>
    <w:rsid w:val="78880AE2"/>
    <w:rsid w:val="78886D34"/>
    <w:rsid w:val="788A0834"/>
    <w:rsid w:val="78A23952"/>
    <w:rsid w:val="78AE072B"/>
    <w:rsid w:val="78AE0DB3"/>
    <w:rsid w:val="78B638A1"/>
    <w:rsid w:val="78C12F29"/>
    <w:rsid w:val="78C7160B"/>
    <w:rsid w:val="78CD0CE6"/>
    <w:rsid w:val="78CE6947"/>
    <w:rsid w:val="79017595"/>
    <w:rsid w:val="790C6D01"/>
    <w:rsid w:val="79121A2E"/>
    <w:rsid w:val="791D122B"/>
    <w:rsid w:val="79294073"/>
    <w:rsid w:val="792B34EF"/>
    <w:rsid w:val="792B7DEB"/>
    <w:rsid w:val="79325BEF"/>
    <w:rsid w:val="793B3DA7"/>
    <w:rsid w:val="79420C91"/>
    <w:rsid w:val="79450781"/>
    <w:rsid w:val="79532003"/>
    <w:rsid w:val="795821A2"/>
    <w:rsid w:val="797445F1"/>
    <w:rsid w:val="79821A9D"/>
    <w:rsid w:val="79A75DED"/>
    <w:rsid w:val="79BB0B66"/>
    <w:rsid w:val="79BC3EB0"/>
    <w:rsid w:val="79D02741"/>
    <w:rsid w:val="79E57808"/>
    <w:rsid w:val="79E91A91"/>
    <w:rsid w:val="79F20909"/>
    <w:rsid w:val="7A02015B"/>
    <w:rsid w:val="7A0648A7"/>
    <w:rsid w:val="7A096D9E"/>
    <w:rsid w:val="7A0E5017"/>
    <w:rsid w:val="7A116EA2"/>
    <w:rsid w:val="7A1350B3"/>
    <w:rsid w:val="7A2041A1"/>
    <w:rsid w:val="7A2454C3"/>
    <w:rsid w:val="7A2E7B6A"/>
    <w:rsid w:val="7A3D378A"/>
    <w:rsid w:val="7A4A42A1"/>
    <w:rsid w:val="7A4D2AE1"/>
    <w:rsid w:val="7A527E3C"/>
    <w:rsid w:val="7A886B78"/>
    <w:rsid w:val="7A8D0632"/>
    <w:rsid w:val="7A940CEF"/>
    <w:rsid w:val="7A981A09"/>
    <w:rsid w:val="7AA42D9E"/>
    <w:rsid w:val="7AB908C6"/>
    <w:rsid w:val="7ABD4A62"/>
    <w:rsid w:val="7AC06311"/>
    <w:rsid w:val="7ADB1185"/>
    <w:rsid w:val="7AEF6BF7"/>
    <w:rsid w:val="7AF27FBF"/>
    <w:rsid w:val="7AF97A75"/>
    <w:rsid w:val="7B217224"/>
    <w:rsid w:val="7B354232"/>
    <w:rsid w:val="7B46489C"/>
    <w:rsid w:val="7B5353D8"/>
    <w:rsid w:val="7B53600E"/>
    <w:rsid w:val="7B660B9C"/>
    <w:rsid w:val="7B737828"/>
    <w:rsid w:val="7B7E43E3"/>
    <w:rsid w:val="7B864A64"/>
    <w:rsid w:val="7B973491"/>
    <w:rsid w:val="7BB43953"/>
    <w:rsid w:val="7BB87930"/>
    <w:rsid w:val="7BBF13B3"/>
    <w:rsid w:val="7BD15117"/>
    <w:rsid w:val="7BD27A5D"/>
    <w:rsid w:val="7BDC1EC1"/>
    <w:rsid w:val="7BDF0A19"/>
    <w:rsid w:val="7BE1477E"/>
    <w:rsid w:val="7BED5740"/>
    <w:rsid w:val="7BFD3FCE"/>
    <w:rsid w:val="7C010D1F"/>
    <w:rsid w:val="7C085991"/>
    <w:rsid w:val="7C0F2B75"/>
    <w:rsid w:val="7C1508DF"/>
    <w:rsid w:val="7C2B29AB"/>
    <w:rsid w:val="7C37476C"/>
    <w:rsid w:val="7C445F6B"/>
    <w:rsid w:val="7C465062"/>
    <w:rsid w:val="7C4A252D"/>
    <w:rsid w:val="7C4A67DB"/>
    <w:rsid w:val="7C4F3EB5"/>
    <w:rsid w:val="7C550AA2"/>
    <w:rsid w:val="7C5D397B"/>
    <w:rsid w:val="7C5E2BFE"/>
    <w:rsid w:val="7C6B1D2B"/>
    <w:rsid w:val="7C75137E"/>
    <w:rsid w:val="7C923CDE"/>
    <w:rsid w:val="7C9C1750"/>
    <w:rsid w:val="7C9F18C8"/>
    <w:rsid w:val="7CA0289E"/>
    <w:rsid w:val="7CBA3AAE"/>
    <w:rsid w:val="7CC443BD"/>
    <w:rsid w:val="7CC72DC3"/>
    <w:rsid w:val="7CE81B50"/>
    <w:rsid w:val="7D1564DB"/>
    <w:rsid w:val="7D1A3036"/>
    <w:rsid w:val="7D1C1DCC"/>
    <w:rsid w:val="7D212011"/>
    <w:rsid w:val="7D2A660C"/>
    <w:rsid w:val="7D366731"/>
    <w:rsid w:val="7D3D1E9B"/>
    <w:rsid w:val="7D513B99"/>
    <w:rsid w:val="7D5176F5"/>
    <w:rsid w:val="7D5353F5"/>
    <w:rsid w:val="7D552799"/>
    <w:rsid w:val="7D6F7660"/>
    <w:rsid w:val="7D746A0E"/>
    <w:rsid w:val="7D7776E4"/>
    <w:rsid w:val="7D7B1F42"/>
    <w:rsid w:val="7D8B6E4D"/>
    <w:rsid w:val="7D8E1243"/>
    <w:rsid w:val="7D917500"/>
    <w:rsid w:val="7D935F5F"/>
    <w:rsid w:val="7DA95783"/>
    <w:rsid w:val="7DAA70EE"/>
    <w:rsid w:val="7DCA16EC"/>
    <w:rsid w:val="7DD32800"/>
    <w:rsid w:val="7DD52BE0"/>
    <w:rsid w:val="7DE467BB"/>
    <w:rsid w:val="7DF52776"/>
    <w:rsid w:val="7DFA7D8C"/>
    <w:rsid w:val="7E012B5A"/>
    <w:rsid w:val="7E09289C"/>
    <w:rsid w:val="7E133C92"/>
    <w:rsid w:val="7E150010"/>
    <w:rsid w:val="7E176C01"/>
    <w:rsid w:val="7E1A4D7A"/>
    <w:rsid w:val="7E2D63B4"/>
    <w:rsid w:val="7E35461F"/>
    <w:rsid w:val="7E361EBB"/>
    <w:rsid w:val="7E525835"/>
    <w:rsid w:val="7E5E47BF"/>
    <w:rsid w:val="7E5F4018"/>
    <w:rsid w:val="7E6943E0"/>
    <w:rsid w:val="7E7E10FB"/>
    <w:rsid w:val="7E843835"/>
    <w:rsid w:val="7E8C712F"/>
    <w:rsid w:val="7E993502"/>
    <w:rsid w:val="7E9E1908"/>
    <w:rsid w:val="7EA0044B"/>
    <w:rsid w:val="7EA87DB4"/>
    <w:rsid w:val="7EC7646A"/>
    <w:rsid w:val="7ECA3E11"/>
    <w:rsid w:val="7ED405DD"/>
    <w:rsid w:val="7ED62316"/>
    <w:rsid w:val="7EDF1235"/>
    <w:rsid w:val="7EE36A72"/>
    <w:rsid w:val="7EF4608E"/>
    <w:rsid w:val="7EFE1AFE"/>
    <w:rsid w:val="7F0A3FFF"/>
    <w:rsid w:val="7F153328"/>
    <w:rsid w:val="7F196938"/>
    <w:rsid w:val="7F217AD5"/>
    <w:rsid w:val="7F2210EE"/>
    <w:rsid w:val="7F46773E"/>
    <w:rsid w:val="7F4B6252"/>
    <w:rsid w:val="7F531F0C"/>
    <w:rsid w:val="7F547970"/>
    <w:rsid w:val="7F5E2CF2"/>
    <w:rsid w:val="7F7B4EFD"/>
    <w:rsid w:val="7F7D5E5E"/>
    <w:rsid w:val="7F89736C"/>
    <w:rsid w:val="7F9B559F"/>
    <w:rsid w:val="7FAE0E2E"/>
    <w:rsid w:val="7FBA59C5"/>
    <w:rsid w:val="7FCC4CBB"/>
    <w:rsid w:val="7FDB18A6"/>
    <w:rsid w:val="7FDB4950"/>
    <w:rsid w:val="7FE14118"/>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1"/>
    <w:next w:val="1"/>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6.emf"/><Relationship Id="rId23" Type="http://schemas.openxmlformats.org/officeDocument/2006/relationships/image" Target="media/image15.emf"/><Relationship Id="rId22" Type="http://schemas.openxmlformats.org/officeDocument/2006/relationships/image" Target="media/image14.emf"/><Relationship Id="rId21" Type="http://schemas.openxmlformats.org/officeDocument/2006/relationships/image" Target="media/image13.emf"/><Relationship Id="rId20" Type="http://schemas.openxmlformats.org/officeDocument/2006/relationships/image" Target="media/image12.emf"/><Relationship Id="rId2" Type="http://schemas.openxmlformats.org/officeDocument/2006/relationships/settings" Target="settings.xml"/><Relationship Id="rId19" Type="http://schemas.openxmlformats.org/officeDocument/2006/relationships/image" Target="media/image11.emf"/><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chart" Target="charts/chart2.xml"/><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chart" Target="charts/chart1.xml"/><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3&#21495;&#36710;&#27743;&#38108;&#30719;\3&#21495;&#36710;&#27743;&#38108;&#30719;&#25552;&#20379;&#36164;&#26009;\&#25903;&#20184;&#30003;&#35831;&#26126;&#32454;&#25253;&#34920;&#26597;&#35810;%20(202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3&#21495;&#36710;&#27743;&#38108;&#30719;\&#24207;&#26102;&#36134;&#24213;&#31295;(2024-01-01&#21040;2024-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a:t>
            </a:r>
          </a:p>
        </c:rich>
      </c:tx>
      <c:layout>
        <c:manualLayout>
          <c:xMode val="edge"/>
          <c:yMode val="edge"/>
          <c:x val="0.179689555380163"/>
          <c:y val="0.03125"/>
        </c:manualLayout>
      </c:layout>
      <c:overlay val="0"/>
      <c:spPr>
        <a:noFill/>
        <a:ln>
          <a:noFill/>
        </a:ln>
        <a:effectLst/>
      </c:spPr>
    </c:title>
    <c:autoTitleDeleted val="0"/>
    <c:plotArea>
      <c:layout/>
      <c:barChart>
        <c:barDir val="col"/>
        <c:grouping val="clustered"/>
        <c:varyColors val="0"/>
        <c:ser>
          <c:idx val="0"/>
          <c:order val="0"/>
          <c:tx>
            <c:strRef>
              <c:f>'[支付申请明细报表查询 (2024).xlsx]Sheet2'!$D$302</c:f>
              <c:strCache>
                <c:ptCount val="1"/>
                <c:pt idx="0">
                  <c:v>指标下达数</c:v>
                </c:pt>
              </c:strCache>
            </c:strRef>
          </c:tx>
          <c:spPr>
            <a:solidFill>
              <a:schemeClr val="accent1"/>
            </a:solidFill>
            <a:ln>
              <a:noFill/>
            </a:ln>
            <a:effectLst/>
          </c:spPr>
          <c:invertIfNegative val="0"/>
          <c:dLbls>
            <c:delete val="1"/>
          </c:dLbls>
          <c:cat>
            <c:strRef>
              <c:f>'[支付申请明细报表查询 (2024).xlsx]Sheet2'!$C$303:$C$314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(2024).xlsx]Sheet2'!$D$303:$D$314</c:f>
              <c:numCache>
                <c:formatCode>_ * #,##0.00_ ;_ * \-#,##0.00_ ;_ * "-"??_ ;_ @_ </c:formatCode>
                <c:ptCount val="12"/>
                <c:pt idx="0">
                  <c:v>598364.29</c:v>
                </c:pt>
                <c:pt idx="1">
                  <c:v>18900</c:v>
                </c:pt>
                <c:pt idx="4">
                  <c:v>202539.84</c:v>
                </c:pt>
                <c:pt idx="6">
                  <c:v>10980</c:v>
                </c:pt>
                <c:pt idx="7">
                  <c:v>300000</c:v>
                </c:pt>
                <c:pt idx="10">
                  <c:v>80763.21</c:v>
                </c:pt>
                <c:pt idx="11">
                  <c:v>231951.32</c:v>
                </c:pt>
              </c:numCache>
            </c:numRef>
          </c:val>
        </c:ser>
        <c:ser>
          <c:idx val="1"/>
          <c:order val="1"/>
          <c:tx>
            <c:strRef>
              <c:f>'[支付申请明细报表查询 (2024).xlsx]Sheet2'!$E$302</c:f>
              <c:strCache>
                <c:ptCount val="1"/>
                <c:pt idx="0">
                  <c:v>占比1</c:v>
                </c:pt>
              </c:strCache>
            </c:strRef>
          </c:tx>
          <c:spPr>
            <a:solidFill>
              <a:schemeClr val="accent2"/>
            </a:solidFill>
            <a:ln>
              <a:noFill/>
            </a:ln>
            <a:effectLst/>
          </c:spPr>
          <c:invertIfNegative val="0"/>
          <c:dLbls>
            <c:delete val="1"/>
          </c:dLbls>
          <c:cat>
            <c:strRef>
              <c:f>'[支付申请明细报表查询 (2024).xlsx]Sheet2'!$C$303:$C$314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(2024).xlsx]Sheet2'!$E$303:$E$314</c:f>
              <c:numCache>
                <c:formatCode>0.00%</c:formatCode>
                <c:ptCount val="12"/>
                <c:pt idx="0">
                  <c:v>0.414523619994216</c:v>
                </c:pt>
                <c:pt idx="1">
                  <c:v>0.0130931884619831</c:v>
                </c:pt>
                <c:pt idx="2">
                  <c:v>0</c:v>
                </c:pt>
                <c:pt idx="3">
                  <c:v>0</c:v>
                </c:pt>
                <c:pt idx="4">
                  <c:v>0.14031176170264</c:v>
                </c:pt>
                <c:pt idx="5">
                  <c:v>0</c:v>
                </c:pt>
                <c:pt idx="6">
                  <c:v>0.0076065190112473</c:v>
                </c:pt>
                <c:pt idx="7">
                  <c:v>0.207828388285445</c:v>
                </c:pt>
                <c:pt idx="8">
                  <c:v>0</c:v>
                </c:pt>
                <c:pt idx="9">
                  <c:v>0</c:v>
                </c:pt>
                <c:pt idx="10">
                  <c:v>0.0559496258901965</c:v>
                </c:pt>
                <c:pt idx="11">
                  <c:v>0.160686896654272</c:v>
                </c:pt>
              </c:numCache>
            </c:numRef>
          </c:val>
        </c:ser>
        <c:ser>
          <c:idx val="2"/>
          <c:order val="2"/>
          <c:tx>
            <c:strRef>
              <c:f>'[支付申请明细报表查询 (2024).xlsx]Sheet2'!$F$302</c:f>
              <c:strCache>
                <c:ptCount val="1"/>
                <c:pt idx="0">
                  <c:v>指标使用数</c:v>
                </c:pt>
              </c:strCache>
            </c:strRef>
          </c:tx>
          <c:spPr>
            <a:solidFill>
              <a:schemeClr val="accent2"/>
            </a:solidFill>
            <a:ln>
              <a:noFill/>
            </a:ln>
            <a:effectLst/>
          </c:spPr>
          <c:invertIfNegative val="0"/>
          <c:dLbls>
            <c:delete val="1"/>
          </c:dLbls>
          <c:cat>
            <c:strRef>
              <c:f>'[支付申请明细报表查询 (2024).xlsx]Sheet2'!$C$303:$C$314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(2024).xlsx]Sheet2'!$F$303:$F$314</c:f>
              <c:numCache>
                <c:formatCode>_ * #,##0.00_ ;_ * \-#,##0.00_ ;_ * "-"??_ ;_ @_ </c:formatCode>
                <c:ptCount val="12"/>
                <c:pt idx="0">
                  <c:v>79061.01</c:v>
                </c:pt>
                <c:pt idx="1">
                  <c:v>48517.21</c:v>
                </c:pt>
                <c:pt idx="2">
                  <c:v>45020.23</c:v>
                </c:pt>
                <c:pt idx="3">
                  <c:v>42559.59</c:v>
                </c:pt>
                <c:pt idx="4">
                  <c:v>114079.59</c:v>
                </c:pt>
                <c:pt idx="5">
                  <c:v>82182.48</c:v>
                </c:pt>
                <c:pt idx="6">
                  <c:v>71434.19</c:v>
                </c:pt>
                <c:pt idx="7">
                  <c:v>54970.43</c:v>
                </c:pt>
                <c:pt idx="8">
                  <c:v>110765.91</c:v>
                </c:pt>
                <c:pt idx="9">
                  <c:v>50730.6</c:v>
                </c:pt>
                <c:pt idx="10">
                  <c:v>403849.61</c:v>
                </c:pt>
                <c:pt idx="11">
                  <c:v>336281.4</c:v>
                </c:pt>
              </c:numCache>
            </c:numRef>
          </c:val>
        </c:ser>
        <c:ser>
          <c:idx val="3"/>
          <c:order val="3"/>
          <c:tx>
            <c:strRef>
              <c:f>'[支付申请明细报表查询 (2024).xlsx]Sheet2'!$G$302</c:f>
              <c:strCache>
                <c:ptCount val="1"/>
                <c:pt idx="0">
                  <c:v>占比2</c:v>
                </c:pt>
              </c:strCache>
            </c:strRef>
          </c:tx>
          <c:spPr>
            <a:solidFill>
              <a:schemeClr val="accent4"/>
            </a:solidFill>
            <a:ln>
              <a:noFill/>
            </a:ln>
            <a:effectLst/>
          </c:spPr>
          <c:invertIfNegative val="0"/>
          <c:dLbls>
            <c:delete val="1"/>
          </c:dLbls>
          <c:cat>
            <c:strRef>
              <c:f>'[支付申请明细报表查询 (2024).xlsx]Sheet2'!$C$303:$C$314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(2024).xlsx]Sheet2'!$G$303:$G$314</c:f>
              <c:numCache>
                <c:formatCode>0.00%</c:formatCode>
                <c:ptCount val="12"/>
                <c:pt idx="0">
                  <c:v>0.0549243714058594</c:v>
                </c:pt>
                <c:pt idx="1">
                  <c:v>0.0337053278425873</c:v>
                </c:pt>
                <c:pt idx="2">
                  <c:v>0.0312759454160428</c:v>
                </c:pt>
                <c:pt idx="3">
                  <c:v>0.0295665174027134</c:v>
                </c:pt>
                <c:pt idx="4">
                  <c:v>0.0792520835616465</c:v>
                </c:pt>
                <c:pt idx="5">
                  <c:v>0.0570928837688086</c:v>
                </c:pt>
                <c:pt idx="6">
                  <c:v>0.0496259532054641</c:v>
                </c:pt>
                <c:pt idx="7">
                  <c:v>0.0381884359137304</c:v>
                </c:pt>
                <c:pt idx="8">
                  <c:v>0.0769500412396451</c:v>
                </c:pt>
                <c:pt idx="9">
                  <c:v>0.0352429891300667</c:v>
                </c:pt>
                <c:pt idx="10">
                  <c:v>0.280557837191195</c:v>
                </c:pt>
                <c:pt idx="11">
                  <c:v>0.23361761392224</c:v>
                </c:pt>
              </c:numCache>
            </c:numRef>
          </c:val>
        </c:ser>
        <c:dLbls>
          <c:showLegendKey val="0"/>
          <c:showVal val="0"/>
          <c:showCatName val="0"/>
          <c:showSerName val="0"/>
          <c:showPercent val="0"/>
          <c:showBubbleSize val="0"/>
        </c:dLbls>
        <c:gapWidth val="59"/>
        <c:overlap val="54"/>
        <c:axId val="902801398"/>
        <c:axId val="676764487"/>
      </c:barChart>
      <c:catAx>
        <c:axId val="9028013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6764487"/>
        <c:crosses val="autoZero"/>
        <c:auto val="1"/>
        <c:lblAlgn val="ctr"/>
        <c:lblOffset val="100"/>
        <c:noMultiLvlLbl val="0"/>
      </c:catAx>
      <c:valAx>
        <c:axId val="676764487"/>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801398"/>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967e24-f35f-490a-a0df-413c6b479a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四数对比趋势图</a:t>
            </a:r>
          </a:p>
        </c:rich>
      </c:tx>
      <c:layout/>
      <c:overlay val="0"/>
      <c:spPr>
        <a:noFill/>
        <a:ln>
          <a:noFill/>
        </a:ln>
        <a:effectLst/>
      </c:spPr>
    </c:title>
    <c:autoTitleDeleted val="0"/>
    <c:plotArea>
      <c:layout/>
      <c:barChart>
        <c:barDir val="col"/>
        <c:grouping val="stacked"/>
        <c:varyColors val="0"/>
        <c:ser>
          <c:idx val="0"/>
          <c:order val="0"/>
          <c:tx>
            <c:strRef>
              <c:f>'[序时账底稿(2024-01-01到2024-12-31).xlsx]汇总1'!$C$121</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'[序时账底稿(2024-01-01到2024-12-31).xlsx]汇总1'!$D$120:$G$120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'[序时账底稿(2024-01-01到2024-12-31).xlsx]汇总1'!$D$121:$G$121</c:f>
              <c:numCache>
                <c:formatCode>0.00%</c:formatCode>
                <c:ptCount val="4"/>
                <c:pt idx="0">
                  <c:v>0.361679075363298</c:v>
                </c:pt>
                <c:pt idx="1">
                  <c:v>0.360425022782103</c:v>
                </c:pt>
                <c:pt idx="2">
                  <c:v>0.361758863484357</c:v>
                </c:pt>
                <c:pt idx="3">
                  <c:v>0.450974848245227</c:v>
                </c:pt>
              </c:numCache>
            </c:numRef>
          </c:val>
        </c:ser>
        <c:ser>
          <c:idx val="1"/>
          <c:order val="1"/>
          <c:tx>
            <c:strRef>
              <c:f>'[序时账底稿(2024-01-01到2024-12-31).xlsx]汇总1'!$C$122</c:f>
              <c:strCache>
                <c:ptCount val="1"/>
                <c:pt idx="0">
                  <c:v>公用经费</c:v>
                </c:pt>
              </c:strCache>
            </c:strRef>
          </c:tx>
          <c:spPr>
            <a:solidFill>
              <a:schemeClr val="accent6"/>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'[序时账底稿(2024-01-01到2024-12-31).xlsx]汇总1'!$D$120:$G$120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'[序时账底稿(2024-01-01到2024-12-31).xlsx]汇总1'!$D$122:$G$122</c:f>
              <c:numCache>
                <c:formatCode>0.00%</c:formatCode>
                <c:ptCount val="4"/>
                <c:pt idx="0">
                  <c:v>0</c:v>
                </c:pt>
                <c:pt idx="1">
                  <c:v>0</c:v>
                </c:pt>
                <c:pt idx="2">
                  <c:v>0</c:v>
                </c:pt>
                <c:pt idx="3">
                  <c:v>0.165121434212215</c:v>
                </c:pt>
              </c:numCache>
            </c:numRef>
          </c:val>
        </c:ser>
        <c:ser>
          <c:idx val="2"/>
          <c:order val="2"/>
          <c:tx>
            <c:strRef>
              <c:f>'[序时账底稿(2024-01-01到2024-12-31).xlsx]汇总1'!$C$123</c:f>
              <c:strCache>
                <c:ptCount val="1"/>
                <c:pt idx="0">
                  <c:v>项目支出</c:v>
                </c:pt>
              </c:strCache>
            </c:strRef>
          </c:tx>
          <c:spPr>
            <a:solidFill>
              <a:schemeClr val="bg1">
                <a:lumMod val="85000"/>
              </a:schemeClr>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'[序时账底稿(2024-01-01到2024-12-31).xlsx]汇总1'!$D$120:$G$120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'[序时账底稿(2024-01-01到2024-12-31).xlsx]汇总1'!$D$123:$G$123</c:f>
              <c:numCache>
                <c:formatCode>0.00%</c:formatCode>
                <c:ptCount val="4"/>
                <c:pt idx="0">
                  <c:v>0.638320924636702</c:v>
                </c:pt>
                <c:pt idx="1">
                  <c:v>0.639574977217897</c:v>
                </c:pt>
                <c:pt idx="2">
                  <c:v>0.638241136515643</c:v>
                </c:pt>
                <c:pt idx="3">
                  <c:v>0.383903717542558</c:v>
                </c:pt>
              </c:numCache>
            </c:numRef>
          </c:val>
        </c:ser>
        <c:dLbls>
          <c:showLegendKey val="0"/>
          <c:showVal val="1"/>
          <c:showCatName val="0"/>
          <c:showSerName val="0"/>
          <c:showPercent val="0"/>
          <c:showBubbleSize val="0"/>
        </c:dLbls>
        <c:gapWidth val="59"/>
        <c:overlap val="100"/>
        <c:serLines>
          <c:spPr>
            <a:ln w="12700" cap="flat" cmpd="sng" algn="ctr">
              <a:solidFill>
                <a:schemeClr val="tx1"/>
              </a:solidFill>
              <a:round/>
              <a:headEnd type="triangle"/>
            </a:ln>
            <a:effectLst/>
          </c:spPr>
        </c:serLines>
        <c:axId val="329138946"/>
        <c:axId val="466438719"/>
      </c:barChart>
      <c:catAx>
        <c:axId val="3291389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6438719"/>
        <c:crosses val="autoZero"/>
        <c:auto val="1"/>
        <c:lblAlgn val="ctr"/>
        <c:lblOffset val="100"/>
        <c:noMultiLvlLbl val="0"/>
      </c:catAx>
      <c:valAx>
        <c:axId val="46643871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13894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19ca6c3-324d-42ca-b1fa-77d48d2478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ddc2e8da-b8cb-4fd7-b8ea-9cbad1f999c2</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c27275aa-d64a-44ff-998e-4a2133f51718</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57d9c53d-14d1-486e-b61b-f7af59c3a9d7</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a939f16e-dba1-4503-8fc3-2966cd8654a2</errorID>
      <errorWord>括</errorWord>
      <group>L1_Word</group>
      <groupName>字词问题</groupName>
      <ability>L2_Typo</ability>
      <abilityName>字词错误</abilityName>
      <candidateList>
        <item>括但</item>
      </candidateList>
      <explain/>
      <paraID> 68AC208</paraID>
      <start>35</start>
      <end>36</end>
      <status>unmodified</status>
      <modifiedWord/>
      <trackRevisions>false</trackRevisions>
    </reviewItem>
    <reviewItem>
      <errorID>62007f85-2253-45b4-9888-38cd61cb5875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759cf593-11b6-473b-a42d-73c6bd379af8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0993250f-5187-46ec-9f7d-bbad448c403b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536f546d-cbc6-46d7-847b-b6fb1e3f3a09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a74a56e0-b9e2-4fc9-8794-2e88f12b21d1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545b9faa-07a5-4335-b255-ebada8390882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9e366184-5245-4436-a50f-b7b54707ffcd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de92ff54-04a6-4e49-b78d-3f0c68bf83d5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19c046b5-bd81-4ab2-bef3-d7e795ade155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81f33769-1545-4af5-8bc5-462ebe5196df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dd7b3613-200a-4414-97fc-d956aff003b0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41d72d0f-62a9-41ee-aae1-abc760cec21c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677bb538-549b-440b-b4a3-0a229965f62a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7c332c7c-94d7-42f3-a4c0-698a6e32359f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ff30e679-0ef0-4cd0-b7a3-966c0d9f4b1c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7c410b14-c0ea-436e-9905-4c08616d1afe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17866ee0-422e-406c-bdf6-a6326467192f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eb88797c-d30d-4751-9c30-0a99420e22f4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D4C8011</paraID>
      <start>10</start>
      <end>12</end>
      <status>unmodified</status>
      <modifiedWord/>
      <trackRevisions>false</trackRevisions>
    </reviewItem>
    <reviewItem>
      <errorID>72226ad9-a95c-4937-b6d4-daac389d1abb</errorID>
      <errorWord>。</errorWord>
      <group>L1_Grammar</group>
      <groupName>语法问题</groupName>
      <ability>L2_Missing</ability>
      <abilityName>成分残缺</abilityName>
      <candidateList>
        <item>作出明确要求。</item>
      </candidateList>
      <explain>句子中可能存在主谓宾、修饰语或者必要的词语残缺。</explain>
      <paraID> D4C8011</paraID>
      <start>30</start>
      <end>31</end>
      <status>unmodified</status>
      <modifiedWord/>
      <trackRevisions>false</trackRevisions>
    </reviewItem>
    <reviewItem>
      <errorID>f46ba4e0-73fc-4594-8602-9c718643298d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edeacf5e-9304-4100-884a-d2a3adc010a8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273b3478-e360-4597-8fd8-4917b9ba3e22</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328dde76-b2b7-4512-b0bc-ded738eb94d3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034062f8-b6bb-4832-97a7-2aa7b88a4e37</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48fafeb1-9c35-4557-b809-749d9cc8e5c2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09841a7b-8069-4766-b406-d3d5489deb12</errorID>
      <errorWord>[2025]6号</errorWord>
      <group>L1_Knowledge</group>
      <groupName>知识性问题</groupName>
      <ability>L2_Knowledge</ability>
      <abilityName>其他知识</abilityName>
      <candidateList>
        <item>〔2025〕6号</item>
      </candidateList>
      <explain>发文字号格式错误。</explain>
      <paraID>73E24FFD</paraID>
      <start>28</start>
      <end>36</end>
      <status>unmodified</status>
      <modifiedWord/>
      <trackRevisions>false</trackRevisions>
    </reviewItem>
    <reviewItem>
      <errorID>a3bcd6ba-dc10-47c0-8ebf-a173a517143a</errorID>
      <errorWord>。</errorWord>
      <group>L1_Grammar</group>
      <groupName>语法问题</groupName>
      <ability>L2_Missing</ability>
      <abilityName>成分残缺</abilityName>
      <candidateList>
        <item>已发布。</item>
      </candidateList>
      <explain>句子中可能存在主谓宾、修饰语或者必要的词语残缺。</explain>
      <paraID>73E24FFD</paraID>
      <start>59</start>
      <end>60</end>
      <status>unmodified</status>
      <modifiedWord/>
      <trackRevisions>false</trackRevisions>
    </reviewItem>
    <reviewItem>
      <errorID>1992a83f-4086-41cb-9621-b40c0394879a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b6f77f01-8d60-4fb8-b37a-023036c6732f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f92668c8-8907-4f41-a71c-01d6f3379c02</errorID>
      <errorWord>第一议题制度</errorWord>
      <group>L1_Political</group>
      <groupName>政治性问题</groupName>
      <ability>L2_Keyword</ability>
      <abilityName>固定表述</abilityName>
      <candidateList>
        <item>“第一议题”制度</item>
      </candidateList>
      <explain>注意检查当前固定表述标点是否使用规范。</explain>
      <paraID>1499F282</paraID>
      <start>61</start>
      <end>67</end>
      <status>unmodified</status>
      <modifiedWord/>
      <trackRevisions>false</trackRevisions>
    </reviewItem>
    <reviewItem>
      <errorID>43bfc5a2-4226-44e7-a0d2-d1b23fcfe635</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1499F282</paraID>
      <start>67</start>
      <end>75</end>
      <status>unmodified</status>
      <modifiedWord/>
      <trackRevisions>false</trackRevisions>
    </reviewItem>
    <reviewItem>
      <errorID>1a15edb3-9b86-48b4-a211-fd9969e4f04f</errorID>
      <errorWord>量力而行、尽力而为</errorWord>
      <group>L1_Political</group>
      <groupName>政治性问题</groupName>
      <ability>L2_Keyword</ability>
      <abilityName>固定表述</abilityName>
      <candidateList>
        <item>尽力而为、量力而行</item>
      </candidateList>
      <explain>词汇“尽力而为、量力而行”在特定场景下为固定表述形式，请确认此处的“量力而行、尽力而为”是否存在不当。</explain>
      <paraID>1B78F83C</paraID>
      <start>23</start>
      <end>32</end>
      <status>unmodified</status>
      <modifiedWord/>
      <trackRevisions>false</trackRevisions>
    </reviewItem>
    <reviewItem>
      <errorID>42e211f3-02f4-4cb7-875e-ef8cf047e672</errorID>
      <errorWord>职</errorWord>
      <group>L1_Word</group>
      <groupName>字词问题</groupName>
      <ability>L2_Typo</ability>
      <abilityName>字词错误</abilityName>
      <candidateList>
        <item>职效</item>
      </candidateList>
      <explain/>
      <paraID>6EBA30CD</paraID>
      <start>5</start>
      <end>6</end>
      <status>unmodified</status>
      <modifiedWord/>
      <trackRevisions>false</trackRevisions>
    </reviewItem>
    <reviewItem>
      <errorID>9904cdfd-c9c2-4b5a-95ab-4fc0061205fe</errorID>
      <errorWord>，</errorWord>
      <group>L1_Word</group>
      <groupName>字词问题</groupName>
      <ability>L2_Typo</ability>
      <abilityName>字词错误</abilityName>
      <candidateList>
        <item>，党</item>
      </candidateList>
      <explain/>
      <paraID>6EBA30CD</paraID>
      <start>58</start>
      <end>59</end>
      <status>unmodified</status>
      <modifiedWord/>
      <trackRevisions>false</trackRevisions>
    </reviewItem>
    <reviewItem>
      <errorID>d0310d04-76d8-4f9f-b102-d374664655c1</errorID>
      <errorWord>-</errorWord>
      <group>L1_Format</group>
      <groupName>格式问题</groupName>
      <ability>L2_HalfPunc</ability>
      <abilityName>全半角检查</abilityName>
      <candidateList>
        <item>－</item>
      </candidateList>
      <explain>文本全半角错误。</explain>
      <paraID> E4BBADD</paraID>
      <start>27</start>
      <end>28</end>
      <status>unmodified</status>
      <modifiedWord/>
      <trackRevisions>false</trackRevisions>
    </reviewItem>
    <reviewItem>
      <errorID>04bc354f-786f-408f-8a36-f608b5a0ee98</errorID>
      <errorWord>-</errorWord>
      <group>L1_Format</group>
      <groupName>格式问题</groupName>
      <ability>L2_HalfPunc</ability>
      <abilityName>全半角检查</abilityName>
      <candidateList>
        <item>－</item>
      </candidateList>
      <explain>文本全半角错误。</explain>
      <paraID> E4BBADD</paraID>
      <start>37</start>
      <end>38</end>
      <status>unmodified</status>
      <modifiedWord/>
      <trackRevisions>false</trackRevisions>
    </reviewItem>
    <reviewItem>
      <errorID>c73ab557-1504-4212-8b62-2070314b20b1</errorID>
      <errorWord>-</errorWord>
      <group>L1_Format</group>
      <groupName>格式问题</groupName>
      <ability>L2_HalfPunc</ability>
      <abilityName>全半角检查</abilityName>
      <candidateList>
        <item>－</item>
      </candidateList>
      <explain>文本全半角错误。</explain>
      <paraID> E4BBADD</paraID>
      <start>61</start>
      <end>62</end>
      <status>unmodified</status>
      <modifiedWord/>
      <trackRevisions>false</trackRevisions>
    </reviewItem>
    <reviewItem>
      <errorID>72d09bb3-e8e4-4a9b-9870-120f96231321</errorID>
      <errorWord>-</errorWord>
      <group>L1_Format</group>
      <groupName>格式问题</groupName>
      <ability>L2_HalfPunc</ability>
      <abilityName>全半角检查</abilityName>
      <candidateList>
        <item>－</item>
      </candidateList>
      <explain>文本全半角错误。</explain>
      <paraID> E4BBADD</paraID>
      <start>111</start>
      <end>112</end>
      <status>unmodified</status>
      <modifiedWord/>
      <trackRevisions>false</trackRevisions>
    </reviewItem>
    <reviewItem>
      <errorID>dcd0fa19-d854-4888-8cd2-7685dcb80c6c</errorID>
      <errorWord>-</errorWord>
      <group>L1_Format</group>
      <groupName>格式问题</groupName>
      <ability>L2_HalfPunc</ability>
      <abilityName>全半角检查</abilityName>
      <candidateList>
        <item>－</item>
      </candidateList>
      <explain>文本全半角错误。</explain>
      <paraID>483A402F</paraID>
      <start>6</start>
      <end>7</end>
      <status>unmodified</status>
      <modifiedWord/>
      <trackRevisions>false</trackRevisions>
    </reviewItem>
    <reviewItem>
      <errorID>73a56782-6ef5-40a7-9175-5e5ccec717bb</errorID>
      <errorWord>-</errorWord>
      <group>L1_Format</group>
      <groupName>格式问题</groupName>
      <ability>L2_HalfPunc</ability>
      <abilityName>全半角检查</abilityName>
      <candidateList>
        <item>－</item>
      </candidateList>
      <explain>文本全半角错误。</explain>
      <paraID>5F8EBFE3</paraID>
      <start>6</start>
      <end>7</end>
      <status>unmodified</status>
      <modifiedWord/>
      <trackRevisions>false</trackRevisions>
    </reviewItem>
    <reviewItem>
      <errorID>a7eb9a20-4386-4487-a79d-359e6164342c</errorID>
      <errorWord>3号</errorWord>
      <group>L1_Knowledge</group>
      <groupName>知识性问题</groupName>
      <ability>L2_Time</ability>
      <abilityName>日期时间</abilityName>
      <candidateList>
        <item>3日</item>
      </candidateList>
      <explain>日期表达规范为x月x日。</explain>
      <paraID>68144545</paraID>
      <start>10</start>
      <end>12</end>
      <status>unmodified</status>
      <modifiedWord/>
      <trackRevisions>false</trackRevisions>
    </reviewItem>
    <reviewItem>
      <errorID>c09d79c8-eacd-4ce0-830a-347c76594e70</errorID>
      <errorWord>凭证</errorWord>
      <group>L1_Word</group>
      <groupName>字词问题</groupName>
      <ability>L2_Typo</ability>
      <abilityName>字词错误</abilityName>
      <candidateList>
        <item>凭</item>
      </candidateList>
      <explain/>
      <paraID>68144545</paraID>
      <start>12</start>
      <end>14</end>
      <status>unmodified</status>
      <modifiedWord/>
      <trackRevisions>false</trackRevisions>
    </reviewItem>
    <reviewItem>
      <errorID>86f24f35-e881-4539-be58-a0700d1b1b49</errorID>
      <errorWord>16号</errorWord>
      <group>L1_Knowledge</group>
      <groupName>知识性问题</groupName>
      <ability>L2_Time</ability>
      <abilityName>日期时间</abilityName>
      <candidateList>
        <item>16日</item>
      </candidateList>
      <explain>日期表达规范为x月x日。</explain>
      <paraID>68144545</paraID>
      <start>65</start>
      <end>68</end>
      <status>unmodified</status>
      <modifiedWord/>
      <trackRevisions>false</trackRevisions>
    </reviewItem>
    <reviewItem>
      <errorID>132440b6-26f4-4957-a533-1525351fa152</errorID>
      <errorWord>16号</errorWord>
      <group>L1_Knowledge</group>
      <groupName>知识性问题</groupName>
      <ability>L2_Time</ability>
      <abilityName>日期时间</abilityName>
      <candidateList>
        <item>16日</item>
      </candidateList>
      <explain>日期表达规范为x月x日。</explain>
      <paraID>68144545</paraID>
      <start>137</start>
      <end>140</end>
      <status>unmodified</status>
      <modifiedWord/>
      <trackRevisions>false</trackRevisions>
    </reviewItem>
    <reviewItem>
      <errorID>57cbcc1a-fad4-48bc-90a0-bad92066db6e</errorID>
      <errorWord>6号</errorWord>
      <group>L1_Knowledge</group>
      <groupName>知识性问题</groupName>
      <ability>L2_Time</ability>
      <abilityName>日期时间</abilityName>
      <candidateList>
        <item>6日</item>
      </candidateList>
      <explain>日期表达规范为x月x日。</explain>
      <paraID>68144545</paraID>
      <start>205</start>
      <end>207</end>
      <status>unmodified</status>
      <modifiedWord/>
      <trackRevisions>false</trackRevisions>
    </reviewItem>
    <reviewItem>
      <errorID>4f0a662a-2bdd-4886-93b6-cdbfa5801590</errorID>
      <errorWord>10号</errorWord>
      <group>L1_Knowledge</group>
      <groupName>知识性问题</groupName>
      <ability>L2_Time</ability>
      <abilityName>日期时间</abilityName>
      <candidateList>
        <item>10日</item>
      </candidateList>
      <explain>日期表达规范为x月x日。</explain>
      <paraID>68144545</paraID>
      <start>248</start>
      <end>251</end>
      <status>unmodified</status>
      <modifiedWord/>
      <trackRevisions>false</trackRevisions>
    </reviewItem>
    <reviewItem>
      <errorID>cffea8e4-67a3-424c-8075-020ff3efd446</errorID>
      <errorWord>2号</errorWord>
      <group>L1_Knowledge</group>
      <groupName>知识性问题</groupName>
      <ability>L2_Time</ability>
      <abilityName>日期时间</abilityName>
      <candidateList>
        <item>2日</item>
      </candidateList>
      <explain>日期表达规范为x月x日。</explain>
      <paraID>68144545</paraID>
      <start>284</start>
      <end>286</end>
      <status>unmodified</status>
      <modifiedWord/>
      <trackRevisions>false</trackRevisions>
    </reviewItem>
    <reviewItem>
      <errorID>4823579e-1790-47a5-8e4f-a6e8f26e6f09</errorID>
      <errorWord>3号</errorWord>
      <group>L1_Knowledge</group>
      <groupName>知识性问题</groupName>
      <ability>L2_Time</ability>
      <abilityName>日期时间</abilityName>
      <candidateList>
        <item>3日</item>
      </candidateList>
      <explain>日期表达规范为x月x日。</explain>
      <paraID>68144545</paraID>
      <start>329</start>
      <end>331</end>
      <status>unmodified</status>
      <modifiedWord/>
      <trackRevisions>false</trackRevisions>
    </reviewItem>
    <reviewItem>
      <errorID>ff06c83b-ffc5-46ca-9144-059f512129ae</errorID>
      <errorWord>1号</errorWord>
      <group>L1_Knowledge</group>
      <groupName>知识性问题</groupName>
      <ability>L2_Time</ability>
      <abilityName>日期时间</abilityName>
      <candidateList>
        <item>1日</item>
      </candidateList>
      <explain>日期表达规范为x月x日。</explain>
      <paraID>68144545</paraID>
      <start>380</start>
      <end>382</end>
      <status>unmodified</status>
      <modifiedWord/>
      <trackRevisions>false</trackRevisions>
    </reviewItem>
    <reviewItem>
      <errorID>24667951-7c22-462f-8cd5-70134e3860c5</errorID>
      <errorWord>10号</errorWord>
      <group>L1_Knowledge</group>
      <groupName>知识性问题</groupName>
      <ability>L2_Time</ability>
      <abilityName>日期时间</abilityName>
      <candidateList>
        <item>10日</item>
      </candidateList>
      <explain>日期表达规范为x月x日。</explain>
      <paraID>68144545</paraID>
      <start>425</start>
      <end>428</end>
      <status>unmodified</status>
      <modifiedWord/>
      <trackRevisions>false</trackRevisions>
    </reviewItem>
    <reviewItem>
      <errorID>51aee50d-1557-4bf2-be7d-1f3c851bff89</errorID>
      <errorWord>1号</errorWord>
      <group>L1_Knowledge</group>
      <groupName>知识性问题</groupName>
      <ability>L2_Time</ability>
      <abilityName>日期时间</abilityName>
      <candidateList>
        <item>1日</item>
      </candidateList>
      <explain>日期表达规范为x月x日。</explain>
      <paraID>68144545</paraID>
      <start>461</start>
      <end>463</end>
      <status>unmodified</status>
      <modifiedWord/>
      <trackRevisions>false</trackRevisions>
    </reviewItem>
    <reviewItem>
      <errorID>440cefd5-608a-41ed-9373-0d5c6ed7084d</errorID>
      <errorWord>22号</errorWord>
      <group>L1_Knowledge</group>
      <groupName>知识性问题</groupName>
      <ability>L2_Time</ability>
      <abilityName>日期时间</abilityName>
      <candidateList>
        <item>22日</item>
      </candidateList>
      <explain>日期表达规范为x月x日。</explain>
      <paraID>68144545</paraID>
      <start>523</start>
      <end>526</end>
      <status>unmodified</status>
      <modifiedWord/>
      <trackRevisions>false</trackRevisions>
    </reviewItem>
    <reviewItem>
      <errorID>20a6e5a8-071b-4a22-8b58-14435e8c8713</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68144545</paraID>
      <start>591</start>
      <end>595</end>
      <status>unmodified</status>
      <modifiedWord/>
      <trackRevisions>false</trackRevisions>
    </reviewItem>
    <reviewItem>
      <errorID>7168c7b3-37f8-437c-ae2b-88141939520d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2</start>
      <end>6</end>
      <status>unmodified</status>
      <modifiedWord/>
      <trackRevisions>false</trackRevisions>
    </reviewItem>
    <reviewItem>
      <errorID>388914cf-eb41-4f56-9a37-e74b3dc8bc5d</errorID>
      <errorWord>数</errorWord>
      <group>L1_Word</group>
      <groupName>字词问题</groupName>
      <ability>L2_Typo</ability>
      <abilityName>字词错误</abilityName>
      <candidateList>
        <item>数据</item>
      </candidateList>
      <explain/>
      <paraID>6C95C375</paraID>
      <start>9</start>
      <end>10</end>
      <status>unmodified</status>
      <modifiedWord/>
      <trackRevisions>false</trackRevisions>
    </reviewItem>
    <reviewItem>
      <errorID>bd770640-334a-4268-92e4-e2fe7b37790a</errorID>
      <errorWord>-</errorWord>
      <group>L1_Format</group>
      <groupName>格式问题</groupName>
      <ability>L2_HalfPunc</ability>
      <abilityName>全半角检查</abilityName>
      <candidateList>
        <item>－</item>
      </candidateList>
      <explain>文本全半角错误。</explain>
      <paraID>1100C993</paraID>
      <start>4</start>
      <end>5</end>
      <status>unmodified</status>
      <modifiedWord/>
      <trackRevisions>false</trackRevisions>
    </reviewItem>
    <reviewItem>
      <errorID>d346edb8-5412-44bb-b796-abab78d5ca2c</errorID>
      <errorWord>-</errorWord>
      <group>L1_Format</group>
      <groupName>格式问题</groupName>
      <ability>L2_HalfPunc</ability>
      <abilityName>全半角检查</abilityName>
      <candidateList>
        <item>－</item>
      </candidateList>
      <explain>文本全半角错误。</explain>
      <paraID>1100C993</paraID>
      <start>9</start>
      <end>10</end>
      <status>unmodified</status>
      <modifiedWord/>
      <trackRevisions>false</trackRevisions>
    </reviewItem>
    <reviewItem>
      <errorID>87254ae7-1566-4e27-909a-0c0d48a8e033</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470d21c9-5bfa-46f7-b863-8a8d2d04862c</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6f31abd1-e4fe-4ff3-8aac-edb027fe08dd</errorID>
      <errorWord>无计</errorWord>
      <group>L1_Word</group>
      <groupName>字词问题</groupName>
      <ability>L2_Typo</ability>
      <abilityName>字词错误</abilityName>
      <candidateList>
        <item>无</item>
      </candidateList>
      <explain/>
      <paraID>621B80F1</paraID>
      <start>35</start>
      <end>37</end>
      <status>unmodified</status>
      <modifiedWord/>
      <trackRevisions>false</trackRevisions>
    </reviewItem>
    <reviewItem>
      <errorID>d9d8ee89-015e-496a-a9e2-f8d28dae3d55</errorID>
      <errorWord>，无</errorWord>
      <group>L1_Word</group>
      <groupName>字词问题</groupName>
      <ability>L2_Typo</ability>
      <abilityName>字词错误</abilityName>
      <candidateList>
        <item>，</item>
      </candidateList>
      <explain/>
      <paraID>621B80F1</paraID>
      <start>110</start>
      <end>112</end>
      <status>unmodified</status>
      <modifiedWord/>
      <trackRevisions>false</trackRevisions>
    </reviewItem>
    <reviewItem>
      <errorID>42e6359a-7162-4e82-a89f-5fa503e1de93</errorID>
      <errorWord>11号</errorWord>
      <group>L1_Knowledge</group>
      <groupName>知识性问题</groupName>
      <ability>L2_Time</ability>
      <abilityName>日期时间</abilityName>
      <candidateList>
        <item>11日</item>
      </candidateList>
      <explain>日期表达规范为x月x日。</explain>
      <paraID>14AF0E63</paraID>
      <start>9</start>
      <end>12</end>
      <status>unmodified</status>
      <modifiedWord/>
      <trackRevisions>false</trackRevisions>
    </reviewItem>
    <reviewItem>
      <errorID>000d7a69-cb3e-4dfa-b47f-3e532643479c</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14AF0E63</paraID>
      <start>45</start>
      <end>49</end>
      <status>unmodified</status>
      <modifiedWord/>
      <trackRevisions>false</trackRevisions>
    </reviewItem>
    <reviewItem>
      <errorID>fd076b9c-c287-4109-a574-c13237bcf187</errorID>
      <errorWord>1号</errorWord>
      <group>L1_Knowledge</group>
      <groupName>知识性问题</groupName>
      <ability>L2_Time</ability>
      <abilityName>日期时间</abilityName>
      <candidateList>
        <item>1日</item>
      </candidateList>
      <explain>日期表达规范为x月x日。</explain>
      <paraID>14AF0E63</paraID>
      <start>90</start>
      <end>92</end>
      <status>unmodified</status>
      <modifiedWord/>
      <trackRevisions>false</trackRevisions>
    </reviewItem>
    <reviewItem>
      <errorID>542008b5-2039-4442-b310-f96b6b00834e</errorID>
      <errorWord>农贸市场农贸市场</errorWord>
      <group>L1_Word</group>
      <groupName>字词问题</groupName>
      <ability>L2_Typo</ability>
      <abilityName>字词错误</abilityName>
      <candidateList>
        <item>农贸市场</item>
      </candidateList>
      <explain/>
      <paraID> B5938C5</paraID>
      <start>33</start>
      <end>41</end>
      <status>unmodified</status>
      <modifiedWord/>
      <trackRevisions>false</trackRevisions>
    </reviewItem>
    <reviewItem>
      <errorID>eb3a8fa2-da1e-4ae2-90a0-32e95c8fccb6</errorID>
      <errorWord>号待</errorWord>
      <group>L1_Word</group>
      <groupName>字词问题</groupName>
      <ability>L2_Typo</ability>
      <abilityName>字词错误</abilityName>
      <candidateList>
        <item>尚待</item>
      </candidateList>
      <explain/>
      <paraID> B5938C5</paraID>
      <start>75</start>
      <end>77</end>
      <status>unmodified</status>
      <modifiedWord/>
      <trackRevisions>false</trackRevisions>
    </reviewItem>
    <reviewItem>
      <errorID>722f0b2e-244c-4216-98e8-c16646cd1121</errorID>
      <errorWord>,</errorWord>
      <group>L1_Format</group>
      <groupName>格式问题</groupName>
      <ability>L2_HalfPunc</ability>
      <abilityName>全半角检查</abilityName>
      <candidateList>
        <item>，</item>
      </candidateList>
      <explain>文本全半角错误。</explain>
      <paraID> B5938C5</paraID>
      <start>79</start>
      <end>80</end>
      <status>unmodified</status>
      <modifiedWord/>
      <trackRevisions>false</trackRevisions>
    </reviewItem>
    <reviewItem>
      <errorID>ceef54e6-73c1-4f48-8293-29dc1dfa71d6</errorID>
      <errorWord>"</errorWord>
      <group>L1_Format</group>
      <groupName>格式问题</groupName>
      <ability>L2_HalfPunc</ability>
      <abilityName>全半角检查</abilityName>
      <candidateList>
        <item>“</item>
      </candidateList>
      <explain>文本全半角错误。</explain>
      <paraID>3ADD418A</paraID>
      <start>31</start>
      <end>32</end>
      <status>unmodified</status>
      <modifiedWord/>
      <trackRevisions>false</trackRevisions>
    </reviewItem>
    <reviewItem>
      <errorID>0fb1c93a-6815-4bb0-9523-34c5abf88950</errorID>
      <errorWord>"</errorWord>
      <group>L1_Format</group>
      <groupName>格式问题</groupName>
      <ability>L2_HalfPunc</ability>
      <abilityName>全半角检查</abilityName>
      <candidateList>
        <item>”</item>
      </candidateList>
      <explain>文本全半角错误。</explain>
      <paraID>3ADD418A</paraID>
      <start>43</start>
      <end>44</end>
      <status>unmodified</status>
      <modifiedWord/>
      <trackRevisions>false</trackRevisions>
    </reviewItem>
    <reviewItem>
      <errorID>b318d37a-69db-4b25-8bdc-ab1d574490bc</errorID>
      <errorWord>"</errorWord>
      <group>L1_Format</group>
      <groupName>格式问题</groupName>
      <ability>L2_HalfPunc</ability>
      <abilityName>全半角检查</abilityName>
      <candidateList>
        <item>“</item>
      </candidateList>
      <explain>文本全半角错误。</explain>
      <paraID>3ADD418A</paraID>
      <start>95</start>
      <end>96</end>
      <status>unmodified</status>
      <modifiedWord/>
      <trackRevisions>false</trackRevisions>
    </reviewItem>
    <reviewItem>
      <errorID>420e3f4c-3e45-481a-9fd9-32aa73f6b7c9</errorID>
      <errorWord>"</errorWord>
      <group>L1_Format</group>
      <groupName>格式问题</groupName>
      <ability>L2_HalfPunc</ability>
      <abilityName>全半角检查</abilityName>
      <candidateList>
        <item>”</item>
      </candidateList>
      <explain>文本全半角错误。</explain>
      <paraID>3ADD418A</paraID>
      <start>101</start>
      <end>102</end>
      <status>unmodified</status>
      <modifiedWord/>
      <trackRevisions>false</trackRevisions>
    </reviewItem>
    <reviewItem>
      <errorID>7eed22a6-b934-48e1-b9cc-271906f3eab3</errorID>
      <errorWord>"</errorWord>
      <group>L1_Format</group>
      <groupName>格式问题</groupName>
      <ability>L2_HalfPunc</ability>
      <abilityName>全半角检查</abilityName>
      <candidateList>
        <item>“</item>
      </candidateList>
      <explain>文本全半角错误。</explain>
      <paraID>3ADD418A</paraID>
      <start>109</start>
      <end>110</end>
      <status>unmodified</status>
      <modifiedWord/>
      <trackRevisions>false</trackRevisions>
    </reviewItem>
    <reviewItem>
      <errorID>39201eb6-23bd-4624-ba46-61a16b65d4d8</errorID>
      <errorWord>"</errorWord>
      <group>L1_Format</group>
      <groupName>格式问题</groupName>
      <ability>L2_HalfPunc</ability>
      <abilityName>全半角检查</abilityName>
      <candidateList>
        <item>”</item>
      </candidateList>
      <explain>文本全半角错误。</explain>
      <paraID>3ADD418A</paraID>
      <start>119</start>
      <end>120</end>
      <status>unmodified</status>
      <modifiedWord/>
      <trackRevisions>false</trackRevisions>
    </reviewItem>
    <reviewItem>
      <errorID>c9f0a0d8-d37b-48a3-b4fd-e0512bb65127</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3ADD418A</paraID>
      <start>791</start>
      <end>793</end>
      <status>modified</status>
      <modifiedWord>必须</modifiedWord>
      <trackRevisions>false</trackRevisions>
    </reviewItem>
    <reviewItem>
      <errorID>9d55aba1-b39c-47e5-ad15-f8810fc8c1a9</errorID>
      <errorWord>风清气正政治生态</errorWord>
      <group>L1_Political</group>
      <groupName>政治性问题</groupName>
      <ability>L2_Keyword</ability>
      <abilityName>固定表述</abilityName>
      <candidateList>
        <item>风清气正的政治生态</item>
      </candidateList>
      <explain>词汇“风清气正的政治生态”在特定场景下为固定表述形式，请确认此处的“风清气正政治生态”是否存在不当。</explain>
      <paraID>15170AC3</paraID>
      <start>200</start>
      <end>209</end>
      <status>modified</status>
      <modifiedWord>风清气正的政治生态</modifiedWord>
      <trackRevisions>false</trackRevisions>
    </reviewItem>
    <reviewItem>
      <errorID>9901aae5-b3fa-4ab5-93b6-1620c2abafb7</errorID>
      <errorWord>达</errorWord>
      <group>L1_Word</group>
      <groupName>字词问题</groupName>
      <ability>L2_Typo</ability>
      <abilityName>字词错误</abilityName>
      <candidateList>
        <item>达到</item>
      </candidateList>
      <explain>〈动〉到（多指抽象事物或程度）：达得到｜达不到｜目的没有～｜～国际水平。</explain>
      <paraID>65E5451F</paraID>
      <start>75</start>
      <end>77</end>
      <status>modified</status>
      <modifiedWord>达到</modifiedWord>
      <trackRevisions>false</trackRevisions>
    </reviewItem>
    <reviewItem>
      <errorID>5cefdac3-c329-4b88-aa76-a66d27d5694d</errorID>
      <errorWord>（</errorWord>
      <group>L1_Punc</group>
      <groupName>标点问题</groupName>
      <ability>L2_Punc</ability>
      <abilityName>标点符号检查</abilityName>
      <candidateList/>
      <explain/>
      <paraID>6C2AD678</paraID>
      <start>64</start>
      <end>65</end>
      <status>unmodified</status>
      <modifiedWord/>
      <trackRevisions>false</trackRevisions>
    </reviewItem>
    <reviewItem>
      <errorID>4eab9395-c220-4b48-922d-7cfdbe46df4f</errorID>
      <errorWord>无计</errorWord>
      <group>L1_Word</group>
      <groupName>字词问题</groupName>
      <ability>L2_Typo</ability>
      <abilityName>字词错误</abilityName>
      <candidateList>
        <item>无</item>
      </candidateList>
      <explain/>
      <paraID> AABC43A</paraID>
      <start>35</start>
      <end>37</end>
      <status>unmodified</status>
      <modifiedWord/>
      <trackRevisions>false</trackRevisions>
    </reviewItem>
    <reviewItem>
      <errorID>6de74bfa-f452-49e2-8db2-e71500fddfe1</errorID>
      <errorWord>，无</errorWord>
      <group>L1_Word</group>
      <groupName>字词问题</groupName>
      <ability>L2_Typo</ability>
      <abilityName>字词错误</abilityName>
      <candidateList>
        <item>，</item>
      </candidateList>
      <explain/>
      <paraID> AABC43A</paraID>
      <start>110</start>
      <end>112</end>
      <status>unmodified</status>
      <modifiedWord/>
      <trackRevisions>false</trackRevisions>
    </reviewItem>
    <reviewItem>
      <errorID>d0e57940-7904-4872-b538-22eecc43adac</errorID>
      <errorWord>，无</errorWord>
      <group>L1_Word</group>
      <groupName>字词问题</groupName>
      <ability>L2_Typo</ability>
      <abilityName>字词错误</abilityName>
      <candidateList>
        <item>，</item>
      </candidateList>
      <explain/>
      <paraID> AABC43A</paraID>
      <start>136</start>
      <end>138</end>
      <status>unmodified</status>
      <modifiedWord/>
      <trackRevisions>false</trackRevisions>
    </reviewItem>
    <reviewItem>
      <errorID>1eddf10a-be6a-4d2a-bd86-491b6af36ec6</errorID>
      <errorWord>3号</errorWord>
      <group>L1_Knowledge</group>
      <groupName>知识性问题</groupName>
      <ability>L2_Time</ability>
      <abilityName>日期时间</abilityName>
      <candidateList>
        <item>3日</item>
      </candidateList>
      <explain>日期表达规范为x月x日。</explain>
      <paraID> AABC43A</paraID>
      <start>212</start>
      <end>214</end>
      <status>unmodified</status>
      <modifiedWord/>
      <trackRevisions>false</trackRevisions>
    </reviewItem>
    <reviewItem>
      <errorID>758dba7a-d768-44d6-aad6-2c204e16dbd5</errorID>
      <errorWord>凭证</errorWord>
      <group>L1_Word</group>
      <groupName>字词问题</groupName>
      <ability>L2_Typo</ability>
      <abilityName>字词错误</abilityName>
      <candidateList>
        <item>凭</item>
      </candidateList>
      <explain/>
      <paraID> AABC43A</paraID>
      <start>214</start>
      <end>216</end>
      <status>unmodified</status>
      <modifiedWord/>
      <trackRevisions>false</trackRevisions>
    </reviewItem>
    <reviewItem>
      <errorID>a13cd659-8d4b-4447-8ecf-68ed8309b25b</errorID>
      <errorWord>16号</errorWord>
      <group>L1_Knowledge</group>
      <groupName>知识性问题</groupName>
      <ability>L2_Time</ability>
      <abilityName>日期时间</abilityName>
      <candidateList>
        <item>16日</item>
      </candidateList>
      <explain>日期表达规范为x月x日。</explain>
      <paraID> AABC43A</paraID>
      <start>267</start>
      <end>270</end>
      <status>unmodified</status>
      <modifiedWord/>
      <trackRevisions>false</trackRevisions>
    </reviewItem>
    <reviewItem>
      <errorID>bdea84a7-5d49-4bfc-8c51-22584e752a37</errorID>
      <errorWord>16号</errorWord>
      <group>L1_Knowledge</group>
      <groupName>知识性问题</groupName>
      <ability>L2_Time</ability>
      <abilityName>日期时间</abilityName>
      <candidateList>
        <item>16日</item>
      </candidateList>
      <explain>日期表达规范为x月x日。</explain>
      <paraID> AABC43A</paraID>
      <start>339</start>
      <end>342</end>
      <status>unmodified</status>
      <modifiedWord/>
      <trackRevisions>false</trackRevisions>
    </reviewItem>
    <reviewItem>
      <errorID>edbce4d3-1790-4aa9-ba1b-30dbe5d11cc8</errorID>
      <errorWord>6号</errorWord>
      <group>L1_Knowledge</group>
      <groupName>知识性问题</groupName>
      <ability>L2_Time</ability>
      <abilityName>日期时间</abilityName>
      <candidateList>
        <item>6日</item>
      </candidateList>
      <explain>日期表达规范为x月x日。</explain>
      <paraID> AABC43A</paraID>
      <start>407</start>
      <end>409</end>
      <status>unmodified</status>
      <modifiedWord/>
      <trackRevisions>false</trackRevisions>
    </reviewItem>
    <reviewItem>
      <errorID>475a9a07-f944-4aca-9649-94a907f72489</errorID>
      <errorWord>10号</errorWord>
      <group>L1_Knowledge</group>
      <groupName>知识性问题</groupName>
      <ability>L2_Time</ability>
      <abilityName>日期时间</abilityName>
      <candidateList>
        <item>10日</item>
      </candidateList>
      <explain>日期表达规范为x月x日。</explain>
      <paraID> AABC43A</paraID>
      <start>450</start>
      <end>453</end>
      <status>unmodified</status>
      <modifiedWord/>
      <trackRevisions>false</trackRevisions>
    </reviewItem>
    <reviewItem>
      <errorID>3041fd01-2313-4ee0-8228-edb0f3a21797</errorID>
      <errorWord>2号</errorWord>
      <group>L1_Knowledge</group>
      <groupName>知识性问题</groupName>
      <ability>L2_Time</ability>
      <abilityName>日期时间</abilityName>
      <candidateList>
        <item>2日</item>
      </candidateList>
      <explain>日期表达规范为x月x日。</explain>
      <paraID> AABC43A</paraID>
      <start>486</start>
      <end>488</end>
      <status>unmodified</status>
      <modifiedWord/>
      <trackRevisions>false</trackRevisions>
    </reviewItem>
    <reviewItem>
      <errorID>8ed9178b-5a47-4fb1-a919-9bf35a25a228</errorID>
      <errorWord>3号</errorWord>
      <group>L1_Knowledge</group>
      <groupName>知识性问题</groupName>
      <ability>L2_Time</ability>
      <abilityName>日期时间</abilityName>
      <candidateList>
        <item>3日</item>
      </candidateList>
      <explain>日期表达规范为x月x日。</explain>
      <paraID> AABC43A</paraID>
      <start>531</start>
      <end>533</end>
      <status>unmodified</status>
      <modifiedWord/>
      <trackRevisions>false</trackRevisions>
    </reviewItem>
    <reviewItem>
      <errorID>c127ad74-6f23-4a0c-a4cf-9b0f6293b260</errorID>
      <errorWord>1号</errorWord>
      <group>L1_Knowledge</group>
      <groupName>知识性问题</groupName>
      <ability>L2_Time</ability>
      <abilityName>日期时间</abilityName>
      <candidateList>
        <item>1日</item>
      </candidateList>
      <explain>日期表达规范为x月x日。</explain>
      <paraID> AABC43A</paraID>
      <start>582</start>
      <end>584</end>
      <status>unmodified</status>
      <modifiedWord/>
      <trackRevisions>false</trackRevisions>
    </reviewItem>
    <reviewItem>
      <errorID>1a26c154-ad1a-4bc1-bfe1-6dd01a2412f7</errorID>
      <errorWord>10号</errorWord>
      <group>L1_Knowledge</group>
      <groupName>知识性问题</groupName>
      <ability>L2_Time</ability>
      <abilityName>日期时间</abilityName>
      <candidateList>
        <item>10日</item>
      </candidateList>
      <explain>日期表达规范为x月x日。</explain>
      <paraID> AABC43A</paraID>
      <start>627</start>
      <end>630</end>
      <status>unmodified</status>
      <modifiedWord/>
      <trackRevisions>false</trackRevisions>
    </reviewItem>
    <reviewItem>
      <errorID>fbb4015c-84aa-4f3b-b592-f03a83b77f43</errorID>
      <errorWord>1号</errorWord>
      <group>L1_Knowledge</group>
      <groupName>知识性问题</groupName>
      <ability>L2_Time</ability>
      <abilityName>日期时间</abilityName>
      <candidateList>
        <item>1日</item>
      </candidateList>
      <explain>日期表达规范为x月x日。</explain>
      <paraID> AABC43A</paraID>
      <start>663</start>
      <end>665</end>
      <status>unmodified</status>
      <modifiedWord/>
      <trackRevisions>false</trackRevisions>
    </reviewItem>
    <reviewItem>
      <errorID>7dfeb761-8334-405a-bb0e-190648842f2b</errorID>
      <errorWord>22号</errorWord>
      <group>L1_Knowledge</group>
      <groupName>知识性问题</groupName>
      <ability>L2_Time</ability>
      <abilityName>日期时间</abilityName>
      <candidateList>
        <item>22日</item>
      </candidateList>
      <explain>日期表达规范为x月x日。</explain>
      <paraID> AABC43A</paraID>
      <start>726</start>
      <end>729</end>
      <status>unmodified</status>
      <modifiedWord/>
      <trackRevisions>false</trackRevisions>
    </reviewItem>
    <reviewItem>
      <errorID>6cb1ab95-70c4-454a-a3fa-e0d562ea1175</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 AABC43A</paraID>
      <start>794</start>
      <end>798</end>
      <status>unmodified</status>
      <modifiedWord/>
      <trackRevisions>false</trackRevisions>
    </reviewItem>
    <reviewItem>
      <errorID>6078a227-ea1e-4e95-a1a3-98265efe64e8</errorID>
      <errorWord>（</errorWord>
      <group>L1_Punc</group>
      <groupName>标点问题</groupName>
      <ability>L2_Punc</ability>
      <abilityName>标点符号检查</abilityName>
      <candidateList/>
      <explain/>
      <paraID>45153AEF</paraID>
      <start>7</start>
      <end>8</end>
      <status>unmodified</status>
      <modifiedWord/>
      <trackRevisions>false</trackRevisions>
    </reviewItem>
    <reviewItem>
      <errorID>45ab479b-9d9e-4353-912c-dee2b1750b66</errorID>
      <errorWord>达</errorWord>
      <group>L1_Word</group>
      <groupName>字词问题</groupName>
      <ability>L2_Typo</ability>
      <abilityName>字词错误</abilityName>
      <candidateList>
        <item>达到</item>
      </candidateList>
      <explain>〈动〉到（多指抽象事物或程度）：达得到｜达不到｜目的没有～｜～国际水平。</explain>
      <paraID>342C985D</paraID>
      <start>16</start>
      <end>17</end>
      <status>unmodified</status>
      <modifiedWord/>
      <trackRevisions>false</trackRevisions>
    </reviewItem>
    <reviewItem>
      <errorID>5d3d2b63-72f4-4321-8f2c-3271beb5a5c8</errorID>
      <errorWord>达</errorWord>
      <group>L1_Word</group>
      <groupName>字词问题</groupName>
      <ability>L2_Typo</ability>
      <abilityName>字词错误</abilityName>
      <candidateList>
        <item>达到</item>
      </candidateList>
      <explain>〈动〉到（多指抽象事物或程度）：达得到｜达不到｜目的没有～｜～国际水平。</explain>
      <paraID>342C985D</paraID>
      <start>137</start>
      <end>138</end>
      <status>unmodified</status>
      <modifiedWord/>
      <trackRevisions>false</trackRevisions>
    </reviewItem>
    <reviewItem>
      <errorID>9f53bb6f-cde2-4f91-9f15-f9c0463314c0</errorID>
      <errorWord>达</errorWord>
      <group>L1_Word</group>
      <groupName>字词问题</groupName>
      <ability>L2_Typo</ability>
      <abilityName>字词错误</abilityName>
      <candidateList>
        <item>达到</item>
      </candidateList>
      <explain>〈动〉到（多指抽象事物或程度）：达得到｜达不到｜目的没有～｜～国际水平。</explain>
      <paraID> 8C0282C</paraID>
      <start>48</start>
      <end>49</end>
      <status>unmodified</status>
      <modifiedWord/>
      <trackRevisions>false</trackRevisions>
    </reviewItem>
    <reviewItem>
      <errorID>d4d261cb-1c69-4cae-9482-55215be63124</errorID>
      <errorWord>达</errorWord>
      <group>L1_Word</group>
      <groupName>字词问题</groupName>
      <ability>L2_Typo</ability>
      <abilityName>字词错误</abilityName>
      <candidateList>
        <item>达到</item>
      </candidateList>
      <explain>〈动〉到（多指抽象事物或程度）：达得到｜达不到｜目的没有～｜～国际水平。</explain>
      <paraID>3D1A25DA</paraID>
      <start>48</start>
      <end>49</end>
      <status>unmodified</status>
      <modifiedWord/>
      <trackRevisions>false</trackRevisions>
    </reviewItem>
    <reviewItem>
      <errorID>e77b1bc3-fb5a-4036-ad3b-4d6cf0bc927d</errorID>
      <errorWord>达</errorWord>
      <group>L1_Word</group>
      <groupName>字词问题</groupName>
      <ability>L2_Typo</ability>
      <abilityName>字词错误</abilityName>
      <candidateList>
        <item>达到</item>
      </candidateList>
      <explain>〈动〉到（多指抽象事物或程度）：达得到｜达不到｜目的没有～｜～国际水平。</explain>
      <paraID>3EA48BFF</paraID>
      <start>105</start>
      <end>106</end>
      <status>unmodified</status>
      <modifiedWord/>
      <trackRevisions>false</trackRevisions>
    </reviewItem>
    <reviewItem>
      <errorID>128c02c3-81c2-4e76-ab9c-cab699ab6e53</errorID>
      <errorWord>分</errorWord>
      <group>L1_Word</group>
      <groupName>字词问题</groupName>
      <ability>L2_Typo</ability>
      <abilityName>字词错误</abilityName>
      <candidateList>
        <item>分为</item>
      </candidateList>
      <explain/>
      <paraID>27D5FB03</paraID>
      <start>59</start>
      <end>60</end>
      <status>unmodified</status>
      <modifiedWord/>
      <trackRevisions>false</trackRevisions>
    </reviewItem>
    <reviewItem>
      <errorID>4a90ddf5-9b1e-4e29-af04-07d83ebf3040</errorID>
      <errorWord>、</errorWord>
      <group>L1_Word</group>
      <groupName>字词问题</groupName>
      <ability>L2_Typo</ability>
      <abilityName>字词错误</abilityName>
      <candidateList>
        <item>、以</item>
      </candidateList>
      <explain/>
      <paraID>64D50FEB</paraID>
      <start>202</start>
      <end>203</end>
      <status>unmodified</status>
      <modifiedWord/>
      <trackRevisions>false</trackRevisions>
    </reviewItem>
    <reviewItem>
      <errorID>e447f291-1dce-4eeb-b62b-de55df4d8f50</errorID>
      <errorWord>随意流用</errorWord>
      <group>L1_Word</group>
      <groupName>字词问题</groupName>
      <ability>L2_Typo</ability>
      <abilityName>字词错误</abilityName>
      <candidateList>
        <item>随意留用</item>
      </candidateList>
      <explain/>
      <paraID>439C9FAD</paraID>
      <start>119</start>
      <end>123</end>
      <status>unmodified</status>
      <modifiedWord/>
      <trackRevisions>false</trackRevisions>
    </reviewItem>
    <reviewItem>
      <errorID>6737aff1-dfb2-49cf-8960-15e3642318f5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439C9FAD</paraID>
      <start>245</start>
      <end>248</end>
      <status>unmodified</status>
      <modifiedWord/>
      <trackRevisions>false</trackRevisions>
    </reviewItem>
    <reviewItem>
      <errorID>0be465cf-0b92-44d5-a580-1753f563ec57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273</start>
      <end>276</end>
      <status>unmodified</status>
      <modifiedWord/>
      <trackRevisions>false</trackRevisions>
    </reviewItem>
    <reviewItem>
      <errorID>a32b9eb1-aba4-48ea-a5e0-b9b2e1c788d1</errorID>
      <errorWord>-</errorWord>
      <group>L1_Format</group>
      <groupName>格式问题</groupName>
      <ability>L2_HalfPunc</ability>
      <abilityName>全半角检查</abilityName>
      <candidateList>
        <item>－</item>
      </candidateList>
      <explain>文本全半角错误。</explain>
      <paraID> 5CF6424</paraID>
      <start>414</start>
      <end>415</end>
      <status>unmodified</status>
      <modifiedWord/>
      <trackRevisions>false</trackRevisions>
    </reviewItem>
    <reviewItem>
      <errorID>9409535e-913d-43eb-b54c-03543d4b77d3</errorID>
      <errorWord>、以及</errorWord>
      <group>L1_Punc</group>
      <groupName>标点问题</groupName>
      <ability>L2_Punc</ability>
      <abilityName>标点符号检查</abilityName>
      <candidateList>
        <item>，以及</item>
      </candidateList>
      <explain>连接词前后不宜使用顿号，建议使用逗号。</explain>
      <paraID> 5CF6424</paraID>
      <start>468</start>
      <end>471</end>
      <status>unmodified</status>
      <modifiedWord/>
      <trackRevisions>false</trackRevisions>
    </reviewItem>
    <reviewItem>
      <errorID>26d1d1c0-7c96-43ff-a46d-557ed87c7981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562</start>
      <end>565</end>
      <status>unmodified</status>
      <modifiedWord/>
      <trackRevisions>false</trackRevisions>
    </reviewItem>
    <reviewItem>
      <errorID>d9730567-8cfe-4ee9-a5e4-65e8d4d2ffc5</errorID>
      <errorWord>3号</errorWord>
      <group>L1_Knowledge</group>
      <groupName>知识性问题</groupName>
      <ability>L2_Time</ability>
      <abilityName>日期时间</abilityName>
      <candidateList>
        <item>3日</item>
      </candidateList>
      <explain>日期表达规范为x月x日。</explain>
      <paraID>7F3E610B</paraID>
      <start>10</start>
      <end>12</end>
      <status>unmodified</status>
      <modifiedWord/>
      <trackRevisions>false</trackRevisions>
    </reviewItem>
    <reviewItem>
      <errorID>68a6d08e-58b1-4789-936c-27c5b7a23ba3</errorID>
      <errorWord>发</errorWord>
      <group>L1_Word</group>
      <groupName>字词问题</groupName>
      <ability>L2_Typo</ability>
      <abilityName>字词错误</abilityName>
      <candidateList>
        <item>发放</item>
      </candidateList>
      <explain/>
      <paraID> 51C2909</paraID>
      <start>160</start>
      <end>161</end>
      <status>unmodified</status>
      <modifiedWord/>
      <trackRevisions>false</trackRevisions>
    </reviewItem>
    <reviewItem>
      <errorID>34b726c3-9212-4c32-8657-0eb529d005fb</errorID>
      <errorWord>16号</errorWord>
      <group>L1_Knowledge</group>
      <groupName>知识性问题</groupName>
      <ability>L2_Time</ability>
      <abilityName>日期时间</abilityName>
      <candidateList>
        <item>16日</item>
      </candidateList>
      <explain>日期表达规范为x月x日。</explain>
      <paraID>787C0E2F</paraID>
      <start>10</start>
      <end>13</end>
      <status>unmodified</status>
      <modifiedWord/>
      <trackRevisions>false</trackRevisions>
    </reviewItem>
    <reviewItem>
      <errorID>4fc77c56-3f27-4262-8627-6d83083b62cb</errorID>
      <errorWord>16号</errorWord>
      <group>L1_Knowledge</group>
      <groupName>知识性问题</groupName>
      <ability>L2_Time</ability>
      <abilityName>日期时间</abilityName>
      <candidateList>
        <item>16日</item>
      </candidateList>
      <explain>日期表达规范为x月x日。</explain>
      <paraID>31E48516</paraID>
      <start>15</start>
      <end>18</end>
      <status>unmodified</status>
      <modifiedWord/>
      <trackRevisions>false</trackRevisions>
    </reviewItem>
    <reviewItem>
      <errorID>84ca4841-6179-49b0-8ca8-18def848d47e</errorID>
      <errorWord>3号</errorWord>
      <group>L1_Knowledge</group>
      <groupName>知识性问题</groupName>
      <ability>L2_Time</ability>
      <abilityName>日期时间</abilityName>
      <candidateList>
        <item>3日</item>
      </candidateList>
      <explain>日期表达规范为x月x日。</explain>
      <paraID>31E48516</paraID>
      <start>86</start>
      <end>88</end>
      <status>unmodified</status>
      <modifiedWord/>
      <trackRevisions>false</trackRevisions>
    </reviewItem>
    <reviewItem>
      <errorID>41e18bb0-9f31-44cb-ab0c-2ba5dfa7069c</errorID>
      <errorWord>使用从</errorWord>
      <group>L1_Word</group>
      <groupName>字词问题</groupName>
      <ability>L2_Typo</ability>
      <abilityName>字词错误</abilityName>
      <candidateList>
        <item>使用</item>
      </candidateList>
      <explain>〈动〉使人员、器物、资金等为某种目的服务：～干部｜合理～资金。</explain>
      <paraID>31E48516</paraID>
      <start>193</start>
      <end>196</end>
      <status>unmodified</status>
      <modifiedWord/>
      <trackRevisions>false</trackRevisions>
    </reviewItem>
    <reviewItem>
      <errorID>4803492f-0de1-427b-9b35-de19cc422907</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4F41401A</paraID>
      <start>12</start>
      <end>22</end>
      <status>modified</status>
      <modifiedWord>中华人民共和国预算法</modifiedWord>
      <trackRevisions>false</trackRevisions>
    </reviewItem>
    <reviewItem>
      <errorID>9b5e72bd-6e06-47de-b127-aa7770060bb5</errorID>
      <errorWord>人代会</errorWord>
      <group>L1_Political</group>
      <groupName>政治性问题</groupName>
      <ability>L2_Unpolitical</ability>
      <abilityName>政治敏感错误</abilityName>
      <candidateList>
        <item>人大</item>
      </candidateList>
      <explain/>
      <paraID>4F41401A</paraID>
      <start>108</start>
      <end>111</end>
      <status>unmodified</status>
      <modifiedWord/>
      <trackRevisions>false</trackRevisions>
    </reviewItem>
    <reviewItem>
      <errorID>a935f06f-81d6-4c1b-be59-db2b77144eba</errorID>
      <errorWord>6号</errorWord>
      <group>L1_Knowledge</group>
      <groupName>知识性问题</groupName>
      <ability>L2_Time</ability>
      <abilityName>日期时间</abilityName>
      <candidateList>
        <item>6日</item>
      </candidateList>
      <explain>日期表达规范为x月x日。</explain>
      <paraID>2206204B</paraID>
      <start>20</start>
      <end>22</end>
      <status>unmodified</status>
      <modifiedWord/>
      <trackRevisions>false</trackRevisions>
    </reviewItem>
    <reviewItem>
      <errorID>a1877264-f00f-47e0-8b97-d29c82c8d1f9</errorID>
      <errorWord>10号</errorWord>
      <group>L1_Knowledge</group>
      <groupName>知识性问题</groupName>
      <ability>L2_Time</ability>
      <abilityName>日期时间</abilityName>
      <candidateList>
        <item>10日</item>
      </candidateList>
      <explain>日期表达规范为x月x日。</explain>
      <paraID>2206204B</paraID>
      <start>63</start>
      <end>66</end>
      <status>unmodified</status>
      <modifiedWord/>
      <trackRevisions>false</trackRevisions>
    </reviewItem>
    <reviewItem>
      <errorID>048036ee-8146-48cc-a36a-c8aaf28b4183</errorID>
      <errorWord>22号</errorWord>
      <group>L1_Knowledge</group>
      <groupName>知识性问题</groupName>
      <ability>L2_Time</ability>
      <abilityName>日期时间</abilityName>
      <candidateList>
        <item>22日</item>
      </candidateList>
      <explain>日期表达规范为x月x日。</explain>
      <paraID>74057770</paraID>
      <start>10</start>
      <end>13</end>
      <status>unmodified</status>
      <modifiedWord/>
      <trackRevisions>false</trackRevisions>
    </reviewItem>
    <reviewItem>
      <errorID>5de42f03-21e5-4be1-9191-c20d8ee0e3ed</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74057770</paraID>
      <start>86</start>
      <end>90</end>
      <status>unmodified</status>
      <modifiedWord/>
      <trackRevisions>false</trackRevisions>
    </reviewItem>
    <reviewItem>
      <errorID>d583d52c-67c9-4d6c-a198-e18f52a4f72d</errorID>
      <errorWord>-</errorWord>
      <group>L1_Format</group>
      <groupName>格式问题</groupName>
      <ability>L2_HalfPunc</ability>
      <abilityName>全半角检查</abilityName>
      <candidateList>
        <item>－</item>
      </candidateList>
      <explain>文本全半角错误。</explain>
      <paraID>3819EB0A</paraID>
      <start>174</start>
      <end>175</end>
      <status>unmodified</status>
      <modifiedWord/>
      <trackRevisions>false</trackRevisions>
    </reviewItem>
    <reviewItem>
      <errorID>80676293-e688-427c-a54b-e0886ba64aea</errorID>
      <errorWord>-</errorWord>
      <group>L1_Format</group>
      <groupName>格式问题</groupName>
      <ability>L2_HalfPunc</ability>
      <abilityName>全半角检查</abilityName>
      <candidateList>
        <item>－</item>
      </candidateList>
      <explain>文本全半角错误。</explain>
      <paraID>3819EB0A</paraID>
      <start>177</start>
      <end>178</end>
      <status>unmodified</status>
      <modifiedWord/>
      <trackRevisions>false</trackRevisions>
    </reviewItem>
    <reviewItem>
      <errorID>a789e508-08af-48d8-bf34-6e5e8bdc9200</errorID>
      <errorWord>.</errorWord>
      <group>L1_Punc</group>
      <groupName>标点问题</groupName>
      <ability>L2_Punc</ability>
      <abilityName>标点符号检查</abilityName>
      <candidateList/>
      <explain/>
      <paraID>45EB8E07</paraID>
      <start>0</start>
      <end>1</end>
      <status>unmodified</status>
      <modifiedWord/>
      <trackRevisions>false</trackRevisions>
    </reviewItem>
    <reviewItem>
      <errorID>73588cde-84ba-44b8-991a-ea5a74fd2419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3B40CC2C</paraID>
      <start>257</start>
      <end>267</end>
      <status>modified</status>
      <modifiedWord>人力资源和社会保障部</modifiedWord>
      <trackRevisions>false</trackRevisions>
    </reviewItem>
    <reviewItem>
      <errorID>b67a10a8-4d94-4f35-a292-944086375925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10E58A4E</paraID>
      <start>237</start>
      <end>247</end>
      <status>modified</status>
      <modifiedWord>人力资源和社会保障部</modifiedWord>
      <trackRevisions>false</trackRevisions>
    </reviewItem>
    <reviewItem>
      <errorID>0204fcb8-3b10-43ea-9762-1a801ac34270</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 1EEA21E</paraID>
      <start>490</start>
      <end>502</end>
      <status>modified</status>
      <modifiedWord>中华人民共和国社会保险法</modifiedWord>
      <trackRevisions>false</trackRevisions>
    </reviewItem>
    <reviewItem>
      <errorID>fa520633-64ae-45bf-8714-59b149792cd2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419</start>
      <end>422</end>
      <status>unmodified</status>
      <modifiedWord/>
      <trackRevisions>false</trackRevisions>
    </reviewItem>
    <reviewItem>
      <errorID>a35307b0-f645-49bf-8b15-a772536da695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431</start>
      <end>434</end>
      <status>unmodified</status>
      <modifiedWord/>
      <trackRevisions>false</trackRevisions>
    </reviewItem>
    <reviewItem>
      <errorID>267d54bb-9b69-44a0-802e-6bfd289a90a3</errorID>
      <errorWord>-</errorWord>
      <group>L1_Format</group>
      <groupName>格式问题</groupName>
      <ability>L2_HalfPunc</ability>
      <abilityName>全半角检查</abilityName>
      <candidateList>
        <item>－</item>
      </candidateList>
      <explain>文本全半角错误。</explain>
      <paraID>1EA520C4</paraID>
      <start>341</start>
      <end>342</end>
      <status>unmodified</status>
      <modifiedWord/>
      <trackRevisions>false</trackRevisions>
    </reviewItem>
    <reviewItem>
      <errorID>cb6edd55-dcb1-49a0-994b-a3095323fdb2</errorID>
      <errorWord>-</errorWord>
      <group>L1_Format</group>
      <groupName>格式问题</groupName>
      <ability>L2_HalfPunc</ability>
      <abilityName>全半角检查</abilityName>
      <candidateList>
        <item>－</item>
      </candidateList>
      <explain>文本全半角错误。</explain>
      <paraID>1EA520C4</paraID>
      <start>344</start>
      <end>345</end>
      <status>unmodified</status>
      <modifiedWord/>
      <trackRevisions>false</trackRevisions>
    </reviewItem>
    <reviewItem>
      <errorID>65f99a24-3a5e-4160-b3fd-ac4109a81174</errorID>
      <errorWord>人</errorWord>
      <group>L1_Word</group>
      <groupName>字词问题</groupName>
      <ability>L2_Typo</ability>
      <abilityName>字词错误</abilityName>
      <candidateList>
        <item>人员</item>
      </candidateList>
      <explain>〈名〉担任某种职务的人：机关工作～｜值班～｜～配备。</explain>
      <paraID>1EA520C4</paraID>
      <start>389</start>
      <end>391</end>
      <status>modified</status>
      <modifiedWord>人员</modifiedWord>
      <trackRevisions>false</trackRevisions>
    </reviewItem>
    <reviewItem>
      <errorID>3ec4edf6-278a-4b76-a3e1-0d7cb77d00f2</errorID>
      <errorWord>泄露风险</errorWord>
      <group>L1_Word</group>
      <groupName>字词问题</groupName>
      <ability>L2_Typo</ability>
      <abilityName>字词错误</abilityName>
      <candidateList>
        <item>泄漏风险</item>
      </candidateList>
      <explain/>
      <paraID>53A189E2</paraID>
      <start>77</start>
      <end>81</end>
      <status>modified</status>
      <modifiedWord>泄漏风险</modifiedWord>
      <trackRevisions>false</trackRevisions>
    </reviewItem>
    <reviewItem>
      <errorID>0c8656a2-f3d6-4993-813f-1c68bf872108</errorID>
      <errorWord>份</errorWord>
      <group>L1_Knowledge</group>
      <groupName>知识性问题</groupName>
      <ability>L2_Knowledge</ability>
      <abilityName>其他知识</abilityName>
      <candidateList>
        <item>套</item>
      </candidateList>
      <explain/>
      <paraID>53A189E2</paraID>
      <start>624</start>
      <end>625</end>
      <status>modified</status>
      <modifiedWord>套</modifiedWord>
      <trackRevisions>false</trackRevisions>
    </reviewItem>
    <reviewItem>
      <errorID>f4af8ff5-094c-46b5-a527-3d1e5bea14f8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3AA4CC5D</paraID>
      <start>355</start>
      <end>358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bfcec-67da-4977-9f90-45756f66e0ec}">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4628</Words>
  <Characters>4965</Characters>
  <Lines>0</Lines>
  <Paragraphs>0</Paragraphs>
  <TotalTime>27</TotalTime>
  <ScaleCrop>false</ScaleCrop>
  <LinksUpToDate>false</LinksUpToDate>
  <CharactersWithSpaces>5006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邓婷</cp:lastModifiedBy>
  <cp:lastPrinted>2025-11-03T02:48:00Z</cp:lastPrinted>
  <dcterms:modified xsi:type="dcterms:W3CDTF">2026-05-29T01:32:12Z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79224C720F06428CA3CC04C92A854D1A_13</vt:lpwstr>
  </property>
  <property fmtid="{D5CDD505-2E9C-101B-9397-08002B2CF9AE}" pid="4" name="KSOTemplateDocerSaveRecord">
    <vt:lpwstr>eyJoZGlkIjoiN2Y2YTkzM2Q3ZjFmZDA3MzYxZmZlNThiZjdiNmYxNGYiLCJ1c2VySWQiOiIxMDY5MjgzMDcxIn0=</vt:lpwstr>
  </property>
</Properties>
</file>