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45F78">
      <w:pPr>
        <w:widowControl w:val="0"/>
        <w:jc w:val="distribute"/>
        <w:rPr>
          <w:rFonts w:hint="eastAsia" w:ascii="仿宋" w:hAnsi="仿宋" w:eastAsia="仿宋" w:cs="仿宋"/>
          <w:b/>
          <w:bCs/>
          <w:sz w:val="36"/>
          <w:szCs w:val="36"/>
          <w:lang w:eastAsia="zh-CN"/>
        </w:rPr>
      </w:pPr>
      <w:r>
        <w:rPr>
          <w:sz w:val="36"/>
        </w:rPr>
        <mc:AlternateContent>
          <mc:Choice Requires="wps">
            <w:drawing>
              <wp:anchor distT="0" distB="0" distL="114300" distR="114300" simplePos="0" relativeHeight="251662336" behindDoc="0" locked="0" layoutInCell="1" allowOverlap="1">
                <wp:simplePos x="0" y="0"/>
                <wp:positionH relativeFrom="column">
                  <wp:posOffset>5339715</wp:posOffset>
                </wp:positionH>
                <wp:positionV relativeFrom="paragraph">
                  <wp:posOffset>-565150</wp:posOffset>
                </wp:positionV>
                <wp:extent cx="666750" cy="592455"/>
                <wp:effectExtent l="0" t="0" r="0" b="17145"/>
                <wp:wrapNone/>
                <wp:docPr id="40" name="文本框 40"/>
                <wp:cNvGraphicFramePr/>
                <a:graphic xmlns:a="http://schemas.openxmlformats.org/drawingml/2006/main">
                  <a:graphicData uri="http://schemas.microsoft.com/office/word/2010/wordprocessingShape">
                    <wps:wsp>
                      <wps:cNvSpPr txBox="1"/>
                      <wps:spPr>
                        <a:xfrm>
                          <a:off x="0" y="0"/>
                          <a:ext cx="666750" cy="592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6E57907">
                            <w:pPr>
                              <w:jc w:val="center"/>
                              <w:rPr>
                                <w:rFonts w:hint="default"/>
                                <w:b/>
                                <w:bCs/>
                                <w:sz w:val="32"/>
                                <w:szCs w:val="32"/>
                                <w:lang w:val="en-US" w:eastAsia="zh-CN"/>
                              </w:rPr>
                            </w:pPr>
                            <w:r>
                              <w:rPr>
                                <w:rFonts w:hint="eastAsia"/>
                                <w:b/>
                                <w:bCs/>
                                <w:sz w:val="32"/>
                                <w:szCs w:val="32"/>
                                <w:lang w:val="en-US" w:eastAsia="zh-CN"/>
                              </w:rPr>
                              <w:t>C13</w:t>
                            </w:r>
                          </w:p>
                          <w:p w14:paraId="35492322">
                            <w:pPr>
                              <w:jc w:val="center"/>
                              <w:rPr>
                                <w:rFonts w:hint="default"/>
                                <w:b/>
                                <w:bCs/>
                                <w:sz w:val="32"/>
                                <w:szCs w:val="3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0.45pt;margin-top:-44.5pt;height:46.65pt;width:52.5pt;z-index:251662336;mso-width-relative:page;mso-height-relative:page;" fillcolor="#FFFFFF [3201]" filled="t" stroked="f" coordsize="21600,21600" o:gfxdata="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WtbdrVAAAACQEAAA8AAAAAAAAA&#10;AQAgAAAAIgAAAGRycy9kb3ducmV2LnhtbFBLAQIUABQAAAAIAIdO4kC8koLiTQIAAJAEAAAOAAAA&#10;AAAAAAEAIAAAACQBAABkcnMvZTJvRG9jLnhtbFBLBQYAAAAABgAGAFkBAADjBQAAAAA=&#10;">
                <v:fill on="t" focussize="0,0"/>
                <v:stroke on="f" weight="0.5pt"/>
                <v:imagedata o:title=""/>
                <o:lock v:ext="edit" aspectratio="f"/>
                <v:textbox>
                  <w:txbxContent>
                    <w:p w14:paraId="66E57907">
                      <w:pPr>
                        <w:jc w:val="center"/>
                        <w:rPr>
                          <w:rFonts w:hint="default"/>
                          <w:b/>
                          <w:bCs/>
                          <w:sz w:val="32"/>
                          <w:szCs w:val="32"/>
                          <w:lang w:val="en-US" w:eastAsia="zh-CN"/>
                        </w:rPr>
                      </w:pPr>
                      <w:r>
                        <w:rPr>
                          <w:rFonts w:hint="eastAsia"/>
                          <w:b/>
                          <w:bCs/>
                          <w:sz w:val="32"/>
                          <w:szCs w:val="32"/>
                          <w:lang w:val="en-US" w:eastAsia="zh-CN"/>
                        </w:rPr>
                        <w:t>C13</w:t>
                      </w:r>
                    </w:p>
                    <w:p w14:paraId="35492322">
                      <w:pPr>
                        <w:jc w:val="center"/>
                        <w:rPr>
                          <w:rFonts w:hint="default"/>
                          <w:b/>
                          <w:bCs/>
                          <w:sz w:val="32"/>
                          <w:szCs w:val="32"/>
                          <w:lang w:val="en-US" w:eastAsia="zh-CN"/>
                        </w:rPr>
                      </w:pPr>
                    </w:p>
                  </w:txbxContent>
                </v:textbox>
              </v:shape>
            </w:pict>
          </mc:Fallback>
        </mc:AlternateContent>
      </w:r>
      <w:r>
        <w:rPr>
          <w:rFonts w:hint="eastAsia" w:ascii="仿宋" w:hAnsi="仿宋" w:eastAsia="仿宋" w:cs="仿宋"/>
          <w:b/>
          <w:bCs/>
          <w:sz w:val="36"/>
          <w:szCs w:val="36"/>
          <w:lang w:eastAsia="zh-CN"/>
        </w:rPr>
        <w:t>湖南浩元会计师事务所（普通合伙）</w:t>
      </w:r>
    </w:p>
    <w:p w14:paraId="5918636B">
      <w:pPr>
        <w:widowControl w:val="0"/>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Hunan Haoyuan Certified Public Accountants GP</w:t>
      </w:r>
    </w:p>
    <w:p w14:paraId="00A7B567">
      <w:pPr>
        <w:widowControl w:val="0"/>
        <w:jc w:val="center"/>
        <w:rPr>
          <w:rFonts w:hint="eastAsia" w:ascii="仿宋" w:hAnsi="仿宋" w:eastAsia="仿宋" w:cs="仿宋"/>
          <w:sz w:val="32"/>
          <w:szCs w:val="32"/>
          <w:lang w:eastAsia="zh-CN"/>
        </w:rPr>
      </w:pPr>
    </w:p>
    <w:p w14:paraId="65A67051">
      <w:pPr>
        <w:widowControl w:val="0"/>
        <w:jc w:val="both"/>
        <w:rPr>
          <w:rFonts w:hint="eastAsia" w:ascii="仿宋" w:hAnsi="仿宋" w:eastAsia="仿宋" w:cs="仿宋"/>
          <w:sz w:val="32"/>
          <w:szCs w:val="32"/>
          <w:lang w:eastAsia="zh-CN"/>
        </w:rPr>
      </w:pPr>
    </w:p>
    <w:p w14:paraId="0A7439C2">
      <w:pPr>
        <w:widowControl w:val="0"/>
        <w:jc w:val="both"/>
        <w:rPr>
          <w:rFonts w:hint="eastAsia" w:ascii="仿宋" w:hAnsi="仿宋" w:eastAsia="仿宋" w:cs="仿宋"/>
          <w:sz w:val="32"/>
          <w:szCs w:val="32"/>
          <w:lang w:eastAsia="zh-CN"/>
        </w:rPr>
      </w:pPr>
    </w:p>
    <w:p w14:paraId="1188B116">
      <w:pPr>
        <w:widowControl w:val="0"/>
        <w:jc w:val="center"/>
        <w:rPr>
          <w:rFonts w:hint="eastAsia" w:ascii="方正隶二简体" w:hAnsi="方正隶二简体" w:eastAsia="方正隶二简体" w:cs="方正隶二简体"/>
          <w:sz w:val="72"/>
          <w:szCs w:val="72"/>
          <w:lang w:eastAsia="zh-CN"/>
        </w:rPr>
      </w:pPr>
      <w:r>
        <w:rPr>
          <w:rFonts w:hint="eastAsia" w:ascii="方正隶二简体" w:hAnsi="方正隶二简体" w:eastAsia="方正隶二简体" w:cs="方正隶二简体"/>
          <w:sz w:val="72"/>
          <w:szCs w:val="72"/>
          <w:lang w:val="en-US" w:eastAsia="zh-CN"/>
        </w:rPr>
        <w:t>绩效评价</w:t>
      </w:r>
      <w:r>
        <w:rPr>
          <w:rFonts w:hint="eastAsia" w:ascii="方正隶二简体" w:hAnsi="方正隶二简体" w:eastAsia="方正隶二简体" w:cs="方正隶二简体"/>
          <w:sz w:val="72"/>
          <w:szCs w:val="72"/>
          <w:lang w:eastAsia="zh-CN"/>
        </w:rPr>
        <w:t>报告</w:t>
      </w:r>
    </w:p>
    <w:p w14:paraId="639F417D">
      <w:pPr>
        <w:widowControl w:val="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lang w:eastAsia="zh-CN"/>
        </w:rPr>
        <w:t>字[202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]第号</w:t>
      </w:r>
    </w:p>
    <w:p w14:paraId="1A9A86C1">
      <w:pPr>
        <w:widowControl w:val="0"/>
        <w:ind w:firstLine="1440" w:firstLineChars="400"/>
        <w:jc w:val="both"/>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 xml:space="preserve">2024年中共雁峰区委党史研究室 </w:t>
      </w:r>
    </w:p>
    <w:p w14:paraId="76556EA2">
      <w:pPr>
        <w:widowControl w:val="0"/>
        <w:ind w:firstLine="720" w:firstLineChars="200"/>
        <w:jc w:val="both"/>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（雁峰区地方志编纂室）部门整体支出</w:t>
      </w:r>
    </w:p>
    <w:p w14:paraId="786A1596">
      <w:pPr>
        <w:keepNext w:val="0"/>
        <w:keepLines w:val="0"/>
        <w:pageBreakBefore w:val="0"/>
        <w:widowControl/>
        <w:kinsoku/>
        <w:wordWrap/>
        <w:overflowPunct/>
        <w:topLinePunct w:val="0"/>
        <w:autoSpaceDE/>
        <w:autoSpaceDN/>
        <w:bidi w:val="0"/>
        <w:adjustRightInd/>
        <w:snapToGrid/>
        <w:spacing w:before="567" w:line="360" w:lineRule="auto"/>
        <w:jc w:val="both"/>
        <w:textAlignment w:val="auto"/>
        <w:rPr>
          <w:rFonts w:hint="eastAsia" w:ascii="黑体" w:hAnsi="黑体" w:eastAsia="黑体" w:cs="黑体"/>
          <w:sz w:val="52"/>
          <w:szCs w:val="52"/>
          <w:u w:val="none"/>
          <w:lang w:eastAsia="zh-CN"/>
        </w:rPr>
      </w:pPr>
    </w:p>
    <w:p w14:paraId="597E6928">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default"/>
          <w:u w:val="none"/>
          <w:lang w:val="en-US" w:eastAsia="zh-CN"/>
        </w:rPr>
      </w:pPr>
    </w:p>
    <w:p w14:paraId="78559FD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p>
    <w:p w14:paraId="2158365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p>
    <w:p w14:paraId="2E80B55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项目单位：中共雁峰区委党史研究室（雁峰区地方志编纂室）</w:t>
      </w:r>
    </w:p>
    <w:p w14:paraId="33FB4F09">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主管单位</w:t>
      </w:r>
      <w:r>
        <w:rPr>
          <w:rFonts w:hint="eastAsia" w:ascii="宋体" w:hAnsi="宋体" w:eastAsia="宋体" w:cs="宋体"/>
          <w:b/>
          <w:bCs/>
          <w:sz w:val="32"/>
          <w:szCs w:val="32"/>
          <w:highlight w:val="none"/>
          <w:u w:val="none"/>
          <w:lang w:val="en-US" w:eastAsia="zh-CN"/>
        </w:rPr>
        <w:t>：雁峰区人民政府</w:t>
      </w:r>
    </w:p>
    <w:p w14:paraId="209E092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委托单位：雁峰区财政局</w:t>
      </w:r>
    </w:p>
    <w:p w14:paraId="6CD5B361">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pacing w:val="320"/>
          <w:kern w:val="0"/>
          <w:sz w:val="32"/>
          <w:szCs w:val="32"/>
          <w:u w:val="none"/>
          <w:fitText w:val="1280" w:id="2085554003"/>
          <w:lang w:val="en-US" w:eastAsia="zh-CN"/>
        </w:rPr>
        <w:t>日</w:t>
      </w:r>
      <w:r>
        <w:rPr>
          <w:rFonts w:hint="eastAsia" w:ascii="宋体" w:hAnsi="宋体" w:eastAsia="宋体" w:cs="宋体"/>
          <w:b/>
          <w:bCs/>
          <w:spacing w:val="0"/>
          <w:kern w:val="0"/>
          <w:sz w:val="32"/>
          <w:szCs w:val="32"/>
          <w:u w:val="none"/>
          <w:fitText w:val="1280" w:id="2085554003"/>
          <w:lang w:val="en-US" w:eastAsia="zh-CN"/>
        </w:rPr>
        <w:t>期</w:t>
      </w:r>
      <w:r>
        <w:rPr>
          <w:rFonts w:hint="eastAsia" w:ascii="宋体" w:hAnsi="宋体" w:eastAsia="宋体" w:cs="宋体"/>
          <w:b/>
          <w:bCs/>
          <w:sz w:val="32"/>
          <w:szCs w:val="32"/>
          <w:u w:val="none"/>
          <w:lang w:val="en-US" w:eastAsia="zh-CN"/>
        </w:rPr>
        <w:t>：2025年11月27日</w:t>
      </w:r>
    </w:p>
    <w:p w14:paraId="7EF2EFB8">
      <w:pPr>
        <w:pStyle w:val="11"/>
        <w:tabs>
          <w:tab w:val="right" w:leader="dot" w:pos="8306"/>
        </w:tabs>
        <w:ind w:firstLine="643" w:firstLineChars="200"/>
        <w:jc w:val="center"/>
        <w:rPr>
          <w:rFonts w:hint="default" w:asciiTheme="minorAscii" w:hAnsiTheme="minorAscii" w:eastAsiaTheme="minorEastAsia"/>
          <w:b/>
          <w:bCs/>
          <w:sz w:val="32"/>
          <w:szCs w:val="36"/>
          <w:u w:val="none"/>
          <w:lang w:val="en-US" w:eastAsia="zh-CN"/>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32" w:charSpace="0"/>
        </w:sectPr>
      </w:pPr>
    </w:p>
    <w:p w14:paraId="2585C7DD">
      <w:pPr>
        <w:pStyle w:val="11"/>
        <w:keepNext w:val="0"/>
        <w:keepLines w:val="0"/>
        <w:pageBreakBefore w:val="0"/>
        <w:widowControl/>
        <w:tabs>
          <w:tab w:val="center" w:pos="4210"/>
          <w:tab w:val="left" w:pos="5980"/>
          <w:tab w:val="right" w:leader="dot" w:pos="8300"/>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pacing w:val="280"/>
          <w:kern w:val="0"/>
          <w:sz w:val="44"/>
          <w:szCs w:val="44"/>
          <w:fitText w:val="1440" w:id="1955599196"/>
          <w:lang w:val="en-US" w:eastAsia="zh-CN"/>
        </w:rPr>
        <w:t>目</w:t>
      </w:r>
      <w:r>
        <w:rPr>
          <w:rFonts w:hint="eastAsia" w:ascii="方正小标宋简体" w:hAnsi="方正小标宋简体" w:eastAsia="方正小标宋简体" w:cs="方正小标宋简体"/>
          <w:b/>
          <w:bCs/>
          <w:spacing w:val="0"/>
          <w:kern w:val="0"/>
          <w:sz w:val="44"/>
          <w:szCs w:val="44"/>
          <w:fitText w:val="1440" w:id="1955599196"/>
          <w:lang w:val="en-US" w:eastAsia="zh-CN"/>
        </w:rPr>
        <w:t>录</w:t>
      </w:r>
    </w:p>
    <w:p w14:paraId="5D2EC93F">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TOC \o "1-3" \h \u </w:instrText>
      </w:r>
      <w:r>
        <w:rPr>
          <w:rFonts w:hint="default"/>
          <w:sz w:val="32"/>
          <w:szCs w:val="32"/>
          <w:lang w:val="en-US" w:eastAsia="zh-CN"/>
        </w:rPr>
        <w:fldChar w:fldCharType="separate"/>
      </w:r>
      <w:r>
        <w:rPr>
          <w:rFonts w:hint="default"/>
          <w:sz w:val="32"/>
          <w:szCs w:val="32"/>
          <w:lang w:val="en-US" w:eastAsia="zh-CN"/>
        </w:rPr>
        <w:fldChar w:fldCharType="begin"/>
      </w:r>
      <w:r>
        <w:rPr>
          <w:rFonts w:hint="default"/>
          <w:sz w:val="32"/>
          <w:szCs w:val="32"/>
          <w:lang w:val="en-US" w:eastAsia="zh-CN"/>
        </w:rPr>
        <w:instrText xml:space="preserve"> HYPERLINK \l _Toc451 </w:instrText>
      </w:r>
      <w:r>
        <w:rPr>
          <w:rFonts w:hint="default"/>
          <w:sz w:val="32"/>
          <w:szCs w:val="32"/>
          <w:lang w:val="en-US" w:eastAsia="zh-CN"/>
        </w:rPr>
        <w:fldChar w:fldCharType="separate"/>
      </w: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绩效评价基本</w:t>
      </w:r>
      <w:r>
        <w:rPr>
          <w:rFonts w:hint="eastAsia" w:ascii="黑体" w:hAnsi="黑体" w:eastAsia="黑体" w:cs="黑体"/>
          <w:sz w:val="32"/>
          <w:szCs w:val="32"/>
        </w:rPr>
        <w:t>情况</w:t>
      </w:r>
      <w:r>
        <w:rPr>
          <w:sz w:val="32"/>
          <w:szCs w:val="32"/>
        </w:rPr>
        <w:tab/>
      </w:r>
      <w:r>
        <w:rPr>
          <w:sz w:val="32"/>
          <w:szCs w:val="32"/>
        </w:rPr>
        <w:fldChar w:fldCharType="begin"/>
      </w:r>
      <w:r>
        <w:rPr>
          <w:sz w:val="32"/>
          <w:szCs w:val="32"/>
        </w:rPr>
        <w:instrText xml:space="preserve"> PAGEREF _Toc451 \h </w:instrText>
      </w:r>
      <w:r>
        <w:rPr>
          <w:sz w:val="32"/>
          <w:szCs w:val="32"/>
        </w:rPr>
        <w:fldChar w:fldCharType="separate"/>
      </w:r>
      <w:r>
        <w:rPr>
          <w:sz w:val="32"/>
          <w:szCs w:val="32"/>
        </w:rPr>
        <w:t>3</w:t>
      </w:r>
      <w:r>
        <w:rPr>
          <w:sz w:val="32"/>
          <w:szCs w:val="32"/>
        </w:rPr>
        <w:fldChar w:fldCharType="end"/>
      </w:r>
      <w:r>
        <w:rPr>
          <w:rFonts w:hint="default"/>
          <w:sz w:val="32"/>
          <w:szCs w:val="32"/>
          <w:lang w:val="en-US" w:eastAsia="zh-CN"/>
        </w:rPr>
        <w:fldChar w:fldCharType="end"/>
      </w:r>
    </w:p>
    <w:p w14:paraId="68FD3BDC">
      <w:pPr>
        <w:pStyle w:val="12"/>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_Toc3904 </w:instrText>
      </w:r>
      <w:r>
        <w:rPr>
          <w:rFonts w:hint="default"/>
          <w:sz w:val="32"/>
          <w:szCs w:val="32"/>
          <w:lang w:val="en-US" w:eastAsia="zh-CN"/>
        </w:rPr>
        <w:fldChar w:fldCharType="separate"/>
      </w:r>
      <w:r>
        <w:rPr>
          <w:rFonts w:hint="eastAsia" w:ascii="楷体" w:hAnsi="楷体" w:eastAsia="楷体" w:cs="楷体"/>
          <w:bCs/>
          <w:sz w:val="32"/>
          <w:szCs w:val="32"/>
        </w:rPr>
        <w:t>（一）</w:t>
      </w:r>
      <w:r>
        <w:rPr>
          <w:rFonts w:hint="eastAsia" w:ascii="楷体" w:hAnsi="楷体" w:eastAsia="楷体" w:cs="楷体"/>
          <w:bCs/>
          <w:sz w:val="32"/>
          <w:szCs w:val="32"/>
          <w:lang w:val="en-US" w:eastAsia="zh-CN"/>
        </w:rPr>
        <w:t>评价</w:t>
      </w:r>
      <w:r>
        <w:rPr>
          <w:rFonts w:hint="eastAsia" w:ascii="楷体" w:hAnsi="楷体" w:eastAsia="楷体" w:cs="楷体"/>
          <w:bCs/>
          <w:sz w:val="32"/>
          <w:szCs w:val="32"/>
        </w:rPr>
        <w:t>对象和范围</w:t>
      </w:r>
      <w:r>
        <w:rPr>
          <w:sz w:val="32"/>
          <w:szCs w:val="32"/>
        </w:rPr>
        <w:tab/>
      </w:r>
      <w:r>
        <w:rPr>
          <w:sz w:val="32"/>
          <w:szCs w:val="32"/>
        </w:rPr>
        <w:fldChar w:fldCharType="begin"/>
      </w:r>
      <w:r>
        <w:rPr>
          <w:sz w:val="32"/>
          <w:szCs w:val="32"/>
        </w:rPr>
        <w:instrText xml:space="preserve"> PAGEREF _Toc3904 \h </w:instrText>
      </w:r>
      <w:r>
        <w:rPr>
          <w:sz w:val="32"/>
          <w:szCs w:val="32"/>
        </w:rPr>
        <w:fldChar w:fldCharType="separate"/>
      </w:r>
      <w:r>
        <w:rPr>
          <w:sz w:val="32"/>
          <w:szCs w:val="32"/>
        </w:rPr>
        <w:t>3</w:t>
      </w:r>
      <w:r>
        <w:rPr>
          <w:sz w:val="32"/>
          <w:szCs w:val="32"/>
        </w:rPr>
        <w:fldChar w:fldCharType="end"/>
      </w:r>
      <w:r>
        <w:rPr>
          <w:rFonts w:hint="default"/>
          <w:sz w:val="32"/>
          <w:szCs w:val="32"/>
          <w:lang w:val="en-US" w:eastAsia="zh-CN"/>
        </w:rPr>
        <w:fldChar w:fldCharType="end"/>
      </w:r>
    </w:p>
    <w:p w14:paraId="01202456">
      <w:pPr>
        <w:pStyle w:val="12"/>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_Toc19326 </w:instrText>
      </w:r>
      <w:r>
        <w:rPr>
          <w:rFonts w:hint="default"/>
          <w:sz w:val="32"/>
          <w:szCs w:val="32"/>
          <w:lang w:val="en-US" w:eastAsia="zh-CN"/>
        </w:rPr>
        <w:fldChar w:fldCharType="separate"/>
      </w:r>
      <w:r>
        <w:rPr>
          <w:rFonts w:hint="eastAsia" w:ascii="楷体" w:hAnsi="楷体" w:eastAsia="楷体" w:cs="楷体"/>
          <w:bCs/>
          <w:sz w:val="32"/>
          <w:szCs w:val="32"/>
        </w:rPr>
        <w:t>（二）</w:t>
      </w:r>
      <w:r>
        <w:rPr>
          <w:rFonts w:hint="eastAsia" w:ascii="楷体" w:hAnsi="楷体" w:eastAsia="楷体" w:cs="楷体"/>
          <w:bCs/>
          <w:sz w:val="32"/>
          <w:szCs w:val="32"/>
          <w:lang w:val="en-US" w:eastAsia="zh-CN"/>
        </w:rPr>
        <w:t>评价</w:t>
      </w:r>
      <w:r>
        <w:rPr>
          <w:rFonts w:hint="eastAsia" w:ascii="楷体" w:hAnsi="楷体" w:eastAsia="楷体" w:cs="楷体"/>
          <w:bCs/>
          <w:sz w:val="32"/>
          <w:szCs w:val="32"/>
        </w:rPr>
        <w:t>依据</w:t>
      </w:r>
      <w:r>
        <w:rPr>
          <w:sz w:val="32"/>
          <w:szCs w:val="32"/>
        </w:rPr>
        <w:tab/>
      </w:r>
      <w:r>
        <w:rPr>
          <w:sz w:val="32"/>
          <w:szCs w:val="32"/>
        </w:rPr>
        <w:fldChar w:fldCharType="begin"/>
      </w:r>
      <w:r>
        <w:rPr>
          <w:sz w:val="32"/>
          <w:szCs w:val="32"/>
        </w:rPr>
        <w:instrText xml:space="preserve"> PAGEREF _Toc19326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1DD18B9E">
      <w:pPr>
        <w:pStyle w:val="12"/>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_Toc13202 </w:instrText>
      </w:r>
      <w:r>
        <w:rPr>
          <w:rFonts w:hint="default"/>
          <w:sz w:val="32"/>
          <w:szCs w:val="32"/>
          <w:lang w:val="en-US" w:eastAsia="zh-CN"/>
        </w:rPr>
        <w:fldChar w:fldCharType="separate"/>
      </w:r>
      <w:r>
        <w:rPr>
          <w:rFonts w:hint="eastAsia" w:ascii="楷体" w:hAnsi="楷体" w:eastAsia="楷体" w:cs="楷体"/>
          <w:bCs/>
          <w:sz w:val="32"/>
          <w:szCs w:val="32"/>
        </w:rPr>
        <w:t>（三）</w:t>
      </w:r>
      <w:r>
        <w:rPr>
          <w:rFonts w:hint="eastAsia" w:ascii="楷体" w:hAnsi="楷体" w:eastAsia="楷体" w:cs="楷体"/>
          <w:bCs/>
          <w:sz w:val="32"/>
          <w:szCs w:val="32"/>
          <w:lang w:val="en-US" w:eastAsia="zh-CN"/>
        </w:rPr>
        <w:t>评价方法和目的</w:t>
      </w:r>
      <w:r>
        <w:rPr>
          <w:sz w:val="32"/>
          <w:szCs w:val="32"/>
        </w:rPr>
        <w:tab/>
      </w:r>
      <w:r>
        <w:rPr>
          <w:sz w:val="32"/>
          <w:szCs w:val="32"/>
        </w:rPr>
        <w:fldChar w:fldCharType="begin"/>
      </w:r>
      <w:r>
        <w:rPr>
          <w:sz w:val="32"/>
          <w:szCs w:val="32"/>
        </w:rPr>
        <w:instrText xml:space="preserve"> PAGEREF _Toc13202 \h </w:instrText>
      </w:r>
      <w:r>
        <w:rPr>
          <w:sz w:val="32"/>
          <w:szCs w:val="32"/>
        </w:rPr>
        <w:fldChar w:fldCharType="separate"/>
      </w:r>
      <w:r>
        <w:rPr>
          <w:sz w:val="32"/>
          <w:szCs w:val="32"/>
        </w:rPr>
        <w:t>5</w:t>
      </w:r>
      <w:r>
        <w:rPr>
          <w:sz w:val="32"/>
          <w:szCs w:val="32"/>
        </w:rPr>
        <w:fldChar w:fldCharType="end"/>
      </w:r>
      <w:r>
        <w:rPr>
          <w:rFonts w:hint="default"/>
          <w:sz w:val="32"/>
          <w:szCs w:val="32"/>
          <w:lang w:val="en-US" w:eastAsia="zh-CN"/>
        </w:rPr>
        <w:fldChar w:fldCharType="end"/>
      </w:r>
    </w:p>
    <w:p w14:paraId="40D7A3BF">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_Toc1051 </w:instrText>
      </w:r>
      <w:r>
        <w:rPr>
          <w:rFonts w:hint="default"/>
          <w:sz w:val="32"/>
          <w:szCs w:val="32"/>
          <w:lang w:val="en-US" w:eastAsia="zh-CN"/>
        </w:rPr>
        <w:fldChar w:fldCharType="separate"/>
      </w: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部门基本</w:t>
      </w:r>
      <w:r>
        <w:rPr>
          <w:rFonts w:hint="eastAsia" w:ascii="黑体" w:hAnsi="黑体" w:eastAsia="黑体" w:cs="黑体"/>
          <w:sz w:val="32"/>
          <w:szCs w:val="32"/>
          <w:lang w:eastAsia="zh-CN"/>
        </w:rPr>
        <w:t>情况</w:t>
      </w:r>
      <w:r>
        <w:rPr>
          <w:sz w:val="32"/>
          <w:szCs w:val="32"/>
        </w:rPr>
        <w:tab/>
      </w:r>
      <w:r>
        <w:rPr>
          <w:sz w:val="32"/>
          <w:szCs w:val="32"/>
        </w:rPr>
        <w:fldChar w:fldCharType="begin"/>
      </w:r>
      <w:r>
        <w:rPr>
          <w:sz w:val="32"/>
          <w:szCs w:val="32"/>
        </w:rPr>
        <w:instrText xml:space="preserve"> PAGEREF _Toc1051 \h </w:instrText>
      </w:r>
      <w:r>
        <w:rPr>
          <w:sz w:val="32"/>
          <w:szCs w:val="32"/>
        </w:rPr>
        <w:fldChar w:fldCharType="separate"/>
      </w:r>
      <w:r>
        <w:rPr>
          <w:sz w:val="32"/>
          <w:szCs w:val="32"/>
        </w:rPr>
        <w:t>6</w:t>
      </w:r>
      <w:r>
        <w:rPr>
          <w:sz w:val="32"/>
          <w:szCs w:val="32"/>
        </w:rPr>
        <w:fldChar w:fldCharType="end"/>
      </w:r>
      <w:r>
        <w:rPr>
          <w:rFonts w:hint="default"/>
          <w:sz w:val="32"/>
          <w:szCs w:val="32"/>
          <w:lang w:val="en-US" w:eastAsia="zh-CN"/>
        </w:rPr>
        <w:fldChar w:fldCharType="end"/>
      </w:r>
    </w:p>
    <w:p w14:paraId="441A74DF">
      <w:pPr>
        <w:pStyle w:val="12"/>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_Toc6815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w:t>
      </w:r>
      <w:r>
        <w:rPr>
          <w:rFonts w:hint="eastAsia" w:ascii="楷体" w:hAnsi="楷体" w:eastAsia="楷体" w:cs="楷体"/>
          <w:bCs/>
          <w:sz w:val="32"/>
          <w:szCs w:val="32"/>
          <w:lang w:eastAsia="zh-CN"/>
        </w:rPr>
        <w:t>部门</w:t>
      </w:r>
      <w:r>
        <w:rPr>
          <w:rFonts w:hint="eastAsia" w:ascii="楷体" w:hAnsi="楷体" w:eastAsia="楷体" w:cs="楷体"/>
          <w:bCs/>
          <w:sz w:val="32"/>
          <w:szCs w:val="32"/>
          <w:lang w:val="en-US" w:eastAsia="zh-CN"/>
        </w:rPr>
        <w:t>基本信息</w:t>
      </w:r>
      <w:r>
        <w:rPr>
          <w:sz w:val="32"/>
          <w:szCs w:val="32"/>
        </w:rPr>
        <w:tab/>
      </w:r>
      <w:r>
        <w:rPr>
          <w:sz w:val="32"/>
          <w:szCs w:val="32"/>
        </w:rPr>
        <w:fldChar w:fldCharType="begin"/>
      </w:r>
      <w:r>
        <w:rPr>
          <w:sz w:val="32"/>
          <w:szCs w:val="32"/>
        </w:rPr>
        <w:instrText xml:space="preserve"> PAGEREF _Toc6815 \h </w:instrText>
      </w:r>
      <w:r>
        <w:rPr>
          <w:sz w:val="32"/>
          <w:szCs w:val="32"/>
        </w:rPr>
        <w:fldChar w:fldCharType="separate"/>
      </w:r>
      <w:r>
        <w:rPr>
          <w:sz w:val="32"/>
          <w:szCs w:val="32"/>
        </w:rPr>
        <w:t>6</w:t>
      </w:r>
      <w:r>
        <w:rPr>
          <w:sz w:val="32"/>
          <w:szCs w:val="32"/>
        </w:rPr>
        <w:fldChar w:fldCharType="end"/>
      </w:r>
      <w:r>
        <w:rPr>
          <w:rFonts w:hint="default"/>
          <w:sz w:val="32"/>
          <w:szCs w:val="32"/>
          <w:lang w:val="en-US" w:eastAsia="zh-CN"/>
        </w:rPr>
        <w:fldChar w:fldCharType="end"/>
      </w:r>
    </w:p>
    <w:p w14:paraId="36ADE09B">
      <w:pPr>
        <w:pStyle w:val="12"/>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_Toc5991 </w:instrText>
      </w:r>
      <w:r>
        <w:rPr>
          <w:rFonts w:hint="default"/>
          <w:sz w:val="32"/>
          <w:szCs w:val="32"/>
          <w:lang w:val="en-US" w:eastAsia="zh-CN"/>
        </w:rPr>
        <w:fldChar w:fldCharType="separate"/>
      </w: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lang w:val="en-US" w:eastAsia="zh-CN"/>
        </w:rPr>
        <w:t>二</w:t>
      </w:r>
      <w:r>
        <w:rPr>
          <w:rFonts w:hint="eastAsia" w:ascii="楷体" w:hAnsi="楷体" w:eastAsia="楷体" w:cs="楷体"/>
          <w:bCs/>
          <w:sz w:val="32"/>
          <w:szCs w:val="32"/>
          <w:highlight w:val="none"/>
          <w:lang w:eastAsia="zh-CN"/>
        </w:rPr>
        <w:t>）部门</w:t>
      </w:r>
      <w:r>
        <w:rPr>
          <w:rFonts w:hint="eastAsia" w:ascii="楷体" w:hAnsi="楷体" w:eastAsia="楷体" w:cs="楷体"/>
          <w:bCs/>
          <w:sz w:val="32"/>
          <w:szCs w:val="32"/>
          <w:highlight w:val="none"/>
          <w:lang w:val="en-US" w:eastAsia="zh-CN"/>
        </w:rPr>
        <w:t>主要职责</w:t>
      </w:r>
      <w:r>
        <w:rPr>
          <w:sz w:val="32"/>
          <w:szCs w:val="32"/>
        </w:rPr>
        <w:tab/>
      </w:r>
      <w:r>
        <w:rPr>
          <w:sz w:val="32"/>
          <w:szCs w:val="32"/>
        </w:rPr>
        <w:fldChar w:fldCharType="begin"/>
      </w:r>
      <w:r>
        <w:rPr>
          <w:sz w:val="32"/>
          <w:szCs w:val="32"/>
        </w:rPr>
        <w:instrText xml:space="preserve"> PAGEREF _Toc5991 \h </w:instrText>
      </w:r>
      <w:r>
        <w:rPr>
          <w:sz w:val="32"/>
          <w:szCs w:val="32"/>
        </w:rPr>
        <w:fldChar w:fldCharType="separate"/>
      </w:r>
      <w:r>
        <w:rPr>
          <w:sz w:val="32"/>
          <w:szCs w:val="32"/>
        </w:rPr>
        <w:t>6</w:t>
      </w:r>
      <w:r>
        <w:rPr>
          <w:sz w:val="32"/>
          <w:szCs w:val="32"/>
        </w:rPr>
        <w:fldChar w:fldCharType="end"/>
      </w:r>
      <w:r>
        <w:rPr>
          <w:rFonts w:hint="default"/>
          <w:sz w:val="32"/>
          <w:szCs w:val="32"/>
          <w:lang w:val="en-US" w:eastAsia="zh-CN"/>
        </w:rPr>
        <w:fldChar w:fldCharType="end"/>
      </w:r>
    </w:p>
    <w:p w14:paraId="38513BED">
      <w:pPr>
        <w:pStyle w:val="12"/>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_Toc5633 </w:instrText>
      </w:r>
      <w:r>
        <w:rPr>
          <w:rFonts w:hint="default"/>
          <w:sz w:val="32"/>
          <w:szCs w:val="32"/>
          <w:lang w:val="en-US" w:eastAsia="zh-CN"/>
        </w:rPr>
        <w:fldChar w:fldCharType="separate"/>
      </w: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三</w:t>
      </w: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部门</w:t>
      </w:r>
      <w:r>
        <w:rPr>
          <w:rFonts w:hint="eastAsia" w:ascii="楷体" w:hAnsi="楷体" w:eastAsia="楷体" w:cs="楷体"/>
          <w:bCs/>
          <w:sz w:val="32"/>
          <w:szCs w:val="32"/>
          <w:lang w:eastAsia="zh-CN"/>
        </w:rPr>
        <w:t>组织架构与人员</w:t>
      </w:r>
      <w:r>
        <w:rPr>
          <w:sz w:val="32"/>
          <w:szCs w:val="32"/>
        </w:rPr>
        <w:tab/>
      </w:r>
      <w:r>
        <w:rPr>
          <w:sz w:val="32"/>
          <w:szCs w:val="32"/>
        </w:rPr>
        <w:fldChar w:fldCharType="begin"/>
      </w:r>
      <w:r>
        <w:rPr>
          <w:sz w:val="32"/>
          <w:szCs w:val="32"/>
        </w:rPr>
        <w:instrText xml:space="preserve"> PAGEREF _Toc5633 \h </w:instrText>
      </w:r>
      <w:r>
        <w:rPr>
          <w:sz w:val="32"/>
          <w:szCs w:val="32"/>
        </w:rPr>
        <w:fldChar w:fldCharType="separate"/>
      </w:r>
      <w:r>
        <w:rPr>
          <w:sz w:val="32"/>
          <w:szCs w:val="32"/>
        </w:rPr>
        <w:t>7</w:t>
      </w:r>
      <w:r>
        <w:rPr>
          <w:sz w:val="32"/>
          <w:szCs w:val="32"/>
        </w:rPr>
        <w:fldChar w:fldCharType="end"/>
      </w:r>
      <w:r>
        <w:rPr>
          <w:rFonts w:hint="default"/>
          <w:sz w:val="32"/>
          <w:szCs w:val="32"/>
          <w:lang w:val="en-US" w:eastAsia="zh-CN"/>
        </w:rPr>
        <w:fldChar w:fldCharType="end"/>
      </w:r>
    </w:p>
    <w:p w14:paraId="01186101">
      <w:pPr>
        <w:pStyle w:val="12"/>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_Toc22927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（四）部门2024年度职责履行及履职效益</w:t>
      </w:r>
      <w:r>
        <w:rPr>
          <w:sz w:val="32"/>
          <w:szCs w:val="32"/>
        </w:rPr>
        <w:tab/>
      </w:r>
      <w:r>
        <w:rPr>
          <w:sz w:val="32"/>
          <w:szCs w:val="32"/>
        </w:rPr>
        <w:fldChar w:fldCharType="begin"/>
      </w:r>
      <w:r>
        <w:rPr>
          <w:sz w:val="32"/>
          <w:szCs w:val="32"/>
        </w:rPr>
        <w:instrText xml:space="preserve"> PAGEREF _Toc22927 \h </w:instrText>
      </w:r>
      <w:r>
        <w:rPr>
          <w:sz w:val="32"/>
          <w:szCs w:val="32"/>
        </w:rPr>
        <w:fldChar w:fldCharType="separate"/>
      </w:r>
      <w:r>
        <w:rPr>
          <w:sz w:val="32"/>
          <w:szCs w:val="32"/>
        </w:rPr>
        <w:t>7</w:t>
      </w:r>
      <w:r>
        <w:rPr>
          <w:sz w:val="32"/>
          <w:szCs w:val="32"/>
        </w:rPr>
        <w:fldChar w:fldCharType="end"/>
      </w:r>
      <w:r>
        <w:rPr>
          <w:rFonts w:hint="default"/>
          <w:sz w:val="32"/>
          <w:szCs w:val="32"/>
          <w:lang w:val="en-US" w:eastAsia="zh-CN"/>
        </w:rPr>
        <w:fldChar w:fldCharType="end"/>
      </w:r>
    </w:p>
    <w:p w14:paraId="46F33381">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_Toc13893 </w:instrText>
      </w:r>
      <w:r>
        <w:rPr>
          <w:rFonts w:hint="default"/>
          <w:sz w:val="32"/>
          <w:szCs w:val="32"/>
          <w:lang w:val="en-US" w:eastAsia="zh-CN"/>
        </w:rPr>
        <w:fldChar w:fldCharType="separate"/>
      </w: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部门</w:t>
      </w:r>
      <w:r>
        <w:rPr>
          <w:rFonts w:hint="eastAsia" w:ascii="黑体" w:hAnsi="黑体" w:eastAsia="黑体" w:cs="黑体"/>
          <w:sz w:val="32"/>
          <w:szCs w:val="32"/>
          <w:lang w:val="en-US" w:eastAsia="zh-CN"/>
        </w:rPr>
        <w:t>预算及</w:t>
      </w:r>
      <w:r>
        <w:rPr>
          <w:rFonts w:hint="eastAsia" w:ascii="黑体" w:hAnsi="黑体" w:eastAsia="黑体" w:cs="黑体"/>
          <w:sz w:val="32"/>
          <w:szCs w:val="32"/>
          <w:lang w:eastAsia="zh-CN"/>
        </w:rPr>
        <w:t>整体支出概况</w:t>
      </w:r>
      <w:r>
        <w:rPr>
          <w:sz w:val="32"/>
          <w:szCs w:val="32"/>
        </w:rPr>
        <w:tab/>
      </w:r>
      <w:r>
        <w:rPr>
          <w:sz w:val="32"/>
          <w:szCs w:val="32"/>
        </w:rPr>
        <w:fldChar w:fldCharType="begin"/>
      </w:r>
      <w:r>
        <w:rPr>
          <w:sz w:val="32"/>
          <w:szCs w:val="32"/>
        </w:rPr>
        <w:instrText xml:space="preserve"> PAGEREF _Toc13893 \h </w:instrText>
      </w:r>
      <w:r>
        <w:rPr>
          <w:sz w:val="32"/>
          <w:szCs w:val="32"/>
        </w:rPr>
        <w:fldChar w:fldCharType="separate"/>
      </w:r>
      <w:r>
        <w:rPr>
          <w:sz w:val="32"/>
          <w:szCs w:val="32"/>
        </w:rPr>
        <w:t>10</w:t>
      </w:r>
      <w:r>
        <w:rPr>
          <w:sz w:val="32"/>
          <w:szCs w:val="32"/>
        </w:rPr>
        <w:fldChar w:fldCharType="end"/>
      </w:r>
      <w:r>
        <w:rPr>
          <w:rFonts w:hint="default"/>
          <w:sz w:val="32"/>
          <w:szCs w:val="32"/>
          <w:lang w:val="en-US" w:eastAsia="zh-CN"/>
        </w:rPr>
        <w:fldChar w:fldCharType="end"/>
      </w:r>
    </w:p>
    <w:p w14:paraId="16E5098C">
      <w:pPr>
        <w:pStyle w:val="12"/>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_Toc14771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w:t>
      </w:r>
      <w:r>
        <w:rPr>
          <w:rFonts w:hint="eastAsia" w:ascii="楷体" w:hAnsi="楷体" w:eastAsia="楷体" w:cs="楷体"/>
          <w:bCs/>
          <w:sz w:val="32"/>
          <w:szCs w:val="32"/>
          <w:lang w:eastAsia="zh-CN"/>
        </w:rPr>
        <w:t>预算</w:t>
      </w:r>
      <w:r>
        <w:rPr>
          <w:rFonts w:hint="eastAsia" w:ascii="楷体" w:hAnsi="楷体" w:eastAsia="楷体" w:cs="楷体"/>
          <w:bCs/>
          <w:sz w:val="32"/>
          <w:szCs w:val="32"/>
          <w:lang w:val="en-US" w:eastAsia="zh-CN"/>
        </w:rPr>
        <w:t>配置</w:t>
      </w:r>
      <w:r>
        <w:rPr>
          <w:rFonts w:hint="eastAsia" w:ascii="楷体" w:hAnsi="楷体" w:eastAsia="楷体" w:cs="楷体"/>
          <w:bCs/>
          <w:sz w:val="32"/>
          <w:szCs w:val="32"/>
          <w:lang w:eastAsia="zh-CN"/>
        </w:rPr>
        <w:t>情况</w:t>
      </w:r>
      <w:r>
        <w:rPr>
          <w:rFonts w:hint="eastAsia" w:ascii="楷体" w:hAnsi="楷体" w:eastAsia="楷体" w:cs="楷体"/>
          <w:bCs/>
          <w:sz w:val="32"/>
          <w:szCs w:val="32"/>
          <w:lang w:val="en-US" w:eastAsia="zh-CN"/>
        </w:rPr>
        <w:t>及分析</w:t>
      </w:r>
      <w:r>
        <w:rPr>
          <w:sz w:val="32"/>
          <w:szCs w:val="32"/>
        </w:rPr>
        <w:tab/>
      </w:r>
      <w:r>
        <w:rPr>
          <w:sz w:val="32"/>
          <w:szCs w:val="32"/>
        </w:rPr>
        <w:fldChar w:fldCharType="begin"/>
      </w:r>
      <w:r>
        <w:rPr>
          <w:sz w:val="32"/>
          <w:szCs w:val="32"/>
        </w:rPr>
        <w:instrText xml:space="preserve"> PAGEREF _Toc14771 \h </w:instrText>
      </w:r>
      <w:r>
        <w:rPr>
          <w:sz w:val="32"/>
          <w:szCs w:val="32"/>
        </w:rPr>
        <w:fldChar w:fldCharType="separate"/>
      </w:r>
      <w:r>
        <w:rPr>
          <w:sz w:val="32"/>
          <w:szCs w:val="32"/>
        </w:rPr>
        <w:t>10</w:t>
      </w:r>
      <w:r>
        <w:rPr>
          <w:sz w:val="32"/>
          <w:szCs w:val="32"/>
        </w:rPr>
        <w:fldChar w:fldCharType="end"/>
      </w:r>
      <w:r>
        <w:rPr>
          <w:rFonts w:hint="default"/>
          <w:sz w:val="32"/>
          <w:szCs w:val="32"/>
          <w:lang w:val="en-US" w:eastAsia="zh-CN"/>
        </w:rPr>
        <w:fldChar w:fldCharType="end"/>
      </w:r>
    </w:p>
    <w:p w14:paraId="373F4DDC">
      <w:pPr>
        <w:pStyle w:val="12"/>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_Toc29610 </w:instrText>
      </w:r>
      <w:r>
        <w:rPr>
          <w:rFonts w:hint="default"/>
          <w:sz w:val="32"/>
          <w:szCs w:val="32"/>
          <w:lang w:val="en-US" w:eastAsia="zh-CN"/>
        </w:rPr>
        <w:fldChar w:fldCharType="separate"/>
      </w:r>
      <w:r>
        <w:rPr>
          <w:rFonts w:hint="eastAsia" w:ascii="楷体" w:hAnsi="楷体" w:eastAsia="楷体" w:cs="楷体"/>
          <w:bCs/>
          <w:sz w:val="32"/>
          <w:szCs w:val="32"/>
          <w:lang w:eastAsia="zh-CN"/>
        </w:rPr>
        <w:t>（二）预算执行</w:t>
      </w:r>
      <w:r>
        <w:rPr>
          <w:rFonts w:hint="eastAsia" w:ascii="楷体" w:hAnsi="楷体" w:eastAsia="楷体" w:cs="楷体"/>
          <w:bCs/>
          <w:sz w:val="32"/>
          <w:szCs w:val="32"/>
          <w:lang w:val="en-US" w:eastAsia="zh-CN"/>
        </w:rPr>
        <w:t>情况及分析</w:t>
      </w:r>
      <w:r>
        <w:rPr>
          <w:sz w:val="32"/>
          <w:szCs w:val="32"/>
        </w:rPr>
        <w:tab/>
      </w:r>
      <w:r>
        <w:rPr>
          <w:sz w:val="32"/>
          <w:szCs w:val="32"/>
        </w:rPr>
        <w:fldChar w:fldCharType="begin"/>
      </w:r>
      <w:r>
        <w:rPr>
          <w:sz w:val="32"/>
          <w:szCs w:val="32"/>
        </w:rPr>
        <w:instrText xml:space="preserve"> PAGEREF _Toc29610 \h </w:instrText>
      </w:r>
      <w:r>
        <w:rPr>
          <w:sz w:val="32"/>
          <w:szCs w:val="32"/>
        </w:rPr>
        <w:fldChar w:fldCharType="separate"/>
      </w:r>
      <w:r>
        <w:rPr>
          <w:sz w:val="32"/>
          <w:szCs w:val="32"/>
        </w:rPr>
        <w:t>11</w:t>
      </w:r>
      <w:r>
        <w:rPr>
          <w:sz w:val="32"/>
          <w:szCs w:val="32"/>
        </w:rPr>
        <w:fldChar w:fldCharType="end"/>
      </w:r>
      <w:r>
        <w:rPr>
          <w:rFonts w:hint="default"/>
          <w:sz w:val="32"/>
          <w:szCs w:val="32"/>
          <w:lang w:val="en-US" w:eastAsia="zh-CN"/>
        </w:rPr>
        <w:fldChar w:fldCharType="end"/>
      </w:r>
    </w:p>
    <w:p w14:paraId="09D95827">
      <w:pPr>
        <w:pStyle w:val="12"/>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_Toc1584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（三）整体支出汇总及分析</w:t>
      </w:r>
      <w:r>
        <w:rPr>
          <w:sz w:val="32"/>
          <w:szCs w:val="32"/>
        </w:rPr>
        <w:tab/>
      </w:r>
      <w:r>
        <w:rPr>
          <w:sz w:val="32"/>
          <w:szCs w:val="32"/>
        </w:rPr>
        <w:fldChar w:fldCharType="begin"/>
      </w:r>
      <w:r>
        <w:rPr>
          <w:sz w:val="32"/>
          <w:szCs w:val="32"/>
        </w:rPr>
        <w:instrText xml:space="preserve"> PAGEREF _Toc1584 \h </w:instrText>
      </w:r>
      <w:r>
        <w:rPr>
          <w:sz w:val="32"/>
          <w:szCs w:val="32"/>
        </w:rPr>
        <w:fldChar w:fldCharType="separate"/>
      </w:r>
      <w:r>
        <w:rPr>
          <w:sz w:val="32"/>
          <w:szCs w:val="32"/>
        </w:rPr>
        <w:t>13</w:t>
      </w:r>
      <w:r>
        <w:rPr>
          <w:sz w:val="32"/>
          <w:szCs w:val="32"/>
        </w:rPr>
        <w:fldChar w:fldCharType="end"/>
      </w:r>
      <w:r>
        <w:rPr>
          <w:rFonts w:hint="default"/>
          <w:sz w:val="32"/>
          <w:szCs w:val="32"/>
          <w:lang w:val="en-US" w:eastAsia="zh-CN"/>
        </w:rPr>
        <w:fldChar w:fldCharType="end"/>
      </w:r>
    </w:p>
    <w:p w14:paraId="0789A8C7">
      <w:pPr>
        <w:pStyle w:val="12"/>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_Toc9675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（四）</w:t>
      </w:r>
      <w:r>
        <w:rPr>
          <w:rFonts w:hint="eastAsia" w:ascii="楷体" w:hAnsi="楷体" w:eastAsia="楷体" w:cs="楷体"/>
          <w:bCs/>
          <w:sz w:val="32"/>
          <w:szCs w:val="32"/>
          <w:lang w:eastAsia="zh-CN"/>
        </w:rPr>
        <w:t>预算</w:t>
      </w:r>
      <w:r>
        <w:rPr>
          <w:rFonts w:hint="eastAsia" w:ascii="楷体" w:hAnsi="楷体" w:eastAsia="楷体" w:cs="楷体"/>
          <w:bCs/>
          <w:sz w:val="32"/>
          <w:szCs w:val="32"/>
          <w:lang w:val="en-US" w:eastAsia="zh-CN"/>
        </w:rPr>
        <w:t>管理情况及分析</w:t>
      </w:r>
      <w:r>
        <w:rPr>
          <w:sz w:val="32"/>
          <w:szCs w:val="32"/>
        </w:rPr>
        <w:tab/>
      </w:r>
      <w:r>
        <w:rPr>
          <w:sz w:val="32"/>
          <w:szCs w:val="32"/>
        </w:rPr>
        <w:fldChar w:fldCharType="begin"/>
      </w:r>
      <w:r>
        <w:rPr>
          <w:sz w:val="32"/>
          <w:szCs w:val="32"/>
        </w:rPr>
        <w:instrText xml:space="preserve"> PAGEREF _Toc9675 \h </w:instrText>
      </w:r>
      <w:r>
        <w:rPr>
          <w:sz w:val="32"/>
          <w:szCs w:val="32"/>
        </w:rPr>
        <w:fldChar w:fldCharType="separate"/>
      </w:r>
      <w:r>
        <w:rPr>
          <w:sz w:val="32"/>
          <w:szCs w:val="32"/>
        </w:rPr>
        <w:t>19</w:t>
      </w:r>
      <w:r>
        <w:rPr>
          <w:sz w:val="32"/>
          <w:szCs w:val="32"/>
        </w:rPr>
        <w:fldChar w:fldCharType="end"/>
      </w:r>
      <w:r>
        <w:rPr>
          <w:rFonts w:hint="default"/>
          <w:sz w:val="32"/>
          <w:szCs w:val="32"/>
          <w:lang w:val="en-US" w:eastAsia="zh-CN"/>
        </w:rPr>
        <w:fldChar w:fldCharType="end"/>
      </w:r>
    </w:p>
    <w:p w14:paraId="703287FB">
      <w:pPr>
        <w:pStyle w:val="12"/>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_Toc14368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（五）工资管理情况及分析</w:t>
      </w:r>
      <w:r>
        <w:rPr>
          <w:sz w:val="32"/>
          <w:szCs w:val="32"/>
        </w:rPr>
        <w:tab/>
      </w:r>
      <w:r>
        <w:rPr>
          <w:sz w:val="32"/>
          <w:szCs w:val="32"/>
        </w:rPr>
        <w:fldChar w:fldCharType="begin"/>
      </w:r>
      <w:r>
        <w:rPr>
          <w:sz w:val="32"/>
          <w:szCs w:val="32"/>
        </w:rPr>
        <w:instrText xml:space="preserve"> PAGEREF _Toc14368 \h </w:instrText>
      </w:r>
      <w:r>
        <w:rPr>
          <w:sz w:val="32"/>
          <w:szCs w:val="32"/>
        </w:rPr>
        <w:fldChar w:fldCharType="separate"/>
      </w:r>
      <w:r>
        <w:rPr>
          <w:sz w:val="32"/>
          <w:szCs w:val="32"/>
        </w:rPr>
        <w:t>20</w:t>
      </w:r>
      <w:r>
        <w:rPr>
          <w:sz w:val="32"/>
          <w:szCs w:val="32"/>
        </w:rPr>
        <w:fldChar w:fldCharType="end"/>
      </w:r>
      <w:r>
        <w:rPr>
          <w:rFonts w:hint="default"/>
          <w:sz w:val="32"/>
          <w:szCs w:val="32"/>
          <w:lang w:val="en-US" w:eastAsia="zh-CN"/>
        </w:rPr>
        <w:fldChar w:fldCharType="end"/>
      </w:r>
    </w:p>
    <w:p w14:paraId="16818585">
      <w:pPr>
        <w:pStyle w:val="12"/>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_Toc2464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（六）项目支出管理情况及分析</w:t>
      </w:r>
      <w:r>
        <w:rPr>
          <w:sz w:val="32"/>
          <w:szCs w:val="32"/>
        </w:rPr>
        <w:tab/>
      </w:r>
      <w:r>
        <w:rPr>
          <w:sz w:val="32"/>
          <w:szCs w:val="32"/>
        </w:rPr>
        <w:fldChar w:fldCharType="begin"/>
      </w:r>
      <w:r>
        <w:rPr>
          <w:sz w:val="32"/>
          <w:szCs w:val="32"/>
        </w:rPr>
        <w:instrText xml:space="preserve"> PAGEREF _Toc2464 \h </w:instrText>
      </w:r>
      <w:r>
        <w:rPr>
          <w:sz w:val="32"/>
          <w:szCs w:val="32"/>
        </w:rPr>
        <w:fldChar w:fldCharType="separate"/>
      </w:r>
      <w:r>
        <w:rPr>
          <w:sz w:val="32"/>
          <w:szCs w:val="32"/>
        </w:rPr>
        <w:t>20</w:t>
      </w:r>
      <w:r>
        <w:rPr>
          <w:sz w:val="32"/>
          <w:szCs w:val="32"/>
        </w:rPr>
        <w:fldChar w:fldCharType="end"/>
      </w:r>
      <w:r>
        <w:rPr>
          <w:rFonts w:hint="default"/>
          <w:sz w:val="32"/>
          <w:szCs w:val="32"/>
          <w:lang w:val="en-US" w:eastAsia="zh-CN"/>
        </w:rPr>
        <w:fldChar w:fldCharType="end"/>
      </w:r>
    </w:p>
    <w:p w14:paraId="7E7B521A">
      <w:pPr>
        <w:pStyle w:val="12"/>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_Toc10201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（七）</w:t>
      </w:r>
      <w:r>
        <w:rPr>
          <w:rFonts w:hint="eastAsia" w:ascii="楷体" w:hAnsi="楷体" w:eastAsia="楷体" w:cs="楷体"/>
          <w:bCs/>
          <w:sz w:val="32"/>
          <w:szCs w:val="32"/>
          <w:highlight w:val="none"/>
          <w:lang w:val="en-US" w:eastAsia="zh-CN"/>
        </w:rPr>
        <w:t>固定资产管理情况及分析</w:t>
      </w:r>
      <w:r>
        <w:rPr>
          <w:sz w:val="32"/>
          <w:szCs w:val="32"/>
        </w:rPr>
        <w:tab/>
      </w:r>
      <w:r>
        <w:rPr>
          <w:sz w:val="32"/>
          <w:szCs w:val="32"/>
        </w:rPr>
        <w:fldChar w:fldCharType="begin"/>
      </w:r>
      <w:r>
        <w:rPr>
          <w:sz w:val="32"/>
          <w:szCs w:val="32"/>
        </w:rPr>
        <w:instrText xml:space="preserve"> PAGEREF _Toc10201 \h </w:instrText>
      </w:r>
      <w:r>
        <w:rPr>
          <w:sz w:val="32"/>
          <w:szCs w:val="32"/>
        </w:rPr>
        <w:fldChar w:fldCharType="separate"/>
      </w:r>
      <w:r>
        <w:rPr>
          <w:sz w:val="32"/>
          <w:szCs w:val="32"/>
        </w:rPr>
        <w:t>22</w:t>
      </w:r>
      <w:r>
        <w:rPr>
          <w:sz w:val="32"/>
          <w:szCs w:val="32"/>
        </w:rPr>
        <w:fldChar w:fldCharType="end"/>
      </w:r>
      <w:r>
        <w:rPr>
          <w:rFonts w:hint="default"/>
          <w:sz w:val="32"/>
          <w:szCs w:val="32"/>
          <w:lang w:val="en-US" w:eastAsia="zh-CN"/>
        </w:rPr>
        <w:fldChar w:fldCharType="end"/>
      </w:r>
    </w:p>
    <w:p w14:paraId="3D866D05">
      <w:pPr>
        <w:pStyle w:val="12"/>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_Toc20597 </w:instrText>
      </w:r>
      <w:r>
        <w:rPr>
          <w:rFonts w:hint="default"/>
          <w:sz w:val="32"/>
          <w:szCs w:val="32"/>
          <w:lang w:val="en-US" w:eastAsia="zh-CN"/>
        </w:rPr>
        <w:fldChar w:fldCharType="separate"/>
      </w:r>
      <w:r>
        <w:rPr>
          <w:rFonts w:hint="eastAsia" w:ascii="楷体" w:hAnsi="楷体" w:eastAsia="楷体" w:cs="楷体"/>
          <w:bCs/>
          <w:sz w:val="32"/>
          <w:szCs w:val="32"/>
          <w:highlight w:val="none"/>
          <w:lang w:val="en-US" w:eastAsia="zh-CN"/>
        </w:rPr>
        <w:t>（八）厉行节约保障措施的执行情况及其政策效果</w:t>
      </w:r>
      <w:r>
        <w:rPr>
          <w:sz w:val="32"/>
          <w:szCs w:val="32"/>
        </w:rPr>
        <w:tab/>
      </w:r>
      <w:r>
        <w:rPr>
          <w:sz w:val="32"/>
          <w:szCs w:val="32"/>
        </w:rPr>
        <w:fldChar w:fldCharType="begin"/>
      </w:r>
      <w:r>
        <w:rPr>
          <w:sz w:val="32"/>
          <w:szCs w:val="32"/>
        </w:rPr>
        <w:instrText xml:space="preserve"> PAGEREF _Toc20597 \h </w:instrText>
      </w:r>
      <w:r>
        <w:rPr>
          <w:sz w:val="32"/>
          <w:szCs w:val="32"/>
        </w:rPr>
        <w:fldChar w:fldCharType="separate"/>
      </w:r>
      <w:r>
        <w:rPr>
          <w:sz w:val="32"/>
          <w:szCs w:val="32"/>
        </w:rPr>
        <w:t>23</w:t>
      </w:r>
      <w:r>
        <w:rPr>
          <w:sz w:val="32"/>
          <w:szCs w:val="32"/>
        </w:rPr>
        <w:fldChar w:fldCharType="end"/>
      </w:r>
      <w:r>
        <w:rPr>
          <w:rFonts w:hint="default"/>
          <w:sz w:val="32"/>
          <w:szCs w:val="32"/>
          <w:lang w:val="en-US" w:eastAsia="zh-CN"/>
        </w:rPr>
        <w:fldChar w:fldCharType="end"/>
      </w:r>
    </w:p>
    <w:p w14:paraId="249D1250">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_Toc23160 </w:instrText>
      </w:r>
      <w:r>
        <w:rPr>
          <w:rFonts w:hint="default"/>
          <w:sz w:val="32"/>
          <w:szCs w:val="32"/>
          <w:lang w:val="en-US" w:eastAsia="zh-CN"/>
        </w:rPr>
        <w:fldChar w:fldCharType="separate"/>
      </w: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部门</w:t>
      </w:r>
      <w:r>
        <w:rPr>
          <w:rFonts w:hint="eastAsia" w:ascii="黑体" w:hAnsi="黑体" w:eastAsia="黑体" w:cs="黑体"/>
          <w:sz w:val="32"/>
          <w:szCs w:val="32"/>
          <w:highlight w:val="none"/>
          <w:lang w:eastAsia="zh-CN"/>
        </w:rPr>
        <w:t>绩效目标</w:t>
      </w:r>
      <w:r>
        <w:rPr>
          <w:sz w:val="32"/>
          <w:szCs w:val="32"/>
        </w:rPr>
        <w:tab/>
      </w:r>
      <w:r>
        <w:rPr>
          <w:sz w:val="32"/>
          <w:szCs w:val="32"/>
        </w:rPr>
        <w:fldChar w:fldCharType="begin"/>
      </w:r>
      <w:r>
        <w:rPr>
          <w:sz w:val="32"/>
          <w:szCs w:val="32"/>
        </w:rPr>
        <w:instrText xml:space="preserve"> PAGEREF _Toc23160 \h </w:instrText>
      </w:r>
      <w:r>
        <w:rPr>
          <w:sz w:val="32"/>
          <w:szCs w:val="32"/>
        </w:rPr>
        <w:fldChar w:fldCharType="separate"/>
      </w:r>
      <w:r>
        <w:rPr>
          <w:sz w:val="32"/>
          <w:szCs w:val="32"/>
        </w:rPr>
        <w:t>24</w:t>
      </w:r>
      <w:r>
        <w:rPr>
          <w:sz w:val="32"/>
          <w:szCs w:val="32"/>
        </w:rPr>
        <w:fldChar w:fldCharType="end"/>
      </w:r>
      <w:r>
        <w:rPr>
          <w:rFonts w:hint="default"/>
          <w:sz w:val="32"/>
          <w:szCs w:val="32"/>
          <w:lang w:val="en-US" w:eastAsia="zh-CN"/>
        </w:rPr>
        <w:fldChar w:fldCharType="end"/>
      </w:r>
    </w:p>
    <w:p w14:paraId="6DFF373F">
      <w:pPr>
        <w:pStyle w:val="12"/>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_Toc18389 </w:instrText>
      </w:r>
      <w:r>
        <w:rPr>
          <w:rFonts w:hint="default"/>
          <w:sz w:val="32"/>
          <w:szCs w:val="32"/>
          <w:lang w:val="en-US" w:eastAsia="zh-CN"/>
        </w:rPr>
        <w:fldChar w:fldCharType="separate"/>
      </w:r>
      <w:r>
        <w:rPr>
          <w:rFonts w:hint="eastAsia" w:ascii="楷体" w:hAnsi="楷体" w:eastAsia="楷体" w:cs="楷体"/>
          <w:bCs/>
          <w:sz w:val="32"/>
          <w:szCs w:val="32"/>
          <w:lang w:eastAsia="zh-CN"/>
        </w:rPr>
        <w:t>（一）总体目标</w:t>
      </w:r>
      <w:r>
        <w:rPr>
          <w:sz w:val="32"/>
          <w:szCs w:val="32"/>
        </w:rPr>
        <w:tab/>
      </w:r>
      <w:r>
        <w:rPr>
          <w:sz w:val="32"/>
          <w:szCs w:val="32"/>
        </w:rPr>
        <w:fldChar w:fldCharType="begin"/>
      </w:r>
      <w:r>
        <w:rPr>
          <w:sz w:val="32"/>
          <w:szCs w:val="32"/>
        </w:rPr>
        <w:instrText xml:space="preserve"> PAGEREF _Toc18389 \h </w:instrText>
      </w:r>
      <w:r>
        <w:rPr>
          <w:sz w:val="32"/>
          <w:szCs w:val="32"/>
        </w:rPr>
        <w:fldChar w:fldCharType="separate"/>
      </w:r>
      <w:r>
        <w:rPr>
          <w:sz w:val="32"/>
          <w:szCs w:val="32"/>
        </w:rPr>
        <w:t>24</w:t>
      </w:r>
      <w:r>
        <w:rPr>
          <w:sz w:val="32"/>
          <w:szCs w:val="32"/>
        </w:rPr>
        <w:fldChar w:fldCharType="end"/>
      </w:r>
      <w:r>
        <w:rPr>
          <w:rFonts w:hint="default"/>
          <w:sz w:val="32"/>
          <w:szCs w:val="32"/>
          <w:lang w:val="en-US" w:eastAsia="zh-CN"/>
        </w:rPr>
        <w:fldChar w:fldCharType="end"/>
      </w:r>
    </w:p>
    <w:p w14:paraId="169C7522">
      <w:pPr>
        <w:pStyle w:val="12"/>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_Toc22719 </w:instrText>
      </w:r>
      <w:r>
        <w:rPr>
          <w:rFonts w:hint="default"/>
          <w:sz w:val="32"/>
          <w:szCs w:val="32"/>
          <w:lang w:val="en-US" w:eastAsia="zh-CN"/>
        </w:rPr>
        <w:fldChar w:fldCharType="separate"/>
      </w:r>
      <w:r>
        <w:rPr>
          <w:rFonts w:hint="eastAsia" w:ascii="楷体" w:hAnsi="楷体" w:eastAsia="楷体" w:cs="楷体"/>
          <w:bCs/>
          <w:sz w:val="32"/>
          <w:szCs w:val="32"/>
          <w:lang w:eastAsia="zh-CN"/>
        </w:rPr>
        <w:t>（二）分类目标</w:t>
      </w:r>
      <w:r>
        <w:rPr>
          <w:sz w:val="32"/>
          <w:szCs w:val="32"/>
        </w:rPr>
        <w:tab/>
      </w:r>
      <w:r>
        <w:rPr>
          <w:sz w:val="32"/>
          <w:szCs w:val="32"/>
        </w:rPr>
        <w:fldChar w:fldCharType="begin"/>
      </w:r>
      <w:r>
        <w:rPr>
          <w:sz w:val="32"/>
          <w:szCs w:val="32"/>
        </w:rPr>
        <w:instrText xml:space="preserve"> PAGEREF _Toc22719 \h </w:instrText>
      </w:r>
      <w:r>
        <w:rPr>
          <w:sz w:val="32"/>
          <w:szCs w:val="32"/>
        </w:rPr>
        <w:fldChar w:fldCharType="separate"/>
      </w:r>
      <w:r>
        <w:rPr>
          <w:sz w:val="32"/>
          <w:szCs w:val="32"/>
        </w:rPr>
        <w:t>24</w:t>
      </w:r>
      <w:r>
        <w:rPr>
          <w:sz w:val="32"/>
          <w:szCs w:val="32"/>
        </w:rPr>
        <w:fldChar w:fldCharType="end"/>
      </w:r>
      <w:r>
        <w:rPr>
          <w:rFonts w:hint="default"/>
          <w:sz w:val="32"/>
          <w:szCs w:val="32"/>
          <w:lang w:val="en-US" w:eastAsia="zh-CN"/>
        </w:rPr>
        <w:fldChar w:fldCharType="end"/>
      </w:r>
    </w:p>
    <w:p w14:paraId="522A3482">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_Toc26992 </w:instrText>
      </w:r>
      <w:r>
        <w:rPr>
          <w:rFonts w:hint="default"/>
          <w:sz w:val="32"/>
          <w:szCs w:val="32"/>
          <w:lang w:val="en-US" w:eastAsia="zh-CN"/>
        </w:rPr>
        <w:fldChar w:fldCharType="separate"/>
      </w:r>
      <w:r>
        <w:rPr>
          <w:rFonts w:hint="eastAsia" w:ascii="黑体" w:hAnsi="黑体" w:eastAsia="黑体" w:cs="黑体"/>
          <w:sz w:val="32"/>
          <w:szCs w:val="32"/>
          <w:highlight w:val="none"/>
          <w:lang w:val="en-US" w:eastAsia="zh-CN"/>
        </w:rPr>
        <w:t>五、部门</w:t>
      </w:r>
      <w:r>
        <w:rPr>
          <w:rFonts w:hint="eastAsia" w:ascii="黑体" w:hAnsi="黑体" w:eastAsia="黑体" w:cs="黑体"/>
          <w:sz w:val="32"/>
          <w:szCs w:val="32"/>
          <w:highlight w:val="none"/>
          <w:lang w:eastAsia="zh-CN"/>
        </w:rPr>
        <w:t>绩效考评情况</w:t>
      </w:r>
      <w:r>
        <w:rPr>
          <w:sz w:val="32"/>
          <w:szCs w:val="32"/>
        </w:rPr>
        <w:tab/>
      </w:r>
      <w:r>
        <w:rPr>
          <w:sz w:val="32"/>
          <w:szCs w:val="32"/>
        </w:rPr>
        <w:fldChar w:fldCharType="begin"/>
      </w:r>
      <w:r>
        <w:rPr>
          <w:sz w:val="32"/>
          <w:szCs w:val="32"/>
        </w:rPr>
        <w:instrText xml:space="preserve"> PAGEREF _Toc26992 \h </w:instrText>
      </w:r>
      <w:r>
        <w:rPr>
          <w:sz w:val="32"/>
          <w:szCs w:val="32"/>
        </w:rPr>
        <w:fldChar w:fldCharType="separate"/>
      </w:r>
      <w:r>
        <w:rPr>
          <w:sz w:val="32"/>
          <w:szCs w:val="32"/>
        </w:rPr>
        <w:t>25</w:t>
      </w:r>
      <w:r>
        <w:rPr>
          <w:sz w:val="32"/>
          <w:szCs w:val="32"/>
        </w:rPr>
        <w:fldChar w:fldCharType="end"/>
      </w:r>
      <w:r>
        <w:rPr>
          <w:rFonts w:hint="default"/>
          <w:sz w:val="32"/>
          <w:szCs w:val="32"/>
          <w:lang w:val="en-US" w:eastAsia="zh-CN"/>
        </w:rPr>
        <w:fldChar w:fldCharType="end"/>
      </w:r>
    </w:p>
    <w:p w14:paraId="7DAAF25C">
      <w:pPr>
        <w:pStyle w:val="12"/>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_Toc16835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（一）评价框架</w:t>
      </w:r>
      <w:r>
        <w:rPr>
          <w:sz w:val="32"/>
          <w:szCs w:val="32"/>
        </w:rPr>
        <w:tab/>
      </w:r>
      <w:r>
        <w:rPr>
          <w:sz w:val="32"/>
          <w:szCs w:val="32"/>
        </w:rPr>
        <w:fldChar w:fldCharType="begin"/>
      </w:r>
      <w:r>
        <w:rPr>
          <w:sz w:val="32"/>
          <w:szCs w:val="32"/>
        </w:rPr>
        <w:instrText xml:space="preserve"> PAGEREF _Toc16835 \h </w:instrText>
      </w:r>
      <w:r>
        <w:rPr>
          <w:sz w:val="32"/>
          <w:szCs w:val="32"/>
        </w:rPr>
        <w:fldChar w:fldCharType="separate"/>
      </w:r>
      <w:r>
        <w:rPr>
          <w:sz w:val="32"/>
          <w:szCs w:val="32"/>
        </w:rPr>
        <w:t>25</w:t>
      </w:r>
      <w:r>
        <w:rPr>
          <w:sz w:val="32"/>
          <w:szCs w:val="32"/>
        </w:rPr>
        <w:fldChar w:fldCharType="end"/>
      </w:r>
      <w:r>
        <w:rPr>
          <w:rFonts w:hint="default"/>
          <w:sz w:val="32"/>
          <w:szCs w:val="32"/>
          <w:lang w:val="en-US" w:eastAsia="zh-CN"/>
        </w:rPr>
        <w:fldChar w:fldCharType="end"/>
      </w:r>
    </w:p>
    <w:p w14:paraId="7B82F348">
      <w:pPr>
        <w:pStyle w:val="12"/>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_Toc23427 </w:instrText>
      </w:r>
      <w:r>
        <w:rPr>
          <w:rFonts w:hint="default"/>
          <w:sz w:val="32"/>
          <w:szCs w:val="32"/>
          <w:lang w:val="en-US" w:eastAsia="zh-CN"/>
        </w:rPr>
        <w:fldChar w:fldCharType="separate"/>
      </w:r>
      <w:r>
        <w:rPr>
          <w:rFonts w:hint="eastAsia" w:ascii="楷体" w:hAnsi="楷体" w:eastAsia="楷体" w:cs="楷体"/>
          <w:bCs/>
          <w:sz w:val="32"/>
          <w:szCs w:val="32"/>
          <w:highlight w:val="none"/>
          <w:lang w:val="en-US" w:eastAsia="zh-CN"/>
        </w:rPr>
        <w:t>（二）评价分析</w:t>
      </w:r>
      <w:r>
        <w:rPr>
          <w:sz w:val="32"/>
          <w:szCs w:val="32"/>
        </w:rPr>
        <w:tab/>
      </w:r>
      <w:r>
        <w:rPr>
          <w:sz w:val="32"/>
          <w:szCs w:val="32"/>
        </w:rPr>
        <w:fldChar w:fldCharType="begin"/>
      </w:r>
      <w:r>
        <w:rPr>
          <w:sz w:val="32"/>
          <w:szCs w:val="32"/>
        </w:rPr>
        <w:instrText xml:space="preserve"> PAGEREF _Toc23427 \h </w:instrText>
      </w:r>
      <w:r>
        <w:rPr>
          <w:sz w:val="32"/>
          <w:szCs w:val="32"/>
        </w:rPr>
        <w:fldChar w:fldCharType="separate"/>
      </w:r>
      <w:r>
        <w:rPr>
          <w:sz w:val="32"/>
          <w:szCs w:val="32"/>
        </w:rPr>
        <w:t>27</w:t>
      </w:r>
      <w:r>
        <w:rPr>
          <w:sz w:val="32"/>
          <w:szCs w:val="32"/>
        </w:rPr>
        <w:fldChar w:fldCharType="end"/>
      </w:r>
      <w:r>
        <w:rPr>
          <w:rFonts w:hint="default"/>
          <w:sz w:val="32"/>
          <w:szCs w:val="32"/>
          <w:lang w:val="en-US" w:eastAsia="zh-CN"/>
        </w:rPr>
        <w:fldChar w:fldCharType="end"/>
      </w:r>
    </w:p>
    <w:p w14:paraId="39D9E7F6">
      <w:pPr>
        <w:pStyle w:val="12"/>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_Toc8264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（三）评价结果</w:t>
      </w:r>
      <w:r>
        <w:rPr>
          <w:sz w:val="32"/>
          <w:szCs w:val="32"/>
        </w:rPr>
        <w:tab/>
      </w:r>
      <w:r>
        <w:rPr>
          <w:sz w:val="32"/>
          <w:szCs w:val="32"/>
        </w:rPr>
        <w:fldChar w:fldCharType="begin"/>
      </w:r>
      <w:r>
        <w:rPr>
          <w:sz w:val="32"/>
          <w:szCs w:val="32"/>
        </w:rPr>
        <w:instrText xml:space="preserve"> PAGEREF _Toc8264 \h </w:instrText>
      </w:r>
      <w:r>
        <w:rPr>
          <w:sz w:val="32"/>
          <w:szCs w:val="32"/>
        </w:rPr>
        <w:fldChar w:fldCharType="separate"/>
      </w:r>
      <w:r>
        <w:rPr>
          <w:sz w:val="32"/>
          <w:szCs w:val="32"/>
        </w:rPr>
        <w:t>33</w:t>
      </w:r>
      <w:r>
        <w:rPr>
          <w:sz w:val="32"/>
          <w:szCs w:val="32"/>
        </w:rPr>
        <w:fldChar w:fldCharType="end"/>
      </w:r>
      <w:r>
        <w:rPr>
          <w:rFonts w:hint="default"/>
          <w:sz w:val="32"/>
          <w:szCs w:val="32"/>
          <w:lang w:val="en-US" w:eastAsia="zh-CN"/>
        </w:rPr>
        <w:fldChar w:fldCharType="end"/>
      </w:r>
    </w:p>
    <w:p w14:paraId="20DE7649">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_Toc27992 </w:instrText>
      </w:r>
      <w:r>
        <w:rPr>
          <w:rFonts w:hint="default"/>
          <w:sz w:val="32"/>
          <w:szCs w:val="32"/>
          <w:lang w:val="en-US" w:eastAsia="zh-CN"/>
        </w:rPr>
        <w:fldChar w:fldCharType="separate"/>
      </w:r>
      <w:r>
        <w:rPr>
          <w:rFonts w:hint="eastAsia" w:ascii="黑体" w:hAnsi="黑体" w:eastAsia="黑体" w:cs="黑体"/>
          <w:sz w:val="32"/>
          <w:szCs w:val="32"/>
          <w:lang w:eastAsia="zh-CN"/>
        </w:rPr>
        <w:t>六、</w:t>
      </w:r>
      <w:r>
        <w:rPr>
          <w:rFonts w:hint="eastAsia" w:ascii="黑体" w:hAnsi="黑体" w:eastAsia="黑体" w:cs="黑体"/>
          <w:sz w:val="32"/>
          <w:szCs w:val="32"/>
          <w:lang w:val="en-US" w:eastAsia="zh-CN"/>
        </w:rPr>
        <w:t>主要</w:t>
      </w:r>
      <w:r>
        <w:rPr>
          <w:rFonts w:hint="eastAsia" w:ascii="黑体" w:hAnsi="黑体" w:eastAsia="黑体" w:cs="黑体"/>
          <w:sz w:val="32"/>
          <w:szCs w:val="32"/>
          <w:lang w:eastAsia="zh-CN"/>
        </w:rPr>
        <w:t>问题与改进建议</w:t>
      </w:r>
      <w:r>
        <w:rPr>
          <w:sz w:val="32"/>
          <w:szCs w:val="32"/>
        </w:rPr>
        <w:tab/>
      </w:r>
      <w:r>
        <w:rPr>
          <w:sz w:val="32"/>
          <w:szCs w:val="32"/>
        </w:rPr>
        <w:fldChar w:fldCharType="begin"/>
      </w:r>
      <w:r>
        <w:rPr>
          <w:sz w:val="32"/>
          <w:szCs w:val="32"/>
        </w:rPr>
        <w:instrText xml:space="preserve"> PAGEREF _Toc27992 \h </w:instrText>
      </w:r>
      <w:r>
        <w:rPr>
          <w:sz w:val="32"/>
          <w:szCs w:val="32"/>
        </w:rPr>
        <w:fldChar w:fldCharType="separate"/>
      </w:r>
      <w:r>
        <w:rPr>
          <w:sz w:val="32"/>
          <w:szCs w:val="32"/>
        </w:rPr>
        <w:t>34</w:t>
      </w:r>
      <w:r>
        <w:rPr>
          <w:sz w:val="32"/>
          <w:szCs w:val="32"/>
        </w:rPr>
        <w:fldChar w:fldCharType="end"/>
      </w:r>
      <w:r>
        <w:rPr>
          <w:rFonts w:hint="default"/>
          <w:sz w:val="32"/>
          <w:szCs w:val="32"/>
          <w:lang w:val="en-US" w:eastAsia="zh-CN"/>
        </w:rPr>
        <w:fldChar w:fldCharType="end"/>
      </w:r>
    </w:p>
    <w:p w14:paraId="79EC3DFB">
      <w:pPr>
        <w:pStyle w:val="12"/>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_Toc32699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（一）预算配置与执行方面存在的问题及建议</w:t>
      </w:r>
      <w:r>
        <w:rPr>
          <w:sz w:val="32"/>
          <w:szCs w:val="32"/>
        </w:rPr>
        <w:tab/>
      </w:r>
      <w:r>
        <w:rPr>
          <w:sz w:val="32"/>
          <w:szCs w:val="32"/>
        </w:rPr>
        <w:fldChar w:fldCharType="begin"/>
      </w:r>
      <w:r>
        <w:rPr>
          <w:sz w:val="32"/>
          <w:szCs w:val="32"/>
        </w:rPr>
        <w:instrText xml:space="preserve"> PAGEREF _Toc32699 \h </w:instrText>
      </w:r>
      <w:r>
        <w:rPr>
          <w:sz w:val="32"/>
          <w:szCs w:val="32"/>
        </w:rPr>
        <w:fldChar w:fldCharType="separate"/>
      </w:r>
      <w:r>
        <w:rPr>
          <w:sz w:val="32"/>
          <w:szCs w:val="32"/>
        </w:rPr>
        <w:t>34</w:t>
      </w:r>
      <w:r>
        <w:rPr>
          <w:sz w:val="32"/>
          <w:szCs w:val="32"/>
        </w:rPr>
        <w:fldChar w:fldCharType="end"/>
      </w:r>
      <w:r>
        <w:rPr>
          <w:rFonts w:hint="default"/>
          <w:sz w:val="32"/>
          <w:szCs w:val="32"/>
          <w:lang w:val="en-US" w:eastAsia="zh-CN"/>
        </w:rPr>
        <w:fldChar w:fldCharType="end"/>
      </w:r>
    </w:p>
    <w:p w14:paraId="5395A00A">
      <w:pPr>
        <w:pStyle w:val="12"/>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_Toc14539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（二）管理程序方面存在的问题及建议</w:t>
      </w:r>
      <w:r>
        <w:rPr>
          <w:sz w:val="32"/>
          <w:szCs w:val="32"/>
        </w:rPr>
        <w:tab/>
      </w:r>
      <w:r>
        <w:rPr>
          <w:sz w:val="32"/>
          <w:szCs w:val="32"/>
        </w:rPr>
        <w:fldChar w:fldCharType="begin"/>
      </w:r>
      <w:r>
        <w:rPr>
          <w:sz w:val="32"/>
          <w:szCs w:val="32"/>
        </w:rPr>
        <w:instrText xml:space="preserve"> PAGEREF _Toc14539 \h </w:instrText>
      </w:r>
      <w:r>
        <w:rPr>
          <w:sz w:val="32"/>
          <w:szCs w:val="32"/>
        </w:rPr>
        <w:fldChar w:fldCharType="separate"/>
      </w:r>
      <w:r>
        <w:rPr>
          <w:sz w:val="32"/>
          <w:szCs w:val="32"/>
        </w:rPr>
        <w:t>40</w:t>
      </w:r>
      <w:r>
        <w:rPr>
          <w:sz w:val="32"/>
          <w:szCs w:val="32"/>
        </w:rPr>
        <w:fldChar w:fldCharType="end"/>
      </w:r>
      <w:r>
        <w:rPr>
          <w:rFonts w:hint="default"/>
          <w:sz w:val="32"/>
          <w:szCs w:val="32"/>
          <w:lang w:val="en-US" w:eastAsia="zh-CN"/>
        </w:rPr>
        <w:fldChar w:fldCharType="end"/>
      </w:r>
    </w:p>
    <w:p w14:paraId="43EE1229">
      <w:pPr>
        <w:pStyle w:val="12"/>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_Toc26145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（三）人员经费管理方面存在的问题及建议</w:t>
      </w:r>
      <w:r>
        <w:rPr>
          <w:sz w:val="32"/>
          <w:szCs w:val="32"/>
        </w:rPr>
        <w:tab/>
      </w:r>
      <w:r>
        <w:rPr>
          <w:sz w:val="32"/>
          <w:szCs w:val="32"/>
        </w:rPr>
        <w:fldChar w:fldCharType="begin"/>
      </w:r>
      <w:r>
        <w:rPr>
          <w:sz w:val="32"/>
          <w:szCs w:val="32"/>
        </w:rPr>
        <w:instrText xml:space="preserve"> PAGEREF _Toc26145 \h </w:instrText>
      </w:r>
      <w:r>
        <w:rPr>
          <w:sz w:val="32"/>
          <w:szCs w:val="32"/>
        </w:rPr>
        <w:fldChar w:fldCharType="separate"/>
      </w:r>
      <w:r>
        <w:rPr>
          <w:sz w:val="32"/>
          <w:szCs w:val="32"/>
        </w:rPr>
        <w:t>44</w:t>
      </w:r>
      <w:r>
        <w:rPr>
          <w:sz w:val="32"/>
          <w:szCs w:val="32"/>
        </w:rPr>
        <w:fldChar w:fldCharType="end"/>
      </w:r>
      <w:r>
        <w:rPr>
          <w:rFonts w:hint="default"/>
          <w:sz w:val="32"/>
          <w:szCs w:val="32"/>
          <w:lang w:val="en-US" w:eastAsia="zh-CN"/>
        </w:rPr>
        <w:fldChar w:fldCharType="end"/>
      </w:r>
    </w:p>
    <w:p w14:paraId="6DC4950B">
      <w:pPr>
        <w:pStyle w:val="12"/>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_Toc6398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（四）项目管理方面存在的问题及建议</w:t>
      </w:r>
      <w:r>
        <w:rPr>
          <w:sz w:val="32"/>
          <w:szCs w:val="32"/>
        </w:rPr>
        <w:tab/>
      </w:r>
      <w:r>
        <w:rPr>
          <w:sz w:val="32"/>
          <w:szCs w:val="32"/>
        </w:rPr>
        <w:fldChar w:fldCharType="begin"/>
      </w:r>
      <w:r>
        <w:rPr>
          <w:sz w:val="32"/>
          <w:szCs w:val="32"/>
        </w:rPr>
        <w:instrText xml:space="preserve"> PAGEREF _Toc6398 \h </w:instrText>
      </w:r>
      <w:r>
        <w:rPr>
          <w:sz w:val="32"/>
          <w:szCs w:val="32"/>
        </w:rPr>
        <w:fldChar w:fldCharType="separate"/>
      </w:r>
      <w:r>
        <w:rPr>
          <w:sz w:val="32"/>
          <w:szCs w:val="32"/>
        </w:rPr>
        <w:t>49</w:t>
      </w:r>
      <w:r>
        <w:rPr>
          <w:sz w:val="32"/>
          <w:szCs w:val="32"/>
        </w:rPr>
        <w:fldChar w:fldCharType="end"/>
      </w:r>
      <w:r>
        <w:rPr>
          <w:rFonts w:hint="default"/>
          <w:sz w:val="32"/>
          <w:szCs w:val="32"/>
          <w:lang w:val="en-US" w:eastAsia="zh-CN"/>
        </w:rPr>
        <w:fldChar w:fldCharType="end"/>
      </w:r>
    </w:p>
    <w:p w14:paraId="187F3311">
      <w:pPr>
        <w:keepNext w:val="0"/>
        <w:keepLines w:val="0"/>
        <w:pageBreakBefore w:val="0"/>
        <w:widowControl/>
        <w:tabs>
          <w:tab w:val="left" w:pos="475"/>
        </w:tabs>
        <w:kinsoku/>
        <w:wordWrap/>
        <w:overflowPunct/>
        <w:topLinePunct w:val="0"/>
        <w:autoSpaceDE/>
        <w:autoSpaceDN/>
        <w:bidi w:val="0"/>
        <w:adjustRightInd/>
        <w:snapToGrid/>
        <w:spacing w:line="560" w:lineRule="exact"/>
        <w:ind w:left="0" w:leftChars="0"/>
        <w:textAlignment w:val="auto"/>
        <w:rPr>
          <w:rFonts w:hint="default"/>
          <w:sz w:val="28"/>
          <w:szCs w:val="28"/>
          <w:lang w:val="en-US" w:eastAsia="zh-CN"/>
        </w:rPr>
      </w:pPr>
      <w:r>
        <w:rPr>
          <w:rFonts w:hint="default"/>
          <w:sz w:val="32"/>
          <w:szCs w:val="32"/>
          <w:lang w:val="en-US" w:eastAsia="zh-CN"/>
        </w:rPr>
        <w:fldChar w:fldCharType="end"/>
      </w:r>
    </w:p>
    <w:p w14:paraId="3A22C949">
      <w:pPr>
        <w:pStyle w:val="12"/>
        <w:tabs>
          <w:tab w:val="left" w:pos="2694"/>
        </w:tabs>
        <w:rPr>
          <w:rFonts w:hint="default" w:asciiTheme="minorHAnsi" w:hAnsiTheme="minorHAnsi" w:eastAsiaTheme="minorEastAsia" w:cstheme="minorBidi"/>
          <w:kern w:val="0"/>
          <w:sz w:val="28"/>
          <w:szCs w:val="28"/>
          <w:lang w:val="en-US" w:eastAsia="zh-CN" w:bidi="ar"/>
        </w:rPr>
      </w:pPr>
    </w:p>
    <w:p w14:paraId="29A8E3AA">
      <w:pPr>
        <w:bidi w:val="0"/>
        <w:rPr>
          <w:rFonts w:hint="default"/>
          <w:lang w:val="en-US" w:eastAsia="zh-CN"/>
        </w:rPr>
      </w:pPr>
    </w:p>
    <w:p w14:paraId="4B94CFB4">
      <w:pPr>
        <w:tabs>
          <w:tab w:val="left" w:pos="7025"/>
        </w:tabs>
        <w:bidi w:val="0"/>
        <w:jc w:val="left"/>
        <w:rPr>
          <w:rFonts w:hint="default"/>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32" w:charSpace="0"/>
        </w:sectPr>
      </w:pPr>
    </w:p>
    <w:p w14:paraId="5458CDB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2024年中共雁峰区委党史研究室（雁峰区地方志编纂室）部门整体支出绩效评价报告</w:t>
      </w:r>
    </w:p>
    <w:p w14:paraId="37C826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（征求意见稿）</w:t>
      </w:r>
    </w:p>
    <w:p w14:paraId="0D2B0E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lang w:eastAsia="zh-CN"/>
        </w:rPr>
        <w:t>字[202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]第</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号</w:t>
      </w:r>
    </w:p>
    <w:p w14:paraId="37281F0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雁峰区财政局：</w:t>
      </w:r>
    </w:p>
    <w:p w14:paraId="3706103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接受委托，对2024年中共雁峰区委党史研究室（雁峰区地方志编纂室）（以下简称“区委党史研究室”）的部门整体支出进行了绩效评价。建立健全内部控制制度，保护资金与资产的安全和完整，保证会计资料和其他绩效评价的相关资料的真实性、合法性和完整性，是区委党史研究室的责任。我们的责任是在区委党史研究室提供资料基础上，对2024年的部门整体支出绩效进行评价。</w:t>
      </w:r>
    </w:p>
    <w:p w14:paraId="25E124A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在评价过程中，我们按照《中国注册会计师执业准则》相关规定进行，根据独立、客观、公正的原则，实施了包括听取情况介绍、进行实地核查、发放调查问卷、对照复核等方式，对有关情况和基础材料进行核实与分析等我们认为必要的评价程序。绩效评价工作已完成，现报告如下</w:t>
      </w:r>
      <w:bookmarkStart w:id="0" w:name="_Toc11075"/>
      <w:r>
        <w:rPr>
          <w:rFonts w:hint="eastAsia" w:ascii="仿宋" w:hAnsi="仿宋" w:eastAsia="仿宋" w:cs="仿宋"/>
          <w:sz w:val="32"/>
          <w:szCs w:val="32"/>
          <w:lang w:val="en-US" w:eastAsia="zh-CN"/>
        </w:rPr>
        <w:t>：</w:t>
      </w:r>
    </w:p>
    <w:p w14:paraId="06A2E68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仿宋" w:hAnsi="仿宋" w:eastAsia="仿宋" w:cs="仿宋"/>
          <w:sz w:val="32"/>
          <w:szCs w:val="32"/>
        </w:rPr>
      </w:pPr>
      <w:bookmarkStart w:id="1" w:name="_Toc20127"/>
      <w:bookmarkStart w:id="2" w:name="_Toc451"/>
      <w:bookmarkStart w:id="3" w:name="_Toc9891"/>
      <w:bookmarkStart w:id="4" w:name="_Toc18591"/>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绩效评价基本</w:t>
      </w:r>
      <w:r>
        <w:rPr>
          <w:rFonts w:hint="eastAsia" w:ascii="黑体" w:hAnsi="黑体" w:eastAsia="黑体" w:cs="黑体"/>
          <w:sz w:val="32"/>
          <w:szCs w:val="32"/>
        </w:rPr>
        <w:t>情况</w:t>
      </w:r>
      <w:bookmarkEnd w:id="1"/>
      <w:bookmarkEnd w:id="2"/>
      <w:bookmarkEnd w:id="3"/>
      <w:bookmarkEnd w:id="4"/>
    </w:p>
    <w:p w14:paraId="296ED30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5" w:name="_Toc13350"/>
      <w:bookmarkStart w:id="6" w:name="_Toc26464"/>
      <w:bookmarkStart w:id="7" w:name="_Toc3904"/>
      <w:bookmarkStart w:id="8" w:name="_Toc2812"/>
      <w:bookmarkStart w:id="9" w:name="_Toc3257"/>
      <w:r>
        <w:rPr>
          <w:rFonts w:hint="eastAsia" w:ascii="楷体" w:hAnsi="楷体" w:eastAsia="楷体" w:cs="楷体"/>
          <w:b/>
          <w:bCs/>
          <w:sz w:val="32"/>
          <w:szCs w:val="32"/>
        </w:rPr>
        <w:t>（一）</w:t>
      </w:r>
      <w:r>
        <w:rPr>
          <w:rFonts w:hint="eastAsia" w:ascii="楷体" w:hAnsi="楷体" w:eastAsia="楷体" w:cs="楷体"/>
          <w:b/>
          <w:bCs/>
          <w:sz w:val="32"/>
          <w:szCs w:val="32"/>
          <w:lang w:val="en-US" w:eastAsia="zh-CN"/>
        </w:rPr>
        <w:t>评价</w:t>
      </w:r>
      <w:r>
        <w:rPr>
          <w:rFonts w:hint="eastAsia" w:ascii="楷体" w:hAnsi="楷体" w:eastAsia="楷体" w:cs="楷体"/>
          <w:b/>
          <w:bCs/>
          <w:sz w:val="32"/>
          <w:szCs w:val="32"/>
        </w:rPr>
        <w:t>对象和范围</w:t>
      </w:r>
      <w:bookmarkEnd w:id="5"/>
      <w:bookmarkEnd w:id="6"/>
      <w:bookmarkEnd w:id="7"/>
      <w:bookmarkEnd w:id="8"/>
      <w:bookmarkEnd w:id="9"/>
    </w:p>
    <w:p w14:paraId="38897D7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bookmarkStart w:id="10" w:name="_Toc7691"/>
      <w:bookmarkStart w:id="11" w:name="_Toc29635"/>
      <w:bookmarkStart w:id="12" w:name="_Toc8069"/>
      <w:r>
        <w:rPr>
          <w:rFonts w:hint="eastAsia" w:ascii="仿宋" w:hAnsi="仿宋" w:eastAsia="仿宋" w:cs="仿宋"/>
          <w:sz w:val="32"/>
          <w:szCs w:val="32"/>
          <w:lang w:val="en-US" w:eastAsia="zh-CN"/>
        </w:rPr>
        <w:t>评价对象为2024年中共雁峰区委党史研究室（雁峰区地方志编纂室）整体支出绩效。评价范围包括但不限于目标设定、预算配置、预算执行情况、预算管理、职责履行、履职效益和新增财政支出、一般性支出、会议支出、办公经费支出、机构编制和工资管理、厉行节约保障措施等方面的执行情况及其政策效果，以及项目支出的管理、使用、结余、效益情况。</w:t>
      </w:r>
    </w:p>
    <w:bookmarkEnd w:id="10"/>
    <w:bookmarkEnd w:id="11"/>
    <w:bookmarkEnd w:id="12"/>
    <w:p w14:paraId="01F7046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3" w:name="_Toc19326"/>
      <w:bookmarkStart w:id="14" w:name="_Toc1228"/>
      <w:bookmarkStart w:id="15" w:name="_Toc7231"/>
      <w:bookmarkStart w:id="16" w:name="_Toc24072"/>
      <w:bookmarkStart w:id="17" w:name="_Toc25241"/>
      <w:bookmarkStart w:id="18" w:name="_Toc4694"/>
      <w:bookmarkStart w:id="19" w:name="_Hlk172128948"/>
      <w:r>
        <w:rPr>
          <w:rFonts w:hint="eastAsia" w:ascii="楷体" w:hAnsi="楷体" w:eastAsia="楷体" w:cs="楷体"/>
          <w:b/>
          <w:bCs/>
          <w:sz w:val="32"/>
          <w:szCs w:val="32"/>
        </w:rPr>
        <w:t>（二）</w:t>
      </w:r>
      <w:r>
        <w:rPr>
          <w:rFonts w:hint="eastAsia" w:ascii="楷体" w:hAnsi="楷体" w:eastAsia="楷体" w:cs="楷体"/>
          <w:b/>
          <w:bCs/>
          <w:sz w:val="32"/>
          <w:szCs w:val="32"/>
          <w:lang w:val="en-US" w:eastAsia="zh-CN"/>
        </w:rPr>
        <w:t>评价</w:t>
      </w:r>
      <w:r>
        <w:rPr>
          <w:rFonts w:hint="eastAsia" w:ascii="楷体" w:hAnsi="楷体" w:eastAsia="楷体" w:cs="楷体"/>
          <w:b/>
          <w:bCs/>
          <w:sz w:val="32"/>
          <w:szCs w:val="32"/>
        </w:rPr>
        <w:t>依据</w:t>
      </w:r>
      <w:bookmarkEnd w:id="13"/>
      <w:bookmarkEnd w:id="14"/>
    </w:p>
    <w:p w14:paraId="440F949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1、《中共中央 国务院关于全面实施预算绩效管理的意见》（中发〔2018〕34号）；</w:t>
      </w:r>
    </w:p>
    <w:p w14:paraId="115C529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2、《中共湖南省委办公厅 湖南省人民政府办公厅关于全面实施预算绩效管理的实施意见》（湘办发〔2019〕10号）；</w:t>
      </w:r>
    </w:p>
    <w:p w14:paraId="3E98E25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3、《财政部关于印发〈项目支出绩效评价管理办法〉的通知》（财预〔2020〕10号）。</w:t>
      </w:r>
    </w:p>
    <w:p w14:paraId="61B01B0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4、财政部</w:t>
      </w:r>
      <w:r>
        <w:rPr>
          <w:rFonts w:hint="eastAsia" w:ascii="仿宋" w:hAnsi="仿宋" w:eastAsia="仿宋" w:cs="仿宋"/>
          <w:sz w:val="32"/>
          <w:szCs w:val="32"/>
          <w:lang w:val="en-US" w:eastAsia="zh-CN"/>
        </w:rPr>
        <w:t>关于印发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地方政府债券发行管理办法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财库</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43号。</w:t>
      </w:r>
    </w:p>
    <w:p w14:paraId="10591D6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5、《中华人民共和国预算法》</w:t>
      </w:r>
    </w:p>
    <w:p w14:paraId="41EE5B3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6、《财政专项资金管理办法》</w:t>
      </w:r>
    </w:p>
    <w:p w14:paraId="3484957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7、关于印发《衡阳市市直机关会议费管理办法》的通知衡财行〔2018〕463号。</w:t>
      </w:r>
    </w:p>
    <w:p w14:paraId="1D9D346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8、关于印发《行政事业单位内部控制规范（试行）》的通知财会〔2012〕21号。</w:t>
      </w:r>
    </w:p>
    <w:p w14:paraId="65B1880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9、事业单位国有资产管理暂行办法（2019修订）。</w:t>
      </w:r>
    </w:p>
    <w:p w14:paraId="5B5913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10、关于印发《湖南省省直党政机关和参公事业单位国有资产管理办法》的通知湘政办发〔2021〕59号。</w:t>
      </w:r>
    </w:p>
    <w:p w14:paraId="732CB37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11、关于印发《衡阳市市直行政事业单位国有资产配置管理办法》的通知衡财资〔2021〕482号。</w:t>
      </w:r>
    </w:p>
    <w:p w14:paraId="03BC596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12、关于印发《湖南省省级行政事业单位通用办公设备和办公家具配置限额标准》的通知湘政资〔2020〕15号。</w:t>
      </w:r>
    </w:p>
    <w:p w14:paraId="45C359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13、关于修改《事业单位国有资产管理暂行办法》的决定财政部令第100号。</w:t>
      </w:r>
    </w:p>
    <w:p w14:paraId="1B8A45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14、关于印发《衡阳市市直机关差旅费管理办法》的通知衡财行〔2019〕248号。</w:t>
      </w:r>
    </w:p>
    <w:p w14:paraId="485AD99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15、违反中央八项规定精神问题月报数据填报说明。</w:t>
      </w:r>
    </w:p>
    <w:p w14:paraId="1716410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16、党政机关厉行节约反对浪费条例2013。</w:t>
      </w:r>
    </w:p>
    <w:p w14:paraId="78BDD7E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17、中央八项规定中对国家公职人员涉及财务的80项禁止行为。</w:t>
      </w:r>
    </w:p>
    <w:p w14:paraId="4AF8A4B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18、关于《明确市直党政机关公务活动用餐有关事项》的通知衡财行〔2018〕467号。</w:t>
      </w:r>
    </w:p>
    <w:p w14:paraId="649A8CC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19、衡阳市市直机关培训费管理办法衡财行[2017]409号。</w:t>
      </w:r>
    </w:p>
    <w:p w14:paraId="6E99A58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衡阳市财政局文件衡财行[2018]467号关于明确市直党政机关公务活动用餐有关事项的通知。</w:t>
      </w:r>
    </w:p>
    <w:p w14:paraId="14F1D9C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21、中共衡阳市委办公室 衡阳市人民政府办公室文件衡办发[2025]6号《衡阳市委党政机关国内公务接待管理办法》的通知。</w:t>
      </w:r>
    </w:p>
    <w:p w14:paraId="0879600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22、</w:t>
      </w:r>
      <w:r>
        <w:rPr>
          <w:rFonts w:hint="eastAsia" w:ascii="仿宋" w:hAnsi="仿宋" w:eastAsia="仿宋" w:cs="仿宋"/>
          <w:sz w:val="32"/>
          <w:szCs w:val="32"/>
          <w:lang w:eastAsia="zh-CN"/>
        </w:rPr>
        <w:t>预算批复时确定的绩效目标及指标，预算部门年度预算执行情况，年度决算报告等相关材料。</w:t>
      </w:r>
    </w:p>
    <w:p w14:paraId="372150B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23、</w:t>
      </w:r>
      <w:r>
        <w:rPr>
          <w:rFonts w:hint="eastAsia" w:ascii="仿宋" w:hAnsi="仿宋" w:eastAsia="仿宋" w:cs="仿宋"/>
          <w:sz w:val="32"/>
          <w:szCs w:val="32"/>
          <w:lang w:eastAsia="zh-CN"/>
        </w:rPr>
        <w:t>其他与本次</w:t>
      </w:r>
      <w:r>
        <w:rPr>
          <w:rFonts w:hint="eastAsia" w:ascii="仿宋" w:hAnsi="仿宋" w:eastAsia="仿宋" w:cs="仿宋"/>
          <w:sz w:val="32"/>
          <w:szCs w:val="32"/>
          <w:lang w:val="en-US" w:eastAsia="zh-CN"/>
        </w:rPr>
        <w:t>绩效评价</w:t>
      </w:r>
      <w:r>
        <w:rPr>
          <w:rFonts w:hint="eastAsia" w:ascii="仿宋" w:hAnsi="仿宋" w:eastAsia="仿宋" w:cs="仿宋"/>
          <w:sz w:val="32"/>
          <w:szCs w:val="32"/>
          <w:lang w:eastAsia="zh-CN"/>
        </w:rPr>
        <w:t>有关的政策文件。</w:t>
      </w:r>
    </w:p>
    <w:p w14:paraId="48846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1"/>
        <w:rPr>
          <w:rFonts w:hint="default" w:ascii="楷体" w:hAnsi="楷体" w:eastAsia="楷体" w:cs="楷体"/>
          <w:b/>
          <w:bCs/>
          <w:sz w:val="32"/>
          <w:szCs w:val="32"/>
          <w:lang w:val="en-US"/>
        </w:rPr>
      </w:pPr>
      <w:bookmarkStart w:id="20" w:name="_Toc13202"/>
      <w:r>
        <w:rPr>
          <w:rFonts w:hint="eastAsia" w:ascii="楷体" w:hAnsi="楷体" w:eastAsia="楷体" w:cs="楷体"/>
          <w:b/>
          <w:bCs/>
          <w:sz w:val="32"/>
          <w:szCs w:val="32"/>
        </w:rPr>
        <w:t>（三）</w:t>
      </w:r>
      <w:bookmarkEnd w:id="15"/>
      <w:bookmarkEnd w:id="16"/>
      <w:r>
        <w:rPr>
          <w:rFonts w:hint="eastAsia" w:ascii="楷体" w:hAnsi="楷体" w:eastAsia="楷体" w:cs="楷体"/>
          <w:b/>
          <w:bCs/>
          <w:sz w:val="32"/>
          <w:szCs w:val="32"/>
          <w:lang w:val="en-US" w:eastAsia="zh-CN"/>
        </w:rPr>
        <w:t>评价方法和目的</w:t>
      </w:r>
      <w:bookmarkEnd w:id="17"/>
      <w:bookmarkEnd w:id="18"/>
      <w:bookmarkEnd w:id="20"/>
    </w:p>
    <w:p w14:paraId="00E5F1E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我们</w:t>
      </w:r>
      <w:r>
        <w:rPr>
          <w:rFonts w:hint="eastAsia" w:ascii="仿宋" w:hAnsi="仿宋" w:eastAsia="仿宋" w:cs="仿宋"/>
          <w:sz w:val="32"/>
          <w:szCs w:val="32"/>
          <w:lang w:eastAsia="zh-CN"/>
        </w:rPr>
        <w:t>通过</w:t>
      </w:r>
      <w:r>
        <w:rPr>
          <w:rFonts w:hint="eastAsia" w:ascii="仿宋" w:hAnsi="仿宋" w:eastAsia="仿宋" w:cs="仿宋"/>
          <w:sz w:val="32"/>
          <w:szCs w:val="32"/>
          <w:lang w:val="en-US" w:eastAsia="zh-CN"/>
        </w:rPr>
        <w:t>听取情况介绍、进行实地核查、发放调查问卷、对照复核及分析等方式，对区委党史研究室提供的相关资料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进行核对与审查，分析与评价内部管理及控制情况，贯彻落实厉行节约、严控“三公”经费、降低一般运行经费、加强项目支出管理、核实资金结余情况，</w:t>
      </w:r>
      <w:r>
        <w:rPr>
          <w:rFonts w:hint="eastAsia" w:ascii="仿宋" w:hAnsi="仿宋" w:eastAsia="仿宋" w:cs="仿宋"/>
          <w:sz w:val="32"/>
          <w:szCs w:val="32"/>
          <w:highlight w:val="none"/>
          <w:lang w:val="en-US" w:eastAsia="zh-CN"/>
        </w:rPr>
        <w:t>强化政府责任与透明度，全面衡量公共资金使用的经济性、效率性、效益性和可持续性，系统性地检视资金使用全流程，确保公共资源发挥</w:t>
      </w:r>
      <w:r>
        <w:rPr>
          <w:rFonts w:hint="eastAsia" w:ascii="仿宋" w:hAnsi="仿宋" w:eastAsia="仿宋" w:cs="仿宋"/>
          <w:sz w:val="32"/>
          <w:szCs w:val="32"/>
          <w:lang w:val="en-US" w:eastAsia="zh-CN"/>
        </w:rPr>
        <w:t>最大价值，同时为政策调整和预算优化提供依据。</w:t>
      </w:r>
    </w:p>
    <w:bookmarkEnd w:id="0"/>
    <w:bookmarkEnd w:id="19"/>
    <w:p w14:paraId="545E3D7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lang w:eastAsia="zh-CN"/>
        </w:rPr>
      </w:pPr>
      <w:bookmarkStart w:id="21" w:name="_Toc1051"/>
      <w:bookmarkStart w:id="22" w:name="_Toc32697"/>
      <w:bookmarkStart w:id="23" w:name="_Toc21063"/>
      <w:r>
        <w:rPr>
          <w:rFonts w:hint="eastAsia" w:ascii="黑体" w:hAnsi="黑体" w:eastAsia="黑体" w:cs="黑体"/>
          <w:sz w:val="32"/>
          <w:szCs w:val="32"/>
          <w:lang w:val="en-US" w:eastAsia="zh-CN"/>
        </w:rPr>
        <w:t>部门基本</w:t>
      </w:r>
      <w:r>
        <w:rPr>
          <w:rFonts w:hint="eastAsia" w:ascii="黑体" w:hAnsi="黑体" w:eastAsia="黑体" w:cs="黑体"/>
          <w:sz w:val="32"/>
          <w:szCs w:val="32"/>
          <w:lang w:eastAsia="zh-CN"/>
        </w:rPr>
        <w:t>情况</w:t>
      </w:r>
      <w:bookmarkEnd w:id="21"/>
      <w:bookmarkEnd w:id="22"/>
      <w:bookmarkEnd w:id="23"/>
    </w:p>
    <w:p w14:paraId="699D27C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4" w:name="_Toc6815"/>
      <w:r>
        <w:rPr>
          <w:rFonts w:hint="eastAsia" w:ascii="楷体" w:hAnsi="楷体" w:eastAsia="楷体" w:cs="楷体"/>
          <w:b/>
          <w:bCs/>
          <w:sz w:val="32"/>
          <w:szCs w:val="32"/>
          <w:lang w:eastAsia="zh-CN"/>
        </w:rPr>
        <w:t>部门</w:t>
      </w:r>
      <w:r>
        <w:rPr>
          <w:rFonts w:hint="eastAsia" w:ascii="楷体" w:hAnsi="楷体" w:eastAsia="楷体" w:cs="楷体"/>
          <w:b/>
          <w:bCs/>
          <w:sz w:val="32"/>
          <w:szCs w:val="32"/>
          <w:lang w:val="en-US" w:eastAsia="zh-CN"/>
        </w:rPr>
        <w:t>基本信息</w:t>
      </w:r>
      <w:bookmarkEnd w:id="24"/>
    </w:p>
    <w:p w14:paraId="5B89EDA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楷体" w:hAnsi="楷体" w:eastAsia="楷体" w:cs="楷体"/>
          <w:b/>
          <w:bCs/>
          <w:sz w:val="32"/>
          <w:szCs w:val="32"/>
          <w:lang w:val="en-US" w:eastAsia="zh-CN"/>
        </w:rPr>
      </w:pPr>
      <w:r>
        <w:rPr>
          <w:rFonts w:hint="default" w:ascii="仿宋" w:hAnsi="仿宋" w:eastAsia="仿宋" w:cs="仿宋"/>
          <w:sz w:val="32"/>
          <w:szCs w:val="32"/>
          <w:lang w:val="en-US" w:eastAsia="zh-CN"/>
        </w:rPr>
        <w:t>统一社会信用代码</w:t>
      </w:r>
      <w:r>
        <w:rPr>
          <w:rFonts w:hint="eastAsia" w:ascii="仿宋" w:hAnsi="仿宋" w:eastAsia="仿宋" w:cs="仿宋"/>
          <w:sz w:val="32"/>
          <w:szCs w:val="32"/>
          <w:lang w:val="en-US" w:eastAsia="zh-CN"/>
        </w:rPr>
        <w:t>：12430403MB1B1544X8，</w:t>
      </w:r>
      <w:r>
        <w:rPr>
          <w:rFonts w:hint="default" w:ascii="仿宋" w:hAnsi="仿宋" w:eastAsia="仿宋" w:cs="仿宋"/>
          <w:sz w:val="32"/>
          <w:szCs w:val="32"/>
          <w:lang w:val="en-US" w:eastAsia="zh-CN"/>
        </w:rPr>
        <w:t>预算级次</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县区级</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单位预算级次</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一级预算单位</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单位经费保障方式</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全额</w:t>
      </w:r>
      <w:r>
        <w:rPr>
          <w:rFonts w:hint="eastAsia" w:ascii="仿宋" w:hAnsi="仿宋" w:eastAsia="仿宋" w:cs="仿宋"/>
          <w:sz w:val="32"/>
          <w:szCs w:val="32"/>
          <w:lang w:val="en-US" w:eastAsia="zh-CN"/>
        </w:rPr>
        <w:t>。</w:t>
      </w:r>
    </w:p>
    <w:p w14:paraId="51B9B13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highlight w:val="none"/>
          <w:lang w:val="en-US" w:eastAsia="zh-CN"/>
        </w:rPr>
      </w:pPr>
      <w:bookmarkStart w:id="25" w:name="_Toc5991"/>
      <w:r>
        <w:rPr>
          <w:rFonts w:hint="eastAsia" w:ascii="楷体" w:hAnsi="楷体" w:eastAsia="楷体" w:cs="楷体"/>
          <w:b/>
          <w:bCs/>
          <w:sz w:val="32"/>
          <w:szCs w:val="32"/>
          <w:highlight w:val="none"/>
          <w:lang w:eastAsia="zh-CN"/>
        </w:rPr>
        <w:t>（</w:t>
      </w:r>
      <w:r>
        <w:rPr>
          <w:rFonts w:hint="eastAsia" w:ascii="楷体" w:hAnsi="楷体" w:eastAsia="楷体" w:cs="楷体"/>
          <w:b/>
          <w:bCs/>
          <w:sz w:val="32"/>
          <w:szCs w:val="32"/>
          <w:highlight w:val="none"/>
          <w:lang w:val="en-US" w:eastAsia="zh-CN"/>
        </w:rPr>
        <w:t>二</w:t>
      </w:r>
      <w:r>
        <w:rPr>
          <w:rFonts w:hint="eastAsia" w:ascii="楷体" w:hAnsi="楷体" w:eastAsia="楷体" w:cs="楷体"/>
          <w:b/>
          <w:bCs/>
          <w:sz w:val="32"/>
          <w:szCs w:val="32"/>
          <w:highlight w:val="none"/>
          <w:lang w:eastAsia="zh-CN"/>
        </w:rPr>
        <w:t>）部门</w:t>
      </w:r>
      <w:r>
        <w:rPr>
          <w:rFonts w:hint="eastAsia" w:ascii="楷体" w:hAnsi="楷体" w:eastAsia="楷体" w:cs="楷体"/>
          <w:b/>
          <w:bCs/>
          <w:sz w:val="32"/>
          <w:szCs w:val="32"/>
          <w:highlight w:val="none"/>
          <w:lang w:val="en-US" w:eastAsia="zh-CN"/>
        </w:rPr>
        <w:t>主要职责</w:t>
      </w:r>
      <w:bookmarkEnd w:id="25"/>
    </w:p>
    <w:p w14:paraId="7602382F">
      <w:pPr>
        <w:keepNext w:val="0"/>
        <w:keepLines w:val="0"/>
        <w:pageBreakBefore w:val="0"/>
        <w:widowControl/>
        <w:kinsoku/>
        <w:wordWrap/>
        <w:overflowPunct/>
        <w:topLinePunct w:val="0"/>
        <w:autoSpaceDE/>
        <w:autoSpaceDN/>
        <w:bidi w:val="0"/>
        <w:adjustRightInd w:val="0"/>
        <w:snapToGrid w:val="0"/>
        <w:spacing w:after="0" w:line="600" w:lineRule="exact"/>
        <w:ind w:firstLine="643"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1.区委党史研究室</w:t>
      </w:r>
      <w:r>
        <w:rPr>
          <w:rFonts w:hint="eastAsia" w:ascii="仿宋" w:hAnsi="仿宋" w:eastAsia="仿宋" w:cs="仿宋"/>
          <w:b/>
          <w:bCs/>
          <w:sz w:val="32"/>
          <w:szCs w:val="32"/>
          <w:lang w:eastAsia="zh-CN"/>
        </w:rPr>
        <w:t>主要职责是：</w:t>
      </w:r>
      <w:r>
        <w:rPr>
          <w:rFonts w:hint="eastAsia" w:ascii="仿宋" w:hAnsi="仿宋" w:eastAsia="仿宋" w:cs="仿宋"/>
          <w:b w:val="0"/>
          <w:bCs w:val="0"/>
          <w:sz w:val="32"/>
          <w:szCs w:val="32"/>
          <w:lang w:eastAsia="zh-CN"/>
        </w:rPr>
        <w:t>（1）</w:t>
      </w:r>
      <w:r>
        <w:rPr>
          <w:rFonts w:hint="default" w:ascii="仿宋" w:hAnsi="仿宋" w:eastAsia="仿宋" w:cs="仿宋"/>
          <w:b w:val="0"/>
          <w:bCs w:val="0"/>
          <w:sz w:val="32"/>
          <w:szCs w:val="32"/>
          <w:lang w:val="en-US" w:eastAsia="zh-CN"/>
        </w:rPr>
        <w:t>在区委、区政府领导下，认真贯彻落实党和国家有关党史、地方志工作的方针、政策；规划、组织、协调全区党史和地方志工作。</w:t>
      </w:r>
      <w:r>
        <w:rPr>
          <w:rFonts w:hint="eastAsia" w:ascii="仿宋" w:hAnsi="仿宋" w:eastAsia="仿宋" w:cs="仿宋"/>
          <w:b w:val="0"/>
          <w:bCs w:val="0"/>
          <w:sz w:val="32"/>
          <w:szCs w:val="32"/>
          <w:lang w:val="en-US" w:eastAsia="zh-CN"/>
        </w:rPr>
        <w:t>（2）承担全区党史、地方志、地情资料的征集、整理和编辑工作；向上级业务部门和有关部门提供全区党史、地方志和区情资料；负责《雁峰区志》《中国共产党雁峰区历史》的编辑、出版及修订等工作；负责区委执政纪事、党史大事记及地方综合年鉴的编纂、出版等工作；负责组织编纂出版老同志回忆录以及党史地情普及教育读物等；编辑审核有关党史、地方志信息，整理地方旧志，组织文献研究；研究地方党史，总结历史经验，提供历史借鉴。（3）</w:t>
      </w:r>
      <w:r>
        <w:rPr>
          <w:rFonts w:hint="default" w:ascii="仿宋" w:hAnsi="仿宋" w:eastAsia="仿宋" w:cs="仿宋"/>
          <w:b w:val="0"/>
          <w:bCs w:val="0"/>
          <w:sz w:val="32"/>
          <w:szCs w:val="32"/>
          <w:lang w:eastAsia="zh-CN"/>
        </w:rPr>
        <w:t>开展党史宣传教育和读志用志工作。抓好党史资料征编，妥善保存党的历史财富。</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w:t>
      </w:r>
      <w:r>
        <w:rPr>
          <w:rFonts w:hint="default" w:ascii="仿宋" w:hAnsi="仿宋" w:eastAsia="仿宋" w:cs="仿宋"/>
          <w:b w:val="0"/>
          <w:bCs w:val="0"/>
          <w:sz w:val="32"/>
          <w:szCs w:val="32"/>
          <w:lang w:eastAsia="zh-CN"/>
        </w:rPr>
        <w:t>加强党史遗址保护利用，做好纪念场馆建设和管理工作。负责全区革命遗址的普查、保护、管理和利用；负责革命遗址、红色旅游纪念地史料的收集、送审或认定；负责征集党史资料和革命文物。</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）组织党史、地方志学术研讨活动，开展党史、地方志学术交流。组织党史、地方志工作人员参加业务培训，提高党史地方志队伍整体素质。（</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lang w:eastAsia="zh-CN"/>
        </w:rPr>
        <w:t>）负责全区党史联络工作的组织、协调；负责老干部回忆录的征集、整理、出版；动员和组织广大老干部参与党史工作；承担区委党史联络组活动的具体组织和日常服务工作。（</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lang w:eastAsia="zh-CN"/>
        </w:rPr>
        <w:t>）负责拟订全区地方志工作规划，制定各项规范及管理办法，并组织实施。对基层志书的编写进行指导和审定。（</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lang w:eastAsia="zh-CN"/>
        </w:rPr>
        <w:t>）参与组织开发利用地方志资源。（</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lang w:eastAsia="zh-CN"/>
        </w:rPr>
        <w:t>）完成区委和上级部门交办的其他任务。</w:t>
      </w:r>
    </w:p>
    <w:p w14:paraId="43188FD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lang w:eastAsia="zh-CN"/>
        </w:rPr>
      </w:pPr>
      <w:bookmarkStart w:id="26" w:name="_Toc5633"/>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部门</w:t>
      </w:r>
      <w:r>
        <w:rPr>
          <w:rFonts w:hint="eastAsia" w:ascii="楷体" w:hAnsi="楷体" w:eastAsia="楷体" w:cs="楷体"/>
          <w:b/>
          <w:bCs/>
          <w:sz w:val="32"/>
          <w:szCs w:val="32"/>
          <w:lang w:eastAsia="zh-CN"/>
        </w:rPr>
        <w:t>组织架构与人员</w:t>
      </w:r>
      <w:bookmarkEnd w:id="26"/>
    </w:p>
    <w:p w14:paraId="044C524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1.内部机构设置</w:t>
      </w:r>
    </w:p>
    <w:p w14:paraId="2D851A9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bCs/>
          <w:kern w:val="0"/>
          <w:sz w:val="32"/>
          <w:szCs w:val="32"/>
          <w:highlight w:val="none"/>
          <w:lang w:eastAsia="zh-CN"/>
        </w:rPr>
      </w:pPr>
      <w:r>
        <w:rPr>
          <w:rFonts w:hint="eastAsia" w:ascii="仿宋" w:hAnsi="仿宋" w:eastAsia="仿宋"/>
          <w:bCs/>
          <w:kern w:val="0"/>
          <w:sz w:val="32"/>
          <w:szCs w:val="32"/>
          <w:highlight w:val="none"/>
          <w:lang w:eastAsia="zh-CN"/>
        </w:rPr>
        <w:t>区委党史研究室设置工作机构</w:t>
      </w:r>
      <w:r>
        <w:rPr>
          <w:rFonts w:hint="eastAsia" w:ascii="仿宋" w:hAnsi="仿宋" w:eastAsia="仿宋"/>
          <w:bCs/>
          <w:kern w:val="0"/>
          <w:sz w:val="32"/>
          <w:szCs w:val="32"/>
          <w:highlight w:val="none"/>
          <w:lang w:val="en-US" w:eastAsia="zh-CN"/>
        </w:rPr>
        <w:t>4</w:t>
      </w:r>
      <w:r>
        <w:rPr>
          <w:rFonts w:hint="eastAsia" w:ascii="仿宋" w:hAnsi="仿宋" w:eastAsia="仿宋"/>
          <w:bCs/>
          <w:kern w:val="0"/>
          <w:sz w:val="32"/>
          <w:szCs w:val="32"/>
          <w:highlight w:val="none"/>
          <w:lang w:eastAsia="zh-CN"/>
        </w:rPr>
        <w:t>个：</w:t>
      </w:r>
      <w:r>
        <w:rPr>
          <w:rFonts w:hint="default" w:ascii="仿宋" w:hAnsi="仿宋" w:eastAsia="仿宋"/>
          <w:bCs/>
          <w:kern w:val="0"/>
          <w:sz w:val="32"/>
          <w:szCs w:val="32"/>
          <w:highlight w:val="none"/>
          <w:lang w:eastAsia="zh-CN"/>
        </w:rPr>
        <w:t>（一）综合股。（二）党史征集研究股。（三）地方志编纂股。（四）党史联络宣教股。</w:t>
      </w:r>
    </w:p>
    <w:p w14:paraId="7DDE8EF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2.编制及实有人员</w:t>
      </w:r>
    </w:p>
    <w:p w14:paraId="6FC606E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lang w:val="en-US" w:eastAsia="zh-CN"/>
        </w:rPr>
        <w:t>截至2024年12月31日，区委党史研究室无退休</w:t>
      </w:r>
      <w:r>
        <w:rPr>
          <w:rFonts w:hint="eastAsia" w:ascii="仿宋" w:hAnsi="仿宋" w:eastAsia="仿宋" w:cs="仿宋"/>
          <w:sz w:val="32"/>
          <w:szCs w:val="32"/>
          <w:highlight w:val="none"/>
          <w:lang w:val="en-US" w:eastAsia="zh-CN"/>
        </w:rPr>
        <w:t>人员。</w:t>
      </w:r>
      <w:r>
        <w:rPr>
          <w:rFonts w:hint="eastAsia" w:ascii="仿宋" w:hAnsi="仿宋" w:eastAsia="仿宋" w:cs="仿宋"/>
          <w:sz w:val="32"/>
          <w:szCs w:val="32"/>
          <w:lang w:val="en-US" w:eastAsia="zh-CN"/>
        </w:rPr>
        <w:t>编制11个，在编在岗职工5人，其中2024年1月调入1科员万琴，6月科员肖洒调出。</w:t>
      </w:r>
      <w:r>
        <w:rPr>
          <w:rFonts w:hint="eastAsia" w:ascii="仿宋" w:hAnsi="仿宋" w:eastAsia="仿宋" w:cs="仿宋"/>
          <w:sz w:val="32"/>
          <w:szCs w:val="32"/>
          <w:highlight w:val="none"/>
          <w:lang w:val="en-US" w:eastAsia="zh-CN"/>
        </w:rPr>
        <w:t>人员控制率45.45%。</w:t>
      </w:r>
    </w:p>
    <w:p w14:paraId="01EBD23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lang w:val="en-US" w:eastAsia="zh-CN"/>
        </w:rPr>
      </w:pPr>
      <w:bookmarkStart w:id="27" w:name="_Toc22927"/>
      <w:r>
        <w:rPr>
          <w:rFonts w:hint="eastAsia" w:ascii="楷体" w:hAnsi="楷体" w:eastAsia="楷体" w:cs="楷体"/>
          <w:b/>
          <w:bCs/>
          <w:sz w:val="32"/>
          <w:szCs w:val="32"/>
          <w:lang w:val="en-US" w:eastAsia="zh-CN"/>
        </w:rPr>
        <w:t>部门2024年度职责履行及履职效益</w:t>
      </w:r>
      <w:bookmarkEnd w:id="27"/>
    </w:p>
    <w:p w14:paraId="2B36C9C4">
      <w:pPr>
        <w:pStyle w:val="5"/>
        <w:keepNext w:val="0"/>
        <w:keepLines w:val="0"/>
        <w:pageBreakBefore w:val="0"/>
        <w:widowControl w:val="0"/>
        <w:kinsoku/>
        <w:wordWrap/>
        <w:overflowPunct/>
        <w:topLinePunct w:val="0"/>
        <w:autoSpaceDE/>
        <w:autoSpaceDN/>
        <w:bidi w:val="0"/>
        <w:adjustRightInd/>
        <w:snapToGrid/>
        <w:spacing w:line="560" w:lineRule="exact"/>
        <w:ind w:right="0" w:firstLine="636" w:firstLineChars="200"/>
        <w:jc w:val="both"/>
        <w:textAlignment w:val="auto"/>
        <w:rPr>
          <w:rFonts w:hint="eastAsia" w:ascii="仿宋" w:hAnsi="仿宋" w:eastAsia="仿宋" w:cstheme="minorBidi"/>
          <w:b w:val="0"/>
          <w:bCs/>
          <w:kern w:val="0"/>
          <w:sz w:val="32"/>
          <w:szCs w:val="32"/>
          <w:highlight w:val="none"/>
          <w:lang w:val="en-US" w:eastAsia="zh-CN" w:bidi="ar"/>
        </w:rPr>
      </w:pPr>
      <w:r>
        <w:rPr>
          <w:rFonts w:hint="eastAsia" w:ascii="仿宋" w:hAnsi="仿宋" w:eastAsia="仿宋" w:cs="仿宋"/>
          <w:spacing w:val="-1"/>
          <w:sz w:val="32"/>
          <w:szCs w:val="32"/>
          <w:lang w:val="en-US" w:eastAsia="zh-CN"/>
        </w:rPr>
        <w:t>2</w:t>
      </w:r>
      <w:r>
        <w:rPr>
          <w:rFonts w:hint="eastAsia" w:ascii="仿宋" w:hAnsi="仿宋" w:eastAsia="仿宋" w:cstheme="minorBidi"/>
          <w:bCs/>
          <w:kern w:val="0"/>
          <w:sz w:val="32"/>
          <w:szCs w:val="32"/>
          <w:highlight w:val="none"/>
          <w:lang w:val="en-US" w:eastAsia="zh-CN" w:bidi="ar"/>
        </w:rPr>
        <w:t>024年区委党史研究室</w:t>
      </w:r>
      <w:r>
        <w:rPr>
          <w:rFonts w:hint="default" w:ascii="仿宋" w:hAnsi="仿宋" w:eastAsia="仿宋" w:cstheme="minorBidi"/>
          <w:bCs/>
          <w:kern w:val="0"/>
          <w:sz w:val="32"/>
          <w:szCs w:val="32"/>
          <w:highlight w:val="none"/>
          <w:lang w:val="en-US" w:eastAsia="zh-CN" w:bidi="ar"/>
        </w:rPr>
        <w:t>坚持以习近平新时代中国特色社会主义思想为指导，深入学习贯彻党的二十大</w:t>
      </w:r>
      <w:r>
        <w:rPr>
          <w:rFonts w:hint="eastAsia" w:ascii="仿宋" w:hAnsi="仿宋" w:eastAsia="仿宋" w:cstheme="minorBidi"/>
          <w:bCs/>
          <w:kern w:val="0"/>
          <w:sz w:val="32"/>
          <w:szCs w:val="32"/>
          <w:highlight w:val="none"/>
          <w:lang w:val="en-US" w:eastAsia="zh-CN" w:bidi="ar"/>
        </w:rPr>
        <w:t>、</w:t>
      </w:r>
      <w:r>
        <w:rPr>
          <w:rFonts w:hint="default" w:ascii="仿宋" w:hAnsi="仿宋" w:eastAsia="仿宋" w:cstheme="minorBidi"/>
          <w:bCs/>
          <w:kern w:val="0"/>
          <w:sz w:val="32"/>
          <w:szCs w:val="32"/>
          <w:highlight w:val="none"/>
          <w:lang w:val="en-US" w:eastAsia="zh-CN" w:bidi="ar"/>
        </w:rPr>
        <w:t>二十届三中全会</w:t>
      </w:r>
      <w:r>
        <w:rPr>
          <w:rFonts w:hint="eastAsia" w:ascii="仿宋" w:hAnsi="仿宋" w:eastAsia="仿宋" w:cstheme="minorBidi"/>
          <w:bCs/>
          <w:kern w:val="0"/>
          <w:sz w:val="32"/>
          <w:szCs w:val="32"/>
          <w:highlight w:val="none"/>
          <w:lang w:val="en-US" w:eastAsia="zh-CN" w:bidi="ar"/>
        </w:rPr>
        <w:t>精神</w:t>
      </w:r>
      <w:r>
        <w:rPr>
          <w:rFonts w:hint="default" w:ascii="仿宋" w:hAnsi="仿宋" w:eastAsia="仿宋" w:cstheme="minorBidi"/>
          <w:bCs/>
          <w:kern w:val="0"/>
          <w:sz w:val="32"/>
          <w:szCs w:val="32"/>
          <w:highlight w:val="none"/>
          <w:lang w:val="en-US" w:eastAsia="zh-CN" w:bidi="ar"/>
        </w:rPr>
        <w:t>及习近平总书记考察湖南重要讲话和指示精神，紧紧围绕区委、区政府的中心工作，着力抓好党史宣教、史志编研等工作，充分履行好“为党立言、为国存史、为民修志”和“以史鉴今，资政育人”职责和使命，大力推进部门精细化管理和队伍专业化建设，在党史理论研究、史志编纂、资政辅治、史志宣传教育等方面取得有力成效。</w:t>
      </w:r>
      <w:r>
        <w:rPr>
          <w:rFonts w:hint="eastAsia" w:ascii="仿宋" w:hAnsi="仿宋" w:eastAsia="仿宋" w:cstheme="minorBidi"/>
          <w:b/>
          <w:bCs w:val="0"/>
          <w:kern w:val="0"/>
          <w:sz w:val="32"/>
          <w:szCs w:val="32"/>
          <w:highlight w:val="none"/>
          <w:lang w:val="en-US" w:eastAsia="zh-CN" w:bidi="ar"/>
        </w:rPr>
        <w:t>（一）坚持政治建室，班子建设有新气象室班子始终坚持党的领导，以党建为引领，加强政治理论学习与业务知识培训，打造出了一支政治过硬、业务精湛、作风优良、廉洁奉献的干部队伍。</w:t>
      </w:r>
      <w:r>
        <w:rPr>
          <w:rFonts w:hint="eastAsia" w:ascii="仿宋" w:hAnsi="仿宋" w:eastAsia="仿宋" w:cstheme="minorBidi"/>
          <w:bCs/>
          <w:kern w:val="0"/>
          <w:sz w:val="32"/>
          <w:szCs w:val="32"/>
          <w:highlight w:val="none"/>
          <w:lang w:val="en-US" w:eastAsia="zh-CN" w:bidi="ar"/>
        </w:rPr>
        <w:t>一是思想政治教育持续深化。二是</w:t>
      </w:r>
      <w:r>
        <w:rPr>
          <w:rFonts w:hint="default" w:ascii="仿宋" w:hAnsi="仿宋" w:eastAsia="仿宋" w:cstheme="minorBidi"/>
          <w:bCs/>
          <w:kern w:val="0"/>
          <w:sz w:val="32"/>
          <w:szCs w:val="32"/>
          <w:highlight w:val="none"/>
          <w:lang w:val="en-US" w:eastAsia="zh-CN" w:bidi="ar"/>
        </w:rPr>
        <w:t>意识形态阵地</w:t>
      </w:r>
      <w:r>
        <w:rPr>
          <w:rFonts w:hint="eastAsia" w:ascii="仿宋" w:hAnsi="仿宋" w:eastAsia="仿宋" w:cstheme="minorBidi"/>
          <w:bCs/>
          <w:kern w:val="0"/>
          <w:sz w:val="32"/>
          <w:szCs w:val="32"/>
          <w:highlight w:val="none"/>
          <w:lang w:val="en-US" w:eastAsia="zh-CN" w:bidi="ar"/>
        </w:rPr>
        <w:t>持续</w:t>
      </w:r>
      <w:r>
        <w:rPr>
          <w:rFonts w:hint="default" w:ascii="仿宋" w:hAnsi="仿宋" w:eastAsia="仿宋" w:cstheme="minorBidi"/>
          <w:bCs/>
          <w:kern w:val="0"/>
          <w:sz w:val="32"/>
          <w:szCs w:val="32"/>
          <w:highlight w:val="none"/>
          <w:lang w:val="en-US" w:eastAsia="zh-CN" w:bidi="ar"/>
        </w:rPr>
        <w:t>把牢。三是党风政风建设持续深入</w:t>
      </w:r>
      <w:r>
        <w:rPr>
          <w:rFonts w:hint="eastAsia" w:ascii="仿宋" w:hAnsi="仿宋" w:eastAsia="仿宋" w:cstheme="minorBidi"/>
          <w:bCs/>
          <w:kern w:val="0"/>
          <w:sz w:val="32"/>
          <w:szCs w:val="32"/>
          <w:highlight w:val="none"/>
          <w:lang w:val="en-US" w:eastAsia="zh-CN" w:bidi="ar"/>
        </w:rPr>
        <w:t>。四是干部队伍建设持续加强。</w:t>
      </w:r>
      <w:r>
        <w:rPr>
          <w:rFonts w:hint="eastAsia" w:ascii="仿宋" w:hAnsi="仿宋" w:eastAsia="仿宋" w:cstheme="minorBidi"/>
          <w:b/>
          <w:bCs w:val="0"/>
          <w:kern w:val="0"/>
          <w:sz w:val="32"/>
          <w:szCs w:val="32"/>
          <w:highlight w:val="none"/>
          <w:lang w:val="en-US" w:eastAsia="zh-CN" w:bidi="ar"/>
        </w:rPr>
        <w:t>（二）坚持编研立室，史志编研有新成效。室班子坚持“党史姓党、为党立言”，聚焦主责主业，立足本区实际，全力推进史志编研工作。</w:t>
      </w:r>
      <w:r>
        <w:rPr>
          <w:rFonts w:hint="eastAsia" w:ascii="仿宋" w:hAnsi="仿宋" w:eastAsia="仿宋" w:cstheme="minorBidi"/>
          <w:bCs/>
          <w:kern w:val="0"/>
          <w:sz w:val="32"/>
          <w:szCs w:val="32"/>
          <w:highlight w:val="none"/>
          <w:lang w:val="en-US" w:eastAsia="zh-CN" w:bidi="ar"/>
        </w:rPr>
        <w:t>一是精心编纂存史佳作。为庆祝人民代表大会制度建立70周年，室班子带领全室干部联合区委党史联络组、区人大常委会办公室编纂出版《雁峰人大70年》。12月3日，市委召开人大工作会议暨庆祝衡阳市人民代表大会成立70周年大会，在雁峰区全过程人民民主实践的观摩现场，本书作为重要资料发放给与会者，得到了广泛好评。把握好《中共雁峰区委工作纪事》编纂工作的基本原则和总体要求，做好《中共雁峰区委工作纪事》电子资料征集工作，继续丰富我区地情信息数据库资料。与区退役军人事务局合作编撰的《雁峰英范》完成正式印刷出版。二是细致打磨方志精品。细致打磨年鉴。按照“一年一鉴，公开出版”的要求，紧锣密鼓加快推进《雁峰年鉴（2024）》编纂及出版工作，锚定精品年鉴目标，通过多次研讨、精心打磨、反复修改，目前已完成初稿，正进入评审完善阶段。三是落实供稿审稿工作。高质高效完成《中共湖南省委工作纪事》《湖南年鉴（2024）》《中共衡阳市委执政纪事》《衡阳年鉴（2024）》等供稿工作。认真做好《衡阳年鉴（2024）》《珠晖区志（1996-2017）》《衡东县志（1990-2023）》及兄弟县市区2024卷年鉴的评审工作。按时完成区内红色场馆统计及信息收集、烈士信息统计等上级资料报送。</w:t>
      </w:r>
      <w:r>
        <w:rPr>
          <w:rFonts w:hint="eastAsia" w:ascii="仿宋" w:hAnsi="仿宋" w:eastAsia="仿宋" w:cstheme="minorBidi"/>
          <w:b/>
          <w:bCs w:val="0"/>
          <w:kern w:val="0"/>
          <w:sz w:val="32"/>
          <w:szCs w:val="32"/>
          <w:highlight w:val="none"/>
          <w:lang w:val="en-US" w:eastAsia="zh-CN" w:bidi="ar"/>
        </w:rPr>
        <w:t>（三）坚持宣教强室，史志宣教有新举措。</w:t>
      </w:r>
      <w:r>
        <w:rPr>
          <w:rFonts w:hint="eastAsia" w:ascii="仿宋" w:hAnsi="仿宋" w:eastAsia="仿宋" w:cstheme="minorBidi"/>
          <w:bCs/>
          <w:kern w:val="0"/>
          <w:sz w:val="32"/>
          <w:szCs w:val="32"/>
          <w:highlight w:val="none"/>
          <w:lang w:val="en-US" w:eastAsia="zh-CN" w:bidi="ar"/>
        </w:rPr>
        <w:t>室班子聚焦弘扬伟大建党精神、传承优秀传统文化，着力加强阵地建设，深化史志宣教，推进红色文旅，全方位、多角度推进新时代雁峰史志工作高质量发展。一是广泛赠送史志书籍。全年先后向全区县级领导及党政机关干部赠送《中国共产党雁峰区历史》《中国共产党雁峰区历史大事记（1921-2021）》《城南区志》《雁峰年鉴》《雁峰人大70年》等史志书籍1000余册。二是积极开展党史宣教。三是做好红色场馆建设。在湘南第一党支部——湖南三师革命历史陈列室建设一间微党课教室，布置红色文化育人成就展。2024年“湘南第一党支部”接待参观团队160余个，年接待来访参观近2万人次。四是扩展雁峰党史影响力。</w:t>
      </w:r>
      <w:r>
        <w:rPr>
          <w:rFonts w:hint="eastAsia" w:ascii="仿宋" w:hAnsi="仿宋" w:eastAsia="仿宋" w:cstheme="minorBidi"/>
          <w:b/>
          <w:bCs w:val="0"/>
          <w:kern w:val="0"/>
          <w:sz w:val="32"/>
          <w:szCs w:val="32"/>
          <w:highlight w:val="none"/>
          <w:lang w:val="en-US" w:eastAsia="zh-CN" w:bidi="ar"/>
        </w:rPr>
        <w:t>（四）坚持围绕中心、服务大局有新突破。</w:t>
      </w:r>
      <w:r>
        <w:rPr>
          <w:rFonts w:hint="eastAsia" w:ascii="仿宋" w:hAnsi="仿宋" w:eastAsia="仿宋" w:cstheme="minorBidi"/>
          <w:b w:val="0"/>
          <w:bCs/>
          <w:kern w:val="0"/>
          <w:sz w:val="32"/>
          <w:szCs w:val="32"/>
          <w:highlight w:val="none"/>
          <w:lang w:val="en-US" w:eastAsia="zh-CN" w:bidi="ar"/>
        </w:rPr>
        <w:t>室班子牢固树立服务中心大局、服务人民群众理念，找准史志工作与区委、区政府中心工作的契合点、着力点，持续贡献史志力量，充分发挥在党为党作用。一是实心实意服务旅发大会。二是真心真意服务基层治理。</w:t>
      </w:r>
    </w:p>
    <w:p w14:paraId="1428D93A">
      <w:pPr>
        <w:pStyle w:val="5"/>
        <w:keepNext w:val="0"/>
        <w:keepLines w:val="0"/>
        <w:pageBreakBefore w:val="0"/>
        <w:widowControl/>
        <w:kinsoku/>
        <w:wordWrap/>
        <w:overflowPunct/>
        <w:topLinePunct w:val="0"/>
        <w:autoSpaceDE/>
        <w:autoSpaceDN/>
        <w:bidi w:val="0"/>
        <w:adjustRightInd/>
        <w:snapToGrid/>
        <w:spacing w:line="560" w:lineRule="exact"/>
        <w:ind w:right="0" w:firstLine="640" w:firstLineChars="200"/>
        <w:jc w:val="both"/>
        <w:textAlignment w:val="auto"/>
        <w:outlineLvl w:val="0"/>
        <w:rPr>
          <w:rFonts w:hint="eastAsia" w:ascii="黑体" w:hAnsi="黑体" w:eastAsia="黑体" w:cs="黑体"/>
          <w:sz w:val="32"/>
          <w:szCs w:val="32"/>
          <w:lang w:eastAsia="zh-CN"/>
        </w:rPr>
      </w:pPr>
      <w:bookmarkStart w:id="28" w:name="_Toc13893"/>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部门</w:t>
      </w:r>
      <w:r>
        <w:rPr>
          <w:rFonts w:hint="eastAsia" w:ascii="黑体" w:hAnsi="黑体" w:eastAsia="黑体" w:cs="黑体"/>
          <w:sz w:val="32"/>
          <w:szCs w:val="32"/>
          <w:lang w:val="en-US" w:eastAsia="zh-CN"/>
        </w:rPr>
        <w:t>预算及</w:t>
      </w:r>
      <w:r>
        <w:rPr>
          <w:rFonts w:hint="eastAsia" w:ascii="黑体" w:hAnsi="黑体" w:eastAsia="黑体" w:cs="黑体"/>
          <w:sz w:val="32"/>
          <w:szCs w:val="32"/>
          <w:lang w:eastAsia="zh-CN"/>
        </w:rPr>
        <w:t>整体支出概况</w:t>
      </w:r>
      <w:bookmarkEnd w:id="28"/>
    </w:p>
    <w:p w14:paraId="203BDB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分析逻辑流程：年初预算数→全年预算数（调整后预算数）→账套数→重分类数，重分类后与决算数进行对比分析。</w:t>
      </w:r>
    </w:p>
    <w:p w14:paraId="5D7865B0">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lang w:val="en-US" w:eastAsia="zh-CN"/>
        </w:rPr>
      </w:pPr>
      <w:bookmarkStart w:id="29" w:name="_Toc14771"/>
      <w:r>
        <w:rPr>
          <w:rFonts w:hint="eastAsia" w:ascii="楷体" w:hAnsi="楷体" w:eastAsia="楷体" w:cs="楷体"/>
          <w:b/>
          <w:bCs/>
          <w:sz w:val="32"/>
          <w:szCs w:val="32"/>
          <w:lang w:eastAsia="zh-CN"/>
        </w:rPr>
        <w:t>预算</w:t>
      </w:r>
      <w:r>
        <w:rPr>
          <w:rFonts w:hint="eastAsia" w:ascii="楷体" w:hAnsi="楷体" w:eastAsia="楷体" w:cs="楷体"/>
          <w:b/>
          <w:bCs/>
          <w:sz w:val="32"/>
          <w:szCs w:val="32"/>
          <w:lang w:val="en-US" w:eastAsia="zh-CN"/>
        </w:rPr>
        <w:t>配置</w:t>
      </w:r>
      <w:r>
        <w:rPr>
          <w:rFonts w:hint="eastAsia" w:ascii="楷体" w:hAnsi="楷体" w:eastAsia="楷体" w:cs="楷体"/>
          <w:b/>
          <w:bCs/>
          <w:sz w:val="32"/>
          <w:szCs w:val="32"/>
          <w:lang w:eastAsia="zh-CN"/>
        </w:rPr>
        <w:t>情况</w:t>
      </w:r>
      <w:r>
        <w:rPr>
          <w:rFonts w:hint="eastAsia" w:ascii="楷体" w:hAnsi="楷体" w:eastAsia="楷体" w:cs="楷体"/>
          <w:b/>
          <w:bCs/>
          <w:sz w:val="32"/>
          <w:szCs w:val="32"/>
          <w:lang w:val="en-US" w:eastAsia="zh-CN"/>
        </w:rPr>
        <w:t>及分析</w:t>
      </w:r>
      <w:bookmarkEnd w:id="29"/>
    </w:p>
    <w:p w14:paraId="07EAE62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default" w:ascii="楷体" w:hAnsi="楷体" w:eastAsia="楷体" w:cs="楷体"/>
          <w:b/>
          <w:bCs/>
          <w:sz w:val="32"/>
          <w:szCs w:val="32"/>
          <w:lang w:val="en-US" w:eastAsia="zh-CN"/>
        </w:rPr>
      </w:pPr>
      <w:r>
        <w:rPr>
          <w:rFonts w:hint="eastAsia" w:ascii="仿宋" w:hAnsi="仿宋" w:eastAsia="仿宋" w:cs="仿宋"/>
          <w:b/>
          <w:bCs/>
          <w:sz w:val="32"/>
          <w:szCs w:val="32"/>
          <w:lang w:val="en-US" w:eastAsia="zh-CN"/>
        </w:rPr>
        <w:t>1.预算配置情况</w:t>
      </w:r>
    </w:p>
    <w:p w14:paraId="1423424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 w:hAnsi="楷体" w:eastAsia="楷体" w:cs="楷体"/>
          <w:b w:val="0"/>
          <w:bCs w:val="0"/>
          <w:sz w:val="32"/>
          <w:szCs w:val="32"/>
          <w:lang w:eastAsia="zh-CN"/>
        </w:rPr>
      </w:pPr>
      <w:r>
        <w:rPr>
          <w:rFonts w:hint="eastAsia" w:ascii="仿宋" w:hAnsi="仿宋" w:eastAsia="仿宋" w:cs="仿宋"/>
          <w:b w:val="0"/>
          <w:bCs w:val="0"/>
          <w:sz w:val="32"/>
          <w:szCs w:val="32"/>
          <w:lang w:eastAsia="zh-CN"/>
        </w:rPr>
        <w:t>年初预算额</w:t>
      </w:r>
      <w:r>
        <w:rPr>
          <w:rFonts w:hint="eastAsia" w:ascii="仿宋" w:hAnsi="仿宋" w:eastAsia="仿宋" w:cs="仿宋"/>
          <w:b w:val="0"/>
          <w:bCs w:val="0"/>
          <w:sz w:val="32"/>
          <w:szCs w:val="32"/>
          <w:highlight w:val="none"/>
          <w:lang w:eastAsia="zh-CN"/>
        </w:rPr>
        <w:t>度636,218.32元，</w:t>
      </w:r>
      <w:r>
        <w:rPr>
          <w:rFonts w:hint="eastAsia" w:ascii="仿宋" w:hAnsi="仿宋" w:eastAsia="仿宋" w:cs="仿宋"/>
          <w:b w:val="0"/>
          <w:bCs w:val="0"/>
          <w:sz w:val="32"/>
          <w:szCs w:val="32"/>
          <w:highlight w:val="none"/>
          <w:lang w:val="en-US" w:eastAsia="zh-CN"/>
        </w:rPr>
        <w:t>预算调整后额度1,007,789.13元</w:t>
      </w:r>
      <w:r>
        <w:rPr>
          <w:rFonts w:hint="eastAsia" w:ascii="仿宋" w:hAnsi="仿宋" w:eastAsia="仿宋" w:cs="仿宋"/>
          <w:b w:val="0"/>
          <w:bCs w:val="0"/>
          <w:sz w:val="32"/>
          <w:szCs w:val="32"/>
          <w:highlight w:val="none"/>
          <w:lang w:eastAsia="zh-CN"/>
        </w:rPr>
        <w:t>。</w:t>
      </w:r>
    </w:p>
    <w:p w14:paraId="05B0D02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lang w:val="en-US" w:eastAsia="zh-CN"/>
        </w:rPr>
        <w:t>2.预算配置</w:t>
      </w:r>
      <w:r>
        <w:rPr>
          <w:rFonts w:hint="eastAsia" w:ascii="仿宋" w:hAnsi="仿宋" w:eastAsia="仿宋" w:cs="仿宋"/>
          <w:b/>
          <w:bCs/>
          <w:sz w:val="32"/>
          <w:szCs w:val="32"/>
          <w:lang w:eastAsia="zh-CN"/>
        </w:rPr>
        <w:t>分析</w:t>
      </w:r>
      <w:r>
        <w:rPr>
          <w:rFonts w:hint="eastAsia" w:ascii="仿宋" w:hAnsi="仿宋" w:eastAsia="仿宋" w:cs="仿宋"/>
          <w:b/>
          <w:bCs/>
          <w:sz w:val="32"/>
          <w:szCs w:val="32"/>
          <w:lang w:val="en-US" w:eastAsia="zh-CN"/>
        </w:rPr>
        <w:t>及调整，</w:t>
      </w:r>
      <w:r>
        <w:rPr>
          <w:rFonts w:hint="eastAsia" w:ascii="仿宋" w:hAnsi="仿宋" w:eastAsia="仿宋" w:cs="仿宋"/>
          <w:b/>
          <w:bCs/>
          <w:sz w:val="32"/>
          <w:szCs w:val="32"/>
          <w:highlight w:val="none"/>
          <w:lang w:val="en-US" w:eastAsia="zh-CN"/>
        </w:rPr>
        <w:t>未提供预算调整的批复。</w:t>
      </w:r>
    </w:p>
    <w:p w14:paraId="49ADBAD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配置对比表如下：</w:t>
      </w:r>
    </w:p>
    <w:p w14:paraId="08B48DB5">
      <w:pPr>
        <w:pStyle w:val="7"/>
        <w:ind w:left="0" w:leftChars="0" w:firstLine="0" w:firstLineChars="0"/>
      </w:pPr>
      <w:r>
        <w:drawing>
          <wp:inline distT="0" distB="0" distL="114300" distR="114300">
            <wp:extent cx="5038725" cy="1070610"/>
            <wp:effectExtent l="9525" t="9525" r="19050" b="24765"/>
            <wp:docPr id="17" name="图片 10"/>
            <wp:cNvGraphicFramePr/>
            <a:graphic xmlns:a="http://schemas.openxmlformats.org/drawingml/2006/main">
              <a:graphicData uri="http://schemas.openxmlformats.org/drawingml/2006/picture">
                <pic:pic xmlns:pic="http://schemas.openxmlformats.org/drawingml/2006/picture">
                  <pic:nvPicPr>
                    <pic:cNvPr id="17" name="图片 10"/>
                    <pic:cNvPicPr/>
                  </pic:nvPicPr>
                  <pic:blipFill>
                    <a:blip r:embed="rId7"/>
                  </pic:blipFill>
                  <pic:spPr>
                    <a:xfrm>
                      <a:off x="0" y="0"/>
                      <a:ext cx="5038725" cy="1070610"/>
                    </a:xfrm>
                    <a:prstGeom prst="rect">
                      <a:avLst/>
                    </a:prstGeom>
                    <a:solidFill>
                      <a:srgbClr val="FFFFFF"/>
                    </a:solidFill>
                    <a:ln w="9525">
                      <a:solidFill>
                        <a:srgbClr val="000000"/>
                      </a:solidFill>
                    </a:ln>
                  </pic:spPr>
                </pic:pic>
              </a:graphicData>
            </a:graphic>
          </wp:inline>
        </w:drawing>
      </w:r>
    </w:p>
    <w:p w14:paraId="73F3C95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 w:hAnsi="楷体" w:eastAsia="楷体" w:cs="楷体"/>
          <w:b/>
          <w:bCs/>
          <w:sz w:val="32"/>
          <w:szCs w:val="32"/>
          <w:lang w:eastAsia="zh-CN"/>
        </w:rPr>
      </w:pPr>
      <w:r>
        <w:rPr>
          <w:rFonts w:hint="eastAsia" w:ascii="仿宋" w:hAnsi="仿宋" w:eastAsia="仿宋" w:cs="仿宋"/>
          <w:b w:val="0"/>
          <w:bCs w:val="0"/>
          <w:sz w:val="32"/>
          <w:szCs w:val="32"/>
          <w:highlight w:val="none"/>
          <w:lang w:val="en-US" w:eastAsia="zh-CN"/>
        </w:rPr>
        <w:t>预算调整率为59.68%，其中：项目支出的调整率为109.60%，调整明细如下：</w:t>
      </w:r>
    </w:p>
    <w:p w14:paraId="1E254263">
      <w:pPr>
        <w:rPr>
          <w:rFonts w:hint="eastAsia" w:ascii="楷体" w:hAnsi="楷体" w:eastAsia="楷体" w:cs="楷体"/>
          <w:b/>
          <w:bCs/>
          <w:sz w:val="32"/>
          <w:szCs w:val="32"/>
          <w:lang w:eastAsia="zh-CN"/>
        </w:rPr>
      </w:pPr>
      <w:r>
        <w:drawing>
          <wp:inline distT="0" distB="0" distL="114300" distR="114300">
            <wp:extent cx="5619750" cy="1146175"/>
            <wp:effectExtent l="9525" t="9525" r="9525" b="25400"/>
            <wp:docPr id="19" name="图片 8"/>
            <wp:cNvGraphicFramePr/>
            <a:graphic xmlns:a="http://schemas.openxmlformats.org/drawingml/2006/main">
              <a:graphicData uri="http://schemas.openxmlformats.org/drawingml/2006/picture">
                <pic:pic xmlns:pic="http://schemas.openxmlformats.org/drawingml/2006/picture">
                  <pic:nvPicPr>
                    <pic:cNvPr id="19" name="图片 8"/>
                    <pic:cNvPicPr/>
                  </pic:nvPicPr>
                  <pic:blipFill>
                    <a:blip r:embed="rId8"/>
                  </pic:blipFill>
                  <pic:spPr>
                    <a:xfrm>
                      <a:off x="0" y="0"/>
                      <a:ext cx="5619750" cy="1146175"/>
                    </a:xfrm>
                    <a:prstGeom prst="rect">
                      <a:avLst/>
                    </a:prstGeom>
                    <a:solidFill>
                      <a:srgbClr val="FFFFFF"/>
                    </a:solidFill>
                    <a:ln w="9525">
                      <a:solidFill>
                        <a:srgbClr val="000000"/>
                      </a:solidFill>
                    </a:ln>
                  </pic:spPr>
                </pic:pic>
              </a:graphicData>
            </a:graphic>
          </wp:inline>
        </w:drawing>
      </w:r>
    </w:p>
    <w:p w14:paraId="7164EAC1">
      <w:pPr>
        <w:rPr>
          <w:rFonts w:hint="eastAsia" w:ascii="楷体" w:hAnsi="楷体" w:eastAsia="楷体" w:cs="楷体"/>
          <w:b/>
          <w:bCs/>
          <w:sz w:val="32"/>
          <w:szCs w:val="32"/>
          <w:lang w:eastAsia="zh-CN"/>
        </w:rPr>
      </w:pPr>
      <w:r>
        <w:drawing>
          <wp:inline distT="0" distB="0" distL="114300" distR="114300">
            <wp:extent cx="5639435" cy="1139190"/>
            <wp:effectExtent l="9525" t="9525" r="27940" b="13335"/>
            <wp:docPr id="22" name="图片 1"/>
            <wp:cNvGraphicFramePr/>
            <a:graphic xmlns:a="http://schemas.openxmlformats.org/drawingml/2006/main">
              <a:graphicData uri="http://schemas.openxmlformats.org/drawingml/2006/picture">
                <pic:pic xmlns:pic="http://schemas.openxmlformats.org/drawingml/2006/picture">
                  <pic:nvPicPr>
                    <pic:cNvPr id="22" name="图片 1"/>
                    <pic:cNvPicPr/>
                  </pic:nvPicPr>
                  <pic:blipFill>
                    <a:blip r:embed="rId9"/>
                  </pic:blipFill>
                  <pic:spPr>
                    <a:xfrm>
                      <a:off x="0" y="0"/>
                      <a:ext cx="5639435" cy="1139190"/>
                    </a:xfrm>
                    <a:prstGeom prst="rect">
                      <a:avLst/>
                    </a:prstGeom>
                    <a:solidFill>
                      <a:srgbClr val="FFFFFF"/>
                    </a:solidFill>
                    <a:ln w="9525">
                      <a:solidFill>
                        <a:srgbClr val="000000"/>
                      </a:solidFill>
                    </a:ln>
                  </pic:spPr>
                </pic:pic>
              </a:graphicData>
            </a:graphic>
          </wp:inline>
        </w:drawing>
      </w:r>
    </w:p>
    <w:p w14:paraId="6CE0AFE3">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eastAsia="zh-CN"/>
        </w:rPr>
      </w:pPr>
      <w:bookmarkStart w:id="30" w:name="_Toc29610"/>
      <w:r>
        <w:rPr>
          <w:rFonts w:hint="eastAsia" w:ascii="楷体" w:hAnsi="楷体" w:eastAsia="楷体" w:cs="楷体"/>
          <w:b/>
          <w:bCs/>
          <w:sz w:val="32"/>
          <w:szCs w:val="32"/>
          <w:lang w:eastAsia="zh-CN"/>
        </w:rPr>
        <w:t>预算执行</w:t>
      </w:r>
      <w:r>
        <w:rPr>
          <w:rFonts w:hint="eastAsia" w:ascii="楷体" w:hAnsi="楷体" w:eastAsia="楷体" w:cs="楷体"/>
          <w:b/>
          <w:bCs/>
          <w:sz w:val="32"/>
          <w:szCs w:val="32"/>
          <w:lang w:val="en-US" w:eastAsia="zh-CN"/>
        </w:rPr>
        <w:t>情况及分析</w:t>
      </w:r>
      <w:bookmarkEnd w:id="30"/>
    </w:p>
    <w:p w14:paraId="7BC026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1.预算执行基本信息</w:t>
      </w:r>
    </w:p>
    <w:p w14:paraId="35CA3A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default"/>
          <w:lang w:val="en-US" w:eastAsia="zh-CN"/>
        </w:rPr>
      </w:pPr>
      <w:r>
        <w:rPr>
          <w:rFonts w:hint="eastAsia" w:ascii="仿宋" w:hAnsi="仿宋" w:eastAsia="仿宋" w:cs="仿宋"/>
          <w:b w:val="0"/>
          <w:bCs w:val="0"/>
          <w:sz w:val="32"/>
          <w:szCs w:val="32"/>
          <w:highlight w:val="none"/>
          <w:lang w:val="en-US" w:eastAsia="zh-CN"/>
        </w:rPr>
        <w:t>（1）收入来源总计1,007,789.13元，其中一般公共预算财政拨款957,789.63元。</w:t>
      </w:r>
    </w:p>
    <w:p w14:paraId="317D45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outlineLvl w:val="9"/>
        <w:rPr>
          <w:rFonts w:hint="default"/>
          <w:lang w:val="en-US" w:eastAsia="zh-CN"/>
        </w:rPr>
      </w:pPr>
      <w:r>
        <w:rPr>
          <w:rFonts w:hint="eastAsia" w:ascii="仿宋" w:hAnsi="仿宋" w:eastAsia="仿宋" w:cs="仿宋"/>
          <w:b/>
          <w:bCs/>
          <w:sz w:val="32"/>
          <w:szCs w:val="32"/>
          <w:lang w:val="en-US" w:eastAsia="zh-CN"/>
        </w:rPr>
        <w:t>2.预算执行分析</w:t>
      </w:r>
    </w:p>
    <w:p w14:paraId="06699B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1</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预算执行率为100.00%。详情如下：</w:t>
      </w:r>
    </w:p>
    <w:p w14:paraId="2785D8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outlineLvl w:val="9"/>
        <w:rPr>
          <w:rFonts w:hint="default" w:ascii="仿宋" w:hAnsi="仿宋" w:eastAsia="仿宋" w:cs="仿宋"/>
          <w:b/>
          <w:bCs/>
          <w:sz w:val="32"/>
          <w:szCs w:val="32"/>
          <w:lang w:val="en-US" w:eastAsia="zh-CN"/>
        </w:rPr>
      </w:pPr>
      <w:r>
        <w:drawing>
          <wp:inline distT="0" distB="0" distL="114300" distR="114300">
            <wp:extent cx="5509260" cy="1206500"/>
            <wp:effectExtent l="9525" t="9525" r="24765" b="22225"/>
            <wp:docPr id="4" name="图片 3"/>
            <wp:cNvGraphicFramePr/>
            <a:graphic xmlns:a="http://schemas.openxmlformats.org/drawingml/2006/main">
              <a:graphicData uri="http://schemas.openxmlformats.org/drawingml/2006/picture">
                <pic:pic xmlns:pic="http://schemas.openxmlformats.org/drawingml/2006/picture">
                  <pic:nvPicPr>
                    <pic:cNvPr id="4" name="图片 3"/>
                    <pic:cNvPicPr/>
                  </pic:nvPicPr>
                  <pic:blipFill>
                    <a:blip r:embed="rId10"/>
                  </pic:blipFill>
                  <pic:spPr>
                    <a:xfrm>
                      <a:off x="0" y="0"/>
                      <a:ext cx="5509260" cy="1206500"/>
                    </a:xfrm>
                    <a:prstGeom prst="rect">
                      <a:avLst/>
                    </a:prstGeom>
                    <a:solidFill>
                      <a:srgbClr val="FFFFFF"/>
                    </a:solidFill>
                    <a:ln w="9525">
                      <a:solidFill>
                        <a:srgbClr val="000000"/>
                      </a:solidFill>
                    </a:ln>
                  </pic:spPr>
                </pic:pic>
              </a:graphicData>
            </a:graphic>
          </wp:inline>
        </w:drawing>
      </w:r>
    </w:p>
    <w:p w14:paraId="6FF5C20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）进度匹配度</w:t>
      </w:r>
      <w:r>
        <w:rPr>
          <w:rFonts w:hint="eastAsia" w:ascii="仿宋" w:hAnsi="仿宋" w:eastAsia="仿宋" w:cs="仿宋"/>
          <w:b/>
          <w:bCs/>
          <w:sz w:val="32"/>
          <w:szCs w:val="32"/>
          <w:lang w:val="en-US" w:eastAsia="zh-CN"/>
        </w:rPr>
        <w:t>与效率。</w:t>
      </w:r>
      <w:r>
        <w:rPr>
          <w:rFonts w:hint="eastAsia" w:ascii="仿宋" w:hAnsi="仿宋" w:eastAsia="仿宋" w:cs="仿宋"/>
          <w:b w:val="0"/>
          <w:bCs w:val="0"/>
          <w:sz w:val="32"/>
          <w:szCs w:val="32"/>
          <w:lang w:val="en-US" w:eastAsia="zh-CN"/>
        </w:rPr>
        <w:t>资金支付及时，不存在项目等钱情况。2024年12月资金指标使用数占比35.22%，高于其他月份。指标下达数与指标使用数对比详情列示如下：</w:t>
      </w:r>
    </w:p>
    <w:p w14:paraId="2CF47D0F">
      <w:pPr>
        <w:pStyle w:val="5"/>
        <w:jc w:val="center"/>
        <w:rPr>
          <w:rFonts w:hint="eastAsia" w:ascii="仿宋" w:hAnsi="仿宋" w:eastAsia="仿宋" w:cs="仿宋"/>
          <w:b w:val="0"/>
          <w:bCs w:val="0"/>
          <w:sz w:val="32"/>
          <w:szCs w:val="32"/>
          <w:lang w:val="en-US" w:eastAsia="zh-CN"/>
        </w:rPr>
      </w:pPr>
      <w:r>
        <w:drawing>
          <wp:inline distT="0" distB="0" distL="114300" distR="114300">
            <wp:extent cx="5316855" cy="3203575"/>
            <wp:effectExtent l="9525" t="9525" r="26670" b="25400"/>
            <wp:docPr id="23" name="图片 4"/>
            <wp:cNvGraphicFramePr/>
            <a:graphic xmlns:a="http://schemas.openxmlformats.org/drawingml/2006/main">
              <a:graphicData uri="http://schemas.openxmlformats.org/drawingml/2006/picture">
                <pic:pic xmlns:pic="http://schemas.openxmlformats.org/drawingml/2006/picture">
                  <pic:nvPicPr>
                    <pic:cNvPr id="23" name="图片 4"/>
                    <pic:cNvPicPr/>
                  </pic:nvPicPr>
                  <pic:blipFill>
                    <a:blip r:embed="rId11"/>
                  </pic:blipFill>
                  <pic:spPr>
                    <a:xfrm>
                      <a:off x="0" y="0"/>
                      <a:ext cx="5316855" cy="3203575"/>
                    </a:xfrm>
                    <a:prstGeom prst="rect">
                      <a:avLst/>
                    </a:prstGeom>
                    <a:solidFill>
                      <a:srgbClr val="FFFFFF"/>
                    </a:solidFill>
                    <a:ln w="9525">
                      <a:solidFill>
                        <a:srgbClr val="000000"/>
                      </a:solidFill>
                    </a:ln>
                  </pic:spPr>
                </pic:pic>
              </a:graphicData>
            </a:graphic>
          </wp:inline>
        </w:drawing>
      </w:r>
    </w:p>
    <w:p w14:paraId="52150F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资金</w:t>
      </w:r>
      <w:r>
        <w:rPr>
          <w:rFonts w:hint="eastAsia" w:ascii="仿宋" w:hAnsi="仿宋" w:eastAsia="仿宋" w:cs="仿宋"/>
          <w:b/>
          <w:bCs/>
          <w:sz w:val="32"/>
          <w:szCs w:val="32"/>
          <w:highlight w:val="none"/>
          <w:lang w:eastAsia="zh-CN"/>
        </w:rPr>
        <w:t>合规性检查。</w:t>
      </w:r>
      <w:r>
        <w:rPr>
          <w:rFonts w:hint="eastAsia" w:ascii="仿宋" w:hAnsi="仿宋" w:eastAsia="仿宋" w:cs="仿宋"/>
          <w:b w:val="0"/>
          <w:bCs w:val="0"/>
          <w:sz w:val="32"/>
          <w:szCs w:val="32"/>
          <w:lang w:val="en-US" w:eastAsia="zh-CN"/>
        </w:rPr>
        <w:t>从预算约束、用途合规、程序合规、报销凭证完整性与合规性四个方面进行核查，在检查凭证过程中，我们发现存在跨期支付情况，存在人员经费挤占公用经费的情况。详情见后附各类支出情况汇总及分析。</w:t>
      </w:r>
    </w:p>
    <w:p w14:paraId="038488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sz w:val="32"/>
          <w:szCs w:val="32"/>
          <w:highlight w:val="yellow"/>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4</w:t>
      </w:r>
      <w:r>
        <w:rPr>
          <w:rFonts w:hint="eastAsia" w:ascii="仿宋" w:hAnsi="仿宋" w:eastAsia="仿宋" w:cs="仿宋"/>
          <w:b/>
          <w:bCs/>
          <w:sz w:val="32"/>
          <w:szCs w:val="32"/>
          <w:highlight w:val="none"/>
          <w:lang w:eastAsia="zh-CN"/>
        </w:rPr>
        <w:t>）成本控制。</w:t>
      </w:r>
      <w:r>
        <w:rPr>
          <w:rFonts w:hint="eastAsia" w:ascii="仿宋" w:hAnsi="仿宋" w:eastAsia="仿宋" w:cs="仿宋"/>
          <w:b w:val="0"/>
          <w:bCs w:val="0"/>
          <w:sz w:val="32"/>
          <w:szCs w:val="32"/>
          <w:lang w:val="en-US" w:eastAsia="zh-CN"/>
        </w:rPr>
        <w:t>基本支出的绩效评价侧重成本控制和合规性。项目支出的绩效评价关联项目目标，如会议是否推动了政策落地、办公经费是否支撑了专项任务完成等。详情见后附各类支出情况汇总及分析。</w:t>
      </w:r>
    </w:p>
    <w:p w14:paraId="08C920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lang w:eastAsia="zh-CN"/>
        </w:rPr>
        <w:t>）对产出的影响。</w:t>
      </w:r>
      <w:r>
        <w:rPr>
          <w:rFonts w:hint="eastAsia" w:ascii="仿宋" w:hAnsi="仿宋" w:eastAsia="仿宋" w:cs="仿宋"/>
          <w:b w:val="0"/>
          <w:bCs w:val="0"/>
          <w:sz w:val="32"/>
          <w:szCs w:val="32"/>
          <w:highlight w:val="none"/>
          <w:lang w:val="en-US" w:eastAsia="zh-CN"/>
        </w:rPr>
        <w:t>未存在因预算执行合规与否、快慢情况直接影响绩效产出目标的实现的情况。</w:t>
      </w:r>
    </w:p>
    <w:p w14:paraId="7CD1715B">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6</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本年度决算数与上年度决算数对比，增加率10.70%。</w:t>
      </w:r>
    </w:p>
    <w:p w14:paraId="40362475">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bCs/>
          <w:sz w:val="32"/>
          <w:szCs w:val="32"/>
          <w:lang w:val="en-US" w:eastAsia="zh-CN"/>
        </w:rPr>
      </w:pPr>
      <w:r>
        <w:drawing>
          <wp:inline distT="0" distB="0" distL="114300" distR="114300">
            <wp:extent cx="5303520" cy="3905885"/>
            <wp:effectExtent l="9525" t="9525" r="20955" b="27940"/>
            <wp:docPr id="25" name="图片 1"/>
            <wp:cNvGraphicFramePr/>
            <a:graphic xmlns:a="http://schemas.openxmlformats.org/drawingml/2006/main">
              <a:graphicData uri="http://schemas.openxmlformats.org/drawingml/2006/picture">
                <pic:pic xmlns:pic="http://schemas.openxmlformats.org/drawingml/2006/picture">
                  <pic:nvPicPr>
                    <pic:cNvPr id="25" name="图片 1"/>
                    <pic:cNvPicPr/>
                  </pic:nvPicPr>
                  <pic:blipFill>
                    <a:blip r:embed="rId12"/>
                  </pic:blipFill>
                  <pic:spPr>
                    <a:xfrm>
                      <a:off x="0" y="0"/>
                      <a:ext cx="5303520" cy="3905885"/>
                    </a:xfrm>
                    <a:prstGeom prst="rect">
                      <a:avLst/>
                    </a:prstGeom>
                    <a:solidFill>
                      <a:srgbClr val="FFFFFF"/>
                    </a:solidFill>
                    <a:ln w="9525">
                      <a:solidFill>
                        <a:srgbClr val="000000"/>
                      </a:solidFill>
                    </a:ln>
                  </pic:spPr>
                </pic:pic>
              </a:graphicData>
            </a:graphic>
          </wp:inline>
        </w:drawing>
      </w:r>
    </w:p>
    <w:p w14:paraId="19DAB9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kern w:val="0"/>
          <w:sz w:val="32"/>
          <w:szCs w:val="32"/>
          <w:lang w:val="en-US" w:eastAsia="zh-CN" w:bidi="ar"/>
        </w:rPr>
        <w:t>（7）</w:t>
      </w:r>
      <w:r>
        <w:rPr>
          <w:rFonts w:hint="eastAsia" w:ascii="仿宋" w:hAnsi="仿宋" w:eastAsia="仿宋" w:cs="仿宋"/>
          <w:b/>
          <w:bCs/>
          <w:sz w:val="32"/>
          <w:szCs w:val="32"/>
          <w:lang w:val="en-US" w:eastAsia="zh-CN"/>
        </w:rPr>
        <w:t>本年度全年预算数、账套数、决算数、重分类决算数汇总对比表列示如下：（账套数与决算数、重分类数一致1,007,789.13元</w:t>
      </w:r>
    </w:p>
    <w:p w14:paraId="0485D51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lang w:val="en-US" w:eastAsia="zh-CN"/>
        </w:rPr>
      </w:pPr>
    </w:p>
    <w:p w14:paraId="7418CB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lang w:val="en-US" w:eastAsia="zh-CN"/>
        </w:rPr>
      </w:pPr>
    </w:p>
    <w:p w14:paraId="4CC17D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lang w:val="en-US" w:eastAsia="zh-CN"/>
        </w:rPr>
      </w:pPr>
      <w:r>
        <w:drawing>
          <wp:inline distT="0" distB="0" distL="114300" distR="114300">
            <wp:extent cx="5320030" cy="1360805"/>
            <wp:effectExtent l="9525" t="9525" r="23495" b="20320"/>
            <wp:docPr id="26" name="图片 5"/>
            <wp:cNvGraphicFramePr/>
            <a:graphic xmlns:a="http://schemas.openxmlformats.org/drawingml/2006/main">
              <a:graphicData uri="http://schemas.openxmlformats.org/drawingml/2006/picture">
                <pic:pic xmlns:pic="http://schemas.openxmlformats.org/drawingml/2006/picture">
                  <pic:nvPicPr>
                    <pic:cNvPr id="26" name="图片 5"/>
                    <pic:cNvPicPr/>
                  </pic:nvPicPr>
                  <pic:blipFill>
                    <a:blip r:embed="rId13"/>
                  </pic:blipFill>
                  <pic:spPr>
                    <a:xfrm>
                      <a:off x="0" y="0"/>
                      <a:ext cx="5320030" cy="1360805"/>
                    </a:xfrm>
                    <a:prstGeom prst="rect">
                      <a:avLst/>
                    </a:prstGeom>
                    <a:solidFill>
                      <a:srgbClr val="FFFFFF"/>
                    </a:solidFill>
                    <a:ln w="9525">
                      <a:solidFill>
                        <a:srgbClr val="000000"/>
                      </a:solidFill>
                    </a:ln>
                  </pic:spPr>
                </pic:pic>
              </a:graphicData>
            </a:graphic>
          </wp:inline>
        </w:drawing>
      </w:r>
    </w:p>
    <w:p w14:paraId="449DC5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lang w:val="en-US" w:eastAsia="zh-CN"/>
        </w:rPr>
      </w:pPr>
    </w:p>
    <w:p w14:paraId="05AAD0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lang w:val="en-US" w:eastAsia="zh-CN"/>
        </w:rPr>
      </w:pPr>
      <w:r>
        <w:drawing>
          <wp:inline distT="0" distB="0" distL="114300" distR="114300">
            <wp:extent cx="5361940" cy="1306195"/>
            <wp:effectExtent l="9525" t="9525" r="19685" b="17780"/>
            <wp:docPr id="27" name="图片 6"/>
            <wp:cNvGraphicFramePr/>
            <a:graphic xmlns:a="http://schemas.openxmlformats.org/drawingml/2006/main">
              <a:graphicData uri="http://schemas.openxmlformats.org/drawingml/2006/picture">
                <pic:pic xmlns:pic="http://schemas.openxmlformats.org/drawingml/2006/picture">
                  <pic:nvPicPr>
                    <pic:cNvPr id="27" name="图片 6"/>
                    <pic:cNvPicPr/>
                  </pic:nvPicPr>
                  <pic:blipFill>
                    <a:blip r:embed="rId14"/>
                  </pic:blipFill>
                  <pic:spPr>
                    <a:xfrm>
                      <a:off x="0" y="0"/>
                      <a:ext cx="5361940" cy="1306195"/>
                    </a:xfrm>
                    <a:prstGeom prst="rect">
                      <a:avLst/>
                    </a:prstGeom>
                    <a:solidFill>
                      <a:srgbClr val="FFFFFF"/>
                    </a:solidFill>
                    <a:ln w="9525">
                      <a:solidFill>
                        <a:srgbClr val="000000"/>
                      </a:solidFill>
                    </a:ln>
                  </pic:spPr>
                </pic:pic>
              </a:graphicData>
            </a:graphic>
          </wp:inline>
        </w:drawing>
      </w:r>
    </w:p>
    <w:p w14:paraId="720336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lang w:val="en-US" w:eastAsia="zh-CN"/>
        </w:rPr>
      </w:pPr>
    </w:p>
    <w:p w14:paraId="079E5A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lang w:val="en-US" w:eastAsia="zh-CN"/>
        </w:rPr>
      </w:pPr>
      <w:r>
        <w:drawing>
          <wp:inline distT="0" distB="0" distL="114300" distR="114300">
            <wp:extent cx="5068570" cy="3531870"/>
            <wp:effectExtent l="5080" t="4445" r="12700" b="6985"/>
            <wp:docPr id="2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2E74AF7">
      <w:pPr>
        <w:bidi w:val="0"/>
      </w:pPr>
    </w:p>
    <w:p w14:paraId="069B11E1">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val="0"/>
          <w:bCs w:val="0"/>
          <w:sz w:val="32"/>
          <w:szCs w:val="32"/>
          <w:lang w:val="en-US" w:eastAsia="zh-CN"/>
        </w:rPr>
      </w:pPr>
      <w:bookmarkStart w:id="31" w:name="_Toc1584"/>
      <w:r>
        <w:rPr>
          <w:rFonts w:hint="eastAsia" w:ascii="楷体" w:hAnsi="楷体" w:eastAsia="楷体" w:cs="楷体"/>
          <w:b/>
          <w:bCs/>
          <w:sz w:val="32"/>
          <w:szCs w:val="32"/>
          <w:lang w:val="en-US" w:eastAsia="zh-CN"/>
        </w:rPr>
        <w:t>整体支出汇总及分析</w:t>
      </w:r>
      <w:bookmarkEnd w:id="31"/>
    </w:p>
    <w:p w14:paraId="494E35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支出检查范围及内容：是否符合预算用途和相关财经法规条例，有无超范围、超标准支出，报销凭证完整性与合规性，政府采购程序是否规范，招投标是否合规，重大项目开支和大额资金使用是否经单位党组集体研究决策，资金支付是否有完整的审批程序和手续等。</w:t>
      </w:r>
    </w:p>
    <w:p w14:paraId="46D349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1.整体支出情况</w:t>
      </w:r>
    </w:p>
    <w:p w14:paraId="663F6D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（1）整体支出分类及范围</w:t>
      </w:r>
    </w:p>
    <w:p w14:paraId="13628A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区委党史研究室的整体支出分为三大类，分别为基本支出-人员经费、基本支出-公用经费（一般性支出）与项目支出。</w:t>
      </w:r>
      <w:r>
        <w:rPr>
          <w:rFonts w:hint="eastAsia" w:ascii="仿宋" w:hAnsi="仿宋" w:eastAsia="仿宋" w:cs="仿宋"/>
          <w:b/>
          <w:bCs/>
          <w:sz w:val="32"/>
          <w:szCs w:val="32"/>
          <w:lang w:val="en-US" w:eastAsia="zh-CN"/>
        </w:rPr>
        <w:t>一是基本支出-人员经费</w:t>
      </w:r>
      <w:r>
        <w:rPr>
          <w:rFonts w:hint="eastAsia" w:ascii="仿宋" w:hAnsi="仿宋" w:eastAsia="仿宋" w:cs="仿宋"/>
          <w:b w:val="0"/>
          <w:bCs w:val="0"/>
          <w:sz w:val="32"/>
          <w:szCs w:val="32"/>
          <w:lang w:val="en-US" w:eastAsia="zh-CN"/>
        </w:rPr>
        <w:t>包括基本工资、津贴补贴、机关事业单位基本养老医疗保险缴费、住房公积金、奖金、对家庭和个人的补助、其他保障等。</w:t>
      </w:r>
      <w:r>
        <w:rPr>
          <w:rFonts w:hint="eastAsia" w:ascii="仿宋" w:hAnsi="仿宋" w:eastAsia="仿宋" w:cs="仿宋"/>
          <w:b/>
          <w:bCs/>
          <w:sz w:val="32"/>
          <w:szCs w:val="32"/>
          <w:lang w:val="en-US" w:eastAsia="zh-CN"/>
        </w:rPr>
        <w:t>二是基本支出-公用经费</w:t>
      </w:r>
      <w:r>
        <w:rPr>
          <w:rFonts w:hint="eastAsia" w:ascii="仿宋" w:hAnsi="仿宋" w:eastAsia="仿宋" w:cs="仿宋"/>
          <w:b w:val="0"/>
          <w:bCs w:val="0"/>
          <w:sz w:val="32"/>
          <w:szCs w:val="32"/>
          <w:lang w:val="en-US" w:eastAsia="zh-CN"/>
        </w:rPr>
        <w:t>包括办公经费、食堂餐费、加班餐费、财务软件费、培训费、印刷费等。</w:t>
      </w:r>
      <w:r>
        <w:rPr>
          <w:rFonts w:hint="eastAsia" w:ascii="仿宋" w:hAnsi="仿宋" w:eastAsia="仿宋" w:cs="仿宋"/>
          <w:b/>
          <w:bCs/>
          <w:sz w:val="32"/>
          <w:szCs w:val="32"/>
          <w:lang w:val="en-US" w:eastAsia="zh-CN"/>
        </w:rPr>
        <w:t>三是项目支出</w:t>
      </w:r>
      <w:r>
        <w:rPr>
          <w:rFonts w:hint="eastAsia" w:ascii="仿宋" w:hAnsi="仿宋" w:eastAsia="仿宋" w:cs="仿宋"/>
          <w:b w:val="0"/>
          <w:bCs w:val="0"/>
          <w:sz w:val="32"/>
          <w:szCs w:val="32"/>
          <w:lang w:val="en-US" w:eastAsia="zh-CN"/>
        </w:rPr>
        <w:t>包括加班餐费、印刷费、办公费、评审费等。</w:t>
      </w:r>
    </w:p>
    <w:p w14:paraId="3CD0E1D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各类支出从账套数到重分类数的调整过程</w:t>
      </w:r>
    </w:p>
    <w:p w14:paraId="6705441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pPr>
    </w:p>
    <w:p w14:paraId="506504F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pPr>
      <w:r>
        <w:drawing>
          <wp:inline distT="0" distB="0" distL="114300" distR="114300">
            <wp:extent cx="5471795" cy="3762375"/>
            <wp:effectExtent l="9525" t="9525" r="24130" b="19050"/>
            <wp:docPr id="34" name="图片 2"/>
            <wp:cNvGraphicFramePr/>
            <a:graphic xmlns:a="http://schemas.openxmlformats.org/drawingml/2006/main">
              <a:graphicData uri="http://schemas.openxmlformats.org/drawingml/2006/picture">
                <pic:pic xmlns:pic="http://schemas.openxmlformats.org/drawingml/2006/picture">
                  <pic:nvPicPr>
                    <pic:cNvPr id="34" name="图片 2"/>
                    <pic:cNvPicPr/>
                  </pic:nvPicPr>
                  <pic:blipFill>
                    <a:blip r:embed="rId16"/>
                  </pic:blipFill>
                  <pic:spPr>
                    <a:xfrm>
                      <a:off x="0" y="0"/>
                      <a:ext cx="5471795" cy="3762375"/>
                    </a:xfrm>
                    <a:prstGeom prst="rect">
                      <a:avLst/>
                    </a:prstGeom>
                    <a:solidFill>
                      <a:srgbClr val="FFFFFF"/>
                    </a:solidFill>
                    <a:ln w="9525">
                      <a:solidFill>
                        <a:srgbClr val="000000"/>
                      </a:solidFill>
                    </a:ln>
                  </pic:spPr>
                </pic:pic>
              </a:graphicData>
            </a:graphic>
          </wp:inline>
        </w:drawing>
      </w:r>
    </w:p>
    <w:p w14:paraId="774A9DC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pPr>
      <w:r>
        <w:drawing>
          <wp:inline distT="0" distB="0" distL="114300" distR="114300">
            <wp:extent cx="5579745" cy="3799840"/>
            <wp:effectExtent l="9525" t="9525" r="11430" b="19685"/>
            <wp:docPr id="3" name="图片 2"/>
            <wp:cNvGraphicFramePr/>
            <a:graphic xmlns:a="http://schemas.openxmlformats.org/drawingml/2006/main">
              <a:graphicData uri="http://schemas.openxmlformats.org/drawingml/2006/picture">
                <pic:pic xmlns:pic="http://schemas.openxmlformats.org/drawingml/2006/picture">
                  <pic:nvPicPr>
                    <pic:cNvPr id="3" name="图片 2"/>
                    <pic:cNvPicPr/>
                  </pic:nvPicPr>
                  <pic:blipFill>
                    <a:blip r:embed="rId17"/>
                  </pic:blipFill>
                  <pic:spPr>
                    <a:xfrm>
                      <a:off x="0" y="0"/>
                      <a:ext cx="5579745" cy="3799840"/>
                    </a:xfrm>
                    <a:prstGeom prst="rect">
                      <a:avLst/>
                    </a:prstGeom>
                    <a:solidFill>
                      <a:srgbClr val="FFFFFF"/>
                    </a:solidFill>
                    <a:ln w="9525">
                      <a:solidFill>
                        <a:srgbClr val="000000"/>
                      </a:solidFill>
                    </a:ln>
                  </pic:spPr>
                </pic:pic>
              </a:graphicData>
            </a:graphic>
          </wp:inline>
        </w:drawing>
      </w:r>
    </w:p>
    <w:p w14:paraId="25F39A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9"/>
      </w:pPr>
    </w:p>
    <w:p w14:paraId="0A9DB5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9"/>
      </w:pPr>
    </w:p>
    <w:p w14:paraId="6CE5B61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pPr>
      <w:r>
        <w:drawing>
          <wp:inline distT="0" distB="0" distL="114300" distR="114300">
            <wp:extent cx="5675630" cy="3787775"/>
            <wp:effectExtent l="9525" t="9525" r="10795" b="12700"/>
            <wp:docPr id="37" name="图片 1"/>
            <wp:cNvGraphicFramePr/>
            <a:graphic xmlns:a="http://schemas.openxmlformats.org/drawingml/2006/main">
              <a:graphicData uri="http://schemas.openxmlformats.org/drawingml/2006/picture">
                <pic:pic xmlns:pic="http://schemas.openxmlformats.org/drawingml/2006/picture">
                  <pic:nvPicPr>
                    <pic:cNvPr id="37" name="图片 1"/>
                    <pic:cNvPicPr/>
                  </pic:nvPicPr>
                  <pic:blipFill>
                    <a:blip r:embed="rId18"/>
                  </pic:blipFill>
                  <pic:spPr>
                    <a:xfrm>
                      <a:off x="0" y="0"/>
                      <a:ext cx="5675630" cy="3787775"/>
                    </a:xfrm>
                    <a:prstGeom prst="rect">
                      <a:avLst/>
                    </a:prstGeom>
                    <a:solidFill>
                      <a:srgbClr val="FFFFFF"/>
                    </a:solidFill>
                    <a:ln w="9525">
                      <a:solidFill>
                        <a:srgbClr val="000000"/>
                      </a:solidFill>
                    </a:ln>
                  </pic:spPr>
                </pic:pic>
              </a:graphicData>
            </a:graphic>
          </wp:inline>
        </w:drawing>
      </w:r>
    </w:p>
    <w:p w14:paraId="7DDF37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9"/>
        <w:rPr>
          <w:rFonts w:hint="eastAsia"/>
          <w:lang w:val="en-US" w:eastAsia="zh-CN"/>
        </w:rPr>
      </w:pPr>
    </w:p>
    <w:p w14:paraId="6FE77F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（3）各类支出重分类数与决算数的对比分析</w:t>
      </w:r>
    </w:p>
    <w:p w14:paraId="4009B6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由下表可知，重分类数与决算数相比，公用经费增加13,274.00元，增加率38.66%。项目支出减少84,924.00元，减少率40.52%。人员经费增加71,650.00元，增长率9.38%。原因为人员经费指标不够用，使用公用经费与项目支出指标。</w:t>
      </w:r>
    </w:p>
    <w:p w14:paraId="0F1E8CF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 w:hAnsi="仿宋" w:eastAsia="仿宋" w:cs="仿宋"/>
          <w:b/>
          <w:bCs/>
          <w:sz w:val="32"/>
          <w:szCs w:val="32"/>
          <w:lang w:val="en-US" w:eastAsia="zh-CN"/>
        </w:rPr>
      </w:pPr>
      <w:r>
        <w:drawing>
          <wp:inline distT="0" distB="0" distL="114300" distR="114300">
            <wp:extent cx="5918200" cy="904875"/>
            <wp:effectExtent l="9525" t="9525" r="15875" b="19050"/>
            <wp:docPr id="8" name="图片 7"/>
            <wp:cNvGraphicFramePr/>
            <a:graphic xmlns:a="http://schemas.openxmlformats.org/drawingml/2006/main">
              <a:graphicData uri="http://schemas.openxmlformats.org/drawingml/2006/picture">
                <pic:pic xmlns:pic="http://schemas.openxmlformats.org/drawingml/2006/picture">
                  <pic:nvPicPr>
                    <pic:cNvPr id="8" name="图片 7"/>
                    <pic:cNvPicPr/>
                  </pic:nvPicPr>
                  <pic:blipFill>
                    <a:blip r:embed="rId19"/>
                  </pic:blipFill>
                  <pic:spPr>
                    <a:xfrm>
                      <a:off x="0" y="0"/>
                      <a:ext cx="5918200" cy="904875"/>
                    </a:xfrm>
                    <a:prstGeom prst="rect">
                      <a:avLst/>
                    </a:prstGeom>
                    <a:solidFill>
                      <a:srgbClr val="FFFFFF"/>
                    </a:solidFill>
                    <a:ln w="9525">
                      <a:solidFill>
                        <a:srgbClr val="000000"/>
                      </a:solidFill>
                    </a:ln>
                  </pic:spPr>
                </pic:pic>
              </a:graphicData>
            </a:graphic>
          </wp:inline>
        </w:drawing>
      </w:r>
    </w:p>
    <w:p w14:paraId="5B5036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2.基本支出-人员经费重分类数汇总及分析</w:t>
      </w:r>
    </w:p>
    <w:p w14:paraId="38F546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详见后附工资管理情况及分析</w:t>
      </w:r>
    </w:p>
    <w:p w14:paraId="315412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9"/>
        <w:rPr>
          <w:rFonts w:hint="eastAsia" w:ascii="仿宋" w:hAnsi="仿宋" w:eastAsia="仿宋" w:cs="仿宋"/>
          <w:b/>
          <w:bCs/>
          <w:sz w:val="32"/>
          <w:szCs w:val="32"/>
          <w:lang w:val="en-US" w:eastAsia="zh-CN"/>
        </w:rPr>
      </w:pPr>
      <w:r>
        <w:drawing>
          <wp:inline distT="0" distB="0" distL="114300" distR="114300">
            <wp:extent cx="4732655" cy="2160270"/>
            <wp:effectExtent l="9525" t="9525" r="20320" b="20955"/>
            <wp:docPr id="38" name="图片 3"/>
            <wp:cNvGraphicFramePr/>
            <a:graphic xmlns:a="http://schemas.openxmlformats.org/drawingml/2006/main">
              <a:graphicData uri="http://schemas.openxmlformats.org/drawingml/2006/picture">
                <pic:pic xmlns:pic="http://schemas.openxmlformats.org/drawingml/2006/picture">
                  <pic:nvPicPr>
                    <pic:cNvPr id="38" name="图片 3"/>
                    <pic:cNvPicPr/>
                  </pic:nvPicPr>
                  <pic:blipFill>
                    <a:blip r:embed="rId20"/>
                  </pic:blipFill>
                  <pic:spPr>
                    <a:xfrm>
                      <a:off x="0" y="0"/>
                      <a:ext cx="4732655" cy="2160270"/>
                    </a:xfrm>
                    <a:prstGeom prst="rect">
                      <a:avLst/>
                    </a:prstGeom>
                    <a:solidFill>
                      <a:srgbClr val="FFFFFF"/>
                    </a:solidFill>
                    <a:ln w="9525">
                      <a:solidFill>
                        <a:srgbClr val="000000"/>
                      </a:solidFill>
                    </a:ln>
                  </pic:spPr>
                </pic:pic>
              </a:graphicData>
            </a:graphic>
          </wp:inline>
        </w:drawing>
      </w:r>
    </w:p>
    <w:p w14:paraId="7C98E1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3.基本支出-公用经费重分类数汇总及分析</w:t>
      </w:r>
    </w:p>
    <w:p w14:paraId="0B36B29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pPr>
      <w:r>
        <w:drawing>
          <wp:anchor distT="0" distB="0" distL="114300" distR="114300" simplePos="0" relativeHeight="251663360" behindDoc="1" locked="0" layoutInCell="1" allowOverlap="1">
            <wp:simplePos x="0" y="0"/>
            <wp:positionH relativeFrom="column">
              <wp:posOffset>893445</wp:posOffset>
            </wp:positionH>
            <wp:positionV relativeFrom="paragraph">
              <wp:posOffset>95885</wp:posOffset>
            </wp:positionV>
            <wp:extent cx="3678555" cy="2393315"/>
            <wp:effectExtent l="9525" t="9525" r="26670" b="16510"/>
            <wp:wrapNone/>
            <wp:docPr id="9" name="图片 3"/>
            <wp:cNvGraphicFramePr/>
            <a:graphic xmlns:a="http://schemas.openxmlformats.org/drawingml/2006/main">
              <a:graphicData uri="http://schemas.openxmlformats.org/drawingml/2006/picture">
                <pic:pic xmlns:pic="http://schemas.openxmlformats.org/drawingml/2006/picture">
                  <pic:nvPicPr>
                    <pic:cNvPr id="9" name="图片 3"/>
                    <pic:cNvPicPr/>
                  </pic:nvPicPr>
                  <pic:blipFill>
                    <a:blip r:embed="rId21"/>
                  </pic:blipFill>
                  <pic:spPr>
                    <a:xfrm>
                      <a:off x="0" y="0"/>
                      <a:ext cx="3678555" cy="2393315"/>
                    </a:xfrm>
                    <a:prstGeom prst="rect">
                      <a:avLst/>
                    </a:prstGeom>
                    <a:solidFill>
                      <a:srgbClr val="FFFFFF"/>
                    </a:solidFill>
                    <a:ln w="9525">
                      <a:solidFill>
                        <a:srgbClr val="000000"/>
                      </a:solidFill>
                    </a:ln>
                  </pic:spPr>
                </pic:pic>
              </a:graphicData>
            </a:graphic>
          </wp:anchor>
        </w:drawing>
      </w:r>
    </w:p>
    <w:p w14:paraId="3FF70F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p>
    <w:p w14:paraId="106EA4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p>
    <w:p w14:paraId="63CFE3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p>
    <w:p w14:paraId="7B53DC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p>
    <w:p w14:paraId="4F7254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p>
    <w:p w14:paraId="0E26F1FF">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lang w:val="en-US" w:eastAsia="zh-CN"/>
        </w:rPr>
      </w:pPr>
    </w:p>
    <w:p w14:paraId="18E6B2CD">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lang w:val="en-US" w:eastAsia="zh-CN"/>
        </w:rPr>
      </w:pPr>
      <w:r>
        <w:drawing>
          <wp:anchor distT="0" distB="0" distL="114300" distR="114300" simplePos="0" relativeHeight="251663360" behindDoc="1" locked="0" layoutInCell="1" allowOverlap="1">
            <wp:simplePos x="0" y="0"/>
            <wp:positionH relativeFrom="column">
              <wp:posOffset>-24130</wp:posOffset>
            </wp:positionH>
            <wp:positionV relativeFrom="paragraph">
              <wp:posOffset>251460</wp:posOffset>
            </wp:positionV>
            <wp:extent cx="5796280" cy="7919720"/>
            <wp:effectExtent l="9525" t="9525" r="23495" b="14605"/>
            <wp:wrapNone/>
            <wp:docPr id="6" name="图片 5"/>
            <wp:cNvGraphicFramePr/>
            <a:graphic xmlns:a="http://schemas.openxmlformats.org/drawingml/2006/main">
              <a:graphicData uri="http://schemas.openxmlformats.org/drawingml/2006/picture">
                <pic:pic xmlns:pic="http://schemas.openxmlformats.org/drawingml/2006/picture">
                  <pic:nvPicPr>
                    <pic:cNvPr id="6" name="图片 5"/>
                    <pic:cNvPicPr/>
                  </pic:nvPicPr>
                  <pic:blipFill>
                    <a:blip r:embed="rId22"/>
                  </pic:blipFill>
                  <pic:spPr>
                    <a:xfrm>
                      <a:off x="0" y="0"/>
                      <a:ext cx="5796280" cy="7919720"/>
                    </a:xfrm>
                    <a:prstGeom prst="rect">
                      <a:avLst/>
                    </a:prstGeom>
                    <a:solidFill>
                      <a:srgbClr val="FFFFFF"/>
                    </a:solidFill>
                    <a:ln w="9525">
                      <a:solidFill>
                        <a:srgbClr val="000000"/>
                      </a:solidFill>
                    </a:ln>
                  </pic:spPr>
                </pic:pic>
              </a:graphicData>
            </a:graphic>
          </wp:anchor>
        </w:drawing>
      </w:r>
    </w:p>
    <w:p w14:paraId="081C55A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pPr>
    </w:p>
    <w:p w14:paraId="639A6BB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pPr>
    </w:p>
    <w:p w14:paraId="7C0F913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pPr>
      <w:r>
        <w:drawing>
          <wp:anchor distT="0" distB="0" distL="114300" distR="114300" simplePos="0" relativeHeight="251663360" behindDoc="1" locked="0" layoutInCell="1" allowOverlap="1">
            <wp:simplePos x="0" y="0"/>
            <wp:positionH relativeFrom="column">
              <wp:posOffset>600075</wp:posOffset>
            </wp:positionH>
            <wp:positionV relativeFrom="paragraph">
              <wp:posOffset>-15643225</wp:posOffset>
            </wp:positionV>
            <wp:extent cx="6564630" cy="7748270"/>
            <wp:effectExtent l="9525" t="9525" r="17145" b="14605"/>
            <wp:wrapNone/>
            <wp:docPr id="41" name="图片 4"/>
            <wp:cNvGraphicFramePr/>
            <a:graphic xmlns:a="http://schemas.openxmlformats.org/drawingml/2006/main">
              <a:graphicData uri="http://schemas.openxmlformats.org/drawingml/2006/picture">
                <pic:pic xmlns:pic="http://schemas.openxmlformats.org/drawingml/2006/picture">
                  <pic:nvPicPr>
                    <pic:cNvPr id="41" name="图片 4"/>
                    <pic:cNvPicPr/>
                  </pic:nvPicPr>
                  <pic:blipFill>
                    <a:blip r:embed="rId23"/>
                  </pic:blipFill>
                  <pic:spPr>
                    <a:xfrm>
                      <a:off x="0" y="0"/>
                      <a:ext cx="6564630" cy="7748270"/>
                    </a:xfrm>
                    <a:prstGeom prst="rect">
                      <a:avLst/>
                    </a:prstGeom>
                    <a:solidFill>
                      <a:srgbClr val="FFFFFF"/>
                    </a:solidFill>
                    <a:ln w="9525">
                      <a:solidFill>
                        <a:srgbClr val="000000"/>
                      </a:solidFill>
                    </a:ln>
                  </pic:spPr>
                </pic:pic>
              </a:graphicData>
            </a:graphic>
          </wp:anchor>
        </w:drawing>
      </w:r>
    </w:p>
    <w:p w14:paraId="5397D1C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pPr>
    </w:p>
    <w:p w14:paraId="07DC230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pPr>
    </w:p>
    <w:p w14:paraId="39B6EA3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pPr>
    </w:p>
    <w:p w14:paraId="5CBF6AF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pPr>
    </w:p>
    <w:p w14:paraId="0416518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pPr>
    </w:p>
    <w:p w14:paraId="29FF20E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pPr>
    </w:p>
    <w:p w14:paraId="02E82F4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pPr>
    </w:p>
    <w:p w14:paraId="3584D8C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pPr>
    </w:p>
    <w:p w14:paraId="7DDD31C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pPr>
    </w:p>
    <w:p w14:paraId="409543E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pPr>
    </w:p>
    <w:p w14:paraId="04FA14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p>
    <w:p w14:paraId="25D8F2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p>
    <w:p w14:paraId="48E360AA">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lang w:val="en-US" w:eastAsia="zh-CN"/>
        </w:rPr>
      </w:pPr>
    </w:p>
    <w:p w14:paraId="48D1B3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p>
    <w:p w14:paraId="6D1424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p>
    <w:p w14:paraId="36432A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p>
    <w:p w14:paraId="1C907E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p>
    <w:p w14:paraId="5AF44F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p>
    <w:p w14:paraId="6A7AF0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p>
    <w:p w14:paraId="48DCFA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p>
    <w:p w14:paraId="1C0E8E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bCs/>
          <w:color w:val="auto"/>
          <w:sz w:val="32"/>
          <w:szCs w:val="32"/>
          <w:highlight w:val="none"/>
          <w:lang w:val="en-US" w:eastAsia="zh-CN"/>
        </w:rPr>
      </w:pPr>
      <w:r>
        <w:rPr>
          <w:rFonts w:hint="eastAsia" w:ascii="仿宋" w:hAnsi="仿宋" w:eastAsia="仿宋" w:cs="仿宋"/>
          <w:sz w:val="32"/>
          <w:szCs w:val="32"/>
          <w:lang w:val="en-US" w:eastAsia="zh-CN"/>
        </w:rPr>
        <w:t>检查凭证存在以下情况：一是支付食堂餐费无计算依据（如用餐人数、餐标、天数等）。二是办公用品采购无采购申请审批，采购会议一体机无采购审批申请单。三是办公用品耗材验收单无清单。四是打印费业务发生在2024年1-12月，合同签订日期为12月12日。</w:t>
      </w:r>
    </w:p>
    <w:p w14:paraId="768679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4.“三公”经费重分类数汇总及分析</w:t>
      </w:r>
    </w:p>
    <w:p w14:paraId="19D851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（1）区委党史研究室2024年度无因公出国（境）费。（2）区委党史研究室无公务用车购置及运行费。单位资产无公务车，日常无公车维护运行费。</w:t>
      </w:r>
      <w:r>
        <w:rPr>
          <w:rFonts w:hint="eastAsia" w:ascii="仿宋" w:hAnsi="仿宋" w:eastAsia="仿宋" w:cs="仿宋"/>
          <w:b/>
          <w:bCs/>
          <w:sz w:val="32"/>
          <w:szCs w:val="32"/>
          <w:lang w:val="en-US" w:eastAsia="zh-CN"/>
        </w:rPr>
        <w:t>与交通费相关联事项：</w:t>
      </w:r>
      <w:r>
        <w:rPr>
          <w:rFonts w:hint="eastAsia" w:ascii="仿宋" w:hAnsi="仿宋" w:eastAsia="仿宋" w:cs="仿宋"/>
          <w:b w:val="0"/>
          <w:bCs w:val="0"/>
          <w:sz w:val="32"/>
          <w:szCs w:val="32"/>
          <w:lang w:val="en-US" w:eastAsia="zh-CN"/>
        </w:rPr>
        <w:t>存在交通补贴造表发放，发放表未见人力资源部或组织部审批盖章。</w:t>
      </w:r>
    </w:p>
    <w:p w14:paraId="3D64D6D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5.会议费情况汇总</w:t>
      </w:r>
    </w:p>
    <w:p w14:paraId="1CEC42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无会议费支出。</w:t>
      </w:r>
    </w:p>
    <w:p w14:paraId="4FC393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6.办公经费情况汇总</w:t>
      </w:r>
    </w:p>
    <w:p w14:paraId="7E144C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基本支出-公用经费-办公费重分类数17,202.00元。检查凭证存在以下情况：</w:t>
      </w:r>
      <w:r>
        <w:rPr>
          <w:rFonts w:hint="eastAsia" w:ascii="仿宋" w:hAnsi="仿宋" w:eastAsia="仿宋" w:cs="仿宋"/>
          <w:b/>
          <w:bCs/>
          <w:sz w:val="32"/>
          <w:szCs w:val="32"/>
          <w:highlight w:val="none"/>
          <w:lang w:val="en-US" w:eastAsia="zh-CN"/>
        </w:rPr>
        <w:t>一是采购办公用品没有采购申请审批，二是</w:t>
      </w:r>
      <w:r>
        <w:rPr>
          <w:rFonts w:hint="eastAsia" w:ascii="仿宋" w:hAnsi="仿宋" w:eastAsia="仿宋" w:cs="仿宋"/>
          <w:sz w:val="32"/>
          <w:szCs w:val="32"/>
          <w:lang w:val="en-US" w:eastAsia="zh-CN"/>
        </w:rPr>
        <w:t>打印费业务发生在2024年1-12月，合同签订日期为12月12日</w:t>
      </w:r>
      <w:r>
        <w:rPr>
          <w:rFonts w:hint="eastAsia" w:ascii="仿宋" w:hAnsi="仿宋" w:eastAsia="仿宋" w:cs="仿宋"/>
          <w:b/>
          <w:bCs/>
          <w:sz w:val="32"/>
          <w:szCs w:val="32"/>
          <w:highlight w:val="none"/>
          <w:lang w:val="en-US" w:eastAsia="zh-CN"/>
        </w:rPr>
        <w:t>。</w:t>
      </w:r>
      <w:r>
        <w:rPr>
          <w:rFonts w:hint="eastAsia" w:ascii="仿宋" w:hAnsi="仿宋" w:eastAsia="仿宋" w:cs="仿宋"/>
          <w:sz w:val="32"/>
          <w:szCs w:val="32"/>
          <w:lang w:val="en-US" w:eastAsia="zh-CN"/>
        </w:rPr>
        <w:t>三是办公用品耗材验收单无清单。</w:t>
      </w:r>
    </w:p>
    <w:p w14:paraId="02C4CB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p>
    <w:p w14:paraId="5A842E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p>
    <w:p w14:paraId="01ECCD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p>
    <w:p w14:paraId="63698E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p>
    <w:p w14:paraId="7614283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lang w:val="en-US" w:eastAsia="zh-CN"/>
        </w:rPr>
      </w:pPr>
    </w:p>
    <w:p w14:paraId="2F0EE6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p>
    <w:p w14:paraId="7593AF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仿宋" w:hAnsi="仿宋" w:eastAsia="仿宋" w:cs="仿宋"/>
          <w:b/>
          <w:bCs/>
          <w:sz w:val="32"/>
          <w:szCs w:val="32"/>
          <w:lang w:val="en-US" w:eastAsia="zh-CN"/>
        </w:rPr>
      </w:pPr>
      <w:r>
        <w:drawing>
          <wp:anchor distT="0" distB="0" distL="114300" distR="114300" simplePos="0" relativeHeight="251663360" behindDoc="1" locked="0" layoutInCell="1" allowOverlap="1">
            <wp:simplePos x="0" y="0"/>
            <wp:positionH relativeFrom="column">
              <wp:posOffset>-152400</wp:posOffset>
            </wp:positionH>
            <wp:positionV relativeFrom="paragraph">
              <wp:posOffset>203200</wp:posOffset>
            </wp:positionV>
            <wp:extent cx="5980430" cy="3673475"/>
            <wp:effectExtent l="9525" t="9525" r="10795" b="12700"/>
            <wp:wrapNone/>
            <wp:docPr id="43" name="图片 6"/>
            <wp:cNvGraphicFramePr/>
            <a:graphic xmlns:a="http://schemas.openxmlformats.org/drawingml/2006/main">
              <a:graphicData uri="http://schemas.openxmlformats.org/drawingml/2006/picture">
                <pic:pic xmlns:pic="http://schemas.openxmlformats.org/drawingml/2006/picture">
                  <pic:nvPicPr>
                    <pic:cNvPr id="43" name="图片 6"/>
                    <pic:cNvPicPr/>
                  </pic:nvPicPr>
                  <pic:blipFill>
                    <a:blip r:embed="rId24"/>
                  </pic:blipFill>
                  <pic:spPr>
                    <a:xfrm>
                      <a:off x="0" y="0"/>
                      <a:ext cx="5980430" cy="3673475"/>
                    </a:xfrm>
                    <a:prstGeom prst="rect">
                      <a:avLst/>
                    </a:prstGeom>
                    <a:solidFill>
                      <a:srgbClr val="FFFFFF"/>
                    </a:solidFill>
                    <a:ln w="9525">
                      <a:solidFill>
                        <a:srgbClr val="000000"/>
                      </a:solidFill>
                    </a:ln>
                  </pic:spPr>
                </pic:pic>
              </a:graphicData>
            </a:graphic>
          </wp:anchor>
        </w:drawing>
      </w:r>
    </w:p>
    <w:p w14:paraId="5A666E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p>
    <w:p w14:paraId="197E96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p>
    <w:p w14:paraId="771406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p>
    <w:p w14:paraId="6C78ADE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 w:hAnsi="仿宋" w:eastAsia="仿宋" w:cs="仿宋"/>
          <w:b/>
          <w:bCs/>
          <w:sz w:val="32"/>
          <w:szCs w:val="32"/>
          <w:lang w:val="en-US" w:eastAsia="zh-CN"/>
        </w:rPr>
      </w:pPr>
    </w:p>
    <w:p w14:paraId="41B4B68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 w:hAnsi="仿宋" w:eastAsia="仿宋" w:cs="仿宋"/>
          <w:b/>
          <w:bCs/>
          <w:sz w:val="32"/>
          <w:szCs w:val="32"/>
          <w:lang w:val="en-US" w:eastAsia="zh-CN"/>
        </w:rPr>
      </w:pPr>
    </w:p>
    <w:p w14:paraId="7BE47DB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 w:hAnsi="仿宋" w:eastAsia="仿宋" w:cs="仿宋"/>
          <w:b/>
          <w:bCs/>
          <w:sz w:val="32"/>
          <w:szCs w:val="32"/>
          <w:lang w:val="en-US" w:eastAsia="zh-CN"/>
        </w:rPr>
      </w:pPr>
    </w:p>
    <w:p w14:paraId="4476CA0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 w:hAnsi="仿宋" w:eastAsia="仿宋" w:cs="仿宋"/>
          <w:b/>
          <w:bCs/>
          <w:sz w:val="32"/>
          <w:szCs w:val="32"/>
          <w:lang w:val="en-US" w:eastAsia="zh-CN"/>
        </w:rPr>
      </w:pPr>
    </w:p>
    <w:p w14:paraId="1E8B396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 w:hAnsi="仿宋" w:eastAsia="仿宋" w:cs="仿宋"/>
          <w:b/>
          <w:bCs/>
          <w:sz w:val="32"/>
          <w:szCs w:val="32"/>
          <w:lang w:val="en-US" w:eastAsia="zh-CN"/>
        </w:rPr>
      </w:pPr>
    </w:p>
    <w:p w14:paraId="7CABBA2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p>
    <w:p w14:paraId="71C5C22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7.新增财政性支出情况汇总</w:t>
      </w:r>
    </w:p>
    <w:p w14:paraId="6F3ED6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sz w:val="32"/>
          <w:szCs w:val="32"/>
          <w:lang w:val="en-US" w:eastAsia="zh-CN"/>
        </w:rPr>
        <w:t>无新增财政性支出。</w:t>
      </w:r>
    </w:p>
    <w:p w14:paraId="3F10E64C">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32" w:name="_Toc9675"/>
      <w:r>
        <w:rPr>
          <w:rFonts w:hint="eastAsia" w:ascii="楷体" w:hAnsi="楷体" w:eastAsia="楷体" w:cs="楷体"/>
          <w:b/>
          <w:bCs/>
          <w:sz w:val="32"/>
          <w:szCs w:val="32"/>
          <w:lang w:eastAsia="zh-CN"/>
        </w:rPr>
        <w:t>预算</w:t>
      </w:r>
      <w:r>
        <w:rPr>
          <w:rFonts w:hint="eastAsia" w:ascii="楷体" w:hAnsi="楷体" w:eastAsia="楷体" w:cs="楷体"/>
          <w:b/>
          <w:bCs/>
          <w:sz w:val="32"/>
          <w:szCs w:val="32"/>
          <w:lang w:val="en-US" w:eastAsia="zh-CN"/>
        </w:rPr>
        <w:t>管理情况及分析</w:t>
      </w:r>
      <w:bookmarkEnd w:id="32"/>
    </w:p>
    <w:p w14:paraId="4109F9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1.预算管理情况</w:t>
      </w:r>
    </w:p>
    <w:p w14:paraId="254215C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w:t>
      </w:r>
      <w:r>
        <w:rPr>
          <w:rFonts w:hint="eastAsia" w:ascii="仿宋" w:hAnsi="仿宋" w:eastAsia="仿宋" w:cs="仿宋"/>
          <w:b/>
          <w:bCs/>
          <w:sz w:val="32"/>
          <w:szCs w:val="32"/>
          <w:lang w:val="en-US" w:eastAsia="zh-CN"/>
        </w:rPr>
        <w:t>部门在预算管理方面建立的制度：雁峰区委党史研究室“三重一大”议事规则，雁峰区委党史研究室党风廉政建设工作制度，雁峰区委党史研究室</w:t>
      </w:r>
      <w:r>
        <w:rPr>
          <w:rFonts w:hint="eastAsia" w:ascii="仿宋" w:hAnsi="仿宋" w:eastAsia="仿宋" w:cs="仿宋"/>
          <w:b/>
          <w:bCs/>
          <w:sz w:val="32"/>
          <w:szCs w:val="32"/>
          <w:highlight w:val="none"/>
          <w:lang w:val="en-US" w:eastAsia="zh-CN"/>
        </w:rPr>
        <w:t>财务管理及内部控制制度等相关规定。未提供其他管理制度，如：预算管理制度，政府采购管理制度，合同管理制度，专项资金管理办法，绩效管理制度，信息化管理制度，决算与财务报告制度，监督与审计制度，工会管理制度等。</w:t>
      </w:r>
    </w:p>
    <w:p w14:paraId="4A112D1E">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（2）预算管理相关的信息化工具：</w:t>
      </w:r>
      <w:r>
        <w:rPr>
          <w:rFonts w:hint="eastAsia" w:ascii="Times New Roman" w:hAnsi="Times New Roman" w:eastAsia="仿宋_GB2312" w:cs="Times New Roman"/>
          <w:color w:val="auto"/>
          <w:sz w:val="32"/>
          <w:szCs w:val="32"/>
          <w:highlight w:val="none"/>
          <w:lang w:val="en-US" w:eastAsia="zh-CN"/>
        </w:rPr>
        <w:t>使用财政预算一体化信息系统。</w:t>
      </w:r>
    </w:p>
    <w:p w14:paraId="7C6B334E">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（3）预算信息公开情况：</w:t>
      </w:r>
      <w:r>
        <w:rPr>
          <w:rFonts w:hint="eastAsia" w:ascii="Times New Roman" w:hAnsi="Times New Roman" w:eastAsia="仿宋_GB2312" w:cs="Times New Roman"/>
          <w:b w:val="0"/>
          <w:bCs w:val="0"/>
          <w:color w:val="auto"/>
          <w:sz w:val="32"/>
          <w:szCs w:val="32"/>
          <w:highlight w:val="none"/>
          <w:lang w:val="en-US" w:eastAsia="zh-CN"/>
        </w:rPr>
        <w:t>能在</w:t>
      </w:r>
      <w:r>
        <w:rPr>
          <w:rFonts w:hint="eastAsia" w:ascii="Times New Roman" w:hAnsi="Times New Roman" w:eastAsia="仿宋_GB2312" w:cs="Times New Roman"/>
          <w:color w:val="auto"/>
          <w:sz w:val="32"/>
          <w:szCs w:val="32"/>
          <w:highlight w:val="none"/>
          <w:lang w:val="en-US" w:eastAsia="zh-CN"/>
        </w:rPr>
        <w:t>衡阳市政府网上查到区委党史研究室的预算公开信息。</w:t>
      </w:r>
    </w:p>
    <w:p w14:paraId="7A4763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2.预算管理分析</w:t>
      </w:r>
    </w:p>
    <w:p w14:paraId="3C06C7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（1）制度健全性</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highlight w:val="none"/>
          <w:lang w:val="en-US" w:eastAsia="zh-CN"/>
        </w:rPr>
        <w:t>财务管理制度未覆盖预算编制、调整、核算等关键环节，部分制度缺失。</w:t>
      </w:r>
    </w:p>
    <w:p w14:paraId="616FC2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（2）执行有效性：</w:t>
      </w:r>
      <w:r>
        <w:rPr>
          <w:rFonts w:hint="eastAsia" w:ascii="仿宋" w:hAnsi="仿宋" w:eastAsia="仿宋" w:cs="仿宋"/>
          <w:b w:val="0"/>
          <w:bCs w:val="0"/>
          <w:sz w:val="32"/>
          <w:szCs w:val="32"/>
          <w:highlight w:val="none"/>
          <w:lang w:val="en-US" w:eastAsia="zh-CN"/>
        </w:rPr>
        <w:t>按照财务管理制度基本有效执行。存在不足之处详见整体支出汇总及分析。</w:t>
      </w:r>
    </w:p>
    <w:p w14:paraId="21356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（3）监控预警能力：</w:t>
      </w:r>
      <w:r>
        <w:rPr>
          <w:rFonts w:hint="eastAsia" w:ascii="仿宋" w:hAnsi="仿宋" w:eastAsia="仿宋" w:cs="仿宋"/>
          <w:b w:val="0"/>
          <w:bCs w:val="0"/>
          <w:sz w:val="32"/>
          <w:szCs w:val="32"/>
          <w:highlight w:val="none"/>
          <w:lang w:val="en-US" w:eastAsia="zh-CN"/>
        </w:rPr>
        <w:t>政府会计系统通过“指标-支出-核算”一体化管理，在一定程度上实现了预算执行全流程监控。</w:t>
      </w:r>
    </w:p>
    <w:p w14:paraId="52FB5F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（4）信息化支撑：</w:t>
      </w:r>
      <w:r>
        <w:rPr>
          <w:rFonts w:hint="eastAsia" w:ascii="仿宋" w:hAnsi="仿宋" w:eastAsia="仿宋" w:cs="仿宋"/>
          <w:b w:val="0"/>
          <w:bCs w:val="0"/>
          <w:sz w:val="32"/>
          <w:szCs w:val="32"/>
          <w:lang w:val="en-US" w:eastAsia="zh-CN"/>
        </w:rPr>
        <w:t>实现预算编制、执行、核算、决算全流程线上化，有效支撑了预算管理和监控。</w:t>
      </w:r>
    </w:p>
    <w:p w14:paraId="127F30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（5）管理规范性：未提供预算调整批复文件。</w:t>
      </w:r>
    </w:p>
    <w:p w14:paraId="7BF89F58">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33" w:name="_Toc14368"/>
      <w:r>
        <w:rPr>
          <w:rFonts w:hint="eastAsia" w:ascii="楷体" w:hAnsi="楷体" w:eastAsia="楷体" w:cs="楷体"/>
          <w:b/>
          <w:bCs/>
          <w:sz w:val="32"/>
          <w:szCs w:val="32"/>
          <w:lang w:val="en-US" w:eastAsia="zh-CN"/>
        </w:rPr>
        <w:t>工资管理情况及分析</w:t>
      </w:r>
      <w:bookmarkEnd w:id="33"/>
    </w:p>
    <w:p w14:paraId="7AC295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1.未提供相关文件：</w:t>
      </w:r>
      <w:r>
        <w:rPr>
          <w:rFonts w:hint="eastAsia" w:ascii="仿宋" w:hAnsi="仿宋" w:eastAsia="仿宋" w:cs="仿宋"/>
          <w:b w:val="0"/>
          <w:bCs w:val="0"/>
          <w:sz w:val="32"/>
          <w:szCs w:val="32"/>
          <w:lang w:val="en-US" w:eastAsia="zh-CN"/>
        </w:rPr>
        <w:t>未提供发放职工津贴与车补的相关文件。未提供工资流程及工资管理制度。未提供相关审计检查文件或资料。</w:t>
      </w:r>
    </w:p>
    <w:p w14:paraId="40A8D3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sz w:val="84"/>
          <w:szCs w:val="84"/>
          <w:lang w:val="en-US" w:eastAsia="zh-CN"/>
        </w:rPr>
      </w:pPr>
      <w:r>
        <w:rPr>
          <w:rFonts w:hint="eastAsia" w:ascii="仿宋" w:hAnsi="仿宋" w:eastAsia="仿宋" w:cs="仿宋"/>
          <w:b/>
          <w:bCs/>
          <w:sz w:val="32"/>
          <w:szCs w:val="32"/>
          <w:lang w:val="en-US" w:eastAsia="zh-CN"/>
        </w:rPr>
        <w:t>2.检查凭证过程中，发现存在以下情况：一是</w:t>
      </w:r>
      <w:r>
        <w:rPr>
          <w:rFonts w:hint="default" w:ascii="仿宋" w:hAnsi="仿宋" w:eastAsia="仿宋" w:cs="仿宋"/>
          <w:b/>
          <w:bCs/>
          <w:sz w:val="32"/>
          <w:szCs w:val="32"/>
          <w:lang w:val="en-US" w:eastAsia="zh-CN"/>
        </w:rPr>
        <w:t>统发工资后附国库支付单，无工资明细，无回单，无审批。</w:t>
      </w:r>
      <w:r>
        <w:rPr>
          <w:rFonts w:hint="eastAsia" w:ascii="仿宋" w:hAnsi="仿宋" w:eastAsia="仿宋" w:cs="仿宋"/>
          <w:b/>
          <w:bCs/>
          <w:sz w:val="32"/>
          <w:szCs w:val="32"/>
          <w:lang w:val="en-US" w:eastAsia="zh-CN"/>
        </w:rPr>
        <w:t>二是</w:t>
      </w:r>
      <w:r>
        <w:rPr>
          <w:rFonts w:hint="default" w:ascii="仿宋" w:hAnsi="仿宋" w:eastAsia="仿宋" w:cs="仿宋"/>
          <w:b/>
          <w:bCs/>
          <w:sz w:val="32"/>
          <w:szCs w:val="32"/>
          <w:lang w:val="en-US" w:eastAsia="zh-CN"/>
        </w:rPr>
        <w:t>后附计提五险一金表无本单位领导及人力资源审批签字。</w:t>
      </w:r>
      <w:r>
        <w:rPr>
          <w:rFonts w:hint="eastAsia" w:ascii="仿宋" w:hAnsi="仿宋" w:eastAsia="仿宋" w:cs="仿宋"/>
          <w:b/>
          <w:bCs/>
          <w:sz w:val="32"/>
          <w:szCs w:val="32"/>
          <w:lang w:val="en-US" w:eastAsia="zh-CN"/>
        </w:rPr>
        <w:t>三是住房公积金</w:t>
      </w:r>
      <w:r>
        <w:rPr>
          <w:rFonts w:hint="default" w:ascii="仿宋" w:hAnsi="仿宋" w:eastAsia="仿宋" w:cs="仿宋"/>
          <w:b/>
          <w:bCs/>
          <w:sz w:val="32"/>
          <w:szCs w:val="32"/>
          <w:lang w:val="en-US" w:eastAsia="zh-CN"/>
        </w:rPr>
        <w:t>交通补贴</w:t>
      </w:r>
      <w:r>
        <w:rPr>
          <w:rFonts w:hint="eastAsia" w:ascii="仿宋" w:hAnsi="仿宋" w:eastAsia="仿宋" w:cs="仿宋"/>
          <w:b/>
          <w:bCs/>
          <w:sz w:val="32"/>
          <w:szCs w:val="32"/>
          <w:lang w:val="en-US" w:eastAsia="zh-CN"/>
        </w:rPr>
        <w:t>津贴</w:t>
      </w:r>
      <w:r>
        <w:rPr>
          <w:rFonts w:hint="default" w:ascii="仿宋" w:hAnsi="仿宋" w:eastAsia="仿宋" w:cs="仿宋"/>
          <w:b/>
          <w:bCs/>
          <w:sz w:val="32"/>
          <w:szCs w:val="32"/>
          <w:lang w:val="en-US" w:eastAsia="zh-CN"/>
        </w:rPr>
        <w:t>缺乏人力资源或组织部门的审核盖章。由本单位领导签字，无人力资源</w:t>
      </w:r>
      <w:r>
        <w:rPr>
          <w:rFonts w:hint="eastAsia" w:ascii="仿宋" w:hAnsi="仿宋" w:eastAsia="仿宋" w:cs="仿宋"/>
          <w:b/>
          <w:bCs/>
          <w:sz w:val="32"/>
          <w:szCs w:val="32"/>
          <w:lang w:val="en-US" w:eastAsia="zh-CN"/>
        </w:rPr>
        <w:t>或组织部</w:t>
      </w:r>
      <w:r>
        <w:rPr>
          <w:rFonts w:hint="default" w:ascii="仿宋" w:hAnsi="仿宋" w:eastAsia="仿宋" w:cs="仿宋"/>
          <w:b/>
          <w:bCs/>
          <w:sz w:val="32"/>
          <w:szCs w:val="32"/>
          <w:lang w:val="en-US" w:eastAsia="zh-CN"/>
        </w:rPr>
        <w:t>审核。</w:t>
      </w:r>
    </w:p>
    <w:p w14:paraId="34EFB6E7">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bCs/>
          <w:sz w:val="32"/>
          <w:szCs w:val="32"/>
          <w:lang w:val="en-US" w:eastAsia="zh-CN"/>
        </w:rPr>
      </w:pPr>
      <w:bookmarkStart w:id="34" w:name="_Toc2464"/>
      <w:r>
        <w:rPr>
          <w:rFonts w:hint="eastAsia" w:ascii="楷体" w:hAnsi="楷体" w:eastAsia="楷体" w:cs="楷体"/>
          <w:b/>
          <w:bCs/>
          <w:sz w:val="32"/>
          <w:szCs w:val="32"/>
          <w:lang w:val="en-US" w:eastAsia="zh-CN"/>
        </w:rPr>
        <w:t>项目支出管理情况及分析</w:t>
      </w:r>
      <w:bookmarkEnd w:id="34"/>
    </w:p>
    <w:p w14:paraId="5A3AC8F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区委党史研究室未提供项目管理制度，未提供政府采购管理制度。</w:t>
      </w:r>
    </w:p>
    <w:p w14:paraId="1C3F758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1.项目支出内容</w:t>
      </w:r>
      <w:r>
        <w:rPr>
          <w:rFonts w:hint="eastAsia" w:ascii="仿宋" w:hAnsi="仿宋" w:eastAsia="仿宋" w:cs="仿宋"/>
          <w:sz w:val="32"/>
          <w:szCs w:val="32"/>
          <w:lang w:val="en-US" w:eastAsia="zh-CN"/>
        </w:rPr>
        <w:t>包括加班餐费、印刷费、评审费、审稿费。</w:t>
      </w:r>
    </w:p>
    <w:p w14:paraId="51CBD8F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outlineLvl w:val="9"/>
        <w:rPr>
          <w:rFonts w:hint="default" w:ascii="仿宋" w:hAnsi="仿宋" w:eastAsia="仿宋" w:cs="仿宋"/>
          <w:sz w:val="32"/>
          <w:szCs w:val="32"/>
          <w:lang w:val="en-US" w:eastAsia="zh-CN"/>
        </w:rPr>
      </w:pPr>
      <w:r>
        <w:drawing>
          <wp:anchor distT="0" distB="0" distL="114300" distR="114300" simplePos="0" relativeHeight="251663360" behindDoc="1" locked="0" layoutInCell="1" allowOverlap="1">
            <wp:simplePos x="0" y="0"/>
            <wp:positionH relativeFrom="column">
              <wp:posOffset>568325</wp:posOffset>
            </wp:positionH>
            <wp:positionV relativeFrom="paragraph">
              <wp:posOffset>65405</wp:posOffset>
            </wp:positionV>
            <wp:extent cx="3936365" cy="2384425"/>
            <wp:effectExtent l="9525" t="9525" r="16510" b="25400"/>
            <wp:wrapNone/>
            <wp:docPr id="10" name="图片 2"/>
            <wp:cNvGraphicFramePr/>
            <a:graphic xmlns:a="http://schemas.openxmlformats.org/drawingml/2006/main">
              <a:graphicData uri="http://schemas.openxmlformats.org/drawingml/2006/picture">
                <pic:pic xmlns:pic="http://schemas.openxmlformats.org/drawingml/2006/picture">
                  <pic:nvPicPr>
                    <pic:cNvPr id="10" name="图片 2"/>
                    <pic:cNvPicPr/>
                  </pic:nvPicPr>
                  <pic:blipFill>
                    <a:blip r:embed="rId25"/>
                  </pic:blipFill>
                  <pic:spPr>
                    <a:xfrm>
                      <a:off x="0" y="0"/>
                      <a:ext cx="3936365" cy="2384425"/>
                    </a:xfrm>
                    <a:prstGeom prst="rect">
                      <a:avLst/>
                    </a:prstGeom>
                    <a:solidFill>
                      <a:srgbClr val="FFFFFF"/>
                    </a:solidFill>
                    <a:ln w="9525">
                      <a:solidFill>
                        <a:srgbClr val="000000"/>
                      </a:solidFill>
                    </a:ln>
                  </pic:spPr>
                </pic:pic>
              </a:graphicData>
            </a:graphic>
          </wp:anchor>
        </w:drawing>
      </w:r>
    </w:p>
    <w:p w14:paraId="0D99D4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lang w:val="en-US" w:eastAsia="zh-CN"/>
        </w:rPr>
      </w:pPr>
    </w:p>
    <w:p w14:paraId="1BD27A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lang w:val="en-US" w:eastAsia="zh-CN"/>
        </w:rPr>
      </w:pPr>
    </w:p>
    <w:p w14:paraId="086BD4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lang w:val="en-US" w:eastAsia="zh-CN"/>
        </w:rPr>
      </w:pPr>
    </w:p>
    <w:p w14:paraId="395C3B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lang w:val="en-US" w:eastAsia="zh-CN"/>
        </w:rPr>
      </w:pPr>
    </w:p>
    <w:p w14:paraId="2C8D84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lang w:val="en-US" w:eastAsia="zh-CN"/>
        </w:rPr>
      </w:pPr>
    </w:p>
    <w:p w14:paraId="244EE8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lang w:val="en-US" w:eastAsia="zh-CN"/>
        </w:rPr>
      </w:pPr>
    </w:p>
    <w:p w14:paraId="75653B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检查凭证信息，存在以下情况：一是2024年05月5#凭证评审费未见项目会议纪要相关文件及合同，无评审总结及结果。二是如2024年12月2#凭证2023《雁峰年鉴》审稿费无政采云平台的专家抽取系统来记录和证明，无审稿总结及结果。三是</w:t>
      </w:r>
      <w:r>
        <w:rPr>
          <w:rFonts w:hint="eastAsia" w:ascii="仿宋" w:hAnsi="仿宋" w:eastAsia="仿宋" w:cs="仿宋"/>
          <w:b/>
          <w:bCs/>
          <w:sz w:val="32"/>
          <w:szCs w:val="32"/>
          <w:highlight w:val="none"/>
          <w:lang w:val="en-US" w:eastAsia="zh-CN"/>
        </w:rPr>
        <w:t>合同签订时间在活动业务发生之后。如2024年12月27#《雁峰人大70年》打字复印费</w:t>
      </w:r>
      <w:r>
        <w:rPr>
          <w:rFonts w:hint="eastAsia" w:ascii="仿宋" w:hAnsi="仿宋" w:eastAsia="仿宋" w:cs="仿宋"/>
          <w:b/>
          <w:bCs/>
          <w:sz w:val="32"/>
          <w:szCs w:val="32"/>
          <w:lang w:val="en-US" w:eastAsia="zh-CN"/>
        </w:rPr>
        <w:t>凭证。四是《雁峰人大70年》印刷费无采购申请单。</w:t>
      </w:r>
    </w:p>
    <w:p w14:paraId="2F55AE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1" w:firstLineChars="1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lang w:val="en-US" w:eastAsia="zh-CN"/>
        </w:rPr>
        <w:t>3.项目支出取得效益</w:t>
      </w:r>
    </w:p>
    <w:p w14:paraId="6A1D62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区委党史研究室本阶段史志编研工作取得了显著的综合效益。</w:t>
      </w:r>
      <w:r>
        <w:rPr>
          <w:rFonts w:hint="eastAsia" w:ascii="仿宋" w:hAnsi="仿宋" w:eastAsia="仿宋" w:cs="仿宋"/>
          <w:b w:val="0"/>
          <w:bCs w:val="0"/>
          <w:sz w:val="32"/>
          <w:szCs w:val="32"/>
          <w:highlight w:val="none"/>
          <w:lang w:val="en-US" w:eastAsia="zh-CN"/>
        </w:rPr>
        <w:t>一是存史资政作用凸显，系统编纂《雁峰人大70年》等重要文献，完整记录区域民主法治建设历程，为党委、政府决策提供了权威历史参考和区情依据。二是宣传教育成效显著《雁峰人大70年》在市级重要会议作为观摩资料展示，成为宣传区域发展成就的“金色名片”，有效提升了本地知名度和影响力。三是协作格局持续优化，通过联合区委党史联络组、区人大办等多方力量，构建了跨部门协作的“大史志”工作格局，凝聚了编研工作合力。四是基础工作扎实有效，高质量完成上级年鉴供稿和认真完成兄弟县市区志书年鉴评审工作，按期完成红色资源普查，为传承红色基因、服务文化建设奠定了坚实基础。各项工作充分体现了“党史姓党”原则，实现了存史、资政、育人功能的有机统一，为区域发展提供了有力的史志支撑。</w:t>
      </w:r>
    </w:p>
    <w:p w14:paraId="6E5DA3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1"/>
        <w:rPr>
          <w:rFonts w:hint="eastAsia" w:ascii="楷体" w:hAnsi="楷体" w:eastAsia="楷体" w:cs="楷体"/>
          <w:b/>
          <w:bCs/>
          <w:sz w:val="32"/>
          <w:szCs w:val="32"/>
          <w:highlight w:val="none"/>
          <w:lang w:val="en-US" w:eastAsia="zh-CN"/>
        </w:rPr>
      </w:pPr>
      <w:bookmarkStart w:id="35" w:name="_Toc10201"/>
      <w:r>
        <w:rPr>
          <w:rFonts w:hint="eastAsia" w:ascii="仿宋" w:hAnsi="仿宋" w:eastAsia="仿宋" w:cs="仿宋"/>
          <w:b/>
          <w:bCs/>
          <w:sz w:val="32"/>
          <w:szCs w:val="32"/>
          <w:highlight w:val="none"/>
          <w:lang w:val="en-US" w:eastAsia="zh-CN"/>
        </w:rPr>
        <w:t>（七）</w:t>
      </w:r>
      <w:r>
        <w:rPr>
          <w:rFonts w:hint="eastAsia" w:ascii="楷体" w:hAnsi="楷体" w:eastAsia="楷体" w:cs="楷体"/>
          <w:b/>
          <w:bCs/>
          <w:sz w:val="32"/>
          <w:szCs w:val="32"/>
          <w:highlight w:val="none"/>
          <w:lang w:val="en-US" w:eastAsia="zh-CN"/>
        </w:rPr>
        <w:t>固定资产管理情况及分析</w:t>
      </w:r>
      <w:bookmarkEnd w:id="35"/>
    </w:p>
    <w:p w14:paraId="1B50D2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1.固定资产2024年原值及折旧变动情况（金额：元）</w:t>
      </w:r>
    </w:p>
    <w:tbl>
      <w:tblPr>
        <w:tblStyle w:val="15"/>
        <w:tblW w:w="84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6"/>
        <w:gridCol w:w="1371"/>
        <w:gridCol w:w="1999"/>
        <w:gridCol w:w="1775"/>
        <w:gridCol w:w="1506"/>
      </w:tblGrid>
      <w:tr w14:paraId="2088A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1806" w:type="dxa"/>
            <w:tcBorders>
              <w:top w:val="single" w:color="5B9BD5" w:sz="8" w:space="0"/>
              <w:left w:val="single" w:color="5B9BD5" w:sz="8" w:space="0"/>
              <w:bottom w:val="single" w:color="5B9BD5" w:sz="8" w:space="0"/>
              <w:right w:val="single" w:color="9BC2E6" w:sz="8" w:space="0"/>
            </w:tcBorders>
            <w:shd w:val="clear" w:color="auto" w:fill="auto"/>
            <w:vAlign w:val="center"/>
          </w:tcPr>
          <w:p w14:paraId="0F5096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371" w:type="dxa"/>
            <w:tcBorders>
              <w:top w:val="single" w:color="5B9BD5" w:sz="8" w:space="0"/>
              <w:left w:val="nil"/>
              <w:bottom w:val="single" w:color="5B9BD5" w:sz="8" w:space="0"/>
              <w:right w:val="single" w:color="9BC2E6" w:sz="8" w:space="0"/>
            </w:tcBorders>
            <w:shd w:val="clear" w:color="auto" w:fill="auto"/>
            <w:noWrap/>
            <w:vAlign w:val="center"/>
          </w:tcPr>
          <w:p w14:paraId="442C97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期初余额</w:t>
            </w:r>
          </w:p>
        </w:tc>
        <w:tc>
          <w:tcPr>
            <w:tcW w:w="1999" w:type="dxa"/>
            <w:tcBorders>
              <w:top w:val="single" w:color="5B9BD5" w:sz="8" w:space="0"/>
              <w:left w:val="nil"/>
              <w:bottom w:val="single" w:color="5B9BD5" w:sz="8" w:space="0"/>
              <w:right w:val="single" w:color="9BC2E6" w:sz="8" w:space="0"/>
            </w:tcBorders>
            <w:shd w:val="clear" w:color="auto" w:fill="auto"/>
            <w:noWrap/>
            <w:vAlign w:val="center"/>
          </w:tcPr>
          <w:p w14:paraId="39F27C2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2024年增加额</w:t>
            </w:r>
          </w:p>
        </w:tc>
        <w:tc>
          <w:tcPr>
            <w:tcW w:w="1775" w:type="dxa"/>
            <w:tcBorders>
              <w:top w:val="single" w:color="5B9BD5" w:sz="8" w:space="0"/>
              <w:left w:val="nil"/>
              <w:bottom w:val="single" w:color="5B9BD5" w:sz="8" w:space="0"/>
              <w:right w:val="single" w:color="9BC2E6" w:sz="8" w:space="0"/>
            </w:tcBorders>
            <w:shd w:val="clear" w:color="auto" w:fill="auto"/>
            <w:noWrap/>
            <w:vAlign w:val="center"/>
          </w:tcPr>
          <w:p w14:paraId="61BA029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2024年减少额</w:t>
            </w:r>
          </w:p>
        </w:tc>
        <w:tc>
          <w:tcPr>
            <w:tcW w:w="1506" w:type="dxa"/>
            <w:tcBorders>
              <w:top w:val="single" w:color="5B9BD5" w:sz="8" w:space="0"/>
              <w:left w:val="nil"/>
              <w:bottom w:val="single" w:color="5B9BD5" w:sz="8" w:space="0"/>
              <w:right w:val="single" w:color="5B9BD5" w:sz="8" w:space="0"/>
            </w:tcBorders>
            <w:shd w:val="clear" w:color="auto" w:fill="auto"/>
            <w:noWrap/>
            <w:vAlign w:val="center"/>
          </w:tcPr>
          <w:p w14:paraId="24F06C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期末余额</w:t>
            </w:r>
          </w:p>
        </w:tc>
      </w:tr>
      <w:tr w14:paraId="7B91A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806" w:type="dxa"/>
            <w:tcBorders>
              <w:top w:val="nil"/>
              <w:left w:val="single" w:color="5B9BD5" w:sz="8" w:space="0"/>
              <w:bottom w:val="single" w:color="9BC2E6" w:sz="8" w:space="0"/>
              <w:right w:val="single" w:color="9BC2E6" w:sz="8" w:space="0"/>
            </w:tcBorders>
            <w:shd w:val="clear" w:color="auto" w:fill="DDEBF7"/>
            <w:vAlign w:val="center"/>
          </w:tcPr>
          <w:p w14:paraId="0E0F8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固定资产原值</w:t>
            </w:r>
          </w:p>
        </w:tc>
        <w:tc>
          <w:tcPr>
            <w:tcW w:w="1371" w:type="dxa"/>
            <w:tcBorders>
              <w:top w:val="nil"/>
              <w:left w:val="nil"/>
              <w:bottom w:val="single" w:color="9BC2E6" w:sz="8" w:space="0"/>
              <w:right w:val="single" w:color="9BC2E6" w:sz="8" w:space="0"/>
            </w:tcBorders>
            <w:shd w:val="clear" w:color="auto" w:fill="DDEBF7"/>
            <w:noWrap/>
            <w:vAlign w:val="center"/>
          </w:tcPr>
          <w:p w14:paraId="74DF108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61,957.00</w:t>
            </w:r>
          </w:p>
        </w:tc>
        <w:tc>
          <w:tcPr>
            <w:tcW w:w="1999" w:type="dxa"/>
            <w:tcBorders>
              <w:top w:val="nil"/>
              <w:left w:val="nil"/>
              <w:bottom w:val="single" w:color="9BC2E6" w:sz="8" w:space="0"/>
              <w:right w:val="single" w:color="9BC2E6" w:sz="8" w:space="0"/>
            </w:tcBorders>
            <w:shd w:val="clear" w:color="auto" w:fill="DDEBF7"/>
            <w:noWrap/>
            <w:vAlign w:val="center"/>
          </w:tcPr>
          <w:p w14:paraId="4C21462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9,790.00</w:t>
            </w:r>
          </w:p>
        </w:tc>
        <w:tc>
          <w:tcPr>
            <w:tcW w:w="1775" w:type="dxa"/>
            <w:tcBorders>
              <w:top w:val="nil"/>
              <w:left w:val="nil"/>
              <w:bottom w:val="single" w:color="9BC2E6" w:sz="8" w:space="0"/>
              <w:right w:val="single" w:color="9BC2E6" w:sz="8" w:space="0"/>
            </w:tcBorders>
            <w:shd w:val="clear" w:color="auto" w:fill="DDEBF7"/>
            <w:noWrap/>
            <w:vAlign w:val="center"/>
          </w:tcPr>
          <w:p w14:paraId="1BE50A5D">
            <w:pPr>
              <w:jc w:val="right"/>
              <w:rPr>
                <w:rFonts w:hint="eastAsia" w:ascii="宋体" w:hAnsi="宋体" w:eastAsia="宋体" w:cs="宋体"/>
                <w:i w:val="0"/>
                <w:iCs w:val="0"/>
                <w:color w:val="000000"/>
                <w:sz w:val="24"/>
                <w:szCs w:val="24"/>
                <w:u w:val="none"/>
              </w:rPr>
            </w:pPr>
          </w:p>
        </w:tc>
        <w:tc>
          <w:tcPr>
            <w:tcW w:w="1506" w:type="dxa"/>
            <w:tcBorders>
              <w:top w:val="nil"/>
              <w:left w:val="nil"/>
              <w:bottom w:val="single" w:color="9BC2E6" w:sz="8" w:space="0"/>
              <w:right w:val="single" w:color="5B9BD5" w:sz="8" w:space="0"/>
            </w:tcBorders>
            <w:shd w:val="clear" w:color="auto" w:fill="DDEBF7"/>
            <w:noWrap/>
            <w:vAlign w:val="center"/>
          </w:tcPr>
          <w:p w14:paraId="5F7495B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71,747.00</w:t>
            </w:r>
          </w:p>
        </w:tc>
      </w:tr>
      <w:tr w14:paraId="1978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806" w:type="dxa"/>
            <w:tcBorders>
              <w:top w:val="nil"/>
              <w:left w:val="single" w:color="5B9BD5" w:sz="8" w:space="0"/>
              <w:bottom w:val="single" w:color="9BC2E6" w:sz="8" w:space="0"/>
              <w:right w:val="single" w:color="9BC2E6" w:sz="8" w:space="0"/>
            </w:tcBorders>
            <w:shd w:val="clear" w:color="auto" w:fill="auto"/>
            <w:vAlign w:val="center"/>
          </w:tcPr>
          <w:p w14:paraId="5A287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累计折旧</w:t>
            </w:r>
          </w:p>
        </w:tc>
        <w:tc>
          <w:tcPr>
            <w:tcW w:w="1371" w:type="dxa"/>
            <w:tcBorders>
              <w:top w:val="nil"/>
              <w:left w:val="nil"/>
              <w:bottom w:val="single" w:color="9BC2E6" w:sz="8" w:space="0"/>
              <w:right w:val="single" w:color="9BC2E6" w:sz="8" w:space="0"/>
            </w:tcBorders>
            <w:shd w:val="clear" w:color="auto" w:fill="auto"/>
            <w:noWrap/>
            <w:vAlign w:val="bottom"/>
          </w:tcPr>
          <w:p w14:paraId="319852A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24,478.63</w:t>
            </w:r>
          </w:p>
        </w:tc>
        <w:tc>
          <w:tcPr>
            <w:tcW w:w="1999" w:type="dxa"/>
            <w:tcBorders>
              <w:top w:val="nil"/>
              <w:left w:val="nil"/>
              <w:bottom w:val="single" w:color="9BC2E6" w:sz="8" w:space="0"/>
              <w:right w:val="single" w:color="9BC2E6" w:sz="8" w:space="0"/>
            </w:tcBorders>
            <w:shd w:val="clear" w:color="auto" w:fill="auto"/>
            <w:noWrap/>
            <w:vAlign w:val="center"/>
          </w:tcPr>
          <w:p w14:paraId="0C73F56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8,346.61</w:t>
            </w:r>
          </w:p>
        </w:tc>
        <w:tc>
          <w:tcPr>
            <w:tcW w:w="1775" w:type="dxa"/>
            <w:tcBorders>
              <w:top w:val="nil"/>
              <w:left w:val="nil"/>
              <w:bottom w:val="single" w:color="9BC2E6" w:sz="8" w:space="0"/>
              <w:right w:val="single" w:color="9BC2E6" w:sz="8" w:space="0"/>
            </w:tcBorders>
            <w:shd w:val="clear" w:color="auto" w:fill="auto"/>
            <w:noWrap/>
            <w:vAlign w:val="center"/>
          </w:tcPr>
          <w:p w14:paraId="10F3A9CC">
            <w:pPr>
              <w:jc w:val="right"/>
              <w:rPr>
                <w:rFonts w:hint="eastAsia" w:ascii="宋体" w:hAnsi="宋体" w:eastAsia="宋体" w:cs="宋体"/>
                <w:i w:val="0"/>
                <w:iCs w:val="0"/>
                <w:color w:val="000000"/>
                <w:sz w:val="24"/>
                <w:szCs w:val="24"/>
                <w:u w:val="none"/>
              </w:rPr>
            </w:pPr>
          </w:p>
        </w:tc>
        <w:tc>
          <w:tcPr>
            <w:tcW w:w="1506" w:type="dxa"/>
            <w:tcBorders>
              <w:top w:val="nil"/>
              <w:left w:val="nil"/>
              <w:bottom w:val="single" w:color="9BC2E6" w:sz="8" w:space="0"/>
              <w:right w:val="single" w:color="5B9BD5" w:sz="8" w:space="0"/>
            </w:tcBorders>
            <w:shd w:val="clear" w:color="auto" w:fill="DDEBF7"/>
            <w:noWrap/>
            <w:vAlign w:val="center"/>
          </w:tcPr>
          <w:p w14:paraId="26D6725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32,825.24</w:t>
            </w:r>
          </w:p>
        </w:tc>
      </w:tr>
      <w:tr w14:paraId="2F519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1806" w:type="dxa"/>
            <w:tcBorders>
              <w:top w:val="nil"/>
              <w:left w:val="single" w:color="5B9BD5" w:sz="8" w:space="0"/>
              <w:bottom w:val="single" w:color="5B9BD5" w:sz="8" w:space="0"/>
              <w:right w:val="single" w:color="9BC2E6" w:sz="8" w:space="0"/>
            </w:tcBorders>
            <w:shd w:val="clear" w:color="auto" w:fill="DDEBF7"/>
            <w:vAlign w:val="center"/>
          </w:tcPr>
          <w:p w14:paraId="1676A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固定资产净值</w:t>
            </w:r>
          </w:p>
        </w:tc>
        <w:tc>
          <w:tcPr>
            <w:tcW w:w="1371" w:type="dxa"/>
            <w:tcBorders>
              <w:top w:val="nil"/>
              <w:left w:val="nil"/>
              <w:bottom w:val="single" w:color="5B9BD5" w:sz="8" w:space="0"/>
              <w:right w:val="single" w:color="9BC2E6" w:sz="8" w:space="0"/>
            </w:tcBorders>
            <w:shd w:val="clear" w:color="auto" w:fill="DDEBF7"/>
            <w:noWrap/>
            <w:vAlign w:val="center"/>
          </w:tcPr>
          <w:p w14:paraId="53B5B47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37,478.37</w:t>
            </w:r>
          </w:p>
        </w:tc>
        <w:tc>
          <w:tcPr>
            <w:tcW w:w="1999" w:type="dxa"/>
            <w:tcBorders>
              <w:top w:val="nil"/>
              <w:left w:val="nil"/>
              <w:bottom w:val="single" w:color="5B9BD5" w:sz="8" w:space="0"/>
              <w:right w:val="single" w:color="9BC2E6" w:sz="8" w:space="0"/>
            </w:tcBorders>
            <w:shd w:val="clear" w:color="auto" w:fill="DDEBF7"/>
            <w:noWrap/>
            <w:vAlign w:val="center"/>
          </w:tcPr>
          <w:p w14:paraId="49B1379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1,443.39</w:t>
            </w:r>
          </w:p>
        </w:tc>
        <w:tc>
          <w:tcPr>
            <w:tcW w:w="1775" w:type="dxa"/>
            <w:tcBorders>
              <w:top w:val="nil"/>
              <w:left w:val="nil"/>
              <w:bottom w:val="single" w:color="5B9BD5" w:sz="8" w:space="0"/>
              <w:right w:val="single" w:color="9BC2E6" w:sz="8" w:space="0"/>
            </w:tcBorders>
            <w:shd w:val="clear" w:color="auto" w:fill="DDEBF7"/>
            <w:noWrap/>
            <w:vAlign w:val="center"/>
          </w:tcPr>
          <w:p w14:paraId="2A170F9F">
            <w:pPr>
              <w:jc w:val="right"/>
              <w:rPr>
                <w:rFonts w:hint="eastAsia" w:ascii="宋体" w:hAnsi="宋体" w:eastAsia="宋体" w:cs="宋体"/>
                <w:i w:val="0"/>
                <w:iCs w:val="0"/>
                <w:color w:val="000000"/>
                <w:sz w:val="24"/>
                <w:szCs w:val="24"/>
                <w:u w:val="none"/>
              </w:rPr>
            </w:pPr>
          </w:p>
        </w:tc>
        <w:tc>
          <w:tcPr>
            <w:tcW w:w="1506" w:type="dxa"/>
            <w:tcBorders>
              <w:top w:val="nil"/>
              <w:left w:val="nil"/>
              <w:bottom w:val="single" w:color="5B9BD5" w:sz="8" w:space="0"/>
              <w:right w:val="single" w:color="5B9BD5" w:sz="8" w:space="0"/>
            </w:tcBorders>
            <w:shd w:val="clear" w:color="auto" w:fill="DDEBF7"/>
            <w:noWrap/>
            <w:vAlign w:val="center"/>
          </w:tcPr>
          <w:p w14:paraId="3CBE2BD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38,921.76</w:t>
            </w:r>
          </w:p>
        </w:tc>
      </w:tr>
    </w:tbl>
    <w:p w14:paraId="68EB3F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2.固定资产明细（金额：元）</w:t>
      </w:r>
    </w:p>
    <w:p w14:paraId="15F5C4A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仿宋" w:hAnsi="仿宋" w:eastAsia="仿宋" w:cs="仿宋"/>
          <w:b/>
          <w:bCs/>
          <w:sz w:val="32"/>
          <w:szCs w:val="32"/>
          <w:highlight w:val="none"/>
          <w:lang w:val="en-US" w:eastAsia="zh-CN"/>
        </w:rPr>
      </w:pPr>
      <w:r>
        <w:drawing>
          <wp:anchor distT="0" distB="0" distL="114300" distR="114300" simplePos="0" relativeHeight="251663360" behindDoc="1" locked="0" layoutInCell="1" allowOverlap="1">
            <wp:simplePos x="0" y="0"/>
            <wp:positionH relativeFrom="column">
              <wp:posOffset>-109220</wp:posOffset>
            </wp:positionH>
            <wp:positionV relativeFrom="paragraph">
              <wp:posOffset>92710</wp:posOffset>
            </wp:positionV>
            <wp:extent cx="6120130" cy="3599815"/>
            <wp:effectExtent l="9525" t="9525" r="23495" b="10160"/>
            <wp:wrapNone/>
            <wp:docPr id="11" name="图片 1"/>
            <wp:cNvGraphicFramePr/>
            <a:graphic xmlns:a="http://schemas.openxmlformats.org/drawingml/2006/main">
              <a:graphicData uri="http://schemas.openxmlformats.org/drawingml/2006/picture">
                <pic:pic xmlns:pic="http://schemas.openxmlformats.org/drawingml/2006/picture">
                  <pic:nvPicPr>
                    <pic:cNvPr id="11" name="图片 1"/>
                    <pic:cNvPicPr/>
                  </pic:nvPicPr>
                  <pic:blipFill>
                    <a:blip r:embed="rId26"/>
                  </pic:blipFill>
                  <pic:spPr>
                    <a:xfrm>
                      <a:off x="0" y="0"/>
                      <a:ext cx="6120130" cy="3599815"/>
                    </a:xfrm>
                    <a:prstGeom prst="rect">
                      <a:avLst/>
                    </a:prstGeom>
                    <a:solidFill>
                      <a:srgbClr val="FFFFFF"/>
                    </a:solidFill>
                    <a:ln w="9525">
                      <a:solidFill>
                        <a:srgbClr val="000000"/>
                      </a:solidFill>
                    </a:ln>
                  </pic:spPr>
                </pic:pic>
              </a:graphicData>
            </a:graphic>
          </wp:anchor>
        </w:drawing>
      </w:r>
    </w:p>
    <w:p w14:paraId="1FD0807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仿宋" w:hAnsi="仿宋" w:eastAsia="仿宋" w:cs="仿宋"/>
          <w:b/>
          <w:bCs/>
          <w:sz w:val="32"/>
          <w:szCs w:val="32"/>
          <w:highlight w:val="none"/>
          <w:lang w:val="en-US" w:eastAsia="zh-CN"/>
        </w:rPr>
      </w:pPr>
    </w:p>
    <w:p w14:paraId="1BA33E1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仿宋" w:hAnsi="仿宋" w:eastAsia="仿宋" w:cs="仿宋"/>
          <w:b/>
          <w:bCs/>
          <w:sz w:val="32"/>
          <w:szCs w:val="32"/>
          <w:highlight w:val="none"/>
          <w:lang w:val="en-US" w:eastAsia="zh-CN"/>
        </w:rPr>
      </w:pPr>
    </w:p>
    <w:p w14:paraId="4A5E67F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仿宋" w:hAnsi="仿宋" w:eastAsia="仿宋" w:cs="仿宋"/>
          <w:b/>
          <w:bCs/>
          <w:sz w:val="32"/>
          <w:szCs w:val="32"/>
          <w:highlight w:val="none"/>
          <w:lang w:val="en-US" w:eastAsia="zh-CN"/>
        </w:rPr>
      </w:pPr>
    </w:p>
    <w:p w14:paraId="50DBFA6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仿宋" w:hAnsi="仿宋" w:eastAsia="仿宋" w:cs="仿宋"/>
          <w:b/>
          <w:bCs/>
          <w:sz w:val="32"/>
          <w:szCs w:val="32"/>
          <w:highlight w:val="none"/>
          <w:lang w:val="en-US" w:eastAsia="zh-CN"/>
        </w:rPr>
      </w:pPr>
    </w:p>
    <w:p w14:paraId="66CBBE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仿宋" w:hAnsi="仿宋" w:eastAsia="仿宋" w:cs="仿宋"/>
          <w:b/>
          <w:bCs/>
          <w:sz w:val="32"/>
          <w:szCs w:val="32"/>
          <w:highlight w:val="none"/>
          <w:lang w:val="en-US" w:eastAsia="zh-CN"/>
        </w:rPr>
      </w:pPr>
    </w:p>
    <w:p w14:paraId="395DF6C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仿宋" w:hAnsi="仿宋" w:eastAsia="仿宋" w:cs="仿宋"/>
          <w:b/>
          <w:bCs/>
          <w:sz w:val="32"/>
          <w:szCs w:val="32"/>
          <w:highlight w:val="none"/>
          <w:lang w:val="en-US" w:eastAsia="zh-CN"/>
        </w:rPr>
      </w:pPr>
    </w:p>
    <w:p w14:paraId="04744B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 w:hAnsi="楷体" w:eastAsia="楷体" w:cs="楷体"/>
          <w:b/>
          <w:bCs/>
          <w:sz w:val="32"/>
          <w:szCs w:val="32"/>
          <w:highlight w:val="none"/>
          <w:lang w:val="en-US" w:eastAsia="zh-CN"/>
        </w:rPr>
      </w:pPr>
    </w:p>
    <w:p w14:paraId="31B57F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 w:hAnsi="楷体" w:eastAsia="楷体" w:cs="楷体"/>
          <w:b/>
          <w:bCs/>
          <w:sz w:val="32"/>
          <w:szCs w:val="32"/>
          <w:highlight w:val="none"/>
          <w:lang w:val="en-US" w:eastAsia="zh-CN"/>
        </w:rPr>
      </w:pPr>
    </w:p>
    <w:p w14:paraId="75215D6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楷体" w:hAnsi="楷体" w:eastAsia="楷体" w:cs="楷体"/>
          <w:b/>
          <w:bCs/>
          <w:sz w:val="32"/>
          <w:szCs w:val="32"/>
          <w:highlight w:val="none"/>
          <w:lang w:val="en-US" w:eastAsia="zh-CN"/>
        </w:rPr>
      </w:pPr>
    </w:p>
    <w:p w14:paraId="082725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highlight w:val="none"/>
          <w:lang w:val="en-US" w:eastAsia="zh-CN"/>
        </w:rPr>
      </w:pPr>
      <w:bookmarkStart w:id="36" w:name="_Toc20597"/>
      <w:r>
        <w:rPr>
          <w:rFonts w:hint="eastAsia" w:ascii="楷体" w:hAnsi="楷体" w:eastAsia="楷体" w:cs="楷体"/>
          <w:b/>
          <w:bCs/>
          <w:sz w:val="32"/>
          <w:szCs w:val="32"/>
          <w:highlight w:val="none"/>
          <w:lang w:val="en-US" w:eastAsia="zh-CN"/>
        </w:rPr>
        <w:t>（八）厉行节约保障措施的执行情况及其政策效果</w:t>
      </w:r>
      <w:bookmarkEnd w:id="36"/>
    </w:p>
    <w:p w14:paraId="39B01295">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区委党史研究室</w:t>
      </w:r>
      <w:r>
        <w:rPr>
          <w:rFonts w:hint="eastAsia" w:ascii="仿宋" w:hAnsi="仿宋" w:eastAsia="仿宋" w:cs="仿宋"/>
          <w:sz w:val="32"/>
          <w:szCs w:val="32"/>
        </w:rPr>
        <w:t>深入贯彻习近平总书记关于"坚持勤俭节约办一切事业"的重要指示精神，认真落实中央、省、市关于推动党政机关带头厉行节约、反对铺张浪费的相关规定，把节约理念贯穿于机关运行的各个方面，从思想上、行动上坚决反对享乐主义、奢靡之风，自觉发扬艰苦奋斗、勤俭节约的优良作风。</w:t>
      </w:r>
      <w:r>
        <w:rPr>
          <w:rFonts w:hint="eastAsia" w:ascii="仿宋" w:hAnsi="仿宋" w:eastAsia="仿宋" w:cs="仿宋"/>
          <w:b/>
          <w:bCs/>
          <w:kern w:val="0"/>
          <w:sz w:val="32"/>
          <w:szCs w:val="32"/>
          <w:lang w:val="en-US" w:eastAsia="zh-CN" w:bidi="ar"/>
        </w:rPr>
        <w:t>一是</w:t>
      </w:r>
      <w:r>
        <w:rPr>
          <w:rFonts w:hint="eastAsia" w:ascii="仿宋" w:hAnsi="仿宋" w:eastAsia="仿宋" w:cs="仿宋"/>
          <w:b/>
          <w:bCs/>
          <w:sz w:val="32"/>
          <w:szCs w:val="32"/>
        </w:rPr>
        <w:t>强化宣传教育，树立节约意识</w:t>
      </w:r>
      <w:r>
        <w:rPr>
          <w:rFonts w:hint="eastAsia" w:ascii="仿宋" w:hAnsi="仿宋" w:eastAsia="仿宋" w:cs="仿宋"/>
          <w:b/>
          <w:bCs/>
          <w:sz w:val="32"/>
          <w:szCs w:val="32"/>
          <w:lang w:eastAsia="zh-CN"/>
        </w:rPr>
        <w:t>。</w:t>
      </w:r>
      <w:r>
        <w:rPr>
          <w:rFonts w:hint="eastAsia" w:ascii="仿宋" w:hAnsi="仿宋" w:eastAsia="仿宋" w:cs="仿宋"/>
          <w:sz w:val="32"/>
          <w:szCs w:val="32"/>
        </w:rPr>
        <w:t>高度重视干部职工节约意识的培养，通过多形式、多渠道开展宣传教育活动，营造勤俭节约的工作氛围。专题学习部署，组织全体干部职工深入</w:t>
      </w:r>
      <w:r>
        <w:rPr>
          <w:rFonts w:hint="eastAsia" w:ascii="仿宋" w:hAnsi="仿宋" w:eastAsia="仿宋" w:cs="仿宋"/>
          <w:sz w:val="32"/>
          <w:szCs w:val="32"/>
          <w:lang w:eastAsia="zh-CN"/>
        </w:rPr>
        <w:t>学习贯彻习近平总书记</w:t>
      </w:r>
      <w:r>
        <w:rPr>
          <w:rFonts w:hint="eastAsia" w:ascii="仿宋" w:hAnsi="仿宋" w:eastAsia="仿宋" w:cs="仿宋"/>
          <w:sz w:val="32"/>
          <w:szCs w:val="32"/>
        </w:rPr>
        <w:t>关于厉行节约、反对浪费的重要论述，传达上级关于习惯过</w:t>
      </w:r>
      <w:r>
        <w:rPr>
          <w:rFonts w:hint="eastAsia" w:ascii="仿宋" w:hAnsi="仿宋" w:eastAsia="仿宋" w:cs="仿宋"/>
          <w:sz w:val="32"/>
          <w:szCs w:val="32"/>
          <w:lang w:eastAsia="zh-CN"/>
        </w:rPr>
        <w:t>“</w:t>
      </w:r>
      <w:r>
        <w:rPr>
          <w:rFonts w:hint="eastAsia" w:ascii="仿宋" w:hAnsi="仿宋" w:eastAsia="仿宋" w:cs="仿宋"/>
          <w:sz w:val="32"/>
          <w:szCs w:val="32"/>
        </w:rPr>
        <w:t>紧日子</w:t>
      </w:r>
      <w:r>
        <w:rPr>
          <w:rFonts w:hint="eastAsia" w:ascii="仿宋" w:hAnsi="仿宋" w:eastAsia="仿宋" w:cs="仿宋"/>
          <w:sz w:val="32"/>
          <w:szCs w:val="32"/>
          <w:lang w:eastAsia="zh-CN"/>
        </w:rPr>
        <w:t>”</w:t>
      </w:r>
      <w:r>
        <w:rPr>
          <w:rFonts w:hint="eastAsia" w:ascii="仿宋" w:hAnsi="仿宋" w:eastAsia="仿宋" w:cs="仿宋"/>
          <w:sz w:val="32"/>
          <w:szCs w:val="32"/>
        </w:rPr>
        <w:t>的要求。会议明确要求从政治高度认识节约工作的重要性，将思想与行动统一到中央部署上来，增强了干部职工节约资源的责任感和使命感。</w:t>
      </w:r>
      <w:r>
        <w:rPr>
          <w:rFonts w:hint="eastAsia" w:ascii="仿宋" w:hAnsi="仿宋" w:eastAsia="仿宋" w:cs="仿宋"/>
          <w:sz w:val="32"/>
          <w:szCs w:val="32"/>
          <w:lang w:val="en-US" w:eastAsia="zh-CN"/>
        </w:rPr>
        <w:t>同时，</w:t>
      </w:r>
      <w:r>
        <w:rPr>
          <w:rFonts w:hint="eastAsia" w:ascii="仿宋" w:hAnsi="仿宋" w:eastAsia="仿宋" w:cs="仿宋"/>
          <w:sz w:val="32"/>
          <w:szCs w:val="32"/>
        </w:rPr>
        <w:t>通过在办公区域张贴节约标识、发放节能倡议书、内部工作群推送提醒等方式，营造随处可见、时刻提醒的节约氛围。</w:t>
      </w:r>
      <w:r>
        <w:rPr>
          <w:rFonts w:hint="eastAsia" w:ascii="仿宋" w:hAnsi="仿宋" w:eastAsia="仿宋" w:cs="仿宋"/>
          <w:sz w:val="32"/>
          <w:szCs w:val="32"/>
          <w:lang w:val="en-US" w:eastAsia="zh-CN"/>
        </w:rPr>
        <w:t>在</w:t>
      </w:r>
      <w:r>
        <w:rPr>
          <w:rFonts w:hint="eastAsia" w:ascii="仿宋" w:hAnsi="仿宋" w:eastAsia="仿宋" w:cs="仿宋"/>
          <w:sz w:val="32"/>
          <w:szCs w:val="32"/>
        </w:rPr>
        <w:t>文化培育</w:t>
      </w:r>
      <w:r>
        <w:rPr>
          <w:rFonts w:hint="eastAsia" w:ascii="仿宋" w:hAnsi="仿宋" w:eastAsia="仿宋" w:cs="仿宋"/>
          <w:sz w:val="32"/>
          <w:szCs w:val="32"/>
          <w:lang w:val="en-US" w:eastAsia="zh-CN"/>
        </w:rPr>
        <w:t>方面，</w:t>
      </w:r>
      <w:r>
        <w:rPr>
          <w:rFonts w:hint="eastAsia" w:ascii="仿宋" w:hAnsi="仿宋" w:eastAsia="仿宋" w:cs="仿宋"/>
          <w:sz w:val="32"/>
          <w:szCs w:val="32"/>
        </w:rPr>
        <w:t>引导干部职工养成简约适度、绿色低碳的生活和工作方式。鼓励无纸化办公、双面打印；提倡使用环保袋、减少一次性用品使用；培养随手关灯、关水的习惯，让节约意识内化于心、外化于行，形成全员参与、共同践行的良好局面。</w:t>
      </w:r>
      <w:r>
        <w:rPr>
          <w:rFonts w:hint="eastAsia" w:ascii="仿宋" w:hAnsi="仿宋" w:eastAsia="仿宋" w:cs="仿宋"/>
          <w:b/>
          <w:bCs/>
          <w:sz w:val="32"/>
          <w:szCs w:val="32"/>
          <w:lang w:val="en-US" w:eastAsia="zh-CN"/>
        </w:rPr>
        <w:t>二是</w:t>
      </w:r>
      <w:r>
        <w:rPr>
          <w:rFonts w:hint="eastAsia" w:ascii="仿宋" w:hAnsi="仿宋" w:eastAsia="仿宋" w:cs="仿宋"/>
          <w:b/>
          <w:bCs/>
          <w:sz w:val="32"/>
          <w:szCs w:val="32"/>
        </w:rPr>
        <w:t>规范资源管理，降低机关能耗</w:t>
      </w:r>
      <w:r>
        <w:rPr>
          <w:rFonts w:hint="eastAsia" w:ascii="仿宋" w:hAnsi="仿宋" w:eastAsia="仿宋" w:cs="仿宋"/>
          <w:b/>
          <w:bCs/>
          <w:sz w:val="32"/>
          <w:szCs w:val="32"/>
          <w:lang w:eastAsia="zh-CN"/>
        </w:rPr>
        <w:t>。</w:t>
      </w:r>
      <w:r>
        <w:rPr>
          <w:rFonts w:hint="eastAsia" w:ascii="仿宋" w:hAnsi="仿宋" w:eastAsia="仿宋" w:cs="仿宋"/>
          <w:sz w:val="32"/>
          <w:szCs w:val="32"/>
        </w:rPr>
        <w:t>从制度建设入手，严格管理能源资源使用，切实降低机关运行成本，提升资源利用效率。完善管理制度：健全节约能源资源管理制度，提高能源资源利用效率，降低机关运行成本。制定并严格执行用水、用电、用纸等相关要求，明确节能目标和措施，落实管理责任。建立资源消耗台账，按月统计分析，及时发现和纠正浪费现象。文印管理：推行无纸化办公，减少纸质文件印发，严格控制文件印刷数量和复印次数。</w:t>
      </w:r>
      <w:r>
        <w:rPr>
          <w:rFonts w:hint="eastAsia" w:ascii="仿宋" w:hAnsi="仿宋" w:eastAsia="仿宋" w:cs="仿宋"/>
          <w:sz w:val="32"/>
          <w:szCs w:val="32"/>
          <w:lang w:eastAsia="zh-CN"/>
        </w:rPr>
        <w:t>必须</w:t>
      </w:r>
      <w:r>
        <w:rPr>
          <w:rFonts w:hint="eastAsia" w:ascii="仿宋" w:hAnsi="仿宋" w:eastAsia="仿宋" w:cs="仿宋"/>
          <w:sz w:val="32"/>
          <w:szCs w:val="32"/>
        </w:rPr>
        <w:t>打印的文件一律采用双面打印，单面使用过的纸张重复利用于草稿纸，大幅减少纸张消耗。</w:t>
      </w:r>
      <w:r>
        <w:rPr>
          <w:rFonts w:hint="eastAsia" w:ascii="仿宋" w:hAnsi="仿宋" w:eastAsia="仿宋" w:cs="仿宋"/>
          <w:b/>
          <w:bCs/>
          <w:sz w:val="32"/>
          <w:szCs w:val="32"/>
          <w:highlight w:val="none"/>
          <w:lang w:val="en-US" w:eastAsia="zh-CN"/>
        </w:rPr>
        <w:t>三是严格经费控制，压减公务支出。坚持“先预算、后支出”的原则，加强经费审批和使用管理，严控“三公”经费和其他公务支出。</w:t>
      </w:r>
      <w:r>
        <w:rPr>
          <w:rFonts w:hint="eastAsia" w:ascii="仿宋" w:hAnsi="仿宋" w:eastAsia="仿宋" w:cs="仿宋"/>
          <w:b w:val="0"/>
          <w:bCs w:val="0"/>
          <w:sz w:val="32"/>
          <w:szCs w:val="32"/>
          <w:highlight w:val="none"/>
          <w:lang w:val="en-US" w:eastAsia="zh-CN"/>
        </w:rPr>
        <w:t>认真贯彻落实中央八项规定精神和厉行节约要求，从严控制公务接待开支。严格执行公务接待审批制度，控制接待标准和陪餐人数，简化接待。通过一系列有力措施，取得了显著成效。通过建立健全能源资源管理制度，推行绿色办公模式，引导干部职工养成简约适度、绿色低碳的生活和工作方式。</w:t>
      </w:r>
    </w:p>
    <w:p w14:paraId="1BEB068B">
      <w:pPr>
        <w:numPr>
          <w:ilvl w:val="0"/>
          <w:numId w:val="0"/>
        </w:numPr>
        <w:ind w:firstLine="640" w:firstLineChars="200"/>
        <w:outlineLvl w:val="0"/>
        <w:rPr>
          <w:rFonts w:hint="eastAsia" w:ascii="黑体" w:hAnsi="黑体" w:eastAsia="黑体" w:cs="黑体"/>
          <w:b/>
          <w:bCs/>
          <w:sz w:val="32"/>
          <w:szCs w:val="32"/>
          <w:highlight w:val="none"/>
          <w:lang w:eastAsia="zh-CN"/>
        </w:rPr>
      </w:pPr>
      <w:bookmarkStart w:id="37" w:name="_Toc23160"/>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部门</w:t>
      </w:r>
      <w:r>
        <w:rPr>
          <w:rFonts w:hint="eastAsia" w:ascii="黑体" w:hAnsi="黑体" w:eastAsia="黑体" w:cs="黑体"/>
          <w:sz w:val="32"/>
          <w:szCs w:val="32"/>
          <w:highlight w:val="none"/>
          <w:lang w:eastAsia="zh-CN"/>
        </w:rPr>
        <w:t>绩效目标</w:t>
      </w:r>
      <w:bookmarkEnd w:id="37"/>
    </w:p>
    <w:p w14:paraId="41ABB40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val="0"/>
          <w:bCs w:val="0"/>
          <w:sz w:val="32"/>
          <w:szCs w:val="32"/>
          <w:lang w:eastAsia="zh-CN"/>
        </w:rPr>
      </w:pPr>
      <w:bookmarkStart w:id="38" w:name="_Toc18389"/>
      <w:r>
        <w:rPr>
          <w:rFonts w:hint="eastAsia" w:ascii="楷体" w:hAnsi="楷体" w:eastAsia="楷体" w:cs="楷体"/>
          <w:b/>
          <w:bCs/>
          <w:sz w:val="32"/>
          <w:szCs w:val="32"/>
          <w:lang w:eastAsia="zh-CN"/>
        </w:rPr>
        <w:t>（一）总体目标</w:t>
      </w:r>
      <w:bookmarkEnd w:id="38"/>
    </w:p>
    <w:p w14:paraId="38A6EBA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围绕“党史姓党、为党立言”根本原则，全面履行存史、资政、育人核心职能。通过高质量完成年度各项史志编研任务，系统记录与传承雁峰区在党的领导下推进经济社会发展的实践历程与成就，有效服务中心工作与决策部署，为全区高质量发展提供权威史料支撑与精神动力。</w:t>
      </w:r>
    </w:p>
    <w:p w14:paraId="5B333C3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eastAsia="zh-CN"/>
        </w:rPr>
      </w:pPr>
      <w:bookmarkStart w:id="39" w:name="_Toc22719"/>
      <w:r>
        <w:rPr>
          <w:rFonts w:hint="eastAsia" w:ascii="楷体" w:hAnsi="楷体" w:eastAsia="楷体" w:cs="楷体"/>
          <w:b/>
          <w:bCs/>
          <w:sz w:val="32"/>
          <w:szCs w:val="32"/>
          <w:lang w:eastAsia="zh-CN"/>
        </w:rPr>
        <w:t>（二）分类目标</w:t>
      </w:r>
      <w:bookmarkEnd w:id="39"/>
    </w:p>
    <w:p w14:paraId="2DD38CD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eastAsia="zh-CN"/>
        </w:rPr>
      </w:pPr>
      <w:bookmarkStart w:id="40" w:name="_Toc29770"/>
      <w:bookmarkStart w:id="41" w:name="_Toc6424"/>
      <w:r>
        <w:rPr>
          <w:rFonts w:hint="eastAsia" w:ascii="仿宋" w:hAnsi="仿宋" w:eastAsia="仿宋" w:cs="仿宋"/>
          <w:b/>
          <w:bCs/>
          <w:sz w:val="32"/>
          <w:szCs w:val="32"/>
          <w:lang w:eastAsia="zh-CN"/>
        </w:rPr>
        <w:t>1.核心编研专题著作编纂</w:t>
      </w:r>
      <w:r>
        <w:rPr>
          <w:rFonts w:hint="eastAsia" w:ascii="仿宋" w:hAnsi="仿宋" w:eastAsia="仿宋" w:cs="仿宋"/>
          <w:b w:val="0"/>
          <w:bCs w:val="0"/>
          <w:sz w:val="32"/>
          <w:szCs w:val="32"/>
          <w:lang w:eastAsia="zh-CN"/>
        </w:rPr>
        <w:t>（1）出版《雁峰人大70年》1部。（2）全书字数不低于66万字，收录图照不少于100张。史实准确率100%，政治表述零差错。（3）确保在指定节点（12月3日前）出版并交付。在市级及以上重要会议或观摩活动中作为资料发放至少1次，并获得正面评价。</w:t>
      </w:r>
    </w:p>
    <w:p w14:paraId="0FE9AA0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2.上级供稿，省、市年鉴纪事供稿</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）完成《中共湖南省委工作纪事》《湖南年鉴（2024）》供稿，按时提交率100%。（</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）完成《中共衡阳市委执政纪事》《衡阳年鉴（2024）》供稿，按时提交率100%。（</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）供稿内容符合大纲要求，要素齐全。稿件审核通过率100%，无因质量问题被退回情况。</w:t>
      </w:r>
    </w:p>
    <w:p w14:paraId="3E7A154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3.协同评审，兄弟县市区志鉴评审</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）完成《衡阳年鉴（2024）》《珠晖区志》等外单位志鉴评审任务不少于3项。（</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）对每项评审任务均出具书面评审意见。（</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）评审意见按时反馈率100%。所提意见具有专业性、建设性，被采纳率不低于90%。</w:t>
      </w:r>
    </w:p>
    <w:p w14:paraId="226E6B0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4.基础保障，红色资源普查</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eastAsia="zh-CN"/>
        </w:rPr>
        <w:t>（1）完成区内所有红色场馆统计，信息完整率100%。（</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）完成烈士信息统计与核对，按时上报率100%。（</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）建立动态数据库，信息准确率100%。数据报送符合上级格式与内容要求，无错报、漏报。</w:t>
      </w:r>
    </w:p>
    <w:p w14:paraId="7F93636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5.管理效能，项目规范管理</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）所有编研、供稿、评审项目均建档立卷，资料归档率100%。（</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）严格执行室内部质量控制与三审三校制度。（</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）在上级质量检查或审计中无重大疏漏。年度内无因管理不规范导致的出版或数据安全事故。</w:t>
      </w:r>
    </w:p>
    <w:p w14:paraId="3EC1B1A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highlight w:val="none"/>
          <w:lang w:eastAsia="zh-CN"/>
        </w:rPr>
      </w:pPr>
      <w:bookmarkStart w:id="42" w:name="_Toc26992"/>
      <w:r>
        <w:rPr>
          <w:rFonts w:hint="eastAsia" w:ascii="黑体" w:hAnsi="黑体" w:eastAsia="黑体" w:cs="黑体"/>
          <w:sz w:val="32"/>
          <w:szCs w:val="32"/>
          <w:highlight w:val="none"/>
          <w:lang w:val="en-US" w:eastAsia="zh-CN"/>
        </w:rPr>
        <w:t>五、部门</w:t>
      </w:r>
      <w:r>
        <w:rPr>
          <w:rFonts w:hint="eastAsia" w:ascii="黑体" w:hAnsi="黑体" w:eastAsia="黑体" w:cs="黑体"/>
          <w:sz w:val="32"/>
          <w:szCs w:val="32"/>
          <w:highlight w:val="none"/>
          <w:lang w:eastAsia="zh-CN"/>
        </w:rPr>
        <w:t>绩效考评情况</w:t>
      </w:r>
      <w:bookmarkEnd w:id="40"/>
      <w:bookmarkEnd w:id="41"/>
      <w:bookmarkEnd w:id="42"/>
    </w:p>
    <w:p w14:paraId="7035677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43" w:name="_Toc16835"/>
      <w:bookmarkStart w:id="44" w:name="_Toc8508"/>
      <w:bookmarkStart w:id="45" w:name="_Toc10865"/>
      <w:r>
        <w:rPr>
          <w:rFonts w:hint="eastAsia" w:ascii="楷体" w:hAnsi="楷体" w:eastAsia="楷体" w:cs="楷体"/>
          <w:b/>
          <w:bCs/>
          <w:sz w:val="32"/>
          <w:szCs w:val="32"/>
          <w:lang w:val="en-US" w:eastAsia="zh-CN"/>
        </w:rPr>
        <w:t>（一）评价框架</w:t>
      </w:r>
      <w:bookmarkEnd w:id="43"/>
      <w:bookmarkEnd w:id="44"/>
      <w:bookmarkEnd w:id="45"/>
    </w:p>
    <w:p w14:paraId="766BE7F3">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highlight w:val="yellow"/>
          <w:u w:val="none"/>
          <w:shd w:val="clear" w:fill="FFFFFF"/>
          <w:lang w:val="en-US" w:eastAsia="zh-CN"/>
        </w:rPr>
      </w:pPr>
      <w:r>
        <w:rPr>
          <w:rFonts w:hint="eastAsia" w:ascii="仿宋" w:hAnsi="仿宋" w:eastAsia="仿宋" w:cs="仿宋"/>
          <w:b w:val="0"/>
          <w:bCs w:val="0"/>
          <w:i w:val="0"/>
          <w:iCs w:val="0"/>
          <w:caps w:val="0"/>
          <w:color w:val="000000"/>
          <w:spacing w:val="0"/>
          <w:sz w:val="32"/>
          <w:szCs w:val="32"/>
          <w:highlight w:val="none"/>
          <w:u w:val="none"/>
          <w:shd w:val="clear" w:fill="FFFFFF"/>
          <w:lang w:val="en-US" w:eastAsia="zh-CN"/>
        </w:rPr>
        <w:t>依据财政部《关于全面实施预算绩效管理的意见》，《中华人民共和国预算法》等评价依据，设定以下评价指标：</w:t>
      </w:r>
    </w:p>
    <w:p w14:paraId="0746AECE">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1.投入指标20分：目标设定、预算配置。</w:t>
      </w:r>
    </w:p>
    <w:p w14:paraId="63625B99">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2.过程指标30分：预算执行、部门管理、资产管理。</w:t>
      </w:r>
    </w:p>
    <w:p w14:paraId="0BD440ED">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3.产出指标30分：职能工作完成率、重点工作办结率。</w:t>
      </w:r>
    </w:p>
    <w:p w14:paraId="7F237CE2">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4.效益指标20分：社会效益、相关人员满意度。</w:t>
      </w:r>
    </w:p>
    <w:p w14:paraId="4FE8533E">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sectPr>
          <w:footerReference r:id="rId5"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44235327">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outlineLvl w:val="1"/>
        <w:rPr>
          <w:rFonts w:hint="default" w:ascii="楷体" w:hAnsi="楷体" w:eastAsia="楷体" w:cs="楷体"/>
          <w:b/>
          <w:bCs/>
          <w:sz w:val="32"/>
          <w:szCs w:val="32"/>
          <w:highlight w:val="none"/>
          <w:lang w:val="en-US" w:eastAsia="zh-CN"/>
        </w:rPr>
      </w:pPr>
      <w:bookmarkStart w:id="46" w:name="_Toc23427"/>
      <w:r>
        <w:rPr>
          <w:rFonts w:hint="eastAsia" w:ascii="楷体" w:hAnsi="楷体" w:eastAsia="楷体" w:cs="楷体"/>
          <w:b/>
          <w:bCs/>
          <w:sz w:val="32"/>
          <w:szCs w:val="32"/>
          <w:highlight w:val="none"/>
          <w:lang w:val="en-US" w:eastAsia="zh-CN"/>
        </w:rPr>
        <w:t>（二）评价分析</w:t>
      </w:r>
      <w:bookmarkEnd w:id="46"/>
    </w:p>
    <w:p w14:paraId="227471DA">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pPr>
      <w:r>
        <w:rPr>
          <w:rFonts w:hint="eastAsia" w:ascii="仿宋" w:hAnsi="仿宋" w:eastAsia="仿宋" w:cs="仿宋"/>
          <w:b/>
          <w:bCs/>
          <w:i w:val="0"/>
          <w:iCs w:val="0"/>
          <w:caps w:val="0"/>
          <w:color w:val="000000"/>
          <w:spacing w:val="0"/>
          <w:sz w:val="32"/>
          <w:szCs w:val="32"/>
          <w:u w:val="none"/>
          <w:shd w:val="clear" w:fill="FFFFFF"/>
          <w:lang w:val="en-US" w:eastAsia="zh-CN"/>
        </w:rPr>
        <w:t>1.总分100分，得分81分，扣分19分，详见后述绩效评价得分扣分表</w:t>
      </w:r>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2"/>
        <w:gridCol w:w="1359"/>
        <w:gridCol w:w="1644"/>
        <w:gridCol w:w="597"/>
        <w:gridCol w:w="633"/>
        <w:gridCol w:w="567"/>
        <w:gridCol w:w="3679"/>
        <w:gridCol w:w="4772"/>
      </w:tblGrid>
      <w:tr w14:paraId="3A9C8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blHeader/>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70F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72E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565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8E3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33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DC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w:t>
            </w:r>
          </w:p>
        </w:tc>
        <w:tc>
          <w:tcPr>
            <w:tcW w:w="1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4BE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扣分说明</w:t>
            </w:r>
          </w:p>
        </w:tc>
        <w:tc>
          <w:tcPr>
            <w:tcW w:w="1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42D4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评价要点</w:t>
            </w:r>
          </w:p>
        </w:tc>
      </w:tr>
      <w:tr w14:paraId="2AC18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B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投入（20分）</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A25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目标设定（10分）</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C1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绩效目标合理性</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1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62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F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435F">
            <w:pPr>
              <w:jc w:val="left"/>
              <w:rPr>
                <w:rFonts w:hint="eastAsia" w:ascii="宋体" w:hAnsi="宋体" w:eastAsia="宋体" w:cs="宋体"/>
                <w:i w:val="0"/>
                <w:iCs w:val="0"/>
                <w:color w:val="000000"/>
                <w:sz w:val="20"/>
                <w:szCs w:val="20"/>
                <w:u w:val="none"/>
              </w:rPr>
            </w:pPr>
          </w:p>
        </w:tc>
        <w:tc>
          <w:tcPr>
            <w:tcW w:w="1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CC2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是否符合国家法律法规、国民经济和社会发展总体规划；②是否符合部门“三定”方案确定的职责；③是否符合部门制定的发展实施规划和年度主要工作计划；④所属部门（单位）编报预算时是否按要求编制绩效目标。</w:t>
            </w:r>
          </w:p>
        </w:tc>
      </w:tr>
      <w:tr w14:paraId="05EC8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5A3B">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C3B1E">
            <w:pPr>
              <w:jc w:val="left"/>
              <w:rPr>
                <w:rFonts w:hint="eastAsia" w:ascii="宋体" w:hAnsi="宋体" w:eastAsia="宋体" w:cs="宋体"/>
                <w:i w:val="0"/>
                <w:iCs w:val="0"/>
                <w:color w:val="000000"/>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9AC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绩效指标明确性</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5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E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C7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3530">
            <w:pPr>
              <w:jc w:val="left"/>
              <w:rPr>
                <w:rFonts w:hint="eastAsia" w:ascii="宋体" w:hAnsi="宋体" w:eastAsia="宋体" w:cs="宋体"/>
                <w:i w:val="0"/>
                <w:iCs w:val="0"/>
                <w:color w:val="000000"/>
                <w:sz w:val="20"/>
                <w:szCs w:val="20"/>
                <w:u w:val="none"/>
              </w:rPr>
            </w:pPr>
          </w:p>
        </w:tc>
        <w:tc>
          <w:tcPr>
            <w:tcW w:w="1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D70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是否将部门整体的绩效目标细化分解为具体的工作任务；②是否通过清晰、可衡量的指标值予以体现；③是否将项目绩效目标与部门年度的任务数或计划数相对应：④是否与本年度部门预算资金相匹配，是否对下属部门（单位）预算编报的绩效目标进行审核。</w:t>
            </w:r>
          </w:p>
        </w:tc>
      </w:tr>
      <w:tr w14:paraId="1E8A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FD67">
            <w:pPr>
              <w:jc w:val="center"/>
              <w:rPr>
                <w:rFonts w:hint="eastAsia" w:ascii="宋体" w:hAnsi="宋体" w:eastAsia="宋体" w:cs="宋体"/>
                <w:i w:val="0"/>
                <w:iCs w:val="0"/>
                <w:color w:val="000000"/>
                <w:sz w:val="20"/>
                <w:szCs w:val="20"/>
                <w:u w:val="none"/>
              </w:rPr>
            </w:pP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D37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预算编制与配置（10分）</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718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在职人员控制率</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E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1E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5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62569">
            <w:pPr>
              <w:jc w:val="left"/>
              <w:rPr>
                <w:rFonts w:hint="eastAsia" w:ascii="宋体" w:hAnsi="宋体" w:eastAsia="宋体" w:cs="宋体"/>
                <w:i w:val="0"/>
                <w:iCs w:val="0"/>
                <w:color w:val="000000"/>
                <w:sz w:val="20"/>
                <w:szCs w:val="20"/>
                <w:u w:val="none"/>
              </w:rPr>
            </w:pPr>
          </w:p>
        </w:tc>
        <w:tc>
          <w:tcPr>
            <w:tcW w:w="1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260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在职人员控制率=（在职人员数/编制数）×100%。聘用人员控制率</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人社和编办共同批复的人数；在职人员数：部门（单位）实际在职人数，以财政部门确定的部门决算编制口径为准。编制数：机构编制部门核定批复的部门（单位）的人员编制数。</w:t>
            </w:r>
          </w:p>
        </w:tc>
      </w:tr>
      <w:tr w14:paraId="29275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7782">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D7769">
            <w:pPr>
              <w:jc w:val="left"/>
              <w:rPr>
                <w:rFonts w:hint="eastAsia" w:ascii="宋体" w:hAnsi="宋体" w:eastAsia="宋体" w:cs="宋体"/>
                <w:i w:val="0"/>
                <w:iCs w:val="0"/>
                <w:color w:val="000000"/>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99F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预算编制科学性与配置合理性</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B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CA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7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5DB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年初预算经过调整，未提供预算调整批复</w:t>
            </w:r>
          </w:p>
        </w:tc>
        <w:tc>
          <w:tcPr>
            <w:tcW w:w="1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0EA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预算编制科学性，预算与政策目标的匹配度与预算标准合理性。</w:t>
            </w:r>
          </w:p>
        </w:tc>
      </w:tr>
      <w:tr w14:paraId="24E85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1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过程（30分）</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2FC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预算执行（10分）</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8D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预算约束合规性</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6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50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1C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3AA1C">
            <w:pPr>
              <w:jc w:val="left"/>
              <w:rPr>
                <w:rFonts w:hint="eastAsia" w:ascii="宋体" w:hAnsi="宋体" w:eastAsia="宋体" w:cs="宋体"/>
                <w:i w:val="0"/>
                <w:iCs w:val="0"/>
                <w:color w:val="000000"/>
                <w:sz w:val="20"/>
                <w:szCs w:val="20"/>
                <w:u w:val="none"/>
              </w:rPr>
            </w:pPr>
          </w:p>
        </w:tc>
        <w:tc>
          <w:tcPr>
            <w:tcW w:w="1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82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预算约束： 支出是否严格遵循人大批准的预算，有无超预算、无预算开支的现象。</w:t>
            </w:r>
          </w:p>
        </w:tc>
      </w:tr>
      <w:tr w14:paraId="23D24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A62E">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FE870">
            <w:pPr>
              <w:jc w:val="left"/>
              <w:rPr>
                <w:rFonts w:hint="eastAsia" w:ascii="宋体" w:hAnsi="宋体" w:eastAsia="宋体" w:cs="宋体"/>
                <w:i w:val="0"/>
                <w:iCs w:val="0"/>
                <w:color w:val="000000"/>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4D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用途合规性</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C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3D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1E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B70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1.存在人员经费挤占公用经费、项目支出的情况。</w:t>
            </w:r>
          </w:p>
        </w:tc>
        <w:tc>
          <w:tcPr>
            <w:tcW w:w="1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4D7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用途合规： 资金是否用于预算规定的用途，特别是基本支出和项目支出之间、不同项目之间是否存在擅自调剂、挤占挪用的情况。资金分配及时性（转移支付下达时效，资金保障有效性；是否接受检查，受过处罚或上缴财政资金情况</w:t>
            </w:r>
          </w:p>
        </w:tc>
      </w:tr>
      <w:tr w14:paraId="1921C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F721">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78599">
            <w:pPr>
              <w:jc w:val="left"/>
              <w:rPr>
                <w:rFonts w:hint="eastAsia" w:ascii="宋体" w:hAnsi="宋体" w:eastAsia="宋体" w:cs="宋体"/>
                <w:i w:val="0"/>
                <w:iCs w:val="0"/>
                <w:color w:val="000000"/>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23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程序合规性</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A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32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A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D3EF">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1.业务发生时间早于合同签订时间。2.采购办公用品没有采购申请审批3.评审费无会议纪要及合同，4.无《湖南省地方志编纂院兼职编纂人员劳务报酬支付表》说明资金支付不合规性</w:t>
            </w:r>
          </w:p>
        </w:tc>
        <w:tc>
          <w:tcPr>
            <w:tcW w:w="1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D4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程序合规： 政府采购、国库集中支付、资产管理等环节是否符合法律法规和制度规定。</w:t>
            </w:r>
          </w:p>
        </w:tc>
      </w:tr>
      <w:tr w14:paraId="7D6C1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9088">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83D3D">
            <w:pPr>
              <w:jc w:val="left"/>
              <w:rPr>
                <w:rFonts w:hint="eastAsia" w:ascii="宋体" w:hAnsi="宋体" w:eastAsia="宋体" w:cs="宋体"/>
                <w:i w:val="0"/>
                <w:iCs w:val="0"/>
                <w:color w:val="000000"/>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226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进度匹配度</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A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ED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4EB48">
            <w:pPr>
              <w:jc w:val="center"/>
              <w:rPr>
                <w:rFonts w:hint="eastAsia" w:ascii="宋体" w:hAnsi="宋体" w:eastAsia="宋体" w:cs="宋体"/>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90264">
            <w:pPr>
              <w:jc w:val="left"/>
              <w:rPr>
                <w:rFonts w:hint="eastAsia" w:ascii="宋体" w:hAnsi="宋体" w:eastAsia="宋体" w:cs="宋体"/>
                <w:i w:val="0"/>
                <w:iCs w:val="0"/>
                <w:color w:val="000000"/>
                <w:sz w:val="20"/>
                <w:szCs w:val="20"/>
                <w:u w:val="none"/>
              </w:rPr>
            </w:pPr>
          </w:p>
        </w:tc>
        <w:tc>
          <w:tcPr>
            <w:tcW w:w="1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967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支出总量进度： 部门总支出完成了年度预算的百分之多少？是否与时间进度相匹配？是否存在“前期慢、后期突击花钱”或“支出进度严重滞后”的问题。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分项支出进度： 基本支出（人员工资、办公经费）和项目支出（专项业务、事业发展项目）各自的执行进度如何。</w:t>
            </w:r>
          </w:p>
        </w:tc>
      </w:tr>
      <w:tr w14:paraId="72178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4E7F">
            <w:pPr>
              <w:jc w:val="center"/>
              <w:rPr>
                <w:rFonts w:hint="eastAsia" w:ascii="宋体" w:hAnsi="宋体" w:eastAsia="宋体" w:cs="宋体"/>
                <w:i w:val="0"/>
                <w:iCs w:val="0"/>
                <w:color w:val="000000"/>
                <w:sz w:val="20"/>
                <w:szCs w:val="20"/>
                <w:u w:val="none"/>
              </w:rPr>
            </w:pP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7FC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部门管理（15分）</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F9C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管理制度健全性</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3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20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C9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07A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1.未提供其他管理制度。如：预算管理制度，政府采购管理制度，合同管理制度，专项资金管理办法，绩效管理制度，信息化管理制度，决算与财务报告制度，监督与审计制度等。</w:t>
            </w:r>
          </w:p>
        </w:tc>
        <w:tc>
          <w:tcPr>
            <w:tcW w:w="1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12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①部门（单位）内控制度、内部财务管理制度和会计核算制度是否健全；②相关管理制度是否合法、合规、完整、有效；</w:t>
            </w:r>
          </w:p>
        </w:tc>
      </w:tr>
      <w:tr w14:paraId="1090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501E">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3F7FF">
            <w:pPr>
              <w:jc w:val="left"/>
              <w:rPr>
                <w:rFonts w:hint="eastAsia" w:ascii="宋体" w:hAnsi="宋体" w:eastAsia="宋体" w:cs="宋体"/>
                <w:i w:val="0"/>
                <w:iCs w:val="0"/>
                <w:color w:val="000000"/>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86A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制度执行有效性</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5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60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81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2E3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1.采购办公用品无采购申请审批 ，无领用清单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2.验收单无清单                        3.评审费无会议纪要及合同无评审总结及结果</w:t>
            </w:r>
          </w:p>
        </w:tc>
        <w:tc>
          <w:tcPr>
            <w:tcW w:w="1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94C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①相关管理制度是否得到有效执行；②是否存在整改情况；</w:t>
            </w:r>
          </w:p>
        </w:tc>
      </w:tr>
      <w:tr w14:paraId="3F3F2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CDCB">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F8A1C">
            <w:pPr>
              <w:jc w:val="left"/>
              <w:rPr>
                <w:rFonts w:hint="eastAsia" w:ascii="宋体" w:hAnsi="宋体" w:eastAsia="宋体" w:cs="宋体"/>
                <w:i w:val="0"/>
                <w:iCs w:val="0"/>
                <w:color w:val="000000"/>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B0D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预决算信息公开化</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0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C7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3A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4887">
            <w:pPr>
              <w:jc w:val="left"/>
              <w:rPr>
                <w:rFonts w:hint="eastAsia" w:ascii="宋体" w:hAnsi="宋体" w:eastAsia="宋体" w:cs="宋体"/>
                <w:i w:val="0"/>
                <w:iCs w:val="0"/>
                <w:color w:val="000000"/>
                <w:sz w:val="20"/>
                <w:szCs w:val="20"/>
                <w:u w:val="none"/>
              </w:rPr>
            </w:pPr>
          </w:p>
        </w:tc>
        <w:tc>
          <w:tcPr>
            <w:tcW w:w="1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920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①无涉密情况的预算单位按规定及时、准确、完整地公开预决算和绩效管理信息；②基础数据信息和会计信息资料真实、准确、完整；</w:t>
            </w:r>
          </w:p>
        </w:tc>
      </w:tr>
      <w:tr w14:paraId="04527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0AFF">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892A0">
            <w:pPr>
              <w:jc w:val="left"/>
              <w:rPr>
                <w:rFonts w:hint="eastAsia" w:ascii="宋体" w:hAnsi="宋体" w:eastAsia="宋体" w:cs="宋体"/>
                <w:i w:val="0"/>
                <w:iCs w:val="0"/>
                <w:color w:val="000000"/>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16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报销凭证的合规性与时效性</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2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C3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98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F99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发放工资的依据缺少经审批的工资明细表，缺少银行代发明细回单。2.支付医疗保险、工伤保险、职业年金后仅附国库支付单，银行端查询缴税凭证，未附人员名单、缴费基数确认表、明确的计算依据、审批流程、银行付款回单等。3.发放人员经费性质的交通补贴缺乏人力资源或组织部门的审核盖章。4.支付食堂餐费无计算依据（如用餐人数、餐标、天数等）。</w:t>
            </w:r>
          </w:p>
        </w:tc>
        <w:tc>
          <w:tcPr>
            <w:tcW w:w="1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A3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资金分配及时性（转移支付下达时效，资金保障有效性；是否接受检查，受过处罚或上缴财政资金情况</w:t>
            </w:r>
          </w:p>
        </w:tc>
      </w:tr>
      <w:tr w14:paraId="7B58C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5940">
            <w:pPr>
              <w:jc w:val="center"/>
              <w:rPr>
                <w:rFonts w:hint="eastAsia" w:ascii="宋体" w:hAnsi="宋体" w:eastAsia="宋体" w:cs="宋体"/>
                <w:i w:val="0"/>
                <w:iCs w:val="0"/>
                <w:color w:val="000000"/>
                <w:sz w:val="20"/>
                <w:szCs w:val="20"/>
                <w:u w:val="none"/>
              </w:rPr>
            </w:pP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B0E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资产管理（5分）</w:t>
            </w:r>
          </w:p>
        </w:tc>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E38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资产管理有效性</w:t>
            </w:r>
          </w:p>
        </w:tc>
        <w:tc>
          <w:tcPr>
            <w:tcW w:w="2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C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51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9BDB1">
            <w:pPr>
              <w:jc w:val="center"/>
              <w:rPr>
                <w:rFonts w:hint="eastAsia" w:ascii="宋体" w:hAnsi="宋体" w:eastAsia="宋体" w:cs="宋体"/>
                <w:i w:val="0"/>
                <w:iCs w:val="0"/>
                <w:color w:val="000000"/>
                <w:sz w:val="20"/>
                <w:szCs w:val="20"/>
                <w:u w:val="none"/>
              </w:rPr>
            </w:pP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AD7AE">
            <w:pPr>
              <w:jc w:val="left"/>
              <w:rPr>
                <w:rFonts w:hint="eastAsia" w:ascii="宋体" w:hAnsi="宋体" w:eastAsia="宋体" w:cs="宋体"/>
                <w:i w:val="0"/>
                <w:iCs w:val="0"/>
                <w:color w:val="000000"/>
                <w:sz w:val="20"/>
                <w:szCs w:val="20"/>
                <w:u w:val="none"/>
              </w:rPr>
            </w:pPr>
          </w:p>
        </w:tc>
        <w:tc>
          <w:tcPr>
            <w:tcW w:w="1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CD2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①资产保存是否完整并有台账；</w:t>
            </w:r>
          </w:p>
        </w:tc>
      </w:tr>
      <w:tr w14:paraId="64836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D34E">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8CCCC">
            <w:pPr>
              <w:jc w:val="left"/>
              <w:rPr>
                <w:rFonts w:hint="eastAsia" w:ascii="宋体" w:hAnsi="宋体" w:eastAsia="宋体" w:cs="宋体"/>
                <w:i w:val="0"/>
                <w:iCs w:val="0"/>
                <w:color w:val="000000"/>
                <w:sz w:val="20"/>
                <w:szCs w:val="20"/>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E2122">
            <w:pPr>
              <w:jc w:val="left"/>
              <w:rPr>
                <w:rFonts w:hint="eastAsia" w:ascii="宋体" w:hAnsi="宋体" w:eastAsia="宋体" w:cs="宋体"/>
                <w:i w:val="0"/>
                <w:iCs w:val="0"/>
                <w:color w:val="000000"/>
                <w:sz w:val="20"/>
                <w:szCs w:val="20"/>
                <w:u w:val="none"/>
              </w:rPr>
            </w:pPr>
          </w:p>
        </w:tc>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5A66">
            <w:pPr>
              <w:jc w:val="center"/>
              <w:rPr>
                <w:rFonts w:hint="eastAsia" w:ascii="宋体" w:hAnsi="宋体" w:eastAsia="宋体" w:cs="宋体"/>
                <w:i w:val="0"/>
                <w:iCs w:val="0"/>
                <w:color w:val="000000"/>
                <w:sz w:val="20"/>
                <w:szCs w:val="20"/>
                <w:u w:val="none"/>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512D6">
            <w:pPr>
              <w:jc w:val="center"/>
              <w:rPr>
                <w:rFonts w:hint="eastAsia" w:ascii="宋体" w:hAnsi="宋体" w:eastAsia="宋体" w:cs="宋体"/>
                <w:i w:val="0"/>
                <w:iCs w:val="0"/>
                <w:color w:val="000000"/>
                <w:sz w:val="20"/>
                <w:szCs w:val="20"/>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09038">
            <w:pPr>
              <w:jc w:val="center"/>
              <w:rPr>
                <w:rFonts w:hint="eastAsia" w:ascii="宋体" w:hAnsi="宋体" w:eastAsia="宋体" w:cs="宋体"/>
                <w:i w:val="0"/>
                <w:iCs w:val="0"/>
                <w:color w:val="000000"/>
                <w:sz w:val="20"/>
                <w:szCs w:val="20"/>
                <w:u w:val="none"/>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C39F0">
            <w:pPr>
              <w:jc w:val="left"/>
              <w:rPr>
                <w:rFonts w:hint="eastAsia" w:ascii="宋体" w:hAnsi="宋体" w:eastAsia="宋体" w:cs="宋体"/>
                <w:i w:val="0"/>
                <w:iCs w:val="0"/>
                <w:color w:val="000000"/>
                <w:sz w:val="20"/>
                <w:szCs w:val="20"/>
                <w:u w:val="none"/>
              </w:rPr>
            </w:pPr>
          </w:p>
        </w:tc>
        <w:tc>
          <w:tcPr>
            <w:tcW w:w="1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3DA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②资产配置是否合理，是否有闲置现象；</w:t>
            </w:r>
          </w:p>
        </w:tc>
      </w:tr>
      <w:tr w14:paraId="2723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437C">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AC097">
            <w:pPr>
              <w:jc w:val="left"/>
              <w:rPr>
                <w:rFonts w:hint="eastAsia" w:ascii="宋体" w:hAnsi="宋体" w:eastAsia="宋体" w:cs="宋体"/>
                <w:i w:val="0"/>
                <w:iCs w:val="0"/>
                <w:color w:val="000000"/>
                <w:sz w:val="20"/>
                <w:szCs w:val="20"/>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E8D23">
            <w:pPr>
              <w:jc w:val="left"/>
              <w:rPr>
                <w:rFonts w:hint="eastAsia" w:ascii="宋体" w:hAnsi="宋体" w:eastAsia="宋体" w:cs="宋体"/>
                <w:i w:val="0"/>
                <w:iCs w:val="0"/>
                <w:color w:val="000000"/>
                <w:sz w:val="20"/>
                <w:szCs w:val="20"/>
                <w:u w:val="none"/>
              </w:rPr>
            </w:pPr>
          </w:p>
        </w:tc>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9B37">
            <w:pPr>
              <w:jc w:val="center"/>
              <w:rPr>
                <w:rFonts w:hint="eastAsia" w:ascii="宋体" w:hAnsi="宋体" w:eastAsia="宋体" w:cs="宋体"/>
                <w:i w:val="0"/>
                <w:iCs w:val="0"/>
                <w:color w:val="000000"/>
                <w:sz w:val="20"/>
                <w:szCs w:val="20"/>
                <w:u w:val="none"/>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3B904">
            <w:pPr>
              <w:jc w:val="center"/>
              <w:rPr>
                <w:rFonts w:hint="eastAsia" w:ascii="宋体" w:hAnsi="宋体" w:eastAsia="宋体" w:cs="宋体"/>
                <w:i w:val="0"/>
                <w:iCs w:val="0"/>
                <w:color w:val="000000"/>
                <w:sz w:val="20"/>
                <w:szCs w:val="20"/>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69533">
            <w:pPr>
              <w:jc w:val="center"/>
              <w:rPr>
                <w:rFonts w:hint="eastAsia" w:ascii="宋体" w:hAnsi="宋体" w:eastAsia="宋体" w:cs="宋体"/>
                <w:i w:val="0"/>
                <w:iCs w:val="0"/>
                <w:color w:val="000000"/>
                <w:sz w:val="20"/>
                <w:szCs w:val="20"/>
                <w:u w:val="none"/>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04FC7">
            <w:pPr>
              <w:jc w:val="left"/>
              <w:rPr>
                <w:rFonts w:hint="eastAsia" w:ascii="宋体" w:hAnsi="宋体" w:eastAsia="宋体" w:cs="宋体"/>
                <w:i w:val="0"/>
                <w:iCs w:val="0"/>
                <w:color w:val="000000"/>
                <w:sz w:val="20"/>
                <w:szCs w:val="20"/>
                <w:u w:val="none"/>
              </w:rPr>
            </w:pPr>
          </w:p>
        </w:tc>
        <w:tc>
          <w:tcPr>
            <w:tcW w:w="1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68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③资产处置是否规范；</w:t>
            </w:r>
          </w:p>
        </w:tc>
      </w:tr>
      <w:tr w14:paraId="78E8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2DAB">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9055E">
            <w:pPr>
              <w:jc w:val="left"/>
              <w:rPr>
                <w:rFonts w:hint="eastAsia" w:ascii="宋体" w:hAnsi="宋体" w:eastAsia="宋体" w:cs="宋体"/>
                <w:i w:val="0"/>
                <w:iCs w:val="0"/>
                <w:color w:val="000000"/>
                <w:sz w:val="20"/>
                <w:szCs w:val="20"/>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BAC8A">
            <w:pPr>
              <w:jc w:val="left"/>
              <w:rPr>
                <w:rFonts w:hint="eastAsia" w:ascii="宋体" w:hAnsi="宋体" w:eastAsia="宋体" w:cs="宋体"/>
                <w:i w:val="0"/>
                <w:iCs w:val="0"/>
                <w:color w:val="000000"/>
                <w:sz w:val="20"/>
                <w:szCs w:val="20"/>
                <w:u w:val="none"/>
              </w:rPr>
            </w:pPr>
          </w:p>
        </w:tc>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8762">
            <w:pPr>
              <w:jc w:val="center"/>
              <w:rPr>
                <w:rFonts w:hint="eastAsia" w:ascii="宋体" w:hAnsi="宋体" w:eastAsia="宋体" w:cs="宋体"/>
                <w:i w:val="0"/>
                <w:iCs w:val="0"/>
                <w:color w:val="000000"/>
                <w:sz w:val="20"/>
                <w:szCs w:val="20"/>
                <w:u w:val="none"/>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6E453">
            <w:pPr>
              <w:jc w:val="center"/>
              <w:rPr>
                <w:rFonts w:hint="eastAsia" w:ascii="宋体" w:hAnsi="宋体" w:eastAsia="宋体" w:cs="宋体"/>
                <w:i w:val="0"/>
                <w:iCs w:val="0"/>
                <w:color w:val="000000"/>
                <w:sz w:val="20"/>
                <w:szCs w:val="20"/>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19D53">
            <w:pPr>
              <w:jc w:val="center"/>
              <w:rPr>
                <w:rFonts w:hint="eastAsia" w:ascii="宋体" w:hAnsi="宋体" w:eastAsia="宋体" w:cs="宋体"/>
                <w:i w:val="0"/>
                <w:iCs w:val="0"/>
                <w:color w:val="000000"/>
                <w:sz w:val="20"/>
                <w:szCs w:val="20"/>
                <w:u w:val="none"/>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682C1">
            <w:pPr>
              <w:jc w:val="left"/>
              <w:rPr>
                <w:rFonts w:hint="eastAsia" w:ascii="宋体" w:hAnsi="宋体" w:eastAsia="宋体" w:cs="宋体"/>
                <w:i w:val="0"/>
                <w:iCs w:val="0"/>
                <w:color w:val="000000"/>
                <w:sz w:val="20"/>
                <w:szCs w:val="20"/>
                <w:u w:val="none"/>
              </w:rPr>
            </w:pPr>
          </w:p>
        </w:tc>
        <w:tc>
          <w:tcPr>
            <w:tcW w:w="1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A86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④资产账务管理是否合规，是否账实相符；</w:t>
            </w:r>
          </w:p>
        </w:tc>
      </w:tr>
      <w:tr w14:paraId="614CE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A5C3">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04B94">
            <w:pPr>
              <w:jc w:val="left"/>
              <w:rPr>
                <w:rFonts w:hint="eastAsia" w:ascii="宋体" w:hAnsi="宋体" w:eastAsia="宋体" w:cs="宋体"/>
                <w:i w:val="0"/>
                <w:iCs w:val="0"/>
                <w:color w:val="000000"/>
                <w:sz w:val="20"/>
                <w:szCs w:val="20"/>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0A55C">
            <w:pPr>
              <w:jc w:val="left"/>
              <w:rPr>
                <w:rFonts w:hint="eastAsia" w:ascii="宋体" w:hAnsi="宋体" w:eastAsia="宋体" w:cs="宋体"/>
                <w:i w:val="0"/>
                <w:iCs w:val="0"/>
                <w:color w:val="000000"/>
                <w:sz w:val="20"/>
                <w:szCs w:val="20"/>
                <w:u w:val="none"/>
              </w:rPr>
            </w:pPr>
          </w:p>
        </w:tc>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DEE8">
            <w:pPr>
              <w:jc w:val="center"/>
              <w:rPr>
                <w:rFonts w:hint="eastAsia" w:ascii="宋体" w:hAnsi="宋体" w:eastAsia="宋体" w:cs="宋体"/>
                <w:i w:val="0"/>
                <w:iCs w:val="0"/>
                <w:color w:val="000000"/>
                <w:sz w:val="20"/>
                <w:szCs w:val="20"/>
                <w:u w:val="none"/>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67648">
            <w:pPr>
              <w:jc w:val="center"/>
              <w:rPr>
                <w:rFonts w:hint="eastAsia" w:ascii="宋体" w:hAnsi="宋体" w:eastAsia="宋体" w:cs="宋体"/>
                <w:i w:val="0"/>
                <w:iCs w:val="0"/>
                <w:color w:val="000000"/>
                <w:sz w:val="20"/>
                <w:szCs w:val="20"/>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0AC35">
            <w:pPr>
              <w:jc w:val="center"/>
              <w:rPr>
                <w:rFonts w:hint="eastAsia" w:ascii="宋体" w:hAnsi="宋体" w:eastAsia="宋体" w:cs="宋体"/>
                <w:i w:val="0"/>
                <w:iCs w:val="0"/>
                <w:color w:val="000000"/>
                <w:sz w:val="20"/>
                <w:szCs w:val="20"/>
                <w:u w:val="none"/>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0EC30">
            <w:pPr>
              <w:jc w:val="left"/>
              <w:rPr>
                <w:rFonts w:hint="eastAsia" w:ascii="宋体" w:hAnsi="宋体" w:eastAsia="宋体" w:cs="宋体"/>
                <w:i w:val="0"/>
                <w:iCs w:val="0"/>
                <w:color w:val="000000"/>
                <w:sz w:val="20"/>
                <w:szCs w:val="20"/>
                <w:u w:val="none"/>
              </w:rPr>
            </w:pPr>
          </w:p>
        </w:tc>
        <w:tc>
          <w:tcPr>
            <w:tcW w:w="1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AA9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⑤是否完成国有“三资”盘活工作，资产是否有偿使用或处置收入及时足额上缴；</w:t>
            </w:r>
          </w:p>
        </w:tc>
      </w:tr>
      <w:tr w14:paraId="7F7D0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5393">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FF0BC">
            <w:pPr>
              <w:jc w:val="left"/>
              <w:rPr>
                <w:rFonts w:hint="eastAsia" w:ascii="宋体" w:hAnsi="宋体" w:eastAsia="宋体" w:cs="宋体"/>
                <w:i w:val="0"/>
                <w:iCs w:val="0"/>
                <w:color w:val="000000"/>
                <w:sz w:val="20"/>
                <w:szCs w:val="20"/>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32667">
            <w:pPr>
              <w:jc w:val="left"/>
              <w:rPr>
                <w:rFonts w:hint="eastAsia" w:ascii="宋体" w:hAnsi="宋体" w:eastAsia="宋体" w:cs="宋体"/>
                <w:i w:val="0"/>
                <w:iCs w:val="0"/>
                <w:color w:val="000000"/>
                <w:sz w:val="20"/>
                <w:szCs w:val="20"/>
                <w:u w:val="none"/>
              </w:rPr>
            </w:pPr>
          </w:p>
        </w:tc>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BAA4">
            <w:pPr>
              <w:jc w:val="center"/>
              <w:rPr>
                <w:rFonts w:hint="eastAsia" w:ascii="宋体" w:hAnsi="宋体" w:eastAsia="宋体" w:cs="宋体"/>
                <w:i w:val="0"/>
                <w:iCs w:val="0"/>
                <w:color w:val="000000"/>
                <w:sz w:val="20"/>
                <w:szCs w:val="20"/>
                <w:u w:val="none"/>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63D9E">
            <w:pPr>
              <w:jc w:val="center"/>
              <w:rPr>
                <w:rFonts w:hint="eastAsia" w:ascii="宋体" w:hAnsi="宋体" w:eastAsia="宋体" w:cs="宋体"/>
                <w:i w:val="0"/>
                <w:iCs w:val="0"/>
                <w:color w:val="000000"/>
                <w:sz w:val="20"/>
                <w:szCs w:val="20"/>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92D8F">
            <w:pPr>
              <w:jc w:val="center"/>
              <w:rPr>
                <w:rFonts w:hint="eastAsia" w:ascii="宋体" w:hAnsi="宋体" w:eastAsia="宋体" w:cs="宋体"/>
                <w:i w:val="0"/>
                <w:iCs w:val="0"/>
                <w:color w:val="000000"/>
                <w:sz w:val="20"/>
                <w:szCs w:val="20"/>
                <w:u w:val="none"/>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4BB6C">
            <w:pPr>
              <w:jc w:val="left"/>
              <w:rPr>
                <w:rFonts w:hint="eastAsia" w:ascii="宋体" w:hAnsi="宋体" w:eastAsia="宋体" w:cs="宋体"/>
                <w:i w:val="0"/>
                <w:iCs w:val="0"/>
                <w:color w:val="000000"/>
                <w:sz w:val="20"/>
                <w:szCs w:val="20"/>
                <w:u w:val="none"/>
              </w:rPr>
            </w:pPr>
          </w:p>
        </w:tc>
        <w:tc>
          <w:tcPr>
            <w:tcW w:w="1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BAE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⑥相关资产购置是否履行政府采购手续，外租资产是否走合规程序；</w:t>
            </w:r>
          </w:p>
        </w:tc>
      </w:tr>
      <w:tr w14:paraId="67B5F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17F7">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D9987">
            <w:pPr>
              <w:jc w:val="left"/>
              <w:rPr>
                <w:rFonts w:hint="eastAsia" w:ascii="宋体" w:hAnsi="宋体" w:eastAsia="宋体" w:cs="宋体"/>
                <w:i w:val="0"/>
                <w:iCs w:val="0"/>
                <w:color w:val="000000"/>
                <w:sz w:val="20"/>
                <w:szCs w:val="20"/>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C6B25">
            <w:pPr>
              <w:jc w:val="left"/>
              <w:rPr>
                <w:rFonts w:hint="eastAsia" w:ascii="宋体" w:hAnsi="宋体" w:eastAsia="宋体" w:cs="宋体"/>
                <w:i w:val="0"/>
                <w:iCs w:val="0"/>
                <w:color w:val="000000"/>
                <w:sz w:val="20"/>
                <w:szCs w:val="20"/>
                <w:u w:val="none"/>
              </w:rPr>
            </w:pPr>
          </w:p>
        </w:tc>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02AC">
            <w:pPr>
              <w:jc w:val="center"/>
              <w:rPr>
                <w:rFonts w:hint="eastAsia" w:ascii="宋体" w:hAnsi="宋体" w:eastAsia="宋体" w:cs="宋体"/>
                <w:i w:val="0"/>
                <w:iCs w:val="0"/>
                <w:color w:val="000000"/>
                <w:sz w:val="20"/>
                <w:szCs w:val="20"/>
                <w:u w:val="none"/>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773CD">
            <w:pPr>
              <w:jc w:val="center"/>
              <w:rPr>
                <w:rFonts w:hint="eastAsia" w:ascii="宋体" w:hAnsi="宋体" w:eastAsia="宋体" w:cs="宋体"/>
                <w:i w:val="0"/>
                <w:iCs w:val="0"/>
                <w:color w:val="000000"/>
                <w:sz w:val="20"/>
                <w:szCs w:val="20"/>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6F3BD">
            <w:pPr>
              <w:jc w:val="center"/>
              <w:rPr>
                <w:rFonts w:hint="eastAsia" w:ascii="宋体" w:hAnsi="宋体" w:eastAsia="宋体" w:cs="宋体"/>
                <w:i w:val="0"/>
                <w:iCs w:val="0"/>
                <w:color w:val="000000"/>
                <w:sz w:val="20"/>
                <w:szCs w:val="20"/>
                <w:u w:val="none"/>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4135F">
            <w:pPr>
              <w:jc w:val="left"/>
              <w:rPr>
                <w:rFonts w:hint="eastAsia" w:ascii="宋体" w:hAnsi="宋体" w:eastAsia="宋体" w:cs="宋体"/>
                <w:i w:val="0"/>
                <w:iCs w:val="0"/>
                <w:color w:val="000000"/>
                <w:sz w:val="20"/>
                <w:szCs w:val="20"/>
                <w:u w:val="none"/>
              </w:rPr>
            </w:pPr>
          </w:p>
        </w:tc>
        <w:tc>
          <w:tcPr>
            <w:tcW w:w="1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C89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⑦资产是否定期进行盘点并有记录。</w:t>
            </w:r>
          </w:p>
        </w:tc>
      </w:tr>
      <w:tr w14:paraId="7FE2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8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产出（20分）</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1C5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编研作品产出（10分）</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BA8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1.数量指标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2.时效指标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3.质量指标</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5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ED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F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C091">
            <w:pPr>
              <w:rPr>
                <w:rFonts w:hint="eastAsia" w:ascii="宋体" w:hAnsi="宋体" w:eastAsia="宋体" w:cs="宋体"/>
                <w:i w:val="0"/>
                <w:iCs w:val="0"/>
                <w:color w:val="000000"/>
                <w:sz w:val="20"/>
                <w:szCs w:val="20"/>
                <w:u w:val="none"/>
              </w:rPr>
            </w:pPr>
          </w:p>
        </w:tc>
        <w:tc>
          <w:tcPr>
            <w:tcW w:w="1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654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出版《雁峰人大70年》1部，字数≥66万字，图照≥100张。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完成省、市级年鉴/执政纪事供稿任务4项（《省委纪事》《湖南年鉴》《市委执政纪事》《衡阳年鉴》）。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3.完成外单位志鉴评审任务≥3项。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4.雁峰人大70年》在12月3日前出版交付。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5.所有供稿、评审、数据报送任务按时完成率100%。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6.编研作品史实准确率100%，政治表述零差错。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7.供稿稿件审核通过率100%。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8.评审意见专业、规范，被采纳率≥90%。</w:t>
            </w:r>
          </w:p>
        </w:tc>
      </w:tr>
      <w:tr w14:paraId="419C9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6"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E74A">
            <w:pPr>
              <w:jc w:val="center"/>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8E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基础工作产出（10分）</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5AE8B">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数量与质量指标</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D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F5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02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3A0CC">
            <w:pPr>
              <w:rPr>
                <w:rFonts w:hint="eastAsia" w:ascii="宋体" w:hAnsi="宋体" w:eastAsia="宋体" w:cs="宋体"/>
                <w:i w:val="0"/>
                <w:iCs w:val="0"/>
                <w:color w:val="000000"/>
                <w:sz w:val="20"/>
                <w:szCs w:val="20"/>
                <w:u w:val="none"/>
              </w:rPr>
            </w:pPr>
          </w:p>
        </w:tc>
        <w:tc>
          <w:tcPr>
            <w:tcW w:w="1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F2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1.完成区内红色场馆、烈士信息普查，数据完整率与准确率均达100%。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2.所有项目资料归档率100%</w:t>
            </w:r>
          </w:p>
        </w:tc>
      </w:tr>
      <w:tr w14:paraId="3305C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4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效益（30分）</w:t>
            </w:r>
          </w:p>
        </w:tc>
        <w:tc>
          <w:tcPr>
            <w:tcW w:w="479" w:type="pct"/>
            <w:tcBorders>
              <w:top w:val="single" w:color="000000" w:sz="4" w:space="0"/>
              <w:left w:val="single" w:color="000000" w:sz="4" w:space="0"/>
              <w:bottom w:val="nil"/>
              <w:right w:val="single" w:color="000000" w:sz="4" w:space="0"/>
            </w:tcBorders>
            <w:shd w:val="clear" w:color="auto" w:fill="auto"/>
            <w:vAlign w:val="center"/>
          </w:tcPr>
          <w:p w14:paraId="7698E0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社会效益及管理效益（20分）</w:t>
            </w:r>
          </w:p>
        </w:tc>
        <w:tc>
          <w:tcPr>
            <w:tcW w:w="580" w:type="pct"/>
            <w:tcBorders>
              <w:top w:val="single" w:color="000000" w:sz="4" w:space="0"/>
              <w:left w:val="single" w:color="000000" w:sz="4" w:space="0"/>
              <w:bottom w:val="nil"/>
              <w:right w:val="single" w:color="000000" w:sz="4" w:space="0"/>
            </w:tcBorders>
            <w:shd w:val="clear" w:color="auto" w:fill="auto"/>
            <w:vAlign w:val="center"/>
          </w:tcPr>
          <w:p w14:paraId="2DA9ABB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①资政价值实现度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②宣传教育影响力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③文化传承贡献度         </w:t>
            </w:r>
          </w:p>
          <w:p w14:paraId="66A412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④资源整合与协作效能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⑤基础支撑能力     </w:t>
            </w:r>
          </w:p>
        </w:tc>
        <w:tc>
          <w:tcPr>
            <w:tcW w:w="210" w:type="pct"/>
            <w:tcBorders>
              <w:top w:val="single" w:color="000000" w:sz="4" w:space="0"/>
              <w:left w:val="single" w:color="000000" w:sz="4" w:space="0"/>
              <w:bottom w:val="nil"/>
              <w:right w:val="single" w:color="000000" w:sz="4" w:space="0"/>
            </w:tcBorders>
            <w:shd w:val="clear" w:color="auto" w:fill="auto"/>
            <w:vAlign w:val="center"/>
          </w:tcPr>
          <w:p w14:paraId="3A79C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23" w:type="pct"/>
            <w:tcBorders>
              <w:top w:val="single" w:color="000000" w:sz="4" w:space="0"/>
              <w:left w:val="single" w:color="000000" w:sz="4" w:space="0"/>
              <w:bottom w:val="nil"/>
              <w:right w:val="single" w:color="000000" w:sz="4" w:space="0"/>
            </w:tcBorders>
            <w:shd w:val="clear" w:color="auto" w:fill="auto"/>
            <w:vAlign w:val="center"/>
          </w:tcPr>
          <w:p w14:paraId="694CE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D4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98" w:type="pct"/>
            <w:tcBorders>
              <w:top w:val="single" w:color="000000" w:sz="4" w:space="0"/>
              <w:left w:val="single" w:color="000000" w:sz="4" w:space="0"/>
              <w:bottom w:val="nil"/>
              <w:right w:val="single" w:color="000000" w:sz="4" w:space="0"/>
            </w:tcBorders>
            <w:shd w:val="clear" w:color="auto" w:fill="auto"/>
            <w:vAlign w:val="center"/>
          </w:tcPr>
          <w:p w14:paraId="5198F811">
            <w:pPr>
              <w:jc w:val="center"/>
              <w:rPr>
                <w:rFonts w:hint="eastAsia" w:ascii="宋体" w:hAnsi="宋体" w:eastAsia="宋体" w:cs="宋体"/>
                <w:i w:val="0"/>
                <w:iCs w:val="0"/>
                <w:color w:val="000000"/>
                <w:sz w:val="20"/>
                <w:szCs w:val="20"/>
                <w:u w:val="none"/>
              </w:rPr>
            </w:pPr>
          </w:p>
        </w:tc>
        <w:tc>
          <w:tcPr>
            <w:tcW w:w="1684" w:type="pct"/>
            <w:tcBorders>
              <w:top w:val="single" w:color="000000" w:sz="4" w:space="0"/>
              <w:left w:val="single" w:color="000000" w:sz="4" w:space="0"/>
              <w:bottom w:val="nil"/>
              <w:right w:val="single" w:color="000000" w:sz="4" w:space="0"/>
            </w:tcBorders>
            <w:shd w:val="clear" w:color="auto" w:fill="auto"/>
            <w:vAlign w:val="center"/>
          </w:tcPr>
          <w:p w14:paraId="4AB486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1.《雁峰人大70年》等成果是否被党委、人大等决策部门作为重要参考材料；在市级会议等场合发放使用，获得领导批示或正面评价。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2.编研成果是否有效宣传了雁峰区形象（如在观摩现场发放）；通过书籍、资料发放覆盖关键人群，提升了公众对地方历史与民主法治建设的认知。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3.是否系统性地抢救和保存了地方重要史料（如70年人大史），为后世留下了权威、完整的历史记录。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4.是否成功构建了跨部门（如联合人大办、党史联络组）协作机制；是否通过参与上级供稿和外部评审，提升了本室在史志系统内的影响力与话语权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5.红色资源普查等基础工作是否为后续的场馆保护、英烈褒扬、文旅发展提供了精准、可靠的数据支撑。</w:t>
            </w:r>
          </w:p>
        </w:tc>
      </w:tr>
      <w:tr w14:paraId="16C48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2656">
            <w:pPr>
              <w:jc w:val="center"/>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7ED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相关人员满意度（10分）</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FDF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①区领导满意度。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②服务部门/街道满意度     ③社会公众感知度</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B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A6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8D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F13DB">
            <w:pPr>
              <w:jc w:val="center"/>
              <w:rPr>
                <w:rFonts w:hint="eastAsia" w:ascii="宋体" w:hAnsi="宋体" w:eastAsia="宋体" w:cs="宋体"/>
                <w:i w:val="0"/>
                <w:iCs w:val="0"/>
                <w:color w:val="000000"/>
                <w:sz w:val="20"/>
                <w:szCs w:val="20"/>
                <w:u w:val="none"/>
              </w:rPr>
            </w:pPr>
          </w:p>
        </w:tc>
        <w:tc>
          <w:tcPr>
            <w:tcW w:w="1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5C19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区领导满意度： 确保编研成果有效服务宏观决策与中心工作，获得区主要领导的认可与肯定。年度绩效考评中，区领导对史志工作的评议满意度达到90%以上；或编研成果（如《雁峰人大70年》）获得区级及以上领导的正面批示或口头表扬。</w:t>
            </w:r>
          </w:p>
          <w:p w14:paraId="3366BC53">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2.</w:t>
            </w:r>
            <w:r>
              <w:rPr>
                <w:rFonts w:hint="eastAsia" w:ascii="宋体" w:hAnsi="宋体" w:eastAsia="宋体" w:cs="宋体"/>
                <w:i w:val="0"/>
                <w:iCs w:val="0"/>
                <w:color w:val="000000"/>
                <w:kern w:val="0"/>
                <w:sz w:val="20"/>
                <w:szCs w:val="20"/>
                <w:u w:val="none"/>
                <w:lang w:val="en-US" w:eastAsia="zh-CN" w:bidi="ar"/>
              </w:rPr>
              <w:t>服务部门/街道满意度： 提升对协作单位与基层单位的支持与服务效能，建立良好工作关系。通过问卷调查或意见反馈，联合编纂部门（如区人大办）、供稿单位及兄弟街道对研究室在协作配合、资料支持、专业指导等方面的服务满意度达到85%以上。</w:t>
            </w:r>
          </w:p>
          <w:p w14:paraId="3FEF0FB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社会公众感知度：增强史志成果的社会影响力与文化渗透力，提升公众对本地历史文化的认知和认同感。通过重要成果的发放覆盖（如会议资料）、媒体报道、公共场馆查阅等方式，触达关键公众群体；在可能的条件下，通过抽样调查显示公众对本区历史与红色文化的知晓度或关注度有所提升。</w:t>
            </w:r>
          </w:p>
        </w:tc>
      </w:tr>
      <w:tr w14:paraId="3CC97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3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9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B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9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9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8F64A">
            <w:pPr>
              <w:jc w:val="center"/>
              <w:rPr>
                <w:rFonts w:hint="eastAsia" w:ascii="宋体" w:hAnsi="宋体" w:eastAsia="宋体" w:cs="宋体"/>
                <w:i w:val="0"/>
                <w:iCs w:val="0"/>
                <w:color w:val="000000"/>
                <w:sz w:val="20"/>
                <w:szCs w:val="20"/>
                <w:u w:val="none"/>
              </w:rPr>
            </w:pPr>
          </w:p>
        </w:tc>
        <w:tc>
          <w:tcPr>
            <w:tcW w:w="1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B4908">
            <w:pPr>
              <w:rPr>
                <w:rFonts w:hint="eastAsia" w:ascii="宋体" w:hAnsi="宋体" w:eastAsia="宋体" w:cs="宋体"/>
                <w:i w:val="0"/>
                <w:iCs w:val="0"/>
                <w:color w:val="000000"/>
                <w:sz w:val="20"/>
                <w:szCs w:val="20"/>
                <w:u w:val="none"/>
              </w:rPr>
            </w:pPr>
          </w:p>
        </w:tc>
      </w:tr>
    </w:tbl>
    <w:p w14:paraId="6CC42495">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pPr>
    </w:p>
    <w:p w14:paraId="27CEB874">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rightChars="0"/>
        <w:jc w:val="left"/>
        <w:rPr>
          <w:rFonts w:hint="eastAsia" w:ascii="仿宋" w:hAnsi="仿宋" w:eastAsia="仿宋" w:cs="仿宋"/>
          <w:b w:val="0"/>
          <w:bCs w:val="0"/>
          <w:i w:val="0"/>
          <w:iCs w:val="0"/>
          <w:caps w:val="0"/>
          <w:color w:val="000000"/>
          <w:spacing w:val="0"/>
          <w:sz w:val="32"/>
          <w:szCs w:val="32"/>
          <w:u w:val="none"/>
          <w:shd w:val="clear" w:fill="FFFFFF"/>
          <w:lang w:val="en-US" w:eastAsia="zh-CN"/>
        </w:rPr>
      </w:pPr>
    </w:p>
    <w:p w14:paraId="00D6DE58">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rightChars="0"/>
        <w:jc w:val="left"/>
        <w:rPr>
          <w:rFonts w:hint="eastAsia" w:ascii="仿宋" w:hAnsi="仿宋" w:eastAsia="仿宋" w:cs="仿宋"/>
          <w:b w:val="0"/>
          <w:bCs w:val="0"/>
          <w:i w:val="0"/>
          <w:iCs w:val="0"/>
          <w:caps w:val="0"/>
          <w:color w:val="000000"/>
          <w:spacing w:val="0"/>
          <w:sz w:val="32"/>
          <w:szCs w:val="32"/>
          <w:u w:val="none"/>
          <w:shd w:val="clear" w:fill="FFFFFF"/>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7C53519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47" w:name="_Toc31438"/>
      <w:bookmarkStart w:id="48" w:name="_Toc26985"/>
      <w:bookmarkStart w:id="49" w:name="_Toc8264"/>
      <w:r>
        <w:rPr>
          <w:rFonts w:hint="eastAsia" w:ascii="楷体" w:hAnsi="楷体" w:eastAsia="楷体" w:cs="楷体"/>
          <w:b/>
          <w:bCs/>
          <w:sz w:val="32"/>
          <w:szCs w:val="32"/>
          <w:lang w:val="en-US" w:eastAsia="zh-CN"/>
        </w:rPr>
        <w:t>（三）评价结果</w:t>
      </w:r>
      <w:bookmarkEnd w:id="47"/>
      <w:bookmarkEnd w:id="48"/>
      <w:bookmarkEnd w:id="49"/>
    </w:p>
    <w:p w14:paraId="39D30D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1.绩效评价结果定级</w:t>
      </w:r>
    </w:p>
    <w:p w14:paraId="1980CEBD">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rPr>
        <w:t>本次绩效评价结果采用综合评分定级的方法，根据项目收集相关资料、项目访谈以及相关的规定与标准，总分值为100分，评价等级</w:t>
      </w:r>
      <w:r>
        <w:rPr>
          <w:rFonts w:hint="eastAsia" w:ascii="仿宋" w:hAnsi="仿宋" w:eastAsia="仿宋" w:cs="仿宋"/>
          <w:i w:val="0"/>
          <w:iCs w:val="0"/>
          <w:caps w:val="0"/>
          <w:color w:val="000000"/>
          <w:spacing w:val="0"/>
          <w:sz w:val="32"/>
          <w:szCs w:val="32"/>
          <w:u w:val="none"/>
          <w:shd w:val="clear" w:fill="FFFFFF"/>
          <w:lang w:eastAsia="zh-CN"/>
        </w:rPr>
        <w:t>分为</w:t>
      </w:r>
      <w:r>
        <w:rPr>
          <w:rFonts w:hint="eastAsia" w:ascii="仿宋" w:hAnsi="仿宋" w:eastAsia="仿宋" w:cs="仿宋"/>
          <w:i w:val="0"/>
          <w:iCs w:val="0"/>
          <w:caps w:val="0"/>
          <w:color w:val="000000"/>
          <w:spacing w:val="0"/>
          <w:sz w:val="32"/>
          <w:szCs w:val="32"/>
          <w:u w:val="none"/>
          <w:shd w:val="clear" w:fill="FFFFFF"/>
        </w:rPr>
        <w:t>优</w:t>
      </w:r>
      <w:r>
        <w:rPr>
          <w:rFonts w:hint="eastAsia" w:ascii="仿宋" w:hAnsi="仿宋" w:eastAsia="仿宋" w:cs="仿宋"/>
          <w:i w:val="0"/>
          <w:iCs w:val="0"/>
          <w:caps w:val="0"/>
          <w:color w:val="000000"/>
          <w:spacing w:val="0"/>
          <w:sz w:val="32"/>
          <w:szCs w:val="32"/>
          <w:u w:val="none"/>
          <w:shd w:val="clear" w:fill="FFFFFF"/>
          <w:lang w:val="en-US" w:eastAsia="zh-CN"/>
        </w:rPr>
        <w:t>秀</w:t>
      </w:r>
      <w:r>
        <w:rPr>
          <w:rFonts w:hint="eastAsia" w:ascii="仿宋" w:hAnsi="仿宋" w:eastAsia="仿宋" w:cs="仿宋"/>
          <w:i w:val="0"/>
          <w:iCs w:val="0"/>
          <w:caps w:val="0"/>
          <w:color w:val="000000"/>
          <w:spacing w:val="0"/>
          <w:sz w:val="32"/>
          <w:szCs w:val="32"/>
          <w:u w:val="none"/>
          <w:shd w:val="clear" w:fill="FFFFFF"/>
        </w:rPr>
        <w:t>、良</w:t>
      </w:r>
      <w:r>
        <w:rPr>
          <w:rFonts w:hint="eastAsia" w:ascii="仿宋" w:hAnsi="仿宋" w:eastAsia="仿宋" w:cs="仿宋"/>
          <w:i w:val="0"/>
          <w:iCs w:val="0"/>
          <w:caps w:val="0"/>
          <w:color w:val="000000"/>
          <w:spacing w:val="0"/>
          <w:sz w:val="32"/>
          <w:szCs w:val="32"/>
          <w:u w:val="none"/>
          <w:shd w:val="clear" w:fill="FFFFFF"/>
          <w:lang w:val="en-US" w:eastAsia="zh-CN"/>
        </w:rPr>
        <w:t>好</w:t>
      </w: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i w:val="0"/>
          <w:iCs w:val="0"/>
          <w:caps w:val="0"/>
          <w:color w:val="000000"/>
          <w:spacing w:val="0"/>
          <w:sz w:val="32"/>
          <w:szCs w:val="32"/>
          <w:u w:val="none"/>
          <w:shd w:val="clear" w:fill="FFFFFF"/>
          <w:lang w:val="en-US" w:eastAsia="zh-CN"/>
        </w:rPr>
        <w:t>中等</w:t>
      </w: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i w:val="0"/>
          <w:iCs w:val="0"/>
          <w:caps w:val="0"/>
          <w:color w:val="000000"/>
          <w:spacing w:val="0"/>
          <w:sz w:val="32"/>
          <w:szCs w:val="32"/>
          <w:u w:val="none"/>
          <w:shd w:val="clear" w:fill="FFFFFF"/>
          <w:lang w:val="en-US" w:eastAsia="zh-CN"/>
        </w:rPr>
        <w:t>较</w:t>
      </w:r>
      <w:r>
        <w:rPr>
          <w:rFonts w:hint="eastAsia" w:ascii="仿宋" w:hAnsi="仿宋" w:eastAsia="仿宋" w:cs="仿宋"/>
          <w:i w:val="0"/>
          <w:iCs w:val="0"/>
          <w:caps w:val="0"/>
          <w:color w:val="000000"/>
          <w:spacing w:val="0"/>
          <w:sz w:val="32"/>
          <w:szCs w:val="32"/>
          <w:u w:val="none"/>
          <w:shd w:val="clear" w:fill="FFFFFF"/>
          <w:lang w:eastAsia="zh-CN"/>
        </w:rPr>
        <w:t>差</w:t>
      </w:r>
      <w:r>
        <w:rPr>
          <w:rFonts w:hint="eastAsia" w:ascii="仿宋" w:hAnsi="仿宋" w:eastAsia="仿宋" w:cs="仿宋"/>
          <w:i w:val="0"/>
          <w:iCs w:val="0"/>
          <w:caps w:val="0"/>
          <w:color w:val="000000"/>
          <w:spacing w:val="0"/>
          <w:sz w:val="32"/>
          <w:szCs w:val="32"/>
          <w:u w:val="none"/>
          <w:shd w:val="clear" w:fill="FFFFFF"/>
        </w:rPr>
        <w:t>四档。评价得分高于</w:t>
      </w:r>
      <w:r>
        <w:rPr>
          <w:rFonts w:hint="eastAsia" w:ascii="仿宋" w:hAnsi="仿宋" w:eastAsia="仿宋" w:cs="仿宋"/>
          <w:i w:val="0"/>
          <w:iCs w:val="0"/>
          <w:caps w:val="0"/>
          <w:color w:val="000000"/>
          <w:spacing w:val="0"/>
          <w:sz w:val="32"/>
          <w:szCs w:val="32"/>
          <w:u w:val="none"/>
          <w:shd w:val="clear" w:fill="FFFFFF"/>
          <w:lang w:val="en-US" w:eastAsia="zh-CN"/>
        </w:rPr>
        <w:t>或等于</w:t>
      </w:r>
      <w:r>
        <w:rPr>
          <w:rFonts w:hint="eastAsia" w:ascii="仿宋" w:hAnsi="仿宋" w:eastAsia="仿宋" w:cs="仿宋"/>
          <w:i w:val="0"/>
          <w:iCs w:val="0"/>
          <w:caps w:val="0"/>
          <w:color w:val="000000"/>
          <w:spacing w:val="0"/>
          <w:sz w:val="32"/>
          <w:szCs w:val="32"/>
          <w:u w:val="none"/>
          <w:shd w:val="clear" w:fill="FFFFFF"/>
        </w:rPr>
        <w:t>90分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为优</w:t>
      </w:r>
      <w:r>
        <w:rPr>
          <w:rFonts w:hint="eastAsia" w:ascii="仿宋" w:hAnsi="仿宋" w:eastAsia="仿宋" w:cs="仿宋"/>
          <w:i w:val="0"/>
          <w:iCs w:val="0"/>
          <w:caps w:val="0"/>
          <w:color w:val="000000"/>
          <w:spacing w:val="0"/>
          <w:sz w:val="32"/>
          <w:szCs w:val="32"/>
          <w:u w:val="none"/>
          <w:shd w:val="clear" w:fill="FFFFFF"/>
          <w:lang w:val="en-US" w:eastAsia="zh-CN"/>
        </w:rPr>
        <w:t>秀</w:t>
      </w:r>
      <w:r>
        <w:rPr>
          <w:rFonts w:hint="eastAsia" w:ascii="仿宋" w:hAnsi="仿宋" w:eastAsia="仿宋" w:cs="仿宋"/>
          <w:i w:val="0"/>
          <w:iCs w:val="0"/>
          <w:caps w:val="0"/>
          <w:color w:val="000000"/>
          <w:spacing w:val="0"/>
          <w:sz w:val="32"/>
          <w:szCs w:val="32"/>
          <w:u w:val="none"/>
          <w:shd w:val="clear" w:fill="FFFFFF"/>
        </w:rPr>
        <w:t>；得分在</w:t>
      </w:r>
      <w:r>
        <w:rPr>
          <w:rFonts w:hint="eastAsia" w:ascii="仿宋" w:hAnsi="仿宋" w:eastAsia="仿宋" w:cs="仿宋"/>
          <w:i w:val="0"/>
          <w:iCs w:val="0"/>
          <w:caps w:val="0"/>
          <w:color w:val="000000"/>
          <w:spacing w:val="0"/>
          <w:sz w:val="32"/>
          <w:szCs w:val="32"/>
          <w:u w:val="none"/>
          <w:shd w:val="clear" w:fill="FFFFFF"/>
          <w:lang w:val="en-US" w:eastAsia="zh-CN"/>
        </w:rPr>
        <w:t>高于或等于80</w:t>
      </w:r>
      <w:r>
        <w:rPr>
          <w:rFonts w:hint="eastAsia" w:ascii="仿宋" w:hAnsi="仿宋" w:eastAsia="仿宋" w:cs="仿宋"/>
          <w:i w:val="0"/>
          <w:iCs w:val="0"/>
          <w:caps w:val="0"/>
          <w:color w:val="000000"/>
          <w:spacing w:val="0"/>
          <w:sz w:val="32"/>
          <w:szCs w:val="32"/>
          <w:u w:val="none"/>
          <w:shd w:val="clear" w:fill="FFFFFF"/>
        </w:rPr>
        <w:t>分</w:t>
      </w:r>
      <w:r>
        <w:rPr>
          <w:rFonts w:hint="eastAsia" w:ascii="仿宋" w:hAnsi="仿宋" w:eastAsia="仿宋" w:cs="仿宋"/>
          <w:i w:val="0"/>
          <w:iCs w:val="0"/>
          <w:caps w:val="0"/>
          <w:color w:val="000000"/>
          <w:spacing w:val="0"/>
          <w:sz w:val="32"/>
          <w:szCs w:val="32"/>
          <w:u w:val="none"/>
          <w:shd w:val="clear" w:fill="FFFFFF"/>
          <w:lang w:val="en-US" w:eastAsia="zh-CN"/>
        </w:rPr>
        <w:t>小于</w:t>
      </w:r>
      <w:r>
        <w:rPr>
          <w:rFonts w:hint="eastAsia" w:ascii="仿宋" w:hAnsi="仿宋" w:eastAsia="仿宋" w:cs="仿宋"/>
          <w:i w:val="0"/>
          <w:iCs w:val="0"/>
          <w:caps w:val="0"/>
          <w:color w:val="000000"/>
          <w:spacing w:val="0"/>
          <w:sz w:val="32"/>
          <w:szCs w:val="32"/>
          <w:u w:val="none"/>
          <w:shd w:val="clear" w:fill="FFFFFF"/>
        </w:rPr>
        <w:t>90分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为良</w:t>
      </w:r>
      <w:r>
        <w:rPr>
          <w:rFonts w:hint="eastAsia" w:ascii="仿宋" w:hAnsi="仿宋" w:eastAsia="仿宋" w:cs="仿宋"/>
          <w:i w:val="0"/>
          <w:iCs w:val="0"/>
          <w:caps w:val="0"/>
          <w:color w:val="000000"/>
          <w:spacing w:val="0"/>
          <w:sz w:val="32"/>
          <w:szCs w:val="32"/>
          <w:u w:val="none"/>
          <w:shd w:val="clear" w:fill="FFFFFF"/>
          <w:lang w:val="en-US" w:eastAsia="zh-CN"/>
        </w:rPr>
        <w:t>好</w:t>
      </w:r>
      <w:r>
        <w:rPr>
          <w:rFonts w:hint="eastAsia" w:ascii="仿宋" w:hAnsi="仿宋" w:eastAsia="仿宋" w:cs="仿宋"/>
          <w:i w:val="0"/>
          <w:iCs w:val="0"/>
          <w:caps w:val="0"/>
          <w:color w:val="000000"/>
          <w:spacing w:val="0"/>
          <w:sz w:val="32"/>
          <w:szCs w:val="32"/>
          <w:u w:val="none"/>
          <w:shd w:val="clear" w:fill="FFFFFF"/>
        </w:rPr>
        <w:t>；得分</w:t>
      </w:r>
      <w:r>
        <w:rPr>
          <w:rFonts w:hint="eastAsia" w:ascii="仿宋" w:hAnsi="仿宋" w:eastAsia="仿宋" w:cs="仿宋"/>
          <w:i w:val="0"/>
          <w:iCs w:val="0"/>
          <w:caps w:val="0"/>
          <w:color w:val="000000"/>
          <w:spacing w:val="0"/>
          <w:sz w:val="32"/>
          <w:szCs w:val="32"/>
          <w:u w:val="none"/>
          <w:shd w:val="clear" w:fill="FFFFFF"/>
          <w:lang w:val="en-US" w:eastAsia="zh-CN"/>
        </w:rPr>
        <w:t>高于或等于</w:t>
      </w:r>
      <w:r>
        <w:rPr>
          <w:rFonts w:hint="eastAsia" w:ascii="仿宋" w:hAnsi="仿宋" w:eastAsia="仿宋" w:cs="仿宋"/>
          <w:i w:val="0"/>
          <w:iCs w:val="0"/>
          <w:caps w:val="0"/>
          <w:color w:val="000000"/>
          <w:spacing w:val="0"/>
          <w:sz w:val="32"/>
          <w:szCs w:val="32"/>
          <w:u w:val="none"/>
          <w:shd w:val="clear" w:fill="FFFFFF"/>
        </w:rPr>
        <w:t>60分</w:t>
      </w:r>
      <w:r>
        <w:rPr>
          <w:rFonts w:hint="eastAsia" w:ascii="仿宋" w:hAnsi="仿宋" w:eastAsia="仿宋" w:cs="仿宋"/>
          <w:i w:val="0"/>
          <w:iCs w:val="0"/>
          <w:caps w:val="0"/>
          <w:color w:val="000000"/>
          <w:spacing w:val="0"/>
          <w:sz w:val="32"/>
          <w:szCs w:val="32"/>
          <w:u w:val="none"/>
          <w:shd w:val="clear" w:fill="FFFFFF"/>
          <w:lang w:val="en-US" w:eastAsia="zh-CN"/>
        </w:rPr>
        <w:t>低于80</w:t>
      </w:r>
      <w:r>
        <w:rPr>
          <w:rFonts w:hint="eastAsia" w:ascii="仿宋" w:hAnsi="仿宋" w:eastAsia="仿宋" w:cs="仿宋"/>
          <w:i w:val="0"/>
          <w:iCs w:val="0"/>
          <w:caps w:val="0"/>
          <w:color w:val="000000"/>
          <w:spacing w:val="0"/>
          <w:sz w:val="32"/>
          <w:szCs w:val="32"/>
          <w:u w:val="none"/>
          <w:shd w:val="clear" w:fill="FFFFFF"/>
        </w:rPr>
        <w:t>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w:t>
      </w:r>
      <w:r>
        <w:rPr>
          <w:rFonts w:hint="eastAsia" w:ascii="仿宋" w:hAnsi="仿宋" w:eastAsia="仿宋" w:cs="仿宋"/>
          <w:i w:val="0"/>
          <w:iCs w:val="0"/>
          <w:caps w:val="0"/>
          <w:color w:val="000000"/>
          <w:spacing w:val="0"/>
          <w:sz w:val="32"/>
          <w:szCs w:val="32"/>
          <w:u w:val="none"/>
          <w:shd w:val="clear" w:fill="FFFFFF"/>
          <w:lang w:val="en-US" w:eastAsia="zh-CN"/>
        </w:rPr>
        <w:t>中等</w:t>
      </w:r>
      <w:r>
        <w:rPr>
          <w:rFonts w:hint="eastAsia" w:ascii="仿宋" w:hAnsi="仿宋" w:eastAsia="仿宋" w:cs="仿宋"/>
          <w:i w:val="0"/>
          <w:iCs w:val="0"/>
          <w:caps w:val="0"/>
          <w:color w:val="000000"/>
          <w:spacing w:val="0"/>
          <w:sz w:val="32"/>
          <w:szCs w:val="32"/>
          <w:u w:val="none"/>
          <w:shd w:val="clear" w:fill="FFFFFF"/>
        </w:rPr>
        <w:t>；得分在60分以下</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w:t>
      </w:r>
      <w:r>
        <w:rPr>
          <w:rFonts w:hint="eastAsia" w:ascii="仿宋" w:hAnsi="仿宋" w:eastAsia="仿宋" w:cs="仿宋"/>
          <w:i w:val="0"/>
          <w:iCs w:val="0"/>
          <w:caps w:val="0"/>
          <w:color w:val="000000"/>
          <w:spacing w:val="0"/>
          <w:sz w:val="32"/>
          <w:szCs w:val="32"/>
          <w:u w:val="none"/>
          <w:shd w:val="clear" w:fill="FFFFFF"/>
          <w:lang w:val="en-US" w:eastAsia="zh-CN"/>
        </w:rPr>
        <w:t>较</w:t>
      </w:r>
      <w:r>
        <w:rPr>
          <w:rFonts w:hint="eastAsia" w:ascii="仿宋" w:hAnsi="仿宋" w:eastAsia="仿宋" w:cs="仿宋"/>
          <w:i w:val="0"/>
          <w:iCs w:val="0"/>
          <w:caps w:val="0"/>
          <w:color w:val="000000"/>
          <w:spacing w:val="0"/>
          <w:sz w:val="32"/>
          <w:szCs w:val="32"/>
          <w:u w:val="none"/>
          <w:shd w:val="clear" w:fill="FFFFFF"/>
          <w:lang w:eastAsia="zh-CN"/>
        </w:rPr>
        <w:t>差</w:t>
      </w:r>
      <w:r>
        <w:rPr>
          <w:rFonts w:hint="eastAsia" w:ascii="仿宋" w:hAnsi="仿宋" w:eastAsia="仿宋" w:cs="仿宋"/>
          <w:i w:val="0"/>
          <w:iCs w:val="0"/>
          <w:caps w:val="0"/>
          <w:color w:val="000000"/>
          <w:spacing w:val="0"/>
          <w:sz w:val="32"/>
          <w:szCs w:val="32"/>
          <w:u w:val="none"/>
          <w:shd w:val="clear" w:fill="FFFFFF"/>
        </w:rPr>
        <w:t>。</w:t>
      </w:r>
    </w:p>
    <w:p w14:paraId="537272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2.绩效评价结论</w:t>
      </w:r>
    </w:p>
    <w:p w14:paraId="26972515">
      <w:pPr>
        <w:pStyle w:val="8"/>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部门整体支出绩效评价综合得分</w:t>
      </w:r>
      <w:r>
        <w:rPr>
          <w:rFonts w:hint="eastAsia" w:ascii="仿宋" w:hAnsi="仿宋" w:eastAsia="仿宋" w:cs="仿宋"/>
          <w:b w:val="0"/>
          <w:bCs w:val="0"/>
          <w:i w:val="0"/>
          <w:iCs w:val="0"/>
          <w:caps w:val="0"/>
          <w:color w:val="000000"/>
          <w:spacing w:val="0"/>
          <w:sz w:val="32"/>
          <w:szCs w:val="32"/>
          <w:highlight w:val="none"/>
          <w:u w:val="none"/>
          <w:shd w:val="clear" w:fill="FFFFFF"/>
          <w:lang w:val="en-US" w:eastAsia="zh-CN"/>
        </w:rPr>
        <w:t>81</w:t>
      </w:r>
      <w:r>
        <w:rPr>
          <w:rFonts w:hint="eastAsia" w:ascii="仿宋" w:hAnsi="仿宋" w:eastAsia="仿宋" w:cs="仿宋"/>
          <w:b w:val="0"/>
          <w:bCs w:val="0"/>
          <w:i w:val="0"/>
          <w:iCs w:val="0"/>
          <w:caps w:val="0"/>
          <w:color w:val="000000"/>
          <w:spacing w:val="0"/>
          <w:sz w:val="32"/>
          <w:szCs w:val="32"/>
          <w:u w:val="none"/>
          <w:shd w:val="clear" w:fill="FFFFFF"/>
          <w:lang w:val="en-US" w:eastAsia="zh-CN"/>
        </w:rPr>
        <w:t>分，等级为“良好”。2024年区委党史研究室</w:t>
      </w:r>
      <w:r>
        <w:rPr>
          <w:rFonts w:hint="eastAsia" w:ascii="仿宋" w:hAnsi="仿宋" w:eastAsia="仿宋" w:cs="仿宋"/>
          <w:b/>
          <w:bCs/>
          <w:i w:val="0"/>
          <w:iCs w:val="0"/>
          <w:caps w:val="0"/>
          <w:color w:val="000000"/>
          <w:spacing w:val="0"/>
          <w:sz w:val="32"/>
          <w:szCs w:val="32"/>
          <w:u w:val="none"/>
          <w:shd w:val="clear" w:fill="FFFFFF"/>
          <w:lang w:val="en-US" w:eastAsia="zh-CN"/>
        </w:rPr>
        <w:t>预算调整率为</w:t>
      </w:r>
      <w:r>
        <w:rPr>
          <w:rFonts w:hint="eastAsia" w:ascii="仿宋" w:hAnsi="仿宋" w:eastAsia="仿宋" w:cs="仿宋"/>
          <w:b/>
          <w:bCs/>
          <w:sz w:val="32"/>
          <w:szCs w:val="32"/>
          <w:highlight w:val="none"/>
          <w:lang w:val="en-US" w:eastAsia="zh-CN"/>
        </w:rPr>
        <w:t>59.68</w:t>
      </w:r>
      <w:r>
        <w:rPr>
          <w:rFonts w:hint="eastAsia" w:ascii="仿宋" w:hAnsi="仿宋" w:eastAsia="仿宋" w:cs="仿宋"/>
          <w:b/>
          <w:bCs/>
          <w:i w:val="0"/>
          <w:iCs w:val="0"/>
          <w:caps w:val="0"/>
          <w:color w:val="000000"/>
          <w:spacing w:val="0"/>
          <w:sz w:val="32"/>
          <w:szCs w:val="32"/>
          <w:u w:val="none"/>
          <w:shd w:val="clear" w:fill="FFFFFF"/>
          <w:lang w:val="en-US" w:eastAsia="zh-CN"/>
        </w:rPr>
        <w:t>%，预算整体执行率为100.00</w:t>
      </w:r>
      <w:r>
        <w:rPr>
          <w:rFonts w:hint="eastAsia" w:ascii="仿宋" w:hAnsi="仿宋" w:eastAsia="仿宋" w:cs="仿宋"/>
          <w:b/>
          <w:bCs/>
          <w:sz w:val="32"/>
          <w:szCs w:val="32"/>
          <w:highlight w:val="none"/>
          <w:lang w:val="en-US" w:eastAsia="zh-CN"/>
        </w:rPr>
        <w:t>%</w:t>
      </w:r>
      <w:r>
        <w:rPr>
          <w:rFonts w:hint="eastAsia" w:ascii="仿宋" w:hAnsi="仿宋" w:eastAsia="仿宋" w:cs="仿宋"/>
          <w:b/>
          <w:bCs/>
          <w:i w:val="0"/>
          <w:iCs w:val="0"/>
          <w:caps w:val="0"/>
          <w:color w:val="000000"/>
          <w:spacing w:val="0"/>
          <w:sz w:val="32"/>
          <w:szCs w:val="32"/>
          <w:u w:val="none"/>
          <w:shd w:val="clear" w:fill="FFFFFF"/>
          <w:lang w:val="en-US" w:eastAsia="zh-CN"/>
        </w:rPr>
        <w:t>，人员控制率为</w:t>
      </w:r>
      <w:r>
        <w:rPr>
          <w:rFonts w:hint="eastAsia" w:ascii="仿宋" w:hAnsi="仿宋" w:eastAsia="仿宋" w:cs="仿宋"/>
          <w:sz w:val="32"/>
          <w:szCs w:val="32"/>
          <w:highlight w:val="none"/>
          <w:lang w:val="en-US" w:eastAsia="zh-CN"/>
        </w:rPr>
        <w:t>45.45</w:t>
      </w:r>
      <w:r>
        <w:rPr>
          <w:rFonts w:hint="eastAsia" w:ascii="仿宋" w:hAnsi="仿宋" w:eastAsia="仿宋" w:cs="仿宋"/>
          <w:b/>
          <w:bCs/>
          <w:i w:val="0"/>
          <w:iCs w:val="0"/>
          <w:caps w:val="0"/>
          <w:color w:val="000000"/>
          <w:spacing w:val="0"/>
          <w:sz w:val="32"/>
          <w:szCs w:val="32"/>
          <w:u w:val="none"/>
          <w:shd w:val="clear" w:fill="FFFFFF"/>
          <w:lang w:val="en-US" w:eastAsia="zh-CN"/>
        </w:rPr>
        <w:t>%。</w:t>
      </w:r>
      <w:r>
        <w:rPr>
          <w:rFonts w:hint="eastAsia" w:ascii="仿宋" w:hAnsi="仿宋" w:eastAsia="仿宋" w:cs="仿宋"/>
          <w:spacing w:val="-1"/>
          <w:sz w:val="32"/>
          <w:szCs w:val="32"/>
          <w:lang w:val="en-US" w:eastAsia="zh-CN"/>
        </w:rPr>
        <w:t>2024年，中共雁峰区委党史研究室（区地方志编纂室）坚持以习近平新时代中国特色社会主义思想为指导，全面履行“为党立言、为国存史、为民修志”职责使命。政治引领坚强有力。持续深化理论武装，筑牢意识形态阵地，打造政治过硬、业务精湛的干部队伍。编研主业成果丰硕。精心编纂出版《雁峰人大70年》《雁峰英范》，高质量推进《雁峰年鉴（2024）》编审，圆满完成省、市多项供稿及兄弟县市区志鉴评审任务。宣教服务效能凸显。广泛赠阅史志书籍千余册，积极利用湘南第一党支部等红色阵地开展宣教，年接待近2万人次，有效服务旅发大会与基层治理，史志资政育人作用得到充分发挥。但</w:t>
      </w:r>
      <w:r>
        <w:rPr>
          <w:rFonts w:hint="eastAsia" w:ascii="仿宋" w:hAnsi="仿宋" w:eastAsia="仿宋" w:cs="仿宋"/>
          <w:b w:val="0"/>
          <w:bCs w:val="0"/>
          <w:i w:val="0"/>
          <w:iCs w:val="0"/>
          <w:caps w:val="0"/>
          <w:color w:val="000000"/>
          <w:spacing w:val="0"/>
          <w:sz w:val="32"/>
          <w:szCs w:val="32"/>
          <w:u w:val="none"/>
          <w:shd w:val="clear" w:fill="FFFFFF"/>
          <w:lang w:val="en-US" w:eastAsia="zh-CN"/>
        </w:rPr>
        <w:t>在预算配置与执行方面、管理程序方面及人员经费管理方面存在不足，在预算精准化、程序规范化、管理精细化和效益长效化方面仍有提升空间。建议补短板、强弱项，推动区政府研究中心工作绩效管理水平再上新台阶。</w:t>
      </w:r>
    </w:p>
    <w:p w14:paraId="6859D3DD">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eastAsia="zh-CN"/>
        </w:rPr>
      </w:pPr>
      <w:bookmarkStart w:id="50" w:name="_Toc27992"/>
      <w:r>
        <w:rPr>
          <w:rFonts w:hint="eastAsia" w:ascii="黑体" w:hAnsi="黑体" w:eastAsia="黑体" w:cs="黑体"/>
          <w:sz w:val="32"/>
          <w:szCs w:val="32"/>
          <w:lang w:val="en-US" w:eastAsia="zh-CN"/>
        </w:rPr>
        <w:t>主要</w:t>
      </w:r>
      <w:r>
        <w:rPr>
          <w:rFonts w:hint="eastAsia" w:ascii="黑体" w:hAnsi="黑体" w:eastAsia="黑体" w:cs="黑体"/>
          <w:sz w:val="32"/>
          <w:szCs w:val="32"/>
          <w:lang w:eastAsia="zh-CN"/>
        </w:rPr>
        <w:t>问题与改进建议</w:t>
      </w:r>
      <w:bookmarkEnd w:id="50"/>
    </w:p>
    <w:p w14:paraId="3EF40A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val="en-US" w:eastAsia="zh-CN"/>
        </w:rPr>
      </w:pPr>
      <w:bookmarkStart w:id="51" w:name="_Toc32699"/>
      <w:r>
        <w:rPr>
          <w:rFonts w:hint="eastAsia" w:ascii="楷体" w:hAnsi="楷体" w:eastAsia="楷体" w:cs="楷体"/>
          <w:b/>
          <w:bCs/>
          <w:sz w:val="32"/>
          <w:szCs w:val="32"/>
          <w:lang w:val="en-US" w:eastAsia="zh-CN"/>
        </w:rPr>
        <w:t>（一）预算配置与执行方面存在的问题及建议</w:t>
      </w:r>
      <w:bookmarkEnd w:id="51"/>
    </w:p>
    <w:p w14:paraId="7D1B59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1.存在人员经费挤占公用经费、项目支出的情况。</w:t>
      </w:r>
    </w:p>
    <w:p w14:paraId="55611E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的“专款专用”原则。核心精神之一是强调预算的约束力和严肃性。经同级人民代表大会批准的预算，是刚性指标，非经法定程序不得调整。人员经费和公用经费是两类性质完全不同的预算科目。人员经费是为了保障“人”的支出（如工资、津贴补贴、社保等）；公用经费是为了保障“事”的支出，即维持单位正常运转（如办公费、水电费、差旅费、车辆运行维护费等）。将用于“人”的支出，挤占用于“事”的经费，直接破坏了预算的严肃性，属于改变预算支出用途的违规行为。项目支出，它是指资金用于完成特定的工作任务或事业发展目标。项目支出最核心的原则就是“专款专用”。这意味着每一笔项目资金在申报预算时都有明确、具体的用途，在执行时必须严格按照批准的预算方案使用，不得随意改变资金用途，更不允许与人员经费等基本支出相互挤占。</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违反政府收支分类科目核算规定。财政部制定的政府收支分类科目，对每项支出的经济分类代码和用途都有明确规定。人员经费和公用经费分属不同的“款”“项”级科目。挤占行为导致会计账务核算不真实，无法准确反映各类支出的实际状况，造成会计信息失真，影响了决算报告和财务报告的质量。</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违反财经纪律和廉政规定。可能掩盖了单位在人员编制、薪酬福利管理等方面存在的问题。例如，可能是超编进人、滥发津贴补贴所致。这直接触碰了财经纪律的“红线”。上级财政、审计和纪检国家监察委员会在检查中，会将此类问题作为重点审查内容。</w:t>
      </w:r>
      <w:r>
        <w:rPr>
          <w:rFonts w:hint="eastAsia" w:ascii="仿宋" w:hAnsi="仿宋" w:eastAsia="仿宋" w:cs="仿宋"/>
          <w:b/>
          <w:bCs/>
          <w:sz w:val="32"/>
          <w:szCs w:val="32"/>
          <w:lang w:val="en-US" w:eastAsia="zh-CN"/>
        </w:rPr>
        <w:t>人员经费挤占公用经费、项目支出影响下年度预算编制。</w:t>
      </w:r>
      <w:r>
        <w:rPr>
          <w:rFonts w:hint="eastAsia" w:ascii="仿宋" w:hAnsi="仿宋" w:eastAsia="仿宋" w:cs="仿宋"/>
          <w:b w:val="0"/>
          <w:bCs w:val="0"/>
          <w:sz w:val="32"/>
          <w:szCs w:val="32"/>
          <w:lang w:val="en-US" w:eastAsia="zh-CN"/>
        </w:rPr>
        <w:t>失真的决算数据会误导下一年度的预算安排，财政部门可能会因为该单位公用经费“有结余”的假象而核减其预算，导致问题逐年加剧。</w:t>
      </w:r>
    </w:p>
    <w:p w14:paraId="5DEAF1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建议：一是及时清查，查明原因（针对已发生问题）。全面自查。</w:t>
      </w:r>
      <w:r>
        <w:rPr>
          <w:rFonts w:hint="eastAsia" w:ascii="仿宋" w:hAnsi="仿宋" w:eastAsia="仿宋" w:cs="仿宋"/>
          <w:b w:val="0"/>
          <w:bCs w:val="0"/>
          <w:sz w:val="32"/>
          <w:szCs w:val="32"/>
          <w:lang w:val="en-US" w:eastAsia="zh-CN"/>
        </w:rPr>
        <w:t>对近年来所有“公用经费”科目下的支出进行清理，准确统计被挤占用于人员支出的总额。</w:t>
      </w:r>
      <w:r>
        <w:rPr>
          <w:rFonts w:hint="eastAsia" w:ascii="仿宋" w:hAnsi="仿宋" w:eastAsia="仿宋" w:cs="仿宋"/>
          <w:b/>
          <w:bCs/>
          <w:sz w:val="32"/>
          <w:szCs w:val="32"/>
          <w:lang w:val="en-US" w:eastAsia="zh-CN"/>
        </w:rPr>
        <w:t>账务调整。</w:t>
      </w:r>
      <w:r>
        <w:rPr>
          <w:rFonts w:hint="eastAsia" w:ascii="仿宋" w:hAnsi="仿宋" w:eastAsia="仿宋" w:cs="仿宋"/>
          <w:b w:val="0"/>
          <w:bCs w:val="0"/>
          <w:sz w:val="32"/>
          <w:szCs w:val="32"/>
          <w:lang w:val="en-US" w:eastAsia="zh-CN"/>
        </w:rPr>
        <w:t>在财务账目上，将挤占的资金从项目支出调整回相应的人员经费科目。如果涉及滥发津贴补贴，应按规定予以清退。</w:t>
      </w:r>
      <w:r>
        <w:rPr>
          <w:rFonts w:hint="eastAsia" w:ascii="仿宋" w:hAnsi="仿宋" w:eastAsia="仿宋" w:cs="仿宋"/>
          <w:b/>
          <w:bCs/>
          <w:sz w:val="32"/>
          <w:szCs w:val="32"/>
          <w:lang w:val="en-US" w:eastAsia="zh-CN"/>
        </w:rPr>
        <w:t>资金归位。</w:t>
      </w:r>
      <w:r>
        <w:rPr>
          <w:rFonts w:hint="eastAsia" w:ascii="仿宋" w:hAnsi="仿宋" w:eastAsia="仿宋" w:cs="仿宋"/>
          <w:b w:val="0"/>
          <w:bCs w:val="0"/>
          <w:sz w:val="32"/>
          <w:szCs w:val="32"/>
          <w:lang w:val="en-US" w:eastAsia="zh-CN"/>
        </w:rPr>
        <w:t>如果</w:t>
      </w:r>
      <w:r>
        <w:rPr>
          <w:rFonts w:hint="eastAsia" w:ascii="仿宋" w:hAnsi="仿宋" w:eastAsia="仿宋" w:cs="仿宋"/>
          <w:b/>
          <w:bCs/>
          <w:sz w:val="32"/>
          <w:szCs w:val="32"/>
          <w:lang w:val="en-US" w:eastAsia="zh-CN"/>
        </w:rPr>
        <w:t>人员经费预算总额不足，应首先通过调整单位内部支出结构解决；若确实无法解决，应正式向财政部门提交预算调整申请，说明情况，履行法定程序后增加人员经费预算额度。</w:t>
      </w:r>
      <w:r>
        <w:rPr>
          <w:rFonts w:hint="eastAsia" w:ascii="仿宋" w:hAnsi="仿宋" w:eastAsia="仿宋" w:cs="仿宋"/>
          <w:b w:val="0"/>
          <w:bCs w:val="0"/>
          <w:sz w:val="32"/>
          <w:szCs w:val="32"/>
          <w:lang w:val="en-US" w:eastAsia="zh-CN"/>
        </w:rPr>
        <w:t>绝不能“先斩后奏”或隐匿问题。</w:t>
      </w:r>
      <w:r>
        <w:rPr>
          <w:rFonts w:hint="eastAsia" w:ascii="仿宋" w:hAnsi="仿宋" w:eastAsia="仿宋" w:cs="仿宋"/>
          <w:b/>
          <w:bCs/>
          <w:sz w:val="32"/>
          <w:szCs w:val="32"/>
          <w:lang w:val="en-US" w:eastAsia="zh-CN"/>
        </w:rPr>
        <w:t>二是强化预算约束，严格支出审核（长效机制）。硬化预算约束。</w:t>
      </w:r>
      <w:r>
        <w:rPr>
          <w:rFonts w:hint="eastAsia" w:ascii="仿宋" w:hAnsi="仿宋" w:eastAsia="仿宋" w:cs="仿宋"/>
          <w:b w:val="0"/>
          <w:bCs w:val="0"/>
          <w:sz w:val="32"/>
          <w:szCs w:val="32"/>
          <w:lang w:val="en-US" w:eastAsia="zh-CN"/>
        </w:rPr>
        <w:t>牢固树立“先有预算、后有支出”的理念，严格按预算规定的用途和科目开支，严禁相互挤占。</w:t>
      </w:r>
      <w:r>
        <w:rPr>
          <w:rFonts w:hint="eastAsia" w:ascii="仿宋" w:hAnsi="仿宋" w:eastAsia="仿宋" w:cs="仿宋"/>
          <w:b/>
          <w:bCs/>
          <w:sz w:val="32"/>
          <w:szCs w:val="32"/>
          <w:lang w:val="en-US" w:eastAsia="zh-CN"/>
        </w:rPr>
        <w:t>加强财务审核。</w:t>
      </w:r>
      <w:r>
        <w:rPr>
          <w:rFonts w:hint="eastAsia" w:ascii="仿宋" w:hAnsi="仿宋" w:eastAsia="仿宋" w:cs="仿宋"/>
          <w:b w:val="0"/>
          <w:bCs w:val="0"/>
          <w:sz w:val="32"/>
          <w:szCs w:val="32"/>
          <w:lang w:val="en-US" w:eastAsia="zh-CN"/>
        </w:rPr>
        <w:t>单位财务部门要严格把关，对于将人员支出（如津贴、酬金等）在公用经费科目中列支的报销单据，应坚决退回，从源头上杜绝挤占行为。</w:t>
      </w:r>
      <w:r>
        <w:rPr>
          <w:rFonts w:hint="eastAsia" w:ascii="仿宋" w:hAnsi="仿宋" w:eastAsia="仿宋" w:cs="仿宋"/>
          <w:b/>
          <w:bCs/>
          <w:sz w:val="32"/>
          <w:szCs w:val="32"/>
          <w:lang w:val="en-US" w:eastAsia="zh-CN"/>
        </w:rPr>
        <w:t>规范人员经费管理。</w:t>
      </w:r>
      <w:r>
        <w:rPr>
          <w:rFonts w:hint="eastAsia" w:ascii="仿宋" w:hAnsi="仿宋" w:eastAsia="仿宋" w:cs="仿宋"/>
          <w:b w:val="0"/>
          <w:bCs w:val="0"/>
          <w:sz w:val="32"/>
          <w:szCs w:val="32"/>
          <w:lang w:val="en-US" w:eastAsia="zh-CN"/>
        </w:rPr>
        <w:t>严格在核定的编制和人事计划内进人，严格执行国家和地方统一的工资、津贴补贴政策，杜绝超标准、超范围发放。</w:t>
      </w:r>
      <w:r>
        <w:rPr>
          <w:rFonts w:hint="eastAsia" w:ascii="仿宋" w:hAnsi="仿宋" w:eastAsia="仿宋" w:cs="仿宋"/>
          <w:b/>
          <w:bCs/>
          <w:sz w:val="32"/>
          <w:szCs w:val="32"/>
          <w:lang w:val="en-US" w:eastAsia="zh-CN"/>
        </w:rPr>
        <w:t>三是科学编制预算，争取足额保障。</w:t>
      </w:r>
      <w:r>
        <w:rPr>
          <w:rFonts w:hint="eastAsia" w:ascii="仿宋" w:hAnsi="仿宋" w:eastAsia="仿宋" w:cs="仿宋"/>
          <w:b w:val="0"/>
          <w:bCs w:val="0"/>
          <w:sz w:val="32"/>
          <w:szCs w:val="32"/>
          <w:lang w:val="en-US" w:eastAsia="zh-CN"/>
        </w:rPr>
        <w:t>在年初编制预算时，应本着实事求是的原则，根据单位实有在职人员和政策性标准，足额编制人员经费预算，从源头上避免因预算不足而导致的挤占问题。主动与财政部门沟通，准确反映单位的人员情况和经费需求。</w:t>
      </w:r>
    </w:p>
    <w:p w14:paraId="4E9ACE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2.未提供以下管理制度。如预算管理制度，内部控制制度，政府采购管理制度，合同管理制度，专项资金管理办法，绩效管理制度，信息化管理制度，决算与财务报告制度，监督与审计制度，工会管理制度等。</w:t>
      </w:r>
    </w:p>
    <w:p w14:paraId="4D44EB5E">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及其实施条例。预算法要求各级政府、各部门、各单位必须编制预算，并严格执行预算。预算管理制度、决算与财务报告制度的缺失，直接导致预算编制无章可循、执行过程失控、决算信息失真，无法满足预算法对预算管理全流程的法定要求。</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财政部《行政事业单位内部控制规范（试行）》（财会〔2012〕21号）。这是最直接、最全面的违规依据。该规范强制要求单位建立并实施内部控制制度，以防范经济业务风险。上述清单中的绝大多数制度（如预算、采购、资产、合同、专项资金等管理制度）正是内部控制体系的核心组成部分。内部控制制度本身的缺失，更是直接违反了该规范的强制性要求。</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上述违反了《中华人民共和国政府采购法》及其实施条例。</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上述违反了《中华人民共和国民法典》关于合同订立、履行、管理的基本原则，使单位面临巨大的法律和财务风险。</w:t>
      </w:r>
      <w:r>
        <w:rPr>
          <w:rFonts w:hint="eastAsia" w:ascii="仿宋" w:hAnsi="仿宋" w:eastAsia="仿宋" w:cs="仿宋"/>
          <w:b/>
          <w:bCs/>
          <w:sz w:val="32"/>
          <w:szCs w:val="32"/>
          <w:lang w:val="en-US" w:eastAsia="zh-CN"/>
        </w:rPr>
        <w:t>相关政策5：</w:t>
      </w:r>
      <w:r>
        <w:rPr>
          <w:rFonts w:hint="eastAsia" w:ascii="仿宋" w:hAnsi="仿宋" w:eastAsia="仿宋" w:cs="仿宋"/>
          <w:b w:val="0"/>
          <w:bCs w:val="0"/>
          <w:sz w:val="32"/>
          <w:szCs w:val="32"/>
          <w:lang w:val="en-US" w:eastAsia="zh-CN"/>
        </w:rPr>
        <w:t>上述违反了《关于全面实施预算绩效管理的意见》。该意见要求将绩效管理融入预算编制、执行、监督全过程。绩效管理制度的缺失，直接与“全面实施预算绩效管理”的国策相悖，导致资金使用不计效果、不讲效益。</w:t>
      </w:r>
      <w:r>
        <w:rPr>
          <w:rFonts w:hint="eastAsia" w:ascii="仿宋" w:hAnsi="仿宋" w:eastAsia="仿宋" w:cs="仿宋"/>
          <w:b/>
          <w:bCs/>
          <w:sz w:val="32"/>
          <w:szCs w:val="32"/>
          <w:lang w:val="en-US" w:eastAsia="zh-CN"/>
        </w:rPr>
        <w:t>相关政策6：</w:t>
      </w:r>
      <w:r>
        <w:rPr>
          <w:rFonts w:hint="eastAsia" w:ascii="仿宋" w:hAnsi="仿宋" w:eastAsia="仿宋" w:cs="仿宋"/>
          <w:b w:val="0"/>
          <w:bCs w:val="0"/>
          <w:sz w:val="32"/>
          <w:szCs w:val="32"/>
          <w:lang w:val="en-US" w:eastAsia="zh-CN"/>
        </w:rPr>
        <w:t>上述违反了《中华人民共和国审计法》。监督与审计制度的缺失，使得单位内部缺乏自我监督和问题预警机制，无法主动发现问题、纠正偏差，无法满足审计机关对单位建立健全内部审计制度的要求。</w:t>
      </w:r>
    </w:p>
    <w:p w14:paraId="2A9414B5">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建议：一是提高认识，明确责任。</w:t>
      </w:r>
      <w:r>
        <w:rPr>
          <w:rFonts w:hint="eastAsia" w:ascii="仿宋" w:hAnsi="仿宋" w:eastAsia="仿宋" w:cs="仿宋"/>
          <w:b w:val="0"/>
          <w:bCs w:val="0"/>
          <w:sz w:val="32"/>
          <w:szCs w:val="32"/>
          <w:lang w:val="en-US" w:eastAsia="zh-CN"/>
        </w:rPr>
        <w:t>单位主要负责人（“一把手”）必须高度重视，认识到建立健全管理制度是履行法定职责、保护干部、提高资金效益的根本要求。应成立由单位主要领导牵头，财务、资产、办公室、业务部门等共同参与的制度建设工作专班，明确分工和时限。</w:t>
      </w:r>
      <w:r>
        <w:rPr>
          <w:rFonts w:hint="eastAsia" w:ascii="仿宋" w:hAnsi="仿宋" w:eastAsia="仿宋" w:cs="仿宋"/>
          <w:b/>
          <w:bCs/>
          <w:sz w:val="32"/>
          <w:szCs w:val="32"/>
          <w:lang w:val="en-US" w:eastAsia="zh-CN"/>
        </w:rPr>
        <w:t>二是系统规划，分批建立。</w:t>
      </w:r>
      <w:r>
        <w:rPr>
          <w:rFonts w:hint="eastAsia" w:ascii="仿宋" w:hAnsi="仿宋" w:eastAsia="仿宋" w:cs="仿宋"/>
          <w:b w:val="0"/>
          <w:bCs w:val="0"/>
          <w:sz w:val="32"/>
          <w:szCs w:val="32"/>
          <w:lang w:val="en-US" w:eastAsia="zh-CN"/>
        </w:rPr>
        <w:t>优先级1（立即建立）：内部控制制度（总纲性文件）、预算管理制度、国有资产管理制度、财务报销与审批制度。这些是保障资金安全和资产安全的底线。优先级2（快速跟进）：政府采购管理制度、合同管理制度、专项资金管理办法。这些是规范具体经济业务的关键。优先级3（完善提升）：绩效管理制度、信息化管理制度、决算与财务报告制度、监督与审计制度。这些是提升管理现代化水平的重要工具。</w:t>
      </w:r>
      <w:r>
        <w:rPr>
          <w:rFonts w:hint="eastAsia" w:ascii="仿宋" w:hAnsi="仿宋" w:eastAsia="仿宋" w:cs="仿宋"/>
          <w:b/>
          <w:bCs/>
          <w:sz w:val="32"/>
          <w:szCs w:val="32"/>
          <w:lang w:val="en-US" w:eastAsia="zh-CN"/>
        </w:rPr>
        <w:t>三是结合实际，注重实效。</w:t>
      </w:r>
      <w:r>
        <w:rPr>
          <w:rFonts w:hint="eastAsia" w:ascii="仿宋" w:hAnsi="仿宋" w:eastAsia="仿宋" w:cs="仿宋"/>
          <w:b w:val="0"/>
          <w:bCs w:val="0"/>
          <w:sz w:val="32"/>
          <w:szCs w:val="32"/>
          <w:lang w:val="en-US" w:eastAsia="zh-CN"/>
        </w:rPr>
        <w:t>制度的制定不能简单照搬照抄，必须结合单位的业务特点、规模大小和管理现状。条款要具体、清晰、具有可操作性，明确各项业务的流程、审批权限和责任部门。例如，合同管理制度应明确不同金额合同的审批流程。</w:t>
      </w:r>
      <w:r>
        <w:rPr>
          <w:rFonts w:hint="eastAsia" w:ascii="仿宋" w:hAnsi="仿宋" w:eastAsia="仿宋" w:cs="仿宋"/>
          <w:b/>
          <w:bCs/>
          <w:sz w:val="32"/>
          <w:szCs w:val="32"/>
          <w:lang w:val="en-US" w:eastAsia="zh-CN"/>
        </w:rPr>
        <w:t>四是加强培训，严格执行。五是动态优化，持续改进。</w:t>
      </w:r>
      <w:r>
        <w:rPr>
          <w:rFonts w:hint="eastAsia" w:ascii="仿宋" w:hAnsi="仿宋" w:eastAsia="仿宋" w:cs="仿宋"/>
          <w:b w:val="0"/>
          <w:bCs w:val="0"/>
          <w:sz w:val="32"/>
          <w:szCs w:val="32"/>
          <w:lang w:val="en-US" w:eastAsia="zh-CN"/>
        </w:rPr>
        <w:t>管理制度不是一成不变的。应建立制度的定期评估和修订机制（例如每2～3年一次），根据国家新出台的政策、审计检查发现的问题以及单位内部管理需求的变化，及时对制度进行更新和完善。</w:t>
      </w:r>
    </w:p>
    <w:p w14:paraId="3421E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3.食堂餐费支付凭证后仅附国库支付单与往来收据，无具体计算依据说明（如用餐人数、餐标、天数等）。</w:t>
      </w:r>
    </w:p>
    <w:p w14:paraId="32B759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政府会计制度——行政事业单位会计科目和报表》。该制度要求行政事业单位的会计核算必须以真实、完整的原始凭证为依据。原始凭证应能清晰地反映经济业务的内容、金额、时间、经办人员等信息。食堂餐费支付后仅凭国库支付单和往来收据，无法证明该笔支出的具体用途（如用餐人员、事由、标准等），不符合对原始凭证“完整性”的要求。</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行政事业单位内部控制规范（试行）》。该规范要求单位建立并实施内部控制，确保经济活动合法合规、资产安全和使用有效、财务信息真实完整。其中，对支出业务的控制要求包括：确保业务真实、手续完备、附件齐全。附件不全的支付行为，暴露出单位在支出审批、单据审核等环节的内部控制存在缺陷。</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中华人民共和国预算法》。该法强调各级政府的全部收入和支出都应当纳入预算，并要求预算执行严格、透明。财政资金的支付必须符合预算规定的用途，且需要有明确的支出依据。附件不全的支付行为，可能导致资金脱离预算监管，违反预算法关于预算执行和财政管理的规定。四大风险分析：</w:t>
      </w:r>
      <w:r>
        <w:rPr>
          <w:rFonts w:hint="eastAsia" w:ascii="仿宋" w:hAnsi="仿宋" w:eastAsia="仿宋" w:cs="仿宋"/>
          <w:b/>
          <w:bCs/>
          <w:sz w:val="32"/>
          <w:szCs w:val="32"/>
          <w:lang w:val="en-US" w:eastAsia="zh-CN"/>
        </w:rPr>
        <w:t>一是合规性风险。</w:t>
      </w:r>
      <w:r>
        <w:rPr>
          <w:rFonts w:hint="eastAsia" w:ascii="仿宋" w:hAnsi="仿宋" w:eastAsia="仿宋" w:cs="仿宋"/>
          <w:b w:val="0"/>
          <w:bCs w:val="0"/>
          <w:sz w:val="32"/>
          <w:szCs w:val="32"/>
          <w:lang w:val="en-US" w:eastAsia="zh-CN"/>
        </w:rPr>
        <w:t>支付附件不完整，直接违反了上述关于会计凭证和内部控制的规定，属于不合规的财务操作。</w:t>
      </w:r>
      <w:r>
        <w:rPr>
          <w:rFonts w:hint="eastAsia" w:ascii="仿宋" w:hAnsi="仿宋" w:eastAsia="仿宋" w:cs="仿宋"/>
          <w:b/>
          <w:bCs/>
          <w:sz w:val="32"/>
          <w:szCs w:val="32"/>
          <w:lang w:val="en-US" w:eastAsia="zh-CN"/>
        </w:rPr>
        <w:t>二是审计风险。</w:t>
      </w:r>
      <w:r>
        <w:rPr>
          <w:rFonts w:hint="eastAsia" w:ascii="仿宋" w:hAnsi="仿宋" w:eastAsia="仿宋" w:cs="仿宋"/>
          <w:b w:val="0"/>
          <w:bCs w:val="0"/>
          <w:sz w:val="32"/>
          <w:szCs w:val="32"/>
          <w:lang w:val="en-US" w:eastAsia="zh-CN"/>
        </w:rPr>
        <w:t>在审计（包括内部审计和外部审计）中，此类支付行为极易被认定为“支出依据不充分”或“原始凭证不完整”，可能导致审计调整或负面评价。</w:t>
      </w:r>
      <w:r>
        <w:rPr>
          <w:rFonts w:hint="eastAsia" w:ascii="仿宋" w:hAnsi="仿宋" w:eastAsia="仿宋" w:cs="仿宋"/>
          <w:b/>
          <w:bCs/>
          <w:sz w:val="32"/>
          <w:szCs w:val="32"/>
          <w:lang w:val="en-US" w:eastAsia="zh-CN"/>
        </w:rPr>
        <w:t>三是廉政风险。</w:t>
      </w:r>
      <w:r>
        <w:rPr>
          <w:rFonts w:hint="eastAsia" w:ascii="仿宋" w:hAnsi="仿宋" w:eastAsia="仿宋" w:cs="仿宋"/>
          <w:b w:val="0"/>
          <w:bCs w:val="0"/>
          <w:sz w:val="32"/>
          <w:szCs w:val="32"/>
          <w:lang w:val="en-US" w:eastAsia="zh-CN"/>
        </w:rPr>
        <w:t>附件不全使得资金流向不透明，为虚报、套取、挪用财政资金等行为提供了空间，存在较高的廉政风险。</w:t>
      </w:r>
    </w:p>
    <w:p w14:paraId="520534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建议：一是及时整改。</w:t>
      </w:r>
      <w:r>
        <w:rPr>
          <w:rFonts w:hint="eastAsia" w:ascii="仿宋" w:hAnsi="仿宋" w:eastAsia="仿宋" w:cs="仿宋"/>
          <w:b w:val="0"/>
          <w:bCs w:val="0"/>
          <w:sz w:val="32"/>
          <w:szCs w:val="32"/>
          <w:lang w:val="en-US" w:eastAsia="zh-CN"/>
        </w:rPr>
        <w:t>相关单位立即对类似支出进行自查自纠，补充完整附件。</w:t>
      </w:r>
      <w:r>
        <w:rPr>
          <w:rFonts w:hint="eastAsia" w:ascii="仿宋" w:hAnsi="仿宋" w:eastAsia="仿宋" w:cs="仿宋"/>
          <w:b/>
          <w:bCs/>
          <w:sz w:val="32"/>
          <w:szCs w:val="32"/>
          <w:lang w:val="en-US" w:eastAsia="zh-CN"/>
        </w:rPr>
        <w:t>用餐情况统计表</w:t>
      </w:r>
      <w:r>
        <w:rPr>
          <w:rFonts w:hint="eastAsia" w:ascii="仿宋" w:hAnsi="仿宋" w:eastAsia="仿宋" w:cs="仿宋"/>
          <w:b w:val="0"/>
          <w:bCs w:val="0"/>
          <w:sz w:val="32"/>
          <w:szCs w:val="32"/>
          <w:lang w:val="en-US" w:eastAsia="zh-CN"/>
        </w:rPr>
        <w:t>反映当期用餐人次和消耗总量的内部凭证。</w:t>
      </w:r>
      <w:r>
        <w:rPr>
          <w:rFonts w:hint="eastAsia" w:ascii="仿宋" w:hAnsi="仿宋" w:eastAsia="仿宋" w:cs="仿宋"/>
          <w:b/>
          <w:bCs/>
          <w:sz w:val="32"/>
          <w:szCs w:val="32"/>
          <w:lang w:val="en-US" w:eastAsia="zh-CN"/>
        </w:rPr>
        <w:t>费用结算审批单</w:t>
      </w:r>
      <w:r>
        <w:rPr>
          <w:rFonts w:hint="eastAsia" w:ascii="仿宋" w:hAnsi="仿宋" w:eastAsia="仿宋" w:cs="仿宋"/>
          <w:b w:val="0"/>
          <w:bCs w:val="0"/>
          <w:sz w:val="32"/>
          <w:szCs w:val="32"/>
          <w:lang w:val="en-US" w:eastAsia="zh-CN"/>
        </w:rPr>
        <w:t>由食堂管理员、部门负责人、财务审核人、单位领导逐级审批。例如，要求提供用餐明细清单（包括用餐时间、事由、人员、菜单及金额等）、内部审批单、消费清单等能证明业务真实性的材料内部说明，由经办人撰写《情况说明》（附负责人签字），解释无明细原因并承诺整改。</w:t>
      </w:r>
      <w:r>
        <w:rPr>
          <w:rFonts w:hint="eastAsia" w:ascii="仿宋" w:hAnsi="仿宋" w:eastAsia="仿宋" w:cs="仿宋"/>
          <w:b/>
          <w:bCs/>
          <w:sz w:val="32"/>
          <w:szCs w:val="32"/>
          <w:lang w:val="en-US" w:eastAsia="zh-CN"/>
        </w:rPr>
        <w:t>二是完善制度。</w:t>
      </w:r>
      <w:r>
        <w:rPr>
          <w:rFonts w:hint="eastAsia" w:ascii="仿宋" w:hAnsi="仿宋" w:eastAsia="仿宋" w:cs="仿宋"/>
          <w:b w:val="0"/>
          <w:bCs w:val="0"/>
          <w:sz w:val="32"/>
          <w:szCs w:val="32"/>
          <w:lang w:val="en-US" w:eastAsia="zh-CN"/>
        </w:rPr>
        <w:t>建议单位修订或完善内部财务管理制度和食堂管理办法，明确各类支出的附件要求，特别是对食堂餐费等高频、小额支出，应制定详细的报销细则。</w:t>
      </w:r>
      <w:r>
        <w:rPr>
          <w:rFonts w:hint="eastAsia" w:ascii="仿宋" w:hAnsi="仿宋" w:eastAsia="仿宋" w:cs="仿宋"/>
          <w:b/>
          <w:bCs/>
          <w:sz w:val="32"/>
          <w:szCs w:val="32"/>
          <w:lang w:val="en-US" w:eastAsia="zh-CN"/>
        </w:rPr>
        <w:t>三是加强审核。</w:t>
      </w:r>
      <w:r>
        <w:rPr>
          <w:rFonts w:hint="eastAsia" w:ascii="仿宋" w:hAnsi="仿宋" w:eastAsia="仿宋" w:cs="仿宋"/>
          <w:b w:val="0"/>
          <w:bCs w:val="0"/>
          <w:sz w:val="32"/>
          <w:szCs w:val="32"/>
          <w:lang w:val="en-US" w:eastAsia="zh-CN"/>
        </w:rPr>
        <w:t>强化财务审核环节，对附件不齐全、不规范的支付申请，坚决予以退回，不予报销。确保所有支出均有充分、合法的依据。财务部门必须严格审核，</w:t>
      </w:r>
      <w:r>
        <w:rPr>
          <w:rFonts w:hint="eastAsia" w:ascii="仿宋" w:hAnsi="仿宋" w:eastAsia="仿宋" w:cs="仿宋"/>
          <w:b/>
          <w:bCs/>
          <w:sz w:val="32"/>
          <w:szCs w:val="32"/>
          <w:lang w:val="en-US" w:eastAsia="zh-CN"/>
        </w:rPr>
        <w:t>“无依据不支付、无明细不报销”</w:t>
      </w:r>
      <w:r>
        <w:rPr>
          <w:rFonts w:hint="eastAsia" w:ascii="仿宋" w:hAnsi="仿宋" w:eastAsia="仿宋" w:cs="仿宋"/>
          <w:b w:val="0"/>
          <w:bCs w:val="0"/>
          <w:sz w:val="32"/>
          <w:szCs w:val="32"/>
          <w:lang w:val="en-US" w:eastAsia="zh-CN"/>
        </w:rPr>
        <w:t>。</w:t>
      </w:r>
      <w:r>
        <w:rPr>
          <w:rFonts w:hint="eastAsia" w:ascii="仿宋" w:hAnsi="仿宋" w:eastAsia="仿宋" w:cs="仿宋"/>
          <w:b/>
          <w:bCs/>
          <w:sz w:val="32"/>
          <w:szCs w:val="32"/>
          <w:lang w:val="en-US" w:eastAsia="zh-CN"/>
        </w:rPr>
        <w:t>四是强化监督。</w:t>
      </w:r>
      <w:r>
        <w:rPr>
          <w:rFonts w:hint="eastAsia" w:ascii="仿宋" w:hAnsi="仿宋" w:eastAsia="仿宋" w:cs="仿宋"/>
          <w:b w:val="0"/>
          <w:bCs w:val="0"/>
          <w:sz w:val="32"/>
          <w:szCs w:val="32"/>
          <w:lang w:val="en-US" w:eastAsia="zh-CN"/>
        </w:rPr>
        <w:t>内部审计、纪检监察等部门应加强对食堂等敏感领域支出的监督检查，对发现的违规问题严肃处理，形成有效震慑。</w:t>
      </w:r>
    </w:p>
    <w:p w14:paraId="0D63223F">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总结与系统性建议：一是强化预算刚性约束。</w:t>
      </w:r>
      <w:r>
        <w:rPr>
          <w:rFonts w:hint="eastAsia" w:ascii="仿宋" w:hAnsi="仿宋" w:eastAsia="仿宋" w:cs="仿宋"/>
          <w:b w:val="0"/>
          <w:bCs w:val="0"/>
          <w:sz w:val="32"/>
          <w:szCs w:val="32"/>
          <w:highlight w:val="none"/>
          <w:lang w:val="en-US" w:eastAsia="zh-CN"/>
        </w:rPr>
        <w:t>树立“无预算不支出”的理念，严禁超期、超预算、无预算的支出行为。</w:t>
      </w:r>
      <w:r>
        <w:rPr>
          <w:rFonts w:hint="eastAsia" w:ascii="仿宋" w:hAnsi="仿宋" w:eastAsia="仿宋" w:cs="仿宋"/>
          <w:b/>
          <w:bCs/>
          <w:sz w:val="32"/>
          <w:szCs w:val="32"/>
          <w:highlight w:val="none"/>
          <w:lang w:val="en-US" w:eastAsia="zh-CN"/>
        </w:rPr>
        <w:t>二是完善合同管理制度。</w:t>
      </w:r>
      <w:r>
        <w:rPr>
          <w:rFonts w:hint="eastAsia" w:ascii="仿宋" w:hAnsi="仿宋" w:eastAsia="仿宋" w:cs="仿宋"/>
          <w:b w:val="0"/>
          <w:bCs w:val="0"/>
          <w:sz w:val="32"/>
          <w:szCs w:val="32"/>
          <w:highlight w:val="none"/>
          <w:lang w:val="en-US" w:eastAsia="zh-CN"/>
        </w:rPr>
        <w:t>建立从谈判、审核、签订到归档的全流程管理，确保合同履行、要素齐全、权责清晰。</w:t>
      </w:r>
      <w:r>
        <w:rPr>
          <w:rFonts w:hint="eastAsia" w:ascii="仿宋" w:hAnsi="仿宋" w:eastAsia="仿宋" w:cs="仿宋"/>
          <w:b/>
          <w:bCs/>
          <w:sz w:val="32"/>
          <w:szCs w:val="32"/>
          <w:highlight w:val="none"/>
          <w:lang w:val="en-US" w:eastAsia="zh-CN"/>
        </w:rPr>
        <w:t>三是规范支出审批流程。</w:t>
      </w:r>
      <w:r>
        <w:rPr>
          <w:rFonts w:hint="eastAsia" w:ascii="仿宋" w:hAnsi="仿宋" w:eastAsia="仿宋" w:cs="仿宋"/>
          <w:b w:val="0"/>
          <w:bCs w:val="0"/>
          <w:sz w:val="32"/>
          <w:szCs w:val="32"/>
          <w:highlight w:val="none"/>
          <w:lang w:val="en-US" w:eastAsia="zh-CN"/>
        </w:rPr>
        <w:t>财务审核岗要严格把关，对凭证不全、程序不符、跨期异常的支出坚决退回。明确支出凭证的标准清单（如发票、合同、验收单、审批单等）。</w:t>
      </w:r>
      <w:r>
        <w:rPr>
          <w:rFonts w:hint="eastAsia" w:ascii="仿宋" w:hAnsi="仿宋" w:eastAsia="仿宋" w:cs="仿宋"/>
          <w:b/>
          <w:bCs/>
          <w:sz w:val="32"/>
          <w:szCs w:val="32"/>
          <w:highlight w:val="none"/>
          <w:lang w:val="en-US" w:eastAsia="zh-CN"/>
        </w:rPr>
        <w:t>四是加强财务人员培训。</w:t>
      </w:r>
      <w:r>
        <w:rPr>
          <w:rFonts w:hint="eastAsia" w:ascii="仿宋" w:hAnsi="仿宋" w:eastAsia="仿宋" w:cs="仿宋"/>
          <w:b w:val="0"/>
          <w:bCs w:val="0"/>
          <w:sz w:val="32"/>
          <w:szCs w:val="32"/>
          <w:highlight w:val="none"/>
          <w:lang w:val="en-US" w:eastAsia="zh-CN"/>
        </w:rPr>
        <w:t>提升财务人员对法规政策的理解和风险识别能力，使其成为内控的有效“守门员”。</w:t>
      </w:r>
      <w:r>
        <w:rPr>
          <w:rFonts w:hint="eastAsia" w:ascii="仿宋" w:hAnsi="仿宋" w:eastAsia="仿宋" w:cs="仿宋"/>
          <w:b/>
          <w:bCs/>
          <w:sz w:val="32"/>
          <w:szCs w:val="32"/>
          <w:highlight w:val="none"/>
          <w:lang w:val="en-US" w:eastAsia="zh-CN"/>
        </w:rPr>
        <w:t>五是建立责任追究机制。</w:t>
      </w:r>
      <w:r>
        <w:rPr>
          <w:rFonts w:hint="eastAsia" w:ascii="仿宋" w:hAnsi="仿宋" w:eastAsia="仿宋" w:cs="仿宋"/>
          <w:b w:val="0"/>
          <w:bCs w:val="0"/>
          <w:sz w:val="32"/>
          <w:szCs w:val="32"/>
          <w:highlight w:val="none"/>
          <w:lang w:val="en-US" w:eastAsia="zh-CN"/>
        </w:rPr>
        <w:t>对屡次出现类似不合规支出的部门和责任人，应予以通报并追究责任。</w:t>
      </w:r>
    </w:p>
    <w:p w14:paraId="56BA80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val="0"/>
          <w:bCs w:val="0"/>
          <w:kern w:val="0"/>
          <w:sz w:val="32"/>
          <w:szCs w:val="32"/>
          <w:lang w:val="en-US" w:eastAsia="zh-CN" w:bidi="ar"/>
        </w:rPr>
      </w:pPr>
      <w:bookmarkStart w:id="52" w:name="_Toc14539"/>
      <w:r>
        <w:rPr>
          <w:rFonts w:hint="eastAsia" w:ascii="楷体" w:hAnsi="楷体" w:eastAsia="楷体" w:cs="楷体"/>
          <w:b/>
          <w:bCs/>
          <w:sz w:val="32"/>
          <w:szCs w:val="32"/>
          <w:lang w:val="en-US" w:eastAsia="zh-CN"/>
        </w:rPr>
        <w:t>（二）管理程序方面存在的问题及建议</w:t>
      </w:r>
      <w:bookmarkEnd w:id="52"/>
    </w:p>
    <w:p w14:paraId="6A8E4FD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kern w:val="0"/>
          <w:sz w:val="32"/>
          <w:szCs w:val="32"/>
          <w:lang w:val="en-US" w:eastAsia="zh-CN" w:bidi="ar"/>
        </w:rPr>
        <w:t>1.</w:t>
      </w:r>
      <w:r>
        <w:rPr>
          <w:rFonts w:hint="eastAsia" w:ascii="仿宋" w:hAnsi="仿宋" w:eastAsia="仿宋" w:cs="仿宋"/>
          <w:b/>
          <w:bCs/>
          <w:sz w:val="32"/>
          <w:szCs w:val="32"/>
          <w:lang w:val="en-US" w:eastAsia="zh-CN"/>
        </w:rPr>
        <w:t>业务发生时间早于政府采购协议签订时间。</w:t>
      </w:r>
    </w:p>
    <w:p w14:paraId="430F988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上述违反了《中华人民共和国政府采购法》</w:t>
      </w:r>
    </w:p>
    <w:p w14:paraId="449055C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第四十三条：“政府采购合同适用合同法。采购人和供应商之间的权利和义务，应当按照平等、自愿的原则以合同方式约定。”第四十四条：“</w:t>
      </w:r>
      <w:r>
        <w:rPr>
          <w:rFonts w:hint="eastAsia" w:ascii="仿宋" w:hAnsi="仿宋" w:eastAsia="仿宋" w:cs="仿宋"/>
          <w:b/>
          <w:bCs/>
          <w:sz w:val="32"/>
          <w:szCs w:val="32"/>
          <w:lang w:val="en-US" w:eastAsia="zh-CN"/>
        </w:rPr>
        <w:t>政府采购合同应当采用书面形式</w:t>
      </w:r>
      <w:r>
        <w:rPr>
          <w:rFonts w:hint="eastAsia" w:ascii="仿宋" w:hAnsi="仿宋" w:eastAsia="仿宋" w:cs="仿宋"/>
          <w:b w:val="0"/>
          <w:bCs w:val="0"/>
          <w:sz w:val="32"/>
          <w:szCs w:val="32"/>
          <w:lang w:val="en-US" w:eastAsia="zh-CN"/>
        </w:rPr>
        <w:t>。”</w:t>
      </w:r>
    </w:p>
    <w:p w14:paraId="72604BFE">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核心解读：</w:t>
      </w:r>
      <w:r>
        <w:rPr>
          <w:rFonts w:hint="eastAsia" w:ascii="仿宋" w:hAnsi="仿宋" w:eastAsia="仿宋" w:cs="仿宋"/>
          <w:b w:val="0"/>
          <w:bCs w:val="0"/>
          <w:sz w:val="32"/>
          <w:szCs w:val="32"/>
          <w:lang w:val="en-US" w:eastAsia="zh-CN"/>
        </w:rPr>
        <w:t>法律明确规定，采购人与供应商的权利义务必须通过书面合同来约定。在合同签订之前，双方的法律关系并未正式确立。提前开展业务，意味着在没有任何法律文件约束的情况下进行了采购活动，完全违背了政府采购</w:t>
      </w:r>
      <w:r>
        <w:rPr>
          <w:rFonts w:hint="eastAsia" w:ascii="仿宋" w:hAnsi="仿宋" w:eastAsia="仿宋" w:cs="仿宋"/>
          <w:b/>
          <w:bCs/>
          <w:sz w:val="32"/>
          <w:szCs w:val="32"/>
          <w:lang w:val="en-US" w:eastAsia="zh-CN"/>
        </w:rPr>
        <w:t>“按合同办事”</w:t>
      </w:r>
      <w:r>
        <w:rPr>
          <w:rFonts w:hint="eastAsia" w:ascii="仿宋" w:hAnsi="仿宋" w:eastAsia="仿宋" w:cs="仿宋"/>
          <w:b w:val="0"/>
          <w:bCs w:val="0"/>
          <w:sz w:val="32"/>
          <w:szCs w:val="32"/>
          <w:lang w:val="en-US" w:eastAsia="zh-CN"/>
        </w:rPr>
        <w:t>的基本原则。</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上述违反了《中华人民共和国政府采购法实施条例》第六十七条。详细列举了未按照政府采购法和本条例规定执行的各种违法情形。虽然未直接提及</w:t>
      </w:r>
      <w:r>
        <w:rPr>
          <w:rFonts w:hint="eastAsia" w:ascii="仿宋" w:hAnsi="仿宋" w:eastAsia="仿宋" w:cs="仿宋"/>
          <w:b/>
          <w:bCs/>
          <w:sz w:val="32"/>
          <w:szCs w:val="32"/>
          <w:lang w:val="en-US" w:eastAsia="zh-CN"/>
        </w:rPr>
        <w:t>“合同倒签”</w:t>
      </w:r>
      <w:r>
        <w:rPr>
          <w:rFonts w:hint="eastAsia" w:ascii="仿宋" w:hAnsi="仿宋" w:eastAsia="仿宋" w:cs="仿宋"/>
          <w:b w:val="0"/>
          <w:bCs w:val="0"/>
          <w:sz w:val="32"/>
          <w:szCs w:val="32"/>
          <w:lang w:val="en-US" w:eastAsia="zh-CN"/>
        </w:rPr>
        <w:t>，但</w:t>
      </w:r>
      <w:r>
        <w:rPr>
          <w:rFonts w:hint="eastAsia" w:ascii="仿宋" w:hAnsi="仿宋" w:eastAsia="仿宋" w:cs="仿宋"/>
          <w:b/>
          <w:bCs/>
          <w:sz w:val="32"/>
          <w:szCs w:val="32"/>
          <w:lang w:val="en-US" w:eastAsia="zh-CN"/>
        </w:rPr>
        <w:t>“先干活后补合同”</w:t>
      </w:r>
      <w:r>
        <w:rPr>
          <w:rFonts w:hint="eastAsia" w:ascii="仿宋" w:hAnsi="仿宋" w:eastAsia="仿宋" w:cs="仿宋"/>
          <w:b w:val="0"/>
          <w:bCs w:val="0"/>
          <w:sz w:val="32"/>
          <w:szCs w:val="32"/>
          <w:lang w:val="en-US" w:eastAsia="zh-CN"/>
        </w:rPr>
        <w:t>本质上属于规避政府采购法定程序的行为，属于广义的违法违规行为。</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w:t>
      </w:r>
      <w:r>
        <w:rPr>
          <w:rFonts w:hint="eastAsia" w:ascii="仿宋" w:hAnsi="仿宋" w:eastAsia="仿宋" w:cs="仿宋"/>
          <w:b/>
          <w:bCs/>
          <w:sz w:val="32"/>
          <w:szCs w:val="32"/>
          <w:lang w:val="en-US" w:eastAsia="zh-CN"/>
        </w:rPr>
        <w:t>《政府采购需求管理办法》（财库〔2021〕22号）。</w:t>
      </w:r>
      <w:r>
        <w:rPr>
          <w:rFonts w:hint="eastAsia" w:ascii="仿宋" w:hAnsi="仿宋" w:eastAsia="仿宋" w:cs="仿宋"/>
          <w:b w:val="0"/>
          <w:bCs w:val="0"/>
          <w:sz w:val="32"/>
          <w:szCs w:val="32"/>
          <w:lang w:val="en-US" w:eastAsia="zh-CN"/>
        </w:rPr>
        <w:t>该办法强调，采购需求管理是政府采购管理的起点，合同是落实采购需求的终点。所有采购活动都应在确定的采购需求框架下，通过规范的采购程序，最终以合同形式固化。业务先于合同，导致整个采购流程本末倒置。</w:t>
      </w:r>
      <w:r>
        <w:rPr>
          <w:rFonts w:hint="eastAsia" w:ascii="仿宋" w:hAnsi="仿宋" w:eastAsia="仿宋" w:cs="仿宋"/>
          <w:b/>
          <w:bCs/>
          <w:sz w:val="32"/>
          <w:szCs w:val="32"/>
          <w:lang w:val="en-US" w:eastAsia="zh-CN"/>
        </w:rPr>
        <w:t>三类风险分析。</w:t>
      </w:r>
    </w:p>
    <w:p w14:paraId="5483ADCC">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一是程序违法风险。</w:t>
      </w:r>
      <w:r>
        <w:rPr>
          <w:rFonts w:hint="eastAsia" w:ascii="仿宋" w:hAnsi="仿宋" w:eastAsia="仿宋" w:cs="仿宋"/>
          <w:b w:val="0"/>
          <w:bCs w:val="0"/>
          <w:sz w:val="32"/>
          <w:szCs w:val="32"/>
          <w:lang w:val="en-US" w:eastAsia="zh-CN"/>
        </w:rPr>
        <w:t>这是最根本的风险。它使得整个政府采购程序（公开招标、竞争性谈判、询价等）形同虚设，因为实际执行已经提前发生，采购结果在程序完成前就已内定，严重损害了政府采购的公开、公平、公正原则。</w:t>
      </w:r>
      <w:r>
        <w:rPr>
          <w:rFonts w:hint="eastAsia" w:ascii="仿宋" w:hAnsi="仿宋" w:eastAsia="仿宋" w:cs="仿宋"/>
          <w:b/>
          <w:bCs/>
          <w:sz w:val="32"/>
          <w:szCs w:val="32"/>
          <w:lang w:val="en-US" w:eastAsia="zh-CN"/>
        </w:rPr>
        <w:t>二是审计风险。</w:t>
      </w:r>
      <w:r>
        <w:rPr>
          <w:rFonts w:hint="eastAsia" w:ascii="仿宋" w:hAnsi="仿宋" w:eastAsia="仿宋" w:cs="仿宋"/>
          <w:b w:val="0"/>
          <w:bCs w:val="0"/>
          <w:sz w:val="32"/>
          <w:szCs w:val="32"/>
          <w:lang w:val="en-US" w:eastAsia="zh-CN"/>
        </w:rPr>
        <w:t>在审计中，此类合同是重点审查对象。审计人员会通过比对发票日期、验收日期和合同签订日期来发现此类问题。一旦发现，该笔支出很可能被认定为不合规支出，要求整改甚至追回资金，并在审计报告中作为重大问题披露</w:t>
      </w:r>
      <w:r>
        <w:rPr>
          <w:rFonts w:hint="eastAsia" w:ascii="仿宋" w:hAnsi="仿宋" w:eastAsia="仿宋" w:cs="仿宋"/>
          <w:b/>
          <w:bCs/>
          <w:sz w:val="32"/>
          <w:szCs w:val="32"/>
          <w:lang w:val="en-US" w:eastAsia="zh-CN"/>
        </w:rPr>
        <w:t>。三是合同效力与资金安全风险。</w:t>
      </w:r>
      <w:r>
        <w:rPr>
          <w:rFonts w:hint="eastAsia" w:ascii="仿宋" w:hAnsi="仿宋" w:eastAsia="仿宋" w:cs="仿宋"/>
          <w:b w:val="0"/>
          <w:bCs w:val="0"/>
          <w:sz w:val="32"/>
          <w:szCs w:val="32"/>
          <w:lang w:val="en-US" w:eastAsia="zh-CN"/>
        </w:rPr>
        <w:t>合同效力存疑，由于合同签订前的业务行为缺乏法律依据，一旦发生纠纷（如服务质量、价格争议），合同双方的权利义务难以界定，合同本身的效力可能受到挑战。资金支付无依据，财政资金支付必须以有效的合同为依据。合同签订前的业务，其费用支付缺乏合同支持，属于无依据支付，违反了财政资金管理的规定。</w:t>
      </w:r>
    </w:p>
    <w:p w14:paraId="67CE60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建议：应着重于从源头和流程上杜绝此类现象，推动采购活动回归“程序优先、合同为据”的法治轨道。</w:t>
      </w:r>
      <w:r>
        <w:rPr>
          <w:rFonts w:hint="eastAsia" w:ascii="仿宋" w:hAnsi="仿宋" w:eastAsia="仿宋" w:cs="仿宋"/>
          <w:b w:val="0"/>
          <w:bCs w:val="0"/>
          <w:sz w:val="32"/>
          <w:szCs w:val="32"/>
          <w:highlight w:val="none"/>
          <w:lang w:val="en-US" w:eastAsia="zh-CN"/>
        </w:rPr>
        <w:t>若已发生2024年先使用后补合同的情况，</w:t>
      </w:r>
      <w:r>
        <w:rPr>
          <w:rFonts w:hint="eastAsia" w:ascii="仿宋" w:hAnsi="仿宋" w:eastAsia="仿宋" w:cs="仿宋"/>
          <w:b/>
          <w:bCs/>
          <w:sz w:val="32"/>
          <w:szCs w:val="32"/>
          <w:highlight w:val="none"/>
          <w:lang w:val="en-US" w:eastAsia="zh-CN"/>
        </w:rPr>
        <w:t>一是补充书面说明</w:t>
      </w:r>
      <w:r>
        <w:rPr>
          <w:rFonts w:hint="eastAsia" w:ascii="仿宋" w:hAnsi="仿宋" w:eastAsia="仿宋" w:cs="仿宋"/>
          <w:b w:val="0"/>
          <w:bCs w:val="0"/>
          <w:sz w:val="32"/>
          <w:szCs w:val="32"/>
          <w:highlight w:val="none"/>
          <w:lang w:val="en-US" w:eastAsia="zh-CN"/>
        </w:rPr>
        <w:t>，向上级部门说明原因，完善内部审批记录。</w:t>
      </w:r>
      <w:r>
        <w:rPr>
          <w:rFonts w:hint="eastAsia" w:ascii="仿宋" w:hAnsi="仿宋" w:eastAsia="仿宋" w:cs="仿宋"/>
          <w:b/>
          <w:bCs/>
          <w:sz w:val="32"/>
          <w:szCs w:val="32"/>
          <w:highlight w:val="none"/>
          <w:lang w:val="en-US" w:eastAsia="zh-CN"/>
        </w:rPr>
        <w:t>二是建立框架协议或定点采购机制，避免再次出现程序倒置，既能满足零星采购灵活性，又能确保程序合规。</w:t>
      </w:r>
      <w:r>
        <w:rPr>
          <w:rFonts w:hint="eastAsia" w:ascii="仿宋" w:hAnsi="仿宋" w:eastAsia="仿宋" w:cs="仿宋"/>
          <w:b w:val="0"/>
          <w:bCs w:val="0"/>
          <w:sz w:val="32"/>
          <w:szCs w:val="32"/>
          <w:highlight w:val="none"/>
          <w:lang w:val="en-US" w:eastAsia="zh-CN"/>
        </w:rPr>
        <w:t>具体操作需结合当地财政部门实施细则。</w:t>
      </w:r>
      <w:r>
        <w:rPr>
          <w:rFonts w:hint="eastAsia" w:ascii="仿宋" w:hAnsi="仿宋" w:eastAsia="仿宋" w:cs="仿宋"/>
          <w:b/>
          <w:bCs/>
          <w:sz w:val="32"/>
          <w:szCs w:val="32"/>
          <w:highlight w:val="none"/>
          <w:lang w:val="en-US" w:eastAsia="zh-CN"/>
        </w:rPr>
        <w:t>方案1：采用“框架协议+订单”模式。适用场景：</w:t>
      </w:r>
      <w:r>
        <w:rPr>
          <w:rFonts w:hint="eastAsia" w:ascii="仿宋" w:hAnsi="仿宋" w:eastAsia="仿宋" w:cs="仿宋"/>
          <w:b w:val="0"/>
          <w:bCs w:val="0"/>
          <w:sz w:val="32"/>
          <w:szCs w:val="32"/>
          <w:highlight w:val="none"/>
          <w:lang w:val="en-US" w:eastAsia="zh-CN"/>
        </w:rPr>
        <w:t>需求数量不确定，但采购频次较高。</w:t>
      </w:r>
      <w:r>
        <w:rPr>
          <w:rFonts w:hint="eastAsia" w:ascii="仿宋" w:hAnsi="仿宋" w:eastAsia="仿宋" w:cs="仿宋"/>
          <w:b/>
          <w:bCs/>
          <w:sz w:val="32"/>
          <w:szCs w:val="32"/>
          <w:highlight w:val="none"/>
          <w:lang w:val="en-US" w:eastAsia="zh-CN"/>
        </w:rPr>
        <w:t>操作步骤：</w:t>
      </w:r>
      <w:r>
        <w:rPr>
          <w:rFonts w:hint="eastAsia" w:ascii="仿宋" w:hAnsi="仿宋" w:eastAsia="仿宋" w:cs="仿宋"/>
          <w:b w:val="0"/>
          <w:bCs w:val="0"/>
          <w:sz w:val="32"/>
          <w:szCs w:val="32"/>
          <w:highlight w:val="none"/>
          <w:lang w:val="en-US" w:eastAsia="zh-CN"/>
        </w:rPr>
        <w:t>提前签订框架协议（2024年初），通过公开竞争程序确定供应商，约定商品目录、单价、服务条款等，协议有效期1年。</w:t>
      </w:r>
      <w:r>
        <w:rPr>
          <w:rFonts w:hint="eastAsia" w:ascii="仿宋" w:hAnsi="仿宋" w:eastAsia="仿宋" w:cs="仿宋"/>
          <w:b/>
          <w:bCs/>
          <w:sz w:val="32"/>
          <w:szCs w:val="32"/>
          <w:highlight w:val="none"/>
          <w:lang w:val="en-US" w:eastAsia="zh-CN"/>
        </w:rPr>
        <w:t>法律依据：</w:t>
      </w:r>
      <w:r>
        <w:rPr>
          <w:rFonts w:hint="eastAsia" w:ascii="仿宋" w:hAnsi="仿宋" w:eastAsia="仿宋" w:cs="仿宋"/>
          <w:b w:val="0"/>
          <w:bCs w:val="0"/>
          <w:sz w:val="32"/>
          <w:szCs w:val="32"/>
          <w:highlight w:val="none"/>
          <w:lang w:val="en-US" w:eastAsia="zh-CN"/>
        </w:rPr>
        <w:t>《政府采购框架协议采购方式管理暂行办法》（财政部令第110号）。</w:t>
      </w:r>
      <w:r>
        <w:rPr>
          <w:rFonts w:hint="eastAsia" w:ascii="仿宋" w:hAnsi="仿宋" w:eastAsia="仿宋" w:cs="仿宋"/>
          <w:b/>
          <w:bCs/>
          <w:sz w:val="32"/>
          <w:szCs w:val="32"/>
          <w:highlight w:val="none"/>
          <w:lang w:val="en-US" w:eastAsia="zh-CN"/>
        </w:rPr>
        <w:t>按需下发订单：</w:t>
      </w:r>
      <w:r>
        <w:rPr>
          <w:rFonts w:hint="eastAsia" w:ascii="仿宋" w:hAnsi="仿宋" w:eastAsia="仿宋" w:cs="仿宋"/>
          <w:b w:val="0"/>
          <w:bCs w:val="0"/>
          <w:sz w:val="32"/>
          <w:szCs w:val="32"/>
          <w:highlight w:val="none"/>
          <w:lang w:val="en-US" w:eastAsia="zh-CN"/>
        </w:rPr>
        <w:t>在实际需要时，根据框架协议下达订单，无需重复签订合同。</w:t>
      </w:r>
      <w:r>
        <w:rPr>
          <w:rFonts w:hint="eastAsia" w:ascii="仿宋" w:hAnsi="仿宋" w:eastAsia="仿宋" w:cs="仿宋"/>
          <w:b/>
          <w:bCs/>
          <w:sz w:val="32"/>
          <w:szCs w:val="32"/>
          <w:highlight w:val="none"/>
          <w:lang w:val="en-US" w:eastAsia="zh-CN"/>
        </w:rPr>
        <w:t>验收与付款：</w:t>
      </w:r>
      <w:r>
        <w:rPr>
          <w:rFonts w:hint="eastAsia" w:ascii="仿宋" w:hAnsi="仿宋" w:eastAsia="仿宋" w:cs="仿宋"/>
          <w:b w:val="0"/>
          <w:bCs w:val="0"/>
          <w:sz w:val="32"/>
          <w:szCs w:val="32"/>
          <w:highlight w:val="none"/>
          <w:lang w:val="en-US" w:eastAsia="zh-CN"/>
        </w:rPr>
        <w:t>每笔订单单独验收，按协议约定周期（如季度）集中付款。</w:t>
      </w:r>
      <w:r>
        <w:rPr>
          <w:rFonts w:hint="eastAsia" w:ascii="仿宋" w:hAnsi="仿宋" w:eastAsia="仿宋" w:cs="仿宋"/>
          <w:b/>
          <w:bCs/>
          <w:sz w:val="32"/>
          <w:szCs w:val="32"/>
          <w:highlight w:val="none"/>
          <w:lang w:val="en-US" w:eastAsia="zh-CN"/>
        </w:rPr>
        <w:t>方案2：小额零星采购简化程序。适用场景：</w:t>
      </w:r>
      <w:r>
        <w:rPr>
          <w:rFonts w:hint="eastAsia" w:ascii="仿宋" w:hAnsi="仿宋" w:eastAsia="仿宋" w:cs="仿宋"/>
          <w:b w:val="0"/>
          <w:bCs w:val="0"/>
          <w:sz w:val="32"/>
          <w:szCs w:val="32"/>
          <w:highlight w:val="none"/>
          <w:lang w:val="en-US" w:eastAsia="zh-CN"/>
        </w:rPr>
        <w:t>单次采购金额极低（如低于当地分散采购限额，通常为30万元以下）。</w:t>
      </w:r>
      <w:r>
        <w:rPr>
          <w:rFonts w:hint="eastAsia" w:ascii="仿宋" w:hAnsi="仿宋" w:eastAsia="仿宋" w:cs="仿宋"/>
          <w:b/>
          <w:bCs/>
          <w:sz w:val="32"/>
          <w:szCs w:val="32"/>
          <w:highlight w:val="none"/>
          <w:lang w:val="en-US" w:eastAsia="zh-CN"/>
        </w:rPr>
        <w:t>操作步骤：提前备案采购计划，</w:t>
      </w:r>
      <w:r>
        <w:rPr>
          <w:rFonts w:hint="eastAsia" w:ascii="仿宋" w:hAnsi="仿宋" w:eastAsia="仿宋" w:cs="仿宋"/>
          <w:b w:val="0"/>
          <w:bCs w:val="0"/>
          <w:sz w:val="32"/>
          <w:szCs w:val="32"/>
          <w:highlight w:val="none"/>
          <w:lang w:val="en-US" w:eastAsia="zh-CN"/>
        </w:rPr>
        <w:t>在财政部门备案年度零星采购预算及标准。</w:t>
      </w:r>
    </w:p>
    <w:p w14:paraId="069D772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通过定点供应商采购，</w:t>
      </w:r>
      <w:r>
        <w:rPr>
          <w:rFonts w:hint="eastAsia" w:ascii="仿宋" w:hAnsi="仿宋" w:eastAsia="仿宋" w:cs="仿宋"/>
          <w:b w:val="0"/>
          <w:bCs w:val="0"/>
          <w:sz w:val="32"/>
          <w:szCs w:val="32"/>
          <w:highlight w:val="none"/>
          <w:lang w:val="en-US" w:eastAsia="zh-CN"/>
        </w:rPr>
        <w:t>选择政府采购定点供应商，直接按定点价格采购。及时</w:t>
      </w:r>
      <w:r>
        <w:rPr>
          <w:rFonts w:hint="eastAsia" w:ascii="仿宋" w:hAnsi="仿宋" w:eastAsia="仿宋" w:cs="仿宋"/>
          <w:b/>
          <w:bCs/>
          <w:sz w:val="32"/>
          <w:szCs w:val="32"/>
          <w:highlight w:val="none"/>
          <w:lang w:val="en-US" w:eastAsia="zh-CN"/>
        </w:rPr>
        <w:t>验收并留存记录，</w:t>
      </w:r>
      <w:r>
        <w:rPr>
          <w:rFonts w:hint="eastAsia" w:ascii="仿宋" w:hAnsi="仿宋" w:eastAsia="仿宋" w:cs="仿宋"/>
          <w:b w:val="0"/>
          <w:bCs w:val="0"/>
          <w:sz w:val="32"/>
          <w:szCs w:val="32"/>
          <w:highlight w:val="none"/>
          <w:lang w:val="en-US" w:eastAsia="zh-CN"/>
        </w:rPr>
        <w:t>每笔采购需有验收单，定期（如按月）汇总签订结算合同并付款。</w:t>
      </w:r>
      <w:r>
        <w:rPr>
          <w:rFonts w:hint="eastAsia" w:ascii="仿宋" w:hAnsi="仿宋" w:eastAsia="仿宋" w:cs="仿宋"/>
          <w:b/>
          <w:bCs/>
          <w:sz w:val="32"/>
          <w:szCs w:val="32"/>
          <w:highlight w:val="none"/>
          <w:lang w:val="en-US" w:eastAsia="zh-CN"/>
        </w:rPr>
        <w:t>方案3：预估需求+分批履行。</w:t>
      </w:r>
      <w:r>
        <w:rPr>
          <w:rFonts w:hint="eastAsia" w:ascii="仿宋" w:hAnsi="仿宋" w:eastAsia="仿宋" w:cs="仿宋"/>
          <w:b w:val="0"/>
          <w:bCs w:val="0"/>
          <w:sz w:val="32"/>
          <w:szCs w:val="32"/>
          <w:highlight w:val="none"/>
          <w:lang w:val="en-US" w:eastAsia="zh-CN"/>
        </w:rPr>
        <w:t>若需求可部分预估，签订合同时明确“预估总量+允许浮动比例”（如±20%），实际采购量按需分批下达，但总额不超过合同上限。</w:t>
      </w:r>
    </w:p>
    <w:p w14:paraId="03FD6F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2.采购办公用品“无采购申请单”、“验收无清单”内部控制缺失。</w:t>
      </w:r>
    </w:p>
    <w:p w14:paraId="5886A2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相关政策1：一是</w:t>
      </w:r>
      <w:r>
        <w:rPr>
          <w:rFonts w:hint="default" w:ascii="仿宋" w:hAnsi="仿宋" w:eastAsia="仿宋" w:cs="仿宋"/>
          <w:b/>
          <w:bCs/>
          <w:sz w:val="32"/>
          <w:szCs w:val="32"/>
          <w:highlight w:val="none"/>
          <w:lang w:val="en-US" w:eastAsia="zh-CN"/>
        </w:rPr>
        <w:t>违反《行政事业单位内部控制规范（试行）》（财会〔2012〕21号）</w:t>
      </w:r>
      <w:r>
        <w:rPr>
          <w:rFonts w:hint="eastAsia" w:ascii="仿宋" w:hAnsi="仿宋" w:eastAsia="仿宋" w:cs="仿宋"/>
          <w:b/>
          <w:bCs/>
          <w:sz w:val="32"/>
          <w:szCs w:val="32"/>
          <w:highlight w:val="none"/>
          <w:lang w:val="en-US" w:eastAsia="zh-CN"/>
        </w:rPr>
        <w:t>，</w:t>
      </w:r>
      <w:r>
        <w:rPr>
          <w:rFonts w:hint="default" w:ascii="仿宋" w:hAnsi="仿宋" w:eastAsia="仿宋" w:cs="仿宋"/>
          <w:b/>
          <w:bCs/>
          <w:sz w:val="32"/>
          <w:szCs w:val="32"/>
          <w:highlight w:val="none"/>
          <w:lang w:val="en-US" w:eastAsia="zh-CN"/>
        </w:rPr>
        <w:t>这是最核心、最直接的违规依据。</w:t>
      </w:r>
      <w:r>
        <w:rPr>
          <w:rFonts w:hint="default" w:ascii="仿宋" w:hAnsi="仿宋" w:eastAsia="仿宋" w:cs="仿宋"/>
          <w:b w:val="0"/>
          <w:bCs w:val="0"/>
          <w:sz w:val="32"/>
          <w:szCs w:val="32"/>
          <w:highlight w:val="none"/>
          <w:lang w:val="en-US" w:eastAsia="zh-CN"/>
        </w:rPr>
        <w:t>该规范要求单位建立并实施对经济活动的内部控制，确保经济活动合法合规、资产安全和使用有效、财务信息真实完整。</w:t>
      </w:r>
      <w:r>
        <w:rPr>
          <w:rFonts w:hint="default" w:ascii="仿宋" w:hAnsi="仿宋" w:eastAsia="仿宋" w:cs="仿宋"/>
          <w:b/>
          <w:bCs/>
          <w:sz w:val="32"/>
          <w:szCs w:val="32"/>
          <w:highlight w:val="none"/>
          <w:lang w:val="en-US" w:eastAsia="zh-CN"/>
        </w:rPr>
        <w:t>违反“支出业务控制”</w:t>
      </w:r>
      <w:r>
        <w:rPr>
          <w:rFonts w:hint="eastAsia" w:ascii="仿宋" w:hAnsi="仿宋" w:eastAsia="仿宋" w:cs="仿宋"/>
          <w:b/>
          <w:bCs/>
          <w:sz w:val="32"/>
          <w:szCs w:val="32"/>
          <w:highlight w:val="none"/>
          <w:lang w:val="en-US" w:eastAsia="zh-CN"/>
        </w:rPr>
        <w:t>。</w:t>
      </w:r>
      <w:r>
        <w:rPr>
          <w:rFonts w:hint="default" w:ascii="仿宋" w:hAnsi="仿宋" w:eastAsia="仿宋" w:cs="仿宋"/>
          <w:b/>
          <w:bCs/>
          <w:sz w:val="32"/>
          <w:szCs w:val="32"/>
          <w:highlight w:val="none"/>
          <w:lang w:val="en-US" w:eastAsia="zh-CN"/>
        </w:rPr>
        <w:t>缺失“事前申请”</w:t>
      </w:r>
      <w:r>
        <w:rPr>
          <w:rFonts w:hint="eastAsia" w:ascii="仿宋" w:hAnsi="仿宋" w:eastAsia="仿宋" w:cs="仿宋"/>
          <w:b/>
          <w:bCs/>
          <w:sz w:val="32"/>
          <w:szCs w:val="32"/>
          <w:highlight w:val="none"/>
          <w:lang w:val="en-US" w:eastAsia="zh-CN"/>
        </w:rPr>
        <w:t>，</w:t>
      </w:r>
      <w:r>
        <w:rPr>
          <w:rFonts w:hint="default" w:ascii="仿宋" w:hAnsi="仿宋" w:eastAsia="仿宋" w:cs="仿宋"/>
          <w:b w:val="0"/>
          <w:bCs w:val="0"/>
          <w:sz w:val="32"/>
          <w:szCs w:val="32"/>
          <w:highlight w:val="none"/>
          <w:lang w:val="en-US" w:eastAsia="zh-CN"/>
        </w:rPr>
        <w:t>采购申请单是支出业务的起点，是证明采购需求真实性和合理性的首要环节。没有申请单，采购行为就失去了事前控制和审批，属于无计划、无预算的盲目采购</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bCs/>
          <w:sz w:val="32"/>
          <w:szCs w:val="32"/>
          <w:highlight w:val="none"/>
          <w:lang w:val="en-US" w:eastAsia="zh-CN"/>
        </w:rPr>
        <w:t>违反“资产控制”，资产从“采购”到“入库”的管理链条断裂。</w:t>
      </w:r>
      <w:r>
        <w:rPr>
          <w:rFonts w:hint="eastAsia" w:ascii="仿宋" w:hAnsi="仿宋" w:eastAsia="仿宋" w:cs="仿宋"/>
          <w:b w:val="0"/>
          <w:bCs w:val="0"/>
          <w:sz w:val="32"/>
          <w:szCs w:val="32"/>
          <w:highlight w:val="none"/>
          <w:lang w:val="en-US" w:eastAsia="zh-CN"/>
        </w:rPr>
        <w:t>没有验收单和清单，新增的办公用品无法准确登记入账，导致单位资产账实不符，家底不清，为资产流失和舞弊行为打开了方便之门。</w:t>
      </w:r>
      <w:r>
        <w:rPr>
          <w:rFonts w:hint="eastAsia" w:ascii="仿宋" w:hAnsi="仿宋" w:eastAsia="仿宋" w:cs="仿宋"/>
          <w:b/>
          <w:bCs/>
          <w:sz w:val="32"/>
          <w:szCs w:val="32"/>
          <w:highlight w:val="none"/>
          <w:lang w:val="en-US" w:eastAsia="zh-CN"/>
        </w:rPr>
        <w:t>相关政策2：二是违反《中华人民共和国预算法》及预算绩效管理要求。财政资金使用</w:t>
      </w:r>
      <w:r>
        <w:rPr>
          <w:rFonts w:hint="eastAsia" w:ascii="仿宋" w:hAnsi="仿宋" w:eastAsia="仿宋" w:cs="仿宋"/>
          <w:b w:val="0"/>
          <w:bCs w:val="0"/>
          <w:sz w:val="32"/>
          <w:szCs w:val="32"/>
          <w:highlight w:val="none"/>
          <w:lang w:val="en-US" w:eastAsia="zh-CN"/>
        </w:rPr>
        <w:t>应当遵循讲求绩效的原则，所有支出都应有明确的预算和绩效目标。无申请单的采购属于“先斩后奏”，脱离了预算约束，无法确保资金使用与预算目标一致，违反了预算管理的严肃性。</w:t>
      </w:r>
      <w:r>
        <w:rPr>
          <w:rFonts w:hint="eastAsia" w:ascii="仿宋" w:hAnsi="仿宋" w:eastAsia="仿宋" w:cs="仿宋"/>
          <w:b/>
          <w:bCs/>
          <w:sz w:val="32"/>
          <w:szCs w:val="32"/>
          <w:highlight w:val="none"/>
          <w:lang w:val="en-US" w:eastAsia="zh-CN"/>
        </w:rPr>
        <w:t>相关政策3：三是违反政府会计制度。会计核算必须真实、准确、完整，所有会计记录都必须有合法、合规的原始凭证作为依据。</w:t>
      </w:r>
      <w:r>
        <w:rPr>
          <w:rFonts w:hint="eastAsia" w:ascii="仿宋" w:hAnsi="仿宋" w:eastAsia="仿宋" w:cs="仿宋"/>
          <w:b w:val="0"/>
          <w:bCs w:val="0"/>
          <w:sz w:val="32"/>
          <w:szCs w:val="32"/>
          <w:highlight w:val="none"/>
          <w:lang w:val="en-US" w:eastAsia="zh-CN"/>
        </w:rPr>
        <w:t>采购申请单和验收单是证明经济业务发生的重要原始凭证。缺少这些凭证，会计人员进行的账务处理就失去了合法依据，导致财务信息失真。这种不规范操作会带来严重后果：审计风险，在审计（财政、纪委巡视）中，此类支出将被认定为“依据不充分”，要求整改、说明，甚至追回资金。管理风险，导致单位资产账目混乱，资源浪费，采购效率低下，影响正常工作运转。</w:t>
      </w:r>
    </w:p>
    <w:p w14:paraId="64C413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建议：一是</w:t>
      </w:r>
      <w:r>
        <w:rPr>
          <w:rFonts w:hint="default" w:ascii="仿宋" w:hAnsi="仿宋" w:eastAsia="仿宋" w:cs="仿宋"/>
          <w:b/>
          <w:bCs/>
          <w:sz w:val="32"/>
          <w:szCs w:val="32"/>
          <w:highlight w:val="none"/>
          <w:lang w:val="en-US" w:eastAsia="zh-CN"/>
        </w:rPr>
        <w:t>先申请后采购，先验收后报销。</w:t>
      </w:r>
      <w:r>
        <w:rPr>
          <w:rFonts w:hint="eastAsia" w:ascii="仿宋" w:hAnsi="仿宋" w:eastAsia="仿宋" w:cs="仿宋"/>
          <w:b w:val="0"/>
          <w:bCs w:val="0"/>
          <w:sz w:val="32"/>
          <w:szCs w:val="32"/>
          <w:highlight w:val="none"/>
          <w:lang w:val="en-US" w:eastAsia="zh-CN"/>
        </w:rPr>
        <w:t>（1）</w:t>
      </w:r>
      <w:r>
        <w:rPr>
          <w:rFonts w:hint="default" w:ascii="仿宋" w:hAnsi="仿宋" w:eastAsia="仿宋" w:cs="仿宋"/>
          <w:b w:val="0"/>
          <w:bCs w:val="0"/>
          <w:sz w:val="32"/>
          <w:szCs w:val="32"/>
          <w:highlight w:val="none"/>
          <w:lang w:val="en-US" w:eastAsia="zh-CN"/>
        </w:rPr>
        <w:t>建立标准化的采购申请流程</w:t>
      </w:r>
      <w:r>
        <w:rPr>
          <w:rFonts w:hint="eastAsia" w:ascii="仿宋" w:hAnsi="仿宋" w:eastAsia="仿宋" w:cs="仿宋"/>
          <w:b w:val="0"/>
          <w:bCs w:val="0"/>
          <w:sz w:val="32"/>
          <w:szCs w:val="32"/>
          <w:highlight w:val="none"/>
          <w:lang w:val="en-US" w:eastAsia="zh-CN"/>
        </w:rPr>
        <w:t>，</w:t>
      </w:r>
      <w:r>
        <w:rPr>
          <w:rFonts w:hint="default" w:ascii="仿宋" w:hAnsi="仿宋" w:eastAsia="仿宋" w:cs="仿宋"/>
          <w:b w:val="0"/>
          <w:bCs w:val="0"/>
          <w:sz w:val="32"/>
          <w:szCs w:val="32"/>
          <w:highlight w:val="none"/>
          <w:lang w:val="en-US" w:eastAsia="zh-CN"/>
        </w:rPr>
        <w:t>填写《采购申请单》：任何采购发起前，必须由需求部门填写此单。内容要素：包括申请部门、申请人、申请日期、采购事由（为何买）、物品明细（买什么）、预估金额、预算来源、需求日期等。</w:t>
      </w:r>
      <w:r>
        <w:rPr>
          <w:rFonts w:hint="eastAsia" w:ascii="仿宋" w:hAnsi="仿宋" w:eastAsia="仿宋" w:cs="仿宋"/>
          <w:b w:val="0"/>
          <w:bCs w:val="0"/>
          <w:sz w:val="32"/>
          <w:szCs w:val="32"/>
          <w:highlight w:val="none"/>
          <w:lang w:val="en-US" w:eastAsia="zh-CN"/>
        </w:rPr>
        <w:t>（2）</w:t>
      </w:r>
      <w:r>
        <w:rPr>
          <w:rFonts w:hint="default" w:ascii="仿宋" w:hAnsi="仿宋" w:eastAsia="仿宋" w:cs="仿宋"/>
          <w:b w:val="0"/>
          <w:bCs w:val="0"/>
          <w:sz w:val="32"/>
          <w:szCs w:val="32"/>
          <w:highlight w:val="none"/>
          <w:lang w:val="en-US" w:eastAsia="zh-CN"/>
        </w:rPr>
        <w:t>履行审批程序</w:t>
      </w:r>
      <w:r>
        <w:rPr>
          <w:rFonts w:hint="eastAsia" w:ascii="仿宋" w:hAnsi="仿宋" w:eastAsia="仿宋" w:cs="仿宋"/>
          <w:b w:val="0"/>
          <w:bCs w:val="0"/>
          <w:sz w:val="32"/>
          <w:szCs w:val="32"/>
          <w:highlight w:val="none"/>
          <w:lang w:val="en-US" w:eastAsia="zh-CN"/>
        </w:rPr>
        <w:t>，</w:t>
      </w:r>
      <w:r>
        <w:rPr>
          <w:rFonts w:hint="default" w:ascii="仿宋" w:hAnsi="仿宋" w:eastAsia="仿宋" w:cs="仿宋"/>
          <w:b w:val="0"/>
          <w:bCs w:val="0"/>
          <w:sz w:val="32"/>
          <w:szCs w:val="32"/>
          <w:highlight w:val="none"/>
          <w:lang w:val="en-US" w:eastAsia="zh-CN"/>
        </w:rPr>
        <w:t>根据采购金额和单位内控制度，设置分级审批权限。例如：部门负责人审核→办公室汇总→财务部门审核预算→单位分管领导或主要领导审批。《采购申请单》一经批准，即为采购执行的唯一合法依据。</w:t>
      </w:r>
      <w:r>
        <w:rPr>
          <w:rFonts w:hint="eastAsia" w:ascii="仿宋" w:hAnsi="仿宋" w:eastAsia="仿宋" w:cs="仿宋"/>
          <w:b w:val="0"/>
          <w:bCs w:val="0"/>
          <w:sz w:val="32"/>
          <w:szCs w:val="32"/>
          <w:highlight w:val="none"/>
          <w:lang w:val="en-US" w:eastAsia="zh-CN"/>
        </w:rPr>
        <w:t>二是</w:t>
      </w:r>
      <w:r>
        <w:rPr>
          <w:rFonts w:hint="default" w:ascii="仿宋" w:hAnsi="仿宋" w:eastAsia="仿宋" w:cs="仿宋"/>
          <w:b/>
          <w:bCs/>
          <w:sz w:val="32"/>
          <w:szCs w:val="32"/>
          <w:highlight w:val="none"/>
          <w:lang w:val="en-US" w:eastAsia="zh-CN"/>
        </w:rPr>
        <w:t>实施严格的到货验收程序</w:t>
      </w:r>
      <w:r>
        <w:rPr>
          <w:rFonts w:hint="eastAsia" w:ascii="仿宋" w:hAnsi="仿宋" w:eastAsia="仿宋" w:cs="仿宋"/>
          <w:b/>
          <w:bCs/>
          <w:sz w:val="32"/>
          <w:szCs w:val="32"/>
          <w:highlight w:val="none"/>
          <w:lang w:val="en-US" w:eastAsia="zh-CN"/>
        </w:rPr>
        <w:t>。</w:t>
      </w:r>
      <w:r>
        <w:rPr>
          <w:rFonts w:hint="eastAsia" w:ascii="仿宋" w:hAnsi="仿宋" w:eastAsia="仿宋" w:cs="仿宋"/>
          <w:b w:val="0"/>
          <w:bCs w:val="0"/>
          <w:sz w:val="32"/>
          <w:szCs w:val="32"/>
          <w:highlight w:val="none"/>
          <w:lang w:val="en-US" w:eastAsia="zh-CN"/>
        </w:rPr>
        <w:t>（1）</w:t>
      </w:r>
      <w:r>
        <w:rPr>
          <w:rFonts w:hint="default" w:ascii="仿宋" w:hAnsi="仿宋" w:eastAsia="仿宋" w:cs="仿宋"/>
          <w:b w:val="0"/>
          <w:bCs w:val="0"/>
          <w:sz w:val="32"/>
          <w:szCs w:val="32"/>
          <w:highlight w:val="none"/>
          <w:lang w:val="en-US" w:eastAsia="zh-CN"/>
        </w:rPr>
        <w:t>成立验收小组：由采购经办人、使用部门人员、资产管理员（如有）共同组成。</w:t>
      </w:r>
      <w:r>
        <w:rPr>
          <w:rFonts w:hint="eastAsia" w:ascii="仿宋" w:hAnsi="仿宋" w:eastAsia="仿宋" w:cs="仿宋"/>
          <w:b w:val="0"/>
          <w:bCs w:val="0"/>
          <w:sz w:val="32"/>
          <w:szCs w:val="32"/>
          <w:highlight w:val="none"/>
          <w:lang w:val="en-US" w:eastAsia="zh-CN"/>
        </w:rPr>
        <w:t>（2）</w:t>
      </w:r>
      <w:r>
        <w:rPr>
          <w:rFonts w:hint="default" w:ascii="仿宋" w:hAnsi="仿宋" w:eastAsia="仿宋" w:cs="仿宋"/>
          <w:b w:val="0"/>
          <w:bCs w:val="0"/>
          <w:sz w:val="32"/>
          <w:szCs w:val="32"/>
          <w:highlight w:val="none"/>
          <w:lang w:val="en-US" w:eastAsia="zh-CN"/>
        </w:rPr>
        <w:t>现场验收与填单</w:t>
      </w:r>
      <w:r>
        <w:rPr>
          <w:rFonts w:hint="eastAsia" w:ascii="仿宋" w:hAnsi="仿宋" w:eastAsia="仿宋" w:cs="仿宋"/>
          <w:b w:val="0"/>
          <w:bCs w:val="0"/>
          <w:sz w:val="32"/>
          <w:szCs w:val="32"/>
          <w:highlight w:val="none"/>
          <w:lang w:val="en-US" w:eastAsia="zh-CN"/>
        </w:rPr>
        <w:t>，</w:t>
      </w:r>
      <w:r>
        <w:rPr>
          <w:rFonts w:hint="default" w:ascii="仿宋" w:hAnsi="仿宋" w:eastAsia="仿宋" w:cs="仿宋"/>
          <w:b w:val="0"/>
          <w:bCs w:val="0"/>
          <w:sz w:val="32"/>
          <w:szCs w:val="32"/>
          <w:highlight w:val="none"/>
          <w:lang w:val="en-US" w:eastAsia="zh-CN"/>
        </w:rPr>
        <w:t>对照采购合同或订单，逐项清点货物的品种、规格、数量。检查货物的质量、外观、性能是否合格。填写《采购验收单》，并必须附上《验收明细清单》（可与验收单合并为一表）。</w:t>
      </w:r>
      <w:r>
        <w:rPr>
          <w:rFonts w:hint="eastAsia" w:ascii="仿宋" w:hAnsi="仿宋" w:eastAsia="仿宋" w:cs="仿宋"/>
          <w:b w:val="0"/>
          <w:bCs w:val="0"/>
          <w:sz w:val="32"/>
          <w:szCs w:val="32"/>
          <w:highlight w:val="none"/>
          <w:lang w:val="en-US" w:eastAsia="zh-CN"/>
        </w:rPr>
        <w:t>（3）</w:t>
      </w:r>
      <w:r>
        <w:rPr>
          <w:rFonts w:hint="default" w:ascii="仿宋" w:hAnsi="仿宋" w:eastAsia="仿宋" w:cs="仿宋"/>
          <w:b w:val="0"/>
          <w:bCs w:val="0"/>
          <w:sz w:val="32"/>
          <w:szCs w:val="32"/>
          <w:highlight w:val="none"/>
          <w:lang w:val="en-US" w:eastAsia="zh-CN"/>
        </w:rPr>
        <w:t>签字确认</w:t>
      </w:r>
      <w:r>
        <w:rPr>
          <w:rFonts w:hint="eastAsia" w:ascii="仿宋" w:hAnsi="仿宋" w:eastAsia="仿宋" w:cs="仿宋"/>
          <w:b w:val="0"/>
          <w:bCs w:val="0"/>
          <w:sz w:val="32"/>
          <w:szCs w:val="32"/>
          <w:highlight w:val="none"/>
          <w:lang w:val="en-US" w:eastAsia="zh-CN"/>
        </w:rPr>
        <w:t>，</w:t>
      </w:r>
      <w:r>
        <w:rPr>
          <w:rFonts w:hint="default" w:ascii="仿宋" w:hAnsi="仿宋" w:eastAsia="仿宋" w:cs="仿宋"/>
          <w:b w:val="0"/>
          <w:bCs w:val="0"/>
          <w:sz w:val="32"/>
          <w:szCs w:val="32"/>
          <w:highlight w:val="none"/>
          <w:lang w:val="en-US" w:eastAsia="zh-CN"/>
        </w:rPr>
        <w:t>验收单需由所有验收人员共同签字确认，对验收结果的真实性负责。将验收单与发票、采购申请单等作为报销的必备附件。</w:t>
      </w:r>
      <w:r>
        <w:rPr>
          <w:rFonts w:hint="eastAsia" w:ascii="仿宋" w:hAnsi="仿宋" w:eastAsia="仿宋" w:cs="仿宋"/>
          <w:b/>
          <w:bCs/>
          <w:sz w:val="32"/>
          <w:szCs w:val="32"/>
          <w:highlight w:val="none"/>
          <w:lang w:val="en-US" w:eastAsia="zh-CN"/>
        </w:rPr>
        <w:t>三是</w:t>
      </w:r>
      <w:r>
        <w:rPr>
          <w:rFonts w:hint="default" w:ascii="仿宋" w:hAnsi="仿宋" w:eastAsia="仿宋" w:cs="仿宋"/>
          <w:b/>
          <w:bCs/>
          <w:sz w:val="32"/>
          <w:szCs w:val="32"/>
          <w:highlight w:val="none"/>
          <w:lang w:val="en-US" w:eastAsia="zh-CN"/>
        </w:rPr>
        <w:t>强化财务审核与报销管理</w:t>
      </w:r>
      <w:r>
        <w:rPr>
          <w:rFonts w:hint="eastAsia" w:ascii="仿宋" w:hAnsi="仿宋" w:eastAsia="仿宋" w:cs="仿宋"/>
          <w:b/>
          <w:bCs/>
          <w:sz w:val="32"/>
          <w:szCs w:val="32"/>
          <w:highlight w:val="none"/>
          <w:lang w:val="en-US" w:eastAsia="zh-CN"/>
        </w:rPr>
        <w:t>。（1）</w:t>
      </w:r>
      <w:r>
        <w:rPr>
          <w:rFonts w:hint="default" w:ascii="仿宋" w:hAnsi="仿宋" w:eastAsia="仿宋" w:cs="仿宋"/>
          <w:b w:val="0"/>
          <w:bCs w:val="0"/>
          <w:sz w:val="32"/>
          <w:szCs w:val="32"/>
          <w:highlight w:val="none"/>
          <w:lang w:val="en-US" w:eastAsia="zh-CN"/>
        </w:rPr>
        <w:t>财务部门必须充当“最后一道防线”。在办理报销付款时，必须严格审核以下“付款附件包”是否齐全，缺一不可</w:t>
      </w:r>
      <w:r>
        <w:rPr>
          <w:rFonts w:hint="eastAsia" w:ascii="仿宋" w:hAnsi="仿宋" w:eastAsia="仿宋" w:cs="仿宋"/>
          <w:b w:val="0"/>
          <w:bCs w:val="0"/>
          <w:sz w:val="32"/>
          <w:szCs w:val="32"/>
          <w:highlight w:val="none"/>
          <w:lang w:val="en-US" w:eastAsia="zh-CN"/>
        </w:rPr>
        <w:t>，</w:t>
      </w:r>
      <w:r>
        <w:rPr>
          <w:rFonts w:hint="default" w:ascii="仿宋" w:hAnsi="仿宋" w:eastAsia="仿宋" w:cs="仿宋"/>
          <w:b w:val="0"/>
          <w:bCs w:val="0"/>
          <w:sz w:val="32"/>
          <w:szCs w:val="32"/>
          <w:highlight w:val="none"/>
          <w:lang w:val="en-US" w:eastAsia="zh-CN"/>
        </w:rPr>
        <w:t>《采购申请单》（事前审批依据）</w:t>
      </w:r>
      <w:r>
        <w:rPr>
          <w:rFonts w:hint="eastAsia" w:ascii="仿宋" w:hAnsi="仿宋" w:eastAsia="仿宋" w:cs="仿宋"/>
          <w:b w:val="0"/>
          <w:bCs w:val="0"/>
          <w:sz w:val="32"/>
          <w:szCs w:val="32"/>
          <w:highlight w:val="none"/>
          <w:lang w:val="en-US" w:eastAsia="zh-CN"/>
        </w:rPr>
        <w:t>、</w:t>
      </w:r>
      <w:r>
        <w:rPr>
          <w:rFonts w:hint="default" w:ascii="仿宋" w:hAnsi="仿宋" w:eastAsia="仿宋" w:cs="仿宋"/>
          <w:b w:val="0"/>
          <w:bCs w:val="0"/>
          <w:sz w:val="32"/>
          <w:szCs w:val="32"/>
          <w:highlight w:val="none"/>
          <w:lang w:val="en-US" w:eastAsia="zh-CN"/>
        </w:rPr>
        <w:t>发票（合法票据）</w:t>
      </w:r>
      <w:r>
        <w:rPr>
          <w:rFonts w:hint="eastAsia" w:ascii="仿宋" w:hAnsi="仿宋" w:eastAsia="仿宋" w:cs="仿宋"/>
          <w:b w:val="0"/>
          <w:bCs w:val="0"/>
          <w:sz w:val="32"/>
          <w:szCs w:val="32"/>
          <w:highlight w:val="none"/>
          <w:lang w:val="en-US" w:eastAsia="zh-CN"/>
        </w:rPr>
        <w:t>、</w:t>
      </w:r>
      <w:r>
        <w:rPr>
          <w:rFonts w:hint="default" w:ascii="仿宋" w:hAnsi="仿宋" w:eastAsia="仿宋" w:cs="仿宋"/>
          <w:b w:val="0"/>
          <w:bCs w:val="0"/>
          <w:sz w:val="32"/>
          <w:szCs w:val="32"/>
          <w:highlight w:val="none"/>
          <w:lang w:val="en-US" w:eastAsia="zh-CN"/>
        </w:rPr>
        <w:t>《采购验收单》及《明细清单》（结果确认依据）</w:t>
      </w:r>
      <w:r>
        <w:rPr>
          <w:rFonts w:hint="eastAsia" w:ascii="仿宋" w:hAnsi="仿宋" w:eastAsia="仿宋" w:cs="仿宋"/>
          <w:b w:val="0"/>
          <w:bCs w:val="0"/>
          <w:sz w:val="32"/>
          <w:szCs w:val="32"/>
          <w:highlight w:val="none"/>
          <w:lang w:val="en-US" w:eastAsia="zh-CN"/>
        </w:rPr>
        <w:t>、</w:t>
      </w:r>
      <w:r>
        <w:rPr>
          <w:rFonts w:hint="default" w:ascii="仿宋" w:hAnsi="仿宋" w:eastAsia="仿宋" w:cs="仿宋"/>
          <w:b w:val="0"/>
          <w:bCs w:val="0"/>
          <w:sz w:val="32"/>
          <w:szCs w:val="32"/>
          <w:highlight w:val="none"/>
          <w:lang w:val="en-US" w:eastAsia="zh-CN"/>
        </w:rPr>
        <w:t>其他（如合同、招标文件等，视金额和项目而定）</w:t>
      </w:r>
      <w:r>
        <w:rPr>
          <w:rFonts w:hint="eastAsia" w:ascii="仿宋" w:hAnsi="仿宋" w:eastAsia="仿宋" w:cs="仿宋"/>
          <w:b w:val="0"/>
          <w:bCs w:val="0"/>
          <w:sz w:val="32"/>
          <w:szCs w:val="32"/>
          <w:highlight w:val="none"/>
          <w:lang w:val="en-US" w:eastAsia="zh-CN"/>
        </w:rPr>
        <w:t>（2）</w:t>
      </w:r>
      <w:r>
        <w:rPr>
          <w:rFonts w:hint="default" w:ascii="仿宋" w:hAnsi="仿宋" w:eastAsia="仿宋" w:cs="仿宋"/>
          <w:b w:val="0"/>
          <w:bCs w:val="0"/>
          <w:sz w:val="32"/>
          <w:szCs w:val="32"/>
          <w:highlight w:val="none"/>
          <w:lang w:val="en-US" w:eastAsia="zh-CN"/>
        </w:rPr>
        <w:t>对材料不齐全的报销申请，财务部门有权且必须拒绝办理。</w:t>
      </w:r>
    </w:p>
    <w:p w14:paraId="451117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val="en-US" w:eastAsia="zh-CN"/>
        </w:rPr>
      </w:pPr>
      <w:bookmarkStart w:id="53" w:name="_Toc26145"/>
      <w:r>
        <w:rPr>
          <w:rFonts w:hint="eastAsia" w:ascii="楷体" w:hAnsi="楷体" w:eastAsia="楷体" w:cs="楷体"/>
          <w:b/>
          <w:bCs/>
          <w:sz w:val="32"/>
          <w:szCs w:val="32"/>
          <w:lang w:val="en-US" w:eastAsia="zh-CN"/>
        </w:rPr>
        <w:t>（三）人员经费管理方面存在的问题及建议</w:t>
      </w:r>
      <w:bookmarkEnd w:id="53"/>
    </w:p>
    <w:p w14:paraId="28919C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在机构编制和工资管理上，对内部人员绩效的考核与部门整体绩效目标的联动不足，建议推动内部绩效管理精细化，将部门整体绩效目标科学分解到内设机构和岗位，实现个人绩效与组织绩效的有机统一。</w:t>
      </w:r>
    </w:p>
    <w:p w14:paraId="21D052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1.发放统发工资后附件有国库支付单，无工资发放明细表，无审批人签字及审核意见且无银行回单。</w:t>
      </w:r>
    </w:p>
    <w:p w14:paraId="4D1A5B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及其实施条例。强调各级政府对财政资金的使用和管理负责，必须提高财政资金使用效益。这种粗放式的管理显然无法体现“有效管理”。仅有国库支付凭证，不符合财务管理和内部控制的规范性要求。这套资料在证据链上是残缺的，无法构成一个完整、可信的工资发放证明。工资发放表无审批人签字及审核意见，是</w:t>
      </w:r>
      <w:r>
        <w:rPr>
          <w:rFonts w:hint="eastAsia" w:ascii="仿宋" w:hAnsi="仿宋" w:eastAsia="仿宋" w:cs="仿宋"/>
          <w:b/>
          <w:bCs/>
          <w:sz w:val="32"/>
          <w:szCs w:val="32"/>
          <w:lang w:val="en-US" w:eastAsia="zh-CN"/>
        </w:rPr>
        <w:t>内部控制缺失</w:t>
      </w:r>
      <w:r>
        <w:rPr>
          <w:rFonts w:hint="eastAsia" w:ascii="仿宋" w:hAnsi="仿宋" w:eastAsia="仿宋" w:cs="仿宋"/>
          <w:b w:val="0"/>
          <w:bCs w:val="0"/>
          <w:sz w:val="32"/>
          <w:szCs w:val="32"/>
          <w:lang w:val="en-US" w:eastAsia="zh-CN"/>
        </w:rPr>
        <w:t>的核心体现。缺少审批环节，意味着无法证明工资表的数据（人员、级别、金额、扣款等）的</w:t>
      </w:r>
      <w:r>
        <w:rPr>
          <w:rFonts w:hint="eastAsia" w:ascii="仿宋" w:hAnsi="仿宋" w:eastAsia="仿宋" w:cs="仿宋"/>
          <w:b/>
          <w:bCs/>
          <w:sz w:val="32"/>
          <w:szCs w:val="32"/>
          <w:lang w:val="en-US" w:eastAsia="zh-CN"/>
        </w:rPr>
        <w:t>真实性。</w:t>
      </w:r>
      <w:r>
        <w:rPr>
          <w:rFonts w:hint="eastAsia" w:ascii="仿宋" w:hAnsi="仿宋" w:eastAsia="仿宋" w:cs="仿宋"/>
          <w:b w:val="0"/>
          <w:bCs w:val="0"/>
          <w:sz w:val="32"/>
          <w:szCs w:val="32"/>
          <w:lang w:val="en-US" w:eastAsia="zh-CN"/>
        </w:rPr>
        <w:t>无法证明经过</w:t>
      </w:r>
      <w:r>
        <w:rPr>
          <w:rFonts w:hint="eastAsia" w:ascii="仿宋" w:hAnsi="仿宋" w:eastAsia="仿宋" w:cs="仿宋"/>
          <w:b/>
          <w:bCs/>
          <w:sz w:val="32"/>
          <w:szCs w:val="32"/>
          <w:lang w:val="en-US" w:eastAsia="zh-CN"/>
        </w:rPr>
        <w:t>授权人员</w:t>
      </w:r>
      <w:r>
        <w:rPr>
          <w:rFonts w:hint="eastAsia" w:ascii="仿宋" w:hAnsi="仿宋" w:eastAsia="仿宋" w:cs="仿宋"/>
          <w:b w:val="0"/>
          <w:bCs w:val="0"/>
          <w:sz w:val="32"/>
          <w:szCs w:val="32"/>
          <w:lang w:val="en-US" w:eastAsia="zh-CN"/>
        </w:rPr>
        <w:t>确认其真实准确。无法证明工资发放标准和计算是否符合</w:t>
      </w:r>
      <w:r>
        <w:rPr>
          <w:rFonts w:hint="eastAsia" w:ascii="仿宋" w:hAnsi="仿宋" w:eastAsia="仿宋" w:cs="仿宋"/>
          <w:b/>
          <w:bCs/>
          <w:sz w:val="32"/>
          <w:szCs w:val="32"/>
          <w:lang w:val="en-US" w:eastAsia="zh-CN"/>
        </w:rPr>
        <w:t>相关政策规定</w:t>
      </w:r>
      <w:r>
        <w:rPr>
          <w:rFonts w:hint="eastAsia" w:ascii="仿宋" w:hAnsi="仿宋" w:eastAsia="仿宋" w:cs="仿宋"/>
          <w:b w:val="0"/>
          <w:bCs w:val="0"/>
          <w:sz w:val="32"/>
          <w:szCs w:val="32"/>
          <w:lang w:val="en-US" w:eastAsia="zh-CN"/>
        </w:rPr>
        <w:t>（如人力资源和社会保障部门的批复文件）。</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行政事业单位内部控制规范（试行）》（财会〔2012〕21号）第十六条：“单位内部控制方法包括不相容岗位相互分离、内部授权审批控制、归口管理等。”工资发放没有审批签字，严重违反了“内部授权审批控制”原则。违反了“经办、审核、审批”相分离的内控基本原则，容易产生错误和舞弊风险。例如，财务人员可能擅自修改数据而无人复核。</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上述违反了《会计基础工作规范》（财会字〔1996〕19号）。强调原始凭证的完整性和真实性。未经审批的工资表不能作为合法、有效的记账原始凭证附件。要求各单位应当建立内部的稽核和审批制度。</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地方政府和财政部门的具体规定。各地财政局通常会有更细化的财政资金支付管理办法、工资统发实施细则等，其中必然会明确要求工资发放必须经过单位人事、财务负责人乃至单位领导的审批，并要求附上银行回单作为做账依据。</w:t>
      </w:r>
    </w:p>
    <w:p w14:paraId="076D4A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建议：规范管理、防范风险、提升效能。短期建议，及时整改。A补全审批手续。</w:t>
      </w:r>
      <w:r>
        <w:rPr>
          <w:rFonts w:hint="eastAsia" w:ascii="仿宋" w:hAnsi="仿宋" w:eastAsia="仿宋" w:cs="仿宋"/>
          <w:b w:val="0"/>
          <w:bCs w:val="0"/>
          <w:sz w:val="32"/>
          <w:szCs w:val="32"/>
          <w:lang w:val="en-US" w:eastAsia="zh-CN"/>
        </w:rPr>
        <w:t>及时对当期的工资发放明细表进行补审批。由制表人、审核人、审批人（通常为单位分管财务的领导或财务主管）补签姓名和日期，并可根据情况补充“已核，数据无误”等简要审核意见。</w:t>
      </w:r>
      <w:r>
        <w:rPr>
          <w:rFonts w:hint="eastAsia" w:ascii="仿宋" w:hAnsi="仿宋" w:eastAsia="仿宋" w:cs="仿宋"/>
          <w:b/>
          <w:bCs/>
          <w:sz w:val="32"/>
          <w:szCs w:val="32"/>
          <w:lang w:val="en-US" w:eastAsia="zh-CN"/>
        </w:rPr>
        <w:t>B获取银行回单。</w:t>
      </w:r>
      <w:r>
        <w:rPr>
          <w:rFonts w:hint="eastAsia" w:ascii="仿宋" w:hAnsi="仿宋" w:eastAsia="仿宋" w:cs="仿宋"/>
          <w:b w:val="0"/>
          <w:bCs w:val="0"/>
          <w:sz w:val="32"/>
          <w:szCs w:val="32"/>
          <w:lang w:val="en-US" w:eastAsia="zh-CN"/>
        </w:rPr>
        <w:t>立即联系代理银行，获取历史月份的工资发放成功回单（电子版或纸质版），作为原始凭证附件装入会计档案。</w:t>
      </w:r>
      <w:r>
        <w:rPr>
          <w:rFonts w:hint="eastAsia" w:ascii="仿宋" w:hAnsi="仿宋" w:eastAsia="仿宋" w:cs="仿宋"/>
          <w:b/>
          <w:bCs/>
          <w:sz w:val="32"/>
          <w:szCs w:val="32"/>
          <w:lang w:val="en-US" w:eastAsia="zh-CN"/>
        </w:rPr>
        <w:t>长期建议，加强制度建设，完善内控制度。A制定或修订本单位《工资发放管理内部控制实施细则》。B明确以下流程。一是编制管理。</w:t>
      </w:r>
      <w:r>
        <w:rPr>
          <w:rFonts w:hint="eastAsia" w:ascii="仿宋" w:hAnsi="仿宋" w:eastAsia="仿宋" w:cs="仿宋"/>
          <w:b w:val="0"/>
          <w:bCs w:val="0"/>
          <w:sz w:val="32"/>
          <w:szCs w:val="32"/>
          <w:lang w:val="en-US" w:eastAsia="zh-CN"/>
        </w:rPr>
        <w:t>由人力资源和社会保障部门或指定人员根据政策编制工资变动表和应发数据。</w:t>
      </w:r>
      <w:r>
        <w:rPr>
          <w:rFonts w:hint="eastAsia" w:ascii="仿宋" w:hAnsi="仿宋" w:eastAsia="仿宋" w:cs="仿宋"/>
          <w:b/>
          <w:bCs/>
          <w:sz w:val="32"/>
          <w:szCs w:val="32"/>
          <w:lang w:val="en-US" w:eastAsia="zh-CN"/>
        </w:rPr>
        <w:t>二是审核。</w:t>
      </w:r>
      <w:r>
        <w:rPr>
          <w:rFonts w:hint="eastAsia" w:ascii="仿宋" w:hAnsi="仿宋" w:eastAsia="仿宋" w:cs="仿宋"/>
          <w:b w:val="0"/>
          <w:bCs w:val="0"/>
          <w:sz w:val="32"/>
          <w:szCs w:val="32"/>
          <w:lang w:val="en-US" w:eastAsia="zh-CN"/>
        </w:rPr>
        <w:t>财务部门根据人事通知审核数据准确性。</w:t>
      </w:r>
    </w:p>
    <w:p w14:paraId="7737205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三是审批。</w:t>
      </w:r>
      <w:r>
        <w:rPr>
          <w:rFonts w:hint="eastAsia" w:ascii="仿宋" w:hAnsi="仿宋" w:eastAsia="仿宋" w:cs="仿宋"/>
          <w:b w:val="0"/>
          <w:bCs w:val="0"/>
          <w:sz w:val="32"/>
          <w:szCs w:val="32"/>
          <w:lang w:val="en-US" w:eastAsia="zh-CN"/>
        </w:rPr>
        <w:t>规定明确的审批权限和流程，例如：财务负责人审核后，必须报单位主要领导或分管财务领导审批签字，方可进入支付程序。审批签字必须是纸质或具有同等法律效力的电子签批流程。</w:t>
      </w:r>
      <w:r>
        <w:rPr>
          <w:rFonts w:hint="eastAsia" w:ascii="仿宋" w:hAnsi="仿宋" w:eastAsia="仿宋" w:cs="仿宋"/>
          <w:b/>
          <w:bCs/>
          <w:sz w:val="32"/>
          <w:szCs w:val="32"/>
          <w:lang w:val="en-US" w:eastAsia="zh-CN"/>
        </w:rPr>
        <w:t>四是支付与归档。</w:t>
      </w:r>
      <w:r>
        <w:rPr>
          <w:rFonts w:hint="eastAsia" w:ascii="仿宋" w:hAnsi="仿宋" w:eastAsia="仿宋" w:cs="仿宋"/>
          <w:b w:val="0"/>
          <w:bCs w:val="0"/>
          <w:sz w:val="32"/>
          <w:szCs w:val="32"/>
          <w:lang w:val="en-US" w:eastAsia="zh-CN"/>
        </w:rPr>
        <w:t>财务人员凭审批完毕的工资表提交国库支付申请，支付完成后，必须及时将经审批的工资表、国库支付凭证、银行发放成功回单三者一并作为记账凭证的附件，妥善保管。</w:t>
      </w:r>
      <w:r>
        <w:rPr>
          <w:rFonts w:hint="eastAsia" w:ascii="仿宋" w:hAnsi="仿宋" w:eastAsia="仿宋" w:cs="仿宋"/>
          <w:b/>
          <w:bCs/>
          <w:sz w:val="32"/>
          <w:szCs w:val="32"/>
          <w:lang w:val="en-US" w:eastAsia="zh-CN"/>
        </w:rPr>
        <w:t>C推行电子审批。</w:t>
      </w:r>
      <w:r>
        <w:rPr>
          <w:rFonts w:hint="eastAsia" w:ascii="仿宋" w:hAnsi="仿宋" w:eastAsia="仿宋" w:cs="仿宋"/>
          <w:b w:val="0"/>
          <w:bCs w:val="0"/>
          <w:sz w:val="32"/>
          <w:szCs w:val="32"/>
          <w:lang w:val="en-US" w:eastAsia="zh-CN"/>
        </w:rPr>
        <w:t>如有条件，建议在OA系统或财政一体化平台上实现工资发放的线上审批流程，使审批环节留痕、不可篡改，提高效率和规范性。</w:t>
      </w:r>
    </w:p>
    <w:p w14:paraId="3DFCC3B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D加强人员培训。</w:t>
      </w:r>
      <w:r>
        <w:rPr>
          <w:rFonts w:hint="eastAsia" w:ascii="仿宋" w:hAnsi="仿宋" w:eastAsia="仿宋" w:cs="仿宋"/>
          <w:b w:val="0"/>
          <w:bCs w:val="0"/>
          <w:sz w:val="32"/>
          <w:szCs w:val="32"/>
          <w:lang w:val="en-US" w:eastAsia="zh-CN"/>
        </w:rPr>
        <w:t>对财务人员和相关审批负责人进行内控规范和财务知识的定期培训，强化其风险意识和责任意识。</w:t>
      </w:r>
    </w:p>
    <w:p w14:paraId="7F5EEA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2.支付医疗保险、工伤保险、职业年金后仅附国库支付单，银行端查询缴税凭证，附人员名单、缴费基数确认表、明确的计算依据、银行付款回单，但无人力资源部审批意见及盖章等。</w:t>
      </w:r>
    </w:p>
    <w:p w14:paraId="2EE2879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上述违反了内部控制的基本原则即不相容岗位分离原则。社保的计提（计算） 与审核（审批） 属于不相容岗位。人力资源部门负责提供准确的人员、工资数据（计算），部门负责根据审核后的数据记账和支付。如果无人力资源部门的审核，就相当于部门计算与支付，失去了关键的内部监督和制约，极易导致错误和舞弊。</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审核与审批控制原则。任何重要的经济事项，必须经过适当的授权和审核。人力资源部门的盖章审批，正是这一控制环节的关键书面证据。缺少它，意味着整个业务流程缺少了至关重要的“刹车”和“校验”环节。</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上述违反了《中华人民共和国预算法》。社保支出是单位预算的重要组成部分。无人力资源部门审核，编制的社保支出预算和决算就缺乏可靠的数据来源和核对依据，影响预算编制的准确性和预算执行的严肃性。</w:t>
      </w:r>
      <w:r>
        <w:rPr>
          <w:rFonts w:hint="eastAsia" w:ascii="仿宋" w:hAnsi="仿宋" w:eastAsia="仿宋" w:cs="仿宋"/>
          <w:b/>
          <w:bCs/>
          <w:sz w:val="32"/>
          <w:szCs w:val="32"/>
          <w:lang w:val="en-US" w:eastAsia="zh-CN"/>
        </w:rPr>
        <w:t>存在三类风险。一是数据不准确风险。</w:t>
      </w:r>
      <w:r>
        <w:rPr>
          <w:rFonts w:hint="eastAsia" w:ascii="仿宋" w:hAnsi="仿宋" w:eastAsia="仿宋" w:cs="仿宋"/>
          <w:b w:val="0"/>
          <w:bCs w:val="0"/>
          <w:sz w:val="32"/>
          <w:szCs w:val="32"/>
          <w:lang w:val="en-US" w:eastAsia="zh-CN"/>
        </w:rPr>
        <w:t>人员调入、调出、离职、工资变动等信息未能及时、准确地传递给财务部门，导致多缴、少缴或为已离职人员缴费，造成财政资金损失。</w:t>
      </w:r>
      <w:r>
        <w:rPr>
          <w:rFonts w:hint="eastAsia" w:ascii="仿宋" w:hAnsi="仿宋" w:eastAsia="仿宋" w:cs="仿宋"/>
          <w:b/>
          <w:bCs/>
          <w:sz w:val="32"/>
          <w:szCs w:val="32"/>
          <w:lang w:val="en-US" w:eastAsia="zh-CN"/>
        </w:rPr>
        <w:t>二是舞弊风险。</w:t>
      </w:r>
      <w:r>
        <w:rPr>
          <w:rFonts w:hint="eastAsia" w:ascii="仿宋" w:hAnsi="仿宋" w:eastAsia="仿宋" w:cs="仿宋"/>
          <w:b w:val="0"/>
          <w:bCs w:val="0"/>
          <w:sz w:val="32"/>
          <w:szCs w:val="32"/>
          <w:lang w:val="en-US" w:eastAsia="zh-CN"/>
        </w:rPr>
        <w:t>在缺乏监督的情况下，存在虚报人数、虚增工资基数从而套取资金的风险。</w:t>
      </w:r>
      <w:r>
        <w:rPr>
          <w:rFonts w:hint="eastAsia" w:ascii="仿宋" w:hAnsi="仿宋" w:eastAsia="仿宋" w:cs="仿宋"/>
          <w:b/>
          <w:bCs/>
          <w:sz w:val="32"/>
          <w:szCs w:val="32"/>
          <w:lang w:val="en-US" w:eastAsia="zh-CN"/>
        </w:rPr>
        <w:t>三是合规性风险。</w:t>
      </w:r>
      <w:r>
        <w:rPr>
          <w:rFonts w:hint="eastAsia" w:ascii="仿宋" w:hAnsi="仿宋" w:eastAsia="仿宋" w:cs="仿宋"/>
          <w:b w:val="0"/>
          <w:bCs w:val="0"/>
          <w:sz w:val="32"/>
          <w:szCs w:val="32"/>
          <w:lang w:val="en-US" w:eastAsia="zh-CN"/>
        </w:rPr>
        <w:t>可能导致社保缴费不符合《中华人民共和国社会保险法》及相关规定，面临社保稽查部门的处罚。</w:t>
      </w:r>
    </w:p>
    <w:p w14:paraId="4E0B62E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应从</w:t>
      </w:r>
      <w:r>
        <w:rPr>
          <w:rFonts w:hint="eastAsia" w:ascii="仿宋" w:hAnsi="仿宋" w:eastAsia="仿宋" w:cs="仿宋"/>
          <w:b/>
          <w:bCs/>
          <w:sz w:val="32"/>
          <w:szCs w:val="32"/>
          <w:lang w:val="en-US" w:eastAsia="zh-CN"/>
        </w:rPr>
        <w:t>“及时整改”</w:t>
      </w:r>
      <w:r>
        <w:rPr>
          <w:rFonts w:hint="eastAsia" w:ascii="仿宋" w:hAnsi="仿宋" w:eastAsia="仿宋" w:cs="仿宋"/>
          <w:b w:val="0"/>
          <w:bCs w:val="0"/>
          <w:sz w:val="32"/>
          <w:szCs w:val="32"/>
          <w:lang w:val="en-US" w:eastAsia="zh-CN"/>
        </w:rPr>
        <w:t>和</w:t>
      </w:r>
      <w:r>
        <w:rPr>
          <w:rFonts w:hint="eastAsia" w:ascii="仿宋" w:hAnsi="仿宋" w:eastAsia="仿宋" w:cs="仿宋"/>
          <w:b/>
          <w:bCs/>
          <w:sz w:val="32"/>
          <w:szCs w:val="32"/>
          <w:lang w:val="en-US" w:eastAsia="zh-CN"/>
        </w:rPr>
        <w:t>“长效机制”</w:t>
      </w:r>
      <w:r>
        <w:rPr>
          <w:rFonts w:hint="eastAsia" w:ascii="仿宋" w:hAnsi="仿宋" w:eastAsia="仿宋" w:cs="仿宋"/>
          <w:b w:val="0"/>
          <w:bCs w:val="0"/>
          <w:sz w:val="32"/>
          <w:szCs w:val="32"/>
          <w:lang w:val="en-US" w:eastAsia="zh-CN"/>
        </w:rPr>
        <w:t>两个层面提出建议。</w:t>
      </w:r>
      <w:r>
        <w:rPr>
          <w:rFonts w:hint="eastAsia" w:ascii="仿宋" w:hAnsi="仿宋" w:eastAsia="仿宋" w:cs="仿宋"/>
          <w:b/>
          <w:bCs/>
          <w:sz w:val="32"/>
          <w:szCs w:val="32"/>
          <w:lang w:val="en-US" w:eastAsia="zh-CN"/>
        </w:rPr>
        <w:t>一是及时整改措施（针对已发现的问题）。A补充审批程序，</w:t>
      </w:r>
      <w:r>
        <w:rPr>
          <w:rFonts w:hint="eastAsia" w:ascii="仿宋" w:hAnsi="仿宋" w:eastAsia="仿宋" w:cs="仿宋"/>
          <w:b w:val="0"/>
          <w:bCs w:val="0"/>
          <w:sz w:val="32"/>
          <w:szCs w:val="32"/>
          <w:lang w:val="en-US" w:eastAsia="zh-CN"/>
        </w:rPr>
        <w:t>要求该预算单位立即对评价期内所有的社保计提与缴费业务，补充人力资源部门的审核确认手续。对于缺失的审批单，应限期补办，由人力资源部门负责人签字并加盖部门公章。</w:t>
      </w:r>
      <w:r>
        <w:rPr>
          <w:rFonts w:hint="eastAsia" w:ascii="仿宋" w:hAnsi="仿宋" w:eastAsia="仿宋" w:cs="仿宋"/>
          <w:b/>
          <w:bCs/>
          <w:sz w:val="32"/>
          <w:szCs w:val="32"/>
          <w:lang w:val="en-US" w:eastAsia="zh-CN"/>
        </w:rPr>
        <w:t>B书面说明情况，</w:t>
      </w:r>
      <w:r>
        <w:rPr>
          <w:rFonts w:hint="eastAsia" w:ascii="仿宋" w:hAnsi="仿宋" w:eastAsia="仿宋" w:cs="仿宋"/>
          <w:b w:val="0"/>
          <w:bCs w:val="0"/>
          <w:sz w:val="32"/>
          <w:szCs w:val="32"/>
          <w:lang w:val="en-US" w:eastAsia="zh-CN"/>
        </w:rPr>
        <w:t>要求该单位就此次内控缺失问题提交书面说明，解释原因并承诺整改，由单位主要负责人签字，以表明单位领导对此问题的重视。</w:t>
      </w:r>
      <w:r>
        <w:rPr>
          <w:rFonts w:hint="eastAsia" w:ascii="仿宋" w:hAnsi="仿宋" w:eastAsia="仿宋" w:cs="仿宋"/>
          <w:b/>
          <w:bCs/>
          <w:sz w:val="32"/>
          <w:szCs w:val="32"/>
          <w:lang w:val="en-US" w:eastAsia="zh-CN"/>
        </w:rPr>
        <w:t>二是长效机制建设建议（从根本上解决问题）。A完善制度建设，明确责任分工。</w:t>
      </w:r>
      <w:r>
        <w:rPr>
          <w:rFonts w:hint="eastAsia" w:ascii="仿宋" w:hAnsi="仿宋" w:eastAsia="仿宋" w:cs="仿宋"/>
          <w:b w:val="0"/>
          <w:bCs w:val="0"/>
          <w:sz w:val="32"/>
          <w:szCs w:val="32"/>
          <w:lang w:val="en-US" w:eastAsia="zh-CN"/>
        </w:rPr>
        <w:t>修订其内部财务管理制度和人力资源</w:t>
      </w:r>
      <w:r>
        <w:rPr>
          <w:rFonts w:hint="eastAsia" w:ascii="仿宋" w:hAnsi="仿宋" w:eastAsia="仿宋" w:cs="仿宋"/>
          <w:b/>
          <w:bCs/>
          <w:sz w:val="32"/>
          <w:szCs w:val="32"/>
          <w:lang w:val="en-US" w:eastAsia="zh-CN"/>
        </w:rPr>
        <w:t>管理流程。</w:t>
      </w:r>
      <w:r>
        <w:rPr>
          <w:rFonts w:hint="eastAsia" w:ascii="仿宋" w:hAnsi="仿宋" w:eastAsia="仿宋" w:cs="仿宋"/>
          <w:b w:val="0"/>
          <w:bCs w:val="0"/>
          <w:sz w:val="32"/>
          <w:szCs w:val="32"/>
          <w:lang w:val="en-US" w:eastAsia="zh-CN"/>
        </w:rPr>
        <w:t>明文规定，社保的计提必须以经人力资源部门审核、盖章（或负责人签字）的《人员及工资变动汇总表》或《社保缴费核定表》作为</w:t>
      </w:r>
      <w:r>
        <w:rPr>
          <w:rFonts w:hint="eastAsia" w:ascii="仿宋" w:hAnsi="仿宋" w:eastAsia="仿宋" w:cs="仿宋"/>
          <w:b/>
          <w:bCs/>
          <w:sz w:val="32"/>
          <w:szCs w:val="32"/>
          <w:lang w:val="en-US" w:eastAsia="zh-CN"/>
        </w:rPr>
        <w:t>唯一依据。</w:t>
      </w:r>
      <w:r>
        <w:rPr>
          <w:rFonts w:hint="eastAsia" w:ascii="仿宋" w:hAnsi="仿宋" w:eastAsia="仿宋" w:cs="仿宋"/>
          <w:b w:val="0"/>
          <w:bCs w:val="0"/>
          <w:sz w:val="32"/>
          <w:szCs w:val="32"/>
          <w:lang w:val="en-US" w:eastAsia="zh-CN"/>
        </w:rPr>
        <w:t>部门必须见到合规的审批单后方可进行账务处理和办理缴费。</w:t>
      </w:r>
      <w:r>
        <w:rPr>
          <w:rFonts w:hint="eastAsia" w:ascii="仿宋" w:hAnsi="仿宋" w:eastAsia="仿宋" w:cs="仿宋"/>
          <w:b/>
          <w:bCs/>
          <w:sz w:val="32"/>
          <w:szCs w:val="32"/>
          <w:lang w:val="en-US" w:eastAsia="zh-CN"/>
        </w:rPr>
        <w:t>B优化业务流程，固化审批环节。设计标准化的审批表单，</w:t>
      </w:r>
      <w:r>
        <w:rPr>
          <w:rFonts w:hint="eastAsia" w:ascii="仿宋" w:hAnsi="仿宋" w:eastAsia="仿宋" w:cs="仿宋"/>
          <w:b w:val="0"/>
          <w:bCs w:val="0"/>
          <w:sz w:val="32"/>
          <w:szCs w:val="32"/>
          <w:lang w:val="en-US" w:eastAsia="zh-CN"/>
        </w:rPr>
        <w:t>表单应包含人员姓名、身份证号、缴费基数、单位应缴额、个人应缴额、合计金额等核心信息，并设置“制表人”、“人力资源部门审核人”、“财务部门复核人”等签章栏位。</w:t>
      </w:r>
      <w:r>
        <w:rPr>
          <w:rFonts w:hint="eastAsia" w:ascii="仿宋" w:hAnsi="仿宋" w:eastAsia="仿宋" w:cs="仿宋"/>
          <w:b/>
          <w:bCs/>
          <w:sz w:val="32"/>
          <w:szCs w:val="32"/>
          <w:lang w:val="en-US" w:eastAsia="zh-CN"/>
        </w:rPr>
        <w:t>固化流程，</w:t>
      </w:r>
      <w:r>
        <w:rPr>
          <w:rFonts w:hint="eastAsia" w:ascii="仿宋" w:hAnsi="仿宋" w:eastAsia="仿宋" w:cs="仿宋"/>
          <w:b w:val="0"/>
          <w:bCs w:val="0"/>
          <w:sz w:val="32"/>
          <w:szCs w:val="32"/>
          <w:lang w:val="en-US" w:eastAsia="zh-CN"/>
        </w:rPr>
        <w:t>每月（或每季度）初，人力资源部门制作表单并审核签章-&gt;提交至财务部门-&gt;财务部门复核无误后-&gt;进行计提和缴费-&gt;将审批单作为重要原始凭证附于记账凭证之后。</w:t>
      </w:r>
      <w:r>
        <w:rPr>
          <w:rFonts w:hint="eastAsia" w:ascii="仿宋" w:hAnsi="仿宋" w:eastAsia="仿宋" w:cs="仿宋"/>
          <w:b/>
          <w:bCs/>
          <w:sz w:val="32"/>
          <w:szCs w:val="32"/>
          <w:lang w:val="en-US" w:eastAsia="zh-CN"/>
        </w:rPr>
        <w:t>加强信息化建设，实现数据联动，</w:t>
      </w:r>
      <w:r>
        <w:rPr>
          <w:rFonts w:hint="eastAsia" w:ascii="仿宋" w:hAnsi="仿宋" w:eastAsia="仿宋" w:cs="仿宋"/>
          <w:b w:val="0"/>
          <w:bCs w:val="0"/>
          <w:sz w:val="32"/>
          <w:szCs w:val="32"/>
          <w:lang w:val="en-US" w:eastAsia="zh-CN"/>
        </w:rPr>
        <w:t>长远来看，建议推动单位使用集成的财务与人力资源管理系统。通过系统设置，实现人力资源数据变动后，社保数据自动生成，并通过线上流程推送给相关负责人审批，审批完成后数据自动传递至财务系统。这样可以减少人为干预，提高效率和准确性。</w:t>
      </w:r>
    </w:p>
    <w:p w14:paraId="4CCDD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3.住房公积金交通补贴津贴的计提缺乏人力资源或组织部门的审核盖章。</w:t>
      </w:r>
    </w:p>
    <w:p w14:paraId="4C7802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上述违反了《中华人民共和国预算法》关于“支出必须以经批准的预算为依据</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的规定。如果人力资源部门未审核盖章，预算部门发放补贴，可能构成无预算、超预算支出，或向不符合预算规定的人员发放补贴。人力资源或组织部门的盖章，核心目的在于审核确认补贴发放人员的名单、资格及标准是否准确合规。缺少这一环节，就缺失了重要的内部监督。</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中华人民共和国发票管理办法》。不符合规定的发票不得作为财务报销凭证。类推到补贴发放，表单不全同样会影响财务核算的合规性。缺少必要的签章，会使交通补贴发放表作为财务报销凭证的完整性、合规性存在瑕疵。在审计或检查时可能被要求整改甚至追回资金。</w:t>
      </w:r>
    </w:p>
    <w:p w14:paraId="7C2A9BA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建议：一是补全审核签章流程。</w:t>
      </w:r>
      <w:r>
        <w:rPr>
          <w:rFonts w:hint="eastAsia" w:ascii="仿宋" w:hAnsi="仿宋" w:eastAsia="仿宋" w:cs="仿宋"/>
          <w:b w:val="0"/>
          <w:bCs w:val="0"/>
          <w:sz w:val="32"/>
          <w:szCs w:val="32"/>
          <w:lang w:val="en-US" w:eastAsia="zh-CN"/>
        </w:rPr>
        <w:t>及时补办，对于已发放但缺少签章的补贴，应尽快联系人力资源或组织部门，对发放名单和金额进行事后审核与追认，并在发放表上加盖部门公章。</w:t>
      </w:r>
      <w:r>
        <w:rPr>
          <w:rFonts w:hint="eastAsia" w:ascii="仿宋" w:hAnsi="仿宋" w:eastAsia="仿宋" w:cs="仿宋"/>
          <w:b/>
          <w:bCs/>
          <w:sz w:val="32"/>
          <w:szCs w:val="32"/>
          <w:lang w:val="en-US" w:eastAsia="zh-CN"/>
        </w:rPr>
        <w:t>二是规范未来操作。</w:t>
      </w:r>
      <w:r>
        <w:rPr>
          <w:rFonts w:hint="eastAsia" w:ascii="仿宋" w:hAnsi="仿宋" w:eastAsia="仿宋" w:cs="仿宋"/>
          <w:b w:val="0"/>
          <w:bCs w:val="0"/>
          <w:sz w:val="32"/>
          <w:szCs w:val="32"/>
          <w:lang w:val="en-US" w:eastAsia="zh-CN"/>
        </w:rPr>
        <w:t>严格执行“制表、审核、审批、盖章”的流程。在造表上至少确保有制表人、单位主要负责人签字，并加盖单位和人力资源/组织部门的公章。</w:t>
      </w:r>
      <w:r>
        <w:rPr>
          <w:rFonts w:hint="eastAsia" w:ascii="仿宋" w:hAnsi="仿宋" w:eastAsia="仿宋" w:cs="仿宋"/>
          <w:b/>
          <w:bCs/>
          <w:sz w:val="32"/>
          <w:szCs w:val="32"/>
          <w:lang w:val="en-US" w:eastAsia="zh-CN"/>
        </w:rPr>
        <w:t>三是明确部门职责。</w:t>
      </w:r>
      <w:r>
        <w:rPr>
          <w:rFonts w:hint="eastAsia" w:ascii="仿宋" w:hAnsi="仿宋" w:eastAsia="仿宋" w:cs="仿宋"/>
          <w:b w:val="0"/>
          <w:bCs w:val="0"/>
          <w:sz w:val="32"/>
          <w:szCs w:val="32"/>
          <w:lang w:val="en-US" w:eastAsia="zh-CN"/>
        </w:rPr>
        <w:t>人力资源或组织部门负责前置审核补贴发放人员的资格、级别、标准，并提供必要的依据（如组织任命文件复印件）。按规定进行内部公示。预算或财务部门依据已经审核盖章的明细表，主要负责资金调度和办理支付。</w:t>
      </w:r>
      <w:r>
        <w:rPr>
          <w:rFonts w:hint="eastAsia" w:ascii="仿宋" w:hAnsi="仿宋" w:eastAsia="仿宋" w:cs="仿宋"/>
          <w:b/>
          <w:bCs/>
          <w:sz w:val="32"/>
          <w:szCs w:val="32"/>
          <w:lang w:val="en-US" w:eastAsia="zh-CN"/>
        </w:rPr>
        <w:t>四是加强内部控制和沟通。</w:t>
      </w:r>
      <w:r>
        <w:rPr>
          <w:rFonts w:hint="eastAsia" w:ascii="仿宋" w:hAnsi="仿宋" w:eastAsia="仿宋" w:cs="仿宋"/>
          <w:b w:val="0"/>
          <w:bCs w:val="0"/>
          <w:sz w:val="32"/>
          <w:szCs w:val="32"/>
          <w:lang w:val="en-US" w:eastAsia="zh-CN"/>
        </w:rPr>
        <w:t>单位应建立健全内部审批制度，将人力资源或组织部门的审核盖章明确为交通补贴发放的必备前置环节。财务人员在办理支付时，须严格审核发放附件的完整性和合规性，对缺少必要签章的申请有权拒绝办理。主动与本单位的人力资源部门、上级主管部门及财政部门沟通，确保遵循本地、本层级的最新具体规定。</w:t>
      </w:r>
    </w:p>
    <w:p w14:paraId="42103A03">
      <w:pPr>
        <w:pStyle w:val="8"/>
        <w:keepNext w:val="0"/>
        <w:keepLines w:val="0"/>
        <w:pageBreakBefore w:val="0"/>
        <w:widowControl/>
        <w:kinsoku/>
        <w:wordWrap/>
        <w:overflowPunct/>
        <w:topLinePunct w:val="0"/>
        <w:autoSpaceDE/>
        <w:autoSpaceDN/>
        <w:bidi w:val="0"/>
        <w:adjustRightInd/>
        <w:snapToGrid/>
        <w:spacing w:after="0" w:line="560" w:lineRule="exact"/>
        <w:ind w:left="0" w:leftChars="0" w:firstLine="643" w:firstLineChars="200"/>
        <w:jc w:val="both"/>
        <w:textAlignment w:val="auto"/>
        <w:outlineLvl w:val="1"/>
        <w:rPr>
          <w:rFonts w:hint="default"/>
          <w:lang w:val="en-US" w:eastAsia="zh-CN"/>
        </w:rPr>
      </w:pPr>
      <w:bookmarkStart w:id="54" w:name="_Toc6398"/>
      <w:r>
        <w:rPr>
          <w:rFonts w:hint="eastAsia" w:ascii="楷体" w:hAnsi="楷体" w:eastAsia="楷体" w:cs="楷体"/>
          <w:b/>
          <w:bCs/>
          <w:sz w:val="32"/>
          <w:szCs w:val="32"/>
          <w:lang w:val="en-US" w:eastAsia="zh-CN"/>
        </w:rPr>
        <w:t>（四）项目管理方面存在的问题及建议</w:t>
      </w:r>
      <w:bookmarkEnd w:id="54"/>
    </w:p>
    <w:p w14:paraId="4127D1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1.评审费无会议纪要、无合同、无评审总结，无法证明其业务真实性、合规性和有效性。</w:t>
      </w:r>
      <w:r>
        <w:rPr>
          <w:rFonts w:hint="eastAsia" w:ascii="仿宋" w:hAnsi="仿宋" w:eastAsia="仿宋" w:cs="仿宋"/>
          <w:b w:val="0"/>
          <w:bCs w:val="0"/>
          <w:sz w:val="32"/>
          <w:szCs w:val="32"/>
          <w:lang w:val="en-US" w:eastAsia="zh-CN"/>
        </w:rPr>
        <w:t>2024年05月5#凭证评审费无会议纪要、无合同、无评审总结。</w:t>
      </w:r>
      <w:r>
        <w:rPr>
          <w:rFonts w:hint="eastAsia" w:ascii="仿宋" w:hAnsi="仿宋" w:eastAsia="仿宋" w:cs="仿宋"/>
          <w:b/>
          <w:bCs/>
          <w:sz w:val="32"/>
          <w:szCs w:val="32"/>
          <w:lang w:val="en-US" w:eastAsia="zh-CN"/>
        </w:rPr>
        <w:t>一是违反《行政事业单位内部控制规范（试行）》（财会〔2012〕21号）这是最直接、最核心的违规依据。《内控规范》第四十三条、第四十四条等关于支出业务控制的规定。</w:t>
      </w:r>
      <w:r>
        <w:rPr>
          <w:rFonts w:hint="eastAsia" w:ascii="仿宋" w:hAnsi="仿宋" w:eastAsia="仿宋" w:cs="仿宋"/>
          <w:b w:val="0"/>
          <w:bCs w:val="0"/>
          <w:sz w:val="32"/>
          <w:szCs w:val="32"/>
          <w:lang w:val="en-US" w:eastAsia="zh-CN"/>
        </w:rPr>
        <w:t>规定要求：单位应当建立并实施对经济活动的内部控制，确保经济活动合法合规、资产安全和使用有效、财务信息真实完整。支出业务控制：要求所有支出必须具有真实、合法的原始凭证，并经过严格的审核审批。业务真实性：要求业务活动真实发生，并有证明材料支撑。违规分析：“三无”情况（无会议纪要、无合同、无评审总结）导致该笔支出没有任何原始凭证来证明“评审活动”是否真实发生。这严重违反了内控中关于“业务真实”和“支出合规”的最基本要求。</w:t>
      </w:r>
      <w:r>
        <w:rPr>
          <w:rFonts w:hint="eastAsia" w:ascii="仿宋" w:hAnsi="仿宋" w:eastAsia="仿宋" w:cs="仿宋"/>
          <w:b/>
          <w:bCs/>
          <w:sz w:val="32"/>
          <w:szCs w:val="32"/>
          <w:lang w:val="en-US" w:eastAsia="zh-CN"/>
        </w:rPr>
        <w:t>二是违反《中华人民共和国预算法》及预算绩效管理规定。《中华人民共和国预算法》第十二条、第五十七条。</w:t>
      </w:r>
      <w:r>
        <w:rPr>
          <w:rFonts w:hint="eastAsia" w:ascii="仿宋" w:hAnsi="仿宋" w:eastAsia="仿宋" w:cs="仿宋"/>
          <w:b w:val="0"/>
          <w:bCs w:val="0"/>
          <w:sz w:val="32"/>
          <w:szCs w:val="32"/>
          <w:lang w:val="en-US" w:eastAsia="zh-CN"/>
        </w:rPr>
        <w:t>规定要求：各级预算应当遵循讲求绩效的原则。财政资金的使用必须注重效益，并接受绩效评价和监督。违规分析：“无评审总结及结果”意味着无法证明这笔钱花出去后产生了任何效益或成果，完全违背了“花钱问效”的原则。</w:t>
      </w:r>
      <w:r>
        <w:rPr>
          <w:rFonts w:hint="eastAsia" w:ascii="仿宋" w:hAnsi="仿宋" w:eastAsia="仿宋" w:cs="仿宋"/>
          <w:b/>
          <w:bCs/>
          <w:sz w:val="32"/>
          <w:szCs w:val="32"/>
          <w:lang w:val="en-US" w:eastAsia="zh-CN"/>
        </w:rPr>
        <w:t>三是违反政府采购及评审专家管理规定。《政府采购评审专家管理办法》（财库〔2016〕198号）及相关地方财政规定，支付评审费必须附有专家签到表、评审报告、劳务报酬发放表等材料。</w:t>
      </w:r>
      <w:r>
        <w:rPr>
          <w:rFonts w:hint="eastAsia" w:ascii="仿宋" w:hAnsi="仿宋" w:eastAsia="仿宋" w:cs="仿宋"/>
          <w:b w:val="0"/>
          <w:bCs w:val="0"/>
          <w:sz w:val="32"/>
          <w:szCs w:val="32"/>
          <w:lang w:val="en-US" w:eastAsia="zh-CN"/>
        </w:rPr>
        <w:t>虽然可能不属于法定政府采购项目，但其管理精神是一致的。规定要求：评审专家的劳务报酬支付必须与具体的评审活动挂钩，并履行记录和签收程序。违规分析：“无会议纪要”和“无评审总结”等同于没有评审活动的记录和成果文件，支付评审费没有任何依据。可能导致的严重后果（1）审计问题：在审计中被明确指出，要求追回资金，并通报批评。（2）巡察/纪检问题：可能被作为“违反中央八项规定精神”或“虚报套取资金”的线索进行立案调查。（3）整改问责：单位需进行整改，相关经办、审批人员可能被追究责任。（4）信誉损失：影响单位年度考核和整体形象。</w:t>
      </w:r>
    </w:p>
    <w:p w14:paraId="483C22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建议：</w:t>
      </w:r>
      <w:r>
        <w:rPr>
          <w:rFonts w:hint="eastAsia" w:ascii="仿宋" w:hAnsi="仿宋" w:eastAsia="仿宋" w:cs="仿宋"/>
          <w:b/>
          <w:bCs/>
          <w:sz w:val="32"/>
          <w:szCs w:val="32"/>
          <w:lang w:val="en-US" w:eastAsia="zh-CN"/>
        </w:rPr>
        <w:t>一立即纠正措施（针对已发生问题），材料补充与情况说明。</w:t>
      </w:r>
      <w:r>
        <w:rPr>
          <w:rFonts w:hint="eastAsia" w:ascii="仿宋" w:hAnsi="仿宋" w:eastAsia="仿宋" w:cs="仿宋"/>
          <w:b w:val="0"/>
          <w:bCs w:val="0"/>
          <w:sz w:val="32"/>
          <w:szCs w:val="32"/>
          <w:lang w:val="en-US" w:eastAsia="zh-CN"/>
        </w:rPr>
        <w:t>立即联系本次评审活动的负责人和组织部门，尽可能追溯并补充关键证明材料。包括但不限于：事后补写《评审会议纪要》：需载明会议时间、地点、参会人员（17位专家名单）、评审议题及主要内容。补填《专家签到表》：由17位专家本人亲笔签名确认，如无法集中，可远程确认后收集签名扫描件。补写《评审报告/总结》：概述评审过程、主要结论和成果。撰写《关于XX项目评审费支付情况的内部说明》，由经办人、证明人及分管领导签字确认，陈述事情原由及补救过程，与补充材料一并归档，以备审计和巡察部门查验。</w:t>
      </w:r>
      <w:r>
        <w:rPr>
          <w:rFonts w:hint="eastAsia" w:ascii="仿宋" w:hAnsi="仿宋" w:eastAsia="仿宋" w:cs="仿宋"/>
          <w:b/>
          <w:bCs/>
          <w:sz w:val="32"/>
          <w:szCs w:val="32"/>
          <w:lang w:val="en-US" w:eastAsia="zh-CN"/>
        </w:rPr>
        <w:t>二是制度建设与流程规范（杜绝未来风险）。</w:t>
      </w:r>
    </w:p>
    <w:p w14:paraId="74A785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确保今后每一笔评审费支出都合法合规，必须建立并严格执行以下闭环流程：（1）核心原则，先审批后实施，先建档后付款。（2）事前审批制度，任何评审活动开始前，必须填写《评审活动审批单》，写明评审事由、预算、专家名单及来源，经单位分管领导和财务部门审批同意后方可组织实施。（3）过程留痕管理，《评审会议通知》：正式通知是活动发起的依据。《专家签到表》：必须现场签名，作为专家到场和领取报酬的直接证据。《评审会议纪要》：如实记录评审过程、专家发言要点和讨论情况。（4）结果固化与验收，《评审报告/评审总结》：这是评审活动的核心成果文件，必须明确写出评审结论、意见和建议。该文件需由专家组组长签字确认。（4）支付凭证标准化，《评审劳务报酬发放表》：此表为支付的核心凭证，应包含：专家姓名、工作单位、身份证号、银行卡号、劳务金额、代扣代缴税额、实发金额，并由领取人亲笔签字确认。建立“五位一体”付款附件包：财务部门在付款时，必须核对并收取以下五项材料作为凭证附件，缺一不可：①《评审活动审批单》②《评审会议通知》③《专家签到表》④《评审报告/总结》⑤《评审劳务报酬发放表》（含亲笔签名）</w:t>
      </w:r>
      <w:r>
        <w:rPr>
          <w:rFonts w:hint="eastAsia" w:ascii="仿宋" w:hAnsi="仿宋" w:eastAsia="仿宋" w:cs="仿宋"/>
          <w:b/>
          <w:bCs/>
          <w:sz w:val="32"/>
          <w:szCs w:val="32"/>
          <w:lang w:val="en-US" w:eastAsia="zh-CN"/>
        </w:rPr>
        <w:t>三是监督管理与责任落实，（1）明确责任主体。</w:t>
      </w:r>
      <w:r>
        <w:rPr>
          <w:rFonts w:hint="eastAsia" w:ascii="仿宋" w:hAnsi="仿宋" w:eastAsia="仿宋" w:cs="仿宋"/>
          <w:b w:val="0"/>
          <w:bCs w:val="0"/>
          <w:sz w:val="32"/>
          <w:szCs w:val="32"/>
          <w:lang w:val="en-US" w:eastAsia="zh-CN"/>
        </w:rPr>
        <w:t>明确评审活动的主办科室为第一责任单位，科室负责人对材料的真实性、完整性负全责。财务科室负责对支付凭证的齐全性和合规性进行最终审核，对不符合规定的支付有权拒绝办理。</w:t>
      </w:r>
      <w:r>
        <w:rPr>
          <w:rFonts w:hint="eastAsia" w:ascii="仿宋" w:hAnsi="仿宋" w:eastAsia="仿宋" w:cs="仿宋"/>
          <w:b/>
          <w:bCs/>
          <w:sz w:val="32"/>
          <w:szCs w:val="32"/>
          <w:lang w:val="en-US" w:eastAsia="zh-CN"/>
        </w:rPr>
        <w:t>（2）定期培训与检查。</w:t>
      </w:r>
      <w:r>
        <w:rPr>
          <w:rFonts w:hint="eastAsia" w:ascii="仿宋" w:hAnsi="仿宋" w:eastAsia="仿宋" w:cs="仿宋"/>
          <w:b w:val="0"/>
          <w:bCs w:val="0"/>
          <w:sz w:val="32"/>
          <w:szCs w:val="32"/>
          <w:lang w:val="en-US" w:eastAsia="zh-CN"/>
        </w:rPr>
        <w:t>每年组织至少一次针对全室干部的财经法规和内部控制专题培训，重点讲解劳务费支出等高风险业务的规范流程。单位内部应每半年开展一次自查，由办公室或指定专人对包括评审费在内的所有劳务支出进行专项检查，及时发现并纠正问题。</w:t>
      </w:r>
    </w:p>
    <w:p w14:paraId="4B6416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kern w:val="0"/>
          <w:sz w:val="32"/>
          <w:szCs w:val="32"/>
          <w:lang w:val="en-US" w:eastAsia="zh-CN" w:bidi="ar"/>
        </w:rPr>
        <w:t>2.</w:t>
      </w:r>
      <w:r>
        <w:rPr>
          <w:rFonts w:hint="eastAsia" w:ascii="仿宋" w:hAnsi="仿宋" w:eastAsia="仿宋" w:cs="仿宋"/>
          <w:b/>
          <w:bCs/>
          <w:sz w:val="32"/>
          <w:szCs w:val="32"/>
          <w:lang w:val="en-US" w:eastAsia="zh-CN"/>
        </w:rPr>
        <w:t>编撰劳务费、审稿费未通过“政采云平台的专家抽取系统”进行记录和证明，无《湖南省地方志编纂院兼职编纂人员劳务报酬支付表》。其业务选取公正性和资金合规性存在质疑。一是违反《湖南省地方志编纂院兼职编纂人员报酬管理办法（试行）》第四条（聘请程序）：</w:t>
      </w:r>
      <w:r>
        <w:rPr>
          <w:rFonts w:hint="eastAsia" w:ascii="仿宋" w:hAnsi="仿宋" w:eastAsia="仿宋" w:cs="仿宋"/>
          <w:b w:val="0"/>
          <w:bCs w:val="0"/>
          <w:sz w:val="32"/>
          <w:szCs w:val="32"/>
          <w:lang w:val="en-US" w:eastAsia="zh-CN"/>
        </w:rPr>
        <w:t>规定聘请兼职人员需由业务部室提出计划报院党组同意，并将名单及报酬支付建议方案报院领导批准后实施。“无记录”意味着无法证明该聘请程序已履行并获得批准</w:t>
      </w:r>
      <w:r>
        <w:rPr>
          <w:rFonts w:hint="eastAsia" w:ascii="仿宋" w:hAnsi="仿宋" w:eastAsia="仿宋" w:cs="仿宋"/>
          <w:b/>
          <w:bCs/>
          <w:sz w:val="32"/>
          <w:szCs w:val="32"/>
          <w:lang w:val="en-US" w:eastAsia="zh-CN"/>
        </w:rPr>
        <w:t>。第十条（报酬结算）：要求项目完成后组织填报《湖南省地方志编纂院兼职编纂人员劳务报酬支付表》，并附言“相关工作项目结束”。</w:t>
      </w:r>
      <w:r>
        <w:rPr>
          <w:rFonts w:hint="eastAsia" w:ascii="仿宋" w:hAnsi="仿宋" w:eastAsia="仿宋" w:cs="仿宋"/>
          <w:b w:val="0"/>
          <w:bCs w:val="0"/>
          <w:sz w:val="32"/>
          <w:szCs w:val="32"/>
          <w:lang w:val="en-US" w:eastAsia="zh-CN"/>
        </w:rPr>
        <w:t>“无评审总结及结果”则无法证明“项目已完成”，使得支付缺乏前提</w:t>
      </w:r>
      <w:r>
        <w:rPr>
          <w:rFonts w:hint="eastAsia" w:ascii="仿宋" w:hAnsi="仿宋" w:eastAsia="仿宋" w:cs="仿宋"/>
          <w:b/>
          <w:bCs/>
          <w:sz w:val="32"/>
          <w:szCs w:val="32"/>
          <w:lang w:val="en-US" w:eastAsia="zh-CN"/>
        </w:rPr>
        <w:t>。此支付表需要本人签字确认，是支付的核心凭证。无《湖南省地方志编纂院兼职编纂人员劳务报酬支付表》说明资金支付不合规性。二是违反《湖南省政府采购项目评审劳务报酬管理办法》第六条（报酬结算）；明确要求“采购人或采购代理机构应做好评审专家签到工作，保存签到记录”。</w:t>
      </w:r>
      <w:r>
        <w:rPr>
          <w:rFonts w:hint="eastAsia" w:ascii="仿宋" w:hAnsi="仿宋" w:eastAsia="仿宋" w:cs="仿宋"/>
          <w:b w:val="0"/>
          <w:bCs w:val="0"/>
          <w:sz w:val="32"/>
          <w:szCs w:val="32"/>
          <w:lang w:val="en-US" w:eastAsia="zh-CN"/>
        </w:rPr>
        <w:t>“无会议纪要”等材料，等同于没有签到记录和评审活动记录，违反了过程记录的要求。虽然地方志编纂院的《办法》是主要依据</w:t>
      </w:r>
      <w:r>
        <w:rPr>
          <w:rFonts w:hint="eastAsia" w:ascii="仿宋" w:hAnsi="仿宋" w:eastAsia="仿宋" w:cs="仿宋"/>
          <w:b/>
          <w:bCs/>
          <w:sz w:val="32"/>
          <w:szCs w:val="32"/>
          <w:lang w:val="en-US" w:eastAsia="zh-CN"/>
        </w:rPr>
        <w:t>，第七条（四款）明确规定“评审费”按《湖南省政府采购项目评审劳务报酬管理办法》的相应标准参照执行。</w:t>
      </w:r>
      <w:r>
        <w:rPr>
          <w:rFonts w:hint="eastAsia" w:ascii="仿宋" w:hAnsi="仿宋" w:eastAsia="仿宋" w:cs="仿宋"/>
          <w:b w:val="0"/>
          <w:bCs w:val="0"/>
          <w:sz w:val="32"/>
          <w:szCs w:val="32"/>
          <w:lang w:val="en-US" w:eastAsia="zh-CN"/>
        </w:rPr>
        <w:t>这意味着政府采购办法中关于程序严谨性的精神同样适用。缺乏记录，使得报酬支付无法满足手续完整的基本要求。</w:t>
      </w:r>
    </w:p>
    <w:p w14:paraId="668067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建议：一是</w:t>
      </w:r>
      <w:r>
        <w:rPr>
          <w:rFonts w:hint="eastAsia" w:ascii="仿宋" w:hAnsi="仿宋" w:eastAsia="仿宋" w:cs="仿宋"/>
          <w:b w:val="0"/>
          <w:bCs w:val="0"/>
          <w:sz w:val="32"/>
          <w:szCs w:val="32"/>
          <w:lang w:val="en-US" w:eastAsia="zh-CN"/>
        </w:rPr>
        <w:t>事前审批与专家确定（解决“无记录”问题）依据（湘志编〔2021〕58号第四条），业务部室需提交聘请计划，报院党组或院领导批准。对于评审专家，应优先从“湖南省方志专家库”中抽取。</w:t>
      </w:r>
      <w:r>
        <w:rPr>
          <w:rFonts w:hint="eastAsia" w:ascii="仿宋" w:hAnsi="仿宋" w:eastAsia="仿宋" w:cs="仿宋"/>
          <w:b/>
          <w:bCs/>
          <w:sz w:val="32"/>
          <w:szCs w:val="32"/>
          <w:lang w:val="en-US" w:eastAsia="zh-CN"/>
        </w:rPr>
        <w:t>改正措施：（1）建立《外聘专家审批表》，完整记录审批流程。（2）</w:t>
      </w:r>
      <w:r>
        <w:rPr>
          <w:rFonts w:hint="eastAsia" w:ascii="仿宋" w:hAnsi="仿宋" w:eastAsia="仿宋" w:cs="仿宋"/>
          <w:b w:val="0"/>
          <w:bCs w:val="0"/>
          <w:sz w:val="32"/>
          <w:szCs w:val="32"/>
          <w:lang w:val="en-US" w:eastAsia="zh-CN"/>
        </w:rPr>
        <w:t>如属评审活动，应优先通过“政采云平台”从专家库中抽取，并保存抽取结果记录。这是证明专家来源合法、公正的最有力证据。如因特殊情况自行聘请，必须在审批材料中充分说明理由，并确保专家符合本办法第二条规定的资质。</w:t>
      </w:r>
      <w:r>
        <w:rPr>
          <w:rFonts w:hint="eastAsia" w:ascii="仿宋" w:hAnsi="仿宋" w:eastAsia="仿宋" w:cs="仿宋"/>
          <w:b/>
          <w:bCs/>
          <w:sz w:val="32"/>
          <w:szCs w:val="32"/>
          <w:lang w:val="en-US" w:eastAsia="zh-CN"/>
        </w:rPr>
        <w:t>二是签订协议与过程留痕。</w:t>
      </w:r>
      <w:r>
        <w:rPr>
          <w:rFonts w:hint="eastAsia" w:ascii="仿宋" w:hAnsi="仿宋" w:eastAsia="仿宋" w:cs="仿宋"/>
          <w:b w:val="0"/>
          <w:bCs w:val="0"/>
          <w:sz w:val="32"/>
          <w:szCs w:val="32"/>
          <w:lang w:val="en-US" w:eastAsia="zh-CN"/>
        </w:rPr>
        <w:t>必须与每一位兼职人员签订《劳务协议》，明确工作内容、质量要求、报酬标准、完成时限和双方权责。组织会议评审时，必须生成并保存《会议签到表》和《评审会议纪要》。</w:t>
      </w:r>
      <w:r>
        <w:rPr>
          <w:rFonts w:hint="eastAsia" w:ascii="仿宋" w:hAnsi="仿宋" w:eastAsia="仿宋" w:cs="仿宋"/>
          <w:b/>
          <w:bCs/>
          <w:sz w:val="32"/>
          <w:szCs w:val="32"/>
          <w:lang w:val="en-US" w:eastAsia="zh-CN"/>
        </w:rPr>
        <w:t>三是成果验收与支付申请。</w:t>
      </w:r>
      <w:r>
        <w:rPr>
          <w:rFonts w:hint="eastAsia" w:ascii="仿宋" w:hAnsi="仿宋" w:eastAsia="仿宋" w:cs="仿宋"/>
          <w:b w:val="0"/>
          <w:bCs w:val="0"/>
          <w:sz w:val="32"/>
          <w:szCs w:val="32"/>
          <w:lang w:val="en-US" w:eastAsia="zh-CN"/>
        </w:rPr>
        <w:t>依据（湘志编〔2021〕58号第十条）：工作完成后，必须出具《成果验收报告》或《评审总结/报告》，由项目负责人和专家签字确认，证明工作已按要求完成并达标。填写《湖南省地方志编纂院兼职编纂人员劳务报酬支付表》（该文件附件），确保信息准确、完整，并由本人亲笔签字确认。</w:t>
      </w:r>
      <w:r>
        <w:rPr>
          <w:rFonts w:hint="eastAsia" w:ascii="仿宋" w:hAnsi="仿宋" w:eastAsia="仿宋" w:cs="仿宋"/>
          <w:b/>
          <w:bCs/>
          <w:sz w:val="32"/>
          <w:szCs w:val="32"/>
          <w:lang w:val="en-US" w:eastAsia="zh-CN"/>
        </w:rPr>
        <w:t>四是财务审核与付款，</w:t>
      </w:r>
      <w:r>
        <w:rPr>
          <w:rFonts w:hint="eastAsia" w:ascii="仿宋" w:hAnsi="仿宋" w:eastAsia="仿宋" w:cs="仿宋"/>
          <w:b w:val="0"/>
          <w:bCs w:val="0"/>
          <w:sz w:val="32"/>
          <w:szCs w:val="32"/>
          <w:lang w:val="en-US" w:eastAsia="zh-CN"/>
        </w:rPr>
        <w:t>依据（两个《办法》）：</w:t>
      </w:r>
      <w:bookmarkStart w:id="55" w:name="_GoBack"/>
      <w:bookmarkEnd w:id="55"/>
      <w:r>
        <w:rPr>
          <w:rFonts w:hint="eastAsia" w:ascii="仿宋" w:hAnsi="仿宋" w:eastAsia="仿宋" w:cs="仿宋"/>
          <w:b w:val="0"/>
          <w:bCs w:val="0"/>
          <w:sz w:val="32"/>
          <w:szCs w:val="32"/>
          <w:lang w:val="en-US" w:eastAsia="zh-CN"/>
        </w:rPr>
        <w:t>财务部门在付款前，必须严格审核以下“付款附件包”是否齐全：《外聘专家审批表》（事前依据）、《劳务协议》（法律依据）、《会议签到表》/《专家抽取记录》（过程依据）、《成果验收报告》/《评审总结》（结果依据）、《劳务报酬支付表》（支付凭证）。</w:t>
      </w:r>
      <w:r>
        <w:rPr>
          <w:rFonts w:hint="eastAsia" w:ascii="仿宋" w:hAnsi="仿宋" w:eastAsia="仿宋" w:cs="仿宋"/>
          <w:b/>
          <w:bCs/>
          <w:sz w:val="32"/>
          <w:szCs w:val="32"/>
          <w:lang w:val="en-US" w:eastAsia="zh-CN"/>
        </w:rPr>
        <w:t>对材料不齐全的支付申请，财务部门必须拒绝付款。</w:t>
      </w:r>
    </w:p>
    <w:p w14:paraId="750F3A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sz w:val="32"/>
          <w:szCs w:val="32"/>
          <w:lang w:val="en-US" w:eastAsia="zh-CN"/>
        </w:rPr>
      </w:pPr>
    </w:p>
    <w:p w14:paraId="164747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sz w:val="32"/>
          <w:szCs w:val="32"/>
          <w:lang w:val="en-US" w:eastAsia="zh-CN"/>
        </w:rPr>
      </w:pPr>
    </w:p>
    <w:p w14:paraId="05B1C9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sz w:val="32"/>
          <w:szCs w:val="32"/>
          <w:lang w:val="en-US" w:eastAsia="zh-CN"/>
        </w:rPr>
      </w:pPr>
    </w:p>
    <w:p w14:paraId="1C40A8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sz w:val="32"/>
          <w:szCs w:val="32"/>
          <w:lang w:val="en-US" w:eastAsia="zh-CN"/>
        </w:rPr>
      </w:pPr>
    </w:p>
    <w:p w14:paraId="53EC2D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sz w:val="32"/>
          <w:szCs w:val="32"/>
          <w:lang w:val="en-US" w:eastAsia="zh-CN"/>
        </w:rPr>
      </w:pPr>
    </w:p>
    <w:p w14:paraId="2B99B1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sz w:val="32"/>
          <w:szCs w:val="32"/>
          <w:lang w:val="en-US" w:eastAsia="zh-CN"/>
        </w:rPr>
      </w:pPr>
    </w:p>
    <w:p w14:paraId="7A00B0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sz w:val="32"/>
          <w:szCs w:val="32"/>
          <w:lang w:val="en-US" w:eastAsia="zh-CN"/>
        </w:rPr>
      </w:pPr>
    </w:p>
    <w:p w14:paraId="27BAFC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sz w:val="32"/>
          <w:szCs w:val="32"/>
          <w:lang w:val="en-US" w:eastAsia="zh-CN"/>
        </w:rPr>
      </w:pPr>
    </w:p>
    <w:p w14:paraId="6DA29B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（此页无正文）</w:t>
      </w:r>
    </w:p>
    <w:p w14:paraId="1F7F7F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p>
    <w:p w14:paraId="797706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p>
    <w:p w14:paraId="2ADE00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p>
    <w:p w14:paraId="485C72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p>
    <w:p w14:paraId="0752C6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p>
    <w:p w14:paraId="7DAF55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p>
    <w:p w14:paraId="257859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p>
    <w:p w14:paraId="49D26D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p>
    <w:p w14:paraId="38E2E3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p>
    <w:p w14:paraId="70F02D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p>
    <w:tbl>
      <w:tblPr>
        <w:tblStyle w:val="15"/>
        <w:tblpPr w:leftFromText="180" w:rightFromText="180" w:vertAnchor="text" w:horzAnchor="page" w:tblpX="1920" w:tblpY="531"/>
        <w:tblOverlap w:val="never"/>
        <w:tblW w:w="8799" w:type="dxa"/>
        <w:jc w:val="center"/>
        <w:tblLayout w:type="fixed"/>
        <w:tblCellMar>
          <w:top w:w="0" w:type="dxa"/>
          <w:left w:w="108" w:type="dxa"/>
          <w:bottom w:w="0" w:type="dxa"/>
          <w:right w:w="108" w:type="dxa"/>
        </w:tblCellMar>
      </w:tblPr>
      <w:tblGrid>
        <w:gridCol w:w="4525"/>
        <w:gridCol w:w="4274"/>
      </w:tblGrid>
      <w:tr w14:paraId="6B40062B">
        <w:tblPrEx>
          <w:tblCellMar>
            <w:top w:w="0" w:type="dxa"/>
            <w:left w:w="108" w:type="dxa"/>
            <w:bottom w:w="0" w:type="dxa"/>
            <w:right w:w="108" w:type="dxa"/>
          </w:tblCellMar>
        </w:tblPrEx>
        <w:trPr>
          <w:trHeight w:val="623" w:hRule="atLeast"/>
          <w:jc w:val="center"/>
        </w:trPr>
        <w:tc>
          <w:tcPr>
            <w:tcW w:w="4525" w:type="dxa"/>
            <w:noWrap w:val="0"/>
            <w:vAlign w:val="top"/>
          </w:tcPr>
          <w:p w14:paraId="6E34C88F">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湖南浩元会计师事务所</w:t>
            </w:r>
          </w:p>
        </w:tc>
        <w:tc>
          <w:tcPr>
            <w:tcW w:w="4274" w:type="dxa"/>
            <w:noWrap w:val="0"/>
            <w:vAlign w:val="top"/>
          </w:tcPr>
          <w:p w14:paraId="2CD80728">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中国注册会计师：</w:t>
            </w:r>
          </w:p>
        </w:tc>
      </w:tr>
      <w:tr w14:paraId="7D2FBD51">
        <w:tblPrEx>
          <w:tblCellMar>
            <w:top w:w="0" w:type="dxa"/>
            <w:left w:w="108" w:type="dxa"/>
            <w:bottom w:w="0" w:type="dxa"/>
            <w:right w:w="108" w:type="dxa"/>
          </w:tblCellMar>
        </w:tblPrEx>
        <w:trPr>
          <w:trHeight w:val="1267" w:hRule="atLeast"/>
          <w:jc w:val="center"/>
        </w:trPr>
        <w:tc>
          <w:tcPr>
            <w:tcW w:w="4525" w:type="dxa"/>
            <w:noWrap w:val="0"/>
            <w:vAlign w:val="top"/>
          </w:tcPr>
          <w:p w14:paraId="40063D8A">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（普通合伙）</w:t>
            </w:r>
          </w:p>
        </w:tc>
        <w:tc>
          <w:tcPr>
            <w:tcW w:w="4274" w:type="dxa"/>
            <w:noWrap w:val="0"/>
            <w:vAlign w:val="top"/>
          </w:tcPr>
          <w:p w14:paraId="7686A2E8">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r>
      <w:tr w14:paraId="0259D56D">
        <w:tblPrEx>
          <w:tblCellMar>
            <w:top w:w="0" w:type="dxa"/>
            <w:left w:w="108" w:type="dxa"/>
            <w:bottom w:w="0" w:type="dxa"/>
            <w:right w:w="108" w:type="dxa"/>
          </w:tblCellMar>
        </w:tblPrEx>
        <w:trPr>
          <w:trHeight w:val="1247" w:hRule="atLeast"/>
          <w:jc w:val="center"/>
        </w:trPr>
        <w:tc>
          <w:tcPr>
            <w:tcW w:w="4525" w:type="dxa"/>
            <w:noWrap w:val="0"/>
            <w:vAlign w:val="top"/>
          </w:tcPr>
          <w:p w14:paraId="064978C9">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c>
          <w:tcPr>
            <w:tcW w:w="4274" w:type="dxa"/>
            <w:noWrap w:val="0"/>
            <w:vAlign w:val="top"/>
          </w:tcPr>
          <w:p w14:paraId="4A810333">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中国注册会计师：</w:t>
            </w:r>
          </w:p>
          <w:p w14:paraId="54009D17">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r>
      <w:tr w14:paraId="1DBA6D76">
        <w:tblPrEx>
          <w:tblCellMar>
            <w:top w:w="0" w:type="dxa"/>
            <w:left w:w="108" w:type="dxa"/>
            <w:bottom w:w="0" w:type="dxa"/>
            <w:right w:w="108" w:type="dxa"/>
          </w:tblCellMar>
        </w:tblPrEx>
        <w:trPr>
          <w:trHeight w:val="623" w:hRule="atLeast"/>
          <w:jc w:val="center"/>
        </w:trPr>
        <w:tc>
          <w:tcPr>
            <w:tcW w:w="4525" w:type="dxa"/>
            <w:noWrap w:val="0"/>
            <w:vAlign w:val="top"/>
          </w:tcPr>
          <w:p w14:paraId="6AFE7B9D">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 国·长 沙</w:t>
            </w:r>
          </w:p>
        </w:tc>
        <w:tc>
          <w:tcPr>
            <w:tcW w:w="4274" w:type="dxa"/>
            <w:noWrap w:val="0"/>
            <w:vAlign w:val="top"/>
          </w:tcPr>
          <w:p w14:paraId="317B478B">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2025年11月30日</w:t>
            </w:r>
          </w:p>
        </w:tc>
      </w:tr>
    </w:tbl>
    <w:p w14:paraId="6C76F4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p>
    <w:p w14:paraId="3B29AA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p>
    <w:p w14:paraId="5D5A1E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p>
    <w:p w14:paraId="04386B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p>
    <w:p w14:paraId="287739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p>
    <w:p w14:paraId="0707722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sz w:val="32"/>
          <w:szCs w:val="32"/>
          <w:lang w:val="en-US" w:eastAsia="zh-CN"/>
        </w:rPr>
      </w:pPr>
    </w:p>
    <w:sectPr>
      <w:pgSz w:w="11906" w:h="16838"/>
      <w:pgMar w:top="1157"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隶二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4A04D">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bottomMargin">
                <wp:align>top</wp:align>
              </wp:positionV>
              <wp:extent cx="2431415" cy="298450"/>
              <wp:effectExtent l="0" t="0" r="0" b="0"/>
              <wp:wrapNone/>
              <wp:docPr id="2" name="文本框 2"/>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93835">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0288;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AoJ/C0RgIAAHIEAAAOAAAAAAAAAAEA&#10;IAAAACUBAABkcnMvZTJvRG9jLnhtbFBLBQYAAAAABgAGAFkBAADdBQAAAAA=&#10;">
              <v:fill on="f" focussize="0,0"/>
              <v:stroke on="f" weight="0.5pt"/>
              <v:imagedata o:title=""/>
              <o:lock v:ext="edit" aspectratio="f"/>
              <v:textbox>
                <w:txbxContent>
                  <w:p w14:paraId="2B193835">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湖南浩元会计师事务所（普通合伙）</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top</wp:align>
              </wp:positionV>
              <wp:extent cx="5313045" cy="0"/>
              <wp:effectExtent l="0" t="6350" r="0" b="6350"/>
              <wp:wrapNone/>
              <wp:docPr id="1" name="直接连接符 1"/>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59264;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jyGc&#10;zwAAAAIBAAAPAAAAAAAAAAEAIAAAACIAAABkcnMvZG93bnJldi54bWxQSwECFAAUAAAACACHTuJA&#10;F49pAfEBAAC+AwAADgAAAAAAAAABACAAAAAeAQAAZHJzL2Uyb0RvYy54bWxQSwUGAAAAAAYABgBZ&#10;AQAAgQUAAAAA&#10;">
              <v:fill on="f" focussize="0,0"/>
              <v:stroke weight="1pt" color="#000000 [3213]" miterlimit="8" joinstyle="miter"/>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53CB5">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D7465">
                          <w:pPr>
                            <w:pStyle w:val="9"/>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A3D7465">
                    <w:pPr>
                      <w:pStyle w:val="9"/>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页</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bottomMargin">
                <wp:align>top</wp:align>
              </wp:positionV>
              <wp:extent cx="2431415" cy="298450"/>
              <wp:effectExtent l="0" t="0" r="0" b="0"/>
              <wp:wrapNone/>
              <wp:docPr id="14" name="文本框 14"/>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F405C">
                          <w:pPr>
                            <w:rPr>
                              <w:rFonts w:hint="eastAsia" w:ascii="仿宋" w:hAnsi="仿宋" w:eastAsia="仿宋" w:cs="仿宋"/>
                              <w:b/>
                              <w:bCs/>
                              <w:color w:val="auto"/>
                              <w:sz w:val="21"/>
                              <w:szCs w:val="21"/>
                              <w:u w:val="none"/>
                              <w:lang w:val="en-US" w:eastAsia="zh-CN"/>
                            </w:rPr>
                          </w:pPr>
                          <w:r>
                            <w:rPr>
                              <w:rFonts w:hint="eastAsia" w:ascii="仿宋" w:hAnsi="仿宋" w:eastAsia="仿宋" w:cs="仿宋"/>
                              <w:b/>
                              <w:bCs/>
                              <w:color w:val="auto"/>
                              <w:sz w:val="21"/>
                              <w:szCs w:val="21"/>
                              <w:u w:val="none"/>
                              <w:lang w:val="en-US" w:eastAsia="zh-CN"/>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2336;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DDk0rrRgIAAHQEAAAOAAAAAAAAAAEA&#10;IAAAACUBAABkcnMvZTJvRG9jLnhtbFBLBQYAAAAABgAGAFkBAADdBQAAAAA=&#10;">
              <v:fill on="f" focussize="0,0"/>
              <v:stroke on="f" weight="0.5pt"/>
              <v:imagedata o:title=""/>
              <o:lock v:ext="edit" aspectratio="f"/>
              <v:textbox>
                <w:txbxContent>
                  <w:p w14:paraId="33AF405C">
                    <w:pPr>
                      <w:rPr>
                        <w:rFonts w:hint="eastAsia" w:ascii="仿宋" w:hAnsi="仿宋" w:eastAsia="仿宋" w:cs="仿宋"/>
                        <w:b/>
                        <w:bCs/>
                        <w:color w:val="auto"/>
                        <w:sz w:val="21"/>
                        <w:szCs w:val="21"/>
                        <w:u w:val="none"/>
                        <w:lang w:val="en-US" w:eastAsia="zh-CN"/>
                      </w:rPr>
                    </w:pPr>
                    <w:r>
                      <w:rPr>
                        <w:rFonts w:hint="eastAsia" w:ascii="仿宋" w:hAnsi="仿宋" w:eastAsia="仿宋" w:cs="仿宋"/>
                        <w:b/>
                        <w:bCs/>
                        <w:color w:val="auto"/>
                        <w:sz w:val="21"/>
                        <w:szCs w:val="21"/>
                        <w:u w:val="none"/>
                        <w:lang w:val="en-US" w:eastAsia="zh-CN"/>
                      </w:rPr>
                      <w:t>湖南浩元会计师事务所（普通合伙）</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top</wp:align>
              </wp:positionV>
              <wp:extent cx="5313045" cy="0"/>
              <wp:effectExtent l="0" t="6350" r="0" b="6350"/>
              <wp:wrapNone/>
              <wp:docPr id="15" name="直接连接符 15"/>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61312;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7&#10;jyGczwAAAAIBAAAPAAAAAAAAAAEAIAAAACIAAABkcnMvZG93bnJldi54bWxQSwECFAAUAAAACACH&#10;TuJAsDn2AfQBAADAAwAADgAAAAAAAAABACAAAAAeAQAAZHJzL2Uyb0RvYy54bWxQSwUGAAAAAAYA&#10;BgBZAQAAhAUAAAAA&#10;">
              <v:fill on="f" focussize="0,0"/>
              <v:stroke weight="1pt" color="#000000 [3213]"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0310B">
    <w:pPr>
      <w:pStyle w:val="10"/>
      <w:rPr>
        <w:rFonts w:hint="default" w:ascii="仿宋" w:hAnsi="仿宋" w:eastAsia="仿宋" w:cs="仿宋"/>
        <w:sz w:val="21"/>
        <w:szCs w:val="21"/>
        <w:u w:val="single"/>
        <w:lang w:val="en-US" w:eastAsia="zh-CN"/>
      </w:rPr>
    </w:pPr>
    <w:r>
      <w:rPr>
        <w:rFonts w:hint="eastAsia" w:ascii="仿宋" w:hAnsi="仿宋" w:eastAsia="仿宋" w:cs="仿宋"/>
        <w:b/>
        <w:bCs/>
        <w:sz w:val="21"/>
        <w:szCs w:val="21"/>
        <w:u w:val="single"/>
        <w:lang w:val="en-US" w:eastAsia="zh-CN"/>
      </w:rPr>
      <w:t>2024年中共雁峰区委党史研究室（雁峰区地方志编纂室）整体支出绩效评价报告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EFD67"/>
    <w:multiLevelType w:val="singleLevel"/>
    <w:tmpl w:val="950EFD67"/>
    <w:lvl w:ilvl="0" w:tentative="0">
      <w:start w:val="2"/>
      <w:numFmt w:val="chineseCounting"/>
      <w:suff w:val="nothing"/>
      <w:lvlText w:val="（%1）"/>
      <w:lvlJc w:val="left"/>
      <w:rPr>
        <w:rFonts w:hint="eastAsia"/>
        <w:b/>
        <w:bCs/>
      </w:rPr>
    </w:lvl>
  </w:abstractNum>
  <w:abstractNum w:abstractNumId="1">
    <w:nsid w:val="993ED9D6"/>
    <w:multiLevelType w:val="singleLevel"/>
    <w:tmpl w:val="993ED9D6"/>
    <w:lvl w:ilvl="0" w:tentative="0">
      <w:start w:val="1"/>
      <w:numFmt w:val="decimal"/>
      <w:suff w:val="nothing"/>
      <w:lvlText w:val="（%1）"/>
      <w:lvlJc w:val="left"/>
    </w:lvl>
  </w:abstractNum>
  <w:abstractNum w:abstractNumId="2">
    <w:nsid w:val="AFCFB45B"/>
    <w:multiLevelType w:val="singleLevel"/>
    <w:tmpl w:val="AFCFB45B"/>
    <w:lvl w:ilvl="0" w:tentative="0">
      <w:start w:val="2"/>
      <w:numFmt w:val="chineseCounting"/>
      <w:suff w:val="nothing"/>
      <w:lvlText w:val="%1、"/>
      <w:lvlJc w:val="left"/>
      <w:rPr>
        <w:rFonts w:hint="eastAsia"/>
      </w:rPr>
    </w:lvl>
  </w:abstractNum>
  <w:abstractNum w:abstractNumId="3">
    <w:nsid w:val="C86B9F76"/>
    <w:multiLevelType w:val="singleLevel"/>
    <w:tmpl w:val="C86B9F76"/>
    <w:lvl w:ilvl="0" w:tentative="0">
      <w:start w:val="6"/>
      <w:numFmt w:val="chineseCounting"/>
      <w:suff w:val="nothing"/>
      <w:lvlText w:val="%1、"/>
      <w:lvlJc w:val="left"/>
      <w:rPr>
        <w:rFonts w:hint="eastAsia"/>
      </w:rPr>
    </w:lvl>
  </w:abstractNum>
  <w:abstractNum w:abstractNumId="4">
    <w:nsid w:val="D84C4568"/>
    <w:multiLevelType w:val="singleLevel"/>
    <w:tmpl w:val="D84C4568"/>
    <w:lvl w:ilvl="0" w:tentative="0">
      <w:start w:val="1"/>
      <w:numFmt w:val="chineseCounting"/>
      <w:suff w:val="nothing"/>
      <w:lvlText w:val="（%1）"/>
      <w:lvlJc w:val="left"/>
      <w:rPr>
        <w:rFonts w:hint="eastAsia"/>
      </w:rPr>
    </w:lvl>
  </w:abstractNum>
  <w:abstractNum w:abstractNumId="5">
    <w:nsid w:val="EBF7B6E1"/>
    <w:multiLevelType w:val="singleLevel"/>
    <w:tmpl w:val="EBF7B6E1"/>
    <w:lvl w:ilvl="0" w:tentative="0">
      <w:start w:val="1"/>
      <w:numFmt w:val="chineseCounting"/>
      <w:suff w:val="nothing"/>
      <w:lvlText w:val="（%1）"/>
      <w:lvlJc w:val="left"/>
      <w:rPr>
        <w:rFonts w:hint="eastAsia"/>
      </w:rPr>
    </w:lvl>
  </w:abstractNum>
  <w:abstractNum w:abstractNumId="6">
    <w:nsid w:val="22845DC4"/>
    <w:multiLevelType w:val="singleLevel"/>
    <w:tmpl w:val="22845DC4"/>
    <w:lvl w:ilvl="0" w:tentative="0">
      <w:start w:val="4"/>
      <w:numFmt w:val="chineseCounting"/>
      <w:suff w:val="nothing"/>
      <w:lvlText w:val="（%1）"/>
      <w:lvlJc w:val="left"/>
      <w:rPr>
        <w:rFonts w:hint="eastAsia"/>
      </w:rPr>
    </w:lvl>
  </w:abstractNum>
  <w:num w:numId="1">
    <w:abstractNumId w:val="2"/>
  </w:num>
  <w:num w:numId="2">
    <w:abstractNumId w:val="4"/>
  </w:num>
  <w:num w:numId="3">
    <w:abstractNumId w:val="6"/>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ZWVjYTFmYWM4NGIxZThlMmI0MzQ1Mzg3NWI3ZjkifQ=="/>
  </w:docVars>
  <w:rsids>
    <w:rsidRoot w:val="00172A27"/>
    <w:rsid w:val="00053C27"/>
    <w:rsid w:val="001B237B"/>
    <w:rsid w:val="003440E5"/>
    <w:rsid w:val="00347465"/>
    <w:rsid w:val="003675EE"/>
    <w:rsid w:val="00392EA7"/>
    <w:rsid w:val="00396CDA"/>
    <w:rsid w:val="00441793"/>
    <w:rsid w:val="0046375D"/>
    <w:rsid w:val="004E616D"/>
    <w:rsid w:val="00543B5B"/>
    <w:rsid w:val="0075235C"/>
    <w:rsid w:val="00AC7437"/>
    <w:rsid w:val="00CE50BF"/>
    <w:rsid w:val="00DC574A"/>
    <w:rsid w:val="00ED1E2A"/>
    <w:rsid w:val="00F114F5"/>
    <w:rsid w:val="00F96DAA"/>
    <w:rsid w:val="00FE0086"/>
    <w:rsid w:val="010D6479"/>
    <w:rsid w:val="01142B69"/>
    <w:rsid w:val="011655D4"/>
    <w:rsid w:val="01211959"/>
    <w:rsid w:val="013F2781"/>
    <w:rsid w:val="014F34AC"/>
    <w:rsid w:val="018A7679"/>
    <w:rsid w:val="0196601E"/>
    <w:rsid w:val="01967D5E"/>
    <w:rsid w:val="019755DD"/>
    <w:rsid w:val="019D115B"/>
    <w:rsid w:val="019F1377"/>
    <w:rsid w:val="01CB7507"/>
    <w:rsid w:val="01D846CD"/>
    <w:rsid w:val="021E5540"/>
    <w:rsid w:val="023A109F"/>
    <w:rsid w:val="023F2351"/>
    <w:rsid w:val="024C492F"/>
    <w:rsid w:val="025739FF"/>
    <w:rsid w:val="0263637C"/>
    <w:rsid w:val="02811C50"/>
    <w:rsid w:val="028D5673"/>
    <w:rsid w:val="029D18A6"/>
    <w:rsid w:val="02A1111E"/>
    <w:rsid w:val="02AE478C"/>
    <w:rsid w:val="02B50726"/>
    <w:rsid w:val="02B726F0"/>
    <w:rsid w:val="02BA21E0"/>
    <w:rsid w:val="02C443E7"/>
    <w:rsid w:val="02F94384"/>
    <w:rsid w:val="03103BAE"/>
    <w:rsid w:val="03105CDF"/>
    <w:rsid w:val="031713E0"/>
    <w:rsid w:val="031D6EFB"/>
    <w:rsid w:val="03267F2A"/>
    <w:rsid w:val="03295034"/>
    <w:rsid w:val="03303491"/>
    <w:rsid w:val="034A1211"/>
    <w:rsid w:val="03754F19"/>
    <w:rsid w:val="03764359"/>
    <w:rsid w:val="03773C2D"/>
    <w:rsid w:val="0391431A"/>
    <w:rsid w:val="03A3304A"/>
    <w:rsid w:val="03A47774"/>
    <w:rsid w:val="03A5079A"/>
    <w:rsid w:val="03C3438E"/>
    <w:rsid w:val="03C47923"/>
    <w:rsid w:val="03CE545F"/>
    <w:rsid w:val="03D25723"/>
    <w:rsid w:val="03E64831"/>
    <w:rsid w:val="04125FCD"/>
    <w:rsid w:val="04160862"/>
    <w:rsid w:val="04220309"/>
    <w:rsid w:val="04245B63"/>
    <w:rsid w:val="042E3A1F"/>
    <w:rsid w:val="043229AE"/>
    <w:rsid w:val="043E5100"/>
    <w:rsid w:val="04421B33"/>
    <w:rsid w:val="04460AFF"/>
    <w:rsid w:val="047C774D"/>
    <w:rsid w:val="047F1C73"/>
    <w:rsid w:val="04986613"/>
    <w:rsid w:val="04B62533"/>
    <w:rsid w:val="04B70785"/>
    <w:rsid w:val="04C133B2"/>
    <w:rsid w:val="04C1427B"/>
    <w:rsid w:val="04C6380B"/>
    <w:rsid w:val="04CD774D"/>
    <w:rsid w:val="05035CAC"/>
    <w:rsid w:val="05183F1A"/>
    <w:rsid w:val="05353DA0"/>
    <w:rsid w:val="053B68BC"/>
    <w:rsid w:val="05620FEB"/>
    <w:rsid w:val="0571031E"/>
    <w:rsid w:val="057714C1"/>
    <w:rsid w:val="05791A70"/>
    <w:rsid w:val="058C131C"/>
    <w:rsid w:val="058C1C12"/>
    <w:rsid w:val="059E7B97"/>
    <w:rsid w:val="05A11BAC"/>
    <w:rsid w:val="05A50F26"/>
    <w:rsid w:val="05BA0D70"/>
    <w:rsid w:val="05DB66F5"/>
    <w:rsid w:val="05DE1D42"/>
    <w:rsid w:val="05E0766C"/>
    <w:rsid w:val="05F45A09"/>
    <w:rsid w:val="05FA2A1A"/>
    <w:rsid w:val="05FF0279"/>
    <w:rsid w:val="06062574"/>
    <w:rsid w:val="06093E43"/>
    <w:rsid w:val="06106186"/>
    <w:rsid w:val="061B656D"/>
    <w:rsid w:val="06222576"/>
    <w:rsid w:val="062865D7"/>
    <w:rsid w:val="06322AAB"/>
    <w:rsid w:val="06341813"/>
    <w:rsid w:val="06345BBB"/>
    <w:rsid w:val="064514DA"/>
    <w:rsid w:val="064A35D0"/>
    <w:rsid w:val="065D6663"/>
    <w:rsid w:val="0660046B"/>
    <w:rsid w:val="066A1F1E"/>
    <w:rsid w:val="067369FB"/>
    <w:rsid w:val="06875F36"/>
    <w:rsid w:val="068D0A84"/>
    <w:rsid w:val="069112CA"/>
    <w:rsid w:val="06930D7E"/>
    <w:rsid w:val="06C57799"/>
    <w:rsid w:val="06C92D5A"/>
    <w:rsid w:val="06CC0578"/>
    <w:rsid w:val="06D86978"/>
    <w:rsid w:val="06DF5D71"/>
    <w:rsid w:val="070337A4"/>
    <w:rsid w:val="07097643"/>
    <w:rsid w:val="07143785"/>
    <w:rsid w:val="071E67C4"/>
    <w:rsid w:val="072639A0"/>
    <w:rsid w:val="073F4A62"/>
    <w:rsid w:val="074D53D1"/>
    <w:rsid w:val="0756191C"/>
    <w:rsid w:val="076A180B"/>
    <w:rsid w:val="076C47A9"/>
    <w:rsid w:val="078D3874"/>
    <w:rsid w:val="079468F0"/>
    <w:rsid w:val="079B120C"/>
    <w:rsid w:val="07A7684E"/>
    <w:rsid w:val="07AC013B"/>
    <w:rsid w:val="07BA10F5"/>
    <w:rsid w:val="07BB67DE"/>
    <w:rsid w:val="07BE4341"/>
    <w:rsid w:val="07D442F0"/>
    <w:rsid w:val="07E00C9C"/>
    <w:rsid w:val="07E22674"/>
    <w:rsid w:val="07ED2710"/>
    <w:rsid w:val="07F9321E"/>
    <w:rsid w:val="07FF1CDD"/>
    <w:rsid w:val="08313B80"/>
    <w:rsid w:val="083E11BD"/>
    <w:rsid w:val="084542FA"/>
    <w:rsid w:val="085821DB"/>
    <w:rsid w:val="085B544F"/>
    <w:rsid w:val="085E70A3"/>
    <w:rsid w:val="086A6018"/>
    <w:rsid w:val="087921F6"/>
    <w:rsid w:val="08C12927"/>
    <w:rsid w:val="08C8551C"/>
    <w:rsid w:val="08CD7790"/>
    <w:rsid w:val="091E489D"/>
    <w:rsid w:val="09322AD0"/>
    <w:rsid w:val="0949606C"/>
    <w:rsid w:val="096B15C8"/>
    <w:rsid w:val="097F0956"/>
    <w:rsid w:val="098026A7"/>
    <w:rsid w:val="098244A7"/>
    <w:rsid w:val="098368C3"/>
    <w:rsid w:val="099A08B5"/>
    <w:rsid w:val="09A5179F"/>
    <w:rsid w:val="09B90AFC"/>
    <w:rsid w:val="09BF1E8A"/>
    <w:rsid w:val="09D70DA6"/>
    <w:rsid w:val="0A0F3905"/>
    <w:rsid w:val="0A355EA0"/>
    <w:rsid w:val="0A3D472E"/>
    <w:rsid w:val="0A5F7F8F"/>
    <w:rsid w:val="0A653918"/>
    <w:rsid w:val="0A6E2124"/>
    <w:rsid w:val="0A8777EC"/>
    <w:rsid w:val="0A891C20"/>
    <w:rsid w:val="0AA364AD"/>
    <w:rsid w:val="0AAC0F25"/>
    <w:rsid w:val="0ABB08A3"/>
    <w:rsid w:val="0ADF27E4"/>
    <w:rsid w:val="0B1A34E5"/>
    <w:rsid w:val="0B42710B"/>
    <w:rsid w:val="0B553428"/>
    <w:rsid w:val="0B6131F9"/>
    <w:rsid w:val="0B7E1DF4"/>
    <w:rsid w:val="0BAB2B32"/>
    <w:rsid w:val="0BC419DA"/>
    <w:rsid w:val="0BD452F2"/>
    <w:rsid w:val="0BE45812"/>
    <w:rsid w:val="0BE71C3D"/>
    <w:rsid w:val="0C254F7A"/>
    <w:rsid w:val="0C3A7178"/>
    <w:rsid w:val="0C5556CA"/>
    <w:rsid w:val="0C5965C6"/>
    <w:rsid w:val="0C925AC4"/>
    <w:rsid w:val="0C9E401A"/>
    <w:rsid w:val="0CA350DD"/>
    <w:rsid w:val="0CAC044E"/>
    <w:rsid w:val="0CAF0502"/>
    <w:rsid w:val="0CB841CC"/>
    <w:rsid w:val="0CBC3E25"/>
    <w:rsid w:val="0CBF0132"/>
    <w:rsid w:val="0CC06645"/>
    <w:rsid w:val="0CC852E6"/>
    <w:rsid w:val="0CCF6888"/>
    <w:rsid w:val="0CDB0A03"/>
    <w:rsid w:val="0CE25880"/>
    <w:rsid w:val="0CE27DCE"/>
    <w:rsid w:val="0CE5798A"/>
    <w:rsid w:val="0CF462EF"/>
    <w:rsid w:val="0D0201EA"/>
    <w:rsid w:val="0D02609B"/>
    <w:rsid w:val="0D0332A3"/>
    <w:rsid w:val="0D22141A"/>
    <w:rsid w:val="0D483858"/>
    <w:rsid w:val="0D81478E"/>
    <w:rsid w:val="0D862FC8"/>
    <w:rsid w:val="0D8A2FED"/>
    <w:rsid w:val="0D940C01"/>
    <w:rsid w:val="0D9E6986"/>
    <w:rsid w:val="0DA4187D"/>
    <w:rsid w:val="0DAB4CA3"/>
    <w:rsid w:val="0DAC2D80"/>
    <w:rsid w:val="0DBA6115"/>
    <w:rsid w:val="0DBB7938"/>
    <w:rsid w:val="0DC01F09"/>
    <w:rsid w:val="0DC24E06"/>
    <w:rsid w:val="0DCA29A0"/>
    <w:rsid w:val="0DD208F0"/>
    <w:rsid w:val="0DDC7AB4"/>
    <w:rsid w:val="0DE73F9D"/>
    <w:rsid w:val="0E0E0ABB"/>
    <w:rsid w:val="0E156855"/>
    <w:rsid w:val="0E180AFA"/>
    <w:rsid w:val="0E1E1689"/>
    <w:rsid w:val="0E434CA2"/>
    <w:rsid w:val="0E452056"/>
    <w:rsid w:val="0E90419B"/>
    <w:rsid w:val="0EAA7A46"/>
    <w:rsid w:val="0EB151DA"/>
    <w:rsid w:val="0EBA1FBA"/>
    <w:rsid w:val="0EBD5965"/>
    <w:rsid w:val="0EC40B28"/>
    <w:rsid w:val="0ED270CE"/>
    <w:rsid w:val="0EE30765"/>
    <w:rsid w:val="0EE875CA"/>
    <w:rsid w:val="0EEF3211"/>
    <w:rsid w:val="0F033BBE"/>
    <w:rsid w:val="0F0B71C2"/>
    <w:rsid w:val="0F16254C"/>
    <w:rsid w:val="0F2904D1"/>
    <w:rsid w:val="0F2E527C"/>
    <w:rsid w:val="0F333973"/>
    <w:rsid w:val="0F36499C"/>
    <w:rsid w:val="0F6C03BE"/>
    <w:rsid w:val="0F775D3E"/>
    <w:rsid w:val="0F7811AE"/>
    <w:rsid w:val="0F8B17F6"/>
    <w:rsid w:val="0FA270B4"/>
    <w:rsid w:val="0FAB006A"/>
    <w:rsid w:val="0FB10A42"/>
    <w:rsid w:val="0FDA17CC"/>
    <w:rsid w:val="0FE53F92"/>
    <w:rsid w:val="0FE90290"/>
    <w:rsid w:val="0FFC7697"/>
    <w:rsid w:val="100F5919"/>
    <w:rsid w:val="101E7BF6"/>
    <w:rsid w:val="10246EEB"/>
    <w:rsid w:val="10362DC0"/>
    <w:rsid w:val="103750DB"/>
    <w:rsid w:val="103A6D61"/>
    <w:rsid w:val="105B5D71"/>
    <w:rsid w:val="106612B1"/>
    <w:rsid w:val="107069BA"/>
    <w:rsid w:val="10762B40"/>
    <w:rsid w:val="1098588B"/>
    <w:rsid w:val="1099323E"/>
    <w:rsid w:val="109B53FF"/>
    <w:rsid w:val="10AA3894"/>
    <w:rsid w:val="10AD4E1F"/>
    <w:rsid w:val="10C8771B"/>
    <w:rsid w:val="10E2584A"/>
    <w:rsid w:val="10F770B9"/>
    <w:rsid w:val="10F9096F"/>
    <w:rsid w:val="11045EE1"/>
    <w:rsid w:val="110C12EC"/>
    <w:rsid w:val="11186A50"/>
    <w:rsid w:val="11275806"/>
    <w:rsid w:val="1152799A"/>
    <w:rsid w:val="11553800"/>
    <w:rsid w:val="115820C3"/>
    <w:rsid w:val="116339D1"/>
    <w:rsid w:val="116972AB"/>
    <w:rsid w:val="1170063A"/>
    <w:rsid w:val="11910B2A"/>
    <w:rsid w:val="11B60016"/>
    <w:rsid w:val="11BD1BAD"/>
    <w:rsid w:val="11C22644"/>
    <w:rsid w:val="11C73FD2"/>
    <w:rsid w:val="11C90F52"/>
    <w:rsid w:val="11D53180"/>
    <w:rsid w:val="11DB182B"/>
    <w:rsid w:val="11EA5F58"/>
    <w:rsid w:val="11F84BB9"/>
    <w:rsid w:val="12144AEB"/>
    <w:rsid w:val="12185560"/>
    <w:rsid w:val="121B783C"/>
    <w:rsid w:val="12213A4B"/>
    <w:rsid w:val="12266F4A"/>
    <w:rsid w:val="122E4051"/>
    <w:rsid w:val="1246013E"/>
    <w:rsid w:val="125A4E46"/>
    <w:rsid w:val="125B775D"/>
    <w:rsid w:val="12656690"/>
    <w:rsid w:val="126D4B79"/>
    <w:rsid w:val="126F08F1"/>
    <w:rsid w:val="12712954"/>
    <w:rsid w:val="127D5172"/>
    <w:rsid w:val="12843C71"/>
    <w:rsid w:val="12872C68"/>
    <w:rsid w:val="1288550F"/>
    <w:rsid w:val="129C457B"/>
    <w:rsid w:val="12A01767"/>
    <w:rsid w:val="12A41E2E"/>
    <w:rsid w:val="12C5502F"/>
    <w:rsid w:val="12CE0BB5"/>
    <w:rsid w:val="12D47F8E"/>
    <w:rsid w:val="12DE2F04"/>
    <w:rsid w:val="12E6250F"/>
    <w:rsid w:val="12EF1689"/>
    <w:rsid w:val="12F80CC7"/>
    <w:rsid w:val="13001549"/>
    <w:rsid w:val="130A1D43"/>
    <w:rsid w:val="1311486C"/>
    <w:rsid w:val="13134ACB"/>
    <w:rsid w:val="13257202"/>
    <w:rsid w:val="132C67E2"/>
    <w:rsid w:val="133308DE"/>
    <w:rsid w:val="13367661"/>
    <w:rsid w:val="133B6A25"/>
    <w:rsid w:val="133E24DD"/>
    <w:rsid w:val="133E63BF"/>
    <w:rsid w:val="135E5661"/>
    <w:rsid w:val="136C36A0"/>
    <w:rsid w:val="13853604"/>
    <w:rsid w:val="1387288B"/>
    <w:rsid w:val="138949F9"/>
    <w:rsid w:val="139F4E30"/>
    <w:rsid w:val="139F5206"/>
    <w:rsid w:val="13AC7923"/>
    <w:rsid w:val="140275A9"/>
    <w:rsid w:val="140C37B9"/>
    <w:rsid w:val="14182A2A"/>
    <w:rsid w:val="141F1EA3"/>
    <w:rsid w:val="142E6F34"/>
    <w:rsid w:val="143F0CC5"/>
    <w:rsid w:val="145558C5"/>
    <w:rsid w:val="145E6E6F"/>
    <w:rsid w:val="147D4F92"/>
    <w:rsid w:val="14897C91"/>
    <w:rsid w:val="148A2C9A"/>
    <w:rsid w:val="14AB450A"/>
    <w:rsid w:val="14BA1BA8"/>
    <w:rsid w:val="14BC1DE8"/>
    <w:rsid w:val="14BF2D3F"/>
    <w:rsid w:val="14C21E3B"/>
    <w:rsid w:val="14D7452C"/>
    <w:rsid w:val="14E530ED"/>
    <w:rsid w:val="14ED5843"/>
    <w:rsid w:val="15032920"/>
    <w:rsid w:val="151439D2"/>
    <w:rsid w:val="151A411A"/>
    <w:rsid w:val="151B65FC"/>
    <w:rsid w:val="152A4FA3"/>
    <w:rsid w:val="152E409F"/>
    <w:rsid w:val="153328BD"/>
    <w:rsid w:val="153E5E21"/>
    <w:rsid w:val="153F568C"/>
    <w:rsid w:val="15542020"/>
    <w:rsid w:val="15712BD2"/>
    <w:rsid w:val="1582093B"/>
    <w:rsid w:val="158703BA"/>
    <w:rsid w:val="15894CE1"/>
    <w:rsid w:val="158E5532"/>
    <w:rsid w:val="158F3058"/>
    <w:rsid w:val="159D39C7"/>
    <w:rsid w:val="15CB1E48"/>
    <w:rsid w:val="15D95D65"/>
    <w:rsid w:val="15F66544"/>
    <w:rsid w:val="160C46A9"/>
    <w:rsid w:val="16296B24"/>
    <w:rsid w:val="162E461F"/>
    <w:rsid w:val="16314110"/>
    <w:rsid w:val="163C4C29"/>
    <w:rsid w:val="163F682C"/>
    <w:rsid w:val="16465E0D"/>
    <w:rsid w:val="164E6A70"/>
    <w:rsid w:val="165764A9"/>
    <w:rsid w:val="165A3F0C"/>
    <w:rsid w:val="165D428C"/>
    <w:rsid w:val="1674502D"/>
    <w:rsid w:val="1682657E"/>
    <w:rsid w:val="16827510"/>
    <w:rsid w:val="16931292"/>
    <w:rsid w:val="169C0F78"/>
    <w:rsid w:val="16BB3429"/>
    <w:rsid w:val="16D725CF"/>
    <w:rsid w:val="16D74A36"/>
    <w:rsid w:val="16E573D4"/>
    <w:rsid w:val="16EF70D4"/>
    <w:rsid w:val="16F13FCB"/>
    <w:rsid w:val="16F97785"/>
    <w:rsid w:val="1700420E"/>
    <w:rsid w:val="170A3ED8"/>
    <w:rsid w:val="170D5CC4"/>
    <w:rsid w:val="17215F32"/>
    <w:rsid w:val="172D2B29"/>
    <w:rsid w:val="175761FF"/>
    <w:rsid w:val="175A569D"/>
    <w:rsid w:val="175C045F"/>
    <w:rsid w:val="177C42CE"/>
    <w:rsid w:val="17956A47"/>
    <w:rsid w:val="17B62B1E"/>
    <w:rsid w:val="17C52AFB"/>
    <w:rsid w:val="17CC0594"/>
    <w:rsid w:val="17EC02EE"/>
    <w:rsid w:val="17FB2C27"/>
    <w:rsid w:val="18145A0D"/>
    <w:rsid w:val="18185587"/>
    <w:rsid w:val="1862727E"/>
    <w:rsid w:val="18930AC2"/>
    <w:rsid w:val="18B232E6"/>
    <w:rsid w:val="18B31317"/>
    <w:rsid w:val="18CA2B7F"/>
    <w:rsid w:val="18D05E62"/>
    <w:rsid w:val="18D33CA4"/>
    <w:rsid w:val="19000E9A"/>
    <w:rsid w:val="19103042"/>
    <w:rsid w:val="19173A91"/>
    <w:rsid w:val="192166BD"/>
    <w:rsid w:val="192E3215"/>
    <w:rsid w:val="193F3921"/>
    <w:rsid w:val="1960649E"/>
    <w:rsid w:val="196A3BC0"/>
    <w:rsid w:val="196B6713"/>
    <w:rsid w:val="196C5B8A"/>
    <w:rsid w:val="19831DCC"/>
    <w:rsid w:val="198A065A"/>
    <w:rsid w:val="199B6790"/>
    <w:rsid w:val="19A364CF"/>
    <w:rsid w:val="19B4308D"/>
    <w:rsid w:val="19C31523"/>
    <w:rsid w:val="19C33487"/>
    <w:rsid w:val="19C94420"/>
    <w:rsid w:val="19DA2BE1"/>
    <w:rsid w:val="19E05346"/>
    <w:rsid w:val="19FD105D"/>
    <w:rsid w:val="1A02204B"/>
    <w:rsid w:val="1A0C111B"/>
    <w:rsid w:val="1A1136AE"/>
    <w:rsid w:val="1A1520AE"/>
    <w:rsid w:val="1A275223"/>
    <w:rsid w:val="1A2771D6"/>
    <w:rsid w:val="1A331C30"/>
    <w:rsid w:val="1A336C1E"/>
    <w:rsid w:val="1A367F46"/>
    <w:rsid w:val="1A4E5A90"/>
    <w:rsid w:val="1A570B02"/>
    <w:rsid w:val="1A5C123E"/>
    <w:rsid w:val="1A607DD7"/>
    <w:rsid w:val="1A6D284D"/>
    <w:rsid w:val="1A8667BD"/>
    <w:rsid w:val="1A8B200C"/>
    <w:rsid w:val="1A956CF1"/>
    <w:rsid w:val="1A9E31DD"/>
    <w:rsid w:val="1A9E44A3"/>
    <w:rsid w:val="1AA141FF"/>
    <w:rsid w:val="1AA17AB6"/>
    <w:rsid w:val="1AA42D85"/>
    <w:rsid w:val="1AAC69B5"/>
    <w:rsid w:val="1AAE7B07"/>
    <w:rsid w:val="1AAF7C6D"/>
    <w:rsid w:val="1ABE0417"/>
    <w:rsid w:val="1AC436A6"/>
    <w:rsid w:val="1ACC581E"/>
    <w:rsid w:val="1AD3193F"/>
    <w:rsid w:val="1AD627EF"/>
    <w:rsid w:val="1AE479A2"/>
    <w:rsid w:val="1AF5570C"/>
    <w:rsid w:val="1AFA6A9C"/>
    <w:rsid w:val="1AFD2812"/>
    <w:rsid w:val="1B131612"/>
    <w:rsid w:val="1B707488"/>
    <w:rsid w:val="1B7A0AA9"/>
    <w:rsid w:val="1B8F4A8D"/>
    <w:rsid w:val="1BAA299A"/>
    <w:rsid w:val="1BAD2058"/>
    <w:rsid w:val="1BB65A6F"/>
    <w:rsid w:val="1BE83F4F"/>
    <w:rsid w:val="1C0302FC"/>
    <w:rsid w:val="1C142509"/>
    <w:rsid w:val="1C1F16EE"/>
    <w:rsid w:val="1C1F6B10"/>
    <w:rsid w:val="1C221F2A"/>
    <w:rsid w:val="1C2344FA"/>
    <w:rsid w:val="1C286643"/>
    <w:rsid w:val="1C69492B"/>
    <w:rsid w:val="1C7A7B16"/>
    <w:rsid w:val="1C7B644A"/>
    <w:rsid w:val="1C7F10E3"/>
    <w:rsid w:val="1C837694"/>
    <w:rsid w:val="1C927A29"/>
    <w:rsid w:val="1C9F39A1"/>
    <w:rsid w:val="1C9F475A"/>
    <w:rsid w:val="1CA308FE"/>
    <w:rsid w:val="1CAC44F0"/>
    <w:rsid w:val="1CCD27DE"/>
    <w:rsid w:val="1CD25DDB"/>
    <w:rsid w:val="1CD81161"/>
    <w:rsid w:val="1CDD0B4D"/>
    <w:rsid w:val="1CE855C9"/>
    <w:rsid w:val="1CE974F2"/>
    <w:rsid w:val="1D061B33"/>
    <w:rsid w:val="1D0924B1"/>
    <w:rsid w:val="1D0B425E"/>
    <w:rsid w:val="1D3A5FA0"/>
    <w:rsid w:val="1D444728"/>
    <w:rsid w:val="1D4A3A19"/>
    <w:rsid w:val="1D4A5B59"/>
    <w:rsid w:val="1D50131F"/>
    <w:rsid w:val="1D5F4C4F"/>
    <w:rsid w:val="1D6645D6"/>
    <w:rsid w:val="1D7023BC"/>
    <w:rsid w:val="1D7F2BF3"/>
    <w:rsid w:val="1D845CE8"/>
    <w:rsid w:val="1D89551A"/>
    <w:rsid w:val="1D8B67FB"/>
    <w:rsid w:val="1DA23326"/>
    <w:rsid w:val="1DAB37E2"/>
    <w:rsid w:val="1DBB1717"/>
    <w:rsid w:val="1DCB2F5B"/>
    <w:rsid w:val="1DDC7057"/>
    <w:rsid w:val="1E0565AE"/>
    <w:rsid w:val="1E1124CF"/>
    <w:rsid w:val="1E192DF2"/>
    <w:rsid w:val="1E1C5753"/>
    <w:rsid w:val="1E1E31CB"/>
    <w:rsid w:val="1E221057"/>
    <w:rsid w:val="1E23318F"/>
    <w:rsid w:val="1E3C6829"/>
    <w:rsid w:val="1E3F1E9B"/>
    <w:rsid w:val="1E450758"/>
    <w:rsid w:val="1E4918BD"/>
    <w:rsid w:val="1E5D5BA1"/>
    <w:rsid w:val="1E606CD7"/>
    <w:rsid w:val="1E635A1F"/>
    <w:rsid w:val="1E6B7566"/>
    <w:rsid w:val="1E783EF3"/>
    <w:rsid w:val="1E82375A"/>
    <w:rsid w:val="1E8528CF"/>
    <w:rsid w:val="1E8A0C48"/>
    <w:rsid w:val="1E903CEC"/>
    <w:rsid w:val="1E91399D"/>
    <w:rsid w:val="1E957931"/>
    <w:rsid w:val="1ECE699F"/>
    <w:rsid w:val="1ECE79DD"/>
    <w:rsid w:val="1EE77A61"/>
    <w:rsid w:val="1EFD2393"/>
    <w:rsid w:val="1F110314"/>
    <w:rsid w:val="1F2C36C6"/>
    <w:rsid w:val="1F2E64B0"/>
    <w:rsid w:val="1F331BA6"/>
    <w:rsid w:val="1F3360E0"/>
    <w:rsid w:val="1F38206B"/>
    <w:rsid w:val="1F3B1407"/>
    <w:rsid w:val="1F404DD2"/>
    <w:rsid w:val="1F500E1F"/>
    <w:rsid w:val="1F5C21FD"/>
    <w:rsid w:val="1F6F3700"/>
    <w:rsid w:val="1F78274B"/>
    <w:rsid w:val="1F7D3F22"/>
    <w:rsid w:val="1F937D4E"/>
    <w:rsid w:val="1FC72E8E"/>
    <w:rsid w:val="1FD03E69"/>
    <w:rsid w:val="1FD06EA3"/>
    <w:rsid w:val="1FEE56C8"/>
    <w:rsid w:val="1FF044EA"/>
    <w:rsid w:val="1FF74D8F"/>
    <w:rsid w:val="2011123A"/>
    <w:rsid w:val="20142AD8"/>
    <w:rsid w:val="202B4E35"/>
    <w:rsid w:val="2043516B"/>
    <w:rsid w:val="204F1D62"/>
    <w:rsid w:val="204F50E3"/>
    <w:rsid w:val="20740615"/>
    <w:rsid w:val="20791657"/>
    <w:rsid w:val="208C3A33"/>
    <w:rsid w:val="20B028B9"/>
    <w:rsid w:val="20B82C45"/>
    <w:rsid w:val="20B83463"/>
    <w:rsid w:val="20CC30EE"/>
    <w:rsid w:val="20D47DCE"/>
    <w:rsid w:val="20D51E07"/>
    <w:rsid w:val="20D9164A"/>
    <w:rsid w:val="20DA5073"/>
    <w:rsid w:val="20DA5ACF"/>
    <w:rsid w:val="20E22BD6"/>
    <w:rsid w:val="20F82C6C"/>
    <w:rsid w:val="20FA0A99"/>
    <w:rsid w:val="20FE18B0"/>
    <w:rsid w:val="2107361C"/>
    <w:rsid w:val="210E6EDF"/>
    <w:rsid w:val="211C60E8"/>
    <w:rsid w:val="212925B3"/>
    <w:rsid w:val="212A1E87"/>
    <w:rsid w:val="212E1977"/>
    <w:rsid w:val="213673FE"/>
    <w:rsid w:val="214E5B76"/>
    <w:rsid w:val="215B0293"/>
    <w:rsid w:val="21676E41"/>
    <w:rsid w:val="216D0BA0"/>
    <w:rsid w:val="217537B9"/>
    <w:rsid w:val="2188552B"/>
    <w:rsid w:val="21907E78"/>
    <w:rsid w:val="21924322"/>
    <w:rsid w:val="219E4D4F"/>
    <w:rsid w:val="21A13B19"/>
    <w:rsid w:val="21AF0D0A"/>
    <w:rsid w:val="21CC6CC6"/>
    <w:rsid w:val="21D0786F"/>
    <w:rsid w:val="21E408A9"/>
    <w:rsid w:val="21EC1864"/>
    <w:rsid w:val="21EF3EC7"/>
    <w:rsid w:val="21F204F5"/>
    <w:rsid w:val="21FF50C2"/>
    <w:rsid w:val="220041D9"/>
    <w:rsid w:val="220A5F40"/>
    <w:rsid w:val="220B3CA8"/>
    <w:rsid w:val="22123047"/>
    <w:rsid w:val="22361059"/>
    <w:rsid w:val="2238523E"/>
    <w:rsid w:val="22435553"/>
    <w:rsid w:val="227331B1"/>
    <w:rsid w:val="227D2BB6"/>
    <w:rsid w:val="22A53EBB"/>
    <w:rsid w:val="22B57049"/>
    <w:rsid w:val="230633CA"/>
    <w:rsid w:val="230C1041"/>
    <w:rsid w:val="230F0CBA"/>
    <w:rsid w:val="23163D80"/>
    <w:rsid w:val="231D7E1D"/>
    <w:rsid w:val="232667AF"/>
    <w:rsid w:val="232C1EE7"/>
    <w:rsid w:val="23494ECF"/>
    <w:rsid w:val="234E4979"/>
    <w:rsid w:val="23542AC1"/>
    <w:rsid w:val="236203FB"/>
    <w:rsid w:val="23645B24"/>
    <w:rsid w:val="236D42CA"/>
    <w:rsid w:val="237613B4"/>
    <w:rsid w:val="238910E7"/>
    <w:rsid w:val="239A1546"/>
    <w:rsid w:val="23B1211E"/>
    <w:rsid w:val="23D039F6"/>
    <w:rsid w:val="23D20CE0"/>
    <w:rsid w:val="23D51059"/>
    <w:rsid w:val="23DB4530"/>
    <w:rsid w:val="23EB7FF4"/>
    <w:rsid w:val="23F43032"/>
    <w:rsid w:val="23FA133C"/>
    <w:rsid w:val="240B5FA0"/>
    <w:rsid w:val="24100849"/>
    <w:rsid w:val="24116CB2"/>
    <w:rsid w:val="24122984"/>
    <w:rsid w:val="24194B61"/>
    <w:rsid w:val="242F6132"/>
    <w:rsid w:val="24336E73"/>
    <w:rsid w:val="243B6690"/>
    <w:rsid w:val="244C4E24"/>
    <w:rsid w:val="245C4A4D"/>
    <w:rsid w:val="24635A19"/>
    <w:rsid w:val="2480073C"/>
    <w:rsid w:val="24850BE6"/>
    <w:rsid w:val="24B16B47"/>
    <w:rsid w:val="24D25EE9"/>
    <w:rsid w:val="24D32F62"/>
    <w:rsid w:val="24D61CD0"/>
    <w:rsid w:val="24DC16EA"/>
    <w:rsid w:val="24E51985"/>
    <w:rsid w:val="24E64719"/>
    <w:rsid w:val="24EE3D24"/>
    <w:rsid w:val="250467D9"/>
    <w:rsid w:val="250A44A9"/>
    <w:rsid w:val="250A5253"/>
    <w:rsid w:val="251D3FC0"/>
    <w:rsid w:val="25254322"/>
    <w:rsid w:val="25261647"/>
    <w:rsid w:val="25275183"/>
    <w:rsid w:val="25381CE0"/>
    <w:rsid w:val="253B0B07"/>
    <w:rsid w:val="253D2630"/>
    <w:rsid w:val="25467197"/>
    <w:rsid w:val="254774AC"/>
    <w:rsid w:val="2563762C"/>
    <w:rsid w:val="257007B0"/>
    <w:rsid w:val="257D2ECD"/>
    <w:rsid w:val="25821466"/>
    <w:rsid w:val="25842805"/>
    <w:rsid w:val="25965391"/>
    <w:rsid w:val="25A53853"/>
    <w:rsid w:val="25A6572B"/>
    <w:rsid w:val="25AE3087"/>
    <w:rsid w:val="25BC6855"/>
    <w:rsid w:val="25C52C92"/>
    <w:rsid w:val="25EC2454"/>
    <w:rsid w:val="25EE5B79"/>
    <w:rsid w:val="261E6BA2"/>
    <w:rsid w:val="263712CE"/>
    <w:rsid w:val="26385E8A"/>
    <w:rsid w:val="263E265D"/>
    <w:rsid w:val="26607A60"/>
    <w:rsid w:val="266D4CF0"/>
    <w:rsid w:val="26773DC1"/>
    <w:rsid w:val="268931AA"/>
    <w:rsid w:val="269F41B3"/>
    <w:rsid w:val="26C443E1"/>
    <w:rsid w:val="26CD1C32"/>
    <w:rsid w:val="26D0702D"/>
    <w:rsid w:val="26DD00C8"/>
    <w:rsid w:val="26DF742E"/>
    <w:rsid w:val="270A253F"/>
    <w:rsid w:val="270C4FC5"/>
    <w:rsid w:val="27127645"/>
    <w:rsid w:val="272301A4"/>
    <w:rsid w:val="27244E5A"/>
    <w:rsid w:val="273121F9"/>
    <w:rsid w:val="27354EC1"/>
    <w:rsid w:val="273B34AE"/>
    <w:rsid w:val="274E0EEF"/>
    <w:rsid w:val="2755492F"/>
    <w:rsid w:val="276F5D75"/>
    <w:rsid w:val="276F6846"/>
    <w:rsid w:val="278D3D61"/>
    <w:rsid w:val="2791112C"/>
    <w:rsid w:val="279679E3"/>
    <w:rsid w:val="27BD1CA7"/>
    <w:rsid w:val="27C313CD"/>
    <w:rsid w:val="27C61578"/>
    <w:rsid w:val="27CB7F20"/>
    <w:rsid w:val="27DB6949"/>
    <w:rsid w:val="27DD762A"/>
    <w:rsid w:val="27ED7B74"/>
    <w:rsid w:val="27FB46DA"/>
    <w:rsid w:val="283D6944"/>
    <w:rsid w:val="28427C92"/>
    <w:rsid w:val="284F17D4"/>
    <w:rsid w:val="28575047"/>
    <w:rsid w:val="288307FB"/>
    <w:rsid w:val="288376B0"/>
    <w:rsid w:val="288E20B9"/>
    <w:rsid w:val="28B62261"/>
    <w:rsid w:val="28D01712"/>
    <w:rsid w:val="28E61013"/>
    <w:rsid w:val="28F12CF2"/>
    <w:rsid w:val="28F827CB"/>
    <w:rsid w:val="28F90ABD"/>
    <w:rsid w:val="28FB2A87"/>
    <w:rsid w:val="29143B49"/>
    <w:rsid w:val="292B0388"/>
    <w:rsid w:val="292E2EDE"/>
    <w:rsid w:val="293F5790"/>
    <w:rsid w:val="29512576"/>
    <w:rsid w:val="29514455"/>
    <w:rsid w:val="29593727"/>
    <w:rsid w:val="296070AC"/>
    <w:rsid w:val="29696464"/>
    <w:rsid w:val="297445E7"/>
    <w:rsid w:val="297F67EF"/>
    <w:rsid w:val="298C36DF"/>
    <w:rsid w:val="299010C2"/>
    <w:rsid w:val="29997556"/>
    <w:rsid w:val="29AD4EDD"/>
    <w:rsid w:val="29CC761E"/>
    <w:rsid w:val="29DE0E87"/>
    <w:rsid w:val="29E05449"/>
    <w:rsid w:val="29EE3795"/>
    <w:rsid w:val="29F13DA9"/>
    <w:rsid w:val="2A056A4F"/>
    <w:rsid w:val="2A502FEB"/>
    <w:rsid w:val="2A596352"/>
    <w:rsid w:val="2A8B37C2"/>
    <w:rsid w:val="2AB71864"/>
    <w:rsid w:val="2ABA427C"/>
    <w:rsid w:val="2AD551AF"/>
    <w:rsid w:val="2AD9612A"/>
    <w:rsid w:val="2AE24705"/>
    <w:rsid w:val="2AF23A16"/>
    <w:rsid w:val="2AF75AE0"/>
    <w:rsid w:val="2AF91248"/>
    <w:rsid w:val="2B081734"/>
    <w:rsid w:val="2B09317D"/>
    <w:rsid w:val="2B116592"/>
    <w:rsid w:val="2B181536"/>
    <w:rsid w:val="2B2C6BA2"/>
    <w:rsid w:val="2B341EF0"/>
    <w:rsid w:val="2B3D4992"/>
    <w:rsid w:val="2B3D7387"/>
    <w:rsid w:val="2B5B15BB"/>
    <w:rsid w:val="2B634FBD"/>
    <w:rsid w:val="2B764647"/>
    <w:rsid w:val="2B830CED"/>
    <w:rsid w:val="2B842DE8"/>
    <w:rsid w:val="2B8815F9"/>
    <w:rsid w:val="2B8F1669"/>
    <w:rsid w:val="2B960AC3"/>
    <w:rsid w:val="2B9C3BC7"/>
    <w:rsid w:val="2BA75E7D"/>
    <w:rsid w:val="2BAE2033"/>
    <w:rsid w:val="2BBD4024"/>
    <w:rsid w:val="2BCA6741"/>
    <w:rsid w:val="2BDD1F05"/>
    <w:rsid w:val="2BDF043E"/>
    <w:rsid w:val="2BEE68D3"/>
    <w:rsid w:val="2C091017"/>
    <w:rsid w:val="2C181352"/>
    <w:rsid w:val="2C210A56"/>
    <w:rsid w:val="2C22657D"/>
    <w:rsid w:val="2C2E0D4E"/>
    <w:rsid w:val="2C2E1BA9"/>
    <w:rsid w:val="2C31056E"/>
    <w:rsid w:val="2C493B09"/>
    <w:rsid w:val="2C5A7AC4"/>
    <w:rsid w:val="2C66290D"/>
    <w:rsid w:val="2C703257"/>
    <w:rsid w:val="2C710EE2"/>
    <w:rsid w:val="2C797E8C"/>
    <w:rsid w:val="2C895EB5"/>
    <w:rsid w:val="2C981092"/>
    <w:rsid w:val="2C9D3A89"/>
    <w:rsid w:val="2CB2345D"/>
    <w:rsid w:val="2CB92402"/>
    <w:rsid w:val="2CEC5E40"/>
    <w:rsid w:val="2D0B6A5D"/>
    <w:rsid w:val="2D123224"/>
    <w:rsid w:val="2D2D1B91"/>
    <w:rsid w:val="2D455999"/>
    <w:rsid w:val="2D4C0AA8"/>
    <w:rsid w:val="2D560DCD"/>
    <w:rsid w:val="2D8A7EAC"/>
    <w:rsid w:val="2DA326E8"/>
    <w:rsid w:val="2DBB27E5"/>
    <w:rsid w:val="2DC1265E"/>
    <w:rsid w:val="2DCC46A5"/>
    <w:rsid w:val="2DEA3ADD"/>
    <w:rsid w:val="2DEC6E42"/>
    <w:rsid w:val="2E060D0E"/>
    <w:rsid w:val="2E0C4DEE"/>
    <w:rsid w:val="2E144526"/>
    <w:rsid w:val="2E1562CD"/>
    <w:rsid w:val="2E230AA6"/>
    <w:rsid w:val="2E262354"/>
    <w:rsid w:val="2E2843FB"/>
    <w:rsid w:val="2E294772"/>
    <w:rsid w:val="2E2E799A"/>
    <w:rsid w:val="2E3063D5"/>
    <w:rsid w:val="2E336C50"/>
    <w:rsid w:val="2E400F3C"/>
    <w:rsid w:val="2E4B2482"/>
    <w:rsid w:val="2E5B0E2E"/>
    <w:rsid w:val="2E6279C6"/>
    <w:rsid w:val="2E635A59"/>
    <w:rsid w:val="2EAA5F11"/>
    <w:rsid w:val="2EB72AA3"/>
    <w:rsid w:val="2ECB4CA9"/>
    <w:rsid w:val="2EE45D6B"/>
    <w:rsid w:val="2EEE2BA1"/>
    <w:rsid w:val="2EFE507F"/>
    <w:rsid w:val="2EFF2BA5"/>
    <w:rsid w:val="2F1C5505"/>
    <w:rsid w:val="2F3B0811"/>
    <w:rsid w:val="2F594288"/>
    <w:rsid w:val="2F6110DD"/>
    <w:rsid w:val="2F6856D6"/>
    <w:rsid w:val="2F856F8B"/>
    <w:rsid w:val="2F987F32"/>
    <w:rsid w:val="2FAD5F0B"/>
    <w:rsid w:val="2FB120F1"/>
    <w:rsid w:val="2FBE78D3"/>
    <w:rsid w:val="2FC736C3"/>
    <w:rsid w:val="2FCD3757"/>
    <w:rsid w:val="2FDB0F1C"/>
    <w:rsid w:val="2FDE27BA"/>
    <w:rsid w:val="2FE74BAE"/>
    <w:rsid w:val="2FF540FA"/>
    <w:rsid w:val="2FF54C06"/>
    <w:rsid w:val="2FFE2E5D"/>
    <w:rsid w:val="30003A4C"/>
    <w:rsid w:val="30030473"/>
    <w:rsid w:val="30146793"/>
    <w:rsid w:val="30147BBD"/>
    <w:rsid w:val="301B7CA8"/>
    <w:rsid w:val="30466CDD"/>
    <w:rsid w:val="305731A1"/>
    <w:rsid w:val="306F0A59"/>
    <w:rsid w:val="3082680F"/>
    <w:rsid w:val="309243C0"/>
    <w:rsid w:val="309E140D"/>
    <w:rsid w:val="30A457B2"/>
    <w:rsid w:val="30AD45FE"/>
    <w:rsid w:val="30B52A83"/>
    <w:rsid w:val="30C9346B"/>
    <w:rsid w:val="30C95EA8"/>
    <w:rsid w:val="30E7256B"/>
    <w:rsid w:val="31012C04"/>
    <w:rsid w:val="310E70CF"/>
    <w:rsid w:val="31327262"/>
    <w:rsid w:val="31375948"/>
    <w:rsid w:val="313F4FFA"/>
    <w:rsid w:val="314760EE"/>
    <w:rsid w:val="315076E8"/>
    <w:rsid w:val="315A745C"/>
    <w:rsid w:val="31634B42"/>
    <w:rsid w:val="317319DE"/>
    <w:rsid w:val="319A665C"/>
    <w:rsid w:val="31A72A29"/>
    <w:rsid w:val="31AD2471"/>
    <w:rsid w:val="31AD7BE9"/>
    <w:rsid w:val="31C75008"/>
    <w:rsid w:val="31D50D66"/>
    <w:rsid w:val="31DA4405"/>
    <w:rsid w:val="31DB16A7"/>
    <w:rsid w:val="31F2450F"/>
    <w:rsid w:val="32087FC3"/>
    <w:rsid w:val="32143204"/>
    <w:rsid w:val="32186458"/>
    <w:rsid w:val="321E77E6"/>
    <w:rsid w:val="321F3CD8"/>
    <w:rsid w:val="32236288"/>
    <w:rsid w:val="322D1335"/>
    <w:rsid w:val="325F264C"/>
    <w:rsid w:val="3260443B"/>
    <w:rsid w:val="32672F3B"/>
    <w:rsid w:val="32676A97"/>
    <w:rsid w:val="327A1535"/>
    <w:rsid w:val="327F76D8"/>
    <w:rsid w:val="32851613"/>
    <w:rsid w:val="3288246C"/>
    <w:rsid w:val="32926B0B"/>
    <w:rsid w:val="32A63A63"/>
    <w:rsid w:val="32A95302"/>
    <w:rsid w:val="32AF0265"/>
    <w:rsid w:val="32BE5501"/>
    <w:rsid w:val="32D47F84"/>
    <w:rsid w:val="32D87995"/>
    <w:rsid w:val="32D92CDB"/>
    <w:rsid w:val="32DB1C5F"/>
    <w:rsid w:val="32EA681C"/>
    <w:rsid w:val="32EC5C70"/>
    <w:rsid w:val="32EE1841"/>
    <w:rsid w:val="32FF4F22"/>
    <w:rsid w:val="33014A95"/>
    <w:rsid w:val="33022C64"/>
    <w:rsid w:val="33095DA0"/>
    <w:rsid w:val="331462D9"/>
    <w:rsid w:val="331A61FF"/>
    <w:rsid w:val="332B3F69"/>
    <w:rsid w:val="332C69B5"/>
    <w:rsid w:val="3341340F"/>
    <w:rsid w:val="33460345"/>
    <w:rsid w:val="33514C1C"/>
    <w:rsid w:val="33580FD6"/>
    <w:rsid w:val="335C57D6"/>
    <w:rsid w:val="33812D41"/>
    <w:rsid w:val="33941B0E"/>
    <w:rsid w:val="33B51A84"/>
    <w:rsid w:val="33B55D30"/>
    <w:rsid w:val="33C42EFC"/>
    <w:rsid w:val="33C61EE3"/>
    <w:rsid w:val="33CC5059"/>
    <w:rsid w:val="33D72BA4"/>
    <w:rsid w:val="33E915F3"/>
    <w:rsid w:val="33F14E3F"/>
    <w:rsid w:val="33F43719"/>
    <w:rsid w:val="33FE6037"/>
    <w:rsid w:val="34002C60"/>
    <w:rsid w:val="343017E0"/>
    <w:rsid w:val="344057F2"/>
    <w:rsid w:val="34470F4D"/>
    <w:rsid w:val="344D7F0F"/>
    <w:rsid w:val="3458039D"/>
    <w:rsid w:val="34593FB8"/>
    <w:rsid w:val="34757B91"/>
    <w:rsid w:val="34790259"/>
    <w:rsid w:val="347D07F4"/>
    <w:rsid w:val="347E1FD2"/>
    <w:rsid w:val="34833825"/>
    <w:rsid w:val="348558FB"/>
    <w:rsid w:val="34A246FE"/>
    <w:rsid w:val="34AE2A73"/>
    <w:rsid w:val="34BD32E6"/>
    <w:rsid w:val="34C40D15"/>
    <w:rsid w:val="34CD748C"/>
    <w:rsid w:val="34DB5183"/>
    <w:rsid w:val="34E24AFB"/>
    <w:rsid w:val="350902DA"/>
    <w:rsid w:val="35132F06"/>
    <w:rsid w:val="35144DC0"/>
    <w:rsid w:val="3518051D"/>
    <w:rsid w:val="352132DA"/>
    <w:rsid w:val="354D5B85"/>
    <w:rsid w:val="35707279"/>
    <w:rsid w:val="3578720D"/>
    <w:rsid w:val="357D4824"/>
    <w:rsid w:val="358160C2"/>
    <w:rsid w:val="35A27F45"/>
    <w:rsid w:val="35AD1CD3"/>
    <w:rsid w:val="35AF0108"/>
    <w:rsid w:val="35B12CA3"/>
    <w:rsid w:val="35D346B8"/>
    <w:rsid w:val="35F13CF7"/>
    <w:rsid w:val="36120683"/>
    <w:rsid w:val="361909F0"/>
    <w:rsid w:val="36294A38"/>
    <w:rsid w:val="362A49AB"/>
    <w:rsid w:val="362B3081"/>
    <w:rsid w:val="36326BC5"/>
    <w:rsid w:val="36402219"/>
    <w:rsid w:val="36407D2B"/>
    <w:rsid w:val="3649562D"/>
    <w:rsid w:val="36631BE4"/>
    <w:rsid w:val="36747A1D"/>
    <w:rsid w:val="36792EB9"/>
    <w:rsid w:val="367D0F7F"/>
    <w:rsid w:val="368A5F83"/>
    <w:rsid w:val="368D6C58"/>
    <w:rsid w:val="36D64360"/>
    <w:rsid w:val="36E515F1"/>
    <w:rsid w:val="36E82F71"/>
    <w:rsid w:val="36E903C3"/>
    <w:rsid w:val="370C7B03"/>
    <w:rsid w:val="37214898"/>
    <w:rsid w:val="37255FFD"/>
    <w:rsid w:val="37323B03"/>
    <w:rsid w:val="374019EB"/>
    <w:rsid w:val="3747333B"/>
    <w:rsid w:val="374A4436"/>
    <w:rsid w:val="374A6F7B"/>
    <w:rsid w:val="374C6AA7"/>
    <w:rsid w:val="374E2388"/>
    <w:rsid w:val="375430B6"/>
    <w:rsid w:val="379540A7"/>
    <w:rsid w:val="379C34DB"/>
    <w:rsid w:val="37A662B4"/>
    <w:rsid w:val="37AC319E"/>
    <w:rsid w:val="37C96CE5"/>
    <w:rsid w:val="37CA566B"/>
    <w:rsid w:val="37D2672A"/>
    <w:rsid w:val="37D3697D"/>
    <w:rsid w:val="37E623B5"/>
    <w:rsid w:val="37E82428"/>
    <w:rsid w:val="37E87724"/>
    <w:rsid w:val="37FA50C2"/>
    <w:rsid w:val="38003798"/>
    <w:rsid w:val="380803DD"/>
    <w:rsid w:val="380D40C9"/>
    <w:rsid w:val="380E46BF"/>
    <w:rsid w:val="38170F5F"/>
    <w:rsid w:val="38194CD8"/>
    <w:rsid w:val="38292433"/>
    <w:rsid w:val="38313807"/>
    <w:rsid w:val="383832E4"/>
    <w:rsid w:val="38412DA1"/>
    <w:rsid w:val="384A512D"/>
    <w:rsid w:val="3853724F"/>
    <w:rsid w:val="386341A5"/>
    <w:rsid w:val="387A2D4D"/>
    <w:rsid w:val="389A08FE"/>
    <w:rsid w:val="38A241A6"/>
    <w:rsid w:val="38A528A2"/>
    <w:rsid w:val="38A677FE"/>
    <w:rsid w:val="38B14F10"/>
    <w:rsid w:val="38D4441C"/>
    <w:rsid w:val="38E52E0C"/>
    <w:rsid w:val="38FA30DF"/>
    <w:rsid w:val="39046EC4"/>
    <w:rsid w:val="390908A8"/>
    <w:rsid w:val="391060DB"/>
    <w:rsid w:val="391B25BA"/>
    <w:rsid w:val="393B2A2C"/>
    <w:rsid w:val="39462F2A"/>
    <w:rsid w:val="394F0285"/>
    <w:rsid w:val="39564958"/>
    <w:rsid w:val="395A201B"/>
    <w:rsid w:val="395D6E46"/>
    <w:rsid w:val="396C150B"/>
    <w:rsid w:val="39730417"/>
    <w:rsid w:val="399D7242"/>
    <w:rsid w:val="39A15CD6"/>
    <w:rsid w:val="39B17496"/>
    <w:rsid w:val="39B506F2"/>
    <w:rsid w:val="39C66799"/>
    <w:rsid w:val="39E03482"/>
    <w:rsid w:val="3A234D7B"/>
    <w:rsid w:val="3A3A1AE8"/>
    <w:rsid w:val="3A3B7187"/>
    <w:rsid w:val="3A4A73CA"/>
    <w:rsid w:val="3A667F7C"/>
    <w:rsid w:val="3A726921"/>
    <w:rsid w:val="3A7D53E1"/>
    <w:rsid w:val="3A87079F"/>
    <w:rsid w:val="3A8E29D3"/>
    <w:rsid w:val="3A903883"/>
    <w:rsid w:val="3A9E3272"/>
    <w:rsid w:val="3AA50161"/>
    <w:rsid w:val="3AC0143A"/>
    <w:rsid w:val="3AD249E7"/>
    <w:rsid w:val="3AE11DE1"/>
    <w:rsid w:val="3AE16E49"/>
    <w:rsid w:val="3AFA0DF0"/>
    <w:rsid w:val="3B0F5F1E"/>
    <w:rsid w:val="3B217306"/>
    <w:rsid w:val="3B243218"/>
    <w:rsid w:val="3B293484"/>
    <w:rsid w:val="3B2F1426"/>
    <w:rsid w:val="3B433CCB"/>
    <w:rsid w:val="3B4A3779"/>
    <w:rsid w:val="3B5953EB"/>
    <w:rsid w:val="3B7874E6"/>
    <w:rsid w:val="3B7B4311"/>
    <w:rsid w:val="3B92543E"/>
    <w:rsid w:val="3B997AE8"/>
    <w:rsid w:val="3B9D79CE"/>
    <w:rsid w:val="3BAB20EB"/>
    <w:rsid w:val="3BAC1821"/>
    <w:rsid w:val="3BAC5E63"/>
    <w:rsid w:val="3BAC628D"/>
    <w:rsid w:val="3BC60A9D"/>
    <w:rsid w:val="3BD11DBB"/>
    <w:rsid w:val="3BD81646"/>
    <w:rsid w:val="3BE81FCD"/>
    <w:rsid w:val="3BEA0701"/>
    <w:rsid w:val="3BEE28FF"/>
    <w:rsid w:val="3BF61B6B"/>
    <w:rsid w:val="3BFC64A2"/>
    <w:rsid w:val="3C0B0DDB"/>
    <w:rsid w:val="3C4877ED"/>
    <w:rsid w:val="3C547B47"/>
    <w:rsid w:val="3C5A58BF"/>
    <w:rsid w:val="3C5B37E7"/>
    <w:rsid w:val="3C6127A9"/>
    <w:rsid w:val="3C636171"/>
    <w:rsid w:val="3C664263"/>
    <w:rsid w:val="3C706B34"/>
    <w:rsid w:val="3C8674DF"/>
    <w:rsid w:val="3C911248"/>
    <w:rsid w:val="3CA479E0"/>
    <w:rsid w:val="3CBD3289"/>
    <w:rsid w:val="3CC243E3"/>
    <w:rsid w:val="3CCC214C"/>
    <w:rsid w:val="3CD147A4"/>
    <w:rsid w:val="3CD66855"/>
    <w:rsid w:val="3CDA6FAE"/>
    <w:rsid w:val="3CDF60CE"/>
    <w:rsid w:val="3CF93E6F"/>
    <w:rsid w:val="3D0329CE"/>
    <w:rsid w:val="3D3A30E3"/>
    <w:rsid w:val="3D424389"/>
    <w:rsid w:val="3D504798"/>
    <w:rsid w:val="3D5C0760"/>
    <w:rsid w:val="3D5E3B4D"/>
    <w:rsid w:val="3D63018E"/>
    <w:rsid w:val="3D6407A3"/>
    <w:rsid w:val="3DAE5EC2"/>
    <w:rsid w:val="3DB95AEB"/>
    <w:rsid w:val="3DBC024A"/>
    <w:rsid w:val="3DCF659A"/>
    <w:rsid w:val="3DD96D0B"/>
    <w:rsid w:val="3DEC0798"/>
    <w:rsid w:val="3DEC564C"/>
    <w:rsid w:val="3DEE5BAB"/>
    <w:rsid w:val="3DFD4AF1"/>
    <w:rsid w:val="3E1D4AF4"/>
    <w:rsid w:val="3E276F6E"/>
    <w:rsid w:val="3E4B4094"/>
    <w:rsid w:val="3E636451"/>
    <w:rsid w:val="3E6F5651"/>
    <w:rsid w:val="3E8D3D29"/>
    <w:rsid w:val="3E95498C"/>
    <w:rsid w:val="3EBA2645"/>
    <w:rsid w:val="3ED63527"/>
    <w:rsid w:val="3ED67B55"/>
    <w:rsid w:val="3EE70C7C"/>
    <w:rsid w:val="3EEF6C51"/>
    <w:rsid w:val="3EF74D33"/>
    <w:rsid w:val="3F057D64"/>
    <w:rsid w:val="3F075CC4"/>
    <w:rsid w:val="3F0D6C18"/>
    <w:rsid w:val="3F21712E"/>
    <w:rsid w:val="3F275F2C"/>
    <w:rsid w:val="3F285DF0"/>
    <w:rsid w:val="3F2C29E1"/>
    <w:rsid w:val="3F384C10"/>
    <w:rsid w:val="3F5A28C3"/>
    <w:rsid w:val="3F740A45"/>
    <w:rsid w:val="3FA4757D"/>
    <w:rsid w:val="3FA5067B"/>
    <w:rsid w:val="3FAA3C10"/>
    <w:rsid w:val="3FB43DF9"/>
    <w:rsid w:val="3FD3204B"/>
    <w:rsid w:val="3FDB4706"/>
    <w:rsid w:val="3FF51B86"/>
    <w:rsid w:val="3FFD6C8D"/>
    <w:rsid w:val="4010076E"/>
    <w:rsid w:val="40193A36"/>
    <w:rsid w:val="40204729"/>
    <w:rsid w:val="404011A2"/>
    <w:rsid w:val="40402FA6"/>
    <w:rsid w:val="40584539"/>
    <w:rsid w:val="405D1A2A"/>
    <w:rsid w:val="40612D9E"/>
    <w:rsid w:val="40782251"/>
    <w:rsid w:val="40A23968"/>
    <w:rsid w:val="40B445FE"/>
    <w:rsid w:val="40BA4B7E"/>
    <w:rsid w:val="40C55EA8"/>
    <w:rsid w:val="40C61775"/>
    <w:rsid w:val="40CF687B"/>
    <w:rsid w:val="40DB409D"/>
    <w:rsid w:val="40E35B04"/>
    <w:rsid w:val="40E972DF"/>
    <w:rsid w:val="40ED136E"/>
    <w:rsid w:val="40F24F08"/>
    <w:rsid w:val="41126768"/>
    <w:rsid w:val="411E6EBB"/>
    <w:rsid w:val="41250249"/>
    <w:rsid w:val="412D5718"/>
    <w:rsid w:val="41480E16"/>
    <w:rsid w:val="414B08D8"/>
    <w:rsid w:val="414C2E08"/>
    <w:rsid w:val="414F3F68"/>
    <w:rsid w:val="41582082"/>
    <w:rsid w:val="41872CB2"/>
    <w:rsid w:val="41874A60"/>
    <w:rsid w:val="4197657D"/>
    <w:rsid w:val="41AE1418"/>
    <w:rsid w:val="41BA6D64"/>
    <w:rsid w:val="41BE544A"/>
    <w:rsid w:val="41C4132E"/>
    <w:rsid w:val="41D35EF7"/>
    <w:rsid w:val="41DA7286"/>
    <w:rsid w:val="42063A3A"/>
    <w:rsid w:val="4214405D"/>
    <w:rsid w:val="42171D70"/>
    <w:rsid w:val="42183589"/>
    <w:rsid w:val="42341E97"/>
    <w:rsid w:val="42376E3B"/>
    <w:rsid w:val="42613503"/>
    <w:rsid w:val="42755200"/>
    <w:rsid w:val="427721CF"/>
    <w:rsid w:val="428627B5"/>
    <w:rsid w:val="429A0F55"/>
    <w:rsid w:val="42A31D6D"/>
    <w:rsid w:val="42AC6B19"/>
    <w:rsid w:val="42B20202"/>
    <w:rsid w:val="42B67CE3"/>
    <w:rsid w:val="42BB7663"/>
    <w:rsid w:val="42C700D1"/>
    <w:rsid w:val="42CB0D1B"/>
    <w:rsid w:val="42CB7EE2"/>
    <w:rsid w:val="42F779C3"/>
    <w:rsid w:val="430D368B"/>
    <w:rsid w:val="431E02ED"/>
    <w:rsid w:val="433E55F2"/>
    <w:rsid w:val="4355293C"/>
    <w:rsid w:val="43827BD5"/>
    <w:rsid w:val="438356FB"/>
    <w:rsid w:val="438374A9"/>
    <w:rsid w:val="43994DD7"/>
    <w:rsid w:val="43997436"/>
    <w:rsid w:val="439B2D87"/>
    <w:rsid w:val="43AC3ED1"/>
    <w:rsid w:val="43BE41CB"/>
    <w:rsid w:val="43F16B09"/>
    <w:rsid w:val="43F202D8"/>
    <w:rsid w:val="43F45BD0"/>
    <w:rsid w:val="43FB478E"/>
    <w:rsid w:val="43FC6D22"/>
    <w:rsid w:val="440873F8"/>
    <w:rsid w:val="4411001F"/>
    <w:rsid w:val="44112439"/>
    <w:rsid w:val="44142073"/>
    <w:rsid w:val="44204C51"/>
    <w:rsid w:val="44301B45"/>
    <w:rsid w:val="443C78D0"/>
    <w:rsid w:val="443F3F3E"/>
    <w:rsid w:val="44555450"/>
    <w:rsid w:val="445D7297"/>
    <w:rsid w:val="446A1915"/>
    <w:rsid w:val="4477512B"/>
    <w:rsid w:val="44790B63"/>
    <w:rsid w:val="449C1238"/>
    <w:rsid w:val="449F0024"/>
    <w:rsid w:val="449F5E85"/>
    <w:rsid w:val="44A1052F"/>
    <w:rsid w:val="44B10EA1"/>
    <w:rsid w:val="44B53FC2"/>
    <w:rsid w:val="44B546FA"/>
    <w:rsid w:val="44BF2CE3"/>
    <w:rsid w:val="44C13F54"/>
    <w:rsid w:val="44D83825"/>
    <w:rsid w:val="44E14D9A"/>
    <w:rsid w:val="44E16B7D"/>
    <w:rsid w:val="44EC452F"/>
    <w:rsid w:val="44FC597B"/>
    <w:rsid w:val="451707F1"/>
    <w:rsid w:val="451A1577"/>
    <w:rsid w:val="452901CE"/>
    <w:rsid w:val="453E08E3"/>
    <w:rsid w:val="456078ED"/>
    <w:rsid w:val="456F753C"/>
    <w:rsid w:val="45AA3413"/>
    <w:rsid w:val="45C30031"/>
    <w:rsid w:val="45C53E45"/>
    <w:rsid w:val="45D43FEC"/>
    <w:rsid w:val="45D60368"/>
    <w:rsid w:val="46001285"/>
    <w:rsid w:val="46050649"/>
    <w:rsid w:val="462211FB"/>
    <w:rsid w:val="462417D4"/>
    <w:rsid w:val="462E5DF2"/>
    <w:rsid w:val="463A4797"/>
    <w:rsid w:val="463C5F52"/>
    <w:rsid w:val="46431172"/>
    <w:rsid w:val="464521E7"/>
    <w:rsid w:val="46455732"/>
    <w:rsid w:val="46495120"/>
    <w:rsid w:val="466B19C4"/>
    <w:rsid w:val="467D4684"/>
    <w:rsid w:val="46AB281B"/>
    <w:rsid w:val="46B67B95"/>
    <w:rsid w:val="46C329DE"/>
    <w:rsid w:val="46C97C75"/>
    <w:rsid w:val="46D00C57"/>
    <w:rsid w:val="46D6477E"/>
    <w:rsid w:val="46E94D27"/>
    <w:rsid w:val="46EF27ED"/>
    <w:rsid w:val="46EF355C"/>
    <w:rsid w:val="471274C2"/>
    <w:rsid w:val="47233BB3"/>
    <w:rsid w:val="472657A6"/>
    <w:rsid w:val="47304C90"/>
    <w:rsid w:val="473F3908"/>
    <w:rsid w:val="47406A95"/>
    <w:rsid w:val="474C71FC"/>
    <w:rsid w:val="474D6260"/>
    <w:rsid w:val="4754581B"/>
    <w:rsid w:val="47625A6E"/>
    <w:rsid w:val="4779309D"/>
    <w:rsid w:val="477F442B"/>
    <w:rsid w:val="478A7058"/>
    <w:rsid w:val="47925F0D"/>
    <w:rsid w:val="47946129"/>
    <w:rsid w:val="47963FF7"/>
    <w:rsid w:val="47A3636C"/>
    <w:rsid w:val="47A85096"/>
    <w:rsid w:val="47AD0D2F"/>
    <w:rsid w:val="47AF44AD"/>
    <w:rsid w:val="47AF4D11"/>
    <w:rsid w:val="47C75C4C"/>
    <w:rsid w:val="47CD0DEC"/>
    <w:rsid w:val="47CD5197"/>
    <w:rsid w:val="47D112E0"/>
    <w:rsid w:val="47F00E85"/>
    <w:rsid w:val="48041AAC"/>
    <w:rsid w:val="480D3A23"/>
    <w:rsid w:val="483A0C1F"/>
    <w:rsid w:val="4846741F"/>
    <w:rsid w:val="484D0086"/>
    <w:rsid w:val="484E4529"/>
    <w:rsid w:val="485C55E7"/>
    <w:rsid w:val="485C7379"/>
    <w:rsid w:val="487D4E0F"/>
    <w:rsid w:val="48954542"/>
    <w:rsid w:val="489C48EF"/>
    <w:rsid w:val="48AB372A"/>
    <w:rsid w:val="48B06F92"/>
    <w:rsid w:val="48DA7B6B"/>
    <w:rsid w:val="48F01FB9"/>
    <w:rsid w:val="49175151"/>
    <w:rsid w:val="492872E4"/>
    <w:rsid w:val="493A64EB"/>
    <w:rsid w:val="4941669C"/>
    <w:rsid w:val="4949284A"/>
    <w:rsid w:val="494B6C4D"/>
    <w:rsid w:val="4958156F"/>
    <w:rsid w:val="496C2214"/>
    <w:rsid w:val="496D5E51"/>
    <w:rsid w:val="496D7ED3"/>
    <w:rsid w:val="49790663"/>
    <w:rsid w:val="49861160"/>
    <w:rsid w:val="49883A05"/>
    <w:rsid w:val="49933A5A"/>
    <w:rsid w:val="49A14359"/>
    <w:rsid w:val="49AF10F0"/>
    <w:rsid w:val="49B74940"/>
    <w:rsid w:val="49C03205"/>
    <w:rsid w:val="49C11CF5"/>
    <w:rsid w:val="49C2084A"/>
    <w:rsid w:val="49C660D4"/>
    <w:rsid w:val="49D16BE6"/>
    <w:rsid w:val="49FD12F9"/>
    <w:rsid w:val="49FE5F91"/>
    <w:rsid w:val="4A026F25"/>
    <w:rsid w:val="4A0E4BFD"/>
    <w:rsid w:val="4A1A5506"/>
    <w:rsid w:val="4A1C041F"/>
    <w:rsid w:val="4A372155"/>
    <w:rsid w:val="4A3749D0"/>
    <w:rsid w:val="4A3D7280"/>
    <w:rsid w:val="4A553B36"/>
    <w:rsid w:val="4A6726BA"/>
    <w:rsid w:val="4A783AE0"/>
    <w:rsid w:val="4A8A6B0D"/>
    <w:rsid w:val="4A8F7AF1"/>
    <w:rsid w:val="4AA448D5"/>
    <w:rsid w:val="4ACC7988"/>
    <w:rsid w:val="4AD877C8"/>
    <w:rsid w:val="4AE271AB"/>
    <w:rsid w:val="4AEA67B3"/>
    <w:rsid w:val="4B2E0642"/>
    <w:rsid w:val="4B4900AE"/>
    <w:rsid w:val="4B6021EA"/>
    <w:rsid w:val="4B6B0F4E"/>
    <w:rsid w:val="4B6F679E"/>
    <w:rsid w:val="4B83273C"/>
    <w:rsid w:val="4BB5666E"/>
    <w:rsid w:val="4BEB6533"/>
    <w:rsid w:val="4BFF74B1"/>
    <w:rsid w:val="4C0263CE"/>
    <w:rsid w:val="4C0473C6"/>
    <w:rsid w:val="4C2537F3"/>
    <w:rsid w:val="4C2555A1"/>
    <w:rsid w:val="4C266086"/>
    <w:rsid w:val="4C3618DB"/>
    <w:rsid w:val="4C4F0AB3"/>
    <w:rsid w:val="4C531C47"/>
    <w:rsid w:val="4C586FC6"/>
    <w:rsid w:val="4C5D0796"/>
    <w:rsid w:val="4C6360FE"/>
    <w:rsid w:val="4C72455F"/>
    <w:rsid w:val="4C793B3F"/>
    <w:rsid w:val="4C8E75EA"/>
    <w:rsid w:val="4C9C194B"/>
    <w:rsid w:val="4CC15AE1"/>
    <w:rsid w:val="4CC35BEB"/>
    <w:rsid w:val="4CCF60BD"/>
    <w:rsid w:val="4CD02929"/>
    <w:rsid w:val="4CD370C7"/>
    <w:rsid w:val="4CDE5035"/>
    <w:rsid w:val="4CE41265"/>
    <w:rsid w:val="4D103667"/>
    <w:rsid w:val="4D185106"/>
    <w:rsid w:val="4D1A59F9"/>
    <w:rsid w:val="4D363E53"/>
    <w:rsid w:val="4D3701CB"/>
    <w:rsid w:val="4D386DDA"/>
    <w:rsid w:val="4D4B7AFC"/>
    <w:rsid w:val="4D715F84"/>
    <w:rsid w:val="4D7851EB"/>
    <w:rsid w:val="4D9229C5"/>
    <w:rsid w:val="4D953FDE"/>
    <w:rsid w:val="4D9C7AE5"/>
    <w:rsid w:val="4D9E1AAF"/>
    <w:rsid w:val="4DA501AA"/>
    <w:rsid w:val="4DAA3EA7"/>
    <w:rsid w:val="4DB4344C"/>
    <w:rsid w:val="4DB51455"/>
    <w:rsid w:val="4DC62FE4"/>
    <w:rsid w:val="4DC8250B"/>
    <w:rsid w:val="4DED4BFE"/>
    <w:rsid w:val="4DEE61D1"/>
    <w:rsid w:val="4E0005F3"/>
    <w:rsid w:val="4E0E6509"/>
    <w:rsid w:val="4E186966"/>
    <w:rsid w:val="4E3F2CAA"/>
    <w:rsid w:val="4E4854B2"/>
    <w:rsid w:val="4E5263F6"/>
    <w:rsid w:val="4E6951D8"/>
    <w:rsid w:val="4E74636C"/>
    <w:rsid w:val="4E78439B"/>
    <w:rsid w:val="4E7B1363"/>
    <w:rsid w:val="4E8A3DE2"/>
    <w:rsid w:val="4ED65CB0"/>
    <w:rsid w:val="4EE84443"/>
    <w:rsid w:val="4F0352F3"/>
    <w:rsid w:val="4F135B85"/>
    <w:rsid w:val="4F2D30F6"/>
    <w:rsid w:val="4F2D4EEE"/>
    <w:rsid w:val="4F3F2683"/>
    <w:rsid w:val="4F58517B"/>
    <w:rsid w:val="4F5E5D57"/>
    <w:rsid w:val="4F5F526E"/>
    <w:rsid w:val="4F664600"/>
    <w:rsid w:val="4F6C109F"/>
    <w:rsid w:val="4F7A20A8"/>
    <w:rsid w:val="4F846A83"/>
    <w:rsid w:val="4F8847C5"/>
    <w:rsid w:val="4F90367A"/>
    <w:rsid w:val="4F98252E"/>
    <w:rsid w:val="4F993C1F"/>
    <w:rsid w:val="4F9A241D"/>
    <w:rsid w:val="4FA52839"/>
    <w:rsid w:val="4FA60096"/>
    <w:rsid w:val="4FA831D2"/>
    <w:rsid w:val="4FB6798D"/>
    <w:rsid w:val="4FBC575D"/>
    <w:rsid w:val="4FC1120E"/>
    <w:rsid w:val="4FCF5F48"/>
    <w:rsid w:val="4FD77F76"/>
    <w:rsid w:val="4FDC68BF"/>
    <w:rsid w:val="50165391"/>
    <w:rsid w:val="501A73E7"/>
    <w:rsid w:val="501D4EFB"/>
    <w:rsid w:val="502D711A"/>
    <w:rsid w:val="503469BD"/>
    <w:rsid w:val="503844DC"/>
    <w:rsid w:val="504E0E81"/>
    <w:rsid w:val="5057648D"/>
    <w:rsid w:val="505B18D4"/>
    <w:rsid w:val="50621059"/>
    <w:rsid w:val="508A5DF4"/>
    <w:rsid w:val="50940F47"/>
    <w:rsid w:val="50970A38"/>
    <w:rsid w:val="509C1BAA"/>
    <w:rsid w:val="50A8054F"/>
    <w:rsid w:val="50A820D4"/>
    <w:rsid w:val="50AD422D"/>
    <w:rsid w:val="50AD4A4F"/>
    <w:rsid w:val="50D37CC2"/>
    <w:rsid w:val="50D57015"/>
    <w:rsid w:val="50E84DEF"/>
    <w:rsid w:val="50F56EA0"/>
    <w:rsid w:val="5107796B"/>
    <w:rsid w:val="5108607B"/>
    <w:rsid w:val="51171918"/>
    <w:rsid w:val="511B41EA"/>
    <w:rsid w:val="512C73D2"/>
    <w:rsid w:val="512C7ED2"/>
    <w:rsid w:val="51450494"/>
    <w:rsid w:val="5148134E"/>
    <w:rsid w:val="51510BE7"/>
    <w:rsid w:val="5164091A"/>
    <w:rsid w:val="51677F27"/>
    <w:rsid w:val="518F170F"/>
    <w:rsid w:val="51A056CA"/>
    <w:rsid w:val="51A451BA"/>
    <w:rsid w:val="51B80BAA"/>
    <w:rsid w:val="51BF28E4"/>
    <w:rsid w:val="51C1288B"/>
    <w:rsid w:val="51DC2283"/>
    <w:rsid w:val="51E657D3"/>
    <w:rsid w:val="51EA1F0C"/>
    <w:rsid w:val="51FB798D"/>
    <w:rsid w:val="51FC4FF6"/>
    <w:rsid w:val="52081B54"/>
    <w:rsid w:val="520B6FE7"/>
    <w:rsid w:val="522B58DB"/>
    <w:rsid w:val="52477F24"/>
    <w:rsid w:val="524B7D2C"/>
    <w:rsid w:val="52501DAB"/>
    <w:rsid w:val="5256651E"/>
    <w:rsid w:val="52691BE6"/>
    <w:rsid w:val="526B23B2"/>
    <w:rsid w:val="52730B44"/>
    <w:rsid w:val="52733A71"/>
    <w:rsid w:val="5277467D"/>
    <w:rsid w:val="529C0587"/>
    <w:rsid w:val="52A5743C"/>
    <w:rsid w:val="52AE4870"/>
    <w:rsid w:val="52B66E3F"/>
    <w:rsid w:val="52BD5936"/>
    <w:rsid w:val="52C378C2"/>
    <w:rsid w:val="52C7501B"/>
    <w:rsid w:val="52C8137C"/>
    <w:rsid w:val="52C86D86"/>
    <w:rsid w:val="52D27B05"/>
    <w:rsid w:val="52E53CDC"/>
    <w:rsid w:val="52E73435"/>
    <w:rsid w:val="52EF6909"/>
    <w:rsid w:val="52F56F98"/>
    <w:rsid w:val="531E2D4A"/>
    <w:rsid w:val="533802B0"/>
    <w:rsid w:val="5349426B"/>
    <w:rsid w:val="53570DD0"/>
    <w:rsid w:val="535C7948"/>
    <w:rsid w:val="53605111"/>
    <w:rsid w:val="53626210"/>
    <w:rsid w:val="536C61AC"/>
    <w:rsid w:val="53764934"/>
    <w:rsid w:val="5376752B"/>
    <w:rsid w:val="537979E1"/>
    <w:rsid w:val="53861A20"/>
    <w:rsid w:val="538816E0"/>
    <w:rsid w:val="53BD18F1"/>
    <w:rsid w:val="53D8114B"/>
    <w:rsid w:val="53E04DBD"/>
    <w:rsid w:val="53EF674A"/>
    <w:rsid w:val="53F669EB"/>
    <w:rsid w:val="54041F40"/>
    <w:rsid w:val="541A68A8"/>
    <w:rsid w:val="5420228D"/>
    <w:rsid w:val="54322F51"/>
    <w:rsid w:val="543D1818"/>
    <w:rsid w:val="544B3EE9"/>
    <w:rsid w:val="546538BA"/>
    <w:rsid w:val="5468108F"/>
    <w:rsid w:val="54756AF5"/>
    <w:rsid w:val="5483555B"/>
    <w:rsid w:val="548A4B3B"/>
    <w:rsid w:val="548B71EB"/>
    <w:rsid w:val="549A6186"/>
    <w:rsid w:val="549F69EF"/>
    <w:rsid w:val="54E0475B"/>
    <w:rsid w:val="54EA6C0E"/>
    <w:rsid w:val="5503044A"/>
    <w:rsid w:val="55201C9C"/>
    <w:rsid w:val="5523208A"/>
    <w:rsid w:val="552F56E3"/>
    <w:rsid w:val="5549554B"/>
    <w:rsid w:val="554D1A31"/>
    <w:rsid w:val="55782BA3"/>
    <w:rsid w:val="5592206E"/>
    <w:rsid w:val="55A27C63"/>
    <w:rsid w:val="55BB0D24"/>
    <w:rsid w:val="55C776C9"/>
    <w:rsid w:val="55DB2EFA"/>
    <w:rsid w:val="55DD6540"/>
    <w:rsid w:val="55E93AE3"/>
    <w:rsid w:val="55EB238D"/>
    <w:rsid w:val="55F87E98"/>
    <w:rsid w:val="561B1CE0"/>
    <w:rsid w:val="562B4FD7"/>
    <w:rsid w:val="563A7E9B"/>
    <w:rsid w:val="56725887"/>
    <w:rsid w:val="568B419B"/>
    <w:rsid w:val="569752EE"/>
    <w:rsid w:val="569F23F4"/>
    <w:rsid w:val="56AA5F28"/>
    <w:rsid w:val="56B506F1"/>
    <w:rsid w:val="56B7303F"/>
    <w:rsid w:val="56B934B6"/>
    <w:rsid w:val="56BC09FD"/>
    <w:rsid w:val="56D02B61"/>
    <w:rsid w:val="56D71B8E"/>
    <w:rsid w:val="56DF6C95"/>
    <w:rsid w:val="57165E73"/>
    <w:rsid w:val="57305C46"/>
    <w:rsid w:val="57394A4D"/>
    <w:rsid w:val="57547004"/>
    <w:rsid w:val="575C2093"/>
    <w:rsid w:val="57631EDC"/>
    <w:rsid w:val="576F0018"/>
    <w:rsid w:val="57725AAD"/>
    <w:rsid w:val="5774562F"/>
    <w:rsid w:val="578F06BB"/>
    <w:rsid w:val="579857A6"/>
    <w:rsid w:val="579F74A6"/>
    <w:rsid w:val="57A36349"/>
    <w:rsid w:val="57A70D03"/>
    <w:rsid w:val="57AC4DC9"/>
    <w:rsid w:val="57B44CCE"/>
    <w:rsid w:val="57C514C8"/>
    <w:rsid w:val="57C71C02"/>
    <w:rsid w:val="57D45CF1"/>
    <w:rsid w:val="57E74DAE"/>
    <w:rsid w:val="57F13854"/>
    <w:rsid w:val="580520C8"/>
    <w:rsid w:val="580B3421"/>
    <w:rsid w:val="58187D01"/>
    <w:rsid w:val="584315C4"/>
    <w:rsid w:val="586E207E"/>
    <w:rsid w:val="586E3461"/>
    <w:rsid w:val="586E7274"/>
    <w:rsid w:val="588A02D8"/>
    <w:rsid w:val="5891087F"/>
    <w:rsid w:val="589D0BB5"/>
    <w:rsid w:val="58BA45A1"/>
    <w:rsid w:val="58C12EE1"/>
    <w:rsid w:val="58D864B6"/>
    <w:rsid w:val="58DA784C"/>
    <w:rsid w:val="58DE5456"/>
    <w:rsid w:val="58EB2245"/>
    <w:rsid w:val="59161F59"/>
    <w:rsid w:val="591744C4"/>
    <w:rsid w:val="594204CF"/>
    <w:rsid w:val="594A2AEB"/>
    <w:rsid w:val="5951357A"/>
    <w:rsid w:val="59544BDF"/>
    <w:rsid w:val="597B2CA5"/>
    <w:rsid w:val="59854011"/>
    <w:rsid w:val="599223FD"/>
    <w:rsid w:val="59941601"/>
    <w:rsid w:val="59965D30"/>
    <w:rsid w:val="59A117BD"/>
    <w:rsid w:val="59B03041"/>
    <w:rsid w:val="59BA45FA"/>
    <w:rsid w:val="59C33F06"/>
    <w:rsid w:val="59C962AE"/>
    <w:rsid w:val="59D10B16"/>
    <w:rsid w:val="59D625D1"/>
    <w:rsid w:val="5A0738B3"/>
    <w:rsid w:val="5A126AC9"/>
    <w:rsid w:val="5A20479B"/>
    <w:rsid w:val="5A47527D"/>
    <w:rsid w:val="5A594B8D"/>
    <w:rsid w:val="5A690A9C"/>
    <w:rsid w:val="5A7B0A82"/>
    <w:rsid w:val="5A8E36CC"/>
    <w:rsid w:val="5AAC3332"/>
    <w:rsid w:val="5ABF5916"/>
    <w:rsid w:val="5AC3781F"/>
    <w:rsid w:val="5AD71A00"/>
    <w:rsid w:val="5ADF1BC9"/>
    <w:rsid w:val="5AE76118"/>
    <w:rsid w:val="5B1B1714"/>
    <w:rsid w:val="5B242EC8"/>
    <w:rsid w:val="5B280C0A"/>
    <w:rsid w:val="5B3E6680"/>
    <w:rsid w:val="5B413A7A"/>
    <w:rsid w:val="5B4325A2"/>
    <w:rsid w:val="5B4672E2"/>
    <w:rsid w:val="5B4E481E"/>
    <w:rsid w:val="5B601CC1"/>
    <w:rsid w:val="5B6234AA"/>
    <w:rsid w:val="5B6854AA"/>
    <w:rsid w:val="5B813346"/>
    <w:rsid w:val="5B871DD5"/>
    <w:rsid w:val="5BA265DE"/>
    <w:rsid w:val="5BA46CE2"/>
    <w:rsid w:val="5BCE7981"/>
    <w:rsid w:val="5BD41136"/>
    <w:rsid w:val="5BD54692"/>
    <w:rsid w:val="5BD7618C"/>
    <w:rsid w:val="5BD92F2A"/>
    <w:rsid w:val="5BE32D83"/>
    <w:rsid w:val="5BEA4FCD"/>
    <w:rsid w:val="5BEC1C38"/>
    <w:rsid w:val="5BF84A80"/>
    <w:rsid w:val="5BFA4B6A"/>
    <w:rsid w:val="5C003935"/>
    <w:rsid w:val="5C043425"/>
    <w:rsid w:val="5C124BEB"/>
    <w:rsid w:val="5C1F498A"/>
    <w:rsid w:val="5C25339C"/>
    <w:rsid w:val="5C380531"/>
    <w:rsid w:val="5C4B3416"/>
    <w:rsid w:val="5C4D0F4D"/>
    <w:rsid w:val="5C4F21C6"/>
    <w:rsid w:val="5C504241"/>
    <w:rsid w:val="5C6550CC"/>
    <w:rsid w:val="5C7731D7"/>
    <w:rsid w:val="5C826B51"/>
    <w:rsid w:val="5C957AE8"/>
    <w:rsid w:val="5CA61CCA"/>
    <w:rsid w:val="5CA61FE4"/>
    <w:rsid w:val="5CA67A5D"/>
    <w:rsid w:val="5CAA564F"/>
    <w:rsid w:val="5CAC7619"/>
    <w:rsid w:val="5CB526EE"/>
    <w:rsid w:val="5CC67A06"/>
    <w:rsid w:val="5CD718AB"/>
    <w:rsid w:val="5CDD125B"/>
    <w:rsid w:val="5CF039A9"/>
    <w:rsid w:val="5D131446"/>
    <w:rsid w:val="5D1551BE"/>
    <w:rsid w:val="5D213E13"/>
    <w:rsid w:val="5D301FF8"/>
    <w:rsid w:val="5D3A69D3"/>
    <w:rsid w:val="5D3D7B55"/>
    <w:rsid w:val="5D4D4B67"/>
    <w:rsid w:val="5D692B4A"/>
    <w:rsid w:val="5D760DFE"/>
    <w:rsid w:val="5D972077"/>
    <w:rsid w:val="5DA87DE0"/>
    <w:rsid w:val="5DAB1143"/>
    <w:rsid w:val="5DB17D02"/>
    <w:rsid w:val="5DC0337C"/>
    <w:rsid w:val="5DCF2503"/>
    <w:rsid w:val="5DD43000"/>
    <w:rsid w:val="5DD619A0"/>
    <w:rsid w:val="5DD97B2E"/>
    <w:rsid w:val="5DE33377"/>
    <w:rsid w:val="5DE52DE2"/>
    <w:rsid w:val="5E183CFF"/>
    <w:rsid w:val="5E1E394A"/>
    <w:rsid w:val="5E2B7EEF"/>
    <w:rsid w:val="5E2C0A11"/>
    <w:rsid w:val="5E416216"/>
    <w:rsid w:val="5E4C10B3"/>
    <w:rsid w:val="5E50072C"/>
    <w:rsid w:val="5E52616B"/>
    <w:rsid w:val="5E6623EB"/>
    <w:rsid w:val="5E67417C"/>
    <w:rsid w:val="5E6B1C04"/>
    <w:rsid w:val="5E6C3504"/>
    <w:rsid w:val="5E8048B9"/>
    <w:rsid w:val="5E912F6A"/>
    <w:rsid w:val="5E914D18"/>
    <w:rsid w:val="5E9345EC"/>
    <w:rsid w:val="5E946DA5"/>
    <w:rsid w:val="5E961741"/>
    <w:rsid w:val="5E9B254F"/>
    <w:rsid w:val="5EA05BE0"/>
    <w:rsid w:val="5EAE7678"/>
    <w:rsid w:val="5EBA601D"/>
    <w:rsid w:val="5EE673AD"/>
    <w:rsid w:val="5EF05EE3"/>
    <w:rsid w:val="5F0B4ACB"/>
    <w:rsid w:val="5F100333"/>
    <w:rsid w:val="5F5046EA"/>
    <w:rsid w:val="5F5F0972"/>
    <w:rsid w:val="5F6441ED"/>
    <w:rsid w:val="5F6661A5"/>
    <w:rsid w:val="5F6A6AC8"/>
    <w:rsid w:val="5F6F6A29"/>
    <w:rsid w:val="5F84250C"/>
    <w:rsid w:val="5F866EC2"/>
    <w:rsid w:val="5F875EC9"/>
    <w:rsid w:val="5F920EC8"/>
    <w:rsid w:val="5F9A5E4E"/>
    <w:rsid w:val="5F9E1348"/>
    <w:rsid w:val="5FA12D39"/>
    <w:rsid w:val="5FAA42E4"/>
    <w:rsid w:val="5FAC4886"/>
    <w:rsid w:val="5FB66D02"/>
    <w:rsid w:val="5FC058B5"/>
    <w:rsid w:val="5FC41398"/>
    <w:rsid w:val="5FE311ED"/>
    <w:rsid w:val="5FE42E7C"/>
    <w:rsid w:val="5FF2749D"/>
    <w:rsid w:val="5FF87C5D"/>
    <w:rsid w:val="600315B6"/>
    <w:rsid w:val="600E3B45"/>
    <w:rsid w:val="60273055"/>
    <w:rsid w:val="603242D9"/>
    <w:rsid w:val="60522285"/>
    <w:rsid w:val="605C5A30"/>
    <w:rsid w:val="607D63DF"/>
    <w:rsid w:val="60AE7E03"/>
    <w:rsid w:val="60B149D0"/>
    <w:rsid w:val="60B70030"/>
    <w:rsid w:val="60C90799"/>
    <w:rsid w:val="60D443A1"/>
    <w:rsid w:val="60DC2CC3"/>
    <w:rsid w:val="60E21853"/>
    <w:rsid w:val="61366D54"/>
    <w:rsid w:val="613720DD"/>
    <w:rsid w:val="613979C7"/>
    <w:rsid w:val="614E6EF1"/>
    <w:rsid w:val="615755BD"/>
    <w:rsid w:val="615D2A65"/>
    <w:rsid w:val="61613BEB"/>
    <w:rsid w:val="61693D2A"/>
    <w:rsid w:val="61796574"/>
    <w:rsid w:val="61880654"/>
    <w:rsid w:val="6189617B"/>
    <w:rsid w:val="619E4563"/>
    <w:rsid w:val="619F63A8"/>
    <w:rsid w:val="61CD6067"/>
    <w:rsid w:val="61DD059C"/>
    <w:rsid w:val="61E06BEB"/>
    <w:rsid w:val="61FB44F2"/>
    <w:rsid w:val="62026A91"/>
    <w:rsid w:val="625941A1"/>
    <w:rsid w:val="625C0D21"/>
    <w:rsid w:val="62671448"/>
    <w:rsid w:val="62726C0F"/>
    <w:rsid w:val="62875A90"/>
    <w:rsid w:val="629047BC"/>
    <w:rsid w:val="629762BF"/>
    <w:rsid w:val="62B13E15"/>
    <w:rsid w:val="62B56ACB"/>
    <w:rsid w:val="62C30852"/>
    <w:rsid w:val="62E61DA2"/>
    <w:rsid w:val="62EC0759"/>
    <w:rsid w:val="62FA0C93"/>
    <w:rsid w:val="62FD472A"/>
    <w:rsid w:val="63065CD5"/>
    <w:rsid w:val="631421D2"/>
    <w:rsid w:val="633012F7"/>
    <w:rsid w:val="6333416A"/>
    <w:rsid w:val="63414F5F"/>
    <w:rsid w:val="636C0637"/>
    <w:rsid w:val="63AA7892"/>
    <w:rsid w:val="63AB062A"/>
    <w:rsid w:val="63C65464"/>
    <w:rsid w:val="63D11CD0"/>
    <w:rsid w:val="63D60D6D"/>
    <w:rsid w:val="63DA0F0F"/>
    <w:rsid w:val="63DC4C88"/>
    <w:rsid w:val="63FE1B1D"/>
    <w:rsid w:val="64083EBA"/>
    <w:rsid w:val="640A6B8A"/>
    <w:rsid w:val="64243F39"/>
    <w:rsid w:val="64262637"/>
    <w:rsid w:val="643423CE"/>
    <w:rsid w:val="64430863"/>
    <w:rsid w:val="64441708"/>
    <w:rsid w:val="644B2E9F"/>
    <w:rsid w:val="6469042C"/>
    <w:rsid w:val="647944D1"/>
    <w:rsid w:val="647D7FBC"/>
    <w:rsid w:val="64802D6E"/>
    <w:rsid w:val="64805613"/>
    <w:rsid w:val="648A0240"/>
    <w:rsid w:val="64B11C70"/>
    <w:rsid w:val="64BD5DA3"/>
    <w:rsid w:val="64C67161"/>
    <w:rsid w:val="64E42046"/>
    <w:rsid w:val="64EA5182"/>
    <w:rsid w:val="64EC297E"/>
    <w:rsid w:val="64F102BF"/>
    <w:rsid w:val="64FE364A"/>
    <w:rsid w:val="650D2C1F"/>
    <w:rsid w:val="65337EC4"/>
    <w:rsid w:val="654B7228"/>
    <w:rsid w:val="654D7C2E"/>
    <w:rsid w:val="65505F7C"/>
    <w:rsid w:val="6593581A"/>
    <w:rsid w:val="65C200D8"/>
    <w:rsid w:val="65C41297"/>
    <w:rsid w:val="65CF5000"/>
    <w:rsid w:val="65D969F1"/>
    <w:rsid w:val="65F468C3"/>
    <w:rsid w:val="66081D64"/>
    <w:rsid w:val="660B53B0"/>
    <w:rsid w:val="661669E2"/>
    <w:rsid w:val="661B76D3"/>
    <w:rsid w:val="662B74D0"/>
    <w:rsid w:val="662D3578"/>
    <w:rsid w:val="663533F6"/>
    <w:rsid w:val="663F14FE"/>
    <w:rsid w:val="663F7253"/>
    <w:rsid w:val="66415147"/>
    <w:rsid w:val="664D7777"/>
    <w:rsid w:val="667529CC"/>
    <w:rsid w:val="66763171"/>
    <w:rsid w:val="667D51BE"/>
    <w:rsid w:val="667E6793"/>
    <w:rsid w:val="66860EDB"/>
    <w:rsid w:val="669C0748"/>
    <w:rsid w:val="66A51361"/>
    <w:rsid w:val="66A80E51"/>
    <w:rsid w:val="66A8260B"/>
    <w:rsid w:val="66AB3962"/>
    <w:rsid w:val="66C12C09"/>
    <w:rsid w:val="66C15989"/>
    <w:rsid w:val="66C739CD"/>
    <w:rsid w:val="66C814F3"/>
    <w:rsid w:val="66DE6A20"/>
    <w:rsid w:val="66E6060C"/>
    <w:rsid w:val="66EB050D"/>
    <w:rsid w:val="67055E1B"/>
    <w:rsid w:val="672277D6"/>
    <w:rsid w:val="67290209"/>
    <w:rsid w:val="67290ACE"/>
    <w:rsid w:val="672F50CE"/>
    <w:rsid w:val="67307EB3"/>
    <w:rsid w:val="67355406"/>
    <w:rsid w:val="6739040E"/>
    <w:rsid w:val="674E60A1"/>
    <w:rsid w:val="675D60DF"/>
    <w:rsid w:val="676129D2"/>
    <w:rsid w:val="67644C59"/>
    <w:rsid w:val="677B490E"/>
    <w:rsid w:val="677B7C35"/>
    <w:rsid w:val="6785559A"/>
    <w:rsid w:val="678673E4"/>
    <w:rsid w:val="678A6C8A"/>
    <w:rsid w:val="67955879"/>
    <w:rsid w:val="679D0720"/>
    <w:rsid w:val="67B5271A"/>
    <w:rsid w:val="67B57CC9"/>
    <w:rsid w:val="67C021CA"/>
    <w:rsid w:val="67E916C6"/>
    <w:rsid w:val="67E934CF"/>
    <w:rsid w:val="67EC408F"/>
    <w:rsid w:val="67F426E4"/>
    <w:rsid w:val="67FE19E3"/>
    <w:rsid w:val="68071BA7"/>
    <w:rsid w:val="68125890"/>
    <w:rsid w:val="682E5386"/>
    <w:rsid w:val="683B4874"/>
    <w:rsid w:val="683F7593"/>
    <w:rsid w:val="684352D5"/>
    <w:rsid w:val="684A6664"/>
    <w:rsid w:val="684F3C7A"/>
    <w:rsid w:val="68A67612"/>
    <w:rsid w:val="68AE414D"/>
    <w:rsid w:val="68C6767F"/>
    <w:rsid w:val="68E424F2"/>
    <w:rsid w:val="68EB171F"/>
    <w:rsid w:val="68F12C01"/>
    <w:rsid w:val="68FA6539"/>
    <w:rsid w:val="69045669"/>
    <w:rsid w:val="69061428"/>
    <w:rsid w:val="690F3409"/>
    <w:rsid w:val="6927078B"/>
    <w:rsid w:val="69286279"/>
    <w:rsid w:val="693F5EA4"/>
    <w:rsid w:val="69460607"/>
    <w:rsid w:val="694858F0"/>
    <w:rsid w:val="69550BFB"/>
    <w:rsid w:val="696A6B29"/>
    <w:rsid w:val="696E0A9A"/>
    <w:rsid w:val="69715E72"/>
    <w:rsid w:val="69750E21"/>
    <w:rsid w:val="6985687C"/>
    <w:rsid w:val="699851AD"/>
    <w:rsid w:val="69A048BD"/>
    <w:rsid w:val="69A71034"/>
    <w:rsid w:val="69A83492"/>
    <w:rsid w:val="69A9560C"/>
    <w:rsid w:val="69C27B02"/>
    <w:rsid w:val="69E623BC"/>
    <w:rsid w:val="69ED6F02"/>
    <w:rsid w:val="69EE7223"/>
    <w:rsid w:val="69FD14B4"/>
    <w:rsid w:val="6A056DDC"/>
    <w:rsid w:val="6A057393"/>
    <w:rsid w:val="6A0E1913"/>
    <w:rsid w:val="6A143694"/>
    <w:rsid w:val="6A1C0949"/>
    <w:rsid w:val="6A1E0A41"/>
    <w:rsid w:val="6A2E3F76"/>
    <w:rsid w:val="6A2E73C3"/>
    <w:rsid w:val="6A472B4C"/>
    <w:rsid w:val="6A63210D"/>
    <w:rsid w:val="6A8120E5"/>
    <w:rsid w:val="6A987C6F"/>
    <w:rsid w:val="6AAA1DFE"/>
    <w:rsid w:val="6AAF79FF"/>
    <w:rsid w:val="6AC00E5F"/>
    <w:rsid w:val="6AC306AA"/>
    <w:rsid w:val="6AC33F7B"/>
    <w:rsid w:val="6AC60616"/>
    <w:rsid w:val="6AC87871"/>
    <w:rsid w:val="6AD26369"/>
    <w:rsid w:val="6AEB19C5"/>
    <w:rsid w:val="6AF40B09"/>
    <w:rsid w:val="6B193F82"/>
    <w:rsid w:val="6B3453A9"/>
    <w:rsid w:val="6B39476E"/>
    <w:rsid w:val="6B450D39"/>
    <w:rsid w:val="6B4A1FF9"/>
    <w:rsid w:val="6B592AF9"/>
    <w:rsid w:val="6B633598"/>
    <w:rsid w:val="6B7E44A8"/>
    <w:rsid w:val="6B802B7B"/>
    <w:rsid w:val="6B851761"/>
    <w:rsid w:val="6B9D2F4E"/>
    <w:rsid w:val="6BA22313"/>
    <w:rsid w:val="6BAF67DE"/>
    <w:rsid w:val="6BB32772"/>
    <w:rsid w:val="6BB641D1"/>
    <w:rsid w:val="6BDD77EF"/>
    <w:rsid w:val="6BE75F78"/>
    <w:rsid w:val="6BFB26B9"/>
    <w:rsid w:val="6C003F58"/>
    <w:rsid w:val="6C0510AF"/>
    <w:rsid w:val="6C0A12A0"/>
    <w:rsid w:val="6C1E27FB"/>
    <w:rsid w:val="6C2125B9"/>
    <w:rsid w:val="6C45127D"/>
    <w:rsid w:val="6C465394"/>
    <w:rsid w:val="6C477A48"/>
    <w:rsid w:val="6C497C2B"/>
    <w:rsid w:val="6C4D6279"/>
    <w:rsid w:val="6C691929"/>
    <w:rsid w:val="6C6B4DFB"/>
    <w:rsid w:val="6C80161C"/>
    <w:rsid w:val="6C8346BA"/>
    <w:rsid w:val="6C8C7A1A"/>
    <w:rsid w:val="6C8E07EB"/>
    <w:rsid w:val="6C922387"/>
    <w:rsid w:val="6CAA1C24"/>
    <w:rsid w:val="6CC5763D"/>
    <w:rsid w:val="6CD7449F"/>
    <w:rsid w:val="6CEF50C6"/>
    <w:rsid w:val="6CF43A7A"/>
    <w:rsid w:val="6CF803B7"/>
    <w:rsid w:val="6CFD633E"/>
    <w:rsid w:val="6D1A3AF6"/>
    <w:rsid w:val="6D281E21"/>
    <w:rsid w:val="6D295F60"/>
    <w:rsid w:val="6D347596"/>
    <w:rsid w:val="6D596E90"/>
    <w:rsid w:val="6D68758C"/>
    <w:rsid w:val="6D82064E"/>
    <w:rsid w:val="6D860032"/>
    <w:rsid w:val="6DA07862"/>
    <w:rsid w:val="6DAB5AB0"/>
    <w:rsid w:val="6DAE7C8E"/>
    <w:rsid w:val="6DD864C0"/>
    <w:rsid w:val="6DE33684"/>
    <w:rsid w:val="6DE60B88"/>
    <w:rsid w:val="6DEB5D49"/>
    <w:rsid w:val="6DF33D76"/>
    <w:rsid w:val="6DF40A60"/>
    <w:rsid w:val="6DFD3487"/>
    <w:rsid w:val="6DFF1AAA"/>
    <w:rsid w:val="6E015BBB"/>
    <w:rsid w:val="6E061D25"/>
    <w:rsid w:val="6E0F7A08"/>
    <w:rsid w:val="6E2B7977"/>
    <w:rsid w:val="6E2E4063"/>
    <w:rsid w:val="6E3C285F"/>
    <w:rsid w:val="6E562AD8"/>
    <w:rsid w:val="6E5E6D9D"/>
    <w:rsid w:val="6E772037"/>
    <w:rsid w:val="6E786804"/>
    <w:rsid w:val="6E8250F1"/>
    <w:rsid w:val="6E846A90"/>
    <w:rsid w:val="6E880F18"/>
    <w:rsid w:val="6E9D5013"/>
    <w:rsid w:val="6EAD16FA"/>
    <w:rsid w:val="6ECB4CD8"/>
    <w:rsid w:val="6ECE1BA8"/>
    <w:rsid w:val="6ECF5D6D"/>
    <w:rsid w:val="6EDC418C"/>
    <w:rsid w:val="6EE67590"/>
    <w:rsid w:val="6EEA69AD"/>
    <w:rsid w:val="6EEE6498"/>
    <w:rsid w:val="6EFD1D73"/>
    <w:rsid w:val="6EFD5AB2"/>
    <w:rsid w:val="6F053C43"/>
    <w:rsid w:val="6F075837"/>
    <w:rsid w:val="6F1B6067"/>
    <w:rsid w:val="6F256125"/>
    <w:rsid w:val="6F2620DC"/>
    <w:rsid w:val="6F28453E"/>
    <w:rsid w:val="6F433CC0"/>
    <w:rsid w:val="6F4656AB"/>
    <w:rsid w:val="6F49551F"/>
    <w:rsid w:val="6F540B15"/>
    <w:rsid w:val="6F54601A"/>
    <w:rsid w:val="6F597080"/>
    <w:rsid w:val="6F626E48"/>
    <w:rsid w:val="6F812184"/>
    <w:rsid w:val="6F845B2B"/>
    <w:rsid w:val="6F8D5088"/>
    <w:rsid w:val="6F970471"/>
    <w:rsid w:val="6F974654"/>
    <w:rsid w:val="6FC51A41"/>
    <w:rsid w:val="6FC532F8"/>
    <w:rsid w:val="6FE32EFA"/>
    <w:rsid w:val="6FEC1DAE"/>
    <w:rsid w:val="6FF6586F"/>
    <w:rsid w:val="6FF8441E"/>
    <w:rsid w:val="70300C7F"/>
    <w:rsid w:val="70385739"/>
    <w:rsid w:val="704020FA"/>
    <w:rsid w:val="70457711"/>
    <w:rsid w:val="704A5564"/>
    <w:rsid w:val="70751679"/>
    <w:rsid w:val="708B47AA"/>
    <w:rsid w:val="70981E9C"/>
    <w:rsid w:val="709F2104"/>
    <w:rsid w:val="70A47E6A"/>
    <w:rsid w:val="70B52D25"/>
    <w:rsid w:val="70C36F04"/>
    <w:rsid w:val="70C740E1"/>
    <w:rsid w:val="70D319E7"/>
    <w:rsid w:val="70D75F53"/>
    <w:rsid w:val="70D80585"/>
    <w:rsid w:val="70EC468E"/>
    <w:rsid w:val="70EE7DA8"/>
    <w:rsid w:val="70FD71A6"/>
    <w:rsid w:val="71082AAC"/>
    <w:rsid w:val="71202DBA"/>
    <w:rsid w:val="71614A1E"/>
    <w:rsid w:val="71902BFF"/>
    <w:rsid w:val="719A5DCE"/>
    <w:rsid w:val="71A74762"/>
    <w:rsid w:val="71BA28B0"/>
    <w:rsid w:val="71BD203C"/>
    <w:rsid w:val="71D76943"/>
    <w:rsid w:val="72035AD5"/>
    <w:rsid w:val="72127AC6"/>
    <w:rsid w:val="72135D18"/>
    <w:rsid w:val="72172DD6"/>
    <w:rsid w:val="72190E55"/>
    <w:rsid w:val="723E4170"/>
    <w:rsid w:val="724759C2"/>
    <w:rsid w:val="72516841"/>
    <w:rsid w:val="726A16B0"/>
    <w:rsid w:val="726F7761"/>
    <w:rsid w:val="72780225"/>
    <w:rsid w:val="727C5F33"/>
    <w:rsid w:val="727F77F5"/>
    <w:rsid w:val="72816D82"/>
    <w:rsid w:val="729C3F60"/>
    <w:rsid w:val="72B70089"/>
    <w:rsid w:val="72B73C27"/>
    <w:rsid w:val="72C7009D"/>
    <w:rsid w:val="72DB0E40"/>
    <w:rsid w:val="72FD42D3"/>
    <w:rsid w:val="72FF004B"/>
    <w:rsid w:val="731F249B"/>
    <w:rsid w:val="73253671"/>
    <w:rsid w:val="73306456"/>
    <w:rsid w:val="73317A27"/>
    <w:rsid w:val="73357E69"/>
    <w:rsid w:val="733817AF"/>
    <w:rsid w:val="735B6DB7"/>
    <w:rsid w:val="735C2691"/>
    <w:rsid w:val="737353DE"/>
    <w:rsid w:val="73767F05"/>
    <w:rsid w:val="7379604F"/>
    <w:rsid w:val="73886292"/>
    <w:rsid w:val="73935567"/>
    <w:rsid w:val="73A62438"/>
    <w:rsid w:val="73BA21C4"/>
    <w:rsid w:val="73BA3CC2"/>
    <w:rsid w:val="73BE02D8"/>
    <w:rsid w:val="73D50144"/>
    <w:rsid w:val="73E060CE"/>
    <w:rsid w:val="73F602AE"/>
    <w:rsid w:val="740D1EA9"/>
    <w:rsid w:val="741E5489"/>
    <w:rsid w:val="741F7825"/>
    <w:rsid w:val="742F7A23"/>
    <w:rsid w:val="74325266"/>
    <w:rsid w:val="7452064E"/>
    <w:rsid w:val="745443C6"/>
    <w:rsid w:val="74685677"/>
    <w:rsid w:val="74895730"/>
    <w:rsid w:val="74943E9C"/>
    <w:rsid w:val="749A50E1"/>
    <w:rsid w:val="749B1FF5"/>
    <w:rsid w:val="749F1AE5"/>
    <w:rsid w:val="74A0551B"/>
    <w:rsid w:val="74A30713"/>
    <w:rsid w:val="74B6122E"/>
    <w:rsid w:val="74CA6436"/>
    <w:rsid w:val="74EE481B"/>
    <w:rsid w:val="750F7705"/>
    <w:rsid w:val="75241FEA"/>
    <w:rsid w:val="75275B9B"/>
    <w:rsid w:val="75275C40"/>
    <w:rsid w:val="752D0D38"/>
    <w:rsid w:val="753560F9"/>
    <w:rsid w:val="758A424E"/>
    <w:rsid w:val="758E3C4E"/>
    <w:rsid w:val="75947170"/>
    <w:rsid w:val="75A44310"/>
    <w:rsid w:val="75B52BD6"/>
    <w:rsid w:val="75B72D40"/>
    <w:rsid w:val="75BB6DDA"/>
    <w:rsid w:val="75BC0475"/>
    <w:rsid w:val="75C84C1B"/>
    <w:rsid w:val="75E85141"/>
    <w:rsid w:val="760A3051"/>
    <w:rsid w:val="760B6D06"/>
    <w:rsid w:val="761262E7"/>
    <w:rsid w:val="76155DFB"/>
    <w:rsid w:val="76230272"/>
    <w:rsid w:val="76263B40"/>
    <w:rsid w:val="76360227"/>
    <w:rsid w:val="76371C9A"/>
    <w:rsid w:val="763E40F3"/>
    <w:rsid w:val="764D35D7"/>
    <w:rsid w:val="76581B86"/>
    <w:rsid w:val="765A1DB4"/>
    <w:rsid w:val="765A68B9"/>
    <w:rsid w:val="7662023E"/>
    <w:rsid w:val="76643AE7"/>
    <w:rsid w:val="767A306F"/>
    <w:rsid w:val="7684793E"/>
    <w:rsid w:val="769767EC"/>
    <w:rsid w:val="76983734"/>
    <w:rsid w:val="76A235BC"/>
    <w:rsid w:val="76C02622"/>
    <w:rsid w:val="76F62536"/>
    <w:rsid w:val="76F63F8E"/>
    <w:rsid w:val="7705394C"/>
    <w:rsid w:val="77541DD9"/>
    <w:rsid w:val="775B3563"/>
    <w:rsid w:val="77737259"/>
    <w:rsid w:val="77750B1E"/>
    <w:rsid w:val="77785FC0"/>
    <w:rsid w:val="777C69F4"/>
    <w:rsid w:val="7782124A"/>
    <w:rsid w:val="779D6D1F"/>
    <w:rsid w:val="77B37656"/>
    <w:rsid w:val="77C3377A"/>
    <w:rsid w:val="77C35AEB"/>
    <w:rsid w:val="77C655DB"/>
    <w:rsid w:val="77C74EAF"/>
    <w:rsid w:val="77DE46D3"/>
    <w:rsid w:val="77E617D9"/>
    <w:rsid w:val="77EB6DF0"/>
    <w:rsid w:val="77F43EF6"/>
    <w:rsid w:val="78024049"/>
    <w:rsid w:val="780802FA"/>
    <w:rsid w:val="78177082"/>
    <w:rsid w:val="78212811"/>
    <w:rsid w:val="785051F3"/>
    <w:rsid w:val="78632E2A"/>
    <w:rsid w:val="78646F86"/>
    <w:rsid w:val="787057C4"/>
    <w:rsid w:val="78727E4E"/>
    <w:rsid w:val="7873289B"/>
    <w:rsid w:val="787B63C5"/>
    <w:rsid w:val="78880AE2"/>
    <w:rsid w:val="78886D34"/>
    <w:rsid w:val="78A23952"/>
    <w:rsid w:val="78AE072B"/>
    <w:rsid w:val="78AE0DB3"/>
    <w:rsid w:val="78B638A1"/>
    <w:rsid w:val="78C7160B"/>
    <w:rsid w:val="78CE6947"/>
    <w:rsid w:val="791D122B"/>
    <w:rsid w:val="79294073"/>
    <w:rsid w:val="792B34EF"/>
    <w:rsid w:val="792B7DEB"/>
    <w:rsid w:val="79325BEF"/>
    <w:rsid w:val="793B3DA7"/>
    <w:rsid w:val="79420C91"/>
    <w:rsid w:val="797445F1"/>
    <w:rsid w:val="79821A9D"/>
    <w:rsid w:val="79A75DED"/>
    <w:rsid w:val="79BB0B66"/>
    <w:rsid w:val="79BC3EB0"/>
    <w:rsid w:val="79D02741"/>
    <w:rsid w:val="79F20909"/>
    <w:rsid w:val="7A0648A7"/>
    <w:rsid w:val="7A096D9E"/>
    <w:rsid w:val="7A0E5017"/>
    <w:rsid w:val="7A116EA2"/>
    <w:rsid w:val="7A1350B3"/>
    <w:rsid w:val="7A2041A1"/>
    <w:rsid w:val="7A2E7B6A"/>
    <w:rsid w:val="7A3D378A"/>
    <w:rsid w:val="7A4A42A1"/>
    <w:rsid w:val="7A4D2AE1"/>
    <w:rsid w:val="7A886B78"/>
    <w:rsid w:val="7A8D0632"/>
    <w:rsid w:val="7A940CEF"/>
    <w:rsid w:val="7AA42D9E"/>
    <w:rsid w:val="7AB908C6"/>
    <w:rsid w:val="7AC06311"/>
    <w:rsid w:val="7AEF6BF7"/>
    <w:rsid w:val="7AF97A75"/>
    <w:rsid w:val="7B5353D8"/>
    <w:rsid w:val="7B53600E"/>
    <w:rsid w:val="7B660B9C"/>
    <w:rsid w:val="7B7E43E3"/>
    <w:rsid w:val="7B864A64"/>
    <w:rsid w:val="7B973491"/>
    <w:rsid w:val="7BB43953"/>
    <w:rsid w:val="7BB87930"/>
    <w:rsid w:val="7BD15117"/>
    <w:rsid w:val="7BD27A5D"/>
    <w:rsid w:val="7BDF0A19"/>
    <w:rsid w:val="7BE1477E"/>
    <w:rsid w:val="7BED5740"/>
    <w:rsid w:val="7C010D1F"/>
    <w:rsid w:val="7C085991"/>
    <w:rsid w:val="7C2B29AB"/>
    <w:rsid w:val="7C37476C"/>
    <w:rsid w:val="7C445F6B"/>
    <w:rsid w:val="7C465062"/>
    <w:rsid w:val="7C4A252D"/>
    <w:rsid w:val="7C4A67DB"/>
    <w:rsid w:val="7C4F3EB5"/>
    <w:rsid w:val="7C550AA2"/>
    <w:rsid w:val="7C5D397B"/>
    <w:rsid w:val="7C6B1D2B"/>
    <w:rsid w:val="7C75137E"/>
    <w:rsid w:val="7C923CDE"/>
    <w:rsid w:val="7C9C1750"/>
    <w:rsid w:val="7C9F18C8"/>
    <w:rsid w:val="7CA0289E"/>
    <w:rsid w:val="7CC72DC3"/>
    <w:rsid w:val="7CE81B50"/>
    <w:rsid w:val="7D1564DB"/>
    <w:rsid w:val="7D1A3036"/>
    <w:rsid w:val="7D212011"/>
    <w:rsid w:val="7D2A660C"/>
    <w:rsid w:val="7D366731"/>
    <w:rsid w:val="7D3D1E9B"/>
    <w:rsid w:val="7D513B99"/>
    <w:rsid w:val="7D5353F5"/>
    <w:rsid w:val="7D552799"/>
    <w:rsid w:val="7D6F7660"/>
    <w:rsid w:val="7D7B1F42"/>
    <w:rsid w:val="7D8B6E4D"/>
    <w:rsid w:val="7D8E1243"/>
    <w:rsid w:val="7D935F5F"/>
    <w:rsid w:val="7DA95783"/>
    <w:rsid w:val="7DAA70EE"/>
    <w:rsid w:val="7DD32800"/>
    <w:rsid w:val="7DD52BE0"/>
    <w:rsid w:val="7DE467BB"/>
    <w:rsid w:val="7DFA7D8C"/>
    <w:rsid w:val="7E012B5A"/>
    <w:rsid w:val="7E09289C"/>
    <w:rsid w:val="7E133C92"/>
    <w:rsid w:val="7E150010"/>
    <w:rsid w:val="7E176C01"/>
    <w:rsid w:val="7E1A4D7A"/>
    <w:rsid w:val="7E2D63B4"/>
    <w:rsid w:val="7E35461F"/>
    <w:rsid w:val="7E361EBB"/>
    <w:rsid w:val="7E525835"/>
    <w:rsid w:val="7E5E47BF"/>
    <w:rsid w:val="7E5F4018"/>
    <w:rsid w:val="7E6943E0"/>
    <w:rsid w:val="7E7E10FB"/>
    <w:rsid w:val="7E843835"/>
    <w:rsid w:val="7E8C712F"/>
    <w:rsid w:val="7E993502"/>
    <w:rsid w:val="7EA0044B"/>
    <w:rsid w:val="7EA87DB4"/>
    <w:rsid w:val="7ECA3E11"/>
    <w:rsid w:val="7ED405DD"/>
    <w:rsid w:val="7ED62316"/>
    <w:rsid w:val="7EE36A72"/>
    <w:rsid w:val="7EF4608E"/>
    <w:rsid w:val="7EFE1AFE"/>
    <w:rsid w:val="7F0A3FFF"/>
    <w:rsid w:val="7F196938"/>
    <w:rsid w:val="7F2210EE"/>
    <w:rsid w:val="7F46773E"/>
    <w:rsid w:val="7F4B6252"/>
    <w:rsid w:val="7F547970"/>
    <w:rsid w:val="7F5E2CF2"/>
    <w:rsid w:val="7F7B4EFD"/>
    <w:rsid w:val="7FAE0E2E"/>
    <w:rsid w:val="7FBA59C5"/>
    <w:rsid w:val="7FCC4CBB"/>
    <w:rsid w:val="7FE14118"/>
    <w:rsid w:val="7FEE1B7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1"/>
    <w:rPr>
      <w:sz w:val="28"/>
      <w:szCs w:val="28"/>
    </w:rPr>
  </w:style>
  <w:style w:type="paragraph" w:styleId="6">
    <w:name w:val="Body Text Indent"/>
    <w:basedOn w:val="1"/>
    <w:autoRedefine/>
    <w:qFormat/>
    <w:uiPriority w:val="0"/>
    <w:pPr>
      <w:ind w:firstLine="720" w:firstLineChars="257"/>
    </w:pPr>
    <w:rPr>
      <w:rFonts w:ascii="Calibri" w:hAnsi="Calibri" w:cs="Times New Roman"/>
      <w:kern w:val="0"/>
      <w:sz w:val="20"/>
    </w:rPr>
  </w:style>
  <w:style w:type="paragraph" w:styleId="7">
    <w:name w:val="toc 5"/>
    <w:basedOn w:val="1"/>
    <w:next w:val="1"/>
    <w:autoRedefine/>
    <w:qFormat/>
    <w:uiPriority w:val="0"/>
    <w:pPr>
      <w:ind w:left="1680" w:leftChars="800"/>
    </w:pPr>
    <w:rPr>
      <w:rFonts w:ascii="Times New Roman" w:hAnsi="Times New Roman" w:eastAsia="宋体" w:cs="Times New Roman"/>
      <w:szCs w:val="24"/>
    </w:rPr>
  </w:style>
  <w:style w:type="paragraph" w:styleId="8">
    <w:name w:val="Body Text Indent 2"/>
    <w:basedOn w:val="1"/>
    <w:autoRedefine/>
    <w:qFormat/>
    <w:uiPriority w:val="0"/>
    <w:pPr>
      <w:spacing w:after="120" w:line="480" w:lineRule="auto"/>
      <w:ind w:left="420" w:leftChars="200"/>
    </w:pPr>
  </w:style>
  <w:style w:type="paragraph" w:styleId="9">
    <w:name w:val="footer"/>
    <w:basedOn w:val="1"/>
    <w:autoRedefine/>
    <w:unhideWhenUsed/>
    <w:qFormat/>
    <w:uiPriority w:val="99"/>
    <w:pPr>
      <w:tabs>
        <w:tab w:val="center" w:pos="4153"/>
        <w:tab w:val="right" w:pos="8306"/>
      </w:tabs>
      <w:snapToGrid w:val="0"/>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autoRedefine/>
    <w:qFormat/>
    <w:uiPriority w:val="0"/>
    <w:pPr>
      <w:ind w:left="420" w:leftChars="200"/>
    </w:pPr>
  </w:style>
  <w:style w:type="paragraph" w:styleId="1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6"/>
    <w:autoRedefine/>
    <w:qFormat/>
    <w:uiPriority w:val="0"/>
    <w:pPr>
      <w:ind w:firstLine="420" w:firstLineChars="2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0"/>
    <w:rPr>
      <w:b/>
    </w:rPr>
  </w:style>
  <w:style w:type="paragraph" w:customStyle="1" w:styleId="19">
    <w:name w:val="Table Text"/>
    <w:basedOn w:val="1"/>
    <w:autoRedefine/>
    <w:semiHidden/>
    <w:qFormat/>
    <w:uiPriority w:val="0"/>
    <w:rPr>
      <w:rFonts w:ascii="宋体" w:hAnsi="宋体" w:eastAsia="宋体" w:cs="宋体"/>
      <w:sz w:val="18"/>
      <w:szCs w:val="18"/>
      <w:lang w:val="en-US" w:eastAsia="en-US" w:bidi="ar-SA"/>
    </w:rPr>
  </w:style>
  <w:style w:type="character" w:customStyle="1" w:styleId="20">
    <w:name w:val="font41"/>
    <w:basedOn w:val="17"/>
    <w:autoRedefine/>
    <w:qFormat/>
    <w:uiPriority w:val="0"/>
    <w:rPr>
      <w:rFonts w:hint="eastAsia" w:ascii="宋体" w:hAnsi="宋体" w:eastAsia="宋体" w:cs="宋体"/>
      <w:color w:val="000000"/>
      <w:sz w:val="18"/>
      <w:szCs w:val="18"/>
      <w:u w:val="none"/>
    </w:rPr>
  </w:style>
  <w:style w:type="character" w:customStyle="1" w:styleId="21">
    <w:name w:val="font51"/>
    <w:basedOn w:val="17"/>
    <w:autoRedefine/>
    <w:qFormat/>
    <w:uiPriority w:val="0"/>
    <w:rPr>
      <w:rFonts w:hint="eastAsia" w:ascii="宋体" w:hAnsi="宋体" w:eastAsia="宋体" w:cs="宋体"/>
      <w:color w:val="000000"/>
      <w:sz w:val="18"/>
      <w:szCs w:val="18"/>
      <w:u w:val="none"/>
    </w:rPr>
  </w:style>
  <w:style w:type="character" w:customStyle="1" w:styleId="22">
    <w:name w:val="font11"/>
    <w:basedOn w:val="17"/>
    <w:autoRedefine/>
    <w:qFormat/>
    <w:uiPriority w:val="0"/>
    <w:rPr>
      <w:rFonts w:hint="eastAsia" w:ascii="宋体" w:hAnsi="宋体" w:eastAsia="宋体" w:cs="宋体"/>
      <w:color w:val="000000"/>
      <w:sz w:val="22"/>
      <w:szCs w:val="22"/>
      <w:u w:val="none"/>
    </w:rPr>
  </w:style>
  <w:style w:type="character" w:customStyle="1" w:styleId="23">
    <w:name w:val="font21"/>
    <w:basedOn w:val="17"/>
    <w:autoRedefine/>
    <w:qFormat/>
    <w:uiPriority w:val="0"/>
    <w:rPr>
      <w:rFonts w:hint="eastAsia" w:ascii="宋体" w:hAnsi="宋体" w:eastAsia="宋体" w:cs="宋体"/>
      <w:color w:val="000000"/>
      <w:sz w:val="21"/>
      <w:szCs w:val="21"/>
      <w:u w:val="none"/>
    </w:rPr>
  </w:style>
  <w:style w:type="character" w:customStyle="1" w:styleId="24">
    <w:name w:val="font01"/>
    <w:basedOn w:val="17"/>
    <w:autoRedefine/>
    <w:qFormat/>
    <w:uiPriority w:val="0"/>
    <w:rPr>
      <w:rFonts w:hint="eastAsia" w:ascii="宋体" w:hAnsi="宋体" w:eastAsia="宋体" w:cs="宋体"/>
      <w:color w:val="000000"/>
      <w:sz w:val="22"/>
      <w:szCs w:val="22"/>
      <w:u w:val="none"/>
    </w:rPr>
  </w:style>
  <w:style w:type="character" w:customStyle="1" w:styleId="25">
    <w:name w:val="font31"/>
    <w:basedOn w:val="17"/>
    <w:autoRedefine/>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9.emf"/><Relationship Id="rId25" Type="http://schemas.openxmlformats.org/officeDocument/2006/relationships/image" Target="media/image18.emf"/><Relationship Id="rId24" Type="http://schemas.openxmlformats.org/officeDocument/2006/relationships/image" Target="media/image17.emf"/><Relationship Id="rId23" Type="http://schemas.openxmlformats.org/officeDocument/2006/relationships/image" Target="media/image16.emf"/><Relationship Id="rId22" Type="http://schemas.openxmlformats.org/officeDocument/2006/relationships/image" Target="media/image15.emf"/><Relationship Id="rId21" Type="http://schemas.openxmlformats.org/officeDocument/2006/relationships/image" Target="media/image14.emf"/><Relationship Id="rId20" Type="http://schemas.openxmlformats.org/officeDocument/2006/relationships/image" Target="media/image13.emf"/><Relationship Id="rId2" Type="http://schemas.openxmlformats.org/officeDocument/2006/relationships/settings" Target="settings.xml"/><Relationship Id="rId19" Type="http://schemas.openxmlformats.org/officeDocument/2006/relationships/image" Target="media/image12.emf"/><Relationship Id="rId18" Type="http://schemas.openxmlformats.org/officeDocument/2006/relationships/image" Target="media/image11.emf"/><Relationship Id="rId17" Type="http://schemas.openxmlformats.org/officeDocument/2006/relationships/image" Target="media/image10.emf"/><Relationship Id="rId16" Type="http://schemas.openxmlformats.org/officeDocument/2006/relationships/image" Target="media/image9.emf"/><Relationship Id="rId15" Type="http://schemas.openxmlformats.org/officeDocument/2006/relationships/chart" Target="charts/chart1.xml"/><Relationship Id="rId14" Type="http://schemas.openxmlformats.org/officeDocument/2006/relationships/image" Target="media/image8.emf"/><Relationship Id="rId13" Type="http://schemas.openxmlformats.org/officeDocument/2006/relationships/image" Target="media/image7.emf"/><Relationship Id="rId12" Type="http://schemas.openxmlformats.org/officeDocument/2006/relationships/image" Target="media/image6.emf"/><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4.21&#32489;&#25928;&#35780;&#20215;\&#20826;&#21490;&#30740;&#31350;&#23460;\&#20826;&#21490;&#21150;&#24207;&#26102;&#3613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四数占比趋势对比图</a:t>
            </a:r>
          </a:p>
        </c:rich>
      </c:tx>
      <c:layout/>
      <c:overlay val="0"/>
      <c:spPr>
        <a:noFill/>
        <a:ln>
          <a:noFill/>
        </a:ln>
        <a:effectLst/>
      </c:spPr>
    </c:title>
    <c:autoTitleDeleted val="0"/>
    <c:plotArea>
      <c:layout/>
      <c:barChart>
        <c:barDir val="col"/>
        <c:grouping val="stacked"/>
        <c:varyColors val="0"/>
        <c:ser>
          <c:idx val="0"/>
          <c:order val="0"/>
          <c:tx>
            <c:strRef>
              <c:f>[党史办序时账.xlsx]汇总1!$C$67</c:f>
              <c:strCache>
                <c:ptCount val="1"/>
                <c:pt idx="0">
                  <c:v>人员经费</c:v>
                </c:pt>
              </c:strCache>
            </c:strRef>
          </c:tx>
          <c:spPr>
            <a:solidFill>
              <a:schemeClr val="accent1"/>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[党史办序时账.xlsx]汇总1!$D$66:$G$66</c:f>
              <c:strCache>
                <c:ptCount val="4"/>
                <c:pt idx="0" c:formatCode="_ * #,##0.00_ ;_ * \-#,##0.00_ ;_ * &quot;-&quot;??_ ;_ @_ ">
                  <c:v>全年预算数</c:v>
                </c:pt>
                <c:pt idx="1" c:formatCode="_ * #,##0.00_ ;_ * \-#,##0.00_ ;_ * &quot;-&quot;??_ ;_ @_ ">
                  <c:v>原账套数</c:v>
                </c:pt>
                <c:pt idx="2" c:formatCode="_ * #,##0.00_ ;_ * \-#,##0.00_ ;_ * &quot;-&quot;??_ ;_ @_ ">
                  <c:v>决算数</c:v>
                </c:pt>
                <c:pt idx="3" c:formatCode="_ * #,##0.00_ ;_ * \-#,##0.00_ ;_ * &quot;-&quot;??_ ;_ @_ ">
                  <c:v>重分类数</c:v>
                </c:pt>
              </c:strCache>
            </c:strRef>
          </c:cat>
          <c:val>
            <c:numRef>
              <c:f>[党史办序时账.xlsx]汇总1!$D$67:$G$67</c:f>
              <c:numCache>
                <c:formatCode>0.00%</c:formatCode>
                <c:ptCount val="4"/>
                <c:pt idx="0">
                  <c:v>0.757943059715502</c:v>
                </c:pt>
                <c:pt idx="1">
                  <c:v>0.757952836820139</c:v>
                </c:pt>
                <c:pt idx="2">
                  <c:v>0.757952836820139</c:v>
                </c:pt>
                <c:pt idx="3">
                  <c:v>0.829049059102275</c:v>
                </c:pt>
              </c:numCache>
            </c:numRef>
          </c:val>
        </c:ser>
        <c:ser>
          <c:idx val="1"/>
          <c:order val="1"/>
          <c:tx>
            <c:strRef>
              <c:f>[党史办序时账.xlsx]汇总1!$C$68</c:f>
              <c:strCache>
                <c:ptCount val="1"/>
                <c:pt idx="0">
                  <c:v>公用经费</c:v>
                </c:pt>
              </c:strCache>
            </c:strRef>
          </c:tx>
          <c:spPr>
            <a:solidFill>
              <a:schemeClr val="accent2"/>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[党史办序时账.xlsx]汇总1!$D$66:$G$66</c:f>
              <c:strCache>
                <c:ptCount val="4"/>
                <c:pt idx="0" c:formatCode="_ * #,##0.00_ ;_ * \-#,##0.00_ ;_ * &quot;-&quot;??_ ;_ @_ ">
                  <c:v>全年预算数</c:v>
                </c:pt>
                <c:pt idx="1" c:formatCode="_ * #,##0.00_ ;_ * \-#,##0.00_ ;_ * &quot;-&quot;??_ ;_ @_ ">
                  <c:v>原账套数</c:v>
                </c:pt>
                <c:pt idx="2" c:formatCode="_ * #,##0.00_ ;_ * \-#,##0.00_ ;_ * &quot;-&quot;??_ ;_ @_ ">
                  <c:v>决算数</c:v>
                </c:pt>
                <c:pt idx="3" c:formatCode="_ * #,##0.00_ ;_ * \-#,##0.00_ ;_ * &quot;-&quot;??_ ;_ @_ ">
                  <c:v>重分类数</c:v>
                </c:pt>
              </c:strCache>
            </c:strRef>
          </c:cat>
          <c:val>
            <c:numRef>
              <c:f>[党史办序时账.xlsx]汇总1!$D$68:$G$68</c:f>
              <c:numCache>
                <c:formatCode>0.00%</c:formatCode>
                <c:ptCount val="4"/>
                <c:pt idx="0">
                  <c:v>0.034080102609031</c:v>
                </c:pt>
                <c:pt idx="1">
                  <c:v>0.032451907870846</c:v>
                </c:pt>
                <c:pt idx="2">
                  <c:v>0.034067642702199</c:v>
                </c:pt>
                <c:pt idx="3">
                  <c:v>0.0472390489069871</c:v>
                </c:pt>
              </c:numCache>
            </c:numRef>
          </c:val>
        </c:ser>
        <c:ser>
          <c:idx val="2"/>
          <c:order val="2"/>
          <c:tx>
            <c:strRef>
              <c:f>[党史办序时账.xlsx]汇总1!$C$69</c:f>
              <c:strCache>
                <c:ptCount val="1"/>
                <c:pt idx="0">
                  <c:v>项目支出</c:v>
                </c:pt>
              </c:strCache>
            </c:strRef>
          </c:tx>
          <c:spPr>
            <a:solidFill>
              <a:schemeClr val="accent3"/>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[党史办序时账.xlsx]汇总1!$D$66:$G$66</c:f>
              <c:strCache>
                <c:ptCount val="4"/>
                <c:pt idx="0" c:formatCode="_ * #,##0.00_ ;_ * \-#,##0.00_ ;_ * &quot;-&quot;??_ ;_ @_ ">
                  <c:v>全年预算数</c:v>
                </c:pt>
                <c:pt idx="1" c:formatCode="_ * #,##0.00_ ;_ * \-#,##0.00_ ;_ * &quot;-&quot;??_ ;_ @_ ">
                  <c:v>原账套数</c:v>
                </c:pt>
                <c:pt idx="2" c:formatCode="_ * #,##0.00_ ;_ * \-#,##0.00_ ;_ * &quot;-&quot;??_ ;_ @_ ">
                  <c:v>决算数</c:v>
                </c:pt>
                <c:pt idx="3" c:formatCode="_ * #,##0.00_ ;_ * \-#,##0.00_ ;_ * &quot;-&quot;??_ ;_ @_ ">
                  <c:v>重分类数</c:v>
                </c:pt>
              </c:strCache>
            </c:strRef>
          </c:cat>
          <c:val>
            <c:numRef>
              <c:f>[党史办序时账.xlsx]汇总1!$D$69:$G$69</c:f>
              <c:numCache>
                <c:formatCode>0.00%</c:formatCode>
                <c:ptCount val="4"/>
                <c:pt idx="0">
                  <c:v>0.207976837675467</c:v>
                </c:pt>
                <c:pt idx="1">
                  <c:v>0.209595255309015</c:v>
                </c:pt>
                <c:pt idx="2">
                  <c:v>0.207979520477662</c:v>
                </c:pt>
                <c:pt idx="3">
                  <c:v>0.123711891990738</c:v>
                </c:pt>
              </c:numCache>
            </c:numRef>
          </c:val>
        </c:ser>
        <c:dLbls>
          <c:showLegendKey val="0"/>
          <c:showVal val="1"/>
          <c:showCatName val="0"/>
          <c:showSerName val="0"/>
          <c:showPercent val="0"/>
          <c:showBubbleSize val="0"/>
        </c:dLbls>
        <c:gapWidth val="260"/>
        <c:overlap val="100"/>
        <c:serLines>
          <c:spPr>
            <a:ln w="9525" cap="flat" cmpd="sng" algn="ctr">
              <a:solidFill>
                <a:schemeClr val="tx1">
                  <a:lumMod val="35000"/>
                  <a:lumOff val="65000"/>
                </a:schemeClr>
              </a:solidFill>
              <a:round/>
            </a:ln>
            <a:effectLst/>
          </c:spPr>
        </c:serLines>
        <c:axId val="120748147"/>
        <c:axId val="955186820"/>
      </c:barChart>
      <c:catAx>
        <c:axId val="1207481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186820"/>
        <c:crosses val="autoZero"/>
        <c:auto val="1"/>
        <c:lblAlgn val="ctr"/>
        <c:lblOffset val="100"/>
        <c:noMultiLvlLbl val="0"/>
      </c:catAx>
      <c:valAx>
        <c:axId val="955186820"/>
        <c:scaling>
          <c:orientation val="minMax"/>
        </c:scaling>
        <c:delete val="1"/>
        <c:axPos val="l"/>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074814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889c1a1-c79a-4c2d-840f-8e75c91f77a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1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6117</Words>
  <Characters>6550</Characters>
  <Lines>0</Lines>
  <Paragraphs>0</Paragraphs>
  <TotalTime>21</TotalTime>
  <ScaleCrop>false</ScaleCrop>
  <LinksUpToDate>false</LinksUpToDate>
  <CharactersWithSpaces>6592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2023-01-11T06:30:00Z</dcterms:created>
  <dc:creator>符敏（书魁）</dc:creator>
  <cp:lastModifiedBy>【JXY】</cp:lastModifiedBy>
  <cp:lastPrinted>2025-11-03T02:48:00Z</cp:lastPrinted>
  <dcterms:modified xsi:type="dcterms:W3CDTF">2025-12-15T08:26:17Z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2510754445AF4875885F3264B1A1B1A6_13</vt:lpwstr>
  </property>
  <property fmtid="{D5CDD505-2E9C-101B-9397-08002B2CF9AE}" pid="4" name="KSOTemplateDocerSaveRecord">
    <vt:lpwstr>eyJoZGlkIjoiYTU1ZDEwZTk0MTQ5Yzc0MGYxMWRkMmUyNzBiYmUzMGUiLCJ1c2VySWQiOiIyNzQ3NjA5MzgifQ==</vt:lpwstr>
  </property>
</Properties>
</file>