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widowControl w:val="0"/>
        <w:jc w:val="distribute"/>
        <w:rPr>
          <w:rFonts w:hint="eastAsia" w:ascii="仿宋" w:hAnsi="仿宋" w:eastAsia="仿宋" w:cs="仿宋"/>
          <w:b/>
          <w:bCs/>
          <w:sz w:val="36"/>
          <w:szCs w:val="36"/>
          <w:lang w:eastAsia="zh-CN"/>
        </w:rPr>
      </w:pPr>
      <w:r>
        <w:rPr>
          <w:sz w:val="36"/>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C4</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C4</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sz w:val="36"/>
          <w:szCs w:val="36"/>
          <w:lang w:eastAsia="zh-CN"/>
        </w:rPr>
        <w:t>湖南浩元会计师事务所（普通合伙）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2024年雁峰区妇女联合会</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4050336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项目单位：雁峰区妇女联合会</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：2025年11月3日</w:t>
      </w:r>
    </w:p>
    <w:p w14:paraId="482C60CD">
      <w:pPr>
        <w:pStyle w:val="10"/>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10"/>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363E65CA">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default"/>
          <w:sz w:val="32"/>
          <w:szCs w:val="32"/>
          <w:lang w:val="en-US" w:eastAsia="zh-CN"/>
        </w:rPr>
        <w:fldChar w:fldCharType="begin"/>
      </w:r>
      <w:r>
        <w:rPr>
          <w:rFonts w:hint="default"/>
          <w:sz w:val="32"/>
          <w:szCs w:val="32"/>
          <w:lang w:val="en-US" w:eastAsia="zh-CN"/>
        </w:rPr>
        <w:instrText xml:space="preserve"> HYPERLINK \l _Toc32624 </w:instrText>
      </w:r>
      <w:r>
        <w:rPr>
          <w:rFonts w:hint="default"/>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sz w:val="32"/>
          <w:szCs w:val="32"/>
        </w:rPr>
        <w:tab/>
      </w:r>
      <w:r>
        <w:rPr>
          <w:sz w:val="32"/>
          <w:szCs w:val="32"/>
        </w:rPr>
        <w:fldChar w:fldCharType="begin"/>
      </w:r>
      <w:r>
        <w:rPr>
          <w:sz w:val="32"/>
          <w:szCs w:val="32"/>
        </w:rPr>
        <w:instrText xml:space="preserve"> PAGEREF _Toc32624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5849E26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_Toc25189 </w:instrText>
      </w:r>
      <w:r>
        <w:rPr>
          <w:rFonts w:hint="default"/>
          <w:sz w:val="32"/>
          <w:szCs w:val="32"/>
          <w:lang w:val="en-US" w:eastAsia="zh-CN"/>
        </w:rPr>
        <w:fldChar w:fldCharType="separate"/>
      </w:r>
      <w:r>
        <w:rPr>
          <w:rFonts w:hint="eastAsia" w:ascii="楷体" w:hAnsi="楷体" w:eastAsia="楷体" w:cs="楷体"/>
          <w:bCs/>
          <w:sz w:val="32"/>
          <w:szCs w:val="32"/>
        </w:rPr>
        <w:t>（一）</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对象和范围</w:t>
      </w:r>
      <w:r>
        <w:rPr>
          <w:sz w:val="32"/>
          <w:szCs w:val="32"/>
        </w:rPr>
        <w:tab/>
      </w:r>
      <w:r>
        <w:rPr>
          <w:sz w:val="32"/>
          <w:szCs w:val="32"/>
        </w:rPr>
        <w:fldChar w:fldCharType="begin"/>
      </w:r>
      <w:r>
        <w:rPr>
          <w:sz w:val="32"/>
          <w:szCs w:val="32"/>
        </w:rPr>
        <w:instrText xml:space="preserve"> PAGEREF _Toc25189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37DFAA5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_Toc15609 </w:instrText>
      </w:r>
      <w:r>
        <w:rPr>
          <w:rFonts w:hint="default"/>
          <w:sz w:val="32"/>
          <w:szCs w:val="32"/>
          <w:lang w:val="en-US" w:eastAsia="zh-CN"/>
        </w:rPr>
        <w:fldChar w:fldCharType="separate"/>
      </w:r>
      <w:r>
        <w:rPr>
          <w:rFonts w:hint="eastAsia" w:ascii="楷体" w:hAnsi="楷体" w:eastAsia="楷体" w:cs="楷体"/>
          <w:bCs/>
          <w:sz w:val="32"/>
          <w:szCs w:val="32"/>
        </w:rPr>
        <w:t>（二）</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依据</w:t>
      </w:r>
      <w:r>
        <w:rPr>
          <w:sz w:val="32"/>
          <w:szCs w:val="32"/>
        </w:rPr>
        <w:tab/>
      </w:r>
      <w:r>
        <w:rPr>
          <w:sz w:val="32"/>
          <w:szCs w:val="32"/>
        </w:rPr>
        <w:fldChar w:fldCharType="begin"/>
      </w:r>
      <w:r>
        <w:rPr>
          <w:sz w:val="32"/>
          <w:szCs w:val="32"/>
        </w:rPr>
        <w:instrText xml:space="preserve"> PAGEREF _Toc15609 \h </w:instrText>
      </w:r>
      <w:r>
        <w:rPr>
          <w:sz w:val="32"/>
          <w:szCs w:val="32"/>
        </w:rPr>
        <w:fldChar w:fldCharType="separate"/>
      </w:r>
      <w:r>
        <w:rPr>
          <w:sz w:val="32"/>
          <w:szCs w:val="32"/>
        </w:rPr>
        <w:t>2</w:t>
      </w:r>
      <w:r>
        <w:rPr>
          <w:sz w:val="32"/>
          <w:szCs w:val="32"/>
        </w:rPr>
        <w:fldChar w:fldCharType="end"/>
      </w:r>
      <w:r>
        <w:rPr>
          <w:rFonts w:hint="default"/>
          <w:sz w:val="32"/>
          <w:szCs w:val="32"/>
          <w:lang w:val="en-US" w:eastAsia="zh-CN"/>
        </w:rPr>
        <w:fldChar w:fldCharType="end"/>
      </w:r>
    </w:p>
    <w:p w14:paraId="4F293CFA">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_Toc28694 </w:instrText>
      </w:r>
      <w:r>
        <w:rPr>
          <w:rFonts w:hint="default"/>
          <w:sz w:val="32"/>
          <w:szCs w:val="32"/>
          <w:lang w:val="en-US" w:eastAsia="zh-CN"/>
        </w:rPr>
        <w:fldChar w:fldCharType="separate"/>
      </w:r>
      <w:r>
        <w:rPr>
          <w:rFonts w:hint="eastAsia" w:ascii="楷体" w:hAnsi="楷体" w:eastAsia="楷体" w:cs="楷体"/>
          <w:bCs/>
          <w:sz w:val="32"/>
          <w:szCs w:val="32"/>
        </w:rPr>
        <w:t>（三）</w:t>
      </w:r>
      <w:r>
        <w:rPr>
          <w:rFonts w:hint="eastAsia" w:ascii="楷体" w:hAnsi="楷体" w:eastAsia="楷体" w:cs="楷体"/>
          <w:bCs/>
          <w:sz w:val="32"/>
          <w:szCs w:val="32"/>
          <w:lang w:val="en-US" w:eastAsia="zh-CN"/>
        </w:rPr>
        <w:t>评价方法和目的</w:t>
      </w:r>
      <w:r>
        <w:rPr>
          <w:sz w:val="32"/>
          <w:szCs w:val="32"/>
        </w:rPr>
        <w:tab/>
      </w:r>
      <w:r>
        <w:rPr>
          <w:sz w:val="32"/>
          <w:szCs w:val="32"/>
        </w:rPr>
        <w:fldChar w:fldCharType="begin"/>
      </w:r>
      <w:r>
        <w:rPr>
          <w:sz w:val="32"/>
          <w:szCs w:val="32"/>
        </w:rPr>
        <w:instrText xml:space="preserve"> PAGEREF _Toc28694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3EC1F334">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_Toc26270 </w:instrText>
      </w:r>
      <w:r>
        <w:rPr>
          <w:rFonts w:hint="default"/>
          <w:sz w:val="32"/>
          <w:szCs w:val="32"/>
          <w:lang w:val="en-US" w:eastAsia="zh-CN"/>
        </w:rPr>
        <w:fldChar w:fldCharType="separate"/>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r>
        <w:rPr>
          <w:sz w:val="32"/>
          <w:szCs w:val="32"/>
        </w:rPr>
        <w:tab/>
      </w:r>
      <w:r>
        <w:rPr>
          <w:sz w:val="32"/>
          <w:szCs w:val="32"/>
        </w:rPr>
        <w:fldChar w:fldCharType="begin"/>
      </w:r>
      <w:r>
        <w:rPr>
          <w:sz w:val="32"/>
          <w:szCs w:val="32"/>
        </w:rPr>
        <w:instrText xml:space="preserve"> PAGEREF _Toc26270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7E7374B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_Toc2588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基本信息</w:t>
      </w:r>
      <w:r>
        <w:rPr>
          <w:sz w:val="32"/>
          <w:szCs w:val="32"/>
        </w:rPr>
        <w:tab/>
      </w:r>
      <w:r>
        <w:rPr>
          <w:sz w:val="32"/>
          <w:szCs w:val="32"/>
        </w:rPr>
        <w:fldChar w:fldCharType="begin"/>
      </w:r>
      <w:r>
        <w:rPr>
          <w:sz w:val="32"/>
          <w:szCs w:val="32"/>
        </w:rPr>
        <w:instrText xml:space="preserve"> PAGEREF _Toc2588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4A5B36F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_Toc9807 </w:instrText>
      </w:r>
      <w:r>
        <w:rPr>
          <w:rFonts w:hint="default"/>
          <w:sz w:val="32"/>
          <w:szCs w:val="32"/>
          <w:lang w:val="en-US" w:eastAsia="zh-CN"/>
        </w:rPr>
        <w:fldChar w:fldCharType="separate"/>
      </w:r>
      <w:r>
        <w:rPr>
          <w:rFonts w:hint="eastAsia" w:ascii="楷体" w:hAnsi="楷体" w:eastAsia="楷体" w:cs="楷体"/>
          <w:bCs/>
          <w:sz w:val="32"/>
          <w:szCs w:val="32"/>
          <w:highlight w:val="none"/>
          <w:lang w:eastAsia="zh-CN"/>
        </w:rPr>
        <w:t>（</w:t>
      </w:r>
      <w:r>
        <w:rPr>
          <w:rFonts w:hint="eastAsia" w:ascii="楷体" w:hAnsi="楷体" w:eastAsia="楷体" w:cs="楷体"/>
          <w:bCs/>
          <w:sz w:val="32"/>
          <w:szCs w:val="32"/>
          <w:highlight w:val="none"/>
          <w:lang w:val="en-US" w:eastAsia="zh-CN"/>
        </w:rPr>
        <w:t>二</w:t>
      </w:r>
      <w:r>
        <w:rPr>
          <w:rFonts w:hint="eastAsia" w:ascii="楷体" w:hAnsi="楷体" w:eastAsia="楷体" w:cs="楷体"/>
          <w:bCs/>
          <w:sz w:val="32"/>
          <w:szCs w:val="32"/>
          <w:highlight w:val="none"/>
          <w:lang w:eastAsia="zh-CN"/>
        </w:rPr>
        <w:t>）部门</w:t>
      </w:r>
      <w:r>
        <w:rPr>
          <w:rFonts w:hint="eastAsia" w:ascii="楷体" w:hAnsi="楷体" w:eastAsia="楷体" w:cs="楷体"/>
          <w:bCs/>
          <w:sz w:val="32"/>
          <w:szCs w:val="32"/>
          <w:highlight w:val="none"/>
          <w:lang w:val="en-US" w:eastAsia="zh-CN"/>
        </w:rPr>
        <w:t>主要职责</w:t>
      </w:r>
      <w:r>
        <w:rPr>
          <w:sz w:val="32"/>
          <w:szCs w:val="32"/>
        </w:rPr>
        <w:tab/>
      </w:r>
      <w:r>
        <w:rPr>
          <w:sz w:val="32"/>
          <w:szCs w:val="32"/>
        </w:rPr>
        <w:fldChar w:fldCharType="begin"/>
      </w:r>
      <w:r>
        <w:rPr>
          <w:sz w:val="32"/>
          <w:szCs w:val="32"/>
        </w:rPr>
        <w:instrText xml:space="preserve"> PAGEREF _Toc9807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341AFD7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_Toc10720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三</w:t>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部门</w:t>
      </w:r>
      <w:r>
        <w:rPr>
          <w:rFonts w:hint="eastAsia" w:ascii="楷体" w:hAnsi="楷体" w:eastAsia="楷体" w:cs="楷体"/>
          <w:bCs/>
          <w:sz w:val="32"/>
          <w:szCs w:val="32"/>
          <w:lang w:eastAsia="zh-CN"/>
        </w:rPr>
        <w:t>组织架构与人员</w:t>
      </w:r>
      <w:r>
        <w:rPr>
          <w:sz w:val="32"/>
          <w:szCs w:val="32"/>
        </w:rPr>
        <w:tab/>
      </w:r>
      <w:r>
        <w:rPr>
          <w:sz w:val="32"/>
          <w:szCs w:val="32"/>
        </w:rPr>
        <w:fldChar w:fldCharType="begin"/>
      </w:r>
      <w:r>
        <w:rPr>
          <w:sz w:val="32"/>
          <w:szCs w:val="32"/>
        </w:rPr>
        <w:instrText xml:space="preserve"> PAGEREF _Toc10720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158B9ED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_Toc4644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（四）部门2024年度职责履行及履职效益</w:t>
      </w:r>
      <w:r>
        <w:rPr>
          <w:sz w:val="32"/>
          <w:szCs w:val="32"/>
        </w:rPr>
        <w:tab/>
      </w:r>
      <w:r>
        <w:rPr>
          <w:sz w:val="32"/>
          <w:szCs w:val="32"/>
        </w:rPr>
        <w:fldChar w:fldCharType="begin"/>
      </w:r>
      <w:r>
        <w:rPr>
          <w:sz w:val="32"/>
          <w:szCs w:val="32"/>
        </w:rPr>
        <w:instrText xml:space="preserve"> PAGEREF _Toc4644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0EFDF4A5">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_Toc20000 </w:instrText>
      </w:r>
      <w:r>
        <w:rPr>
          <w:rFonts w:hint="default"/>
          <w:sz w:val="32"/>
          <w:szCs w:val="32"/>
          <w:lang w:val="en-US" w:eastAsia="zh-CN"/>
        </w:rPr>
        <w:fldChar w:fldCharType="separate"/>
      </w:r>
      <w:r>
        <w:rPr>
          <w:rFonts w:hint="eastAsia" w:ascii="黑体" w:hAnsi="黑体" w:eastAsia="黑体" w:cs="黑体"/>
          <w:sz w:val="32"/>
          <w:szCs w:val="32"/>
          <w:lang w:eastAsia="zh-CN"/>
        </w:rPr>
        <w:t>三、部门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sz w:val="32"/>
          <w:szCs w:val="32"/>
        </w:rPr>
        <w:tab/>
      </w:r>
      <w:r>
        <w:rPr>
          <w:sz w:val="32"/>
          <w:szCs w:val="32"/>
        </w:rPr>
        <w:fldChar w:fldCharType="begin"/>
      </w:r>
      <w:r>
        <w:rPr>
          <w:sz w:val="32"/>
          <w:szCs w:val="32"/>
        </w:rPr>
        <w:instrText xml:space="preserve"> PAGEREF _Toc20000 \h </w:instrText>
      </w:r>
      <w:r>
        <w:rPr>
          <w:sz w:val="32"/>
          <w:szCs w:val="32"/>
        </w:rPr>
        <w:fldChar w:fldCharType="separate"/>
      </w:r>
      <w:r>
        <w:rPr>
          <w:sz w:val="32"/>
          <w:szCs w:val="32"/>
        </w:rPr>
        <w:t>8</w:t>
      </w:r>
      <w:r>
        <w:rPr>
          <w:sz w:val="32"/>
          <w:szCs w:val="32"/>
        </w:rPr>
        <w:fldChar w:fldCharType="end"/>
      </w:r>
      <w:r>
        <w:rPr>
          <w:rFonts w:hint="default"/>
          <w:sz w:val="32"/>
          <w:szCs w:val="32"/>
          <w:lang w:val="en-US" w:eastAsia="zh-CN"/>
        </w:rPr>
        <w:fldChar w:fldCharType="end"/>
      </w:r>
    </w:p>
    <w:p w14:paraId="3E7C1BC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_Toc4801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sz w:val="32"/>
          <w:szCs w:val="32"/>
        </w:rPr>
        <w:tab/>
      </w:r>
      <w:r>
        <w:rPr>
          <w:sz w:val="32"/>
          <w:szCs w:val="32"/>
        </w:rPr>
        <w:fldChar w:fldCharType="begin"/>
      </w:r>
      <w:r>
        <w:rPr>
          <w:sz w:val="32"/>
          <w:szCs w:val="32"/>
        </w:rPr>
        <w:instrText xml:space="preserve"> PAGEREF _Toc4801 \h </w:instrText>
      </w:r>
      <w:r>
        <w:rPr>
          <w:sz w:val="32"/>
          <w:szCs w:val="32"/>
        </w:rPr>
        <w:fldChar w:fldCharType="separate"/>
      </w:r>
      <w:r>
        <w:rPr>
          <w:sz w:val="32"/>
          <w:szCs w:val="32"/>
        </w:rPr>
        <w:t>8</w:t>
      </w:r>
      <w:r>
        <w:rPr>
          <w:sz w:val="32"/>
          <w:szCs w:val="32"/>
        </w:rPr>
        <w:fldChar w:fldCharType="end"/>
      </w:r>
      <w:r>
        <w:rPr>
          <w:rFonts w:hint="default"/>
          <w:sz w:val="32"/>
          <w:szCs w:val="32"/>
          <w:lang w:val="en-US" w:eastAsia="zh-CN"/>
        </w:rPr>
        <w:fldChar w:fldCharType="end"/>
      </w:r>
    </w:p>
    <w:p w14:paraId="27FF56E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_Toc5712 </w:instrText>
      </w:r>
      <w:r>
        <w:rPr>
          <w:rFonts w:hint="default"/>
          <w:sz w:val="32"/>
          <w:szCs w:val="32"/>
          <w:lang w:val="en-US" w:eastAsia="zh-CN"/>
        </w:rPr>
        <w:fldChar w:fldCharType="separate"/>
      </w:r>
      <w:r>
        <w:rPr>
          <w:rFonts w:hint="eastAsia" w:ascii="楷体" w:hAnsi="楷体" w:eastAsia="楷体" w:cs="楷体"/>
          <w:bCs/>
          <w:sz w:val="32"/>
          <w:szCs w:val="32"/>
          <w:lang w:eastAsia="zh-CN"/>
        </w:rPr>
        <w:t>（二）预算执行</w:t>
      </w:r>
      <w:r>
        <w:rPr>
          <w:rFonts w:hint="eastAsia" w:ascii="楷体" w:hAnsi="楷体" w:eastAsia="楷体" w:cs="楷体"/>
          <w:bCs/>
          <w:sz w:val="32"/>
          <w:szCs w:val="32"/>
          <w:lang w:val="en-US" w:eastAsia="zh-CN"/>
        </w:rPr>
        <w:t>情况及分析</w:t>
      </w:r>
      <w:r>
        <w:rPr>
          <w:sz w:val="32"/>
          <w:szCs w:val="32"/>
        </w:rPr>
        <w:tab/>
      </w:r>
      <w:r>
        <w:rPr>
          <w:sz w:val="32"/>
          <w:szCs w:val="32"/>
        </w:rPr>
        <w:fldChar w:fldCharType="begin"/>
      </w:r>
      <w:r>
        <w:rPr>
          <w:sz w:val="32"/>
          <w:szCs w:val="32"/>
        </w:rPr>
        <w:instrText xml:space="preserve"> PAGEREF _Toc5712 \h </w:instrText>
      </w:r>
      <w:r>
        <w:rPr>
          <w:sz w:val="32"/>
          <w:szCs w:val="32"/>
        </w:rPr>
        <w:fldChar w:fldCharType="separate"/>
      </w:r>
      <w:r>
        <w:rPr>
          <w:sz w:val="32"/>
          <w:szCs w:val="32"/>
        </w:rPr>
        <w:t>8</w:t>
      </w:r>
      <w:r>
        <w:rPr>
          <w:sz w:val="32"/>
          <w:szCs w:val="32"/>
        </w:rPr>
        <w:fldChar w:fldCharType="end"/>
      </w:r>
      <w:r>
        <w:rPr>
          <w:rFonts w:hint="default"/>
          <w:sz w:val="32"/>
          <w:szCs w:val="32"/>
          <w:lang w:val="en-US" w:eastAsia="zh-CN"/>
        </w:rPr>
        <w:fldChar w:fldCharType="end"/>
      </w:r>
    </w:p>
    <w:p w14:paraId="03F41F8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_Toc9664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w:t>
      </w:r>
      <w:r>
        <w:rPr>
          <w:rFonts w:hint="eastAsia" w:ascii="楷体" w:hAnsi="楷体" w:eastAsia="楷体" w:cs="楷体"/>
          <w:bCs/>
          <w:sz w:val="32"/>
          <w:szCs w:val="32"/>
          <w:lang w:val="en-US" w:eastAsia="zh-CN"/>
        </w:rPr>
        <w:t>整体支出汇总及分析</w:t>
      </w:r>
      <w:r>
        <w:rPr>
          <w:sz w:val="32"/>
          <w:szCs w:val="32"/>
        </w:rPr>
        <w:tab/>
      </w:r>
      <w:r>
        <w:rPr>
          <w:sz w:val="32"/>
          <w:szCs w:val="32"/>
        </w:rPr>
        <w:fldChar w:fldCharType="begin"/>
      </w:r>
      <w:r>
        <w:rPr>
          <w:sz w:val="32"/>
          <w:szCs w:val="32"/>
        </w:rPr>
        <w:instrText xml:space="preserve"> PAGEREF _Toc9664 \h </w:instrText>
      </w:r>
      <w:r>
        <w:rPr>
          <w:sz w:val="32"/>
          <w:szCs w:val="32"/>
        </w:rPr>
        <w:fldChar w:fldCharType="separate"/>
      </w:r>
      <w:r>
        <w:rPr>
          <w:sz w:val="32"/>
          <w:szCs w:val="32"/>
        </w:rPr>
        <w:t>12</w:t>
      </w:r>
      <w:r>
        <w:rPr>
          <w:sz w:val="32"/>
          <w:szCs w:val="32"/>
        </w:rPr>
        <w:fldChar w:fldCharType="end"/>
      </w:r>
      <w:r>
        <w:rPr>
          <w:rFonts w:hint="default"/>
          <w:sz w:val="32"/>
          <w:szCs w:val="32"/>
          <w:lang w:val="en-US" w:eastAsia="zh-CN"/>
        </w:rPr>
        <w:fldChar w:fldCharType="end"/>
      </w:r>
    </w:p>
    <w:p w14:paraId="14F47C05">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_Toc15816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管理情况及分析</w:t>
      </w:r>
      <w:r>
        <w:rPr>
          <w:sz w:val="32"/>
          <w:szCs w:val="32"/>
        </w:rPr>
        <w:tab/>
      </w:r>
      <w:r>
        <w:rPr>
          <w:sz w:val="32"/>
          <w:szCs w:val="32"/>
        </w:rPr>
        <w:fldChar w:fldCharType="begin"/>
      </w:r>
      <w:r>
        <w:rPr>
          <w:sz w:val="32"/>
          <w:szCs w:val="32"/>
        </w:rPr>
        <w:instrText xml:space="preserve"> PAGEREF _Toc15816 \h </w:instrText>
      </w:r>
      <w:r>
        <w:rPr>
          <w:sz w:val="32"/>
          <w:szCs w:val="32"/>
        </w:rPr>
        <w:fldChar w:fldCharType="separate"/>
      </w:r>
      <w:r>
        <w:rPr>
          <w:sz w:val="32"/>
          <w:szCs w:val="32"/>
        </w:rPr>
        <w:t>17</w:t>
      </w:r>
      <w:r>
        <w:rPr>
          <w:sz w:val="32"/>
          <w:szCs w:val="32"/>
        </w:rPr>
        <w:fldChar w:fldCharType="end"/>
      </w:r>
      <w:r>
        <w:rPr>
          <w:rFonts w:hint="default"/>
          <w:sz w:val="32"/>
          <w:szCs w:val="32"/>
          <w:lang w:val="en-US" w:eastAsia="zh-CN"/>
        </w:rPr>
        <w:fldChar w:fldCharType="end"/>
      </w:r>
    </w:p>
    <w:p w14:paraId="1049502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_Toc9368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（五）工资管理情况及分析</w:t>
      </w:r>
      <w:r>
        <w:rPr>
          <w:sz w:val="32"/>
          <w:szCs w:val="32"/>
        </w:rPr>
        <w:tab/>
      </w:r>
      <w:r>
        <w:rPr>
          <w:sz w:val="32"/>
          <w:szCs w:val="32"/>
        </w:rPr>
        <w:fldChar w:fldCharType="begin"/>
      </w:r>
      <w:r>
        <w:rPr>
          <w:sz w:val="32"/>
          <w:szCs w:val="32"/>
        </w:rPr>
        <w:instrText xml:space="preserve"> PAGEREF _Toc9368 \h </w:instrText>
      </w:r>
      <w:r>
        <w:rPr>
          <w:sz w:val="32"/>
          <w:szCs w:val="32"/>
        </w:rPr>
        <w:fldChar w:fldCharType="separate"/>
      </w:r>
      <w:r>
        <w:rPr>
          <w:sz w:val="32"/>
          <w:szCs w:val="32"/>
        </w:rPr>
        <w:t>18</w:t>
      </w:r>
      <w:r>
        <w:rPr>
          <w:sz w:val="32"/>
          <w:szCs w:val="32"/>
        </w:rPr>
        <w:fldChar w:fldCharType="end"/>
      </w:r>
      <w:r>
        <w:rPr>
          <w:rFonts w:hint="default"/>
          <w:sz w:val="32"/>
          <w:szCs w:val="32"/>
          <w:lang w:val="en-US" w:eastAsia="zh-CN"/>
        </w:rPr>
        <w:fldChar w:fldCharType="end"/>
      </w:r>
    </w:p>
    <w:p w14:paraId="6622B40D">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_Toc7581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（六）</w:t>
      </w:r>
      <w:r>
        <w:rPr>
          <w:rFonts w:hint="eastAsia" w:ascii="楷体" w:hAnsi="楷体" w:eastAsia="楷体" w:cs="楷体"/>
          <w:bCs/>
          <w:sz w:val="32"/>
          <w:szCs w:val="32"/>
          <w:lang w:val="en-US" w:eastAsia="zh-CN"/>
        </w:rPr>
        <w:t>项目支出管理情况及分析</w:t>
      </w:r>
      <w:r>
        <w:rPr>
          <w:sz w:val="32"/>
          <w:szCs w:val="32"/>
        </w:rPr>
        <w:tab/>
      </w:r>
      <w:r>
        <w:rPr>
          <w:sz w:val="32"/>
          <w:szCs w:val="32"/>
        </w:rPr>
        <w:fldChar w:fldCharType="begin"/>
      </w:r>
      <w:r>
        <w:rPr>
          <w:sz w:val="32"/>
          <w:szCs w:val="32"/>
        </w:rPr>
        <w:instrText xml:space="preserve"> PAGEREF _Toc7581 \h </w:instrText>
      </w:r>
      <w:r>
        <w:rPr>
          <w:sz w:val="32"/>
          <w:szCs w:val="32"/>
        </w:rPr>
        <w:fldChar w:fldCharType="separate"/>
      </w:r>
      <w:r>
        <w:rPr>
          <w:sz w:val="32"/>
          <w:szCs w:val="32"/>
        </w:rPr>
        <w:t>18</w:t>
      </w:r>
      <w:r>
        <w:rPr>
          <w:sz w:val="32"/>
          <w:szCs w:val="32"/>
        </w:rPr>
        <w:fldChar w:fldCharType="end"/>
      </w:r>
      <w:r>
        <w:rPr>
          <w:rFonts w:hint="default"/>
          <w:sz w:val="32"/>
          <w:szCs w:val="32"/>
          <w:lang w:val="en-US" w:eastAsia="zh-CN"/>
        </w:rPr>
        <w:fldChar w:fldCharType="end"/>
      </w:r>
    </w:p>
    <w:p w14:paraId="31557B7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_Toc15262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（七）</w:t>
      </w:r>
      <w:r>
        <w:rPr>
          <w:rFonts w:hint="eastAsia" w:ascii="楷体" w:hAnsi="楷体" w:eastAsia="楷体" w:cs="楷体"/>
          <w:bCs/>
          <w:sz w:val="32"/>
          <w:szCs w:val="32"/>
          <w:highlight w:val="none"/>
          <w:lang w:val="en-US" w:eastAsia="zh-CN"/>
        </w:rPr>
        <w:t>固定资产管理情况及分析</w:t>
      </w:r>
      <w:r>
        <w:rPr>
          <w:sz w:val="32"/>
          <w:szCs w:val="32"/>
        </w:rPr>
        <w:tab/>
      </w:r>
      <w:r>
        <w:rPr>
          <w:sz w:val="32"/>
          <w:szCs w:val="32"/>
        </w:rPr>
        <w:fldChar w:fldCharType="begin"/>
      </w:r>
      <w:r>
        <w:rPr>
          <w:sz w:val="32"/>
          <w:szCs w:val="32"/>
        </w:rPr>
        <w:instrText xml:space="preserve"> PAGEREF _Toc15262 \h </w:instrText>
      </w:r>
      <w:r>
        <w:rPr>
          <w:sz w:val="32"/>
          <w:szCs w:val="32"/>
        </w:rPr>
        <w:fldChar w:fldCharType="separate"/>
      </w:r>
      <w:r>
        <w:rPr>
          <w:sz w:val="32"/>
          <w:szCs w:val="32"/>
        </w:rPr>
        <w:t>19</w:t>
      </w:r>
      <w:r>
        <w:rPr>
          <w:sz w:val="32"/>
          <w:szCs w:val="32"/>
        </w:rPr>
        <w:fldChar w:fldCharType="end"/>
      </w:r>
      <w:r>
        <w:rPr>
          <w:rFonts w:hint="default"/>
          <w:sz w:val="32"/>
          <w:szCs w:val="32"/>
          <w:lang w:val="en-US" w:eastAsia="zh-CN"/>
        </w:rPr>
        <w:fldChar w:fldCharType="end"/>
      </w:r>
    </w:p>
    <w:p w14:paraId="6BD8741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_Toc21022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（八）厉行节约保障措施的执行情况及其政策效果</w:t>
      </w:r>
      <w:r>
        <w:rPr>
          <w:sz w:val="32"/>
          <w:szCs w:val="32"/>
        </w:rPr>
        <w:tab/>
      </w:r>
      <w:r>
        <w:rPr>
          <w:sz w:val="32"/>
          <w:szCs w:val="32"/>
        </w:rPr>
        <w:fldChar w:fldCharType="begin"/>
      </w:r>
      <w:r>
        <w:rPr>
          <w:sz w:val="32"/>
          <w:szCs w:val="32"/>
        </w:rPr>
        <w:instrText xml:space="preserve"> PAGEREF _Toc21022 \h </w:instrText>
      </w:r>
      <w:r>
        <w:rPr>
          <w:sz w:val="32"/>
          <w:szCs w:val="32"/>
        </w:rPr>
        <w:fldChar w:fldCharType="separate"/>
      </w:r>
      <w:r>
        <w:rPr>
          <w:sz w:val="32"/>
          <w:szCs w:val="32"/>
        </w:rPr>
        <w:t>21</w:t>
      </w:r>
      <w:r>
        <w:rPr>
          <w:sz w:val="32"/>
          <w:szCs w:val="32"/>
        </w:rPr>
        <w:fldChar w:fldCharType="end"/>
      </w:r>
      <w:r>
        <w:rPr>
          <w:rFonts w:hint="default"/>
          <w:sz w:val="32"/>
          <w:szCs w:val="32"/>
          <w:lang w:val="en-US" w:eastAsia="zh-CN"/>
        </w:rPr>
        <w:fldChar w:fldCharType="end"/>
      </w:r>
    </w:p>
    <w:p w14:paraId="3F0242B9">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_Toc23047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r>
        <w:rPr>
          <w:sz w:val="32"/>
          <w:szCs w:val="32"/>
        </w:rPr>
        <w:tab/>
      </w:r>
      <w:r>
        <w:rPr>
          <w:sz w:val="32"/>
          <w:szCs w:val="32"/>
        </w:rPr>
        <w:fldChar w:fldCharType="begin"/>
      </w:r>
      <w:r>
        <w:rPr>
          <w:sz w:val="32"/>
          <w:szCs w:val="32"/>
        </w:rPr>
        <w:instrText xml:space="preserve"> PAGEREF _Toc23047 \h </w:instrText>
      </w:r>
      <w:r>
        <w:rPr>
          <w:sz w:val="32"/>
          <w:szCs w:val="32"/>
        </w:rPr>
        <w:fldChar w:fldCharType="separate"/>
      </w:r>
      <w:r>
        <w:rPr>
          <w:sz w:val="32"/>
          <w:szCs w:val="32"/>
        </w:rPr>
        <w:t>22</w:t>
      </w:r>
      <w:r>
        <w:rPr>
          <w:sz w:val="32"/>
          <w:szCs w:val="32"/>
        </w:rPr>
        <w:fldChar w:fldCharType="end"/>
      </w:r>
      <w:r>
        <w:rPr>
          <w:rFonts w:hint="default"/>
          <w:sz w:val="32"/>
          <w:szCs w:val="32"/>
          <w:lang w:val="en-US" w:eastAsia="zh-CN"/>
        </w:rPr>
        <w:fldChar w:fldCharType="end"/>
      </w:r>
    </w:p>
    <w:p w14:paraId="36DF5721">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_Toc18754 </w:instrText>
      </w:r>
      <w:r>
        <w:rPr>
          <w:rFonts w:hint="default"/>
          <w:sz w:val="32"/>
          <w:szCs w:val="32"/>
          <w:lang w:val="en-US" w:eastAsia="zh-CN"/>
        </w:rPr>
        <w:fldChar w:fldCharType="separate"/>
      </w:r>
      <w:r>
        <w:rPr>
          <w:rFonts w:hint="eastAsia" w:ascii="楷体" w:hAnsi="楷体" w:eastAsia="楷体" w:cs="楷体"/>
          <w:bCs/>
          <w:sz w:val="32"/>
          <w:szCs w:val="32"/>
          <w:lang w:eastAsia="zh-CN"/>
        </w:rPr>
        <w:t>（一）总体目标</w:t>
      </w:r>
      <w:r>
        <w:rPr>
          <w:sz w:val="32"/>
          <w:szCs w:val="32"/>
        </w:rPr>
        <w:tab/>
      </w:r>
      <w:r>
        <w:rPr>
          <w:sz w:val="32"/>
          <w:szCs w:val="32"/>
        </w:rPr>
        <w:fldChar w:fldCharType="begin"/>
      </w:r>
      <w:r>
        <w:rPr>
          <w:sz w:val="32"/>
          <w:szCs w:val="32"/>
        </w:rPr>
        <w:instrText xml:space="preserve"> PAGEREF _Toc18754 \h </w:instrText>
      </w:r>
      <w:r>
        <w:rPr>
          <w:sz w:val="32"/>
          <w:szCs w:val="32"/>
        </w:rPr>
        <w:fldChar w:fldCharType="separate"/>
      </w:r>
      <w:r>
        <w:rPr>
          <w:sz w:val="32"/>
          <w:szCs w:val="32"/>
        </w:rPr>
        <w:t>22</w:t>
      </w:r>
      <w:r>
        <w:rPr>
          <w:sz w:val="32"/>
          <w:szCs w:val="32"/>
        </w:rPr>
        <w:fldChar w:fldCharType="end"/>
      </w:r>
      <w:r>
        <w:rPr>
          <w:rFonts w:hint="default"/>
          <w:sz w:val="32"/>
          <w:szCs w:val="32"/>
          <w:lang w:val="en-US" w:eastAsia="zh-CN"/>
        </w:rPr>
        <w:fldChar w:fldCharType="end"/>
      </w:r>
    </w:p>
    <w:p w14:paraId="51939CF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_Toc27422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）分类目标</w:t>
      </w:r>
      <w:r>
        <w:rPr>
          <w:sz w:val="32"/>
          <w:szCs w:val="32"/>
        </w:rPr>
        <w:tab/>
      </w:r>
      <w:r>
        <w:rPr>
          <w:sz w:val="32"/>
          <w:szCs w:val="32"/>
        </w:rPr>
        <w:fldChar w:fldCharType="begin"/>
      </w:r>
      <w:r>
        <w:rPr>
          <w:sz w:val="32"/>
          <w:szCs w:val="32"/>
        </w:rPr>
        <w:instrText xml:space="preserve"> PAGEREF _Toc27422 \h </w:instrText>
      </w:r>
      <w:r>
        <w:rPr>
          <w:sz w:val="32"/>
          <w:szCs w:val="32"/>
        </w:rPr>
        <w:fldChar w:fldCharType="separate"/>
      </w:r>
      <w:r>
        <w:rPr>
          <w:sz w:val="32"/>
          <w:szCs w:val="32"/>
        </w:rPr>
        <w:t>23</w:t>
      </w:r>
      <w:r>
        <w:rPr>
          <w:sz w:val="32"/>
          <w:szCs w:val="32"/>
        </w:rPr>
        <w:fldChar w:fldCharType="end"/>
      </w:r>
      <w:r>
        <w:rPr>
          <w:rFonts w:hint="default"/>
          <w:sz w:val="32"/>
          <w:szCs w:val="32"/>
          <w:lang w:val="en-US" w:eastAsia="zh-CN"/>
        </w:rPr>
        <w:fldChar w:fldCharType="end"/>
      </w:r>
    </w:p>
    <w:p w14:paraId="3CABC07B">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_Toc27026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r>
        <w:rPr>
          <w:sz w:val="32"/>
          <w:szCs w:val="32"/>
        </w:rPr>
        <w:tab/>
      </w:r>
      <w:r>
        <w:rPr>
          <w:sz w:val="32"/>
          <w:szCs w:val="32"/>
        </w:rPr>
        <w:fldChar w:fldCharType="begin"/>
      </w:r>
      <w:r>
        <w:rPr>
          <w:sz w:val="32"/>
          <w:szCs w:val="32"/>
        </w:rPr>
        <w:instrText xml:space="preserve"> PAGEREF _Toc27026 \h </w:instrText>
      </w:r>
      <w:r>
        <w:rPr>
          <w:sz w:val="32"/>
          <w:szCs w:val="32"/>
        </w:rPr>
        <w:fldChar w:fldCharType="separate"/>
      </w:r>
      <w:r>
        <w:rPr>
          <w:sz w:val="32"/>
          <w:szCs w:val="32"/>
        </w:rPr>
        <w:t>25</w:t>
      </w:r>
      <w:r>
        <w:rPr>
          <w:sz w:val="32"/>
          <w:szCs w:val="32"/>
        </w:rPr>
        <w:fldChar w:fldCharType="end"/>
      </w:r>
      <w:r>
        <w:rPr>
          <w:rFonts w:hint="default"/>
          <w:sz w:val="32"/>
          <w:szCs w:val="32"/>
          <w:lang w:val="en-US" w:eastAsia="zh-CN"/>
        </w:rPr>
        <w:fldChar w:fldCharType="end"/>
      </w:r>
    </w:p>
    <w:p w14:paraId="2DC86D8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_Toc27148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（一）评价框架</w:t>
      </w:r>
      <w:r>
        <w:rPr>
          <w:sz w:val="32"/>
          <w:szCs w:val="32"/>
        </w:rPr>
        <w:tab/>
      </w:r>
      <w:r>
        <w:rPr>
          <w:sz w:val="32"/>
          <w:szCs w:val="32"/>
        </w:rPr>
        <w:fldChar w:fldCharType="begin"/>
      </w:r>
      <w:r>
        <w:rPr>
          <w:sz w:val="32"/>
          <w:szCs w:val="32"/>
        </w:rPr>
        <w:instrText xml:space="preserve"> PAGEREF _Toc27148 \h </w:instrText>
      </w:r>
      <w:r>
        <w:rPr>
          <w:sz w:val="32"/>
          <w:szCs w:val="32"/>
        </w:rPr>
        <w:fldChar w:fldCharType="separate"/>
      </w:r>
      <w:r>
        <w:rPr>
          <w:sz w:val="32"/>
          <w:szCs w:val="32"/>
        </w:rPr>
        <w:t>25</w:t>
      </w:r>
      <w:r>
        <w:rPr>
          <w:sz w:val="32"/>
          <w:szCs w:val="32"/>
        </w:rPr>
        <w:fldChar w:fldCharType="end"/>
      </w:r>
      <w:r>
        <w:rPr>
          <w:rFonts w:hint="default"/>
          <w:sz w:val="32"/>
          <w:szCs w:val="32"/>
          <w:lang w:val="en-US" w:eastAsia="zh-CN"/>
        </w:rPr>
        <w:fldChar w:fldCharType="end"/>
      </w:r>
    </w:p>
    <w:p w14:paraId="01E8680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_Toc15697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（二）评价分析</w:t>
      </w:r>
      <w:r>
        <w:rPr>
          <w:sz w:val="32"/>
          <w:szCs w:val="32"/>
        </w:rPr>
        <w:tab/>
      </w:r>
      <w:r>
        <w:rPr>
          <w:sz w:val="32"/>
          <w:szCs w:val="32"/>
        </w:rPr>
        <w:fldChar w:fldCharType="begin"/>
      </w:r>
      <w:r>
        <w:rPr>
          <w:sz w:val="32"/>
          <w:szCs w:val="32"/>
        </w:rPr>
        <w:instrText xml:space="preserve"> PAGEREF _Toc15697 \h </w:instrText>
      </w:r>
      <w:r>
        <w:rPr>
          <w:sz w:val="32"/>
          <w:szCs w:val="32"/>
        </w:rPr>
        <w:fldChar w:fldCharType="separate"/>
      </w:r>
      <w:r>
        <w:rPr>
          <w:sz w:val="32"/>
          <w:szCs w:val="32"/>
        </w:rPr>
        <w:t>26</w:t>
      </w:r>
      <w:r>
        <w:rPr>
          <w:sz w:val="32"/>
          <w:szCs w:val="32"/>
        </w:rPr>
        <w:fldChar w:fldCharType="end"/>
      </w:r>
      <w:r>
        <w:rPr>
          <w:rFonts w:hint="default"/>
          <w:sz w:val="32"/>
          <w:szCs w:val="32"/>
          <w:lang w:val="en-US" w:eastAsia="zh-CN"/>
        </w:rPr>
        <w:fldChar w:fldCharType="end"/>
      </w:r>
    </w:p>
    <w:p w14:paraId="57F87A6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_Toc11480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（三）评价结果</w:t>
      </w:r>
      <w:r>
        <w:rPr>
          <w:sz w:val="32"/>
          <w:szCs w:val="32"/>
        </w:rPr>
        <w:tab/>
      </w:r>
      <w:r>
        <w:rPr>
          <w:sz w:val="32"/>
          <w:szCs w:val="32"/>
        </w:rPr>
        <w:fldChar w:fldCharType="begin"/>
      </w:r>
      <w:r>
        <w:rPr>
          <w:sz w:val="32"/>
          <w:szCs w:val="32"/>
        </w:rPr>
        <w:instrText xml:space="preserve"> PAGEREF _Toc11480 \h </w:instrText>
      </w:r>
      <w:r>
        <w:rPr>
          <w:sz w:val="32"/>
          <w:szCs w:val="32"/>
        </w:rPr>
        <w:fldChar w:fldCharType="separate"/>
      </w:r>
      <w:r>
        <w:rPr>
          <w:sz w:val="32"/>
          <w:szCs w:val="32"/>
        </w:rPr>
        <w:t>40</w:t>
      </w:r>
      <w:r>
        <w:rPr>
          <w:sz w:val="32"/>
          <w:szCs w:val="32"/>
        </w:rPr>
        <w:fldChar w:fldCharType="end"/>
      </w:r>
      <w:r>
        <w:rPr>
          <w:rFonts w:hint="default"/>
          <w:sz w:val="32"/>
          <w:szCs w:val="32"/>
          <w:lang w:val="en-US" w:eastAsia="zh-CN"/>
        </w:rPr>
        <w:fldChar w:fldCharType="end"/>
      </w:r>
    </w:p>
    <w:p w14:paraId="2519B76D">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_Toc11247 </w:instrText>
      </w:r>
      <w:r>
        <w:rPr>
          <w:rFonts w:hint="default"/>
          <w:sz w:val="32"/>
          <w:szCs w:val="32"/>
          <w:lang w:val="en-US" w:eastAsia="zh-CN"/>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r>
        <w:rPr>
          <w:sz w:val="32"/>
          <w:szCs w:val="32"/>
        </w:rPr>
        <w:tab/>
      </w:r>
      <w:r>
        <w:rPr>
          <w:sz w:val="32"/>
          <w:szCs w:val="32"/>
        </w:rPr>
        <w:fldChar w:fldCharType="begin"/>
      </w:r>
      <w:r>
        <w:rPr>
          <w:sz w:val="32"/>
          <w:szCs w:val="32"/>
        </w:rPr>
        <w:instrText xml:space="preserve"> PAGEREF _Toc11247 \h </w:instrText>
      </w:r>
      <w:r>
        <w:rPr>
          <w:sz w:val="32"/>
          <w:szCs w:val="32"/>
        </w:rPr>
        <w:fldChar w:fldCharType="separate"/>
      </w:r>
      <w:r>
        <w:rPr>
          <w:sz w:val="32"/>
          <w:szCs w:val="32"/>
        </w:rPr>
        <w:t>40</w:t>
      </w:r>
      <w:r>
        <w:rPr>
          <w:sz w:val="32"/>
          <w:szCs w:val="32"/>
        </w:rPr>
        <w:fldChar w:fldCharType="end"/>
      </w:r>
      <w:r>
        <w:rPr>
          <w:rFonts w:hint="default"/>
          <w:sz w:val="32"/>
          <w:szCs w:val="32"/>
          <w:lang w:val="en-US" w:eastAsia="zh-CN"/>
        </w:rPr>
        <w:fldChar w:fldCharType="end"/>
      </w:r>
    </w:p>
    <w:p w14:paraId="716B966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_Toc26775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（一）预算配置与执行方面存在的问题及建议</w:t>
      </w:r>
      <w:r>
        <w:rPr>
          <w:sz w:val="32"/>
          <w:szCs w:val="32"/>
        </w:rPr>
        <w:tab/>
      </w:r>
      <w:r>
        <w:rPr>
          <w:sz w:val="32"/>
          <w:szCs w:val="32"/>
        </w:rPr>
        <w:fldChar w:fldCharType="begin"/>
      </w:r>
      <w:r>
        <w:rPr>
          <w:sz w:val="32"/>
          <w:szCs w:val="32"/>
        </w:rPr>
        <w:instrText xml:space="preserve"> PAGEREF _Toc26775 \h </w:instrText>
      </w:r>
      <w:r>
        <w:rPr>
          <w:sz w:val="32"/>
          <w:szCs w:val="32"/>
        </w:rPr>
        <w:fldChar w:fldCharType="separate"/>
      </w:r>
      <w:r>
        <w:rPr>
          <w:sz w:val="32"/>
          <w:szCs w:val="32"/>
        </w:rPr>
        <w:t>40</w:t>
      </w:r>
      <w:r>
        <w:rPr>
          <w:sz w:val="32"/>
          <w:szCs w:val="32"/>
        </w:rPr>
        <w:fldChar w:fldCharType="end"/>
      </w:r>
      <w:r>
        <w:rPr>
          <w:rFonts w:hint="default"/>
          <w:sz w:val="32"/>
          <w:szCs w:val="32"/>
          <w:lang w:val="en-US" w:eastAsia="zh-CN"/>
        </w:rPr>
        <w:fldChar w:fldCharType="end"/>
      </w:r>
    </w:p>
    <w:p w14:paraId="5411DF8A">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_Toc23562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_Toc23562 \h </w:instrText>
      </w:r>
      <w:r>
        <w:rPr>
          <w:sz w:val="32"/>
          <w:szCs w:val="32"/>
        </w:rPr>
        <w:fldChar w:fldCharType="separate"/>
      </w:r>
      <w:r>
        <w:rPr>
          <w:sz w:val="32"/>
          <w:szCs w:val="32"/>
        </w:rPr>
        <w:t>49</w:t>
      </w:r>
      <w:r>
        <w:rPr>
          <w:sz w:val="32"/>
          <w:szCs w:val="32"/>
        </w:rPr>
        <w:fldChar w:fldCharType="end"/>
      </w:r>
      <w:r>
        <w:rPr>
          <w:rFonts w:hint="default"/>
          <w:sz w:val="32"/>
          <w:szCs w:val="32"/>
          <w:lang w:val="en-US" w:eastAsia="zh-CN"/>
        </w:rPr>
        <w:fldChar w:fldCharType="end"/>
      </w:r>
    </w:p>
    <w:p w14:paraId="18408222">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_Toc16350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（三）人员经费管理方面存在的问题及建议</w:t>
      </w:r>
      <w:r>
        <w:rPr>
          <w:sz w:val="32"/>
          <w:szCs w:val="32"/>
        </w:rPr>
        <w:tab/>
      </w:r>
      <w:r>
        <w:rPr>
          <w:sz w:val="32"/>
          <w:szCs w:val="32"/>
        </w:rPr>
        <w:fldChar w:fldCharType="begin"/>
      </w:r>
      <w:r>
        <w:rPr>
          <w:sz w:val="32"/>
          <w:szCs w:val="32"/>
        </w:rPr>
        <w:instrText xml:space="preserve"> PAGEREF _Toc16350 \h </w:instrText>
      </w:r>
      <w:r>
        <w:rPr>
          <w:sz w:val="32"/>
          <w:szCs w:val="32"/>
        </w:rPr>
        <w:fldChar w:fldCharType="separate"/>
      </w:r>
      <w:r>
        <w:rPr>
          <w:sz w:val="32"/>
          <w:szCs w:val="32"/>
        </w:rPr>
        <w:t>51</w:t>
      </w:r>
      <w:r>
        <w:rPr>
          <w:sz w:val="32"/>
          <w:szCs w:val="32"/>
        </w:rPr>
        <w:fldChar w:fldCharType="end"/>
      </w:r>
      <w:r>
        <w:rPr>
          <w:rFonts w:hint="default"/>
          <w:sz w:val="32"/>
          <w:szCs w:val="32"/>
          <w:lang w:val="en-US" w:eastAsia="zh-CN"/>
        </w:rPr>
        <w:fldChar w:fldCharType="end"/>
      </w:r>
    </w:p>
    <w:p w14:paraId="2B0D33F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_Toc27277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（四）项目管理方面存在的问题及建议</w:t>
      </w:r>
      <w:r>
        <w:rPr>
          <w:sz w:val="32"/>
          <w:szCs w:val="32"/>
        </w:rPr>
        <w:tab/>
      </w:r>
      <w:r>
        <w:rPr>
          <w:sz w:val="32"/>
          <w:szCs w:val="32"/>
        </w:rPr>
        <w:fldChar w:fldCharType="begin"/>
      </w:r>
      <w:r>
        <w:rPr>
          <w:sz w:val="32"/>
          <w:szCs w:val="32"/>
        </w:rPr>
        <w:instrText xml:space="preserve"> PAGEREF _Toc27277 \h </w:instrText>
      </w:r>
      <w:r>
        <w:rPr>
          <w:sz w:val="32"/>
          <w:szCs w:val="32"/>
        </w:rPr>
        <w:fldChar w:fldCharType="separate"/>
      </w:r>
      <w:r>
        <w:rPr>
          <w:sz w:val="32"/>
          <w:szCs w:val="32"/>
        </w:rPr>
        <w:t>67</w:t>
      </w:r>
      <w:r>
        <w:rPr>
          <w:sz w:val="32"/>
          <w:szCs w:val="32"/>
        </w:rPr>
        <w:fldChar w:fldCharType="end"/>
      </w:r>
      <w:r>
        <w:rPr>
          <w:rFonts w:hint="default"/>
          <w:sz w:val="32"/>
          <w:szCs w:val="32"/>
          <w:lang w:val="en-US" w:eastAsia="zh-CN"/>
        </w:rPr>
        <w:fldChar w:fldCharType="end"/>
      </w:r>
    </w:p>
    <w:p w14:paraId="7FD67802">
      <w:pPr>
        <w:keepNext w:val="0"/>
        <w:keepLines w:val="0"/>
        <w:pageBreakBefore w:val="0"/>
        <w:widowControl/>
        <w:tabs>
          <w:tab w:val="left" w:pos="475"/>
        </w:tabs>
        <w:kinsoku/>
        <w:wordWrap/>
        <w:overflowPunct/>
        <w:topLinePunct w:val="0"/>
        <w:autoSpaceDE/>
        <w:autoSpaceDN/>
        <w:bidi w:val="0"/>
        <w:adjustRightInd/>
        <w:snapToGrid/>
        <w:spacing w:line="560" w:lineRule="exact"/>
        <w:textAlignment w:val="auto"/>
        <w:rPr>
          <w:rFonts w:hint="default"/>
          <w:sz w:val="28"/>
          <w:szCs w:val="28"/>
          <w:lang w:val="en-US" w:eastAsia="zh-CN"/>
        </w:rPr>
      </w:pPr>
      <w:r>
        <w:rPr>
          <w:rFonts w:hint="default"/>
          <w:sz w:val="32"/>
          <w:szCs w:val="32"/>
          <w:lang w:val="en-US" w:eastAsia="zh-CN"/>
        </w:rPr>
        <w:fldChar w:fldCharType="end"/>
      </w:r>
    </w:p>
    <w:p w14:paraId="6A3BD969">
      <w:pPr>
        <w:pStyle w:val="11"/>
        <w:tabs>
          <w:tab w:val="left" w:pos="2694"/>
        </w:tabs>
        <w:rPr>
          <w:rFonts w:hint="default" w:asciiTheme="minorHAnsi" w:hAnsiTheme="minorHAnsi" w:eastAsiaTheme="minorEastAsia" w:cstheme="minorBidi"/>
          <w:kern w:val="0"/>
          <w:sz w:val="28"/>
          <w:szCs w:val="28"/>
          <w:lang w:val="en-US" w:eastAsia="zh-CN" w:bidi="ar"/>
        </w:rPr>
      </w:pPr>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bookmarkStart w:id="57" w:name="_GoBack"/>
      <w:bookmarkEnd w:id="57"/>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2024年雁峰区妇女联合会部门整体支出绩效评价报告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18CF8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雁峰区妇女联合会（以下简称“区妇联”）的部门整体支出进行了绩效评价。建立健全内部控制制度，保护资金与资产的安全和完整，保证会计资料和其他绩效评价的相关资料的真实性、合法性和完整性，是区妇联的责任。我们的责任是在区妇联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9891"/>
      <w:bookmarkStart w:id="2" w:name="_Toc18591"/>
      <w:bookmarkStart w:id="3" w:name="_Toc20127"/>
      <w:bookmarkStart w:id="4" w:name="_Toc32624"/>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13350"/>
      <w:bookmarkStart w:id="6" w:name="_Toc2812"/>
      <w:bookmarkStart w:id="7" w:name="_Toc3257"/>
      <w:bookmarkStart w:id="8" w:name="_Toc26464"/>
      <w:bookmarkStart w:id="9" w:name="_Toc25189"/>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29635"/>
      <w:bookmarkStart w:id="11" w:name="_Toc8069"/>
      <w:bookmarkStart w:id="12" w:name="_Toc7691"/>
      <w:r>
        <w:rPr>
          <w:rFonts w:hint="eastAsia" w:ascii="仿宋" w:hAnsi="仿宋" w:eastAsia="仿宋" w:cs="仿宋"/>
          <w:sz w:val="32"/>
          <w:szCs w:val="32"/>
          <w:lang w:val="en-US" w:eastAsia="zh-CN"/>
        </w:rPr>
        <w:t>评价对象为2024年雁峰区妇女联合会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1228"/>
      <w:bookmarkStart w:id="14" w:name="_Toc15609"/>
      <w:bookmarkStart w:id="15" w:name="_Toc7231"/>
      <w:bookmarkStart w:id="16" w:name="_Toc24072"/>
      <w:bookmarkStart w:id="17" w:name="_Toc4694"/>
      <w:bookmarkStart w:id="18" w:name="_Toc25241"/>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default" w:ascii="楷体" w:hAnsi="楷体" w:eastAsia="楷体" w:cs="楷体"/>
          <w:b/>
          <w:bCs/>
          <w:sz w:val="32"/>
          <w:szCs w:val="32"/>
          <w:lang w:val="en-US"/>
        </w:rPr>
      </w:pPr>
      <w:bookmarkStart w:id="20" w:name="_Toc28694"/>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听取情况介绍、进行实地核查、发放调查问卷、对照复核及分析等方式，对区妇联提供的相关资料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21063"/>
      <w:bookmarkStart w:id="22" w:name="_Toc32697"/>
      <w:bookmarkStart w:id="23" w:name="_Toc26270"/>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2588"/>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lang w:val="en-US" w:eastAsia="zh-CN"/>
        </w:rPr>
      </w:pPr>
      <w:r>
        <w:rPr>
          <w:rFonts w:hint="default" w:ascii="仿宋" w:hAnsi="仿宋" w:eastAsia="仿宋" w:cs="仿宋"/>
          <w:sz w:val="32"/>
          <w:szCs w:val="32"/>
          <w:lang w:val="en-US" w:eastAsia="zh-CN"/>
        </w:rPr>
        <w:t>统一社会信用代码13430403MB1260517Y</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县区级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EE58AC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25" w:name="_Toc9807"/>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二</w:t>
      </w:r>
      <w:r>
        <w:rPr>
          <w:rFonts w:hint="eastAsia" w:ascii="楷体" w:hAnsi="楷体" w:eastAsia="楷体" w:cs="楷体"/>
          <w:b/>
          <w:bCs/>
          <w:sz w:val="32"/>
          <w:szCs w:val="32"/>
          <w:highlight w:val="none"/>
          <w:lang w:eastAsia="zh-CN"/>
        </w:rPr>
        <w:t>）部门</w:t>
      </w:r>
      <w:r>
        <w:rPr>
          <w:rFonts w:hint="eastAsia" w:ascii="楷体" w:hAnsi="楷体" w:eastAsia="楷体" w:cs="楷体"/>
          <w:b/>
          <w:bCs/>
          <w:sz w:val="32"/>
          <w:szCs w:val="32"/>
          <w:highlight w:val="none"/>
          <w:lang w:val="en-US" w:eastAsia="zh-CN"/>
        </w:rPr>
        <w:t>主要职责</w:t>
      </w:r>
      <w:bookmarkEnd w:id="25"/>
    </w:p>
    <w:p w14:paraId="2059990C">
      <w:pPr>
        <w:keepNext w:val="0"/>
        <w:keepLines w:val="0"/>
        <w:pageBreakBefore w:val="0"/>
        <w:kinsoku/>
        <w:wordWrap/>
        <w:overflowPunct/>
        <w:topLinePunct w:val="0"/>
        <w:autoSpaceDE/>
        <w:autoSpaceDN/>
        <w:bidi w:val="0"/>
        <w:adjustRightInd/>
        <w:snapToGrid/>
        <w:spacing w:beforeLines="0" w:afterLines="0" w:line="560" w:lineRule="exact"/>
        <w:ind w:leftChars="0" w:firstLine="640" w:firstLineChars="200"/>
        <w:jc w:val="both"/>
        <w:textAlignment w:val="auto"/>
        <w:rPr>
          <w:rFonts w:hint="eastAsia" w:ascii="楷体" w:hAnsi="楷体" w:eastAsia="楷体" w:cs="楷体"/>
          <w:b/>
          <w:bCs/>
          <w:sz w:val="32"/>
          <w:szCs w:val="32"/>
          <w:lang w:eastAsia="zh-CN"/>
        </w:rPr>
      </w:pPr>
      <w:r>
        <w:rPr>
          <w:rFonts w:hint="default" w:ascii="仿宋" w:hAnsi="仿宋" w:eastAsia="仿宋"/>
          <w:sz w:val="32"/>
          <w:szCs w:val="22"/>
          <w:lang w:val="en-US" w:eastAsia="zh-CN"/>
        </w:rPr>
        <w:t>担负着团结引导</w:t>
      </w:r>
      <w:r>
        <w:rPr>
          <w:rFonts w:hint="eastAsia" w:ascii="仿宋" w:hAnsi="仿宋" w:eastAsia="仿宋"/>
          <w:sz w:val="32"/>
          <w:szCs w:val="22"/>
          <w:lang w:val="en-US" w:eastAsia="zh-CN"/>
        </w:rPr>
        <w:t>广大</w:t>
      </w:r>
      <w:r>
        <w:rPr>
          <w:rFonts w:hint="default" w:ascii="仿宋" w:hAnsi="仿宋" w:eastAsia="仿宋"/>
          <w:sz w:val="32"/>
          <w:szCs w:val="22"/>
          <w:lang w:val="en-US" w:eastAsia="zh-CN"/>
        </w:rPr>
        <w:t>妇女听党话、跟党走的政治责任，以围绕中心、服务大局为工作主线，以联系和服务妇女为根本任务，以代表和维护妇女权益、促进男女平等和妇女全面发展为基本职能；坚持改革创新，保持和增强政治性、先进性、群众性，发挥党开展妇女工作最可靠、最有力的助手作用，巩固和扩大中国共产党执政的阶级基础和妇女群众基础。</w:t>
      </w:r>
    </w:p>
    <w:p w14:paraId="40CF43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10720"/>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部门</w:t>
      </w:r>
      <w:r>
        <w:rPr>
          <w:rFonts w:hint="eastAsia" w:ascii="楷体" w:hAnsi="楷体" w:eastAsia="楷体" w:cs="楷体"/>
          <w:b/>
          <w:bCs/>
          <w:sz w:val="32"/>
          <w:szCs w:val="32"/>
          <w:lang w:eastAsia="zh-CN"/>
        </w:rPr>
        <w:t>组织架构与人员</w:t>
      </w:r>
      <w:bookmarkEnd w:id="26"/>
    </w:p>
    <w:p w14:paraId="70F138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1.内部机构设置</w:t>
      </w:r>
    </w:p>
    <w:p w14:paraId="3C6EE78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bCs/>
          <w:kern w:val="0"/>
          <w:sz w:val="32"/>
          <w:szCs w:val="32"/>
          <w:highlight w:val="none"/>
          <w:lang w:eastAsia="zh-CN"/>
        </w:rPr>
      </w:pPr>
      <w:r>
        <w:rPr>
          <w:rFonts w:hint="eastAsia" w:ascii="仿宋" w:hAnsi="仿宋" w:eastAsia="仿宋"/>
          <w:bCs/>
          <w:kern w:val="0"/>
          <w:sz w:val="32"/>
          <w:szCs w:val="32"/>
          <w:highlight w:val="none"/>
          <w:lang w:eastAsia="zh-CN"/>
        </w:rPr>
        <w:t>雁峰区妇女联合会是中共雁峰区委序列的正科级全额拨款行政单位，内设机构3个，分别是组织宣传、妇女发展和权益部，家庭和儿童工作部，区政府妇女儿童工作委员会办公室。无下属机构。</w:t>
      </w:r>
    </w:p>
    <w:p w14:paraId="1956EB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7A3428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lang w:val="en-US" w:eastAsia="zh-CN"/>
        </w:rPr>
        <w:t>截至2024年12月31日，区妇联退休</w:t>
      </w:r>
      <w:r>
        <w:rPr>
          <w:rFonts w:hint="eastAsia" w:ascii="仿宋" w:hAnsi="仿宋" w:eastAsia="仿宋" w:cs="仿宋"/>
          <w:sz w:val="32"/>
          <w:szCs w:val="32"/>
          <w:highlight w:val="none"/>
          <w:lang w:val="en-US" w:eastAsia="zh-CN"/>
        </w:rPr>
        <w:t>人员4人。</w:t>
      </w:r>
      <w:r>
        <w:rPr>
          <w:rFonts w:hint="eastAsia" w:ascii="仿宋" w:hAnsi="仿宋" w:eastAsia="仿宋" w:cs="仿宋"/>
          <w:sz w:val="32"/>
          <w:szCs w:val="32"/>
          <w:lang w:val="en-US" w:eastAsia="zh-CN"/>
        </w:rPr>
        <w:t>编制2个，在编在岗职工3人，</w:t>
      </w:r>
      <w:r>
        <w:rPr>
          <w:rFonts w:hint="eastAsia" w:ascii="仿宋" w:hAnsi="仿宋" w:eastAsia="仿宋"/>
          <w:bCs/>
          <w:kern w:val="0"/>
          <w:sz w:val="32"/>
          <w:szCs w:val="32"/>
          <w:highlight w:val="none"/>
          <w:lang w:eastAsia="zh-CN"/>
        </w:rPr>
        <w:t>区妇女联合会机关行政编制2名，设主席1名，专职副主席1名。工青妇事业发展中心事业编制1名。</w:t>
      </w:r>
      <w:r>
        <w:rPr>
          <w:rFonts w:hint="eastAsia" w:ascii="仿宋" w:hAnsi="仿宋" w:eastAsia="仿宋" w:cs="仿宋"/>
          <w:sz w:val="32"/>
          <w:szCs w:val="32"/>
          <w:highlight w:val="none"/>
          <w:lang w:val="en-US" w:eastAsia="zh-CN"/>
        </w:rPr>
        <w:t>人员控制率150%。</w:t>
      </w:r>
    </w:p>
    <w:p w14:paraId="5F8F43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7" w:name="_Toc4644"/>
      <w:r>
        <w:rPr>
          <w:rFonts w:hint="eastAsia" w:ascii="楷体" w:hAnsi="楷体" w:eastAsia="楷体" w:cs="楷体"/>
          <w:b/>
          <w:bCs/>
          <w:sz w:val="32"/>
          <w:szCs w:val="32"/>
          <w:lang w:val="en-US" w:eastAsia="zh-CN"/>
        </w:rPr>
        <w:t>部门2024年度职责履行及履职效益</w:t>
      </w:r>
      <w:bookmarkEnd w:id="27"/>
    </w:p>
    <w:p w14:paraId="38E0E0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sz w:val="32"/>
          <w:szCs w:val="32"/>
        </w:rPr>
        <w:t>　　</w:t>
      </w:r>
      <w:r>
        <w:rPr>
          <w:rFonts w:hint="eastAsia" w:ascii="仿宋" w:hAnsi="仿宋" w:eastAsia="仿宋"/>
          <w:sz w:val="32"/>
          <w:szCs w:val="32"/>
          <w:lang w:val="en-US" w:eastAsia="zh-CN"/>
        </w:rPr>
        <w:t>1</w:t>
      </w:r>
      <w:r>
        <w:rPr>
          <w:rFonts w:hint="eastAsia" w:ascii="黑体" w:hAnsi="黑体" w:eastAsia="黑体" w:cs="黑体"/>
          <w:sz w:val="32"/>
          <w:szCs w:val="32"/>
        </w:rPr>
        <w:t>、</w:t>
      </w:r>
      <w:r>
        <w:rPr>
          <w:rFonts w:hint="eastAsia" w:ascii="仿宋" w:hAnsi="仿宋" w:eastAsia="仿宋" w:cs="仿宋"/>
          <w:b/>
          <w:bCs/>
          <w:sz w:val="32"/>
          <w:szCs w:val="32"/>
          <w:lang w:eastAsia="zh-CN"/>
        </w:rPr>
        <w:t>强化</w:t>
      </w:r>
      <w:r>
        <w:rPr>
          <w:rFonts w:hint="eastAsia" w:ascii="仿宋" w:hAnsi="仿宋" w:eastAsia="仿宋" w:cs="仿宋"/>
          <w:b/>
          <w:bCs/>
          <w:sz w:val="32"/>
          <w:szCs w:val="32"/>
        </w:rPr>
        <w:t>思想引领，“</w:t>
      </w:r>
      <w:r>
        <w:rPr>
          <w:rFonts w:hint="eastAsia" w:ascii="仿宋" w:hAnsi="仿宋" w:eastAsia="仿宋" w:cs="仿宋"/>
          <w:b/>
          <w:bCs/>
          <w:sz w:val="32"/>
          <w:szCs w:val="32"/>
          <w:lang w:eastAsia="zh-CN"/>
        </w:rPr>
        <w:t>巾帼</w:t>
      </w:r>
      <w:r>
        <w:rPr>
          <w:rFonts w:hint="eastAsia" w:ascii="仿宋" w:hAnsi="仿宋" w:eastAsia="仿宋" w:cs="仿宋"/>
          <w:b/>
          <w:bCs/>
          <w:sz w:val="32"/>
          <w:szCs w:val="32"/>
        </w:rPr>
        <w:t>心</w:t>
      </w:r>
      <w:r>
        <w:rPr>
          <w:rFonts w:hint="eastAsia" w:ascii="仿宋" w:hAnsi="仿宋" w:eastAsia="仿宋" w:cs="仿宋"/>
          <w:b/>
          <w:bCs/>
          <w:sz w:val="32"/>
          <w:szCs w:val="32"/>
          <w:lang w:eastAsia="zh-CN"/>
        </w:rPr>
        <w:t>向党</w:t>
      </w:r>
      <w:r>
        <w:rPr>
          <w:rFonts w:hint="eastAsia" w:ascii="仿宋" w:hAnsi="仿宋" w:eastAsia="仿宋" w:cs="仿宋"/>
          <w:b/>
          <w:bCs/>
          <w:sz w:val="32"/>
          <w:szCs w:val="32"/>
        </w:rPr>
        <w:t>”</w:t>
      </w:r>
      <w:r>
        <w:rPr>
          <w:rFonts w:hint="eastAsia" w:ascii="仿宋" w:hAnsi="仿宋" w:eastAsia="仿宋" w:cs="仿宋"/>
          <w:b/>
          <w:bCs/>
          <w:sz w:val="32"/>
          <w:szCs w:val="32"/>
          <w:lang w:eastAsia="zh-CN"/>
        </w:rPr>
        <w:t>更加坚定</w:t>
      </w:r>
      <w:r>
        <w:rPr>
          <w:rFonts w:hint="eastAsia" w:ascii="仿宋" w:hAnsi="仿宋" w:eastAsia="仿宋" w:cs="仿宋"/>
          <w:b/>
          <w:bCs/>
          <w:sz w:val="32"/>
          <w:szCs w:val="32"/>
        </w:rPr>
        <w:t>。</w:t>
      </w:r>
      <w:r>
        <w:rPr>
          <w:rFonts w:hint="eastAsia" w:ascii="仿宋" w:hAnsi="仿宋" w:eastAsia="仿宋" w:cs="仿宋"/>
          <w:b/>
          <w:bCs/>
          <w:color w:val="auto"/>
          <w:sz w:val="32"/>
          <w:szCs w:val="32"/>
          <w:lang w:val="en-US" w:eastAsia="zh-CN"/>
        </w:rPr>
        <w:t>一是</w:t>
      </w:r>
      <w:r>
        <w:rPr>
          <w:rFonts w:hint="eastAsia" w:ascii="仿宋" w:hAnsi="仿宋" w:eastAsia="仿宋" w:cs="仿宋"/>
          <w:color w:val="auto"/>
          <w:sz w:val="32"/>
          <w:szCs w:val="32"/>
          <w:lang w:val="en-US" w:eastAsia="zh-CN"/>
        </w:rPr>
        <w:t>持之以恒用习近平新时代中国特色社会主义思想武装头脑、指导实践、推动工作。组织全区各级妇联组织和妇女群众深入学习贯彻习近平总书记关于妇女和妇女工作、注重家庭家教家风建设等重要论述，凝心聚力，促进妇女事业开展。</w:t>
      </w:r>
      <w:r>
        <w:rPr>
          <w:rFonts w:hint="eastAsia" w:ascii="仿宋" w:hAnsi="仿宋" w:eastAsia="仿宋" w:cs="仿宋"/>
          <w:b/>
          <w:bCs/>
          <w:color w:val="auto"/>
          <w:sz w:val="32"/>
          <w:szCs w:val="32"/>
          <w:lang w:val="en-US" w:eastAsia="zh-CN"/>
        </w:rPr>
        <w:t>二是</w:t>
      </w:r>
      <w:r>
        <w:rPr>
          <w:rFonts w:hint="eastAsia" w:ascii="仿宋" w:hAnsi="仿宋" w:eastAsia="仿宋" w:cs="仿宋"/>
          <w:color w:val="auto"/>
          <w:sz w:val="32"/>
          <w:szCs w:val="32"/>
          <w:lang w:val="en-US" w:eastAsia="zh-CN"/>
        </w:rPr>
        <w:t>积极做好推先评优树典型工作，三八期间评选出12位雁峰区“最美妇联人”，17户“最美家庭”典型，持续发挥典型引领作用，并深化文明家风建设。</w:t>
      </w:r>
      <w:r>
        <w:rPr>
          <w:rFonts w:hint="eastAsia" w:ascii="仿宋" w:hAnsi="仿宋" w:eastAsia="仿宋" w:cs="仿宋"/>
          <w:b/>
          <w:bCs/>
          <w:color w:val="auto"/>
          <w:sz w:val="32"/>
          <w:szCs w:val="32"/>
          <w:lang w:val="en-US" w:eastAsia="zh-CN"/>
        </w:rPr>
        <w:t>三是</w:t>
      </w:r>
      <w:r>
        <w:rPr>
          <w:rFonts w:hint="eastAsia" w:ascii="仿宋" w:hAnsi="仿宋" w:eastAsia="仿宋" w:cs="仿宋"/>
          <w:color w:val="auto"/>
          <w:sz w:val="32"/>
          <w:szCs w:val="32"/>
          <w:lang w:val="en-US" w:eastAsia="zh-CN"/>
        </w:rPr>
        <w:t>积极开展雁峰区“巾帼建功旅发会 争当时代领头雁”第114个“三八”国际妇女节系列庆祝活动，</w:t>
      </w:r>
      <w:r>
        <w:rPr>
          <w:rFonts w:hint="eastAsia" w:ascii="仿宋_GB2312" w:hAnsi="仿宋_GB2312" w:eastAsia="仿宋_GB2312" w:cs="仿宋_GB2312"/>
          <w:kern w:val="2"/>
          <w:sz w:val="32"/>
          <w:szCs w:val="32"/>
          <w:u w:val="none"/>
          <w:lang w:val="en-US" w:eastAsia="zh-CN" w:bidi="ar"/>
        </w:rPr>
        <w:t>区委书记王燕亲自为镇街及行业女性代表授旗，齐心聚力，共同助力旅发大会</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四是</w:t>
      </w:r>
      <w:r>
        <w:rPr>
          <w:rFonts w:hint="eastAsia" w:ascii="仿宋" w:hAnsi="仿宋" w:eastAsia="仿宋" w:cs="仿宋"/>
          <w:color w:val="auto"/>
          <w:sz w:val="32"/>
          <w:szCs w:val="32"/>
          <w:lang w:val="en-US" w:eastAsia="zh-CN"/>
        </w:rPr>
        <w:t>坚持围绕中心、服务大局，充分发挥职能作用，紧紧围绕区委、区政府中心工作，服务大局、担当作为、共克时艰，贡献巾帼力量。</w:t>
      </w:r>
    </w:p>
    <w:p w14:paraId="03A292E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b/>
          <w:bCs/>
          <w:sz w:val="32"/>
          <w:szCs w:val="32"/>
          <w:lang w:val="en-US" w:eastAsia="zh-CN"/>
        </w:rPr>
        <w:t>2、聚焦创业创新，“巾帼促发展”更有实效。</w:t>
      </w:r>
      <w:r>
        <w:rPr>
          <w:rFonts w:hint="eastAsia" w:ascii="仿宋" w:hAnsi="仿宋" w:eastAsia="仿宋" w:cs="仿宋"/>
          <w:b/>
          <w:bCs/>
          <w:color w:val="auto"/>
          <w:sz w:val="32"/>
          <w:szCs w:val="32"/>
          <w:lang w:eastAsia="zh-CN"/>
        </w:rPr>
        <w:t>一</w:t>
      </w:r>
      <w:r>
        <w:rPr>
          <w:rFonts w:hint="eastAsia" w:ascii="仿宋" w:hAnsi="仿宋" w:eastAsia="仿宋" w:cs="仿宋"/>
          <w:b/>
          <w:bCs/>
          <w:color w:val="auto"/>
          <w:sz w:val="32"/>
          <w:szCs w:val="32"/>
        </w:rPr>
        <w:t>是</w:t>
      </w:r>
      <w:r>
        <w:rPr>
          <w:rFonts w:hint="eastAsia" w:ascii="仿宋" w:hAnsi="仿宋" w:eastAsia="仿宋" w:cs="仿宋"/>
          <w:b w:val="0"/>
          <w:bCs w:val="0"/>
          <w:color w:val="auto"/>
          <w:sz w:val="32"/>
          <w:szCs w:val="32"/>
          <w:lang w:val="en-US" w:eastAsia="zh-CN"/>
        </w:rPr>
        <w:t>开展巾帼创业就业进高校宣讲活动，在提高我区大中专学生的创新精神、创业意识和健康素养，指导学生提前做好职业规划。</w:t>
      </w:r>
      <w:r>
        <w:rPr>
          <w:rFonts w:hint="eastAsia" w:ascii="仿宋" w:hAnsi="仿宋" w:eastAsia="仿宋" w:cs="仿宋"/>
          <w:b/>
          <w:bCs/>
          <w:color w:val="auto"/>
          <w:sz w:val="32"/>
          <w:szCs w:val="32"/>
          <w:lang w:val="en-US" w:eastAsia="zh-CN"/>
        </w:rPr>
        <w:t>二是</w:t>
      </w:r>
      <w:r>
        <w:rPr>
          <w:rFonts w:hint="eastAsia" w:ascii="仿宋" w:hAnsi="仿宋" w:eastAsia="仿宋" w:cs="仿宋"/>
          <w:b w:val="0"/>
          <w:bCs w:val="0"/>
          <w:color w:val="auto"/>
          <w:sz w:val="32"/>
          <w:szCs w:val="32"/>
          <w:lang w:val="en-US" w:eastAsia="zh-CN"/>
        </w:rPr>
        <w:t>在今年三月，联合区</w:t>
      </w:r>
      <w:r>
        <w:rPr>
          <w:rFonts w:hint="eastAsia" w:ascii="仿宋" w:hAnsi="仿宋" w:eastAsia="仿宋" w:cs="仿宋"/>
          <w:color w:val="auto"/>
          <w:sz w:val="32"/>
          <w:szCs w:val="32"/>
          <w:lang w:eastAsia="zh-CN"/>
        </w:rPr>
        <w:t>人社局举办“春风行动”专场招聘会，共吸引了近百家企业参与，涵盖了各行各业，共提供了近千个岗位。活动现场人潮涌动，咨询人员近1000人，各企业收到了150份简历。这不仅为求职者提供了丰富的就业选择，也为企业提供了一个展示自身实力、吸引人才的平台。</w:t>
      </w:r>
    </w:p>
    <w:p w14:paraId="429CA2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b/>
          <w:bCs/>
          <w:sz w:val="32"/>
          <w:szCs w:val="32"/>
          <w:lang w:val="en-US" w:eastAsia="zh-CN"/>
        </w:rPr>
        <w:t>3、履行维权主责，“巾帼护权益”更有担当。</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lang w:eastAsia="zh-CN"/>
        </w:rPr>
        <w:t>常态化开展普法宣传。抓住“三八”维权周、</w:t>
      </w:r>
      <w:r>
        <w:rPr>
          <w:rFonts w:hint="eastAsia" w:ascii="仿宋" w:hAnsi="仿宋" w:eastAsia="仿宋" w:cs="仿宋"/>
          <w:b w:val="0"/>
          <w:bCs w:val="0"/>
          <w:color w:val="auto"/>
          <w:sz w:val="32"/>
          <w:szCs w:val="32"/>
          <w:lang w:val="en-US" w:eastAsia="zh-CN"/>
        </w:rPr>
        <w:t>515国际家庭日</w:t>
      </w:r>
      <w:r>
        <w:rPr>
          <w:rFonts w:hint="eastAsia" w:ascii="仿宋" w:hAnsi="仿宋" w:eastAsia="仿宋" w:cs="仿宋"/>
          <w:b w:val="0"/>
          <w:bCs w:val="0"/>
          <w:color w:val="auto"/>
          <w:sz w:val="32"/>
          <w:szCs w:val="32"/>
          <w:lang w:eastAsia="zh-CN"/>
        </w:rPr>
        <w:t>等重要节点</w:t>
      </w:r>
      <w:r>
        <w:rPr>
          <w:rFonts w:hint="eastAsia" w:ascii="仿宋" w:hAnsi="仿宋" w:eastAsia="仿宋" w:cs="仿宋"/>
          <w:color w:val="auto"/>
          <w:sz w:val="32"/>
          <w:szCs w:val="32"/>
          <w:lang w:eastAsia="zh-CN"/>
        </w:rPr>
        <w:t>，坚持线上线下相结合、镇</w:t>
      </w:r>
      <w:r>
        <w:rPr>
          <w:rFonts w:hint="eastAsia" w:ascii="仿宋" w:hAnsi="仿宋" w:eastAsia="仿宋" w:cs="仿宋"/>
          <w:color w:val="auto"/>
          <w:sz w:val="32"/>
          <w:szCs w:val="32"/>
          <w:lang w:val="en-US" w:eastAsia="zh-CN"/>
        </w:rPr>
        <w:t>街和</w:t>
      </w:r>
      <w:r>
        <w:rPr>
          <w:rFonts w:hint="eastAsia" w:ascii="仿宋" w:hAnsi="仿宋" w:eastAsia="仿宋" w:cs="仿宋"/>
          <w:color w:val="auto"/>
          <w:sz w:val="32"/>
          <w:szCs w:val="32"/>
          <w:lang w:eastAsia="zh-CN"/>
        </w:rPr>
        <w:t>村</w:t>
      </w:r>
      <w:r>
        <w:rPr>
          <w:rFonts w:hint="eastAsia" w:ascii="仿宋" w:hAnsi="仿宋" w:eastAsia="仿宋" w:cs="仿宋"/>
          <w:color w:val="auto"/>
          <w:sz w:val="32"/>
          <w:szCs w:val="32"/>
          <w:lang w:val="en-US" w:eastAsia="zh-CN"/>
        </w:rPr>
        <w:t>社区</w:t>
      </w:r>
      <w:r>
        <w:rPr>
          <w:rFonts w:hint="eastAsia" w:ascii="仿宋" w:hAnsi="仿宋" w:eastAsia="仿宋" w:cs="仿宋"/>
          <w:color w:val="auto"/>
          <w:sz w:val="32"/>
          <w:szCs w:val="32"/>
          <w:lang w:eastAsia="zh-CN"/>
        </w:rPr>
        <w:t>相结合、实用趣味相结合，全面落实《中华人民共和国民法典》、《中华人民共和国未成年人保护法》、</w:t>
      </w:r>
      <w:r>
        <w:rPr>
          <w:rFonts w:hint="eastAsia" w:ascii="仿宋" w:hAnsi="仿宋" w:eastAsia="仿宋" w:cs="仿宋"/>
          <w:color w:val="auto"/>
          <w:sz w:val="32"/>
          <w:szCs w:val="32"/>
          <w:lang w:val="en-US" w:eastAsia="zh-CN"/>
        </w:rPr>
        <w:t>人身安全保护令、</w:t>
      </w:r>
      <w:r>
        <w:rPr>
          <w:rFonts w:hint="eastAsia" w:ascii="仿宋" w:hAnsi="仿宋" w:eastAsia="仿宋" w:cs="仿宋"/>
          <w:color w:val="auto"/>
          <w:sz w:val="32"/>
          <w:szCs w:val="32"/>
          <w:lang w:eastAsia="zh-CN"/>
        </w:rPr>
        <w:t>妇儿权益、禁毒、反诈等普法宣传</w:t>
      </w:r>
      <w:r>
        <w:rPr>
          <w:rFonts w:hint="eastAsia" w:ascii="仿宋" w:hAnsi="仿宋" w:eastAsia="仿宋" w:cs="仿宋"/>
          <w:b w:val="0"/>
          <w:bCs w:val="0"/>
          <w:color w:val="auto"/>
          <w:sz w:val="32"/>
          <w:szCs w:val="32"/>
          <w:lang w:eastAsia="zh-CN"/>
        </w:rPr>
        <w:t>工作。</w:t>
      </w:r>
      <w:r>
        <w:rPr>
          <w:rFonts w:hint="eastAsia" w:ascii="仿宋" w:hAnsi="仿宋" w:eastAsia="仿宋" w:cs="仿宋"/>
          <w:b/>
          <w:bCs/>
          <w:color w:val="auto"/>
          <w:sz w:val="32"/>
          <w:szCs w:val="32"/>
          <w:lang w:eastAsia="zh-CN"/>
        </w:rPr>
        <w:t>二</w:t>
      </w:r>
      <w:r>
        <w:rPr>
          <w:rFonts w:hint="eastAsia" w:ascii="仿宋" w:hAnsi="仿宋" w:eastAsia="仿宋" w:cs="仿宋"/>
          <w:b/>
          <w:bCs/>
          <w:color w:val="auto"/>
          <w:sz w:val="32"/>
          <w:szCs w:val="32"/>
          <w:lang w:val="en-US" w:eastAsia="zh-CN"/>
        </w:rPr>
        <w:t>是</w:t>
      </w:r>
      <w:r>
        <w:rPr>
          <w:rFonts w:hint="eastAsia" w:ascii="仿宋" w:hAnsi="仿宋" w:eastAsia="仿宋" w:cs="仿宋"/>
          <w:b w:val="0"/>
          <w:bCs w:val="0"/>
          <w:color w:val="auto"/>
          <w:sz w:val="32"/>
          <w:szCs w:val="32"/>
          <w:lang w:eastAsia="zh-CN"/>
        </w:rPr>
        <w:t>继续发挥区婚姻家庭纠纷人民调解委员会的作用，</w:t>
      </w:r>
      <w:r>
        <w:rPr>
          <w:rFonts w:hint="eastAsia" w:ascii="仿宋" w:hAnsi="仿宋" w:eastAsia="仿宋" w:cs="仿宋"/>
          <w:color w:val="auto"/>
          <w:sz w:val="32"/>
          <w:szCs w:val="32"/>
        </w:rPr>
        <w:t>健全重大信息、矛盾纠纷和群体性事件等重大事项报告机制和婚姻家庭纠纷排查机制</w:t>
      </w:r>
      <w:r>
        <w:rPr>
          <w:rFonts w:hint="eastAsia" w:ascii="仿宋" w:hAnsi="仿宋" w:eastAsia="仿宋" w:cs="仿宋"/>
          <w:color w:val="auto"/>
          <w:sz w:val="32"/>
          <w:szCs w:val="32"/>
          <w:lang w:eastAsia="zh-CN"/>
        </w:rPr>
        <w:t>，积极</w:t>
      </w:r>
      <w:r>
        <w:rPr>
          <w:rFonts w:hint="eastAsia" w:ascii="仿宋" w:hAnsi="仿宋" w:eastAsia="仿宋" w:cs="仿宋"/>
          <w:color w:val="auto"/>
          <w:sz w:val="32"/>
          <w:szCs w:val="32"/>
        </w:rPr>
        <w:t>做好矛盾排查、心理疏导、纠纷调解、信访代理、法律帮助、困难帮扶等工作</w:t>
      </w:r>
      <w:r>
        <w:rPr>
          <w:rFonts w:hint="eastAsia" w:ascii="仿宋" w:hAnsi="仿宋" w:eastAsia="仿宋" w:cs="仿宋"/>
          <w:b w:val="0"/>
          <w:bCs w:val="0"/>
          <w:color w:val="auto"/>
          <w:sz w:val="32"/>
          <w:szCs w:val="32"/>
          <w:lang w:eastAsia="zh-CN"/>
        </w:rPr>
        <w:t>，增强妇女法治意识，理性表达诉求，源头化解婚姻家庭矛盾纠纷</w:t>
      </w:r>
      <w:r>
        <w:rPr>
          <w:rFonts w:hint="eastAsia" w:ascii="仿宋" w:hAnsi="仿宋" w:eastAsia="仿宋" w:cs="仿宋"/>
          <w:color w:val="auto"/>
          <w:sz w:val="32"/>
          <w:szCs w:val="32"/>
          <w:lang w:eastAsia="zh-CN"/>
        </w:rPr>
        <w:t>。</w:t>
      </w:r>
    </w:p>
    <w:p w14:paraId="4955CC2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eastAsia="仿宋" w:cs="仿宋"/>
          <w:b w:val="0"/>
          <w:i w:val="0"/>
          <w:caps w:val="0"/>
          <w:color w:val="000000"/>
          <w:spacing w:val="0"/>
          <w:w w:val="100"/>
          <w:sz w:val="32"/>
          <w:szCs w:val="32"/>
          <w:shd w:val="clear" w:color="auto" w:fill="FFFFFF"/>
          <w:lang w:val="en-US" w:eastAsia="zh-CN"/>
        </w:rPr>
      </w:pPr>
      <w:r>
        <w:rPr>
          <w:rFonts w:hint="eastAsia" w:ascii="仿宋" w:hAnsi="仿宋" w:eastAsia="仿宋"/>
          <w:b/>
          <w:bCs/>
          <w:sz w:val="32"/>
          <w:szCs w:val="32"/>
          <w:lang w:val="en-US" w:eastAsia="zh-CN"/>
        </w:rPr>
        <w:t>4、深耕家风家教，“巾帼新风尚”更加鲜明。</w:t>
      </w:r>
      <w:r>
        <w:rPr>
          <w:rFonts w:hint="eastAsia" w:ascii="仿宋" w:hAnsi="仿宋" w:eastAsia="仿宋" w:cs="仿宋"/>
          <w:b/>
          <w:bCs/>
          <w:color w:val="auto"/>
          <w:sz w:val="32"/>
          <w:szCs w:val="32"/>
        </w:rPr>
        <w:t>一是</w:t>
      </w:r>
      <w:r>
        <w:rPr>
          <w:rFonts w:hint="eastAsia" w:ascii="仿宋" w:hAnsi="仿宋" w:eastAsia="仿宋"/>
          <w:b w:val="0"/>
          <w:bCs w:val="0"/>
          <w:color w:val="auto"/>
          <w:sz w:val="32"/>
          <w:szCs w:val="32"/>
          <w:lang w:val="en-US" w:eastAsia="zh-CN"/>
        </w:rPr>
        <w:t>推动省级重点民生实事项目家庭教育指导服务“向阳花”行动走深走实。高度重视，紧密部署，精准发力，大力推进线下指导服务活动进村、进社区、进学校，切实提升广大家庭家教水平，确保民生项目可感可行。今年省里下达线下指导服务课程目标任务40场，惠及家长1200人。截至</w:t>
      </w:r>
      <w:r>
        <w:rPr>
          <w:rFonts w:hint="eastAsia" w:ascii="仿宋_GB2312" w:hAnsi="仿宋_GB2312" w:eastAsia="仿宋_GB2312" w:cs="仿宋_GB2312"/>
          <w:sz w:val="32"/>
          <w:szCs w:val="32"/>
          <w:lang w:val="en-US" w:eastAsia="zh-CN"/>
        </w:rPr>
        <w:t>目前，已开展线下家庭教育服务和实践活动41场，指导服务家长2132人，活动场次完成率102%，指导服务家长人数完成率178%；线上家庭教育指导服务完成13361名家长。</w:t>
      </w:r>
      <w:r>
        <w:rPr>
          <w:rFonts w:hint="eastAsia" w:ascii="仿宋" w:hAnsi="仿宋" w:eastAsia="仿宋" w:cs="宋体"/>
          <w:b/>
          <w:bCs/>
          <w:color w:val="auto"/>
          <w:kern w:val="0"/>
          <w:sz w:val="32"/>
          <w:szCs w:val="32"/>
          <w:lang w:val="zh-CN"/>
        </w:rPr>
        <w:t>二是</w:t>
      </w:r>
      <w:r>
        <w:rPr>
          <w:rFonts w:hint="eastAsia" w:ascii="仿宋" w:hAnsi="仿宋" w:eastAsia="仿宋" w:cs="仿宋"/>
          <w:b w:val="0"/>
          <w:bCs/>
          <w:color w:val="auto"/>
          <w:sz w:val="32"/>
          <w:szCs w:val="32"/>
          <w:lang w:val="en-US" w:eastAsia="zh-CN"/>
        </w:rPr>
        <w:t>把家庭教育工作和清廉家庭建设工作结合起来，</w:t>
      </w:r>
      <w:r>
        <w:rPr>
          <w:rFonts w:hint="eastAsia" w:ascii="仿宋" w:eastAsia="仿宋" w:cs="仿宋_GB2312"/>
          <w:b w:val="0"/>
          <w:i w:val="0"/>
          <w:caps w:val="0"/>
          <w:spacing w:val="0"/>
          <w:w w:val="100"/>
          <w:sz w:val="32"/>
          <w:szCs w:val="32"/>
          <w:lang w:val="en-US" w:eastAsia="zh-CN"/>
        </w:rPr>
        <w:t>今年，举办了六场清廉家庭故事分享活动，围绕“女性与助廉”，从生活的角度，配偶的角度，家庭的角度，在怎么构筑家庭内部防线，以及如何建立家庭助廉的长效机制等方面进行了深刻探讨，并相互交流了自身在发挥“廉内助”作用过程中的体会。</w:t>
      </w:r>
    </w:p>
    <w:p w14:paraId="602244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olor w:val="auto"/>
          <w:sz w:val="32"/>
          <w:szCs w:val="32"/>
        </w:rPr>
      </w:pPr>
      <w:r>
        <w:rPr>
          <w:rFonts w:hint="eastAsia" w:ascii="仿宋" w:hAnsi="仿宋" w:eastAsia="仿宋"/>
          <w:b/>
          <w:bCs/>
          <w:sz w:val="32"/>
          <w:szCs w:val="32"/>
          <w:lang w:val="en-US" w:eastAsia="zh-CN"/>
        </w:rPr>
        <w:t>5、关爱关怀妇儿，“巾帼暖人心”更有温度。</w:t>
      </w:r>
      <w:r>
        <w:rPr>
          <w:rFonts w:hint="eastAsia" w:ascii="仿宋" w:hAnsi="仿宋" w:eastAsia="仿宋"/>
          <w:b/>
          <w:bCs/>
          <w:color w:val="auto"/>
          <w:sz w:val="32"/>
          <w:szCs w:val="32"/>
        </w:rPr>
        <w:t>一是</w:t>
      </w:r>
      <w:r>
        <w:rPr>
          <w:rFonts w:hint="eastAsia" w:ascii="仿宋" w:hAnsi="仿宋" w:eastAsia="仿宋"/>
          <w:color w:val="auto"/>
          <w:sz w:val="32"/>
          <w:szCs w:val="32"/>
          <w:lang w:eastAsia="zh-CN"/>
        </w:rPr>
        <w:t>定期</w:t>
      </w:r>
      <w:r>
        <w:rPr>
          <w:rFonts w:hint="eastAsia" w:ascii="仿宋" w:hAnsi="仿宋" w:eastAsia="仿宋"/>
          <w:color w:val="auto"/>
          <w:sz w:val="32"/>
          <w:szCs w:val="32"/>
        </w:rPr>
        <w:t>开展</w:t>
      </w:r>
      <w:r>
        <w:rPr>
          <w:rFonts w:hint="eastAsia" w:ascii="仿宋" w:hAnsi="仿宋" w:eastAsia="仿宋"/>
          <w:color w:val="auto"/>
          <w:sz w:val="32"/>
          <w:szCs w:val="32"/>
          <w:lang w:val="en-US" w:eastAsia="zh-CN"/>
        </w:rPr>
        <w:t>妇女</w:t>
      </w:r>
      <w:r>
        <w:rPr>
          <w:rFonts w:hint="eastAsia" w:ascii="仿宋" w:hAnsi="仿宋" w:eastAsia="仿宋"/>
          <w:color w:val="auto"/>
          <w:sz w:val="32"/>
          <w:szCs w:val="32"/>
        </w:rPr>
        <w:t>儿童特别关爱行动。</w:t>
      </w:r>
      <w:r>
        <w:rPr>
          <w:rFonts w:hint="eastAsia" w:ascii="仿宋" w:hAnsi="仿宋" w:eastAsia="仿宋"/>
          <w:color w:val="auto"/>
          <w:sz w:val="32"/>
          <w:szCs w:val="32"/>
          <w:lang w:val="en-US" w:eastAsia="zh-CN"/>
        </w:rPr>
        <w:t>1月，在奇峰村开展“我为妇女办实事”主题实践活动，进行欧莱雅爱心物资发放活动，传递来自社会“大家庭”和“娘家人”的真情关爱。2月，联合爱心企业湖南尚洁家政服务有限公司来到车江铜矿社区，为两名困难留守女童送去了暖心节日关怀，让她们在寒冬里感受到党和政府的关怀，用心用情帮助她们度过一个温暖、祥和的春节。3月</w:t>
      </w:r>
      <w:r>
        <w:rPr>
          <w:rFonts w:hint="eastAsia" w:ascii="仿宋" w:hAnsi="仿宋" w:eastAsia="仿宋"/>
          <w:color w:val="auto"/>
          <w:sz w:val="32"/>
          <w:szCs w:val="32"/>
        </w:rPr>
        <w:t>，</w:t>
      </w:r>
      <w:r>
        <w:rPr>
          <w:rFonts w:hint="eastAsia" w:ascii="仿宋" w:hAnsi="仿宋" w:eastAsia="仿宋"/>
          <w:color w:val="auto"/>
          <w:sz w:val="32"/>
          <w:szCs w:val="32"/>
          <w:lang w:val="en-US" w:eastAsia="zh-CN"/>
        </w:rPr>
        <w:t>陪同</w:t>
      </w:r>
      <w:r>
        <w:rPr>
          <w:rFonts w:hint="eastAsia" w:ascii="仿宋" w:hAnsi="仿宋" w:eastAsia="仿宋"/>
          <w:color w:val="auto"/>
          <w:sz w:val="32"/>
          <w:szCs w:val="32"/>
        </w:rPr>
        <w:t>区委常委、组织部长周萍深入到山田寺小学调研，并走访慰问</w:t>
      </w:r>
      <w:r>
        <w:rPr>
          <w:rFonts w:hint="eastAsia" w:ascii="仿宋" w:hAnsi="仿宋" w:eastAsia="仿宋"/>
          <w:color w:val="auto"/>
          <w:sz w:val="32"/>
          <w:szCs w:val="32"/>
          <w:lang w:val="en-US" w:eastAsia="zh-CN"/>
        </w:rPr>
        <w:t>三名</w:t>
      </w:r>
      <w:r>
        <w:rPr>
          <w:rFonts w:hint="eastAsia" w:ascii="仿宋" w:hAnsi="仿宋" w:eastAsia="仿宋"/>
          <w:color w:val="auto"/>
          <w:sz w:val="32"/>
          <w:szCs w:val="32"/>
        </w:rPr>
        <w:t>贫困学生。</w:t>
      </w:r>
      <w:r>
        <w:rPr>
          <w:rFonts w:hint="eastAsia" w:ascii="仿宋" w:hAnsi="仿宋" w:eastAsia="仿宋"/>
          <w:b/>
          <w:bCs/>
          <w:color w:val="auto"/>
          <w:sz w:val="32"/>
          <w:szCs w:val="32"/>
        </w:rPr>
        <w:t>二是</w:t>
      </w:r>
      <w:r>
        <w:rPr>
          <w:rFonts w:hint="eastAsia" w:ascii="仿宋" w:hAnsi="仿宋" w:eastAsia="仿宋"/>
          <w:b w:val="0"/>
          <w:bCs w:val="0"/>
          <w:color w:val="auto"/>
          <w:sz w:val="32"/>
          <w:szCs w:val="32"/>
          <w:lang w:val="en-US" w:eastAsia="zh-CN"/>
        </w:rPr>
        <w:t>把去年</w:t>
      </w:r>
      <w:r>
        <w:rPr>
          <w:rFonts w:hint="eastAsia" w:ascii="仿宋" w:hAnsi="仿宋" w:eastAsia="仿宋"/>
          <w:color w:val="auto"/>
          <w:sz w:val="32"/>
          <w:szCs w:val="32"/>
          <w:lang w:eastAsia="zh-CN"/>
        </w:rPr>
        <w:t>开展</w:t>
      </w:r>
      <w:r>
        <w:rPr>
          <w:rFonts w:hint="eastAsia" w:ascii="仿宋" w:hAnsi="仿宋" w:eastAsia="仿宋"/>
          <w:color w:val="auto"/>
          <w:sz w:val="32"/>
          <w:szCs w:val="32"/>
        </w:rPr>
        <w:t>“出手吧姐姐，温暖</w:t>
      </w:r>
      <w:r>
        <w:rPr>
          <w:rFonts w:hint="default" w:ascii="Times New Roman" w:hAnsi="Times New Roman" w:eastAsia="仿宋" w:cs="Times New Roman"/>
          <w:color w:val="auto"/>
          <w:sz w:val="32"/>
          <w:szCs w:val="32"/>
        </w:rPr>
        <w:t>202</w:t>
      </w:r>
      <w:r>
        <w:rPr>
          <w:rFonts w:hint="eastAsia" w:ascii="Times New Roman" w:hAnsi="Times New Roman" w:eastAsia="仿宋" w:cs="Times New Roman"/>
          <w:color w:val="auto"/>
          <w:sz w:val="32"/>
          <w:szCs w:val="32"/>
          <w:lang w:val="en-US" w:eastAsia="zh-CN"/>
        </w:rPr>
        <w:t>3</w:t>
      </w:r>
      <w:r>
        <w:rPr>
          <w:rFonts w:hint="eastAsia" w:ascii="仿宋" w:hAnsi="仿宋" w:eastAsia="仿宋"/>
          <w:color w:val="auto"/>
          <w:sz w:val="32"/>
          <w:szCs w:val="32"/>
        </w:rPr>
        <w:t>”关爱困境母亲公益</w:t>
      </w:r>
      <w:r>
        <w:rPr>
          <w:rFonts w:hint="eastAsia" w:ascii="仿宋" w:hAnsi="仿宋" w:eastAsia="仿宋"/>
          <w:color w:val="auto"/>
          <w:sz w:val="32"/>
          <w:szCs w:val="32"/>
          <w:lang w:eastAsia="zh-CN"/>
        </w:rPr>
        <w:t>募捐</w:t>
      </w:r>
      <w:r>
        <w:rPr>
          <w:rFonts w:hint="eastAsia" w:ascii="仿宋" w:hAnsi="仿宋" w:eastAsia="仿宋"/>
          <w:color w:val="auto"/>
          <w:sz w:val="32"/>
          <w:szCs w:val="32"/>
        </w:rPr>
        <w:t>活动</w:t>
      </w:r>
      <w:r>
        <w:rPr>
          <w:rFonts w:hint="eastAsia" w:ascii="仿宋" w:hAnsi="仿宋" w:eastAsia="仿宋"/>
          <w:color w:val="auto"/>
          <w:sz w:val="32"/>
          <w:szCs w:val="32"/>
          <w:lang w:eastAsia="zh-CN"/>
        </w:rPr>
        <w:t>募得</w:t>
      </w:r>
      <w:r>
        <w:rPr>
          <w:rFonts w:hint="eastAsia" w:ascii="仿宋" w:hAnsi="仿宋" w:eastAsia="仿宋"/>
          <w:color w:val="auto"/>
          <w:sz w:val="32"/>
          <w:szCs w:val="32"/>
          <w:lang w:val="en-US" w:eastAsia="zh-CN"/>
        </w:rPr>
        <w:t>的</w:t>
      </w:r>
      <w:r>
        <w:rPr>
          <w:rFonts w:hint="eastAsia" w:ascii="仿宋" w:hAnsi="仿宋" w:eastAsia="仿宋"/>
          <w:color w:val="auto"/>
          <w:sz w:val="32"/>
          <w:szCs w:val="32"/>
          <w:lang w:eastAsia="zh-CN"/>
        </w:rPr>
        <w:t>善款</w:t>
      </w:r>
      <w:r>
        <w:rPr>
          <w:rFonts w:hint="eastAsia" w:ascii="仿宋" w:hAnsi="仿宋" w:eastAsia="仿宋"/>
          <w:color w:val="auto"/>
          <w:sz w:val="32"/>
          <w:szCs w:val="32"/>
          <w:lang w:val="en-US" w:eastAsia="zh-CN"/>
        </w:rPr>
        <w:t>9,7</w:t>
      </w:r>
      <w:r>
        <w:rPr>
          <w:rFonts w:hint="eastAsia" w:ascii="Times New Roman" w:hAnsi="Times New Roman" w:eastAsia="仿宋" w:cs="Times New Roman"/>
          <w:color w:val="auto"/>
          <w:sz w:val="32"/>
          <w:szCs w:val="32"/>
          <w:lang w:val="en-US" w:eastAsia="zh-CN"/>
        </w:rPr>
        <w:t>万</w:t>
      </w:r>
      <w:r>
        <w:rPr>
          <w:rFonts w:hint="eastAsia" w:ascii="仿宋" w:hAnsi="仿宋" w:eastAsia="仿宋"/>
          <w:color w:val="auto"/>
          <w:sz w:val="32"/>
          <w:szCs w:val="32"/>
          <w:lang w:val="en-US" w:eastAsia="zh-CN"/>
        </w:rPr>
        <w:t>元，全部用于救助我区困境妇女儿童。</w:t>
      </w:r>
      <w:r>
        <w:rPr>
          <w:rFonts w:hint="eastAsia" w:ascii="仿宋" w:hAnsi="仿宋" w:eastAsia="仿宋"/>
          <w:b/>
          <w:bCs/>
          <w:color w:val="auto"/>
          <w:sz w:val="32"/>
          <w:szCs w:val="32"/>
          <w:lang w:val="en-US" w:eastAsia="zh-CN"/>
        </w:rPr>
        <w:t>三</w:t>
      </w:r>
      <w:r>
        <w:rPr>
          <w:rFonts w:hint="eastAsia" w:ascii="仿宋" w:hAnsi="仿宋" w:eastAsia="仿宋"/>
          <w:b/>
          <w:bCs/>
          <w:color w:val="auto"/>
          <w:sz w:val="32"/>
          <w:szCs w:val="32"/>
          <w:lang w:eastAsia="zh-CN"/>
        </w:rPr>
        <w:t>是</w:t>
      </w:r>
      <w:r>
        <w:rPr>
          <w:rFonts w:hint="eastAsia" w:ascii="仿宋" w:hAnsi="仿宋" w:eastAsia="仿宋"/>
          <w:color w:val="auto"/>
          <w:sz w:val="32"/>
          <w:szCs w:val="32"/>
          <w:lang w:eastAsia="zh-CN"/>
        </w:rPr>
        <w:t>做细做实</w:t>
      </w:r>
      <w:r>
        <w:rPr>
          <w:rFonts w:hint="eastAsia" w:ascii="仿宋" w:hAnsi="仿宋" w:eastAsia="仿宋"/>
          <w:color w:val="auto"/>
          <w:sz w:val="32"/>
          <w:szCs w:val="32"/>
          <w:lang w:val="en-US" w:eastAsia="zh-CN"/>
        </w:rPr>
        <w:t>2024年</w:t>
      </w:r>
      <w:r>
        <w:rPr>
          <w:rFonts w:hint="eastAsia" w:ascii="仿宋" w:hAnsi="仿宋" w:eastAsia="仿宋"/>
          <w:color w:val="auto"/>
          <w:sz w:val="32"/>
          <w:szCs w:val="32"/>
          <w:lang w:eastAsia="zh-CN"/>
        </w:rPr>
        <w:t>农村及城镇低保适龄妇女</w:t>
      </w:r>
      <w:r>
        <w:rPr>
          <w:rFonts w:hint="eastAsia" w:ascii="仿宋" w:hAnsi="仿宋" w:eastAsia="仿宋"/>
          <w:color w:val="auto"/>
          <w:sz w:val="32"/>
          <w:szCs w:val="32"/>
        </w:rPr>
        <w:t>“两癌”免费</w:t>
      </w:r>
      <w:r>
        <w:rPr>
          <w:rFonts w:hint="eastAsia" w:ascii="仿宋" w:hAnsi="仿宋" w:eastAsia="仿宋"/>
          <w:color w:val="auto"/>
          <w:sz w:val="32"/>
          <w:szCs w:val="32"/>
          <w:lang w:eastAsia="zh-CN"/>
        </w:rPr>
        <w:t>检</w:t>
      </w:r>
      <w:r>
        <w:rPr>
          <w:rFonts w:hint="eastAsia" w:ascii="仿宋" w:hAnsi="仿宋" w:eastAsia="仿宋"/>
          <w:color w:val="auto"/>
          <w:sz w:val="32"/>
          <w:szCs w:val="32"/>
        </w:rPr>
        <w:t>查</w:t>
      </w:r>
      <w:r>
        <w:rPr>
          <w:rFonts w:hint="eastAsia" w:ascii="仿宋" w:hAnsi="仿宋" w:eastAsia="仿宋"/>
          <w:color w:val="auto"/>
          <w:sz w:val="32"/>
          <w:szCs w:val="32"/>
          <w:lang w:eastAsia="zh-CN"/>
        </w:rPr>
        <w:t>民生实事工作</w:t>
      </w:r>
      <w:r>
        <w:rPr>
          <w:rFonts w:hint="eastAsia" w:ascii="仿宋" w:hAnsi="仿宋" w:eastAsia="仿宋"/>
          <w:color w:val="auto"/>
          <w:sz w:val="32"/>
          <w:szCs w:val="32"/>
        </w:rPr>
        <w:t>，</w:t>
      </w:r>
      <w:r>
        <w:rPr>
          <w:rFonts w:hint="eastAsia" w:ascii="仿宋_GB2312" w:hAnsi="仿宋_GB2312" w:eastAsia="仿宋_GB2312" w:cs="仿宋_GB2312"/>
          <w:sz w:val="32"/>
          <w:szCs w:val="32"/>
          <w:lang w:eastAsia="zh-CN"/>
        </w:rPr>
        <w:t>截止</w:t>
      </w:r>
      <w:r>
        <w:rPr>
          <w:rFonts w:hint="eastAsia" w:ascii="仿宋_GB2312" w:hAnsi="仿宋_GB2312" w:eastAsia="仿宋_GB2312" w:cs="仿宋_GB2312"/>
          <w:sz w:val="32"/>
          <w:szCs w:val="32"/>
          <w:lang w:val="en-US" w:eastAsia="zh-CN"/>
        </w:rPr>
        <w:t>目前，已完成检查任务数756人，完成率达100.8%。</w:t>
      </w:r>
      <w:r>
        <w:rPr>
          <w:rFonts w:hint="eastAsia" w:ascii="仿宋" w:hAnsi="仿宋" w:eastAsia="仿宋"/>
          <w:color w:val="auto"/>
          <w:sz w:val="32"/>
          <w:szCs w:val="32"/>
        </w:rPr>
        <w:t>实现宫颈癌、乳腺癌早发现、早治疗、早干预的目的，有效控制了威胁妇女健康的危险因素</w:t>
      </w:r>
      <w:r>
        <w:rPr>
          <w:rFonts w:hint="eastAsia" w:ascii="仿宋" w:hAnsi="仿宋" w:eastAsia="仿宋"/>
          <w:color w:val="auto"/>
          <w:sz w:val="32"/>
          <w:szCs w:val="32"/>
          <w:lang w:eastAsia="zh-CN"/>
        </w:rPr>
        <w:t>。</w:t>
      </w:r>
      <w:r>
        <w:rPr>
          <w:rFonts w:hint="eastAsia" w:ascii="仿宋" w:hAnsi="仿宋" w:eastAsia="仿宋"/>
          <w:b/>
          <w:bCs/>
          <w:color w:val="auto"/>
          <w:sz w:val="32"/>
          <w:szCs w:val="32"/>
          <w:lang w:val="en-US" w:eastAsia="zh-CN"/>
        </w:rPr>
        <w:t>四是</w:t>
      </w:r>
      <w:r>
        <w:rPr>
          <w:rFonts w:hint="eastAsia" w:ascii="仿宋" w:hAnsi="仿宋" w:eastAsia="仿宋"/>
          <w:color w:val="auto"/>
          <w:sz w:val="32"/>
          <w:szCs w:val="32"/>
          <w:lang w:eastAsia="zh-CN"/>
        </w:rPr>
        <w:t>积极为我区</w:t>
      </w:r>
      <w:r>
        <w:rPr>
          <w:rFonts w:hint="eastAsia" w:ascii="仿宋" w:hAnsi="仿宋" w:eastAsia="仿宋"/>
          <w:color w:val="auto"/>
          <w:sz w:val="32"/>
          <w:szCs w:val="32"/>
          <w:lang w:val="en-US" w:eastAsia="zh-CN"/>
        </w:rPr>
        <w:t>6名</w:t>
      </w:r>
      <w:r>
        <w:rPr>
          <w:rFonts w:hint="eastAsia" w:ascii="仿宋" w:hAnsi="仿宋" w:eastAsia="仿宋"/>
          <w:color w:val="auto"/>
          <w:sz w:val="32"/>
          <w:szCs w:val="32"/>
          <w:lang w:eastAsia="zh-CN"/>
        </w:rPr>
        <w:t>低收入“两癌”妇女</w:t>
      </w:r>
      <w:r>
        <w:rPr>
          <w:rFonts w:hint="eastAsia" w:ascii="仿宋" w:hAnsi="仿宋" w:eastAsia="仿宋"/>
          <w:color w:val="auto"/>
          <w:sz w:val="32"/>
          <w:szCs w:val="32"/>
          <w:lang w:val="en-US" w:eastAsia="zh-CN"/>
        </w:rPr>
        <w:t>上报资料</w:t>
      </w:r>
      <w:r>
        <w:rPr>
          <w:rFonts w:hint="eastAsia" w:ascii="仿宋" w:hAnsi="仿宋" w:eastAsia="仿宋"/>
          <w:color w:val="auto"/>
          <w:sz w:val="32"/>
          <w:szCs w:val="32"/>
          <w:lang w:eastAsia="zh-CN"/>
        </w:rPr>
        <w:t>争取全国妇联救助金，</w:t>
      </w:r>
      <w:r>
        <w:rPr>
          <w:rFonts w:hint="eastAsia" w:ascii="仿宋" w:hAnsi="仿宋" w:eastAsia="仿宋"/>
          <w:color w:val="auto"/>
          <w:sz w:val="32"/>
          <w:szCs w:val="32"/>
          <w:lang w:val="en-US" w:eastAsia="zh-CN"/>
        </w:rPr>
        <w:t>上报成功的三位女同志将在年底前下发救助金，</w:t>
      </w:r>
      <w:r>
        <w:rPr>
          <w:rFonts w:hint="eastAsia" w:ascii="仿宋" w:hAnsi="仿宋" w:eastAsia="仿宋"/>
          <w:color w:val="auto"/>
          <w:sz w:val="32"/>
          <w:szCs w:val="32"/>
          <w:lang w:eastAsia="zh-CN"/>
        </w:rPr>
        <w:t>帮助低收入“两癌”妇女解决实际困难，提升和改善广大妇女的健康及生活水平。</w:t>
      </w:r>
      <w:r>
        <w:rPr>
          <w:rFonts w:hint="eastAsia" w:ascii="仿宋" w:hAnsi="仿宋" w:eastAsia="仿宋"/>
          <w:b/>
          <w:bCs/>
          <w:color w:val="auto"/>
          <w:sz w:val="32"/>
          <w:szCs w:val="32"/>
          <w:lang w:val="en-US" w:eastAsia="zh-CN"/>
        </w:rPr>
        <w:t>五是</w:t>
      </w:r>
      <w:r>
        <w:rPr>
          <w:rFonts w:hint="eastAsia" w:ascii="仿宋" w:hAnsi="仿宋" w:eastAsia="仿宋"/>
          <w:color w:val="auto"/>
          <w:sz w:val="32"/>
          <w:szCs w:val="32"/>
          <w:lang w:eastAsia="zh-CN"/>
        </w:rPr>
        <w:t>大力推广“湘女关爱保”家</w:t>
      </w:r>
      <w:r>
        <w:rPr>
          <w:rFonts w:hint="eastAsia" w:ascii="仿宋" w:hAnsi="仿宋" w:eastAsia="仿宋"/>
          <w:color w:val="auto"/>
          <w:sz w:val="32"/>
          <w:szCs w:val="32"/>
        </w:rPr>
        <w:t>庭健康社会保险，撑起妇女健康“保护伞”。</w:t>
      </w:r>
    </w:p>
    <w:p w14:paraId="07D0641C">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 w:hAnsi="仿宋" w:eastAsia="仿宋" w:cs="Times New Roman"/>
          <w:color w:val="auto"/>
          <w:sz w:val="32"/>
          <w:szCs w:val="32"/>
          <w:lang w:val="en-US" w:eastAsia="zh-CN"/>
        </w:rPr>
        <w:t>取得的履职效益：</w:t>
      </w:r>
      <w:r>
        <w:rPr>
          <w:rFonts w:hint="eastAsia" w:ascii="仿宋" w:hAnsi="仿宋" w:eastAsia="仿宋" w:cs="Times New Roman"/>
          <w:b/>
          <w:bCs/>
          <w:color w:val="auto"/>
          <w:sz w:val="32"/>
          <w:szCs w:val="32"/>
        </w:rPr>
        <w:t>思想引领之基更牢，巾帼心向党更加坚定</w:t>
      </w:r>
      <w:r>
        <w:rPr>
          <w:rFonts w:hint="eastAsia" w:ascii="仿宋" w:hAnsi="仿宋" w:eastAsia="仿宋" w:cs="Times New Roman"/>
          <w:b/>
          <w:bCs/>
          <w:color w:val="auto"/>
          <w:sz w:val="32"/>
          <w:szCs w:val="32"/>
          <w:lang w:eastAsia="zh-CN"/>
        </w:rPr>
        <w:t>。</w:t>
      </w:r>
      <w:r>
        <w:rPr>
          <w:rFonts w:hint="eastAsia" w:ascii="仿宋" w:hAnsi="仿宋" w:eastAsia="仿宋" w:cs="Times New Roman"/>
          <w:b/>
          <w:bCs/>
          <w:color w:val="auto"/>
          <w:sz w:val="32"/>
          <w:szCs w:val="32"/>
        </w:rPr>
        <w:t>发展赋能之力更强，巾帼促发展更有实效</w:t>
      </w:r>
      <w:r>
        <w:rPr>
          <w:rFonts w:hint="eastAsia" w:ascii="仿宋" w:hAnsi="仿宋" w:eastAsia="仿宋" w:cs="Times New Roman"/>
          <w:b/>
          <w:bCs/>
          <w:color w:val="auto"/>
          <w:sz w:val="32"/>
          <w:szCs w:val="32"/>
          <w:lang w:eastAsia="zh-CN"/>
        </w:rPr>
        <w:t>。</w:t>
      </w:r>
      <w:r>
        <w:rPr>
          <w:rFonts w:hint="eastAsia" w:ascii="仿宋" w:hAnsi="仿宋" w:eastAsia="仿宋" w:cs="Times New Roman"/>
          <w:b/>
          <w:bCs/>
          <w:color w:val="auto"/>
          <w:sz w:val="32"/>
          <w:szCs w:val="32"/>
        </w:rPr>
        <w:t>权益保障之网更密，巾帼护权益更有担当</w:t>
      </w:r>
      <w:r>
        <w:rPr>
          <w:rFonts w:hint="eastAsia" w:ascii="仿宋" w:hAnsi="仿宋" w:eastAsia="仿宋" w:cs="Times New Roman"/>
          <w:b/>
          <w:bCs/>
          <w:color w:val="auto"/>
          <w:sz w:val="32"/>
          <w:szCs w:val="32"/>
          <w:lang w:eastAsia="zh-CN"/>
        </w:rPr>
        <w:t>。</w:t>
      </w:r>
      <w:r>
        <w:rPr>
          <w:rFonts w:hint="eastAsia" w:ascii="仿宋" w:hAnsi="仿宋" w:eastAsia="仿宋" w:cs="Times New Roman"/>
          <w:b/>
          <w:bCs/>
          <w:color w:val="auto"/>
          <w:sz w:val="32"/>
          <w:szCs w:val="32"/>
        </w:rPr>
        <w:t>文明新风之韵更浓，巾帼新风尚更加鲜明</w:t>
      </w:r>
      <w:r>
        <w:rPr>
          <w:rFonts w:hint="eastAsia" w:ascii="仿宋" w:hAnsi="仿宋" w:eastAsia="仿宋" w:cs="Times New Roman"/>
          <w:b/>
          <w:bCs/>
          <w:color w:val="auto"/>
          <w:sz w:val="32"/>
          <w:szCs w:val="32"/>
          <w:lang w:eastAsia="zh-CN"/>
        </w:rPr>
        <w:t>。</w:t>
      </w:r>
      <w:r>
        <w:rPr>
          <w:rFonts w:hint="eastAsia" w:ascii="仿宋" w:hAnsi="仿宋" w:eastAsia="仿宋" w:cs="Times New Roman"/>
          <w:b/>
          <w:bCs/>
          <w:color w:val="auto"/>
          <w:sz w:val="32"/>
          <w:szCs w:val="32"/>
        </w:rPr>
        <w:t>民生幸福之实更足，巾帼暖人心更有温度。</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8" w:name="_Toc20000"/>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1033660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9" w:name="_Toc4801"/>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度727,500.00元，</w:t>
      </w:r>
      <w:r>
        <w:rPr>
          <w:rFonts w:hint="eastAsia" w:ascii="仿宋" w:hAnsi="仿宋" w:eastAsia="仿宋" w:cs="仿宋"/>
          <w:b w:val="0"/>
          <w:bCs w:val="0"/>
          <w:sz w:val="32"/>
          <w:szCs w:val="32"/>
          <w:highlight w:val="none"/>
          <w:lang w:val="en-US" w:eastAsia="zh-CN"/>
        </w:rPr>
        <w:t>预算调整后额度577,535.31元</w:t>
      </w:r>
      <w:r>
        <w:rPr>
          <w:rFonts w:hint="eastAsia" w:ascii="仿宋" w:hAnsi="仿宋" w:eastAsia="仿宋" w:cs="仿宋"/>
          <w:b w:val="0"/>
          <w:bCs w:val="0"/>
          <w:sz w:val="32"/>
          <w:szCs w:val="32"/>
          <w:highlight w:val="none"/>
          <w:lang w:eastAsia="zh-CN"/>
        </w:rPr>
        <w:t>。</w:t>
      </w:r>
    </w:p>
    <w:p w14:paraId="7B87E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0277EEE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配置对比表如下：</w:t>
      </w:r>
    </w:p>
    <w:p w14:paraId="5B1306EB">
      <w:pPr>
        <w:pStyle w:val="4"/>
        <w:numPr>
          <w:ilvl w:val="0"/>
          <w:numId w:val="0"/>
        </w:numPr>
        <w:jc w:val="center"/>
      </w:pPr>
      <w:r>
        <w:drawing>
          <wp:inline distT="0" distB="0" distL="114300" distR="114300">
            <wp:extent cx="5186045" cy="752475"/>
            <wp:effectExtent l="9525" t="9525" r="24130" b="19050"/>
            <wp:docPr id="10" name="图片 1"/>
            <wp:cNvGraphicFramePr/>
            <a:graphic xmlns:a="http://schemas.openxmlformats.org/drawingml/2006/main">
              <a:graphicData uri="http://schemas.openxmlformats.org/drawingml/2006/picture">
                <pic:pic xmlns:pic="http://schemas.openxmlformats.org/drawingml/2006/picture">
                  <pic:nvPicPr>
                    <pic:cNvPr id="10" name="图片 1"/>
                    <pic:cNvPicPr/>
                  </pic:nvPicPr>
                  <pic:blipFill>
                    <a:blip r:embed="rId7"/>
                  </pic:blipFill>
                  <pic:spPr>
                    <a:xfrm>
                      <a:off x="0" y="0"/>
                      <a:ext cx="5186045" cy="752475"/>
                    </a:xfrm>
                    <a:prstGeom prst="rect">
                      <a:avLst/>
                    </a:prstGeom>
                    <a:solidFill>
                      <a:srgbClr val="FFFFFF"/>
                    </a:solidFill>
                    <a:ln w="9525">
                      <a:solidFill>
                        <a:srgbClr val="000000"/>
                      </a:solidFill>
                    </a:ln>
                  </pic:spPr>
                </pic:pic>
              </a:graphicData>
            </a:graphic>
          </wp:inline>
        </w:drawing>
      </w:r>
    </w:p>
    <w:p w14:paraId="4945922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预算调整率为33.56%，调整明细如下：</w:t>
      </w:r>
    </w:p>
    <w:p w14:paraId="41626721">
      <w:pPr>
        <w:pStyle w:val="4"/>
        <w:numPr>
          <w:ilvl w:val="0"/>
          <w:numId w:val="0"/>
        </w:numPr>
        <w:jc w:val="center"/>
      </w:pPr>
      <w:r>
        <w:drawing>
          <wp:inline distT="0" distB="0" distL="114300" distR="114300">
            <wp:extent cx="6085205" cy="1039495"/>
            <wp:effectExtent l="9525" t="9525" r="20320" b="17780"/>
            <wp:docPr id="22" name="图片 2"/>
            <wp:cNvGraphicFramePr/>
            <a:graphic xmlns:a="http://schemas.openxmlformats.org/drawingml/2006/main">
              <a:graphicData uri="http://schemas.openxmlformats.org/drawingml/2006/picture">
                <pic:pic xmlns:pic="http://schemas.openxmlformats.org/drawingml/2006/picture">
                  <pic:nvPicPr>
                    <pic:cNvPr id="22" name="图片 2"/>
                    <pic:cNvPicPr/>
                  </pic:nvPicPr>
                  <pic:blipFill>
                    <a:blip r:embed="rId8"/>
                  </pic:blipFill>
                  <pic:spPr>
                    <a:xfrm>
                      <a:off x="0" y="0"/>
                      <a:ext cx="6085205" cy="1039495"/>
                    </a:xfrm>
                    <a:prstGeom prst="rect">
                      <a:avLst/>
                    </a:prstGeom>
                    <a:solidFill>
                      <a:srgbClr val="FFFFFF"/>
                    </a:solidFill>
                    <a:ln w="9525">
                      <a:solidFill>
                        <a:srgbClr val="000000"/>
                      </a:solidFill>
                    </a:ln>
                  </pic:spPr>
                </pic:pic>
              </a:graphicData>
            </a:graphic>
          </wp:inline>
        </w:drawing>
      </w:r>
    </w:p>
    <w:p w14:paraId="72D9FC1C">
      <w:pPr>
        <w:rPr>
          <w:rFonts w:hint="eastAsia" w:ascii="楷体" w:hAnsi="楷体" w:eastAsia="楷体" w:cs="楷体"/>
          <w:b/>
          <w:bCs/>
          <w:sz w:val="32"/>
          <w:szCs w:val="32"/>
          <w:lang w:eastAsia="zh-CN"/>
        </w:rPr>
      </w:pPr>
      <w:r>
        <w:drawing>
          <wp:inline distT="0" distB="0" distL="114300" distR="114300">
            <wp:extent cx="6111240" cy="1167765"/>
            <wp:effectExtent l="9525" t="9525" r="13335" b="22860"/>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9"/>
                  </pic:blipFill>
                  <pic:spPr>
                    <a:xfrm>
                      <a:off x="0" y="0"/>
                      <a:ext cx="6111240" cy="1167765"/>
                    </a:xfrm>
                    <a:prstGeom prst="rect">
                      <a:avLst/>
                    </a:prstGeom>
                    <a:solidFill>
                      <a:srgbClr val="FFFFFF"/>
                    </a:solidFill>
                    <a:ln w="9525">
                      <a:solidFill>
                        <a:srgbClr val="000000"/>
                      </a:solidFill>
                    </a:ln>
                  </pic:spPr>
                </pic:pic>
              </a:graphicData>
            </a:graphic>
          </wp:inline>
        </w:drawing>
      </w:r>
    </w:p>
    <w:p w14:paraId="06FF73E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0" w:name="_Toc5712"/>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3AAA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1EB6B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outlineLvl w:val="9"/>
        <w:rPr>
          <w:rFonts w:hint="default"/>
          <w:highlight w:val="none"/>
          <w:lang w:val="en-US" w:eastAsia="zh-CN"/>
        </w:rPr>
      </w:pPr>
      <w:r>
        <w:rPr>
          <w:rFonts w:hint="eastAsia" w:ascii="仿宋" w:hAnsi="仿宋" w:eastAsia="仿宋" w:cs="仿宋"/>
          <w:b w:val="0"/>
          <w:bCs w:val="0"/>
          <w:sz w:val="32"/>
          <w:szCs w:val="32"/>
          <w:highlight w:val="none"/>
          <w:lang w:val="en-US" w:eastAsia="zh-CN"/>
        </w:rPr>
        <w:t>（1）收入来源总计824,607.88元，其中一般公共预算财政拨款577,535.31元，其他收入247,072.57元。</w:t>
      </w:r>
    </w:p>
    <w:p w14:paraId="1F2E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4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（2）预算资金指标支付汇总</w:t>
      </w:r>
    </w:p>
    <w:p w14:paraId="59549E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val="0"/>
          <w:sz w:val="32"/>
          <w:szCs w:val="32"/>
          <w:highlight w:val="none"/>
          <w:lang w:val="en-US" w:eastAsia="zh-CN"/>
        </w:rPr>
      </w:pPr>
      <w:r>
        <w:drawing>
          <wp:inline distT="0" distB="0" distL="114300" distR="114300">
            <wp:extent cx="3175000" cy="771525"/>
            <wp:effectExtent l="9525" t="9525" r="15875" b="19050"/>
            <wp:docPr id="30" name="图片 3"/>
            <wp:cNvGraphicFramePr/>
            <a:graphic xmlns:a="http://schemas.openxmlformats.org/drawingml/2006/main">
              <a:graphicData uri="http://schemas.openxmlformats.org/drawingml/2006/picture">
                <pic:pic xmlns:pic="http://schemas.openxmlformats.org/drawingml/2006/picture">
                  <pic:nvPicPr>
                    <pic:cNvPr id="30" name="图片 3"/>
                    <pic:cNvPicPr/>
                  </pic:nvPicPr>
                  <pic:blipFill>
                    <a:blip r:embed="rId10"/>
                  </pic:blipFill>
                  <pic:spPr>
                    <a:xfrm>
                      <a:off x="0" y="0"/>
                      <a:ext cx="3175000" cy="771525"/>
                    </a:xfrm>
                    <a:prstGeom prst="rect">
                      <a:avLst/>
                    </a:prstGeom>
                    <a:solidFill>
                      <a:srgbClr val="FFFFFF"/>
                    </a:solidFill>
                    <a:ln w="9525">
                      <a:solidFill>
                        <a:srgbClr val="000000"/>
                      </a:solidFill>
                    </a:ln>
                  </pic:spPr>
                </pic:pic>
              </a:graphicData>
            </a:graphic>
          </wp:inline>
        </w:drawing>
      </w:r>
    </w:p>
    <w:p w14:paraId="2825EB9E">
      <w:pPr>
        <w:pStyle w:val="4"/>
        <w:numPr>
          <w:ilvl w:val="0"/>
          <w:numId w:val="0"/>
        </w:numPr>
        <w:jc w:val="center"/>
        <w:rPr>
          <w:rFonts w:hint="eastAsia" w:ascii="仿宋" w:hAnsi="仿宋" w:eastAsia="仿宋" w:cs="仿宋"/>
          <w:b w:val="0"/>
          <w:bCs w:val="0"/>
          <w:sz w:val="32"/>
          <w:szCs w:val="32"/>
          <w:highlight w:val="none"/>
          <w:lang w:val="en-US" w:eastAsia="zh-CN"/>
        </w:rPr>
      </w:pPr>
      <w:r>
        <w:drawing>
          <wp:inline distT="0" distB="0" distL="114300" distR="114300">
            <wp:extent cx="3922395" cy="2306955"/>
            <wp:effectExtent l="4445" t="4445" r="16510" b="12700"/>
            <wp:docPr id="3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DC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lang w:val="en-US" w:eastAsia="zh-CN"/>
        </w:rPr>
      </w:pPr>
      <w:r>
        <w:rPr>
          <w:rFonts w:hint="eastAsia" w:ascii="仿宋" w:hAnsi="仿宋" w:eastAsia="仿宋" w:cs="仿宋"/>
          <w:b/>
          <w:bCs/>
          <w:sz w:val="32"/>
          <w:szCs w:val="32"/>
          <w:lang w:val="en-US" w:eastAsia="zh-CN"/>
        </w:rPr>
        <w:t>2.预算执行分析</w:t>
      </w:r>
    </w:p>
    <w:p w14:paraId="35B64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预算执行率为137.59%。详情如下：</w:t>
      </w:r>
    </w:p>
    <w:p w14:paraId="10E3F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9"/>
        <w:rPr>
          <w:rFonts w:hint="eastAsia" w:ascii="仿宋" w:hAnsi="仿宋" w:eastAsia="仿宋" w:cs="仿宋"/>
          <w:b/>
          <w:bCs/>
          <w:sz w:val="32"/>
          <w:szCs w:val="32"/>
          <w:lang w:eastAsia="zh-CN"/>
        </w:rPr>
      </w:pPr>
      <w:r>
        <w:drawing>
          <wp:inline distT="0" distB="0" distL="114300" distR="114300">
            <wp:extent cx="5995035" cy="1055370"/>
            <wp:effectExtent l="9525" t="9525" r="15240" b="20955"/>
            <wp:docPr id="32" name="图片 15"/>
            <wp:cNvGraphicFramePr/>
            <a:graphic xmlns:a="http://schemas.openxmlformats.org/drawingml/2006/main">
              <a:graphicData uri="http://schemas.openxmlformats.org/drawingml/2006/picture">
                <pic:pic xmlns:pic="http://schemas.openxmlformats.org/drawingml/2006/picture">
                  <pic:nvPicPr>
                    <pic:cNvPr id="32" name="图片 15"/>
                    <pic:cNvPicPr/>
                  </pic:nvPicPr>
                  <pic:blipFill>
                    <a:blip r:embed="rId12"/>
                  </pic:blipFill>
                  <pic:spPr>
                    <a:xfrm>
                      <a:off x="0" y="0"/>
                      <a:ext cx="5995035" cy="1055370"/>
                    </a:xfrm>
                    <a:prstGeom prst="rect">
                      <a:avLst/>
                    </a:prstGeom>
                    <a:solidFill>
                      <a:srgbClr val="FFFFFF"/>
                    </a:solidFill>
                    <a:ln w="9525">
                      <a:solidFill>
                        <a:srgbClr val="000000"/>
                      </a:solidFill>
                    </a:ln>
                  </pic:spPr>
                </pic:pic>
              </a:graphicData>
            </a:graphic>
          </wp:inline>
        </w:drawing>
      </w:r>
    </w:p>
    <w:p w14:paraId="78AFA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资金支付及时，不存在项目等钱情况。2024年12月资金指标使用数占比25.41%，高于其他月份。指标下达数与指标使用数对比详情列示如下：</w:t>
      </w:r>
    </w:p>
    <w:p w14:paraId="3017C704">
      <w:pPr>
        <w:pStyle w:val="4"/>
        <w:jc w:val="center"/>
        <w:rPr>
          <w:rFonts w:hint="eastAsia" w:ascii="仿宋" w:hAnsi="仿宋" w:eastAsia="仿宋" w:cs="仿宋"/>
          <w:b w:val="0"/>
          <w:bCs w:val="0"/>
          <w:sz w:val="32"/>
          <w:szCs w:val="32"/>
          <w:lang w:val="en-US" w:eastAsia="zh-CN"/>
        </w:rPr>
      </w:pPr>
      <w:r>
        <w:drawing>
          <wp:inline distT="0" distB="0" distL="114300" distR="114300">
            <wp:extent cx="4898390" cy="2438400"/>
            <wp:effectExtent l="9525" t="9525" r="26035" b="9525"/>
            <wp:docPr id="33" name="图片 4"/>
            <wp:cNvGraphicFramePr/>
            <a:graphic xmlns:a="http://schemas.openxmlformats.org/drawingml/2006/main">
              <a:graphicData uri="http://schemas.openxmlformats.org/drawingml/2006/picture">
                <pic:pic xmlns:pic="http://schemas.openxmlformats.org/drawingml/2006/picture">
                  <pic:nvPicPr>
                    <pic:cNvPr id="33" name="图片 4"/>
                    <pic:cNvPicPr/>
                  </pic:nvPicPr>
                  <pic:blipFill>
                    <a:blip r:embed="rId13"/>
                  </pic:blipFill>
                  <pic:spPr>
                    <a:xfrm>
                      <a:off x="0" y="0"/>
                      <a:ext cx="4898390" cy="2438400"/>
                    </a:xfrm>
                    <a:prstGeom prst="rect">
                      <a:avLst/>
                    </a:prstGeom>
                    <a:solidFill>
                      <a:srgbClr val="FFFFFF"/>
                    </a:solidFill>
                    <a:ln w="9525">
                      <a:solidFill>
                        <a:srgbClr val="000000"/>
                      </a:solidFill>
                    </a:ln>
                  </pic:spPr>
                </pic:pic>
              </a:graphicData>
            </a:graphic>
          </wp:inline>
        </w:drawing>
      </w:r>
    </w:p>
    <w:p w14:paraId="3F9EEB01">
      <w:pPr>
        <w:jc w:val="center"/>
        <w:rPr>
          <w:rFonts w:hint="eastAsia" w:ascii="仿宋" w:hAnsi="仿宋" w:eastAsia="仿宋" w:cs="仿宋"/>
          <w:b/>
          <w:bCs/>
          <w:sz w:val="32"/>
          <w:szCs w:val="32"/>
          <w:lang w:val="en-US" w:eastAsia="zh-CN"/>
        </w:rPr>
      </w:pPr>
      <w:r>
        <w:drawing>
          <wp:inline distT="0" distB="0" distL="114300" distR="114300">
            <wp:extent cx="4829810" cy="2743200"/>
            <wp:effectExtent l="4445" t="4445" r="23495" b="14605"/>
            <wp:docPr id="3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7B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从预算约束、用途合规、程序合规、报销凭证完整性与合规性四个方面进行核查，在检查凭证过程中，我们发现存在基本挤占项目支出的情况。详情见后附各类支出情况汇总及分析。</w:t>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7FE879F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本年度决算数与上年度决算数对比，减少率2.85%。</w:t>
      </w:r>
    </w:p>
    <w:p w14:paraId="5A66D042">
      <w:pPr>
        <w:pStyle w:val="7"/>
      </w:pPr>
      <w:r>
        <w:drawing>
          <wp:inline distT="0" distB="0" distL="114300" distR="114300">
            <wp:extent cx="5554345" cy="3352165"/>
            <wp:effectExtent l="9525" t="9525" r="17780" b="10160"/>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15"/>
                  </pic:blipFill>
                  <pic:spPr>
                    <a:xfrm>
                      <a:off x="0" y="0"/>
                      <a:ext cx="5554345" cy="3352165"/>
                    </a:xfrm>
                    <a:prstGeom prst="rect">
                      <a:avLst/>
                    </a:prstGeom>
                    <a:solidFill>
                      <a:srgbClr val="FFFFFF"/>
                    </a:solidFill>
                    <a:ln w="9525">
                      <a:solidFill>
                        <a:srgbClr val="000000"/>
                      </a:solidFill>
                    </a:ln>
                  </pic:spPr>
                </pic:pic>
              </a:graphicData>
            </a:graphic>
          </wp:inline>
        </w:drawing>
      </w:r>
    </w:p>
    <w:p w14:paraId="7E2AC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pPr>
      <w:r>
        <w:rPr>
          <w:rFonts w:hint="eastAsia" w:ascii="仿宋" w:hAnsi="仿宋" w:eastAsia="仿宋" w:cs="仿宋"/>
          <w:b/>
          <w:bCs/>
          <w:sz w:val="32"/>
          <w:szCs w:val="32"/>
          <w:lang w:val="en-US" w:eastAsia="zh-CN"/>
        </w:rPr>
        <w:t>（7）本年度全年预算数、账套数、决算数、重分类决算数汇总对比表列示如下(重分类数比决算数减少3万元的原因为项目支出-2024两癌救助金第一次打错账户退回款项至财政专户，决算数将两次付款均纳入)：</w:t>
      </w:r>
    </w:p>
    <w:p w14:paraId="682859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911215" cy="1403350"/>
            <wp:effectExtent l="9525" t="9525" r="22860" b="15875"/>
            <wp:docPr id="8" name="图片 7"/>
            <wp:cNvGraphicFramePr/>
            <a:graphic xmlns:a="http://schemas.openxmlformats.org/drawingml/2006/main">
              <a:graphicData uri="http://schemas.openxmlformats.org/drawingml/2006/picture">
                <pic:pic xmlns:pic="http://schemas.openxmlformats.org/drawingml/2006/picture">
                  <pic:nvPicPr>
                    <pic:cNvPr id="8" name="图片 7"/>
                    <pic:cNvPicPr/>
                  </pic:nvPicPr>
                  <pic:blipFill>
                    <a:blip r:embed="rId16"/>
                  </pic:blipFill>
                  <pic:spPr>
                    <a:xfrm>
                      <a:off x="0" y="0"/>
                      <a:ext cx="5911215" cy="1403350"/>
                    </a:xfrm>
                    <a:prstGeom prst="rect">
                      <a:avLst/>
                    </a:prstGeom>
                    <a:solidFill>
                      <a:srgbClr val="FFFFFF"/>
                    </a:solidFill>
                    <a:ln w="9525">
                      <a:solidFill>
                        <a:srgbClr val="000000"/>
                      </a:solidFill>
                    </a:ln>
                  </pic:spPr>
                </pic:pic>
              </a:graphicData>
            </a:graphic>
          </wp:inline>
        </w:drawing>
      </w:r>
    </w:p>
    <w:p w14:paraId="353A0C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01A1EA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2FC1CD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538470" cy="2096770"/>
            <wp:effectExtent l="9525" t="9525" r="14605" b="27305"/>
            <wp:docPr id="35" name="图片 9"/>
            <wp:cNvGraphicFramePr/>
            <a:graphic xmlns:a="http://schemas.openxmlformats.org/drawingml/2006/main">
              <a:graphicData uri="http://schemas.openxmlformats.org/drawingml/2006/picture">
                <pic:pic xmlns:pic="http://schemas.openxmlformats.org/drawingml/2006/picture">
                  <pic:nvPicPr>
                    <pic:cNvPr id="35" name="图片 9"/>
                    <pic:cNvPicPr/>
                  </pic:nvPicPr>
                  <pic:blipFill>
                    <a:blip r:embed="rId17"/>
                  </pic:blipFill>
                  <pic:spPr>
                    <a:xfrm>
                      <a:off x="0" y="0"/>
                      <a:ext cx="5538470" cy="2096770"/>
                    </a:xfrm>
                    <a:prstGeom prst="rect">
                      <a:avLst/>
                    </a:prstGeom>
                    <a:solidFill>
                      <a:srgbClr val="FFFFFF"/>
                    </a:solidFill>
                    <a:ln w="9525">
                      <a:solidFill>
                        <a:srgbClr val="000000"/>
                      </a:solidFill>
                    </a:ln>
                  </pic:spPr>
                </pic:pic>
              </a:graphicData>
            </a:graphic>
          </wp:inline>
        </w:drawing>
      </w:r>
    </w:p>
    <w:p w14:paraId="367A25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p>
    <w:p w14:paraId="49F5B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pPr>
      <w:r>
        <w:drawing>
          <wp:inline distT="0" distB="0" distL="114300" distR="114300">
            <wp:extent cx="4976495" cy="4899660"/>
            <wp:effectExtent l="4445" t="4445" r="10160" b="10795"/>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DABC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9664"/>
      <w:r>
        <w:rPr>
          <w:rFonts w:hint="eastAsia" w:ascii="楷体" w:hAnsi="楷体" w:eastAsia="楷体" w:cs="楷体"/>
          <w:b/>
          <w:bCs/>
          <w:sz w:val="32"/>
          <w:szCs w:val="32"/>
          <w:lang w:val="en-US" w:eastAsia="zh-CN"/>
        </w:rPr>
        <w:t>整体支出汇总及分析</w:t>
      </w:r>
      <w:bookmarkEnd w:id="31"/>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（1）整体支出分类及范围</w:t>
      </w:r>
    </w:p>
    <w:p w14:paraId="0E4BBA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区妇联的整体支出分为三大类，分别为基本支出-人员经费、基本支出-公用经费（一般性支出）与项目支出。</w:t>
      </w:r>
      <w:r>
        <w:rPr>
          <w:rFonts w:hint="eastAsia" w:ascii="仿宋" w:hAnsi="仿宋" w:eastAsia="仿宋" w:cs="仿宋"/>
          <w:b/>
          <w:bCs/>
          <w:sz w:val="32"/>
          <w:szCs w:val="32"/>
          <w:lang w:val="en-US" w:eastAsia="zh-CN"/>
        </w:rPr>
        <w:t>一是基本支出-人员经费</w:t>
      </w:r>
      <w:r>
        <w:rPr>
          <w:rFonts w:hint="eastAsia" w:ascii="仿宋" w:hAnsi="仿宋" w:eastAsia="仿宋" w:cs="仿宋"/>
          <w:b w:val="0"/>
          <w:bCs w:val="0"/>
          <w:sz w:val="32"/>
          <w:szCs w:val="32"/>
          <w:lang w:val="en-US" w:eastAsia="zh-CN"/>
        </w:rPr>
        <w:t>包括基本工资、津贴补贴、社会保障缴费、住房公积金、奖金、对家庭和个人的补助、津贴补贴、其他保障等。</w:t>
      </w:r>
      <w:r>
        <w:rPr>
          <w:rFonts w:hint="eastAsia" w:ascii="仿宋" w:hAnsi="仿宋" w:eastAsia="仿宋" w:cs="仿宋"/>
          <w:b/>
          <w:bCs/>
          <w:sz w:val="32"/>
          <w:szCs w:val="32"/>
          <w:lang w:val="en-US" w:eastAsia="zh-CN"/>
        </w:rPr>
        <w:t>二是基本支出-公用经费</w:t>
      </w:r>
      <w:r>
        <w:rPr>
          <w:rFonts w:hint="eastAsia" w:ascii="仿宋" w:hAnsi="仿宋" w:eastAsia="仿宋" w:cs="仿宋"/>
          <w:b w:val="0"/>
          <w:bCs w:val="0"/>
          <w:sz w:val="32"/>
          <w:szCs w:val="32"/>
          <w:lang w:val="en-US" w:eastAsia="zh-CN"/>
        </w:rPr>
        <w:t>包括办公经费、工会经费、食堂餐费、培训费、报告咨询、差旅费、维修费等。</w:t>
      </w:r>
      <w:r>
        <w:rPr>
          <w:rFonts w:hint="eastAsia" w:ascii="仿宋" w:hAnsi="仿宋" w:eastAsia="仿宋" w:cs="仿宋"/>
          <w:b/>
          <w:bCs/>
          <w:sz w:val="32"/>
          <w:szCs w:val="32"/>
          <w:lang w:val="en-US" w:eastAsia="zh-CN"/>
        </w:rPr>
        <w:t>三是项目支出</w:t>
      </w:r>
      <w:r>
        <w:rPr>
          <w:rFonts w:hint="eastAsia" w:ascii="仿宋" w:hAnsi="仿宋" w:eastAsia="仿宋" w:cs="仿宋"/>
          <w:b w:val="0"/>
          <w:bCs w:val="0"/>
          <w:sz w:val="32"/>
          <w:szCs w:val="32"/>
          <w:lang w:val="en-US" w:eastAsia="zh-CN"/>
        </w:rPr>
        <w:t>包括出手吧姐姐2023关爱困境妇女儿童金、三八活动、2024两癌救助金、劳务费、家庭教育向阳花行动发放、520活动策划等。</w:t>
      </w:r>
    </w:p>
    <w:p w14:paraId="44719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（2）各类支出从账套数到重分类数的调整过程</w:t>
      </w:r>
    </w:p>
    <w:p w14:paraId="764ACB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871210" cy="1725295"/>
            <wp:effectExtent l="9525" t="9525" r="24765" b="17780"/>
            <wp:docPr id="36" name="图片 1"/>
            <wp:cNvGraphicFramePr/>
            <a:graphic xmlns:a="http://schemas.openxmlformats.org/drawingml/2006/main">
              <a:graphicData uri="http://schemas.openxmlformats.org/drawingml/2006/picture">
                <pic:pic xmlns:pic="http://schemas.openxmlformats.org/drawingml/2006/picture">
                  <pic:nvPicPr>
                    <pic:cNvPr id="36" name="图片 1"/>
                    <pic:cNvPicPr/>
                  </pic:nvPicPr>
                  <pic:blipFill>
                    <a:blip r:embed="rId19"/>
                  </pic:blipFill>
                  <pic:spPr>
                    <a:xfrm>
                      <a:off x="0" y="0"/>
                      <a:ext cx="5871210" cy="1725295"/>
                    </a:xfrm>
                    <a:prstGeom prst="rect">
                      <a:avLst/>
                    </a:prstGeom>
                    <a:solidFill>
                      <a:srgbClr val="FFFFFF"/>
                    </a:solidFill>
                    <a:ln w="9525">
                      <a:solidFill>
                        <a:srgbClr val="000000"/>
                      </a:solidFill>
                    </a:ln>
                  </pic:spPr>
                </pic:pic>
              </a:graphicData>
            </a:graphic>
          </wp:inline>
        </w:drawing>
      </w:r>
    </w:p>
    <w:p w14:paraId="7C8470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p>
    <w:p w14:paraId="2C7981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p>
    <w:p w14:paraId="5B62FE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784850" cy="3245485"/>
            <wp:effectExtent l="9525" t="9525" r="15875" b="21590"/>
            <wp:docPr id="37" name="图片 3"/>
            <wp:cNvGraphicFramePr/>
            <a:graphic xmlns:a="http://schemas.openxmlformats.org/drawingml/2006/main">
              <a:graphicData uri="http://schemas.openxmlformats.org/drawingml/2006/picture">
                <pic:pic xmlns:pic="http://schemas.openxmlformats.org/drawingml/2006/picture">
                  <pic:nvPicPr>
                    <pic:cNvPr id="37" name="图片 3"/>
                    <pic:cNvPicPr/>
                  </pic:nvPicPr>
                  <pic:blipFill>
                    <a:blip r:embed="rId20"/>
                  </pic:blipFill>
                  <pic:spPr>
                    <a:xfrm>
                      <a:off x="0" y="0"/>
                      <a:ext cx="5784850" cy="3245485"/>
                    </a:xfrm>
                    <a:prstGeom prst="rect">
                      <a:avLst/>
                    </a:prstGeom>
                    <a:solidFill>
                      <a:srgbClr val="FFFFFF"/>
                    </a:solidFill>
                    <a:ln w="9525">
                      <a:solidFill>
                        <a:srgbClr val="000000"/>
                      </a:solidFill>
                    </a:ln>
                  </pic:spPr>
                </pic:pic>
              </a:graphicData>
            </a:graphic>
          </wp:inline>
        </w:drawing>
      </w:r>
    </w:p>
    <w:p w14:paraId="67AA5F7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p>
    <w:p w14:paraId="5F244A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636260" cy="4756785"/>
            <wp:effectExtent l="9525" t="9525" r="12065" b="15240"/>
            <wp:docPr id="38" name="图片 1"/>
            <wp:cNvGraphicFramePr/>
            <a:graphic xmlns:a="http://schemas.openxmlformats.org/drawingml/2006/main">
              <a:graphicData uri="http://schemas.openxmlformats.org/drawingml/2006/picture">
                <pic:pic xmlns:pic="http://schemas.openxmlformats.org/drawingml/2006/picture">
                  <pic:nvPicPr>
                    <pic:cNvPr id="38" name="图片 1"/>
                    <pic:cNvPicPr/>
                  </pic:nvPicPr>
                  <pic:blipFill>
                    <a:blip r:embed="rId21"/>
                  </pic:blipFill>
                  <pic:spPr>
                    <a:xfrm>
                      <a:off x="0" y="0"/>
                      <a:ext cx="5636260" cy="4756785"/>
                    </a:xfrm>
                    <a:prstGeom prst="rect">
                      <a:avLst/>
                    </a:prstGeom>
                    <a:solidFill>
                      <a:srgbClr val="FFFFFF"/>
                    </a:solidFill>
                    <a:ln w="9525">
                      <a:solidFill>
                        <a:srgbClr val="000000"/>
                      </a:solidFill>
                    </a:ln>
                  </pic:spPr>
                </pic:pic>
              </a:graphicData>
            </a:graphic>
          </wp:inline>
        </w:drawing>
      </w:r>
    </w:p>
    <w:p w14:paraId="56AB77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注：其中项目支出-2024两癌救助金为3万元，非6万元。</w:t>
      </w:r>
    </w:p>
    <w:p w14:paraId="06064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（3）各类支出重分类数与决算数的对比分析</w:t>
      </w:r>
    </w:p>
    <w:p w14:paraId="37A37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由下表可知，重分类数与决算数相比，公用经费增加32,320.20元，增加率214.28%。人员经费增加128,936.85元，增长率33.55%。项目支出减少191,257.05元，减少率44.98%。原因为基本支出指标不够用，使用项目支出指标。</w:t>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r>
        <w:drawing>
          <wp:inline distT="0" distB="0" distL="114300" distR="114300">
            <wp:extent cx="6042025" cy="1169035"/>
            <wp:effectExtent l="9525" t="9525" r="25400" b="21590"/>
            <wp:docPr id="11" name="图片 10"/>
            <wp:cNvGraphicFramePr/>
            <a:graphic xmlns:a="http://schemas.openxmlformats.org/drawingml/2006/main">
              <a:graphicData uri="http://schemas.openxmlformats.org/drawingml/2006/picture">
                <pic:pic xmlns:pic="http://schemas.openxmlformats.org/drawingml/2006/picture">
                  <pic:nvPicPr>
                    <pic:cNvPr id="11" name="图片 10"/>
                    <pic:cNvPicPr/>
                  </pic:nvPicPr>
                  <pic:blipFill>
                    <a:blip r:embed="rId22"/>
                  </pic:blipFill>
                  <pic:spPr>
                    <a:xfrm>
                      <a:off x="0" y="0"/>
                      <a:ext cx="6042025" cy="1169035"/>
                    </a:xfrm>
                    <a:prstGeom prst="rect">
                      <a:avLst/>
                    </a:prstGeom>
                    <a:solidFill>
                      <a:srgbClr val="FFFFFF"/>
                    </a:solidFill>
                    <a:ln w="9525">
                      <a:solidFill>
                        <a:srgbClr val="000000"/>
                      </a:solidFill>
                    </a:ln>
                  </pic:spPr>
                </pic:pic>
              </a:graphicData>
            </a:graphic>
          </wp:inline>
        </w:drawing>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2.基本支出-人员经费重分类数汇总及分析</w:t>
      </w:r>
    </w:p>
    <w:p w14:paraId="582428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详见后附工资管理情况及分析</w:t>
      </w:r>
    </w:p>
    <w:p w14:paraId="03CAB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753100" cy="1419225"/>
            <wp:effectExtent l="9525" t="9525" r="9525" b="19050"/>
            <wp:docPr id="9" name="图片 3"/>
            <wp:cNvGraphicFramePr/>
            <a:graphic xmlns:a="http://schemas.openxmlformats.org/drawingml/2006/main">
              <a:graphicData uri="http://schemas.openxmlformats.org/drawingml/2006/picture">
                <pic:pic xmlns:pic="http://schemas.openxmlformats.org/drawingml/2006/picture">
                  <pic:nvPicPr>
                    <pic:cNvPr id="9" name="图片 3"/>
                    <pic:cNvPicPr/>
                  </pic:nvPicPr>
                  <pic:blipFill>
                    <a:blip r:embed="rId23"/>
                  </pic:blipFill>
                  <pic:spPr>
                    <a:xfrm>
                      <a:off x="0" y="0"/>
                      <a:ext cx="5753100" cy="1419225"/>
                    </a:xfrm>
                    <a:prstGeom prst="rect">
                      <a:avLst/>
                    </a:prstGeom>
                    <a:solidFill>
                      <a:srgbClr val="FFFFFF"/>
                    </a:solidFill>
                    <a:ln w="9525">
                      <a:solidFill>
                        <a:srgbClr val="000000"/>
                      </a:solidFill>
                    </a:ln>
                  </pic:spPr>
                </pic:pic>
              </a:graphicData>
            </a:graphic>
          </wp:inline>
        </w:drawing>
      </w:r>
    </w:p>
    <w:p w14:paraId="074A52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3.基本支出-公用经费重分类数汇总及分析</w:t>
      </w:r>
    </w:p>
    <w:p w14:paraId="5F8EBFE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pPr>
      <w:r>
        <w:drawing>
          <wp:inline distT="0" distB="0" distL="114300" distR="114300">
            <wp:extent cx="4819650" cy="1584325"/>
            <wp:effectExtent l="9525" t="9525" r="9525" b="25400"/>
            <wp:docPr id="12" name="图片 1"/>
            <wp:cNvGraphicFramePr/>
            <a:graphic xmlns:a="http://schemas.openxmlformats.org/drawingml/2006/main">
              <a:graphicData uri="http://schemas.openxmlformats.org/drawingml/2006/picture">
                <pic:pic xmlns:pic="http://schemas.openxmlformats.org/drawingml/2006/picture">
                  <pic:nvPicPr>
                    <pic:cNvPr id="12" name="图片 1"/>
                    <pic:cNvPicPr/>
                  </pic:nvPicPr>
                  <pic:blipFill>
                    <a:blip r:embed="rId24"/>
                  </pic:blipFill>
                  <pic:spPr>
                    <a:xfrm>
                      <a:off x="0" y="0"/>
                      <a:ext cx="4819650" cy="1584325"/>
                    </a:xfrm>
                    <a:prstGeom prst="rect">
                      <a:avLst/>
                    </a:prstGeom>
                    <a:solidFill>
                      <a:srgbClr val="FFFFFF"/>
                    </a:solidFill>
                    <a:ln w="9525">
                      <a:solidFill>
                        <a:srgbClr val="000000"/>
                      </a:solidFill>
                    </a:ln>
                  </pic:spPr>
                </pic:pic>
              </a:graphicData>
            </a:graphic>
          </wp:inline>
        </w:drawing>
      </w:r>
    </w:p>
    <w:p w14:paraId="0A42E7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检查凭证存在以下情况：</w:t>
      </w:r>
    </w:p>
    <w:p w14:paraId="7A0419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一是存在</w:t>
      </w:r>
      <w:r>
        <w:rPr>
          <w:rFonts w:hint="eastAsia" w:ascii="仿宋" w:hAnsi="仿宋" w:eastAsia="仿宋" w:cs="仿宋"/>
          <w:sz w:val="32"/>
          <w:szCs w:val="32"/>
          <w:lang w:val="en-US" w:eastAsia="zh-CN"/>
        </w:rPr>
        <w:t>业务发生在前，合同签订在后的情况。2024年5月8号支付文印资料1063.40元。清单2023.10-2024.4，2024年4月11日签合同。</w:t>
      </w:r>
      <w:r>
        <w:rPr>
          <w:rFonts w:hint="eastAsia" w:ascii="仿宋" w:hAnsi="仿宋" w:eastAsia="仿宋" w:cs="仿宋"/>
          <w:b w:val="0"/>
          <w:bCs w:val="0"/>
          <w:sz w:val="32"/>
          <w:szCs w:val="32"/>
          <w:lang w:val="en-US" w:eastAsia="zh-CN"/>
        </w:rPr>
        <w:t>2024年5月2号凭证支付电脑维修600元业务发生在前，合同在后。维修清单2023.12-2024.4，2024年4月签合同2024年5月4号凭证支付办公室耗材590元业务发生在前，合同在后。清单2023.10-2024.4，2024年4月11日签合同。</w:t>
      </w:r>
      <w:r>
        <w:rPr>
          <w:rFonts w:hint="eastAsia" w:ascii="仿宋" w:hAnsi="仿宋" w:eastAsia="仿宋" w:cs="仿宋"/>
          <w:b/>
          <w:bCs/>
          <w:sz w:val="32"/>
          <w:szCs w:val="32"/>
          <w:lang w:val="en-US" w:eastAsia="zh-CN"/>
        </w:rPr>
        <w:t>二是</w:t>
      </w:r>
      <w:r>
        <w:rPr>
          <w:rFonts w:hint="eastAsia" w:ascii="仿宋" w:hAnsi="仿宋" w:eastAsia="仿宋" w:cs="仿宋"/>
          <w:b w:val="0"/>
          <w:bCs w:val="0"/>
          <w:sz w:val="32"/>
          <w:szCs w:val="32"/>
          <w:lang w:val="en-US" w:eastAsia="zh-CN"/>
        </w:rPr>
        <w:t>2024年7月3号凭证拨付工会行政款（2018-2023做账）1440元。工会联合体，做账费用平摊1440元该笔费用性质不属于应由预算单位另行承担的工会行政开支,支付方式可能构成重复列支,支付标准和时间跨度缺乏明确、合理的依据。</w:t>
      </w:r>
      <w:r>
        <w:rPr>
          <w:rFonts w:hint="eastAsia" w:ascii="仿宋" w:hAnsi="仿宋" w:eastAsia="仿宋" w:cs="仿宋"/>
          <w:b/>
          <w:bCs/>
          <w:sz w:val="32"/>
          <w:szCs w:val="32"/>
          <w:lang w:val="en-US" w:eastAsia="zh-CN"/>
        </w:rPr>
        <w:t>三是</w:t>
      </w:r>
      <w:r>
        <w:rPr>
          <w:rFonts w:hint="eastAsia" w:ascii="仿宋" w:hAnsi="仿宋" w:eastAsia="仿宋" w:cs="仿宋"/>
          <w:b w:val="0"/>
          <w:bCs w:val="0"/>
          <w:sz w:val="32"/>
          <w:szCs w:val="32"/>
          <w:lang w:val="en-US" w:eastAsia="zh-CN"/>
        </w:rPr>
        <w:t>4个季度均在预支餐费，没有餐费结算单。</w:t>
      </w:r>
    </w:p>
    <w:p w14:paraId="6C95C3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4.三公经费重分类数汇总及分析</w:t>
      </w:r>
    </w:p>
    <w:p w14:paraId="4BA221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（1）区妇联2024年度无因公出国（境）费。（2）区妇联2024年度无公车费。</w:t>
      </w:r>
      <w:r>
        <w:rPr>
          <w:rFonts w:hint="eastAsia" w:ascii="仿宋" w:hAnsi="仿宋" w:eastAsia="仿宋" w:cs="仿宋"/>
          <w:b/>
          <w:bCs/>
          <w:sz w:val="32"/>
          <w:szCs w:val="32"/>
          <w:lang w:val="en-US" w:eastAsia="zh-CN"/>
        </w:rPr>
        <w:t>与交通费相关联事项：</w:t>
      </w:r>
      <w:r>
        <w:rPr>
          <w:rFonts w:hint="eastAsia" w:ascii="仿宋" w:hAnsi="仿宋" w:eastAsia="仿宋" w:cs="仿宋"/>
          <w:b w:val="0"/>
          <w:bCs w:val="0"/>
          <w:sz w:val="32"/>
          <w:szCs w:val="32"/>
          <w:lang w:val="en-US" w:eastAsia="zh-CN"/>
        </w:rPr>
        <w:t>另存在交通补贴造表发放，发放表未见人力资源部或组织部审批盖章，有本部门领导签字。（3）区妇联2024年度无公务接待费。</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5.会议费情况汇总</w:t>
      </w:r>
    </w:p>
    <w:p w14:paraId="3BCB1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val="0"/>
          <w:bCs w:val="0"/>
          <w:sz w:val="32"/>
          <w:szCs w:val="32"/>
          <w:highlight w:val="none"/>
          <w:lang w:val="en-US" w:eastAsia="zh-CN"/>
        </w:rPr>
        <w:t>无。</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6.办公经费情况汇总</w:t>
      </w:r>
    </w:p>
    <w:p w14:paraId="1100C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val="0"/>
          <w:bCs w:val="0"/>
          <w:sz w:val="32"/>
          <w:szCs w:val="32"/>
          <w:lang w:val="en-US" w:eastAsia="zh-CN"/>
        </w:rPr>
        <w:t>基本支出-公用经费-办公经费重分类数18,780.20元，</w:t>
      </w:r>
    </w:p>
    <w:p w14:paraId="0123C06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r>
        <w:drawing>
          <wp:inline distT="0" distB="0" distL="114300" distR="114300">
            <wp:extent cx="4819650" cy="1419225"/>
            <wp:effectExtent l="9525" t="9525" r="9525" b="1905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25"/>
                  </pic:blipFill>
                  <pic:spPr>
                    <a:xfrm>
                      <a:off x="0" y="0"/>
                      <a:ext cx="4819650" cy="1419225"/>
                    </a:xfrm>
                    <a:prstGeom prst="rect">
                      <a:avLst/>
                    </a:prstGeom>
                    <a:solidFill>
                      <a:srgbClr val="FFFFFF"/>
                    </a:solidFill>
                    <a:ln w="9525">
                      <a:solidFill>
                        <a:srgbClr val="000000"/>
                      </a:solidFill>
                    </a:ln>
                  </pic:spPr>
                </pic:pic>
              </a:graphicData>
            </a:graphic>
          </wp:inline>
        </w:drawing>
      </w:r>
    </w:p>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7.新增财政性支出情况汇总</w:t>
      </w:r>
    </w:p>
    <w:p w14:paraId="1D7F4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无新增财政性支出。</w:t>
      </w:r>
    </w:p>
    <w:p w14:paraId="5FA8334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15816"/>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w:t>
      </w:r>
      <w:r>
        <w:rPr>
          <w:rFonts w:hint="eastAsia" w:ascii="仿宋" w:hAnsi="仿宋" w:eastAsia="仿宋" w:cs="仿宋"/>
          <w:b w:val="0"/>
          <w:bCs w:val="0"/>
          <w:sz w:val="32"/>
          <w:szCs w:val="32"/>
          <w:highlight w:val="none"/>
          <w:lang w:val="en-US" w:eastAsia="zh-CN"/>
        </w:rPr>
        <w:t>部门在预算管理方面建立的制度：提供了财务管理制度。</w:t>
      </w:r>
      <w:r>
        <w:rPr>
          <w:rFonts w:hint="eastAsia" w:ascii="仿宋" w:hAnsi="仿宋" w:eastAsia="仿宋" w:cs="仿宋"/>
          <w:b/>
          <w:bCs/>
          <w:sz w:val="32"/>
          <w:szCs w:val="32"/>
          <w:highlight w:val="none"/>
          <w:lang w:val="en-US" w:eastAsia="zh-CN"/>
        </w:rPr>
        <w:t>未提供其他管理制度，如：预算管理制度，内部控制制度，政府采购管理制度，合同管理制度，专项资金管理办法，绩效管理制度，信息化管理制度，决算与财务报告制度，监督与审计制度，工会管理制度等。</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衡阳雁峰区政府网上可以查到区妇联的预算公开信息。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5771D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highlight w:val="none"/>
          <w:lang w:val="en-US" w:eastAsia="zh-CN"/>
        </w:rPr>
        <w:t>财务管理制度未覆盖预算编制、调整、核算等关键环节，部分制度缺失。</w:t>
      </w:r>
    </w:p>
    <w:p w14:paraId="02209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highlight w:val="none"/>
          <w:lang w:val="en-US" w:eastAsia="zh-CN"/>
        </w:rPr>
        <w:t>按照财务管理制度基本有效执行。存在不足之处详见整体支出汇总及分析。</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（5）管理规范性：未提供预算调整批复文件。存在基本支出挤占项目支出的情况</w:t>
      </w:r>
      <w:r>
        <w:rPr>
          <w:rFonts w:hint="eastAsia" w:ascii="仿宋" w:hAnsi="仿宋" w:eastAsia="仿宋" w:cs="仿宋"/>
          <w:b w:val="0"/>
          <w:bCs w:val="0"/>
          <w:sz w:val="32"/>
          <w:szCs w:val="32"/>
          <w:highlight w:val="none"/>
          <w:lang w:val="en-US" w:eastAsia="zh-CN"/>
        </w:rPr>
        <w:t>。详见整体支出汇总及分析。</w:t>
      </w:r>
    </w:p>
    <w:p w14:paraId="2F3BF7F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9368"/>
      <w:r>
        <w:rPr>
          <w:rFonts w:hint="eastAsia" w:ascii="楷体" w:hAnsi="楷体" w:eastAsia="楷体" w:cs="楷体"/>
          <w:b/>
          <w:bCs/>
          <w:sz w:val="32"/>
          <w:szCs w:val="32"/>
          <w:lang w:val="en-US" w:eastAsia="zh-CN"/>
        </w:rPr>
        <w:t>工资管理情况及分析</w:t>
      </w:r>
      <w:bookmarkEnd w:id="33"/>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6323C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highlight w:val="none"/>
          <w:lang w:val="en-US" w:eastAsia="zh-CN"/>
        </w:rPr>
        <w:t>2.检查凭证过程中，发现存在以下情况：一是</w:t>
      </w:r>
      <w:r>
        <w:rPr>
          <w:rFonts w:hint="default" w:ascii="仿宋" w:hAnsi="仿宋" w:eastAsia="仿宋" w:cs="仿宋"/>
          <w:b w:val="0"/>
          <w:bCs w:val="0"/>
          <w:sz w:val="32"/>
          <w:szCs w:val="32"/>
          <w:highlight w:val="none"/>
          <w:lang w:val="en-US" w:eastAsia="zh-CN"/>
        </w:rPr>
        <w:t>统发工资后附国库支付单，无回单，无审批。</w:t>
      </w:r>
      <w:r>
        <w:rPr>
          <w:rFonts w:hint="eastAsia" w:ascii="仿宋" w:hAnsi="仿宋" w:eastAsia="仿宋" w:cs="仿宋"/>
          <w:b/>
          <w:bCs/>
          <w:sz w:val="32"/>
          <w:szCs w:val="32"/>
          <w:highlight w:val="none"/>
          <w:lang w:val="en-US" w:eastAsia="zh-CN"/>
        </w:rPr>
        <w:t>二是</w:t>
      </w:r>
      <w:r>
        <w:rPr>
          <w:rFonts w:hint="default" w:ascii="仿宋" w:hAnsi="仿宋" w:eastAsia="仿宋" w:cs="仿宋"/>
          <w:b w:val="0"/>
          <w:bCs w:val="0"/>
          <w:sz w:val="32"/>
          <w:szCs w:val="32"/>
          <w:highlight w:val="none"/>
          <w:lang w:val="en-US" w:eastAsia="zh-CN"/>
        </w:rPr>
        <w:t>后附计提五险一金表</w:t>
      </w:r>
      <w:r>
        <w:rPr>
          <w:rFonts w:hint="eastAsia" w:ascii="仿宋" w:hAnsi="仿宋" w:eastAsia="仿宋" w:cs="仿宋"/>
          <w:b w:val="0"/>
          <w:bCs w:val="0"/>
          <w:sz w:val="32"/>
          <w:szCs w:val="32"/>
          <w:highlight w:val="none"/>
          <w:lang w:val="en-US" w:eastAsia="zh-CN"/>
        </w:rPr>
        <w:t>无计提供依据，</w:t>
      </w:r>
      <w:r>
        <w:rPr>
          <w:rFonts w:hint="default" w:ascii="仿宋" w:hAnsi="仿宋" w:eastAsia="仿宋" w:cs="仿宋"/>
          <w:b w:val="0"/>
          <w:bCs w:val="0"/>
          <w:sz w:val="32"/>
          <w:szCs w:val="32"/>
          <w:highlight w:val="none"/>
          <w:lang w:val="en-US" w:eastAsia="zh-CN"/>
        </w:rPr>
        <w:t>无本单位领导及人力资源审批签字。</w:t>
      </w:r>
      <w:r>
        <w:rPr>
          <w:rFonts w:hint="eastAsia" w:ascii="仿宋" w:hAnsi="仿宋" w:eastAsia="仿宋" w:cs="仿宋"/>
          <w:b/>
          <w:bCs/>
          <w:sz w:val="32"/>
          <w:szCs w:val="32"/>
          <w:highlight w:val="none"/>
          <w:lang w:val="en-US" w:eastAsia="zh-CN"/>
        </w:rPr>
        <w:t>三是</w:t>
      </w:r>
      <w:r>
        <w:rPr>
          <w:rFonts w:hint="default" w:ascii="仿宋" w:hAnsi="仿宋" w:eastAsia="仿宋" w:cs="仿宋"/>
          <w:b w:val="0"/>
          <w:bCs w:val="0"/>
          <w:sz w:val="32"/>
          <w:szCs w:val="32"/>
          <w:highlight w:val="none"/>
          <w:lang w:val="en-US" w:eastAsia="zh-CN"/>
        </w:rPr>
        <w:t>住房公积金缴纳清册，无人力资源盖章</w:t>
      </w:r>
      <w:r>
        <w:rPr>
          <w:rFonts w:hint="eastAsia" w:ascii="仿宋" w:hAnsi="仿宋" w:eastAsia="仿宋" w:cs="仿宋"/>
          <w:b w:val="0"/>
          <w:bCs w:val="0"/>
          <w:sz w:val="32"/>
          <w:szCs w:val="32"/>
          <w:highlight w:val="none"/>
          <w:lang w:val="en-US" w:eastAsia="zh-CN"/>
        </w:rPr>
        <w:t>及</w:t>
      </w:r>
      <w:r>
        <w:rPr>
          <w:rFonts w:hint="default" w:ascii="仿宋" w:hAnsi="仿宋" w:eastAsia="仿宋" w:cs="仿宋"/>
          <w:b w:val="0"/>
          <w:bCs w:val="0"/>
          <w:sz w:val="32"/>
          <w:szCs w:val="32"/>
          <w:highlight w:val="none"/>
          <w:lang w:val="en-US" w:eastAsia="zh-CN"/>
        </w:rPr>
        <w:t>交通补贴</w:t>
      </w:r>
      <w:r>
        <w:rPr>
          <w:rFonts w:hint="eastAsia" w:ascii="仿宋" w:hAnsi="仿宋" w:eastAsia="仿宋" w:cs="仿宋"/>
          <w:b w:val="0"/>
          <w:bCs w:val="0"/>
          <w:sz w:val="32"/>
          <w:szCs w:val="32"/>
          <w:highlight w:val="none"/>
          <w:lang w:val="en-US" w:eastAsia="zh-CN"/>
        </w:rPr>
        <w:t>津贴</w:t>
      </w:r>
      <w:r>
        <w:rPr>
          <w:rFonts w:hint="default" w:ascii="仿宋" w:hAnsi="仿宋" w:eastAsia="仿宋" w:cs="仿宋"/>
          <w:b w:val="0"/>
          <w:bCs w:val="0"/>
          <w:sz w:val="32"/>
          <w:szCs w:val="32"/>
          <w:highlight w:val="none"/>
          <w:lang w:val="en-US" w:eastAsia="zh-CN"/>
        </w:rPr>
        <w:t>缺乏人力资源或组织部门的审核盖章。由本单位领导签字，无人力资源</w:t>
      </w:r>
      <w:r>
        <w:rPr>
          <w:rFonts w:hint="eastAsia" w:ascii="仿宋" w:hAnsi="仿宋" w:eastAsia="仿宋" w:cs="仿宋"/>
          <w:b w:val="0"/>
          <w:bCs w:val="0"/>
          <w:sz w:val="32"/>
          <w:szCs w:val="32"/>
          <w:highlight w:val="none"/>
          <w:lang w:val="en-US" w:eastAsia="zh-CN"/>
        </w:rPr>
        <w:t>或组织部</w:t>
      </w:r>
      <w:r>
        <w:rPr>
          <w:rFonts w:hint="default" w:ascii="仿宋" w:hAnsi="仿宋" w:eastAsia="仿宋" w:cs="仿宋"/>
          <w:b w:val="0"/>
          <w:bCs w:val="0"/>
          <w:sz w:val="32"/>
          <w:szCs w:val="32"/>
          <w:highlight w:val="none"/>
          <w:lang w:val="en-US" w:eastAsia="zh-CN"/>
        </w:rPr>
        <w:t>审核。</w:t>
      </w:r>
      <w:r>
        <w:rPr>
          <w:rFonts w:hint="eastAsia" w:ascii="仿宋" w:hAnsi="仿宋" w:eastAsia="仿宋" w:cs="仿宋"/>
          <w:b/>
          <w:bCs/>
          <w:sz w:val="32"/>
          <w:szCs w:val="32"/>
          <w:highlight w:val="none"/>
          <w:lang w:val="en-US" w:eastAsia="zh-CN"/>
        </w:rPr>
        <w:t>四是</w:t>
      </w:r>
      <w:r>
        <w:rPr>
          <w:rFonts w:hint="default" w:ascii="仿宋" w:hAnsi="仿宋" w:eastAsia="仿宋" w:cs="仿宋"/>
          <w:b w:val="0"/>
          <w:bCs w:val="0"/>
          <w:sz w:val="32"/>
          <w:szCs w:val="32"/>
          <w:highlight w:val="none"/>
          <w:lang w:val="en-US" w:eastAsia="zh-CN"/>
        </w:rPr>
        <w:t>发放退休人员补贴由本单位领导签字，无人力资源审核</w:t>
      </w:r>
      <w:r>
        <w:rPr>
          <w:rFonts w:hint="eastAsia" w:ascii="仿宋" w:hAnsi="仿宋" w:eastAsia="仿宋" w:cs="仿宋"/>
          <w:b w:val="0"/>
          <w:bCs w:val="0"/>
          <w:sz w:val="32"/>
          <w:szCs w:val="32"/>
          <w:highlight w:val="none"/>
          <w:lang w:val="en-US" w:eastAsia="zh-CN"/>
        </w:rPr>
        <w:t>，无回单</w:t>
      </w:r>
      <w:r>
        <w:rPr>
          <w:rFonts w:hint="default"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五是</w:t>
      </w:r>
      <w:r>
        <w:rPr>
          <w:rFonts w:hint="eastAsia" w:ascii="仿宋" w:hAnsi="仿宋" w:eastAsia="仿宋" w:cs="仿宋"/>
          <w:b w:val="0"/>
          <w:bCs w:val="0"/>
          <w:sz w:val="32"/>
          <w:szCs w:val="32"/>
          <w:highlight w:val="none"/>
          <w:lang w:val="en-US" w:eastAsia="zh-CN"/>
        </w:rPr>
        <w:t>花名册未反映人员的动态管理过程。</w:t>
      </w:r>
      <w:r>
        <w:rPr>
          <w:rFonts w:hint="eastAsia" w:ascii="仿宋" w:hAnsi="仿宋" w:eastAsia="仿宋" w:cs="仿宋"/>
          <w:b/>
          <w:bCs/>
          <w:sz w:val="32"/>
          <w:szCs w:val="32"/>
          <w:highlight w:val="none"/>
          <w:lang w:val="en-US" w:eastAsia="zh-CN"/>
        </w:rPr>
        <w:t>六是</w:t>
      </w:r>
      <w:r>
        <w:rPr>
          <w:rFonts w:hint="eastAsia" w:ascii="仿宋" w:hAnsi="仿宋" w:eastAsia="仿宋" w:cs="仿宋"/>
          <w:b w:val="0"/>
          <w:bCs w:val="0"/>
          <w:sz w:val="32"/>
          <w:szCs w:val="32"/>
          <w:highlight w:val="none"/>
          <w:lang w:val="en-US" w:eastAsia="zh-CN"/>
        </w:rPr>
        <w:t>存在超编情况，且未提供王萍的借调协议，未对</w:t>
      </w:r>
      <w:r>
        <w:rPr>
          <w:rFonts w:hint="default" w:ascii="仿宋" w:hAnsi="仿宋" w:eastAsia="仿宋" w:cs="仿宋"/>
          <w:b w:val="0"/>
          <w:bCs w:val="0"/>
          <w:sz w:val="32"/>
          <w:szCs w:val="32"/>
          <w:highlight w:val="none"/>
          <w:lang w:val="en-US" w:eastAsia="zh-CN"/>
        </w:rPr>
        <w:t>关于“社会保险”、“费用承担”等条款</w:t>
      </w:r>
      <w:r>
        <w:rPr>
          <w:rFonts w:hint="eastAsia" w:ascii="仿宋" w:hAnsi="仿宋" w:eastAsia="仿宋" w:cs="仿宋"/>
          <w:b w:val="0"/>
          <w:bCs w:val="0"/>
          <w:sz w:val="32"/>
          <w:szCs w:val="32"/>
          <w:highlight w:val="none"/>
          <w:lang w:val="en-US" w:eastAsia="zh-CN"/>
        </w:rPr>
        <w:t>作出</w:t>
      </w:r>
      <w:r>
        <w:rPr>
          <w:rFonts w:hint="default" w:ascii="仿宋" w:hAnsi="仿宋" w:eastAsia="仿宋" w:cs="仿宋"/>
          <w:b w:val="0"/>
          <w:bCs w:val="0"/>
          <w:sz w:val="32"/>
          <w:szCs w:val="32"/>
          <w:highlight w:val="none"/>
          <w:lang w:val="en-US" w:eastAsia="zh-CN"/>
        </w:rPr>
        <w:t>明确约定。</w:t>
      </w:r>
      <w:r>
        <w:rPr>
          <w:rFonts w:hint="eastAsia" w:ascii="仿宋" w:hAnsi="仿宋" w:eastAsia="仿宋" w:cs="仿宋"/>
          <w:b w:val="0"/>
          <w:bCs w:val="0"/>
          <w:sz w:val="32"/>
          <w:szCs w:val="32"/>
          <w:highlight w:val="none"/>
          <w:lang w:val="en-US" w:eastAsia="zh-CN"/>
        </w:rPr>
        <w:t>王萍编制不在妇联，其统发工资及绩效未在区妇联发放，但津贴补贴、体检费、医保铺底在区妇联缴纳，在妇联的医保铺底，国库支付给雁峰区总工会工会经费专户。</w:t>
      </w:r>
      <w:r>
        <w:rPr>
          <w:rFonts w:hint="eastAsia" w:ascii="仿宋" w:hAnsi="仿宋" w:eastAsia="仿宋" w:cs="仿宋"/>
          <w:b/>
          <w:bCs/>
          <w:sz w:val="32"/>
          <w:szCs w:val="32"/>
          <w:highlight w:val="none"/>
          <w:lang w:val="en-US" w:eastAsia="zh-CN"/>
        </w:rPr>
        <w:t>七是</w:t>
      </w:r>
      <w:r>
        <w:rPr>
          <w:rFonts w:hint="eastAsia" w:ascii="仿宋" w:hAnsi="仿宋" w:eastAsia="仿宋" w:cs="仿宋"/>
          <w:b w:val="0"/>
          <w:bCs w:val="0"/>
          <w:sz w:val="32"/>
          <w:szCs w:val="32"/>
          <w:highlight w:val="none"/>
          <w:lang w:val="en-US" w:eastAsia="zh-CN"/>
        </w:rPr>
        <w:t>调入人员唐翠婷2024年7月调入，补缴住房公积金为2022.6-2024.4。该期间其并未在区妇联就职，但此期间的住房公积金在区妇联补缴。此公积金金额由原单位转入。就职该单位时间与住房公积金补缴时间不匹配。</w:t>
      </w:r>
    </w:p>
    <w:p w14:paraId="11FF4B9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7581"/>
      <w:r>
        <w:rPr>
          <w:rFonts w:hint="eastAsia" w:ascii="楷体" w:hAnsi="楷体" w:eastAsia="楷体" w:cs="楷体"/>
          <w:b/>
          <w:bCs/>
          <w:sz w:val="32"/>
          <w:szCs w:val="32"/>
          <w:lang w:val="en-US" w:eastAsia="zh-CN"/>
        </w:rPr>
        <w:t>项目支出管理情况及分析</w:t>
      </w:r>
      <w:bookmarkEnd w:id="34"/>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区妇联未提供项目管理制度，未提供政府采购管理制度。</w:t>
      </w:r>
    </w:p>
    <w:p w14:paraId="530EBA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1.项目支出内容</w:t>
      </w:r>
      <w:r>
        <w:rPr>
          <w:rFonts w:hint="eastAsia" w:ascii="仿宋" w:hAnsi="仿宋" w:eastAsia="仿宋" w:cs="仿宋"/>
          <w:sz w:val="32"/>
          <w:szCs w:val="32"/>
          <w:lang w:val="en-US" w:eastAsia="zh-CN"/>
        </w:rPr>
        <w:t>包括</w:t>
      </w:r>
      <w:r>
        <w:rPr>
          <w:rFonts w:hint="eastAsia" w:ascii="仿宋" w:hAnsi="仿宋" w:eastAsia="仿宋" w:cs="仿宋"/>
          <w:b w:val="0"/>
          <w:bCs w:val="0"/>
          <w:sz w:val="32"/>
          <w:szCs w:val="32"/>
          <w:lang w:val="en-US" w:eastAsia="zh-CN"/>
        </w:rPr>
        <w:t>出手吧姐姐2023关爱困境妇女儿童金、三八活动、2024两癌救助金、劳务费、家庭教育向阳花行动发放、520活动策划等。</w:t>
      </w:r>
    </w:p>
    <w:p w14:paraId="3219461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default" w:ascii="仿宋" w:hAnsi="仿宋" w:eastAsia="仿宋" w:cs="仿宋"/>
          <w:sz w:val="32"/>
          <w:szCs w:val="32"/>
          <w:lang w:val="en-US" w:eastAsia="zh-CN"/>
        </w:rPr>
      </w:pPr>
      <w:r>
        <w:drawing>
          <wp:inline distT="0" distB="0" distL="114300" distR="114300">
            <wp:extent cx="5857875" cy="1419225"/>
            <wp:effectExtent l="9525" t="9525" r="19050" b="19050"/>
            <wp:docPr id="13" name="图片 2"/>
            <wp:cNvGraphicFramePr/>
            <a:graphic xmlns:a="http://schemas.openxmlformats.org/drawingml/2006/main">
              <a:graphicData uri="http://schemas.openxmlformats.org/drawingml/2006/picture">
                <pic:pic xmlns:pic="http://schemas.openxmlformats.org/drawingml/2006/picture">
                  <pic:nvPicPr>
                    <pic:cNvPr id="13" name="图片 2"/>
                    <pic:cNvPicPr/>
                  </pic:nvPicPr>
                  <pic:blipFill>
                    <a:blip r:embed="rId26"/>
                  </pic:blipFill>
                  <pic:spPr>
                    <a:xfrm>
                      <a:off x="0" y="0"/>
                      <a:ext cx="5857875" cy="1419225"/>
                    </a:xfrm>
                    <a:prstGeom prst="rect">
                      <a:avLst/>
                    </a:prstGeom>
                    <a:solidFill>
                      <a:srgbClr val="FFFFFF"/>
                    </a:solidFill>
                    <a:ln w="9525">
                      <a:solidFill>
                        <a:srgbClr val="000000"/>
                      </a:solidFill>
                    </a:ln>
                  </pic:spPr>
                </pic:pic>
              </a:graphicData>
            </a:graphic>
          </wp:inline>
        </w:drawing>
      </w:r>
    </w:p>
    <w:p w14:paraId="5D989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2.检查凭证信息，存在以下情况：</w:t>
      </w:r>
    </w:p>
    <w:p w14:paraId="10CEBB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2024年2月2号凭证，支付出手吧姐姐2023关爱困境妇女儿童金1万元后附国库支付单、收据、方案、清单、慰问统计表及公示</w:t>
      </w:r>
      <w:r>
        <w:rPr>
          <w:rFonts w:hint="eastAsia" w:ascii="仿宋" w:hAnsi="仿宋" w:eastAsia="仿宋" w:cs="仿宋"/>
          <w:b/>
          <w:bCs/>
          <w:sz w:val="32"/>
          <w:szCs w:val="32"/>
          <w:lang w:val="en-US" w:eastAsia="zh-CN"/>
        </w:rPr>
        <w:t>未填写统计表上执行单位经手人及联系方式、执行单位证明人及联系方式。二是</w:t>
      </w:r>
      <w:r>
        <w:rPr>
          <w:rFonts w:hint="eastAsia" w:ascii="仿宋" w:hAnsi="仿宋" w:eastAsia="仿宋" w:cs="仿宋"/>
          <w:b w:val="0"/>
          <w:bCs w:val="0"/>
          <w:sz w:val="32"/>
          <w:szCs w:val="32"/>
          <w:lang w:val="en-US" w:eastAsia="zh-CN"/>
        </w:rPr>
        <w:t>2024年2月1号凭证，支付出手吧姐姐2023关爱困境妇女儿童金0.9万元直接打在雁峰区教育局账上或雁峰分局账上，</w:t>
      </w:r>
      <w:r>
        <w:rPr>
          <w:rFonts w:hint="eastAsia" w:ascii="仿宋" w:hAnsi="仿宋" w:eastAsia="仿宋" w:cs="仿宋"/>
          <w:b/>
          <w:bCs/>
          <w:sz w:val="32"/>
          <w:szCs w:val="32"/>
          <w:lang w:val="en-US" w:eastAsia="zh-CN"/>
        </w:rPr>
        <w:t>款项未直接打入帮扶个人账上。三是</w:t>
      </w:r>
      <w:r>
        <w:rPr>
          <w:rFonts w:hint="eastAsia" w:ascii="仿宋" w:hAnsi="仿宋" w:eastAsia="仿宋" w:cs="仿宋"/>
          <w:b w:val="0"/>
          <w:bCs w:val="0"/>
          <w:sz w:val="32"/>
          <w:szCs w:val="32"/>
          <w:lang w:val="en-US" w:eastAsia="zh-CN"/>
        </w:rPr>
        <w:t>项目支出后附三重一大开会记录，但财务管理制度</w:t>
      </w:r>
      <w:r>
        <w:rPr>
          <w:rFonts w:hint="eastAsia" w:ascii="仿宋" w:hAnsi="仿宋" w:eastAsia="仿宋" w:cs="仿宋"/>
          <w:b/>
          <w:bCs/>
          <w:sz w:val="32"/>
          <w:szCs w:val="32"/>
          <w:lang w:val="en-US" w:eastAsia="zh-CN"/>
        </w:rPr>
        <w:t>未明确规定三重一大的最低金额。</w:t>
      </w:r>
    </w:p>
    <w:p w14:paraId="568AA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3.项目支出取得效益</w:t>
      </w:r>
    </w:p>
    <w:p w14:paraId="1DCEA474">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kern w:val="0"/>
          <w:sz w:val="32"/>
          <w:szCs w:val="32"/>
          <w:lang w:val="en-US" w:eastAsia="zh-CN" w:bidi="ar"/>
        </w:rPr>
        <w:t>项目支出有效支撑了困境群体的及时救助，保障了妇女健康的关键防线，促进了家庭教育的广泛普及，激发了典型模范的引领力量，营造了关爱妇儿的社会氛围。</w:t>
      </w:r>
    </w:p>
    <w:p w14:paraId="2D3AD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15262"/>
      <w:r>
        <w:rPr>
          <w:rFonts w:hint="eastAsia" w:ascii="仿宋" w:hAnsi="仿宋" w:eastAsia="仿宋" w:cs="仿宋"/>
          <w:b/>
          <w:bCs/>
          <w:sz w:val="32"/>
          <w:szCs w:val="32"/>
          <w:highlight w:val="none"/>
          <w:lang w:val="en-US" w:eastAsia="zh-CN"/>
        </w:rPr>
        <w:t>（七）</w:t>
      </w:r>
      <w:r>
        <w:rPr>
          <w:rFonts w:hint="eastAsia" w:ascii="楷体" w:hAnsi="楷体" w:eastAsia="楷体" w:cs="楷体"/>
          <w:b/>
          <w:bCs/>
          <w:sz w:val="32"/>
          <w:szCs w:val="32"/>
          <w:highlight w:val="none"/>
          <w:lang w:val="en-US" w:eastAsia="zh-CN"/>
        </w:rPr>
        <w:t>固定资产管理情况及分析</w:t>
      </w:r>
      <w:bookmarkEnd w:id="35"/>
    </w:p>
    <w:p w14:paraId="0B5938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存在记账凭证号待完善,部分固定资产的管理部门为临时部门，管理人为临时人员。详情见下：</w:t>
      </w:r>
    </w:p>
    <w:p w14:paraId="27D93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1.固定资产2024年原值及折旧变动情况（金额：元）</w:t>
      </w:r>
    </w:p>
    <w:tbl>
      <w:tblPr>
        <w:tblStyle w:val="14"/>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8"/>
        <w:gridCol w:w="1758"/>
        <w:gridCol w:w="1758"/>
        <w:gridCol w:w="1758"/>
        <w:gridCol w:w="1758"/>
      </w:tblGrid>
      <w:tr w14:paraId="3756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58" w:type="dxa"/>
            <w:tcBorders>
              <w:top w:val="single" w:color="5B9BD5" w:sz="4" w:space="0"/>
              <w:left w:val="single" w:color="5B9BD5" w:sz="4" w:space="0"/>
              <w:bottom w:val="single" w:color="5B9BD5" w:sz="8" w:space="0"/>
              <w:right w:val="single" w:color="9BC2E6" w:sz="4" w:space="0"/>
            </w:tcBorders>
            <w:shd w:val="clear" w:color="auto" w:fill="auto"/>
            <w:vAlign w:val="center"/>
          </w:tcPr>
          <w:p w14:paraId="2443D08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758" w:type="dxa"/>
            <w:tcBorders>
              <w:top w:val="single" w:color="5B9BD5" w:sz="4" w:space="0"/>
              <w:left w:val="single" w:color="9BC2E6" w:sz="4" w:space="0"/>
              <w:bottom w:val="single" w:color="5B9BD5" w:sz="8" w:space="0"/>
              <w:right w:val="single" w:color="9BC2E6" w:sz="4" w:space="0"/>
            </w:tcBorders>
            <w:shd w:val="clear" w:color="auto" w:fill="auto"/>
            <w:noWrap/>
            <w:vAlign w:val="center"/>
          </w:tcPr>
          <w:p w14:paraId="18ECA6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1758" w:type="dxa"/>
            <w:tcBorders>
              <w:top w:val="single" w:color="5B9BD5" w:sz="4" w:space="0"/>
              <w:left w:val="single" w:color="9BC2E6" w:sz="4" w:space="0"/>
              <w:bottom w:val="single" w:color="5B9BD5" w:sz="8" w:space="0"/>
              <w:right w:val="single" w:color="9BC2E6" w:sz="4" w:space="0"/>
            </w:tcBorders>
            <w:shd w:val="clear" w:color="auto" w:fill="auto"/>
            <w:noWrap/>
            <w:vAlign w:val="center"/>
          </w:tcPr>
          <w:p w14:paraId="24B42E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1758" w:type="dxa"/>
            <w:tcBorders>
              <w:top w:val="single" w:color="5B9BD5" w:sz="4" w:space="0"/>
              <w:left w:val="single" w:color="9BC2E6" w:sz="4" w:space="0"/>
              <w:bottom w:val="single" w:color="5B9BD5" w:sz="8" w:space="0"/>
              <w:right w:val="single" w:color="9BC2E6" w:sz="4" w:space="0"/>
            </w:tcBorders>
            <w:shd w:val="clear" w:color="auto" w:fill="auto"/>
            <w:noWrap/>
            <w:vAlign w:val="center"/>
          </w:tcPr>
          <w:p w14:paraId="465C9A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1758" w:type="dxa"/>
            <w:tcBorders>
              <w:top w:val="single" w:color="5B9BD5" w:sz="4" w:space="0"/>
              <w:left w:val="single" w:color="9BC2E6" w:sz="4" w:space="0"/>
              <w:bottom w:val="single" w:color="5B9BD5" w:sz="8" w:space="0"/>
              <w:right w:val="single" w:color="5B9BD5" w:sz="4" w:space="0"/>
            </w:tcBorders>
            <w:shd w:val="clear" w:color="auto" w:fill="auto"/>
            <w:noWrap/>
            <w:vAlign w:val="center"/>
          </w:tcPr>
          <w:p w14:paraId="37E233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534F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8" w:type="dxa"/>
            <w:tcBorders>
              <w:top w:val="single" w:color="5B9BD5" w:sz="8" w:space="0"/>
              <w:left w:val="single" w:color="5B9BD5" w:sz="4" w:space="0"/>
              <w:bottom w:val="single" w:color="9BC2E6" w:sz="4" w:space="0"/>
              <w:right w:val="single" w:color="9BC2E6" w:sz="4" w:space="0"/>
            </w:tcBorders>
            <w:shd w:val="clear" w:color="DDEBF7" w:fill="DDEBF7"/>
            <w:vAlign w:val="center"/>
          </w:tcPr>
          <w:p w14:paraId="62620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固定资产原值</w:t>
            </w:r>
          </w:p>
        </w:tc>
        <w:tc>
          <w:tcPr>
            <w:tcW w:w="0" w:type="auto"/>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325A601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35,858.00</w:t>
            </w:r>
          </w:p>
        </w:tc>
        <w:tc>
          <w:tcPr>
            <w:tcW w:w="0" w:type="auto"/>
            <w:tcBorders>
              <w:top w:val="single" w:color="5B9BD5" w:sz="8" w:space="0"/>
              <w:left w:val="single" w:color="9BC2E6" w:sz="4" w:space="0"/>
              <w:bottom w:val="single" w:color="9BC2E6" w:sz="4" w:space="0"/>
              <w:right w:val="single" w:color="9BC2E6" w:sz="4" w:space="0"/>
            </w:tcBorders>
            <w:shd w:val="clear" w:color="DDEBF7" w:fill="DDEBF7"/>
            <w:noWrap/>
            <w:vAlign w:val="center"/>
          </w:tcPr>
          <w:p w14:paraId="6261068E">
            <w:pPr>
              <w:jc w:val="center"/>
              <w:rPr>
                <w:rFonts w:hint="eastAsia" w:ascii="宋体" w:hAnsi="宋体" w:eastAsia="宋体" w:cs="宋体"/>
                <w:i w:val="0"/>
                <w:iCs w:val="0"/>
                <w:color w:val="000000"/>
                <w:sz w:val="24"/>
                <w:szCs w:val="24"/>
                <w:u w:val="none"/>
              </w:rPr>
            </w:pPr>
          </w:p>
        </w:tc>
        <w:tc>
          <w:tcPr>
            <w:tcW w:w="0" w:type="auto"/>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36B9E7D4">
            <w:pPr>
              <w:jc w:val="center"/>
              <w:rPr>
                <w:rFonts w:hint="eastAsia" w:ascii="宋体" w:hAnsi="宋体" w:eastAsia="宋体" w:cs="宋体"/>
                <w:i w:val="0"/>
                <w:iCs w:val="0"/>
                <w:color w:val="000000"/>
                <w:sz w:val="24"/>
                <w:szCs w:val="24"/>
                <w:u w:val="none"/>
              </w:rPr>
            </w:pPr>
          </w:p>
        </w:tc>
        <w:tc>
          <w:tcPr>
            <w:tcW w:w="0" w:type="auto"/>
            <w:tcBorders>
              <w:top w:val="single" w:color="5B9BD5" w:sz="8" w:space="0"/>
              <w:left w:val="single" w:color="9BC2E6" w:sz="4" w:space="0"/>
              <w:bottom w:val="single" w:color="9BC2E6" w:sz="4" w:space="0"/>
              <w:right w:val="single" w:color="5B9BD5" w:sz="4" w:space="0"/>
            </w:tcBorders>
            <w:shd w:val="clear" w:color="DDEBF7" w:fill="DDEBF7"/>
            <w:noWrap/>
            <w:vAlign w:val="bottom"/>
          </w:tcPr>
          <w:p w14:paraId="3B0BD55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35,858.00</w:t>
            </w:r>
          </w:p>
        </w:tc>
      </w:tr>
      <w:tr w14:paraId="548B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8" w:type="dxa"/>
            <w:tcBorders>
              <w:top w:val="single" w:color="9BC2E6" w:sz="4" w:space="0"/>
              <w:left w:val="single" w:color="5B9BD5" w:sz="4" w:space="0"/>
              <w:bottom w:val="single" w:color="9BC2E6" w:sz="4" w:space="0"/>
              <w:right w:val="single" w:color="9BC2E6" w:sz="4" w:space="0"/>
            </w:tcBorders>
            <w:shd w:val="clear" w:color="auto" w:fill="auto"/>
            <w:vAlign w:val="center"/>
          </w:tcPr>
          <w:p w14:paraId="4658E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累计折旧</w:t>
            </w:r>
          </w:p>
        </w:tc>
        <w:tc>
          <w:tcPr>
            <w:tcW w:w="0" w:type="auto"/>
            <w:tcBorders>
              <w:top w:val="single" w:color="9BC2E6" w:sz="4" w:space="0"/>
              <w:left w:val="single" w:color="9BC2E6" w:sz="4" w:space="0"/>
              <w:bottom w:val="single" w:color="9BC2E6" w:sz="4" w:space="0"/>
              <w:right w:val="single" w:color="9BC2E6" w:sz="4" w:space="0"/>
            </w:tcBorders>
            <w:shd w:val="clear" w:color="auto" w:fill="auto"/>
            <w:noWrap/>
            <w:vAlign w:val="bottom"/>
          </w:tcPr>
          <w:p w14:paraId="08C47B9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29,925.82</w:t>
            </w:r>
          </w:p>
        </w:tc>
        <w:tc>
          <w:tcPr>
            <w:tcW w:w="0" w:type="auto"/>
            <w:tcBorders>
              <w:top w:val="single" w:color="9BC2E6" w:sz="4" w:space="0"/>
              <w:left w:val="single" w:color="9BC2E6" w:sz="4" w:space="0"/>
              <w:bottom w:val="single" w:color="9BC2E6" w:sz="4" w:space="0"/>
              <w:right w:val="single" w:color="9BC2E6" w:sz="4" w:space="0"/>
            </w:tcBorders>
            <w:shd w:val="clear" w:color="auto" w:fill="auto"/>
            <w:noWrap/>
            <w:vAlign w:val="bottom"/>
          </w:tcPr>
          <w:p w14:paraId="058246E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1333.92</w:t>
            </w:r>
          </w:p>
        </w:tc>
        <w:tc>
          <w:tcPr>
            <w:tcW w:w="0" w:type="auto"/>
            <w:tcBorders>
              <w:top w:val="single" w:color="9BC2E6" w:sz="4" w:space="0"/>
              <w:left w:val="single" w:color="9BC2E6" w:sz="4" w:space="0"/>
              <w:bottom w:val="single" w:color="9BC2E6" w:sz="4" w:space="0"/>
              <w:right w:val="single" w:color="9BC2E6" w:sz="4" w:space="0"/>
            </w:tcBorders>
            <w:shd w:val="clear" w:color="auto" w:fill="auto"/>
            <w:noWrap/>
            <w:vAlign w:val="bottom"/>
          </w:tcPr>
          <w:p w14:paraId="6BBC5482">
            <w:pPr>
              <w:jc w:val="center"/>
              <w:rPr>
                <w:rFonts w:hint="eastAsia" w:ascii="宋体" w:hAnsi="宋体" w:eastAsia="宋体" w:cs="宋体"/>
                <w:i w:val="0"/>
                <w:iCs w:val="0"/>
                <w:color w:val="000000"/>
                <w:sz w:val="24"/>
                <w:szCs w:val="24"/>
                <w:u w:val="none"/>
              </w:rPr>
            </w:pPr>
          </w:p>
        </w:tc>
        <w:tc>
          <w:tcPr>
            <w:tcW w:w="0" w:type="auto"/>
            <w:tcBorders>
              <w:top w:val="single" w:color="9BC2E6" w:sz="4" w:space="0"/>
              <w:left w:val="single" w:color="9BC2E6" w:sz="4" w:space="0"/>
              <w:bottom w:val="single" w:color="9BC2E6" w:sz="4" w:space="0"/>
              <w:right w:val="single" w:color="5B9BD5" w:sz="4" w:space="0"/>
            </w:tcBorders>
            <w:shd w:val="clear" w:color="auto" w:fill="auto"/>
            <w:noWrap/>
            <w:vAlign w:val="bottom"/>
          </w:tcPr>
          <w:p w14:paraId="5AD0DA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31,259.74</w:t>
            </w:r>
          </w:p>
        </w:tc>
      </w:tr>
      <w:tr w14:paraId="1C5C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8" w:type="dxa"/>
            <w:tcBorders>
              <w:top w:val="single" w:color="9BC2E6" w:sz="4" w:space="0"/>
              <w:left w:val="single" w:color="5B9BD5" w:sz="4" w:space="0"/>
              <w:bottom w:val="single" w:color="5B9BD5" w:sz="4" w:space="0"/>
              <w:right w:val="single" w:color="9BC2E6" w:sz="4" w:space="0"/>
            </w:tcBorders>
            <w:shd w:val="clear" w:color="DDEBF7" w:fill="DDEBF7"/>
            <w:vAlign w:val="center"/>
          </w:tcPr>
          <w:p w14:paraId="0009C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固定资产净值</w:t>
            </w:r>
          </w:p>
        </w:tc>
        <w:tc>
          <w:tcPr>
            <w:tcW w:w="0" w:type="auto"/>
            <w:tcBorders>
              <w:top w:val="single" w:color="9BC2E6" w:sz="4" w:space="0"/>
              <w:left w:val="single" w:color="9BC2E6" w:sz="4" w:space="0"/>
              <w:bottom w:val="single" w:color="5B9BD5" w:sz="4" w:space="0"/>
              <w:right w:val="single" w:color="9BC2E6" w:sz="4" w:space="0"/>
            </w:tcBorders>
            <w:shd w:val="clear" w:color="DDEBF7" w:fill="DDEBF7"/>
            <w:noWrap/>
            <w:vAlign w:val="bottom"/>
          </w:tcPr>
          <w:p w14:paraId="1BC327C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5,932.18</w:t>
            </w:r>
          </w:p>
        </w:tc>
        <w:tc>
          <w:tcPr>
            <w:tcW w:w="0" w:type="auto"/>
            <w:tcBorders>
              <w:top w:val="single" w:color="9BC2E6" w:sz="4" w:space="0"/>
              <w:left w:val="single" w:color="9BC2E6" w:sz="4" w:space="0"/>
              <w:bottom w:val="single" w:color="5B9BD5" w:sz="4" w:space="0"/>
              <w:right w:val="single" w:color="9BC2E6" w:sz="4" w:space="0"/>
            </w:tcBorders>
            <w:shd w:val="clear" w:color="DDEBF7" w:fill="DDEBF7"/>
            <w:noWrap/>
            <w:vAlign w:val="bottom"/>
          </w:tcPr>
          <w:p w14:paraId="063EA0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-1333.92</w:t>
            </w:r>
          </w:p>
        </w:tc>
        <w:tc>
          <w:tcPr>
            <w:tcW w:w="0" w:type="auto"/>
            <w:tcBorders>
              <w:top w:val="single" w:color="9BC2E6" w:sz="4" w:space="0"/>
              <w:left w:val="single" w:color="9BC2E6" w:sz="4" w:space="0"/>
              <w:bottom w:val="single" w:color="5B9BD5" w:sz="4" w:space="0"/>
              <w:right w:val="single" w:color="9BC2E6" w:sz="4" w:space="0"/>
            </w:tcBorders>
            <w:shd w:val="clear" w:color="DDEBF7" w:fill="DDEBF7"/>
            <w:noWrap/>
            <w:vAlign w:val="bottom"/>
          </w:tcPr>
          <w:p w14:paraId="022375C7">
            <w:pPr>
              <w:jc w:val="center"/>
              <w:rPr>
                <w:rFonts w:hint="eastAsia" w:ascii="宋体" w:hAnsi="宋体" w:eastAsia="宋体" w:cs="宋体"/>
                <w:i w:val="0"/>
                <w:iCs w:val="0"/>
                <w:color w:val="000000"/>
                <w:sz w:val="24"/>
                <w:szCs w:val="24"/>
                <w:u w:val="none"/>
              </w:rPr>
            </w:pPr>
          </w:p>
        </w:tc>
        <w:tc>
          <w:tcPr>
            <w:tcW w:w="0" w:type="auto"/>
            <w:tcBorders>
              <w:top w:val="single" w:color="9BC2E6" w:sz="4" w:space="0"/>
              <w:left w:val="single" w:color="9BC2E6" w:sz="4" w:space="0"/>
              <w:bottom w:val="single" w:color="5B9BD5" w:sz="4" w:space="0"/>
              <w:right w:val="single" w:color="5B9BD5" w:sz="4" w:space="0"/>
            </w:tcBorders>
            <w:shd w:val="clear" w:color="DDEBF7" w:fill="DDEBF7"/>
            <w:noWrap/>
            <w:vAlign w:val="bottom"/>
          </w:tcPr>
          <w:p w14:paraId="303127F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4,598.26</w:t>
            </w:r>
          </w:p>
        </w:tc>
      </w:tr>
    </w:tbl>
    <w:p w14:paraId="19FF5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2.固定资产明细（金额：元）</w:t>
      </w:r>
    </w:p>
    <w:tbl>
      <w:tblPr>
        <w:tblStyle w:val="14"/>
        <w:tblW w:w="6385" w:type="pct"/>
        <w:tblInd w:w="-9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840"/>
        <w:gridCol w:w="660"/>
        <w:gridCol w:w="615"/>
        <w:gridCol w:w="540"/>
        <w:gridCol w:w="720"/>
        <w:gridCol w:w="1380"/>
        <w:gridCol w:w="1410"/>
        <w:gridCol w:w="1215"/>
        <w:gridCol w:w="600"/>
        <w:gridCol w:w="510"/>
        <w:gridCol w:w="735"/>
        <w:gridCol w:w="735"/>
      </w:tblGrid>
      <w:tr w14:paraId="0AD1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0" w:type="pct"/>
            <w:tcBorders>
              <w:top w:val="single" w:color="5B9BD5" w:sz="4" w:space="0"/>
              <w:left w:val="single" w:color="5B9BD5" w:sz="4" w:space="0"/>
              <w:bottom w:val="single" w:color="5B9BD5" w:sz="8" w:space="0"/>
              <w:right w:val="single" w:color="9BC2E6" w:sz="4" w:space="0"/>
            </w:tcBorders>
            <w:shd w:val="clear" w:color="auto" w:fill="auto"/>
            <w:vAlign w:val="center"/>
          </w:tcPr>
          <w:p w14:paraId="1BAF06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资产编号</w:t>
            </w:r>
          </w:p>
        </w:tc>
        <w:tc>
          <w:tcPr>
            <w:tcW w:w="386" w:type="pct"/>
            <w:tcBorders>
              <w:top w:val="single" w:color="5B9BD5" w:sz="4" w:space="0"/>
              <w:left w:val="single" w:color="9BC2E6" w:sz="4" w:space="0"/>
              <w:bottom w:val="single" w:color="5B9BD5" w:sz="8" w:space="0"/>
              <w:right w:val="single" w:color="9BC2E6" w:sz="4" w:space="0"/>
            </w:tcBorders>
            <w:shd w:val="clear" w:color="auto" w:fill="auto"/>
            <w:vAlign w:val="center"/>
          </w:tcPr>
          <w:p w14:paraId="7050CC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资产名称</w:t>
            </w:r>
          </w:p>
        </w:tc>
        <w:tc>
          <w:tcPr>
            <w:tcW w:w="303" w:type="pct"/>
            <w:tcBorders>
              <w:top w:val="single" w:color="5B9BD5" w:sz="4" w:space="0"/>
              <w:left w:val="single" w:color="9BC2E6" w:sz="4" w:space="0"/>
              <w:bottom w:val="single" w:color="5B9BD5" w:sz="8" w:space="0"/>
              <w:right w:val="single" w:color="9BC2E6" w:sz="4" w:space="0"/>
            </w:tcBorders>
            <w:shd w:val="clear" w:color="auto" w:fill="auto"/>
            <w:vAlign w:val="center"/>
          </w:tcPr>
          <w:p w14:paraId="55C9BB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资产分类</w:t>
            </w:r>
          </w:p>
        </w:tc>
        <w:tc>
          <w:tcPr>
            <w:tcW w:w="282" w:type="pct"/>
            <w:tcBorders>
              <w:top w:val="single" w:color="5B9BD5" w:sz="4" w:space="0"/>
              <w:left w:val="single" w:color="9BC2E6" w:sz="4" w:space="0"/>
              <w:bottom w:val="single" w:color="5B9BD5" w:sz="8" w:space="0"/>
              <w:right w:val="single" w:color="9BC2E6" w:sz="4" w:space="0"/>
            </w:tcBorders>
            <w:shd w:val="clear" w:color="auto" w:fill="auto"/>
            <w:vAlign w:val="center"/>
          </w:tcPr>
          <w:p w14:paraId="4B9E47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48" w:type="pct"/>
            <w:tcBorders>
              <w:top w:val="single" w:color="5B9BD5" w:sz="4" w:space="0"/>
              <w:left w:val="single" w:color="9BC2E6" w:sz="4" w:space="0"/>
              <w:bottom w:val="single" w:color="5B9BD5" w:sz="8" w:space="0"/>
              <w:right w:val="single" w:color="9BC2E6" w:sz="4" w:space="0"/>
            </w:tcBorders>
            <w:shd w:val="clear" w:color="auto" w:fill="auto"/>
            <w:vAlign w:val="center"/>
          </w:tcPr>
          <w:p w14:paraId="665A6D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取得方式</w:t>
            </w:r>
          </w:p>
        </w:tc>
        <w:tc>
          <w:tcPr>
            <w:tcW w:w="331" w:type="pct"/>
            <w:tcBorders>
              <w:top w:val="single" w:color="5B9BD5" w:sz="4" w:space="0"/>
              <w:left w:val="single" w:color="9BC2E6" w:sz="4" w:space="0"/>
              <w:bottom w:val="single" w:color="5B9BD5" w:sz="8" w:space="0"/>
              <w:right w:val="single" w:color="9BC2E6" w:sz="4" w:space="0"/>
            </w:tcBorders>
            <w:shd w:val="clear" w:color="auto" w:fill="auto"/>
            <w:vAlign w:val="center"/>
          </w:tcPr>
          <w:p w14:paraId="2FD08B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记账凭证号</w:t>
            </w:r>
          </w:p>
        </w:tc>
        <w:tc>
          <w:tcPr>
            <w:tcW w:w="634" w:type="pct"/>
            <w:tcBorders>
              <w:top w:val="single" w:color="5B9BD5" w:sz="4" w:space="0"/>
              <w:left w:val="single" w:color="9BC2E6" w:sz="4" w:space="0"/>
              <w:bottom w:val="single" w:color="5B9BD5" w:sz="8" w:space="0"/>
              <w:right w:val="single" w:color="9BC2E6" w:sz="4" w:space="0"/>
            </w:tcBorders>
            <w:shd w:val="clear" w:color="auto" w:fill="auto"/>
            <w:vAlign w:val="center"/>
          </w:tcPr>
          <w:p w14:paraId="026A9C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资产原值(元)</w:t>
            </w:r>
          </w:p>
        </w:tc>
        <w:tc>
          <w:tcPr>
            <w:tcW w:w="648" w:type="pct"/>
            <w:tcBorders>
              <w:top w:val="single" w:color="5B9BD5" w:sz="4" w:space="0"/>
              <w:left w:val="single" w:color="9BC2E6" w:sz="4" w:space="0"/>
              <w:bottom w:val="single" w:color="5B9BD5" w:sz="8" w:space="0"/>
              <w:right w:val="single" w:color="9BC2E6" w:sz="4" w:space="0"/>
            </w:tcBorders>
            <w:shd w:val="clear" w:color="auto" w:fill="auto"/>
            <w:vAlign w:val="center"/>
          </w:tcPr>
          <w:p w14:paraId="1B6337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累计折旧/摊销(元)</w:t>
            </w:r>
          </w:p>
        </w:tc>
        <w:tc>
          <w:tcPr>
            <w:tcW w:w="558" w:type="pct"/>
            <w:tcBorders>
              <w:top w:val="single" w:color="5B9BD5" w:sz="4" w:space="0"/>
              <w:left w:val="single" w:color="9BC2E6" w:sz="4" w:space="0"/>
              <w:bottom w:val="single" w:color="5B9BD5" w:sz="8" w:space="0"/>
              <w:right w:val="single" w:color="9BC2E6" w:sz="4" w:space="0"/>
            </w:tcBorders>
            <w:shd w:val="clear" w:color="auto" w:fill="auto"/>
            <w:vAlign w:val="center"/>
          </w:tcPr>
          <w:p w14:paraId="050D79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净值（元）</w:t>
            </w:r>
          </w:p>
        </w:tc>
        <w:tc>
          <w:tcPr>
            <w:tcW w:w="275" w:type="pct"/>
            <w:tcBorders>
              <w:top w:val="single" w:color="5B9BD5" w:sz="4" w:space="0"/>
              <w:left w:val="single" w:color="9BC2E6" w:sz="4" w:space="0"/>
              <w:bottom w:val="single" w:color="5B9BD5" w:sz="8" w:space="0"/>
              <w:right w:val="single" w:color="9BC2E6" w:sz="4" w:space="0"/>
            </w:tcBorders>
            <w:shd w:val="clear" w:color="auto" w:fill="auto"/>
            <w:vAlign w:val="center"/>
          </w:tcPr>
          <w:p w14:paraId="79F8C06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资产状态</w:t>
            </w:r>
          </w:p>
        </w:tc>
        <w:tc>
          <w:tcPr>
            <w:tcW w:w="234" w:type="pct"/>
            <w:tcBorders>
              <w:top w:val="single" w:color="5B9BD5" w:sz="4" w:space="0"/>
              <w:left w:val="single" w:color="9BC2E6" w:sz="4" w:space="0"/>
              <w:bottom w:val="single" w:color="5B9BD5" w:sz="8" w:space="0"/>
              <w:right w:val="single" w:color="9BC2E6" w:sz="4" w:space="0"/>
            </w:tcBorders>
            <w:shd w:val="clear" w:color="auto" w:fill="auto"/>
            <w:vAlign w:val="center"/>
          </w:tcPr>
          <w:p w14:paraId="4015FB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管理部门</w:t>
            </w:r>
          </w:p>
        </w:tc>
        <w:tc>
          <w:tcPr>
            <w:tcW w:w="337" w:type="pct"/>
            <w:tcBorders>
              <w:top w:val="single" w:color="5B9BD5" w:sz="4" w:space="0"/>
              <w:left w:val="single" w:color="9BC2E6" w:sz="4" w:space="0"/>
              <w:bottom w:val="single" w:color="5B9BD5" w:sz="8" w:space="0"/>
              <w:right w:val="single" w:color="9BC2E6" w:sz="4" w:space="0"/>
            </w:tcBorders>
            <w:shd w:val="clear" w:color="auto" w:fill="auto"/>
            <w:vAlign w:val="center"/>
          </w:tcPr>
          <w:p w14:paraId="19DBBF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管理人</w:t>
            </w:r>
          </w:p>
        </w:tc>
        <w:tc>
          <w:tcPr>
            <w:tcW w:w="337" w:type="pct"/>
            <w:tcBorders>
              <w:top w:val="single" w:color="5B9BD5" w:sz="4" w:space="0"/>
              <w:left w:val="single" w:color="9BC2E6" w:sz="4" w:space="0"/>
              <w:bottom w:val="single" w:color="5B9BD5" w:sz="8" w:space="0"/>
              <w:right w:val="single" w:color="5B9BD5" w:sz="4" w:space="0"/>
            </w:tcBorders>
            <w:shd w:val="clear" w:color="auto" w:fill="auto"/>
            <w:vAlign w:val="center"/>
          </w:tcPr>
          <w:p w14:paraId="76F360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使用部门</w:t>
            </w:r>
          </w:p>
        </w:tc>
      </w:tr>
      <w:tr w14:paraId="01D6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0" w:type="pct"/>
            <w:tcBorders>
              <w:top w:val="single" w:color="5B9BD5" w:sz="8" w:space="0"/>
              <w:left w:val="single" w:color="5B9BD5" w:sz="4" w:space="0"/>
              <w:bottom w:val="single" w:color="9BC2E6" w:sz="4" w:space="0"/>
              <w:right w:val="single" w:color="9BC2E6" w:sz="4" w:space="0"/>
            </w:tcBorders>
            <w:shd w:val="clear" w:color="DDEBF7" w:fill="DDEBF7"/>
            <w:noWrap/>
            <w:vAlign w:val="bottom"/>
          </w:tcPr>
          <w:p w14:paraId="496DAF0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TY2021000001</w:t>
            </w:r>
          </w:p>
        </w:tc>
        <w:tc>
          <w:tcPr>
            <w:tcW w:w="386"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1A958C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联想台式电脑</w:t>
            </w:r>
          </w:p>
        </w:tc>
        <w:tc>
          <w:tcPr>
            <w:tcW w:w="303"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0CE5CF3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台式计算机</w:t>
            </w:r>
          </w:p>
        </w:tc>
        <w:tc>
          <w:tcPr>
            <w:tcW w:w="282"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7B9494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8"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01AD79B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新购</w:t>
            </w:r>
          </w:p>
        </w:tc>
        <w:tc>
          <w:tcPr>
            <w:tcW w:w="331"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64B5CF3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2012/12/4#</w:t>
            </w:r>
          </w:p>
        </w:tc>
        <w:tc>
          <w:tcPr>
            <w:tcW w:w="634"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1C97BD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3,860.00 </w:t>
            </w:r>
          </w:p>
        </w:tc>
        <w:tc>
          <w:tcPr>
            <w:tcW w:w="648"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58EC58E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1,983.57</w:t>
            </w:r>
          </w:p>
        </w:tc>
        <w:tc>
          <w:tcPr>
            <w:tcW w:w="558"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3C2003F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1,876.43</w:t>
            </w:r>
          </w:p>
        </w:tc>
        <w:tc>
          <w:tcPr>
            <w:tcW w:w="275"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0B02936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在用</w:t>
            </w:r>
          </w:p>
        </w:tc>
        <w:tc>
          <w:tcPr>
            <w:tcW w:w="234"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5954DBA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c>
          <w:tcPr>
            <w:tcW w:w="337" w:type="pct"/>
            <w:tcBorders>
              <w:top w:val="single" w:color="5B9BD5" w:sz="8" w:space="0"/>
              <w:left w:val="single" w:color="9BC2E6" w:sz="4" w:space="0"/>
              <w:bottom w:val="single" w:color="9BC2E6" w:sz="4" w:space="0"/>
              <w:right w:val="single" w:color="9BC2E6" w:sz="4" w:space="0"/>
            </w:tcBorders>
            <w:shd w:val="clear" w:color="DDEBF7" w:fill="DDEBF7"/>
            <w:noWrap/>
            <w:vAlign w:val="bottom"/>
          </w:tcPr>
          <w:p w14:paraId="166A36E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临时人员</w:t>
            </w:r>
          </w:p>
        </w:tc>
        <w:tc>
          <w:tcPr>
            <w:tcW w:w="337" w:type="pct"/>
            <w:tcBorders>
              <w:top w:val="single" w:color="5B9BD5" w:sz="8" w:space="0"/>
              <w:left w:val="single" w:color="9BC2E6" w:sz="4" w:space="0"/>
              <w:bottom w:val="single" w:color="9BC2E6" w:sz="4" w:space="0"/>
              <w:right w:val="single" w:color="5B9BD5" w:sz="4" w:space="0"/>
            </w:tcBorders>
            <w:shd w:val="clear" w:color="DDEBF7" w:fill="DDEBF7"/>
            <w:noWrap/>
            <w:vAlign w:val="bottom"/>
          </w:tcPr>
          <w:p w14:paraId="38E18D9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r>
      <w:tr w14:paraId="0FF9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0" w:type="pct"/>
            <w:tcBorders>
              <w:top w:val="single" w:color="9BC2E6" w:sz="4" w:space="0"/>
              <w:left w:val="single" w:color="5B9BD5" w:sz="4" w:space="0"/>
              <w:bottom w:val="single" w:color="9BC2E6" w:sz="4" w:space="0"/>
              <w:right w:val="single" w:color="9BC2E6" w:sz="4" w:space="0"/>
            </w:tcBorders>
            <w:shd w:val="clear" w:color="auto" w:fill="auto"/>
            <w:noWrap/>
            <w:vAlign w:val="bottom"/>
          </w:tcPr>
          <w:p w14:paraId="3CB8E7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TY2020000001</w:t>
            </w:r>
          </w:p>
        </w:tc>
        <w:tc>
          <w:tcPr>
            <w:tcW w:w="386"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54903DA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HP打印机</w:t>
            </w:r>
          </w:p>
        </w:tc>
        <w:tc>
          <w:tcPr>
            <w:tcW w:w="303"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55A8F08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多功能一体机</w:t>
            </w:r>
          </w:p>
        </w:tc>
        <w:tc>
          <w:tcPr>
            <w:tcW w:w="282"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27E7B8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8"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34FB7AF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新购</w:t>
            </w:r>
          </w:p>
        </w:tc>
        <w:tc>
          <w:tcPr>
            <w:tcW w:w="331"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693D1B9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2020/11/3#</w:t>
            </w:r>
          </w:p>
        </w:tc>
        <w:tc>
          <w:tcPr>
            <w:tcW w:w="634"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45B4CFD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3,200.00 </w:t>
            </w:r>
          </w:p>
        </w:tc>
        <w:tc>
          <w:tcPr>
            <w:tcW w:w="648"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0EF92F4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2,222.00</w:t>
            </w:r>
          </w:p>
        </w:tc>
        <w:tc>
          <w:tcPr>
            <w:tcW w:w="558"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5015E33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978.00</w:t>
            </w:r>
          </w:p>
        </w:tc>
        <w:tc>
          <w:tcPr>
            <w:tcW w:w="275"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0CFFCE8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在用</w:t>
            </w:r>
          </w:p>
        </w:tc>
        <w:tc>
          <w:tcPr>
            <w:tcW w:w="234"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034D2CE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c>
          <w:tcPr>
            <w:tcW w:w="337"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353C607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临时人员</w:t>
            </w:r>
          </w:p>
        </w:tc>
        <w:tc>
          <w:tcPr>
            <w:tcW w:w="337" w:type="pct"/>
            <w:tcBorders>
              <w:top w:val="single" w:color="9BC2E6" w:sz="4" w:space="0"/>
              <w:left w:val="single" w:color="9BC2E6" w:sz="4" w:space="0"/>
              <w:bottom w:val="single" w:color="9BC2E6" w:sz="4" w:space="0"/>
              <w:right w:val="single" w:color="5B9BD5" w:sz="4" w:space="0"/>
            </w:tcBorders>
            <w:shd w:val="clear" w:color="auto" w:fill="auto"/>
            <w:noWrap/>
            <w:vAlign w:val="bottom"/>
          </w:tcPr>
          <w:p w14:paraId="4E162C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r>
      <w:tr w14:paraId="0A4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0" w:type="pct"/>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387BD6D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TY2017000002</w:t>
            </w:r>
          </w:p>
        </w:tc>
        <w:tc>
          <w:tcPr>
            <w:tcW w:w="386"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7794B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HP打印机</w:t>
            </w:r>
          </w:p>
        </w:tc>
        <w:tc>
          <w:tcPr>
            <w:tcW w:w="303"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159C13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其他办公设备</w:t>
            </w:r>
          </w:p>
        </w:tc>
        <w:tc>
          <w:tcPr>
            <w:tcW w:w="282"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AB7FD7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8"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CC5613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新购</w:t>
            </w:r>
          </w:p>
        </w:tc>
        <w:tc>
          <w:tcPr>
            <w:tcW w:w="331"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D81CD0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2017/1</w:t>
            </w:r>
          </w:p>
        </w:tc>
        <w:tc>
          <w:tcPr>
            <w:tcW w:w="634"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48D26D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1,880.00 </w:t>
            </w:r>
          </w:p>
        </w:tc>
        <w:tc>
          <w:tcPr>
            <w:tcW w:w="648"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635E35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1,880.00</w:t>
            </w:r>
          </w:p>
        </w:tc>
        <w:tc>
          <w:tcPr>
            <w:tcW w:w="558"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40C741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5"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D29BFF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在用</w:t>
            </w:r>
          </w:p>
        </w:tc>
        <w:tc>
          <w:tcPr>
            <w:tcW w:w="234"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251FA9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c>
          <w:tcPr>
            <w:tcW w:w="337"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84C27A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临时人员</w:t>
            </w:r>
          </w:p>
        </w:tc>
        <w:tc>
          <w:tcPr>
            <w:tcW w:w="337" w:type="pct"/>
            <w:tcBorders>
              <w:top w:val="single" w:color="9BC2E6" w:sz="4" w:space="0"/>
              <w:left w:val="single" w:color="9BC2E6" w:sz="4" w:space="0"/>
              <w:bottom w:val="single" w:color="9BC2E6" w:sz="4" w:space="0"/>
              <w:right w:val="single" w:color="5B9BD5" w:sz="4" w:space="0"/>
            </w:tcBorders>
            <w:shd w:val="clear" w:color="DDEBF7" w:fill="DDEBF7"/>
            <w:noWrap/>
            <w:vAlign w:val="bottom"/>
          </w:tcPr>
          <w:p w14:paraId="553CF4C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r>
      <w:tr w14:paraId="3279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0" w:type="pct"/>
            <w:tcBorders>
              <w:top w:val="single" w:color="9BC2E6" w:sz="4" w:space="0"/>
              <w:left w:val="single" w:color="5B9BD5" w:sz="4" w:space="0"/>
              <w:bottom w:val="single" w:color="9BC2E6" w:sz="4" w:space="0"/>
              <w:right w:val="single" w:color="9BC2E6" w:sz="4" w:space="0"/>
            </w:tcBorders>
            <w:shd w:val="clear" w:color="auto" w:fill="auto"/>
            <w:noWrap/>
            <w:vAlign w:val="bottom"/>
          </w:tcPr>
          <w:p w14:paraId="329F5D0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TY2017000001</w:t>
            </w:r>
          </w:p>
        </w:tc>
        <w:tc>
          <w:tcPr>
            <w:tcW w:w="386"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48DE06D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联想电脑</w:t>
            </w:r>
          </w:p>
        </w:tc>
        <w:tc>
          <w:tcPr>
            <w:tcW w:w="303"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451488A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台式计算机</w:t>
            </w:r>
          </w:p>
        </w:tc>
        <w:tc>
          <w:tcPr>
            <w:tcW w:w="282"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4BA138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8"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391B439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新购</w:t>
            </w:r>
          </w:p>
        </w:tc>
        <w:tc>
          <w:tcPr>
            <w:tcW w:w="331"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2F84392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2017/1</w:t>
            </w:r>
          </w:p>
        </w:tc>
        <w:tc>
          <w:tcPr>
            <w:tcW w:w="634"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158E75B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4,780.00 </w:t>
            </w:r>
          </w:p>
        </w:tc>
        <w:tc>
          <w:tcPr>
            <w:tcW w:w="648"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59656D9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4,780.00</w:t>
            </w:r>
          </w:p>
        </w:tc>
        <w:tc>
          <w:tcPr>
            <w:tcW w:w="558"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7F5118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5"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38EEC80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在用</w:t>
            </w:r>
          </w:p>
        </w:tc>
        <w:tc>
          <w:tcPr>
            <w:tcW w:w="234"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403802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c>
          <w:tcPr>
            <w:tcW w:w="337"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15ED0DE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临时人员</w:t>
            </w:r>
          </w:p>
        </w:tc>
        <w:tc>
          <w:tcPr>
            <w:tcW w:w="337" w:type="pct"/>
            <w:tcBorders>
              <w:top w:val="single" w:color="9BC2E6" w:sz="4" w:space="0"/>
              <w:left w:val="single" w:color="9BC2E6" w:sz="4" w:space="0"/>
              <w:bottom w:val="single" w:color="9BC2E6" w:sz="4" w:space="0"/>
              <w:right w:val="single" w:color="5B9BD5" w:sz="4" w:space="0"/>
            </w:tcBorders>
            <w:shd w:val="clear" w:color="auto" w:fill="auto"/>
            <w:noWrap/>
            <w:vAlign w:val="bottom"/>
          </w:tcPr>
          <w:p w14:paraId="3F2FF96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r>
      <w:tr w14:paraId="0E138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0" w:type="pct"/>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258D618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TY2016000002</w:t>
            </w:r>
          </w:p>
        </w:tc>
        <w:tc>
          <w:tcPr>
            <w:tcW w:w="386"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121F67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台式机电脑</w:t>
            </w:r>
          </w:p>
        </w:tc>
        <w:tc>
          <w:tcPr>
            <w:tcW w:w="303"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B3C3F2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台式计算机</w:t>
            </w:r>
          </w:p>
        </w:tc>
        <w:tc>
          <w:tcPr>
            <w:tcW w:w="282"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2F9048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8"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10E965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新购</w:t>
            </w:r>
          </w:p>
        </w:tc>
        <w:tc>
          <w:tcPr>
            <w:tcW w:w="331"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FD1323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2016/2/</w:t>
            </w:r>
          </w:p>
        </w:tc>
        <w:tc>
          <w:tcPr>
            <w:tcW w:w="634"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16646D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9,878.00 </w:t>
            </w:r>
          </w:p>
        </w:tc>
        <w:tc>
          <w:tcPr>
            <w:tcW w:w="648"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E8F5A0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9,878.00</w:t>
            </w:r>
          </w:p>
        </w:tc>
        <w:tc>
          <w:tcPr>
            <w:tcW w:w="558"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5A6163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5"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14F37CE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在用</w:t>
            </w:r>
          </w:p>
        </w:tc>
        <w:tc>
          <w:tcPr>
            <w:tcW w:w="234"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DEC6FC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c>
          <w:tcPr>
            <w:tcW w:w="337"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7414FE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临时人员</w:t>
            </w:r>
          </w:p>
        </w:tc>
        <w:tc>
          <w:tcPr>
            <w:tcW w:w="337" w:type="pct"/>
            <w:tcBorders>
              <w:top w:val="single" w:color="9BC2E6" w:sz="4" w:space="0"/>
              <w:left w:val="single" w:color="9BC2E6" w:sz="4" w:space="0"/>
              <w:bottom w:val="single" w:color="9BC2E6" w:sz="4" w:space="0"/>
              <w:right w:val="single" w:color="5B9BD5" w:sz="4" w:space="0"/>
            </w:tcBorders>
            <w:shd w:val="clear" w:color="DDEBF7" w:fill="DDEBF7"/>
            <w:noWrap/>
            <w:vAlign w:val="bottom"/>
          </w:tcPr>
          <w:p w14:paraId="548858B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r>
      <w:tr w14:paraId="329C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0" w:type="pct"/>
            <w:tcBorders>
              <w:top w:val="single" w:color="9BC2E6" w:sz="4" w:space="0"/>
              <w:left w:val="single" w:color="5B9BD5" w:sz="4" w:space="0"/>
              <w:bottom w:val="single" w:color="9BC2E6" w:sz="4" w:space="0"/>
              <w:right w:val="single" w:color="9BC2E6" w:sz="4" w:space="0"/>
            </w:tcBorders>
            <w:shd w:val="clear" w:color="auto" w:fill="auto"/>
            <w:noWrap/>
            <w:vAlign w:val="bottom"/>
          </w:tcPr>
          <w:p w14:paraId="6435870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TY2016000001</w:t>
            </w:r>
          </w:p>
        </w:tc>
        <w:tc>
          <w:tcPr>
            <w:tcW w:w="386"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04BFC37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台式电脑</w:t>
            </w:r>
          </w:p>
        </w:tc>
        <w:tc>
          <w:tcPr>
            <w:tcW w:w="303"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765D09E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台式计算机</w:t>
            </w:r>
          </w:p>
        </w:tc>
        <w:tc>
          <w:tcPr>
            <w:tcW w:w="282"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44906D1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8"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65BB1A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新购</w:t>
            </w:r>
          </w:p>
        </w:tc>
        <w:tc>
          <w:tcPr>
            <w:tcW w:w="331"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0B1CE00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2016/1/</w:t>
            </w:r>
          </w:p>
        </w:tc>
        <w:tc>
          <w:tcPr>
            <w:tcW w:w="634"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68B841D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9,900.00 </w:t>
            </w:r>
          </w:p>
        </w:tc>
        <w:tc>
          <w:tcPr>
            <w:tcW w:w="648"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36CD6CE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9,900.00</w:t>
            </w:r>
          </w:p>
        </w:tc>
        <w:tc>
          <w:tcPr>
            <w:tcW w:w="558"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2821A67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275"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3D0D0D5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在用</w:t>
            </w:r>
          </w:p>
        </w:tc>
        <w:tc>
          <w:tcPr>
            <w:tcW w:w="234"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44A043E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c>
          <w:tcPr>
            <w:tcW w:w="337" w:type="pct"/>
            <w:tcBorders>
              <w:top w:val="single" w:color="9BC2E6" w:sz="4" w:space="0"/>
              <w:left w:val="single" w:color="9BC2E6" w:sz="4" w:space="0"/>
              <w:bottom w:val="single" w:color="9BC2E6" w:sz="4" w:space="0"/>
              <w:right w:val="single" w:color="9BC2E6" w:sz="4" w:space="0"/>
            </w:tcBorders>
            <w:shd w:val="clear" w:color="auto" w:fill="auto"/>
            <w:noWrap/>
            <w:vAlign w:val="bottom"/>
          </w:tcPr>
          <w:p w14:paraId="356E113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临时人员</w:t>
            </w:r>
          </w:p>
        </w:tc>
        <w:tc>
          <w:tcPr>
            <w:tcW w:w="337" w:type="pct"/>
            <w:tcBorders>
              <w:top w:val="single" w:color="9BC2E6" w:sz="4" w:space="0"/>
              <w:left w:val="single" w:color="9BC2E6" w:sz="4" w:space="0"/>
              <w:bottom w:val="single" w:color="9BC2E6" w:sz="4" w:space="0"/>
              <w:right w:val="single" w:color="5B9BD5" w:sz="4" w:space="0"/>
            </w:tcBorders>
            <w:shd w:val="clear" w:color="auto" w:fill="auto"/>
            <w:noWrap/>
            <w:vAlign w:val="bottom"/>
          </w:tcPr>
          <w:p w14:paraId="3BE3579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办公室</w:t>
            </w:r>
          </w:p>
        </w:tc>
      </w:tr>
      <w:tr w14:paraId="7841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20" w:type="pct"/>
            <w:tcBorders>
              <w:top w:val="single" w:color="9BC2E6" w:sz="4" w:space="0"/>
              <w:left w:val="single" w:color="5B9BD5" w:sz="4" w:space="0"/>
              <w:bottom w:val="single" w:color="9BC2E6" w:sz="4" w:space="0"/>
              <w:right w:val="single" w:color="9BC2E6" w:sz="4" w:space="0"/>
            </w:tcBorders>
            <w:shd w:val="clear" w:color="DDEBF7" w:fill="DDEBF7"/>
            <w:noWrap/>
            <w:vAlign w:val="bottom"/>
          </w:tcPr>
          <w:p w14:paraId="15C72F4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JJ2021000001</w:t>
            </w:r>
          </w:p>
        </w:tc>
        <w:tc>
          <w:tcPr>
            <w:tcW w:w="386"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55C0897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文件柜</w:t>
            </w:r>
          </w:p>
        </w:tc>
        <w:tc>
          <w:tcPr>
            <w:tcW w:w="303"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56855F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文件柜</w:t>
            </w:r>
          </w:p>
        </w:tc>
        <w:tc>
          <w:tcPr>
            <w:tcW w:w="282"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F385F2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48"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F71D3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新购</w:t>
            </w:r>
          </w:p>
        </w:tc>
        <w:tc>
          <w:tcPr>
            <w:tcW w:w="331"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27EC00B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2021年2月</w:t>
            </w:r>
          </w:p>
        </w:tc>
        <w:tc>
          <w:tcPr>
            <w:tcW w:w="634"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4FB06E5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2,360.00 </w:t>
            </w:r>
          </w:p>
        </w:tc>
        <w:tc>
          <w:tcPr>
            <w:tcW w:w="648"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EA730B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616.17</w:t>
            </w:r>
          </w:p>
        </w:tc>
        <w:tc>
          <w:tcPr>
            <w:tcW w:w="558"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0A206C2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1,743.83</w:t>
            </w:r>
          </w:p>
        </w:tc>
        <w:tc>
          <w:tcPr>
            <w:tcW w:w="275"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89E04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在用</w:t>
            </w:r>
          </w:p>
        </w:tc>
        <w:tc>
          <w:tcPr>
            <w:tcW w:w="234"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671A2F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临时部门</w:t>
            </w:r>
          </w:p>
        </w:tc>
        <w:tc>
          <w:tcPr>
            <w:tcW w:w="337" w:type="pct"/>
            <w:tcBorders>
              <w:top w:val="single" w:color="9BC2E6" w:sz="4" w:space="0"/>
              <w:left w:val="single" w:color="9BC2E6" w:sz="4" w:space="0"/>
              <w:bottom w:val="single" w:color="9BC2E6" w:sz="4" w:space="0"/>
              <w:right w:val="single" w:color="9BC2E6" w:sz="4" w:space="0"/>
            </w:tcBorders>
            <w:shd w:val="clear" w:color="DDEBF7" w:fill="DDEBF7"/>
            <w:noWrap/>
            <w:vAlign w:val="bottom"/>
          </w:tcPr>
          <w:p w14:paraId="3663DA2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临时人员</w:t>
            </w:r>
          </w:p>
        </w:tc>
        <w:tc>
          <w:tcPr>
            <w:tcW w:w="337" w:type="pct"/>
            <w:tcBorders>
              <w:top w:val="single" w:color="9BC2E6" w:sz="4" w:space="0"/>
              <w:left w:val="single" w:color="9BC2E6" w:sz="4" w:space="0"/>
              <w:bottom w:val="single" w:color="9BC2E6" w:sz="4" w:space="0"/>
              <w:right w:val="single" w:color="5B9BD5" w:sz="4" w:space="0"/>
            </w:tcBorders>
            <w:shd w:val="clear" w:color="DDEBF7" w:fill="DDEBF7"/>
            <w:noWrap/>
            <w:vAlign w:val="bottom"/>
          </w:tcPr>
          <w:p w14:paraId="69334061">
            <w:pPr>
              <w:jc w:val="center"/>
              <w:rPr>
                <w:rFonts w:hint="eastAsia" w:ascii="宋体" w:hAnsi="宋体" w:eastAsia="宋体" w:cs="宋体"/>
                <w:i w:val="0"/>
                <w:iCs w:val="0"/>
                <w:color w:val="000000"/>
                <w:sz w:val="24"/>
                <w:szCs w:val="24"/>
                <w:u w:val="none"/>
              </w:rPr>
            </w:pPr>
          </w:p>
        </w:tc>
      </w:tr>
      <w:tr w14:paraId="34CC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0" w:type="pct"/>
            <w:tcBorders>
              <w:top w:val="single" w:color="9BC2E6" w:sz="4" w:space="0"/>
              <w:left w:val="single" w:color="5B9BD5" w:sz="4" w:space="0"/>
              <w:bottom w:val="single" w:color="5B9BD5" w:sz="4" w:space="0"/>
              <w:right w:val="single" w:color="9BC2E6" w:sz="4" w:space="0"/>
            </w:tcBorders>
            <w:shd w:val="clear" w:color="auto" w:fill="auto"/>
            <w:noWrap/>
            <w:vAlign w:val="center"/>
          </w:tcPr>
          <w:p w14:paraId="17021D67">
            <w:pPr>
              <w:jc w:val="center"/>
              <w:rPr>
                <w:rFonts w:hint="eastAsia" w:ascii="宋体" w:hAnsi="宋体" w:eastAsia="宋体" w:cs="宋体"/>
                <w:i w:val="0"/>
                <w:iCs w:val="0"/>
                <w:color w:val="000000"/>
                <w:sz w:val="24"/>
                <w:szCs w:val="24"/>
                <w:u w:val="none"/>
              </w:rPr>
            </w:pPr>
          </w:p>
        </w:tc>
        <w:tc>
          <w:tcPr>
            <w:tcW w:w="386"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59FBDBCE">
            <w:pPr>
              <w:jc w:val="center"/>
              <w:rPr>
                <w:rFonts w:hint="eastAsia" w:ascii="宋体" w:hAnsi="宋体" w:eastAsia="宋体" w:cs="宋体"/>
                <w:i w:val="0"/>
                <w:iCs w:val="0"/>
                <w:color w:val="000000"/>
                <w:sz w:val="24"/>
                <w:szCs w:val="24"/>
                <w:u w:val="none"/>
              </w:rPr>
            </w:pPr>
          </w:p>
        </w:tc>
        <w:tc>
          <w:tcPr>
            <w:tcW w:w="303"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1D7A2922">
            <w:pPr>
              <w:jc w:val="center"/>
              <w:rPr>
                <w:rFonts w:hint="eastAsia" w:ascii="宋体" w:hAnsi="宋体" w:eastAsia="宋体" w:cs="宋体"/>
                <w:i w:val="0"/>
                <w:iCs w:val="0"/>
                <w:color w:val="000000"/>
                <w:sz w:val="24"/>
                <w:szCs w:val="24"/>
                <w:u w:val="none"/>
              </w:rPr>
            </w:pPr>
          </w:p>
        </w:tc>
        <w:tc>
          <w:tcPr>
            <w:tcW w:w="282"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25763147">
            <w:pPr>
              <w:jc w:val="center"/>
              <w:rPr>
                <w:rFonts w:hint="eastAsia" w:ascii="宋体" w:hAnsi="宋体" w:eastAsia="宋体" w:cs="宋体"/>
                <w:i w:val="0"/>
                <w:iCs w:val="0"/>
                <w:color w:val="000000"/>
                <w:sz w:val="24"/>
                <w:szCs w:val="24"/>
                <w:u w:val="none"/>
              </w:rPr>
            </w:pPr>
          </w:p>
        </w:tc>
        <w:tc>
          <w:tcPr>
            <w:tcW w:w="248"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2673EE76">
            <w:pPr>
              <w:jc w:val="center"/>
              <w:rPr>
                <w:rFonts w:hint="eastAsia" w:ascii="宋体" w:hAnsi="宋体" w:eastAsia="宋体" w:cs="宋体"/>
                <w:i w:val="0"/>
                <w:iCs w:val="0"/>
                <w:color w:val="000000"/>
                <w:sz w:val="24"/>
                <w:szCs w:val="24"/>
                <w:u w:val="none"/>
              </w:rPr>
            </w:pPr>
          </w:p>
        </w:tc>
        <w:tc>
          <w:tcPr>
            <w:tcW w:w="331"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1D792A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34"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26407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35,858.00 </w:t>
            </w:r>
          </w:p>
        </w:tc>
        <w:tc>
          <w:tcPr>
            <w:tcW w:w="648"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48A93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31,259.74 </w:t>
            </w:r>
          </w:p>
        </w:tc>
        <w:tc>
          <w:tcPr>
            <w:tcW w:w="558"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6AD2B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4,598.26 </w:t>
            </w:r>
          </w:p>
        </w:tc>
        <w:tc>
          <w:tcPr>
            <w:tcW w:w="275"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75C64EBD">
            <w:pPr>
              <w:jc w:val="center"/>
              <w:rPr>
                <w:rFonts w:hint="eastAsia" w:ascii="宋体" w:hAnsi="宋体" w:eastAsia="宋体" w:cs="宋体"/>
                <w:i w:val="0"/>
                <w:iCs w:val="0"/>
                <w:color w:val="000000"/>
                <w:sz w:val="24"/>
                <w:szCs w:val="24"/>
                <w:u w:val="none"/>
              </w:rPr>
            </w:pPr>
          </w:p>
        </w:tc>
        <w:tc>
          <w:tcPr>
            <w:tcW w:w="234"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49EDD257">
            <w:pPr>
              <w:jc w:val="center"/>
              <w:rPr>
                <w:rFonts w:hint="eastAsia" w:ascii="宋体" w:hAnsi="宋体" w:eastAsia="宋体" w:cs="宋体"/>
                <w:i w:val="0"/>
                <w:iCs w:val="0"/>
                <w:color w:val="000000"/>
                <w:sz w:val="24"/>
                <w:szCs w:val="24"/>
                <w:u w:val="none"/>
              </w:rPr>
            </w:pPr>
          </w:p>
        </w:tc>
        <w:tc>
          <w:tcPr>
            <w:tcW w:w="337" w:type="pct"/>
            <w:tcBorders>
              <w:top w:val="single" w:color="9BC2E6" w:sz="4" w:space="0"/>
              <w:left w:val="single" w:color="9BC2E6" w:sz="4" w:space="0"/>
              <w:bottom w:val="single" w:color="5B9BD5" w:sz="4" w:space="0"/>
              <w:right w:val="single" w:color="9BC2E6" w:sz="4" w:space="0"/>
            </w:tcBorders>
            <w:shd w:val="clear" w:color="auto" w:fill="auto"/>
            <w:noWrap/>
            <w:vAlign w:val="center"/>
          </w:tcPr>
          <w:p w14:paraId="2E1564F5">
            <w:pPr>
              <w:jc w:val="center"/>
              <w:rPr>
                <w:rFonts w:hint="eastAsia" w:ascii="宋体" w:hAnsi="宋体" w:eastAsia="宋体" w:cs="宋体"/>
                <w:i w:val="0"/>
                <w:iCs w:val="0"/>
                <w:color w:val="000000"/>
                <w:sz w:val="24"/>
                <w:szCs w:val="24"/>
                <w:u w:val="none"/>
              </w:rPr>
            </w:pPr>
          </w:p>
        </w:tc>
        <w:tc>
          <w:tcPr>
            <w:tcW w:w="337" w:type="pct"/>
            <w:tcBorders>
              <w:top w:val="single" w:color="9BC2E6" w:sz="4" w:space="0"/>
              <w:left w:val="single" w:color="9BC2E6" w:sz="4" w:space="0"/>
              <w:bottom w:val="single" w:color="5B9BD5" w:sz="4" w:space="0"/>
              <w:right w:val="single" w:color="5B9BD5" w:sz="4" w:space="0"/>
            </w:tcBorders>
            <w:shd w:val="clear" w:color="auto" w:fill="auto"/>
            <w:noWrap/>
            <w:vAlign w:val="center"/>
          </w:tcPr>
          <w:p w14:paraId="3B16AAD1">
            <w:pPr>
              <w:jc w:val="center"/>
              <w:rPr>
                <w:rFonts w:hint="eastAsia" w:ascii="宋体" w:hAnsi="宋体" w:eastAsia="宋体" w:cs="宋体"/>
                <w:i w:val="0"/>
                <w:iCs w:val="0"/>
                <w:color w:val="000000"/>
                <w:sz w:val="24"/>
                <w:szCs w:val="24"/>
                <w:u w:val="none"/>
              </w:rPr>
            </w:pPr>
          </w:p>
        </w:tc>
      </w:tr>
    </w:tbl>
    <w:p w14:paraId="57864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21022"/>
      <w:r>
        <w:rPr>
          <w:rFonts w:hint="eastAsia" w:ascii="楷体" w:hAnsi="楷体" w:eastAsia="楷体" w:cs="楷体"/>
          <w:b/>
          <w:bCs/>
          <w:sz w:val="32"/>
          <w:szCs w:val="32"/>
          <w:highlight w:val="none"/>
          <w:lang w:val="en-US" w:eastAsia="zh-CN"/>
        </w:rPr>
        <w:t>（八）厉行节约保障措施的执行情况及其政策效果</w:t>
      </w:r>
      <w:bookmarkEnd w:id="36"/>
    </w:p>
    <w:p w14:paraId="686E25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仿宋" w:hAnsi="仿宋" w:eastAsia="仿宋" w:cs="仿宋"/>
          <w:sz w:val="32"/>
          <w:szCs w:val="32"/>
        </w:rPr>
        <w:t>2024年，</w:t>
      </w:r>
      <w:r>
        <w:rPr>
          <w:rFonts w:hint="eastAsia" w:ascii="仿宋" w:hAnsi="仿宋" w:eastAsia="仿宋" w:cs="仿宋"/>
          <w:sz w:val="32"/>
          <w:szCs w:val="32"/>
          <w:lang w:eastAsia="zh-CN"/>
        </w:rPr>
        <w:t>区妇联</w:t>
      </w:r>
      <w:r>
        <w:rPr>
          <w:rFonts w:hint="eastAsia" w:ascii="仿宋" w:hAnsi="仿宋" w:eastAsia="仿宋" w:cs="仿宋"/>
          <w:sz w:val="32"/>
          <w:szCs w:val="32"/>
        </w:rPr>
        <w:t>深入贯彻习近平总书记关于"坚持勤俭节约办一切事业"的重要指示精神，认真落实中央、省、市关于推动党政机关带头厉行节约、反对铺张浪费的相关规定，坚持将"节约型机关"创建</w:t>
      </w:r>
      <w:r>
        <w:rPr>
          <w:rFonts w:hint="eastAsia" w:ascii="仿宋" w:hAnsi="仿宋" w:eastAsia="仿宋" w:cs="仿宋"/>
          <w:sz w:val="32"/>
          <w:szCs w:val="32"/>
          <w:lang w:eastAsia="zh-CN"/>
        </w:rPr>
        <w:t>同妇联</w:t>
      </w:r>
      <w:r>
        <w:rPr>
          <w:rFonts w:hint="eastAsia" w:ascii="仿宋" w:hAnsi="仿宋" w:eastAsia="仿宋" w:cs="仿宋"/>
          <w:sz w:val="32"/>
          <w:szCs w:val="32"/>
        </w:rPr>
        <w:t>核心业务工作同部署、同推进、同落实。我们牢固树立"绿色发展、机关先行"的理念，把节约理念贯穿于机关运行的各个方面，从思想上、行动上坚决反对享乐主义、奢靡之风，自觉发扬艰苦奋斗、勤俭节约的优良作风。</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强化宣传教育，树立节约意识</w:t>
      </w:r>
      <w:r>
        <w:rPr>
          <w:rFonts w:hint="eastAsia" w:ascii="仿宋" w:hAnsi="仿宋" w:eastAsia="仿宋" w:cs="仿宋"/>
          <w:b/>
          <w:bCs/>
          <w:sz w:val="32"/>
          <w:szCs w:val="32"/>
          <w:lang w:eastAsia="zh-CN"/>
        </w:rPr>
        <w:t>。</w:t>
      </w:r>
      <w:r>
        <w:rPr>
          <w:rFonts w:hint="eastAsia" w:ascii="仿宋" w:hAnsi="仿宋" w:eastAsia="仿宋" w:cs="仿宋"/>
          <w:sz w:val="32"/>
          <w:szCs w:val="32"/>
        </w:rPr>
        <w:t>高度重视干部职工节约意识的培养，通过多形式、多渠道开展宣传教育活动，营造勤俭节约的工作氛围。专题学习部署，组织全体干部职工深入</w:t>
      </w:r>
      <w:r>
        <w:rPr>
          <w:rFonts w:hint="eastAsia" w:ascii="仿宋" w:hAnsi="仿宋" w:eastAsia="仿宋" w:cs="仿宋"/>
          <w:sz w:val="32"/>
          <w:szCs w:val="32"/>
          <w:lang w:eastAsia="zh-CN"/>
        </w:rPr>
        <w:t>学习贯彻习近平总书记</w:t>
      </w:r>
      <w:r>
        <w:rPr>
          <w:rFonts w:hint="eastAsia" w:ascii="仿宋" w:hAnsi="仿宋" w:eastAsia="仿宋" w:cs="仿宋"/>
          <w:sz w:val="32"/>
          <w:szCs w:val="32"/>
        </w:rPr>
        <w:t>关于厉行节约、反对浪费的重要论述，传达上级关于习惯过</w:t>
      </w:r>
      <w:r>
        <w:rPr>
          <w:rFonts w:hint="eastAsia" w:ascii="仿宋" w:hAnsi="仿宋" w:eastAsia="仿宋" w:cs="仿宋"/>
          <w:sz w:val="32"/>
          <w:szCs w:val="32"/>
          <w:lang w:eastAsia="zh-CN"/>
        </w:rPr>
        <w:t>“</w:t>
      </w:r>
      <w:r>
        <w:rPr>
          <w:rFonts w:hint="eastAsia" w:ascii="仿宋" w:hAnsi="仿宋" w:eastAsia="仿宋" w:cs="仿宋"/>
          <w:sz w:val="32"/>
          <w:szCs w:val="32"/>
        </w:rPr>
        <w:t>紧日子</w:t>
      </w:r>
      <w:r>
        <w:rPr>
          <w:rFonts w:hint="eastAsia" w:ascii="仿宋" w:hAnsi="仿宋" w:eastAsia="仿宋" w:cs="仿宋"/>
          <w:sz w:val="32"/>
          <w:szCs w:val="32"/>
          <w:lang w:eastAsia="zh-CN"/>
        </w:rPr>
        <w:t>”</w:t>
      </w:r>
      <w:r>
        <w:rPr>
          <w:rFonts w:hint="eastAsia" w:ascii="仿宋" w:hAnsi="仿宋" w:eastAsia="仿宋" w:cs="仿宋"/>
          <w:sz w:val="32"/>
          <w:szCs w:val="32"/>
        </w:rPr>
        <w:t>的要求。会议明确要求从政治高度认识节约工作的重要性，将思想与行动统一到中央部署上来，增强了干部职工节约资源的责任感和使命感。</w:t>
      </w:r>
      <w:r>
        <w:rPr>
          <w:rFonts w:hint="eastAsia" w:ascii="仿宋" w:hAnsi="仿宋" w:eastAsia="仿宋" w:cs="仿宋"/>
          <w:sz w:val="32"/>
          <w:szCs w:val="32"/>
          <w:lang w:val="en-US" w:eastAsia="zh-CN"/>
        </w:rPr>
        <w:t>同时，</w:t>
      </w:r>
      <w:r>
        <w:rPr>
          <w:rFonts w:hint="eastAsia" w:ascii="仿宋" w:hAnsi="仿宋" w:eastAsia="仿宋" w:cs="仿宋"/>
          <w:sz w:val="32"/>
          <w:szCs w:val="32"/>
        </w:rPr>
        <w:t>通过在办公区域张贴节约标识、发放节能倡议书、内部工作群推送提醒等方式，营造随处可见、时刻提醒的节约氛围。结合全国节能宣传周、世界水日、地球日等重要节点，组织开展形式多样的主题宣传活动，推广节能节水知识，倡导绿色办公理念。</w:t>
      </w:r>
      <w:r>
        <w:rPr>
          <w:rFonts w:hint="eastAsia" w:ascii="仿宋" w:hAnsi="仿宋" w:eastAsia="仿宋" w:cs="仿宋"/>
          <w:sz w:val="32"/>
          <w:szCs w:val="32"/>
          <w:lang w:val="en-US" w:eastAsia="zh-CN"/>
        </w:rPr>
        <w:t>在</w:t>
      </w:r>
      <w:r>
        <w:rPr>
          <w:rFonts w:hint="eastAsia" w:ascii="仿宋" w:hAnsi="仿宋" w:eastAsia="仿宋" w:cs="仿宋"/>
          <w:sz w:val="32"/>
          <w:szCs w:val="32"/>
        </w:rPr>
        <w:t>文化培育</w:t>
      </w:r>
      <w:r>
        <w:rPr>
          <w:rFonts w:hint="eastAsia" w:ascii="仿宋" w:hAnsi="仿宋" w:eastAsia="仿宋" w:cs="仿宋"/>
          <w:sz w:val="32"/>
          <w:szCs w:val="32"/>
          <w:lang w:val="en-US" w:eastAsia="zh-CN"/>
        </w:rPr>
        <w:t>方面，</w:t>
      </w:r>
      <w:r>
        <w:rPr>
          <w:rFonts w:hint="eastAsia" w:ascii="仿宋" w:hAnsi="仿宋" w:eastAsia="仿宋" w:cs="仿宋"/>
          <w:sz w:val="32"/>
          <w:szCs w:val="32"/>
        </w:rPr>
        <w:t>引导干部职工养成简约适度、绿色低碳的生活和工作方式。鼓励无纸化办公、双面打印；提倡使用环保袋、减少一次性用品使用；培养随手关灯、关水的习惯，让节约意识内化于心、外化于行，形成全员参与、共同践行的良好局面。</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规范资源管理，降低机关能耗</w:t>
      </w:r>
      <w:r>
        <w:rPr>
          <w:rFonts w:hint="eastAsia" w:ascii="仿宋" w:hAnsi="仿宋" w:eastAsia="仿宋" w:cs="仿宋"/>
          <w:b/>
          <w:bCs/>
          <w:sz w:val="32"/>
          <w:szCs w:val="32"/>
          <w:lang w:eastAsia="zh-CN"/>
        </w:rPr>
        <w:t>。</w:t>
      </w:r>
      <w:r>
        <w:rPr>
          <w:rFonts w:hint="eastAsia" w:ascii="仿宋" w:hAnsi="仿宋" w:eastAsia="仿宋" w:cs="仿宋"/>
          <w:sz w:val="32"/>
          <w:szCs w:val="32"/>
        </w:rPr>
        <w:t>从制度建设入手，严格管理能源资源使用，切实降低机关运行成本，提升资源利用效率。完善管理制度：健全节约能源资源管理制度，提高能源资源利用效率，降低机关运行成本。制定并严格执行用水、用电、用纸等相关要求，明确节能目标和措施，落实管理责任。建立资源消耗台账，按月统计分析，及时发现和纠正浪费现象。文印管理：推行无纸化办公，减少纸质文件印发，严格控制文件印刷数量和复印次数。</w:t>
      </w:r>
      <w:r>
        <w:rPr>
          <w:rFonts w:hint="eastAsia" w:ascii="仿宋" w:hAnsi="仿宋" w:eastAsia="仿宋" w:cs="仿宋"/>
          <w:sz w:val="32"/>
          <w:szCs w:val="32"/>
          <w:lang w:eastAsia="zh-CN"/>
        </w:rPr>
        <w:t>必须</w:t>
      </w:r>
      <w:r>
        <w:rPr>
          <w:rFonts w:hint="eastAsia" w:ascii="仿宋" w:hAnsi="仿宋" w:eastAsia="仿宋" w:cs="仿宋"/>
          <w:sz w:val="32"/>
          <w:szCs w:val="32"/>
        </w:rPr>
        <w:t>打印的文件一律采用双面打印，单面使用过的纸张重复利用于草稿纸，大幅减少纸张消耗。</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严格经费控制，压减公务支出</w:t>
      </w:r>
      <w:r>
        <w:rPr>
          <w:rFonts w:hint="eastAsia" w:ascii="仿宋" w:hAnsi="仿宋" w:eastAsia="仿宋" w:cs="仿宋"/>
          <w:b/>
          <w:bCs/>
          <w:sz w:val="32"/>
          <w:szCs w:val="32"/>
          <w:lang w:eastAsia="zh-CN"/>
        </w:rPr>
        <w:t>。</w:t>
      </w:r>
      <w:r>
        <w:rPr>
          <w:rFonts w:hint="eastAsia" w:ascii="仿宋" w:hAnsi="仿宋" w:eastAsia="仿宋" w:cs="仿宋"/>
          <w:sz w:val="32"/>
          <w:szCs w:val="32"/>
        </w:rPr>
        <w:t>坚持</w:t>
      </w:r>
      <w:r>
        <w:rPr>
          <w:rFonts w:hint="eastAsia" w:ascii="仿宋" w:hAnsi="仿宋" w:eastAsia="仿宋" w:cs="仿宋"/>
          <w:sz w:val="32"/>
          <w:szCs w:val="32"/>
          <w:lang w:eastAsia="zh-CN"/>
        </w:rPr>
        <w:t>“</w:t>
      </w:r>
      <w:r>
        <w:rPr>
          <w:rFonts w:hint="eastAsia" w:ascii="仿宋" w:hAnsi="仿宋" w:eastAsia="仿宋" w:cs="仿宋"/>
          <w:sz w:val="32"/>
          <w:szCs w:val="32"/>
        </w:rPr>
        <w:t>先预算、后支出</w:t>
      </w:r>
      <w:r>
        <w:rPr>
          <w:rFonts w:hint="eastAsia" w:ascii="仿宋" w:hAnsi="仿宋" w:eastAsia="仿宋" w:cs="仿宋"/>
          <w:sz w:val="32"/>
          <w:szCs w:val="32"/>
          <w:lang w:eastAsia="zh-CN"/>
        </w:rPr>
        <w:t>”</w:t>
      </w:r>
      <w:r>
        <w:rPr>
          <w:rFonts w:hint="eastAsia" w:ascii="仿宋" w:hAnsi="仿宋" w:eastAsia="仿宋" w:cs="仿宋"/>
          <w:sz w:val="32"/>
          <w:szCs w:val="32"/>
        </w:rPr>
        <w:t>的原则，加强经费审批和使用管理，严控</w:t>
      </w:r>
      <w:r>
        <w:rPr>
          <w:rFonts w:hint="eastAsia" w:ascii="仿宋" w:hAnsi="仿宋" w:eastAsia="仿宋" w:cs="仿宋"/>
          <w:sz w:val="32"/>
          <w:szCs w:val="32"/>
          <w:lang w:eastAsia="zh-CN"/>
        </w:rPr>
        <w:t>“</w:t>
      </w:r>
      <w:r>
        <w:rPr>
          <w:rFonts w:hint="eastAsia" w:ascii="仿宋" w:hAnsi="仿宋" w:eastAsia="仿宋" w:cs="仿宋"/>
          <w:sz w:val="32"/>
          <w:szCs w:val="32"/>
        </w:rPr>
        <w:t>三公</w:t>
      </w:r>
      <w:r>
        <w:rPr>
          <w:rFonts w:hint="eastAsia" w:ascii="仿宋" w:hAnsi="仿宋" w:eastAsia="仿宋" w:cs="仿宋"/>
          <w:sz w:val="32"/>
          <w:szCs w:val="32"/>
          <w:lang w:eastAsia="zh-CN"/>
        </w:rPr>
        <w:t>”</w:t>
      </w:r>
      <w:r>
        <w:rPr>
          <w:rFonts w:hint="eastAsia" w:ascii="仿宋" w:hAnsi="仿宋" w:eastAsia="仿宋" w:cs="仿宋"/>
          <w:sz w:val="32"/>
          <w:szCs w:val="32"/>
        </w:rPr>
        <w:t>经费和其他公务支出。认真贯彻落实中央八项规定精神和厉行节约要求，从严控制公务接待开支。严格执行公务接待审批制度，控制接待标准和陪餐人数，简化接待。通过一系列有力措施，取得了显著成效。通过建立健全能源资源管理制度，推行绿色办公模式，引导干部职工养成简约适度、绿色低碳的生活和工作方式</w:t>
      </w:r>
      <w:r>
        <w:rPr>
          <w:rFonts w:hint="eastAsia" w:ascii="仿宋" w:hAnsi="仿宋" w:eastAsia="仿宋" w:cs="仿宋"/>
          <w:sz w:val="32"/>
          <w:szCs w:val="32"/>
          <w:lang w:eastAsia="zh-CN"/>
        </w:rPr>
        <w:t>。</w:t>
      </w:r>
    </w:p>
    <w:p w14:paraId="7E5B6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b/>
          <w:bCs/>
          <w:sz w:val="32"/>
          <w:szCs w:val="32"/>
          <w:highlight w:val="none"/>
          <w:lang w:eastAsia="zh-CN"/>
        </w:rPr>
      </w:pPr>
      <w:bookmarkStart w:id="37" w:name="_Toc23047"/>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bookmarkEnd w:id="37"/>
    </w:p>
    <w:p w14:paraId="5A6DA2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eastAsia="zh-CN"/>
        </w:rPr>
      </w:pPr>
      <w:bookmarkStart w:id="38" w:name="_Toc18754"/>
      <w:r>
        <w:rPr>
          <w:rFonts w:hint="eastAsia" w:ascii="楷体" w:hAnsi="楷体" w:eastAsia="楷体" w:cs="楷体"/>
          <w:b/>
          <w:bCs/>
          <w:sz w:val="32"/>
          <w:szCs w:val="32"/>
          <w:lang w:eastAsia="zh-CN"/>
        </w:rPr>
        <w:t>（一）总体目标</w:t>
      </w:r>
      <w:bookmarkEnd w:id="38"/>
    </w:p>
    <w:p w14:paraId="2019EE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bCs/>
          <w:sz w:val="32"/>
          <w:szCs w:val="32"/>
          <w:lang w:eastAsia="zh-CN"/>
        </w:rPr>
      </w:pPr>
      <w:r>
        <w:rPr>
          <w:rFonts w:hint="eastAsia" w:ascii="仿宋" w:hAnsi="仿宋" w:eastAsia="仿宋" w:cs="仿宋"/>
          <w:b w:val="0"/>
          <w:bCs w:val="0"/>
          <w:sz w:val="32"/>
          <w:szCs w:val="32"/>
          <w:lang w:eastAsia="zh-CN"/>
        </w:rPr>
        <w:t>紧紧围绕区委、区政府中心工作，以服务妇女儿童和家庭为根本宗旨，全面履行妇联组织引领、服务、联系的职能，团结带领全区妇女</w:t>
      </w:r>
      <w:r>
        <w:rPr>
          <w:rFonts w:hint="eastAsia" w:ascii="仿宋" w:hAnsi="仿宋" w:eastAsia="仿宋" w:cs="仿宋"/>
          <w:b/>
          <w:bCs/>
          <w:sz w:val="32"/>
          <w:szCs w:val="32"/>
          <w:lang w:eastAsia="zh-CN"/>
        </w:rPr>
        <w:t>在思想建设、经济发展、权益保障、家风培育、民生关爱五大领域</w:t>
      </w:r>
      <w:r>
        <w:rPr>
          <w:rFonts w:hint="eastAsia" w:ascii="仿宋" w:hAnsi="仿宋" w:eastAsia="仿宋" w:cs="仿宋"/>
          <w:b w:val="0"/>
          <w:bCs w:val="0"/>
          <w:sz w:val="32"/>
          <w:szCs w:val="32"/>
          <w:lang w:eastAsia="zh-CN"/>
        </w:rPr>
        <w:t>主动作为、争创佳绩，实现</w:t>
      </w:r>
      <w:r>
        <w:rPr>
          <w:rFonts w:hint="eastAsia" w:ascii="仿宋" w:hAnsi="仿宋" w:eastAsia="仿宋" w:cs="仿宋"/>
          <w:b/>
          <w:bCs/>
          <w:sz w:val="32"/>
          <w:szCs w:val="32"/>
          <w:lang w:eastAsia="zh-CN"/>
        </w:rPr>
        <w:t>引领力、贡献力、保障力、影响力、凝聚力</w:t>
      </w:r>
      <w:r>
        <w:rPr>
          <w:rFonts w:hint="eastAsia" w:ascii="仿宋" w:hAnsi="仿宋" w:eastAsia="仿宋" w:cs="仿宋"/>
          <w:b w:val="0"/>
          <w:bCs w:val="0"/>
          <w:sz w:val="32"/>
          <w:szCs w:val="32"/>
          <w:lang w:eastAsia="zh-CN"/>
        </w:rPr>
        <w:t>的显著提升，为推动区域高质量发展贡献坚实的巾帼力量。</w:t>
      </w:r>
    </w:p>
    <w:p w14:paraId="2E97E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Fonts w:hint="eastAsia" w:ascii="楷体" w:hAnsi="楷体" w:eastAsia="楷体" w:cs="楷体"/>
          <w:b/>
          <w:bCs/>
          <w:sz w:val="32"/>
          <w:szCs w:val="32"/>
          <w:lang w:eastAsia="zh-CN"/>
        </w:rPr>
      </w:pPr>
      <w:bookmarkStart w:id="39" w:name="_Toc27422"/>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）分类目标</w:t>
      </w:r>
      <w:bookmarkEnd w:id="39"/>
    </w:p>
    <w:p w14:paraId="4492F1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bCs/>
          <w:sz w:val="32"/>
          <w:szCs w:val="32"/>
          <w:lang w:eastAsia="zh-CN"/>
        </w:rPr>
        <w:t>思想引领目标：</w:t>
      </w:r>
      <w:r>
        <w:rPr>
          <w:rFonts w:hint="eastAsia" w:ascii="仿宋" w:hAnsi="仿宋" w:eastAsia="仿宋" w:cs="仿宋"/>
          <w:b w:val="0"/>
          <w:bCs w:val="0"/>
          <w:sz w:val="32"/>
          <w:szCs w:val="32"/>
          <w:lang w:eastAsia="zh-CN"/>
        </w:rPr>
        <w:t>提升“巾帼心向党”的引领力与向心力。理论学习覆盖率：确保全区各级妇联组织每年开展习近平新时代中国特色社会主义思想及重要论述专题学习至少2次，妇女群众参与相关主题教育活动年均覆盖不少于5000人次。</w:t>
      </w:r>
      <w:r>
        <w:rPr>
          <w:rFonts w:hint="eastAsia" w:ascii="仿宋" w:hAnsi="仿宋" w:eastAsia="仿宋" w:cs="仿宋"/>
          <w:b/>
          <w:bCs/>
          <w:sz w:val="32"/>
          <w:szCs w:val="32"/>
          <w:lang w:eastAsia="zh-CN"/>
        </w:rPr>
        <w:t>典型选树影响力：</w:t>
      </w:r>
      <w:r>
        <w:rPr>
          <w:rFonts w:hint="eastAsia" w:ascii="仿宋" w:hAnsi="仿宋" w:eastAsia="仿宋" w:cs="仿宋"/>
          <w:b w:val="0"/>
          <w:bCs w:val="0"/>
          <w:sz w:val="32"/>
          <w:szCs w:val="32"/>
          <w:lang w:eastAsia="zh-CN"/>
        </w:rPr>
        <w:t>全年评选区级及以上“最美家庭”不少于15户，“最美妇联人”等优秀妇女典型不少于10名，其事迹宣传覆盖面达区内家庭80%以上。</w:t>
      </w:r>
      <w:r>
        <w:rPr>
          <w:rFonts w:hint="eastAsia" w:ascii="仿宋" w:hAnsi="仿宋" w:eastAsia="仿宋" w:cs="仿宋"/>
          <w:b/>
          <w:bCs/>
          <w:sz w:val="32"/>
          <w:szCs w:val="32"/>
          <w:lang w:eastAsia="zh-CN"/>
        </w:rPr>
        <w:t>主题活动实效性：</w:t>
      </w:r>
      <w:r>
        <w:rPr>
          <w:rFonts w:hint="eastAsia" w:ascii="仿宋" w:hAnsi="仿宋" w:eastAsia="仿宋" w:cs="仿宋"/>
          <w:b w:val="0"/>
          <w:bCs w:val="0"/>
          <w:sz w:val="32"/>
          <w:szCs w:val="32"/>
          <w:lang w:eastAsia="zh-CN"/>
        </w:rPr>
        <w:t>围绕重大节庆（如“三八”妇女节）及区委中心工作（如旅发大会），成功组织至少1-2场具有区域影响力的主题宣传或建功实践活动，直接参与女性代表不少于200人。</w:t>
      </w:r>
    </w:p>
    <w:p w14:paraId="5CC226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服务发展目标：</w:t>
      </w:r>
      <w:r>
        <w:rPr>
          <w:rFonts w:hint="eastAsia" w:ascii="仿宋" w:hAnsi="仿宋" w:eastAsia="仿宋" w:cs="仿宋"/>
          <w:b w:val="0"/>
          <w:bCs w:val="0"/>
          <w:sz w:val="32"/>
          <w:szCs w:val="32"/>
          <w:lang w:eastAsia="zh-CN"/>
        </w:rPr>
        <w:t>增强“巾帼促发展”的贡献力与实效性。</w:t>
      </w:r>
      <w:r>
        <w:rPr>
          <w:rFonts w:hint="eastAsia" w:ascii="仿宋" w:hAnsi="仿宋" w:eastAsia="仿宋" w:cs="仿宋"/>
          <w:b/>
          <w:bCs/>
          <w:sz w:val="32"/>
          <w:szCs w:val="32"/>
          <w:lang w:eastAsia="zh-CN"/>
        </w:rPr>
        <w:t>创业就业支持度：</w:t>
      </w:r>
      <w:r>
        <w:rPr>
          <w:rFonts w:hint="eastAsia" w:ascii="仿宋" w:hAnsi="仿宋" w:eastAsia="仿宋" w:cs="仿宋"/>
          <w:b w:val="0"/>
          <w:bCs w:val="0"/>
          <w:sz w:val="32"/>
          <w:szCs w:val="32"/>
          <w:lang w:eastAsia="zh-CN"/>
        </w:rPr>
        <w:t>每年举办“春风行动”等专场招聘会不少于1场，参与企业不少于80家，提供有效岗位不少于800个，达成初步就业意向不少于150人。</w:t>
      </w:r>
      <w:r>
        <w:rPr>
          <w:rFonts w:hint="eastAsia" w:ascii="仿宋" w:hAnsi="仿宋" w:eastAsia="仿宋" w:cs="仿宋"/>
          <w:b/>
          <w:bCs/>
          <w:sz w:val="32"/>
          <w:szCs w:val="32"/>
          <w:lang w:eastAsia="zh-CN"/>
        </w:rPr>
        <w:t>职业能力提升率：</w:t>
      </w:r>
      <w:r>
        <w:rPr>
          <w:rFonts w:hint="eastAsia" w:ascii="仿宋" w:hAnsi="仿宋" w:eastAsia="仿宋" w:cs="仿宋"/>
          <w:b w:val="0"/>
          <w:bCs w:val="0"/>
          <w:sz w:val="32"/>
          <w:szCs w:val="32"/>
          <w:lang w:eastAsia="zh-CN"/>
        </w:rPr>
        <w:t>开展创业就业指导、职业规划讲座进高校、进社区活动不少于4场，直接服务大中专学生及待业女性不少于600人次。</w:t>
      </w:r>
      <w:r>
        <w:rPr>
          <w:rFonts w:hint="eastAsia" w:ascii="仿宋" w:hAnsi="仿宋" w:eastAsia="仿宋" w:cs="仿宋"/>
          <w:b/>
          <w:bCs/>
          <w:sz w:val="32"/>
          <w:szCs w:val="32"/>
          <w:lang w:eastAsia="zh-CN"/>
        </w:rPr>
        <w:t>服务大局契合度：</w:t>
      </w:r>
      <w:r>
        <w:rPr>
          <w:rFonts w:hint="eastAsia" w:ascii="仿宋" w:hAnsi="仿宋" w:eastAsia="仿宋" w:cs="仿宋"/>
          <w:b w:val="0"/>
          <w:bCs w:val="0"/>
          <w:sz w:val="32"/>
          <w:szCs w:val="32"/>
          <w:lang w:eastAsia="zh-CN"/>
        </w:rPr>
        <w:t>围绕区委区政府年度重点任务（如旅发大会），组织发动至少1支巾帼志愿服务队或专业女性团队开展特色服务，形成可评估的服务成果报告。</w:t>
      </w:r>
    </w:p>
    <w:p w14:paraId="7140CF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维权维稳目标：</w:t>
      </w:r>
      <w:r>
        <w:rPr>
          <w:rFonts w:hint="eastAsia" w:ascii="仿宋" w:hAnsi="仿宋" w:eastAsia="仿宋" w:cs="仿宋"/>
          <w:b w:val="0"/>
          <w:bCs w:val="0"/>
          <w:sz w:val="32"/>
          <w:szCs w:val="32"/>
          <w:lang w:eastAsia="zh-CN"/>
        </w:rPr>
        <w:t>强化“巾帼护权益”的保障力与精准度。</w:t>
      </w:r>
      <w:r>
        <w:rPr>
          <w:rFonts w:hint="eastAsia" w:ascii="仿宋" w:hAnsi="仿宋" w:eastAsia="仿宋" w:cs="仿宋"/>
          <w:b/>
          <w:bCs/>
          <w:sz w:val="32"/>
          <w:szCs w:val="32"/>
          <w:lang w:eastAsia="zh-CN"/>
        </w:rPr>
        <w:t>普法宣传覆盖面：</w:t>
      </w:r>
      <w:r>
        <w:rPr>
          <w:rFonts w:hint="eastAsia" w:ascii="仿宋" w:hAnsi="仿宋" w:eastAsia="仿宋" w:cs="仿宋"/>
          <w:b w:val="0"/>
          <w:bCs w:val="0"/>
          <w:sz w:val="32"/>
          <w:szCs w:val="32"/>
          <w:lang w:eastAsia="zh-CN"/>
        </w:rPr>
        <w:t>利用“三八”维权周等重要节点，开展线上线下普法宣传活动不少于20场次，直接受益群众不少于3000人次，发放宣传资料不少于5000份。</w:t>
      </w:r>
      <w:r>
        <w:rPr>
          <w:rFonts w:hint="eastAsia" w:ascii="仿宋" w:hAnsi="仿宋" w:eastAsia="仿宋" w:cs="仿宋"/>
          <w:b/>
          <w:bCs/>
          <w:sz w:val="32"/>
          <w:szCs w:val="32"/>
          <w:lang w:eastAsia="zh-CN"/>
        </w:rPr>
        <w:t>纠纷化解有效率：</w:t>
      </w:r>
      <w:r>
        <w:rPr>
          <w:rFonts w:hint="eastAsia" w:ascii="仿宋" w:hAnsi="仿宋" w:eastAsia="仿宋" w:cs="仿宋"/>
          <w:b w:val="0"/>
          <w:bCs w:val="0"/>
          <w:sz w:val="32"/>
          <w:szCs w:val="32"/>
          <w:lang w:eastAsia="zh-CN"/>
        </w:rPr>
        <w:t>婚姻家庭纠纷人民调解委员会年度受理调解案件结案率达到90%以上，群众对调解服务的满意度达到85%以上。健全并100%执行重大事项报告及排查机制。</w:t>
      </w:r>
      <w:r>
        <w:rPr>
          <w:rFonts w:hint="eastAsia" w:ascii="仿宋" w:hAnsi="仿宋" w:eastAsia="仿宋" w:cs="仿宋"/>
          <w:b/>
          <w:bCs/>
          <w:sz w:val="32"/>
          <w:szCs w:val="32"/>
          <w:lang w:eastAsia="zh-CN"/>
        </w:rPr>
        <w:t>维权服务可及性：</w:t>
      </w:r>
      <w:r>
        <w:rPr>
          <w:rFonts w:hint="eastAsia" w:ascii="仿宋" w:hAnsi="仿宋" w:eastAsia="仿宋" w:cs="仿宋"/>
          <w:b w:val="0"/>
          <w:bCs w:val="0"/>
          <w:sz w:val="32"/>
          <w:szCs w:val="32"/>
          <w:lang w:eastAsia="zh-CN"/>
        </w:rPr>
        <w:t>全年为妇女儿童提供法律咨询、心理疏导、困难帮扶等综合性维权服务不少于100例，信访事项办结率达到95%以上。</w:t>
      </w:r>
    </w:p>
    <w:p w14:paraId="0C4ADE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家庭建设目标：</w:t>
      </w:r>
      <w:r>
        <w:rPr>
          <w:rFonts w:hint="eastAsia" w:ascii="仿宋" w:hAnsi="仿宋" w:eastAsia="仿宋" w:cs="仿宋"/>
          <w:b w:val="0"/>
          <w:bCs w:val="0"/>
          <w:sz w:val="32"/>
          <w:szCs w:val="32"/>
          <w:lang w:eastAsia="zh-CN"/>
        </w:rPr>
        <w:t>扩大“巾帼新风尚”的影响力与感染力。</w:t>
      </w:r>
      <w:r>
        <w:rPr>
          <w:rFonts w:hint="eastAsia" w:ascii="仿宋" w:hAnsi="仿宋" w:eastAsia="仿宋" w:cs="仿宋"/>
          <w:b/>
          <w:bCs/>
          <w:sz w:val="32"/>
          <w:szCs w:val="32"/>
          <w:lang w:eastAsia="zh-CN"/>
        </w:rPr>
        <w:t>家庭教育服务量：</w:t>
      </w:r>
      <w:r>
        <w:rPr>
          <w:rFonts w:hint="eastAsia" w:ascii="仿宋" w:hAnsi="仿宋" w:eastAsia="仿宋" w:cs="仿宋"/>
          <w:b w:val="0"/>
          <w:bCs w:val="0"/>
          <w:sz w:val="32"/>
          <w:szCs w:val="32"/>
          <w:lang w:eastAsia="zh-CN"/>
        </w:rPr>
        <w:t>全面完成省级“向阳花”行动指标，年度开展线下家庭教育指导服务活动不少于40场，服务家长不少于1200人；线上服务覆盖家长不少于13000人。力争超额完成，活动场次及人数完成率不低于100%。</w:t>
      </w:r>
      <w:r>
        <w:rPr>
          <w:rFonts w:hint="eastAsia" w:ascii="仿宋" w:hAnsi="仿宋" w:eastAsia="仿宋" w:cs="仿宋"/>
          <w:b/>
          <w:bCs/>
          <w:sz w:val="32"/>
          <w:szCs w:val="32"/>
          <w:lang w:eastAsia="zh-CN"/>
        </w:rPr>
        <w:t>家风建设融合度：</w:t>
      </w:r>
      <w:r>
        <w:rPr>
          <w:rFonts w:hint="eastAsia" w:ascii="仿宋" w:hAnsi="仿宋" w:eastAsia="仿宋" w:cs="仿宋"/>
          <w:b w:val="0"/>
          <w:bCs w:val="0"/>
          <w:sz w:val="32"/>
          <w:szCs w:val="32"/>
          <w:lang w:eastAsia="zh-CN"/>
        </w:rPr>
        <w:t>将清廉家庭建设与家风家教深度融合，全年举办各类清廉家风、科学家教主题故事分享或实践活动不少于6场，参与家庭不少于300户。</w:t>
      </w:r>
      <w:r>
        <w:rPr>
          <w:rFonts w:hint="eastAsia" w:ascii="仿宋" w:hAnsi="仿宋" w:eastAsia="仿宋" w:cs="仿宋"/>
          <w:b/>
          <w:bCs/>
          <w:sz w:val="32"/>
          <w:szCs w:val="32"/>
          <w:lang w:eastAsia="zh-CN"/>
        </w:rPr>
        <w:t>工作品牌辨识度：</w:t>
      </w:r>
      <w:r>
        <w:rPr>
          <w:rFonts w:hint="eastAsia" w:ascii="仿宋" w:hAnsi="仿宋" w:eastAsia="仿宋" w:cs="仿宋"/>
          <w:b w:val="0"/>
          <w:bCs w:val="0"/>
          <w:sz w:val="32"/>
          <w:szCs w:val="32"/>
          <w:lang w:eastAsia="zh-CN"/>
        </w:rPr>
        <w:t>打造至少1个在全区具有一定知名度和美誉度的家庭工作品牌或项目（如“最美家庭”寻访、特色家长学校等）。</w:t>
      </w:r>
    </w:p>
    <w:p w14:paraId="437971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楷体" w:hAnsi="楷体" w:eastAsia="楷体" w:cs="楷体"/>
          <w:b/>
          <w:bCs/>
          <w:sz w:val="32"/>
          <w:szCs w:val="32"/>
          <w:lang w:eastAsia="zh-CN"/>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lang w:eastAsia="zh-CN"/>
        </w:rPr>
        <w:t>关爱服务目标：</w:t>
      </w:r>
      <w:r>
        <w:rPr>
          <w:rFonts w:hint="eastAsia" w:ascii="仿宋" w:hAnsi="仿宋" w:eastAsia="仿宋" w:cs="仿宋"/>
          <w:b w:val="0"/>
          <w:bCs w:val="0"/>
          <w:sz w:val="32"/>
          <w:szCs w:val="32"/>
          <w:lang w:eastAsia="zh-CN"/>
        </w:rPr>
        <w:t>彰显“巾帼暖人心”的凝聚力与温度。</w:t>
      </w:r>
      <w:r>
        <w:rPr>
          <w:rFonts w:hint="eastAsia" w:ascii="仿宋" w:hAnsi="仿宋" w:eastAsia="仿宋" w:cs="仿宋"/>
          <w:b/>
          <w:bCs/>
          <w:sz w:val="32"/>
          <w:szCs w:val="32"/>
          <w:lang w:eastAsia="zh-CN"/>
        </w:rPr>
        <w:t>民生实事完成率：</w:t>
      </w:r>
      <w:r>
        <w:rPr>
          <w:rFonts w:hint="eastAsia" w:ascii="仿宋" w:hAnsi="仿宋" w:eastAsia="仿宋" w:cs="仿宋"/>
          <w:b w:val="0"/>
          <w:bCs w:val="0"/>
          <w:sz w:val="32"/>
          <w:szCs w:val="32"/>
          <w:lang w:eastAsia="zh-CN"/>
        </w:rPr>
        <w:t>农村及城镇低保适龄妇女“两癌”免费检查任务完成率达到100%，检查人数不低于年度下达指标（如756人）。</w:t>
      </w:r>
      <w:r>
        <w:rPr>
          <w:rFonts w:hint="eastAsia" w:ascii="仿宋" w:hAnsi="仿宋" w:eastAsia="仿宋" w:cs="仿宋"/>
          <w:b/>
          <w:bCs/>
          <w:sz w:val="32"/>
          <w:szCs w:val="32"/>
          <w:lang w:eastAsia="zh-CN"/>
        </w:rPr>
        <w:t>特殊群体关爱度：</w:t>
      </w:r>
      <w:r>
        <w:rPr>
          <w:rFonts w:hint="eastAsia" w:ascii="仿宋" w:hAnsi="仿宋" w:eastAsia="仿宋" w:cs="仿宋"/>
          <w:b w:val="0"/>
          <w:bCs w:val="0"/>
          <w:sz w:val="32"/>
          <w:szCs w:val="32"/>
          <w:lang w:eastAsia="zh-CN"/>
        </w:rPr>
        <w:t>每年针对困境妇女、留守儿童等特殊群体开展集中关爱慰问或帮扶活动不少于4次，惠及不少于50人次。确保上年度募捐善款在当年度100%用于指定救助。</w:t>
      </w:r>
      <w:r>
        <w:rPr>
          <w:rFonts w:hint="eastAsia" w:ascii="仿宋" w:hAnsi="仿宋" w:eastAsia="仿宋" w:cs="仿宋"/>
          <w:b/>
          <w:bCs/>
          <w:sz w:val="32"/>
          <w:szCs w:val="32"/>
          <w:lang w:eastAsia="zh-CN"/>
        </w:rPr>
        <w:t>健康保障普及率：</w:t>
      </w:r>
      <w:r>
        <w:rPr>
          <w:rFonts w:hint="eastAsia" w:ascii="仿宋" w:hAnsi="仿宋" w:eastAsia="仿宋" w:cs="仿宋"/>
          <w:b w:val="0"/>
          <w:bCs w:val="0"/>
          <w:sz w:val="32"/>
          <w:szCs w:val="32"/>
          <w:lang w:eastAsia="zh-CN"/>
        </w:rPr>
        <w:t>积极推广“湘女关爱保”等健康保险，年度参保人数或覆盖率较上年实现稳步增长。为符合条件的低收入“两癌”妇女申报救助成功率不低于50%。</w:t>
      </w:r>
      <w:r>
        <w:rPr>
          <w:rFonts w:hint="eastAsia" w:ascii="仿宋" w:hAnsi="仿宋" w:eastAsia="仿宋" w:cs="仿宋"/>
          <w:b/>
          <w:bCs/>
          <w:sz w:val="32"/>
          <w:szCs w:val="32"/>
          <w:lang w:eastAsia="zh-CN"/>
        </w:rPr>
        <w:t>资源链接有效性：</w:t>
      </w:r>
      <w:r>
        <w:rPr>
          <w:rFonts w:hint="eastAsia" w:ascii="仿宋" w:hAnsi="仿宋" w:eastAsia="仿宋" w:cs="仿宋"/>
          <w:b w:val="0"/>
          <w:bCs w:val="0"/>
          <w:sz w:val="32"/>
          <w:szCs w:val="32"/>
          <w:lang w:eastAsia="zh-CN"/>
        </w:rPr>
        <w:t>成功链接至少2家爱心企业或社会组织，为妇女儿童关爱项目提供稳定的物资或资金支持。</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0" w:name="_Toc6424"/>
      <w:bookmarkStart w:id="41" w:name="_Toc29770"/>
      <w:bookmarkStart w:id="42" w:name="_Toc27026"/>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8508"/>
      <w:bookmarkStart w:id="44" w:name="_Toc10865"/>
      <w:bookmarkStart w:id="45" w:name="_Toc27148"/>
      <w:r>
        <w:rPr>
          <w:rFonts w:hint="eastAsia" w:ascii="楷体" w:hAnsi="楷体" w:eastAsia="楷体" w:cs="楷体"/>
          <w:b/>
          <w:bCs/>
          <w:sz w:val="32"/>
          <w:szCs w:val="32"/>
          <w:lang w:val="en-US" w:eastAsia="zh-CN"/>
        </w:rPr>
        <w:t>（一）评价框架</w:t>
      </w:r>
      <w:bookmarkEnd w:id="43"/>
      <w:bookmarkEnd w:id="44"/>
      <w:bookmarkEnd w:id="45"/>
    </w:p>
    <w:p w14:paraId="46EE98AD">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61A01A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46FE2DB3">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7412"/>
      <w:bookmarkStart w:id="47" w:name="_Toc25462"/>
      <w:bookmarkStart w:id="48" w:name="_Toc15697"/>
      <w:r>
        <w:rPr>
          <w:rFonts w:hint="eastAsia" w:ascii="楷体" w:hAnsi="楷体" w:eastAsia="楷体" w:cs="楷体"/>
          <w:b/>
          <w:bCs/>
          <w:sz w:val="32"/>
          <w:szCs w:val="32"/>
          <w:highlight w:val="none"/>
          <w:lang w:val="en-US" w:eastAsia="zh-CN"/>
        </w:rPr>
        <w:t>（二）评价分析</w:t>
      </w:r>
      <w:bookmarkEnd w:id="46"/>
      <w:bookmarkEnd w:id="47"/>
      <w:bookmarkEnd w:id="48"/>
    </w:p>
    <w:p w14:paraId="01580A3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1.总分100分，得分84分，扣分16分，详见后述绩效评价得分扣分表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6"/>
        <w:gridCol w:w="2076"/>
        <w:gridCol w:w="907"/>
        <w:gridCol w:w="696"/>
        <w:gridCol w:w="696"/>
        <w:gridCol w:w="742"/>
        <w:gridCol w:w="3551"/>
        <w:gridCol w:w="3784"/>
      </w:tblGrid>
      <w:tr w14:paraId="5DA0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8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8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79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E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6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0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w:t>
            </w: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4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扣分说明</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8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w:t>
            </w:r>
          </w:p>
        </w:tc>
      </w:tr>
      <w:tr w14:paraId="3611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6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投入（20分）</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542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目标设定（10分）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3E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绩效目标合理性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1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7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2634">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EAD9">
            <w:pPr>
              <w:jc w:val="left"/>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6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符合国家法律法规、国民经济和社会发展总体规划；②是否符合部门“三定”方案确定的职责；③是否符合部门制定的发展实施规划和年度主要工作计划；④所属部门（单位）编报预算时是否按要求编制绩效目标。</w:t>
            </w:r>
          </w:p>
        </w:tc>
      </w:tr>
      <w:tr w14:paraId="35DB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A8C0">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256CB">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E8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绩效指标明确性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8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EF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FF5D">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D50E2">
            <w:pPr>
              <w:jc w:val="left"/>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98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将部门整体的绩效目标细化分解为具体的工作任务；②是否通过清晰、可衡量的指标值予以体现；③是否将项目绩效目标与部门年度的任务数或计划数相对应：④是否与本年度部门预算资金相匹配，是否对下属部门（单位）预算编报的绩效目标进行审核。</w:t>
            </w:r>
          </w:p>
        </w:tc>
      </w:tr>
      <w:tr w14:paraId="0924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B14E">
            <w:pPr>
              <w:jc w:val="center"/>
              <w:rPr>
                <w:rFonts w:hint="eastAsia" w:ascii="宋体" w:hAnsi="宋体" w:eastAsia="宋体" w:cs="宋体"/>
                <w:i w:val="0"/>
                <w:iCs w:val="0"/>
                <w:color w:val="000000"/>
                <w:sz w:val="24"/>
                <w:szCs w:val="24"/>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592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预算编制与配置（10分）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28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6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83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4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09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人员控制率为150%。</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1F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在职人员数/编制数）×100%。聘用人员控制率≤人社和编办共同批复的人数；在职人员数：部门（单位）实际在职人数，以财政部门确定的部门决算编制口径为准。编制数：机构编制部门核定批复的部门（单位）的人员编制数。</w:t>
            </w:r>
          </w:p>
        </w:tc>
      </w:tr>
      <w:tr w14:paraId="317F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002B">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AB3E">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4F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预算编制科学性与配置合理性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A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8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610B">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E205">
            <w:pPr>
              <w:jc w:val="left"/>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596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预算编制科学性，预算与政策目标的匹配度与预算标准合理性。</w:t>
            </w:r>
          </w:p>
        </w:tc>
      </w:tr>
      <w:tr w14:paraId="126D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0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过程（30分）</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6F0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预算执行（10分）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98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预算约束合规性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F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7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42A3">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16E3">
            <w:pPr>
              <w:jc w:val="left"/>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C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预算约束：支出是否严格遵循人大批准的预算，有无超预算、无预算开支的现象。</w:t>
            </w:r>
          </w:p>
        </w:tc>
      </w:tr>
      <w:tr w14:paraId="55F6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F15B">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57EE">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7D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5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89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D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A6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1.存在基本支出挤占项目支出的情况。</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88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27D2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1B43">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E7122">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79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0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A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C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FB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1.业务发生时间早于合同签订时间。</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B7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程序合规：政府采购、国库集中支付、资产管理等环节是否符合法律法规和制度规定。</w:t>
            </w:r>
          </w:p>
        </w:tc>
      </w:tr>
      <w:tr w14:paraId="1802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80AB">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2A9F">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52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进度匹配度</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9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2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6F3F">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99C8">
            <w:pPr>
              <w:jc w:val="left"/>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8F5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分项支出进度： 基本支出（人员工资、办公经费）和项目支出（专项业务、事业发展项目）各自的执行进度如何。</w:t>
            </w:r>
          </w:p>
        </w:tc>
      </w:tr>
      <w:tr w14:paraId="5B0A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3104">
            <w:pPr>
              <w:jc w:val="center"/>
              <w:rPr>
                <w:rFonts w:hint="eastAsia" w:ascii="宋体" w:hAnsi="宋体" w:eastAsia="宋体" w:cs="宋体"/>
                <w:i w:val="0"/>
                <w:iCs w:val="0"/>
                <w:color w:val="000000"/>
                <w:sz w:val="24"/>
                <w:szCs w:val="24"/>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0FB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部门管理（15分）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A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管理制度健全性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E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D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C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C1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未提供其他管理制度。如：预算管理制度，内部控制制度，政府采购管理制度，合同管理制度，专项资金管理办法，绩效管理制度，信息化管理制度，决算与财务报告制度，监督与审计制度等。2.项目支出后附三重一大开会记录，但财务管理制度未明确规定三重一大的最低金额。</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C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①部门（单位）内控制度、内部财务管理制度和会计核算制度是否健全；②相关管理制度是否合法、合规、完整、有效；</w:t>
            </w:r>
          </w:p>
        </w:tc>
      </w:tr>
      <w:tr w14:paraId="1F84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EE22">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19BFD">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F3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制度执行有效性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F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83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3EF0">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F99C">
            <w:pPr>
              <w:jc w:val="left"/>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B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①相关管理制度是否得到有效执行；②是否存在整改情况；</w:t>
            </w:r>
          </w:p>
        </w:tc>
      </w:tr>
      <w:tr w14:paraId="7FD8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3739">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78785">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E7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预决算信息公开化</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7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7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BB94">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48F5">
            <w:pPr>
              <w:jc w:val="left"/>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F3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①无涉密情况的预算单位按规定及时、准确、完整地公开预决算和绩效管理信息；②基础数据信息和会计信息资料真实、准确、完整；</w:t>
            </w:r>
          </w:p>
        </w:tc>
      </w:tr>
      <w:tr w14:paraId="798C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34D5">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EA98">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5A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报销凭证的合规性与时效性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4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B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7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09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统发工资后附国库支付单，无回单，无审批。2.后附计提五险一金表无计提供依据，无本单位领导及人力资源审批签字。3.住房公积金缴纳清册，无人力资源盖章及交通补贴津贴缺乏人力资源或组织部门的审核盖章。由本单位领导签字，无人力资源或组织部审核。4.发放退休人员补贴由本单位领导签字，无人力资源审核，无回单。5.花名册未反映人员的动态管理过程。6.存在超编情况，且未提供王萍的借调协议，未对关于“社会保险”、“费用承担”等条款作出明确约定。王萍编制不在妇联，其统发工资及绩效未在区妇联发放，但津贴补贴、体检费、医保铺底在区妇联缴纳，在妇联的医保铺底，国库支付给雁峰区总工会工会经费专户。7.调入人员唐翠婷2024年7月调入，补缴住房公积金为2022.6-2024.4。该期间其并未在区妇联就职，但此期间的住房公积金在区妇联补缴。此公积金金额由原单位转入。就职该单位时间与住房公积金补缴时间不匹配。8.2024年2月2号凭证，支付出手吧姐姐2023关爱困境妇女儿童金1万元后附国库支付单、收据、方案、清单、慰问统计表及公示，未填写统计表上执行单位经手人及联系方式、执行单位证明人及联系方式。9.2024年2月1号凭证，支付出手吧姐姐2023关爱困境妇女儿童金0.9万元直接打在雁峰区教育局账上或雁峰分局账上，款项未直接打入帮扶个人账上。</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AE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资金分配及时性（转移支付下达时效，资金保障有效性；是否接受检查，受过处罚或上缴财政资金情况</w:t>
            </w:r>
          </w:p>
        </w:tc>
      </w:tr>
      <w:tr w14:paraId="7270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36A1">
            <w:pPr>
              <w:jc w:val="center"/>
              <w:rPr>
                <w:rFonts w:hint="eastAsia" w:ascii="宋体" w:hAnsi="宋体" w:eastAsia="宋体" w:cs="宋体"/>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8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资产管理（5分）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8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资产管理有效性</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8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F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243D">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6089">
            <w:pPr>
              <w:jc w:val="left"/>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4B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资产保存是否完整并有台账；②资产配置是否合理，是否有闲置现象；③资产处置是否规范；④资产账务管理是否合规，是否账实相符；⑤是否完成国有“三资”盘活工作，资产是否有偿使用或处置收入及时足额上缴；⑥相关资产购置是否履行政府采购手续，外租资产是否走合规程序；⑦资产是否定期进行盘点并有记录。</w:t>
            </w:r>
          </w:p>
        </w:tc>
      </w:tr>
      <w:tr w14:paraId="15C7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0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产出（20分）</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E58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职能工作完成率（10分）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3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思想引领活动完成率</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0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894D">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C732">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65B71D2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是否按计划完成年度主题学习教育、典型选树宣传及重大节庆主题活动。- 量化参考：①完成"最美家庭"（17户）、"最美妇联人"（12位）等典型选树与宣传；②成功举办"巾帼建功旅发会"等"三八"系列庆祝活动，且主要领导参与授旗。</w:t>
            </w:r>
          </w:p>
        </w:tc>
      </w:tr>
      <w:tr w14:paraId="46B8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1797">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CDB0">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1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维权普法活动完成率</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8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38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F9B5">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16E9">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24AE4C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是否按计划在重要节点常态化开展线上线下普法宣传。- 量化参考：总结中提到抓住"三八"维权周、国际家庭日等节点，通过多种形式全面落实多项法律法规的普法宣传。评审时需查验活动方案、记录、宣传资料及覆盖人次。</w:t>
            </w:r>
          </w:p>
        </w:tc>
      </w:tr>
      <w:tr w14:paraId="78A1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C20A">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96CE0">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82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家庭教育活动完成率</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A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4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636B">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90F8">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5D453D3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是否完成或超额完成上级下达的家庭教育指导服务任务。- 量化参考：省级"向阳花"行动线下课程目标40场/1200人，实际完成41场/2132人（完成率102%/178%）；线上服务13361人。此项为硬性指标，超额完成可加分。</w:t>
            </w:r>
          </w:p>
        </w:tc>
      </w:tr>
      <w:tr w14:paraId="1D2C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F19B">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5A4EA">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A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关爱服务活动完成率</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5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20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FEA7">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D316">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4121246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是否定期开展对困境妇儿、留守儿童的关爱慰问活动，并完成年度民生实事。- 量化参考：①开展了"我为妇女办实事"、春节慰问、贫困学生走访等系列关爱活动；②"两癌"免费检查完成756人，任务完成率100.8%。</w:t>
            </w:r>
          </w:p>
        </w:tc>
      </w:tr>
      <w:tr w14:paraId="0D76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C31C">
            <w:pPr>
              <w:jc w:val="center"/>
              <w:rPr>
                <w:rFonts w:hint="eastAsia" w:ascii="宋体" w:hAnsi="宋体" w:eastAsia="宋体" w:cs="宋体"/>
                <w:i w:val="0"/>
                <w:iCs w:val="0"/>
                <w:color w:val="000000"/>
                <w:sz w:val="24"/>
                <w:szCs w:val="24"/>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B8B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重点工作办结率（10分）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C1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"春风行动"招聘会办结率</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4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6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F0D2">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E5C8">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1F48981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是否成功举办并取得实效。- 量化参考：联合人社局举办专场招聘会，吸引近百家企业、提供近千岗位，咨询近千人，收简历150份。评审需查验活动总结、企业及岗位清单、成效数据。</w:t>
            </w:r>
          </w:p>
        </w:tc>
      </w:tr>
      <w:tr w14:paraId="2158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A7CC">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8FCC6">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C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"向阳花"重点民生项目办结率</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D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56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8C7A">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D817">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4243E88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是否作为省级重点民生实事高标准完成。- 量化参考：此为重点工作，考核是否"走深走实"。不仅看场次和人数超额完成，还要评审活动进村、进社区、进学校的落实情况及活动质量反馈。</w:t>
            </w:r>
          </w:p>
        </w:tc>
      </w:tr>
      <w:tr w14:paraId="608B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9224">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5369">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1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"两癌"检查与救助办结率</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6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7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EDCE">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1BFE">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65C2382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是否做细做实检查工作，并积极为困难妇女争取救助。- 量化参考：①检查任务100%完成；②为6名低收入"两癌"妇女上报材料争取全国妇联救助，成功3名。评审需核查检查名单、完成报告及救助申请材料。</w:t>
            </w:r>
          </w:p>
        </w:tc>
      </w:tr>
      <w:tr w14:paraId="7749F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F5AF">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E9003">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F9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专项募捐善款使用办结率</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C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B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EC9F">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5528">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7A5649E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上年度募捐善款是否在当年度依法依规、全部用于指定用途。- 量化参考：将"出手吧姐姐"募集的9.7万元善款全部用于救助困境妇女儿童。评审需严格审计善款支出凭证、救助对象清单及发放记录。</w:t>
            </w:r>
          </w:p>
        </w:tc>
      </w:tr>
      <w:tr w14:paraId="286B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0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效益（30分）</w:t>
            </w: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AB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社会效益（20分）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9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政治引领与凝聚力效益</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30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C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6118">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2C99">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1AA1AA7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是否有效凝聚妇女思想共识，服务区委中心工作。- 量化参考：通过系列活动，引导妇女"巾帼心向党"，并围绕旅发大会等中心工作贡献力量的实绩（如授旗、志愿服务等具体行动）。</w:t>
            </w:r>
          </w:p>
        </w:tc>
      </w:tr>
      <w:tr w14:paraId="2FB0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8B0D">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2C583">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9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促进就业与创业指导效益</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7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1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E3AF">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EDF3">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5ADA6FA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活动是否切实提升了参与者的就业创业能力，缓解了就业压力。- 量化参考："春风行动"提供大量岗位与咨询；"创业就业进高校"活动旨在提升学生规划能力。效益体现在参与者的满意度及后续就业创业跟踪情况。</w:t>
            </w:r>
          </w:p>
        </w:tc>
      </w:tr>
      <w:tr w14:paraId="22A4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2D4C">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65A9D">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8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权益保障与矛盾化解效益</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C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F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4CBB">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8709">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6614621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普法宣传是否提升妇女法治意识，调解机制是否有效源头化解纠纷。- 量化参考：通过常态化普法与婚姻家庭纠纷调解委员会工作，实现"增强法治意识、理性表达诉求、源头化解矛盾"的目标。评审可参考调解成功率、信访量变化等。</w:t>
            </w:r>
          </w:p>
        </w:tc>
      </w:tr>
      <w:tr w14:paraId="0B91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9254">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7AE5">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E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家风建设与家庭文明效益</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C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A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357F">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9F9B">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26D0EA4B">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是否推动了全区家庭家教家风水平提升和清廉家庭建设。- 量化参考：通过"最美家庭"评选、清廉故事分享会（6场）等活动，深化文明家风建设，探索建立家庭助廉长效机制，形成鲜明"巾帼新风尚"。</w:t>
            </w:r>
          </w:p>
        </w:tc>
      </w:tr>
      <w:tr w14:paraId="227A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B700">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E90F">
            <w:pPr>
              <w:jc w:val="center"/>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4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妇儿关爱与健康保障效益</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8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5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3B75">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7655">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35D50E6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关爱行动与健康服务是否切实增强了目标群体的获得感、幸福感、安全感。- 量化参考：①通过物资发放、慰问等活动传递关爱；②通过"两癌"检查实现疾病"早发现、早治疗"；③通过"湘女关爱保"推广为妇女健康增添保障。效益体现在覆盖面和群众口碑。</w:t>
            </w:r>
          </w:p>
        </w:tc>
      </w:tr>
      <w:tr w14:paraId="3405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7CB6">
            <w:pPr>
              <w:jc w:val="center"/>
              <w:rPr>
                <w:rFonts w:hint="eastAsia" w:ascii="宋体" w:hAnsi="宋体" w:eastAsia="宋体" w:cs="宋体"/>
                <w:i w:val="0"/>
                <w:iCs w:val="0"/>
                <w:color w:val="000000"/>
                <w:sz w:val="24"/>
                <w:szCs w:val="24"/>
                <w:u w:val="none"/>
              </w:rPr>
            </w:pPr>
          </w:p>
        </w:tc>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4EA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相关人员满意度（10分）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B2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9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A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6CA9">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53EA">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11F37B8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接受妇联直接服务的妇女、儿童、家庭对相关工作的满意程度。- 量化参考：通过问卷调查、电话回访等方式，了解参与招聘会、家庭教育讲座、"两癌"检查、关爱慰问等活动对象的满意度，目标值建议设定在90%以上。</w:t>
            </w:r>
          </w:p>
        </w:tc>
      </w:tr>
      <w:tr w14:paraId="76DD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FA63">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5281">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0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合作单位满意度</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0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2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47BB">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7D97">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top"/>
          </w:tcPr>
          <w:p w14:paraId="6E2768E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区人社局、教育局、爱心企业（如欧莱雅、尚洁家政）等协作单位对妇联合作成效的认可度。- 量化参考：通过正式沟通或意见征询函，获取合作单位对妇联在联合举办活动、资源对接等方面的组织协调能力与工作成效的评价。</w:t>
            </w:r>
          </w:p>
        </w:tc>
      </w:tr>
      <w:tr w14:paraId="1ED5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466E">
            <w:pPr>
              <w:jc w:val="center"/>
              <w:rPr>
                <w:rFonts w:hint="eastAsia" w:ascii="宋体" w:hAnsi="宋体" w:eastAsia="宋体" w:cs="宋体"/>
                <w:i w:val="0"/>
                <w:iCs w:val="0"/>
                <w:color w:val="000000"/>
                <w:sz w:val="24"/>
                <w:szCs w:val="24"/>
                <w:u w:val="none"/>
              </w:rPr>
            </w:pPr>
          </w:p>
        </w:tc>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D0C9D">
            <w:pPr>
              <w:jc w:val="left"/>
              <w:rPr>
                <w:rFonts w:hint="eastAsia" w:ascii="宋体" w:hAnsi="宋体" w:eastAsia="宋体" w:cs="宋体"/>
                <w:i w:val="0"/>
                <w:iCs w:val="0"/>
                <w:color w:val="000000"/>
                <w:sz w:val="24"/>
                <w:szCs w:val="24"/>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F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上级与基层评价</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9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7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BB66">
            <w:pPr>
              <w:jc w:val="center"/>
              <w:rPr>
                <w:rFonts w:hint="eastAsia" w:ascii="宋体" w:hAnsi="宋体" w:eastAsia="宋体" w:cs="宋体"/>
                <w:i w:val="0"/>
                <w:iCs w:val="0"/>
                <w:color w:val="000000"/>
                <w:sz w:val="24"/>
                <w:szCs w:val="24"/>
                <w:u w:val="none"/>
              </w:rPr>
            </w:pPr>
          </w:p>
        </w:tc>
        <w:tc>
          <w:tcPr>
            <w:tcW w:w="1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30AC">
            <w:pPr>
              <w:jc w:val="center"/>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FCFCFC"/>
            <w:vAlign w:val="top"/>
          </w:tcPr>
          <w:p w14:paraId="5E54A46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上级妇联组织及区委区政府对妇联围绕中心、服务大局工作的评价；基层妇联组织对区妇联指导支持的满意度。- 量化参考：结合上级的考核反馈、表彰情况，以及基层妇联的工作反馈，综合评价其桥梁纽带作用和履职担当能力。</w:t>
            </w:r>
          </w:p>
        </w:tc>
      </w:tr>
      <w:tr w14:paraId="2BEF7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5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B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C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2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0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8C1F">
            <w:pPr>
              <w:jc w:val="left"/>
              <w:rPr>
                <w:rFonts w:hint="eastAsia" w:ascii="宋体" w:hAnsi="宋体" w:eastAsia="宋体" w:cs="宋体"/>
                <w:i w:val="0"/>
                <w:iCs w:val="0"/>
                <w:color w:val="000000"/>
                <w:sz w:val="24"/>
                <w:szCs w:val="24"/>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8852">
            <w:pPr>
              <w:rPr>
                <w:rFonts w:hint="eastAsia" w:ascii="宋体" w:hAnsi="宋体" w:eastAsia="宋体" w:cs="宋体"/>
                <w:i w:val="0"/>
                <w:iCs w:val="0"/>
                <w:color w:val="000000"/>
                <w:sz w:val="24"/>
                <w:szCs w:val="24"/>
                <w:u w:val="none"/>
              </w:rPr>
            </w:pPr>
          </w:p>
        </w:tc>
      </w:tr>
    </w:tbl>
    <w:p w14:paraId="45515A4A">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jc w:val="left"/>
        <w:rPr>
          <w:rFonts w:hint="eastAsia" w:ascii="仿宋" w:hAnsi="仿宋" w:eastAsia="仿宋" w:cs="仿宋"/>
          <w:b w:val="0"/>
          <w:bCs w:val="0"/>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9" w:name="_Toc26985"/>
      <w:bookmarkStart w:id="50" w:name="_Toc31438"/>
      <w:bookmarkStart w:id="51" w:name="_Toc11480"/>
      <w:r>
        <w:rPr>
          <w:rFonts w:hint="eastAsia" w:ascii="楷体" w:hAnsi="楷体" w:eastAsia="楷体" w:cs="楷体"/>
          <w:b/>
          <w:bCs/>
          <w:sz w:val="32"/>
          <w:szCs w:val="32"/>
          <w:lang w:val="en-US" w:eastAsia="zh-CN"/>
        </w:rPr>
        <w:t>（三）评价结果</w:t>
      </w:r>
      <w:bookmarkEnd w:id="49"/>
      <w:bookmarkEnd w:id="50"/>
      <w:bookmarkEnd w:id="51"/>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本次绩效评价结果采用综合评分定级的方法，根据项目收集相关资料、项目访谈以及相关的规定与标准，总分值为100分，评价等级分优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；得分在</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64D50FEB">
      <w:pPr>
        <w:pStyle w:val="7"/>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w:t>
      </w: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84</w:t>
      </w:r>
      <w:r>
        <w:rPr>
          <w:rFonts w:hint="eastAsia" w:ascii="仿宋" w:hAnsi="仿宋" w:eastAsia="仿宋" w:cs="仿宋"/>
          <w:b w:val="0"/>
          <w:bCs w:val="0"/>
          <w:i w:val="0"/>
          <w:iCs w:val="0"/>
          <w:caps w:val="0"/>
          <w:color w:val="000000"/>
          <w:spacing w:val="0"/>
          <w:sz w:val="32"/>
          <w:szCs w:val="32"/>
          <w:u w:val="none"/>
          <w:shd w:val="clear" w:fill="FFFFFF"/>
          <w:lang w:val="en-US" w:eastAsia="zh-CN"/>
        </w:rPr>
        <w:t>分，等级为“良好”。2024年区妇联</w:t>
      </w:r>
      <w:r>
        <w:rPr>
          <w:rFonts w:hint="eastAsia" w:ascii="仿宋" w:hAnsi="仿宋" w:eastAsia="仿宋" w:cs="仿宋"/>
          <w:b/>
          <w:bCs/>
          <w:i w:val="0"/>
          <w:iCs w:val="0"/>
          <w:caps w:val="0"/>
          <w:color w:val="000000"/>
          <w:spacing w:val="0"/>
          <w:sz w:val="32"/>
          <w:szCs w:val="32"/>
          <w:u w:val="none"/>
          <w:shd w:val="clear" w:fill="FFFFFF"/>
          <w:lang w:val="en-US" w:eastAsia="zh-CN"/>
        </w:rPr>
        <w:t>预算调整率为</w:t>
      </w:r>
      <w:r>
        <w:rPr>
          <w:rFonts w:hint="eastAsia" w:ascii="仿宋" w:hAnsi="仿宋" w:eastAsia="仿宋" w:cs="仿宋"/>
          <w:b/>
          <w:bCs/>
          <w:sz w:val="32"/>
          <w:szCs w:val="32"/>
          <w:highlight w:val="none"/>
          <w:lang w:val="en-US" w:eastAsia="zh-CN"/>
        </w:rPr>
        <w:t>33.56%</w:t>
      </w:r>
      <w:r>
        <w:rPr>
          <w:rFonts w:hint="eastAsia" w:ascii="仿宋" w:hAnsi="仿宋" w:eastAsia="仿宋" w:cs="仿宋"/>
          <w:b/>
          <w:bCs/>
          <w:i w:val="0"/>
          <w:iCs w:val="0"/>
          <w:caps w:val="0"/>
          <w:color w:val="000000"/>
          <w:spacing w:val="0"/>
          <w:sz w:val="32"/>
          <w:szCs w:val="32"/>
          <w:u w:val="none"/>
          <w:shd w:val="clear" w:fill="FFFFFF"/>
          <w:lang w:val="en-US" w:eastAsia="zh-CN"/>
        </w:rPr>
        <w:t>，预算整体执行率为</w:t>
      </w:r>
      <w:r>
        <w:rPr>
          <w:rFonts w:hint="eastAsia" w:ascii="仿宋" w:hAnsi="仿宋" w:eastAsia="仿宋" w:cs="仿宋"/>
          <w:b/>
          <w:bCs/>
          <w:sz w:val="32"/>
          <w:szCs w:val="32"/>
          <w:highlight w:val="none"/>
          <w:lang w:val="en-US" w:eastAsia="zh-CN"/>
        </w:rPr>
        <w:t>137.59%</w:t>
      </w:r>
      <w:r>
        <w:rPr>
          <w:rFonts w:hint="eastAsia" w:ascii="仿宋" w:hAnsi="仿宋" w:eastAsia="仿宋" w:cs="仿宋"/>
          <w:b/>
          <w:bCs/>
          <w:i w:val="0"/>
          <w:iCs w:val="0"/>
          <w:caps w:val="0"/>
          <w:color w:val="000000"/>
          <w:spacing w:val="0"/>
          <w:sz w:val="32"/>
          <w:szCs w:val="32"/>
          <w:u w:val="none"/>
          <w:shd w:val="clear" w:fill="FFFFFF"/>
          <w:lang w:val="en-US" w:eastAsia="zh-CN"/>
        </w:rPr>
        <w:t>，人员控制率为150%。</w:t>
      </w:r>
      <w:r>
        <w:rPr>
          <w:rFonts w:hint="eastAsia" w:ascii="仿宋" w:hAnsi="仿宋" w:eastAsia="仿宋" w:cs="仿宋"/>
          <w:b w:val="0"/>
          <w:bCs w:val="0"/>
          <w:i w:val="0"/>
          <w:iCs w:val="0"/>
          <w:caps w:val="0"/>
          <w:color w:val="000000"/>
          <w:spacing w:val="0"/>
          <w:sz w:val="32"/>
          <w:szCs w:val="32"/>
          <w:u w:val="none"/>
          <w:shd w:val="clear" w:fill="FFFFFF"/>
          <w:lang w:val="en-US" w:eastAsia="zh-CN"/>
        </w:rPr>
        <w:t>2024年区妇联</w:t>
      </w:r>
      <w:r>
        <w:rPr>
          <w:rFonts w:hint="eastAsia" w:ascii="仿宋" w:hAnsi="仿宋" w:eastAsia="仿宋" w:cs="Times New Roman"/>
          <w:b w:val="0"/>
          <w:bCs w:val="0"/>
          <w:color w:val="auto"/>
          <w:sz w:val="32"/>
          <w:szCs w:val="32"/>
        </w:rPr>
        <w:t>思想引领之基更牢，巾帼心向党更加坚定</w:t>
      </w:r>
      <w:r>
        <w:rPr>
          <w:rFonts w:hint="eastAsia" w:ascii="仿宋" w:hAnsi="仿宋" w:eastAsia="仿宋" w:cs="Times New Roman"/>
          <w:b w:val="0"/>
          <w:bCs w:val="0"/>
          <w:color w:val="auto"/>
          <w:sz w:val="32"/>
          <w:szCs w:val="32"/>
          <w:lang w:eastAsia="zh-CN"/>
        </w:rPr>
        <w:t>。</w:t>
      </w:r>
      <w:r>
        <w:rPr>
          <w:rFonts w:hint="eastAsia" w:ascii="仿宋" w:hAnsi="仿宋" w:eastAsia="仿宋" w:cs="Times New Roman"/>
          <w:b w:val="0"/>
          <w:bCs w:val="0"/>
          <w:color w:val="auto"/>
          <w:sz w:val="32"/>
          <w:szCs w:val="32"/>
        </w:rPr>
        <w:t>发展赋能之力更强，巾帼促发展更有实效</w:t>
      </w:r>
      <w:r>
        <w:rPr>
          <w:rFonts w:hint="eastAsia" w:ascii="仿宋" w:hAnsi="仿宋" w:eastAsia="仿宋" w:cs="Times New Roman"/>
          <w:b w:val="0"/>
          <w:bCs w:val="0"/>
          <w:color w:val="auto"/>
          <w:sz w:val="32"/>
          <w:szCs w:val="32"/>
          <w:lang w:eastAsia="zh-CN"/>
        </w:rPr>
        <w:t>。</w:t>
      </w:r>
      <w:r>
        <w:rPr>
          <w:rFonts w:hint="eastAsia" w:ascii="仿宋" w:hAnsi="仿宋" w:eastAsia="仿宋" w:cs="Times New Roman"/>
          <w:b w:val="0"/>
          <w:bCs w:val="0"/>
          <w:color w:val="auto"/>
          <w:sz w:val="32"/>
          <w:szCs w:val="32"/>
        </w:rPr>
        <w:t>权益保障之网更密，巾帼护权益更有担当</w:t>
      </w:r>
      <w:r>
        <w:rPr>
          <w:rFonts w:hint="eastAsia" w:ascii="仿宋" w:hAnsi="仿宋" w:eastAsia="仿宋" w:cs="Times New Roman"/>
          <w:b w:val="0"/>
          <w:bCs w:val="0"/>
          <w:color w:val="auto"/>
          <w:sz w:val="32"/>
          <w:szCs w:val="32"/>
          <w:lang w:eastAsia="zh-CN"/>
        </w:rPr>
        <w:t>。</w:t>
      </w:r>
      <w:r>
        <w:rPr>
          <w:rFonts w:hint="eastAsia" w:ascii="仿宋" w:hAnsi="仿宋" w:eastAsia="仿宋" w:cs="Times New Roman"/>
          <w:b w:val="0"/>
          <w:bCs w:val="0"/>
          <w:color w:val="auto"/>
          <w:sz w:val="32"/>
          <w:szCs w:val="32"/>
        </w:rPr>
        <w:t>文明新风之韵更浓，巾帼新风尚更加鲜明</w:t>
      </w:r>
      <w:r>
        <w:rPr>
          <w:rFonts w:hint="eastAsia" w:ascii="仿宋" w:hAnsi="仿宋" w:eastAsia="仿宋" w:cs="Times New Roman"/>
          <w:b w:val="0"/>
          <w:bCs w:val="0"/>
          <w:color w:val="auto"/>
          <w:sz w:val="32"/>
          <w:szCs w:val="32"/>
          <w:lang w:eastAsia="zh-CN"/>
        </w:rPr>
        <w:t>。</w:t>
      </w:r>
      <w:r>
        <w:rPr>
          <w:rFonts w:hint="eastAsia" w:ascii="仿宋" w:hAnsi="仿宋" w:eastAsia="仿宋" w:cs="Times New Roman"/>
          <w:b w:val="0"/>
          <w:bCs w:val="0"/>
          <w:color w:val="auto"/>
          <w:sz w:val="32"/>
          <w:szCs w:val="32"/>
        </w:rPr>
        <w:t>民生幸福之实更足，巾帼暖人心更有温度。</w:t>
      </w:r>
      <w:r>
        <w:rPr>
          <w:rFonts w:hint="eastAsia" w:ascii="仿宋" w:hAnsi="仿宋" w:eastAsia="仿宋" w:cs="仿宋"/>
          <w:b w:val="0"/>
          <w:bCs w:val="0"/>
          <w:i w:val="0"/>
          <w:iCs w:val="0"/>
          <w:caps w:val="0"/>
          <w:color w:val="000000"/>
          <w:spacing w:val="0"/>
          <w:sz w:val="32"/>
          <w:szCs w:val="32"/>
          <w:u w:val="none"/>
          <w:shd w:val="clear" w:fill="FFFFFF"/>
          <w:lang w:val="en-US" w:eastAsia="zh-CN"/>
        </w:rPr>
        <w:t>但在预算配置与执行方面、管理程序方面及人员经费管理方面存在不足，在预算精准化、程序规范化、管理精细化和效益长效化方面仍有提升空间。建议补短板、强弱项，推动区妇联工作绩效管理水平再上新台阶。</w:t>
      </w:r>
    </w:p>
    <w:p w14:paraId="5F9D58C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52" w:name="_Toc11247"/>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bookmarkEnd w:id="52"/>
    </w:p>
    <w:p w14:paraId="7BB23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3" w:name="_Toc26775"/>
      <w:r>
        <w:rPr>
          <w:rFonts w:hint="eastAsia" w:ascii="楷体" w:hAnsi="楷体" w:eastAsia="楷体" w:cs="楷体"/>
          <w:b/>
          <w:bCs/>
          <w:sz w:val="32"/>
          <w:szCs w:val="32"/>
          <w:lang w:val="en-US" w:eastAsia="zh-CN"/>
        </w:rPr>
        <w:t>（一）预算配置与执行方面存在的问题及建议</w:t>
      </w:r>
      <w:bookmarkEnd w:id="53"/>
    </w:p>
    <w:p w14:paraId="1B5D0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1.存在基本支出挤占项目支出的情况。</w:t>
      </w:r>
    </w:p>
    <w:p w14:paraId="439C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流用。将项目资金用于基本支出，相当于篡改了经法律程序批准的预算案，违反了预算的刚性约束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上述违反了《中华人民共和国预算法实施条例》进一步细化了预算执行的要求，强调要严格按预算用途使用资金。</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val="en-US" w:eastAsia="zh-CN"/>
        </w:rPr>
        <w:t>原因分析如下：一是基本支出保障不足。</w:t>
      </w:r>
      <w:r>
        <w:rPr>
          <w:rFonts w:hint="eastAsia" w:ascii="仿宋" w:hAnsi="仿宋" w:eastAsia="仿宋" w:cs="仿宋"/>
          <w:b w:val="0"/>
          <w:bCs w:val="0"/>
          <w:sz w:val="32"/>
          <w:szCs w:val="32"/>
          <w:lang w:val="en-US" w:eastAsia="zh-CN"/>
        </w:rPr>
        <w:t>最常见的根源。编制内人员经费和公用经费定额标准偏低，无法覆盖实际运行成本，</w:t>
      </w:r>
      <w:r>
        <w:rPr>
          <w:rFonts w:hint="eastAsia" w:ascii="仿宋" w:hAnsi="仿宋" w:eastAsia="仿宋" w:cs="仿宋"/>
          <w:b/>
          <w:bCs/>
          <w:sz w:val="32"/>
          <w:szCs w:val="32"/>
          <w:lang w:val="en-US" w:eastAsia="zh-CN"/>
        </w:rPr>
        <w:t>“钱不够花”</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二是预算编制不科学。</w:t>
      </w:r>
      <w:r>
        <w:rPr>
          <w:rFonts w:hint="eastAsia" w:ascii="仿宋" w:hAnsi="仿宋" w:eastAsia="仿宋" w:cs="仿宋"/>
          <w:b w:val="0"/>
          <w:bCs w:val="0"/>
          <w:sz w:val="32"/>
          <w:szCs w:val="32"/>
          <w:lang w:val="en-US" w:eastAsia="zh-CN"/>
        </w:rPr>
        <w:t>项目支出预算相比基本支出更容易获批，且预算额度可能更宽松。</w:t>
      </w:r>
      <w:r>
        <w:rPr>
          <w:rFonts w:hint="eastAsia" w:ascii="仿宋" w:hAnsi="仿宋" w:eastAsia="仿宋" w:cs="仿宋"/>
          <w:b/>
          <w:bCs/>
          <w:sz w:val="32"/>
          <w:szCs w:val="32"/>
          <w:lang w:val="en-US" w:eastAsia="zh-CN"/>
        </w:rPr>
        <w:t>三是内部控制薄弱。</w:t>
      </w:r>
      <w:r>
        <w:rPr>
          <w:rFonts w:hint="eastAsia" w:ascii="仿宋" w:hAnsi="仿宋" w:eastAsia="仿宋" w:cs="仿宋"/>
          <w:b w:val="0"/>
          <w:bCs w:val="0"/>
          <w:sz w:val="32"/>
          <w:szCs w:val="32"/>
          <w:lang w:val="en-US" w:eastAsia="zh-CN"/>
        </w:rPr>
        <w:t>单位内部财务管理制度不健全，审批流程形同虚设，财务人员监督乏力。</w:t>
      </w:r>
    </w:p>
    <w:p w14:paraId="05CF6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解决基本支出挤占项目支出现象需要</w:t>
      </w:r>
      <w:r>
        <w:rPr>
          <w:rFonts w:hint="eastAsia" w:ascii="仿宋" w:hAnsi="仿宋" w:eastAsia="仿宋" w:cs="仿宋"/>
          <w:b/>
          <w:bCs/>
          <w:sz w:val="32"/>
          <w:szCs w:val="32"/>
          <w:lang w:val="en-US" w:eastAsia="zh-CN"/>
        </w:rPr>
        <w:t>顶层设计（财政保障）、过程监管（技术+人工）和单位自律（内控+观念）三</w:t>
      </w:r>
      <w:r>
        <w:rPr>
          <w:rFonts w:hint="eastAsia" w:ascii="仿宋" w:hAnsi="仿宋" w:eastAsia="仿宋" w:cs="仿宋"/>
          <w:b w:val="0"/>
          <w:bCs w:val="0"/>
          <w:sz w:val="32"/>
          <w:szCs w:val="32"/>
          <w:lang w:val="en-US" w:eastAsia="zh-CN"/>
        </w:rPr>
        <w:t>管齐下，从“堵后门”和“开前门”两个方向入手，既要</w:t>
      </w:r>
      <w:r>
        <w:rPr>
          <w:rFonts w:hint="eastAsia" w:ascii="仿宋" w:hAnsi="仿宋" w:eastAsia="仿宋" w:cs="仿宋"/>
          <w:b/>
          <w:bCs/>
          <w:sz w:val="32"/>
          <w:szCs w:val="32"/>
          <w:lang w:val="en-US" w:eastAsia="zh-CN"/>
        </w:rPr>
        <w:t>严厉禁止</w:t>
      </w:r>
      <w:r>
        <w:rPr>
          <w:rFonts w:hint="eastAsia" w:ascii="仿宋" w:hAnsi="仿宋" w:eastAsia="仿宋" w:cs="仿宋"/>
          <w:b w:val="0"/>
          <w:bCs w:val="0"/>
          <w:sz w:val="32"/>
          <w:szCs w:val="32"/>
          <w:lang w:val="en-US" w:eastAsia="zh-CN"/>
        </w:rPr>
        <w:t>，也要</w:t>
      </w:r>
      <w:r>
        <w:rPr>
          <w:rFonts w:hint="eastAsia" w:ascii="仿宋" w:hAnsi="仿宋" w:eastAsia="仿宋" w:cs="仿宋"/>
          <w:b/>
          <w:bCs/>
          <w:sz w:val="32"/>
          <w:szCs w:val="32"/>
          <w:lang w:val="en-US" w:eastAsia="zh-CN"/>
        </w:rPr>
        <w:t>疏导根源，</w:t>
      </w:r>
      <w:r>
        <w:rPr>
          <w:rFonts w:hint="eastAsia" w:ascii="仿宋" w:hAnsi="仿宋" w:eastAsia="仿宋" w:cs="仿宋"/>
          <w:b w:val="0"/>
          <w:bCs w:val="0"/>
          <w:sz w:val="32"/>
          <w:szCs w:val="32"/>
          <w:lang w:val="en-US" w:eastAsia="zh-CN"/>
        </w:rPr>
        <w:t>从根本上遏制这一现象，确保财政资金的安全、规范和有效使用。</w:t>
      </w:r>
      <w:r>
        <w:rPr>
          <w:rFonts w:hint="eastAsia" w:ascii="仿宋" w:hAnsi="仿宋" w:eastAsia="仿宋" w:cs="仿宋"/>
          <w:b/>
          <w:bCs/>
          <w:sz w:val="32"/>
          <w:szCs w:val="32"/>
          <w:lang w:val="en-US" w:eastAsia="zh-CN"/>
        </w:rPr>
        <w:t>一是强化预算编制与审核，从源头杜绝“可能性”。A科学核定基本支出。</w:t>
      </w:r>
      <w:r>
        <w:rPr>
          <w:rFonts w:hint="eastAsia" w:ascii="仿宋" w:hAnsi="仿宋" w:eastAsia="仿宋" w:cs="仿宋"/>
          <w:b w:val="0"/>
          <w:bCs w:val="0"/>
          <w:sz w:val="32"/>
          <w:szCs w:val="32"/>
          <w:lang w:val="en-US" w:eastAsia="zh-CN"/>
        </w:rPr>
        <w:t>建立动态调整机制，使人员经费和公用经费定额标准更加贴合实际，确保机构正常运转的合理需求。</w:t>
      </w:r>
      <w:r>
        <w:rPr>
          <w:rFonts w:hint="eastAsia" w:ascii="仿宋" w:hAnsi="仿宋" w:eastAsia="仿宋" w:cs="仿宋"/>
          <w:b/>
          <w:bCs/>
          <w:sz w:val="32"/>
          <w:szCs w:val="32"/>
          <w:lang w:val="en-US" w:eastAsia="zh-CN"/>
        </w:rPr>
        <w:t>B严格项目库管理。</w:t>
      </w:r>
      <w:r>
        <w:rPr>
          <w:rFonts w:hint="eastAsia" w:ascii="仿宋" w:hAnsi="仿宋" w:eastAsia="仿宋" w:cs="仿宋"/>
          <w:b w:val="0"/>
          <w:bCs w:val="0"/>
          <w:sz w:val="32"/>
          <w:szCs w:val="32"/>
          <w:lang w:val="en-US" w:eastAsia="zh-CN"/>
        </w:rPr>
        <w:t>推行“项目入库、预算编细、滚动管理”。在预算编制阶段，组织专家对项目的必要性、可行性、预算合理性进行严格评审，剔除项目中隐含的“人员费”、“运转费”等不属于项目开支范围的内容。</w:t>
      </w:r>
      <w:r>
        <w:rPr>
          <w:rFonts w:hint="eastAsia" w:ascii="仿宋" w:hAnsi="仿宋" w:eastAsia="仿宋" w:cs="仿宋"/>
          <w:b/>
          <w:bCs/>
          <w:sz w:val="32"/>
          <w:szCs w:val="32"/>
          <w:lang w:val="en-US" w:eastAsia="zh-CN"/>
        </w:rPr>
        <w:t>C推广“零基预算”理念。</w:t>
      </w:r>
      <w:r>
        <w:rPr>
          <w:rFonts w:hint="eastAsia" w:ascii="仿宋" w:hAnsi="仿宋" w:eastAsia="仿宋" w:cs="仿宋"/>
          <w:b w:val="0"/>
          <w:bCs w:val="0"/>
          <w:sz w:val="32"/>
          <w:szCs w:val="32"/>
          <w:lang w:val="en-US" w:eastAsia="zh-CN"/>
        </w:rPr>
        <w:t>打破“基数+增长”的预算模式，每年根据实际需求和绩效目标重新审核所有支出，避免不合理支出的固化。</w:t>
      </w:r>
      <w:r>
        <w:rPr>
          <w:rFonts w:hint="eastAsia" w:ascii="仿宋" w:hAnsi="仿宋" w:eastAsia="仿宋" w:cs="仿宋"/>
          <w:b/>
          <w:bCs/>
          <w:sz w:val="32"/>
          <w:szCs w:val="32"/>
          <w:lang w:val="en-US" w:eastAsia="zh-CN"/>
        </w:rPr>
        <w:t>二是加强执行监控与预警，从事中“早发现”。A利用技术手段。</w:t>
      </w:r>
      <w:r>
        <w:rPr>
          <w:rFonts w:hint="eastAsia" w:ascii="仿宋" w:hAnsi="仿宋" w:eastAsia="仿宋" w:cs="仿宋"/>
          <w:b w:val="0"/>
          <w:bCs w:val="0"/>
          <w:sz w:val="32"/>
          <w:szCs w:val="32"/>
          <w:lang w:val="en-US" w:eastAsia="zh-CN"/>
        </w:rPr>
        <w:t>在预算管理一体化系统中设置预警规则。当单位账务中出现“项目支出-人员经费”等敏感科目时，系统自动报警并推送至财政和主管部门。</w:t>
      </w:r>
      <w:r>
        <w:rPr>
          <w:rFonts w:hint="eastAsia" w:ascii="仿宋" w:hAnsi="仿宋" w:eastAsia="仿宋" w:cs="仿宋"/>
          <w:b/>
          <w:bCs/>
          <w:sz w:val="32"/>
          <w:szCs w:val="32"/>
          <w:lang w:val="en-US" w:eastAsia="zh-CN"/>
        </w:rPr>
        <w:t>B实施重点监控。</w:t>
      </w:r>
      <w:r>
        <w:rPr>
          <w:rFonts w:hint="eastAsia" w:ascii="仿宋" w:hAnsi="仿宋" w:eastAsia="仿宋" w:cs="仿宋"/>
          <w:b w:val="0"/>
          <w:bCs w:val="0"/>
          <w:sz w:val="32"/>
          <w:szCs w:val="32"/>
          <w:lang w:val="en-US" w:eastAsia="zh-CN"/>
        </w:rPr>
        <w:t>对曾有违规记录或风险较高的单位、以及金额重大的项目进行重点监控和动态跟踪。</w:t>
      </w:r>
      <w:r>
        <w:rPr>
          <w:rFonts w:hint="eastAsia" w:ascii="仿宋" w:hAnsi="仿宋" w:eastAsia="仿宋" w:cs="仿宋"/>
          <w:b/>
          <w:bCs/>
          <w:sz w:val="32"/>
          <w:szCs w:val="32"/>
          <w:lang w:val="en-US" w:eastAsia="zh-CN"/>
        </w:rPr>
        <w:t>三是树立正确的预算绩效观念。</w:t>
      </w:r>
      <w:r>
        <w:rPr>
          <w:rFonts w:hint="eastAsia" w:ascii="仿宋" w:hAnsi="仿宋" w:eastAsia="仿宋" w:cs="仿宋"/>
          <w:b w:val="0"/>
          <w:bCs w:val="0"/>
          <w:sz w:val="32"/>
          <w:szCs w:val="32"/>
          <w:lang w:val="en-US" w:eastAsia="zh-CN"/>
        </w:rPr>
        <w:t>单位领导应带头学习《中华人民共和国预算法》等法律法规，牢固树立“预算是法、专款专用”的意识，明确挤占项目资金是“红线”、“高压线”。</w:t>
      </w:r>
      <w:r>
        <w:rPr>
          <w:rFonts w:hint="eastAsia" w:ascii="仿宋" w:hAnsi="仿宋" w:eastAsia="仿宋" w:cs="仿宋"/>
          <w:b/>
          <w:bCs/>
          <w:sz w:val="32"/>
          <w:szCs w:val="32"/>
          <w:lang w:val="en-US" w:eastAsia="zh-CN"/>
        </w:rPr>
        <w:t>四是健全内部控制系统。</w:t>
      </w:r>
      <w:r>
        <w:rPr>
          <w:rFonts w:hint="eastAsia" w:ascii="仿宋" w:hAnsi="仿宋" w:eastAsia="仿宋" w:cs="仿宋"/>
          <w:b w:val="0"/>
          <w:bCs w:val="0"/>
          <w:sz w:val="32"/>
          <w:szCs w:val="32"/>
          <w:lang w:val="en-US"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val="en-US" w:eastAsia="zh-CN"/>
        </w:rPr>
        <w:t>五是提高预算编制科学性。</w:t>
      </w:r>
      <w:r>
        <w:rPr>
          <w:rFonts w:hint="eastAsia" w:ascii="仿宋" w:hAnsi="仿宋" w:eastAsia="仿宋" w:cs="仿宋"/>
          <w:b w:val="0"/>
          <w:bCs w:val="0"/>
          <w:sz w:val="32"/>
          <w:szCs w:val="32"/>
          <w:lang w:val="en-US"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val="en-US" w:eastAsia="zh-CN"/>
        </w:rPr>
        <w:t>六是主动报告与沟通。</w:t>
      </w:r>
      <w:r>
        <w:rPr>
          <w:rFonts w:hint="eastAsia" w:ascii="仿宋" w:hAnsi="仿宋" w:eastAsia="仿宋" w:cs="仿宋"/>
          <w:b w:val="0"/>
          <w:bCs w:val="0"/>
          <w:sz w:val="32"/>
          <w:szCs w:val="32"/>
          <w:lang w:val="en-US" w:eastAsia="zh-CN"/>
        </w:rPr>
        <w:t>如果确实因政策性因素等导致基本支出出现巨大缺口，应通过正式渠道向财政主管部门申请调整预算或追加经费。</w:t>
      </w:r>
    </w:p>
    <w:p w14:paraId="498F7B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2.未提供以下管理制度。如预算管理制度，内部控制制度，政府采购管理制度，合同管理制度，专项资金管理办法，绩效管理制度，信息化管理制度，决算与财务报告制度，监督与审计制度，工会管理制度等。</w:t>
      </w:r>
    </w:p>
    <w:p w14:paraId="0AF387C4">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预算法要求各级政府、各部门、各单位必须编制预算，并严格执行预算。预算管理制度、决算与财务报告制度的缺失，直接导致预算编制无章可循、执行过程失控、决算信息失真，无法满足预算法对预算管理全流程的法定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财政部《行政事业单位内部控制规范（试行）》（财会〔2012〕21号）。这是最直接、最全面的违规依据。该规范强制要求单位建立并实施内部控制制度，以防范经济业务风险。上述清单中的绝大多数制度（如预算、采购、资产、合同、专项资金等管理制度）正是内部控制体系的核心组成部分。内部控制制度本身的缺失，更是直接违反了该规范的强制性要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上述违反了《中华人民共和国政府采购法》及其实施条例。</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上述违反了《中华人民共和国民法典》关于合同订立、履行、管理的基本原则，使单位面临巨大的法律和财务风险。</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关于全面实施预算绩效管理的意见》。该意见要求将绩效管理融入预算编制、执行、监督全过程。绩效管理制度的缺失，直接与“全面实施预算绩效管理”的国策相悖，导致资金使用不计效果、不讲效益。</w:t>
      </w:r>
      <w:r>
        <w:rPr>
          <w:rFonts w:hint="eastAsia" w:ascii="仿宋" w:hAnsi="仿宋" w:eastAsia="仿宋" w:cs="仿宋"/>
          <w:b/>
          <w:bCs/>
          <w:sz w:val="32"/>
          <w:szCs w:val="32"/>
          <w:lang w:val="en-US" w:eastAsia="zh-CN"/>
        </w:rPr>
        <w:t>相关政策6：</w:t>
      </w:r>
      <w:r>
        <w:rPr>
          <w:rFonts w:hint="eastAsia" w:ascii="仿宋" w:hAnsi="仿宋" w:eastAsia="仿宋" w:cs="仿宋"/>
          <w:b w:val="0"/>
          <w:bCs w:val="0"/>
          <w:sz w:val="32"/>
          <w:szCs w:val="32"/>
          <w:lang w:val="en-US" w:eastAsia="zh-CN"/>
        </w:rPr>
        <w:t>上述违反了《中华人民共和国审计法》。监督与审计制度的缺失，使得单位内部缺乏自我监督和问题预警机制，无法主动发现问题、纠正偏差，无法满足审计机关对单位建立健全内部审计制度的要求。</w:t>
      </w:r>
    </w:p>
    <w:p w14:paraId="33B050AF">
      <w:pPr>
        <w:pStyle w:val="4"/>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建议：一是提高认识，明确责任。</w:t>
      </w:r>
      <w:r>
        <w:rPr>
          <w:rFonts w:hint="eastAsia" w:ascii="仿宋" w:hAnsi="仿宋" w:eastAsia="仿宋" w:cs="仿宋"/>
          <w:b w:val="0"/>
          <w:bCs w:val="0"/>
          <w:sz w:val="32"/>
          <w:szCs w:val="32"/>
          <w:lang w:val="en-US" w:eastAsia="zh-CN"/>
        </w:rPr>
        <w:t>单位主要负责人（“一把手”）必须高度重视，认识到建立健全管理制度是履行法定职责、保护干部、提高资金效益的根本要求。应成立由单位主要领导牵头，财务、资产、办公室、业务部门等共同参与的制度建设工作专班，明确分工和时限。</w:t>
      </w:r>
      <w:r>
        <w:rPr>
          <w:rFonts w:hint="eastAsia" w:ascii="仿宋" w:hAnsi="仿宋" w:eastAsia="仿宋" w:cs="仿宋"/>
          <w:b/>
          <w:bCs/>
          <w:sz w:val="32"/>
          <w:szCs w:val="32"/>
          <w:lang w:val="en-US" w:eastAsia="zh-CN"/>
        </w:rPr>
        <w:t>二是系统规划，分批建立。</w:t>
      </w:r>
      <w:r>
        <w:rPr>
          <w:rFonts w:hint="eastAsia" w:ascii="仿宋" w:hAnsi="仿宋" w:eastAsia="仿宋" w:cs="仿宋"/>
          <w:b w:val="0"/>
          <w:bCs w:val="0"/>
          <w:sz w:val="32"/>
          <w:szCs w:val="32"/>
          <w:lang w:val="en-US" w:eastAsia="zh-CN"/>
        </w:rPr>
        <w:t>优先级1（立即建立）：内部控制制度（总纲性文件）、预算管理制度、国有资产管理制度、财务报销与审批制度。这些是保障资金安全和资产安全的底线。优先级2（快速跟进）：政府采购管理制度、合同管理制度、专项资金管理办法。这些是规范具体经济业务的关键。优先级3（完善提升）：绩效管理制度、信息化管理制度、决算与财务报告制度、监督与审计制度。这些是提升管理现代化水平的重要工具。</w:t>
      </w:r>
      <w:r>
        <w:rPr>
          <w:rFonts w:hint="eastAsia" w:ascii="仿宋" w:hAnsi="仿宋" w:eastAsia="仿宋" w:cs="仿宋"/>
          <w:b/>
          <w:bCs/>
          <w:sz w:val="32"/>
          <w:szCs w:val="32"/>
          <w:lang w:val="en-US" w:eastAsia="zh-CN"/>
        </w:rPr>
        <w:t>三是结合实际，注重实效。</w:t>
      </w:r>
      <w:r>
        <w:rPr>
          <w:rFonts w:hint="eastAsia" w:ascii="仿宋" w:hAnsi="仿宋" w:eastAsia="仿宋" w:cs="仿宋"/>
          <w:b w:val="0"/>
          <w:bCs w:val="0"/>
          <w:sz w:val="32"/>
          <w:szCs w:val="32"/>
          <w:lang w:val="en-US" w:eastAsia="zh-CN"/>
        </w:rPr>
        <w:t>制度的制定不能简单照搬照抄，必须结合单位的业务特点、规模大小和管理现状。条款要具体、清晰、具有可操作性，明确各项业务的流程、审批权限和责任部门。例如，合同管理制度应明确不同金额合同的审批流程。</w:t>
      </w:r>
      <w:r>
        <w:rPr>
          <w:rFonts w:hint="eastAsia" w:ascii="仿宋" w:hAnsi="仿宋" w:eastAsia="仿宋" w:cs="仿宋"/>
          <w:b/>
          <w:bCs/>
          <w:sz w:val="32"/>
          <w:szCs w:val="32"/>
          <w:lang w:val="en-US" w:eastAsia="zh-CN"/>
        </w:rPr>
        <w:t>四是加强培训，严格执行。五是动态优化，持续改进。</w:t>
      </w:r>
      <w:r>
        <w:rPr>
          <w:rFonts w:hint="eastAsia" w:ascii="仿宋" w:hAnsi="仿宋" w:eastAsia="仿宋" w:cs="仿宋"/>
          <w:b w:val="0"/>
          <w:bCs w:val="0"/>
          <w:sz w:val="32"/>
          <w:szCs w:val="32"/>
          <w:lang w:val="en-US" w:eastAsia="zh-CN"/>
        </w:rPr>
        <w:t>管理制度不是一成不变的。应建立制度的定期评估和修订机制（例如每2-3年一次），根据国家新出台的政策、审计检查发现的问题以及单位内部管理需求的变化，及时对制度进行更新和完善。</w:t>
      </w:r>
    </w:p>
    <w:p w14:paraId="1E666ADD">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3.关于6个预算单位成立工会联合体并支付2018-2023年“做账费”8,640.00元，每个单位需拨付1,440.00元。</w:t>
      </w:r>
      <w:r>
        <w:rPr>
          <w:rFonts w:hint="eastAsia" w:ascii="仿宋" w:hAnsi="仿宋" w:eastAsia="仿宋" w:cs="仿宋"/>
          <w:b/>
          <w:bCs/>
          <w:sz w:val="32"/>
          <w:szCs w:val="32"/>
          <w:lang w:val="en-US" w:eastAsia="zh-CN"/>
        </w:rPr>
        <w:t>2024年7月3号凭证拨付工会行政款（2018-2023做账）1440元。</w:t>
      </w:r>
      <w:r>
        <w:rPr>
          <w:rFonts w:hint="eastAsia" w:ascii="仿宋" w:hAnsi="仿宋" w:eastAsia="仿宋" w:cs="仿宋"/>
          <w:b/>
          <w:bCs/>
          <w:sz w:val="32"/>
          <w:szCs w:val="32"/>
          <w:highlight w:val="none"/>
          <w:lang w:val="en-US" w:eastAsia="zh-CN"/>
        </w:rPr>
        <w:t>该笔费用性质不属于应由预算单位另行承担的工会行政开支,支付方式可能构成重复列支,支付标准和时间跨度缺乏明确、合理的依据。</w:t>
      </w:r>
    </w:p>
    <w:p w14:paraId="32FEDE25">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sz w:val="32"/>
          <w:szCs w:val="32"/>
          <w:highlight w:val="none"/>
          <w:lang w:val="en-US" w:eastAsia="zh-CN"/>
        </w:rPr>
        <w:t>《中华人民共和国工会法》第四十二条</w:t>
      </w:r>
      <w:r>
        <w:rPr>
          <w:rFonts w:hint="eastAsia" w:ascii="仿宋" w:hAnsi="仿宋" w:eastAsia="仿宋" w:cs="仿宋"/>
          <w:b/>
          <w:bCs/>
          <w:sz w:val="32"/>
          <w:szCs w:val="32"/>
          <w:highlight w:val="none"/>
          <w:lang w:val="en-US" w:eastAsia="zh-CN"/>
        </w:rPr>
        <w:t>工会经费的来源</w:t>
      </w:r>
      <w:r>
        <w:rPr>
          <w:rFonts w:hint="eastAsia" w:ascii="仿宋" w:hAnsi="仿宋" w:eastAsia="仿宋" w:cs="仿宋"/>
          <w:sz w:val="32"/>
          <w:szCs w:val="32"/>
          <w:highlight w:val="none"/>
          <w:lang w:val="en-US" w:eastAsia="zh-CN"/>
        </w:rPr>
        <w:t>包括：（一）工会会员缴纳的会费；（二）建立工会组织的企业、事业单位、机关按每月全部职工工资总额的百分之二向工会拨缴的经费；（三）工会所属的企业、事业单位上缴的收入；（四）人民政府的补助；（五）其他收入。第四十三条</w:t>
      </w:r>
      <w:r>
        <w:rPr>
          <w:rFonts w:hint="eastAsia" w:ascii="仿宋" w:hAnsi="仿宋" w:eastAsia="仿宋" w:cs="仿宋"/>
          <w:b/>
          <w:bCs/>
          <w:sz w:val="32"/>
          <w:szCs w:val="32"/>
          <w:highlight w:val="none"/>
          <w:lang w:val="en-US" w:eastAsia="zh-CN"/>
        </w:rPr>
        <w:t>工会经费使用,</w:t>
      </w:r>
      <w:r>
        <w:rPr>
          <w:rFonts w:hint="eastAsia" w:ascii="仿宋" w:hAnsi="仿宋" w:eastAsia="仿宋" w:cs="仿宋"/>
          <w:sz w:val="32"/>
          <w:szCs w:val="32"/>
          <w:highlight w:val="none"/>
          <w:lang w:val="en-US" w:eastAsia="zh-CN"/>
        </w:rPr>
        <w:t>工会经费主要用于为职工服务和工会活动。经费使用的具体办法由中华全国总工会制定。此条款明确了行政事业单位拨缴工会经费的法定标准（工资总额的2%），以及工会经费的用途（为职工服务和工会活动）。</w:t>
      </w:r>
      <w:r>
        <w:rPr>
          <w:rFonts w:hint="eastAsia" w:ascii="仿宋" w:hAnsi="仿宋" w:eastAsia="仿宋" w:cs="仿宋"/>
          <w:b/>
          <w:bCs/>
          <w:sz w:val="32"/>
          <w:szCs w:val="32"/>
          <w:highlight w:val="none"/>
          <w:lang w:val="en-US" w:eastAsia="zh-CN"/>
        </w:rPr>
        <w:t>工会联合体的做账费</w:t>
      </w:r>
      <w:r>
        <w:rPr>
          <w:rFonts w:hint="eastAsia" w:ascii="仿宋" w:hAnsi="仿宋" w:eastAsia="仿宋" w:cs="仿宋"/>
          <w:sz w:val="32"/>
          <w:szCs w:val="32"/>
          <w:highlight w:val="none"/>
          <w:lang w:val="en-US" w:eastAsia="zh-CN"/>
        </w:rPr>
        <w:t>是否属于“为职工服务和工会活动”的范畴，是判断其合规性的核心。</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sz w:val="32"/>
          <w:szCs w:val="32"/>
          <w:highlight w:val="none"/>
          <w:lang w:val="en-US" w:eastAsia="zh-CN"/>
        </w:rPr>
        <w:t>《工会预算管理办法》第八条预算管理原则。工会预算管理遵循统筹兼顾、保证重点、量入为出、收支平衡的原则。第二十三条工会各项支出应当按照预算执行，遵循国家有关财务规章制度和全国总工会的有关规定。</w:t>
      </w:r>
      <w:r>
        <w:rPr>
          <w:rFonts w:hint="eastAsia" w:ascii="仿宋" w:hAnsi="仿宋" w:eastAsia="仿宋" w:cs="仿宋"/>
          <w:b/>
          <w:bCs/>
          <w:sz w:val="32"/>
          <w:szCs w:val="32"/>
          <w:highlight w:val="none"/>
          <w:lang w:val="en-US" w:eastAsia="zh-CN"/>
        </w:rPr>
        <w:t>工会经费的使用应纳入预算管理，遵循预算执行程序，确保支出符合规定用途。</w:t>
      </w:r>
      <w:r>
        <w:rPr>
          <w:rFonts w:hint="eastAsia" w:ascii="仿宋" w:hAnsi="仿宋" w:eastAsia="仿宋" w:cs="仿宋"/>
          <w:sz w:val="32"/>
          <w:szCs w:val="32"/>
          <w:highlight w:val="none"/>
          <w:lang w:val="en-US" w:eastAsia="zh-CN"/>
        </w:rPr>
        <w:t>直接向各预算单位收取固定金额的“做账费”，不符合预算管理的相关规定。作为预算单位，其通过“拨付工会行政款”方式支付的任何费用，均应纳入单位年度预算，并有明确的预算科目和支出依据。长期、固定金额的“做账费”支付，若未纳入预算或预算依据不足，可能构成违规支出。</w:t>
      </w:r>
      <w:r>
        <w:rPr>
          <w:rFonts w:hint="eastAsia" w:ascii="仿宋" w:hAnsi="仿宋" w:eastAsia="仿宋" w:cs="仿宋"/>
          <w:b/>
          <w:bCs/>
          <w:sz w:val="32"/>
          <w:szCs w:val="32"/>
          <w:highlight w:val="none"/>
          <w:lang w:val="en-US" w:eastAsia="zh-CN"/>
        </w:rPr>
        <w:t>费用性质的合规性。“做账费”</w:t>
      </w:r>
      <w:r>
        <w:rPr>
          <w:rFonts w:hint="eastAsia" w:ascii="仿宋" w:hAnsi="仿宋" w:eastAsia="仿宋" w:cs="仿宋"/>
          <w:sz w:val="32"/>
          <w:szCs w:val="32"/>
          <w:highlight w:val="none"/>
          <w:lang w:val="en-US" w:eastAsia="zh-CN"/>
        </w:rPr>
        <w:t>属于工会联合体自身的运营管理费用，而非直接为职工服务和开展工会活动所产生的支出。从性质上看，它</w:t>
      </w:r>
      <w:r>
        <w:rPr>
          <w:rFonts w:hint="eastAsia" w:ascii="仿宋" w:hAnsi="仿宋" w:eastAsia="仿宋" w:cs="仿宋"/>
          <w:b/>
          <w:bCs/>
          <w:sz w:val="32"/>
          <w:szCs w:val="32"/>
          <w:highlight w:val="none"/>
          <w:lang w:val="en-US" w:eastAsia="zh-CN"/>
        </w:rPr>
        <w:t>应由</w:t>
      </w:r>
      <w:r>
        <w:rPr>
          <w:rFonts w:hint="eastAsia" w:ascii="仿宋" w:hAnsi="仿宋" w:eastAsia="仿宋" w:cs="仿宋"/>
          <w:sz w:val="32"/>
          <w:szCs w:val="32"/>
          <w:highlight w:val="none"/>
          <w:lang w:val="en-US" w:eastAsia="zh-CN"/>
        </w:rPr>
        <w:t>工会联合体从其自有经费（主要是各单位拨缴的2%经费）中列支，而非再向各预算单位额外收取。</w:t>
      </w:r>
      <w:r>
        <w:rPr>
          <w:rFonts w:hint="eastAsia" w:ascii="仿宋" w:hAnsi="仿宋" w:eastAsia="仿宋" w:cs="仿宋"/>
          <w:b/>
          <w:bCs/>
          <w:sz w:val="32"/>
          <w:szCs w:val="32"/>
          <w:highlight w:val="none"/>
          <w:lang w:val="en-US" w:eastAsia="zh-CN"/>
        </w:rPr>
        <w:t>拨付方式的合规性。</w:t>
      </w:r>
      <w:r>
        <w:rPr>
          <w:rFonts w:hint="eastAsia" w:ascii="仿宋" w:hAnsi="仿宋" w:eastAsia="仿宋" w:cs="仿宋"/>
          <w:sz w:val="32"/>
          <w:szCs w:val="32"/>
          <w:highlight w:val="none"/>
          <w:lang w:val="en-US" w:eastAsia="zh-CN"/>
        </w:rPr>
        <w:t>各预算单位已按规定拨缴工资总额2%的工会经费。在已拨缴的经费之外，再通过“拨付工会行政款”的方式每年支付固定金额的“做账费”，</w:t>
      </w:r>
      <w:r>
        <w:rPr>
          <w:rFonts w:hint="eastAsia" w:ascii="仿宋" w:hAnsi="仿宋" w:eastAsia="仿宋" w:cs="仿宋"/>
          <w:b/>
          <w:bCs/>
          <w:sz w:val="32"/>
          <w:szCs w:val="32"/>
          <w:highlight w:val="none"/>
          <w:lang w:val="en-US" w:eastAsia="zh-CN"/>
        </w:rPr>
        <w:t>实质上构成了重复列支或变相摊派。</w:t>
      </w:r>
      <w:r>
        <w:rPr>
          <w:rFonts w:hint="eastAsia" w:ascii="仿宋" w:hAnsi="仿宋" w:eastAsia="仿宋" w:cs="仿宋"/>
          <w:sz w:val="32"/>
          <w:szCs w:val="32"/>
          <w:highlight w:val="none"/>
          <w:lang w:val="en-US" w:eastAsia="zh-CN"/>
        </w:rPr>
        <w:t>这不仅</w:t>
      </w:r>
      <w:r>
        <w:rPr>
          <w:rFonts w:hint="eastAsia" w:ascii="仿宋" w:hAnsi="仿宋" w:eastAsia="仿宋" w:cs="仿宋"/>
          <w:b/>
          <w:bCs/>
          <w:sz w:val="32"/>
          <w:szCs w:val="32"/>
          <w:highlight w:val="none"/>
          <w:lang w:val="en-US" w:eastAsia="zh-CN"/>
        </w:rPr>
        <w:t>增加了预算单位的财政负担，</w:t>
      </w:r>
      <w:r>
        <w:rPr>
          <w:rFonts w:hint="eastAsia" w:ascii="仿宋" w:hAnsi="仿宋" w:eastAsia="仿宋" w:cs="仿宋"/>
          <w:sz w:val="32"/>
          <w:szCs w:val="32"/>
          <w:highlight w:val="none"/>
          <w:lang w:val="en-US" w:eastAsia="zh-CN"/>
        </w:rPr>
        <w:t>也</w:t>
      </w:r>
      <w:r>
        <w:rPr>
          <w:rFonts w:hint="eastAsia" w:ascii="仿宋" w:hAnsi="仿宋" w:eastAsia="仿宋" w:cs="仿宋"/>
          <w:b/>
          <w:bCs/>
          <w:sz w:val="32"/>
          <w:szCs w:val="32"/>
          <w:highlight w:val="none"/>
          <w:lang w:val="en-US" w:eastAsia="zh-CN"/>
        </w:rPr>
        <w:t>违反了工会经费的专款专用</w:t>
      </w:r>
      <w:r>
        <w:rPr>
          <w:rFonts w:hint="eastAsia" w:ascii="仿宋" w:hAnsi="仿宋" w:eastAsia="仿宋" w:cs="仿宋"/>
          <w:sz w:val="32"/>
          <w:szCs w:val="32"/>
          <w:highlight w:val="none"/>
          <w:lang w:val="en-US" w:eastAsia="zh-CN"/>
        </w:rPr>
        <w:t>原则。</w:t>
      </w:r>
      <w:r>
        <w:rPr>
          <w:rFonts w:hint="eastAsia" w:ascii="仿宋" w:hAnsi="仿宋" w:eastAsia="仿宋" w:cs="仿宋"/>
          <w:b/>
          <w:bCs/>
          <w:sz w:val="32"/>
          <w:szCs w:val="32"/>
          <w:highlight w:val="none"/>
          <w:lang w:val="en-US" w:eastAsia="zh-CN"/>
        </w:rPr>
        <w:t>支付标准的合规性。</w:t>
      </w:r>
      <w:r>
        <w:rPr>
          <w:rFonts w:hint="eastAsia" w:ascii="仿宋" w:hAnsi="仿宋" w:eastAsia="仿宋" w:cs="仿宋"/>
          <w:sz w:val="32"/>
          <w:szCs w:val="32"/>
          <w:highlight w:val="none"/>
          <w:lang w:val="en-US" w:eastAsia="zh-CN"/>
        </w:rPr>
        <w:t>每年1440元的固定金额缺乏明确的核定依据（如基于何种服务、何种标准计算得出），不符合财务管理中对支出应有合理依据和核算的要求。</w:t>
      </w:r>
      <w:r>
        <w:rPr>
          <w:rFonts w:hint="eastAsia" w:ascii="仿宋" w:hAnsi="仿宋" w:eastAsia="仿宋" w:cs="仿宋"/>
          <w:b/>
          <w:bCs/>
          <w:sz w:val="32"/>
          <w:szCs w:val="32"/>
          <w:highlight w:val="none"/>
          <w:lang w:val="en-US" w:eastAsia="zh-CN"/>
        </w:rPr>
        <w:t>时间跨度的合规性。</w:t>
      </w:r>
      <w:r>
        <w:rPr>
          <w:rFonts w:hint="eastAsia" w:ascii="仿宋" w:hAnsi="仿宋" w:eastAsia="仿宋" w:cs="仿宋"/>
          <w:sz w:val="32"/>
          <w:szCs w:val="32"/>
          <w:highlight w:val="none"/>
          <w:lang w:val="en-US" w:eastAsia="zh-CN"/>
        </w:rPr>
        <w:t>一次性支付跨越数年的费用（2018-2023年），可能违反了</w:t>
      </w:r>
      <w:r>
        <w:rPr>
          <w:rFonts w:hint="eastAsia" w:ascii="仿宋" w:hAnsi="仿宋" w:eastAsia="仿宋" w:cs="仿宋"/>
          <w:b/>
          <w:bCs/>
          <w:sz w:val="32"/>
          <w:szCs w:val="32"/>
          <w:highlight w:val="none"/>
          <w:lang w:val="en-US" w:eastAsia="zh-CN"/>
        </w:rPr>
        <w:t>行政事业单位预算按年度执行、不得跨年度随意结算</w:t>
      </w:r>
      <w:r>
        <w:rPr>
          <w:rFonts w:hint="eastAsia" w:ascii="仿宋" w:hAnsi="仿宋" w:eastAsia="仿宋" w:cs="仿宋"/>
          <w:sz w:val="32"/>
          <w:szCs w:val="32"/>
          <w:highlight w:val="none"/>
          <w:lang w:val="en-US" w:eastAsia="zh-CN"/>
        </w:rPr>
        <w:t>的规定。特别是对于历史年度的费用，其支付的必要性、合理性以及预算安排的合规性均需审慎评估。存在三类风险。</w:t>
      </w:r>
      <w:r>
        <w:rPr>
          <w:rFonts w:hint="eastAsia" w:ascii="仿宋" w:hAnsi="仿宋" w:eastAsia="仿宋" w:cs="仿宋"/>
          <w:b/>
          <w:bCs/>
          <w:sz w:val="32"/>
          <w:szCs w:val="32"/>
          <w:highlight w:val="none"/>
          <w:lang w:val="en-US" w:eastAsia="zh-CN"/>
        </w:rPr>
        <w:t>一是审计风险。</w:t>
      </w:r>
      <w:r>
        <w:rPr>
          <w:rFonts w:hint="eastAsia" w:ascii="仿宋" w:hAnsi="仿宋" w:eastAsia="仿宋" w:cs="仿宋"/>
          <w:sz w:val="32"/>
          <w:szCs w:val="32"/>
          <w:highlight w:val="none"/>
          <w:lang w:val="en-US" w:eastAsia="zh-CN"/>
        </w:rPr>
        <w:t>在财政、审计部门的监督检查中，可能被认定为违规支出，要求整改甚至追回资金。</w:t>
      </w:r>
      <w:r>
        <w:rPr>
          <w:rFonts w:hint="eastAsia" w:ascii="仿宋" w:hAnsi="仿宋" w:eastAsia="仿宋" w:cs="仿宋"/>
          <w:b/>
          <w:bCs/>
          <w:sz w:val="32"/>
          <w:szCs w:val="32"/>
          <w:highlight w:val="none"/>
          <w:lang w:val="en-US" w:eastAsia="zh-CN"/>
        </w:rPr>
        <w:t>二是财务风险。</w:t>
      </w:r>
      <w:r>
        <w:rPr>
          <w:rFonts w:hint="eastAsia" w:ascii="仿宋" w:hAnsi="仿宋" w:eastAsia="仿宋" w:cs="仿宋"/>
          <w:sz w:val="32"/>
          <w:szCs w:val="32"/>
          <w:highlight w:val="none"/>
          <w:lang w:val="en-US" w:eastAsia="zh-CN"/>
        </w:rPr>
        <w:t>导致单位预算执行混乱，影响财政资金使用的规范性和效益。</w:t>
      </w:r>
      <w:r>
        <w:rPr>
          <w:rFonts w:hint="eastAsia" w:ascii="仿宋" w:hAnsi="仿宋" w:eastAsia="仿宋" w:cs="仿宋"/>
          <w:b/>
          <w:bCs/>
          <w:sz w:val="32"/>
          <w:szCs w:val="32"/>
          <w:highlight w:val="none"/>
          <w:lang w:val="en-US" w:eastAsia="zh-CN"/>
        </w:rPr>
        <w:t>三是法律风险。</w:t>
      </w:r>
      <w:r>
        <w:rPr>
          <w:rFonts w:hint="eastAsia" w:ascii="仿宋" w:hAnsi="仿宋" w:eastAsia="仿宋" w:cs="仿宋"/>
          <w:sz w:val="32"/>
          <w:szCs w:val="32"/>
          <w:highlight w:val="none"/>
          <w:lang w:val="en-US" w:eastAsia="zh-CN"/>
        </w:rPr>
        <w:t>可能违反《中华人民共和国工会法》关于工会经费使用范围的规定，以及相关预算管理法规。</w:t>
      </w:r>
    </w:p>
    <w:p w14:paraId="04B3B99C">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建议</w:t>
      </w:r>
      <w:r>
        <w:rPr>
          <w:rFonts w:hint="eastAsia" w:ascii="仿宋" w:hAnsi="仿宋" w:eastAsia="仿宋" w:cs="仿宋"/>
          <w:sz w:val="32"/>
          <w:szCs w:val="32"/>
          <w:highlight w:val="none"/>
          <w:lang w:val="en-US" w:eastAsia="zh-CN"/>
        </w:rPr>
        <w:t>：</w:t>
      </w:r>
      <w:r>
        <w:rPr>
          <w:rFonts w:hint="eastAsia" w:ascii="仿宋" w:hAnsi="仿宋" w:eastAsia="仿宋" w:cs="仿宋"/>
          <w:b/>
          <w:bCs/>
          <w:sz w:val="32"/>
          <w:szCs w:val="32"/>
          <w:highlight w:val="none"/>
          <w:lang w:val="en-US" w:eastAsia="zh-CN"/>
        </w:rPr>
        <w:t>一是及时停止支付行为。</w:t>
      </w:r>
      <w:r>
        <w:rPr>
          <w:rFonts w:hint="eastAsia" w:ascii="仿宋" w:hAnsi="仿宋" w:eastAsia="仿宋" w:cs="仿宋"/>
          <w:sz w:val="32"/>
          <w:szCs w:val="32"/>
          <w:highlight w:val="none"/>
          <w:lang w:val="en-US" w:eastAsia="zh-CN"/>
        </w:rPr>
        <w:t>暂停支付尚未支付的“做账费”，并对已支付的费用进行梳理和自查。</w:t>
      </w:r>
      <w:r>
        <w:rPr>
          <w:rFonts w:hint="eastAsia" w:ascii="仿宋" w:hAnsi="仿宋" w:eastAsia="仿宋" w:cs="仿宋"/>
          <w:b/>
          <w:bCs/>
          <w:sz w:val="32"/>
          <w:szCs w:val="32"/>
          <w:highlight w:val="none"/>
          <w:lang w:val="en-US" w:eastAsia="zh-CN"/>
        </w:rPr>
        <w:t>二是重新界定费用性质与列支渠道。A明确性质。</w:t>
      </w:r>
      <w:r>
        <w:rPr>
          <w:rFonts w:hint="eastAsia" w:ascii="仿宋" w:hAnsi="仿宋" w:eastAsia="仿宋" w:cs="仿宋"/>
          <w:sz w:val="32"/>
          <w:szCs w:val="32"/>
          <w:highlight w:val="none"/>
          <w:lang w:val="en-US" w:eastAsia="zh-CN"/>
        </w:rPr>
        <w:t>工会联合体的“做账费”应属于其内部管理费用，应由其自有经费（即各单位拨缴的2%工会经费）承担。</w:t>
      </w:r>
      <w:r>
        <w:rPr>
          <w:rFonts w:hint="eastAsia" w:ascii="仿宋" w:hAnsi="仿宋" w:eastAsia="仿宋" w:cs="仿宋"/>
          <w:b/>
          <w:bCs/>
          <w:sz w:val="32"/>
          <w:szCs w:val="32"/>
          <w:highlight w:val="none"/>
          <w:lang w:val="en-US" w:eastAsia="zh-CN"/>
        </w:rPr>
        <w:t>B调整列支渠道。</w:t>
      </w:r>
      <w:r>
        <w:rPr>
          <w:rFonts w:hint="eastAsia" w:ascii="仿宋" w:hAnsi="仿宋" w:eastAsia="仿宋" w:cs="仿宋"/>
          <w:sz w:val="32"/>
          <w:szCs w:val="32"/>
          <w:highlight w:val="none"/>
          <w:lang w:val="en-US" w:eastAsia="zh-CN"/>
        </w:rPr>
        <w:t>该费用应在工会联合体的年度预算中列明，并从其账户中直接支付给提供服务的机构或个人，不应再向各成员单位单独收取。</w:t>
      </w:r>
      <w:r>
        <w:rPr>
          <w:rFonts w:hint="eastAsia" w:ascii="仿宋" w:hAnsi="仿宋" w:eastAsia="仿宋" w:cs="仿宋"/>
          <w:b/>
          <w:bCs/>
          <w:sz w:val="32"/>
          <w:szCs w:val="32"/>
          <w:highlight w:val="none"/>
          <w:lang w:val="en-US" w:eastAsia="zh-CN"/>
        </w:rPr>
        <w:t>C规范预算与支付流程。</w:t>
      </w:r>
      <w:r>
        <w:rPr>
          <w:rFonts w:hint="eastAsia" w:ascii="仿宋" w:hAnsi="仿宋" w:eastAsia="仿宋" w:cs="仿宋"/>
          <w:sz w:val="32"/>
          <w:szCs w:val="32"/>
          <w:highlight w:val="none"/>
          <w:lang w:val="en-US" w:eastAsia="zh-CN"/>
        </w:rPr>
        <w:t>工会联合体应建立健全财务制度，将“做账费”等管理费用纳入年度预算，报上级工会批准。各预算单位应确保拨缴的2%工会经费按时足额到位，但无需再另行支付任何名目的“行政款”。</w:t>
      </w:r>
      <w:r>
        <w:rPr>
          <w:rFonts w:hint="eastAsia" w:ascii="仿宋" w:hAnsi="仿宋" w:eastAsia="仿宋" w:cs="仿宋"/>
          <w:b/>
          <w:bCs/>
          <w:sz w:val="32"/>
          <w:szCs w:val="32"/>
          <w:highlight w:val="none"/>
          <w:lang w:val="en-US" w:eastAsia="zh-CN"/>
        </w:rPr>
        <w:t>D妥善处理历史遗留问题。</w:t>
      </w:r>
      <w:r>
        <w:rPr>
          <w:rFonts w:hint="eastAsia" w:ascii="仿宋" w:hAnsi="仿宋" w:eastAsia="仿宋" w:cs="仿宋"/>
          <w:sz w:val="32"/>
          <w:szCs w:val="32"/>
          <w:highlight w:val="none"/>
          <w:lang w:val="en-US" w:eastAsia="zh-CN"/>
        </w:rPr>
        <w:t>若已由各预算单位支付的费用，建议与工会联合体协商，通过调整后续经费拨付或其他合规方式处理，必要时可咨询上级工会或财政部门意见。</w:t>
      </w:r>
      <w:r>
        <w:rPr>
          <w:rFonts w:hint="eastAsia" w:ascii="仿宋" w:hAnsi="仿宋" w:eastAsia="仿宋" w:cs="仿宋"/>
          <w:b/>
          <w:bCs/>
          <w:sz w:val="32"/>
          <w:szCs w:val="32"/>
          <w:highlight w:val="none"/>
          <w:lang w:val="en-US" w:eastAsia="zh-CN"/>
        </w:rPr>
        <w:t>三是加强沟通与培训。</w:t>
      </w:r>
      <w:r>
        <w:rPr>
          <w:rFonts w:hint="eastAsia" w:ascii="仿宋" w:hAnsi="仿宋" w:eastAsia="仿宋" w:cs="仿宋"/>
          <w:sz w:val="32"/>
          <w:szCs w:val="32"/>
          <w:highlight w:val="none"/>
          <w:lang w:val="en-US" w:eastAsia="zh-CN"/>
        </w:rPr>
        <w:t>向各预算单位及工会联合体相关人员宣传工会经费管理相关规定，确保各方理解并遵守正确的经费使用和支付流程。</w:t>
      </w:r>
    </w:p>
    <w:p w14:paraId="350B79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4.食堂餐费支付凭证后仅附国库支付单与往来收据，无具体计算依据说明（如用餐人数、餐标、天数等）。</w:t>
      </w:r>
      <w:r>
        <w:rPr>
          <w:rFonts w:hint="eastAsia" w:ascii="仿宋" w:hAnsi="仿宋" w:eastAsia="仿宋" w:cs="仿宋"/>
          <w:b w:val="0"/>
          <w:bCs w:val="0"/>
          <w:sz w:val="32"/>
          <w:szCs w:val="32"/>
          <w:highlight w:val="none"/>
          <w:lang w:val="en-US" w:eastAsia="zh-CN"/>
        </w:rPr>
        <w:t>4个季度均在预支餐费，没有餐费结算单。</w:t>
      </w:r>
    </w:p>
    <w:p w14:paraId="7C6248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政府会计制度——行政事业单位会计科目和报表》。该制度要求行政事业单位的会计核算必须以真实、完整的原始凭证为依据。原始凭证应能清晰反映经济业务的内容、金额、时间、经办人员等信息。食堂餐费支付后仅凭国库支付单和往来收据，无法证明该笔支出的具体用途（如用餐人员、事由、标准等），不符合对原始凭证“完整性”的要求。</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该规范要求单位建立并实施内部控制，确保经济活动合法合规、资产安全和使用有效、财务信息真实完整。其中，对支出业务的控制要求包括：确保业务真实、手续完备、附件齐全。附件不全的支付行为，暴露出单位在支出审批、单据审核等环节的内部控制存在缺陷。</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该法强调各级政府的全部收入和支出都应当纳入预算，并要求预算执行严格、透明。财政资金的支付必须符合预算规定的用途，且需要有明确的支出依据。附件不全的支付行为，可能导致资金脱离预算监管，违反预算法关于预算执行和财政管理的规定。四大风险分析：</w:t>
      </w:r>
      <w:r>
        <w:rPr>
          <w:rFonts w:hint="eastAsia" w:ascii="仿宋" w:hAnsi="仿宋" w:eastAsia="仿宋" w:cs="仿宋"/>
          <w:b/>
          <w:bCs/>
          <w:sz w:val="32"/>
          <w:szCs w:val="32"/>
          <w:lang w:val="en-US" w:eastAsia="zh-CN"/>
        </w:rPr>
        <w:t>一是合规性风险。</w:t>
      </w:r>
      <w:r>
        <w:rPr>
          <w:rFonts w:hint="eastAsia" w:ascii="仿宋" w:hAnsi="仿宋" w:eastAsia="仿宋" w:cs="仿宋"/>
          <w:b w:val="0"/>
          <w:bCs w:val="0"/>
          <w:sz w:val="32"/>
          <w:szCs w:val="32"/>
          <w:lang w:val="en-US" w:eastAsia="zh-CN"/>
        </w:rPr>
        <w:t>支付附件不完整，直接违反了上述关于会计凭证和内部控制的规定，属于不合规的财务操作。</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在审计（包括内部审计和外部审计）中，此类支付行为极易被认定为“支出依据不充分”或“原始凭证不完整”，可能导致审计调整或负面评价。</w:t>
      </w:r>
      <w:r>
        <w:rPr>
          <w:rFonts w:hint="eastAsia" w:ascii="仿宋" w:hAnsi="仿宋" w:eastAsia="仿宋" w:cs="仿宋"/>
          <w:b/>
          <w:bCs/>
          <w:sz w:val="32"/>
          <w:szCs w:val="32"/>
          <w:lang w:val="en-US" w:eastAsia="zh-CN"/>
        </w:rPr>
        <w:t>三是廉政风险。</w:t>
      </w:r>
      <w:r>
        <w:rPr>
          <w:rFonts w:hint="eastAsia" w:ascii="仿宋" w:hAnsi="仿宋" w:eastAsia="仿宋" w:cs="仿宋"/>
          <w:b w:val="0"/>
          <w:bCs w:val="0"/>
          <w:sz w:val="32"/>
          <w:szCs w:val="32"/>
          <w:lang w:val="en-US" w:eastAsia="zh-CN"/>
        </w:rPr>
        <w:t>附件不全使得资金流向不透明，为虚报、套取、挪用财政资金等行为提供了空间，存在较高的廉政风险。</w:t>
      </w:r>
    </w:p>
    <w:p w14:paraId="1CDE1480">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建议：一是及时整改。</w:t>
      </w:r>
      <w:r>
        <w:rPr>
          <w:rFonts w:hint="eastAsia" w:ascii="仿宋" w:hAnsi="仿宋" w:eastAsia="仿宋" w:cs="仿宋"/>
          <w:b w:val="0"/>
          <w:bCs w:val="0"/>
          <w:sz w:val="32"/>
          <w:szCs w:val="32"/>
          <w:lang w:val="en-US" w:eastAsia="zh-CN"/>
        </w:rPr>
        <w:t>相关单位立即对类似支出进行自查自纠，补充完整附件。</w:t>
      </w:r>
      <w:r>
        <w:rPr>
          <w:rFonts w:hint="eastAsia" w:ascii="仿宋" w:hAnsi="仿宋" w:eastAsia="仿宋" w:cs="仿宋"/>
          <w:b/>
          <w:bCs/>
          <w:sz w:val="32"/>
          <w:szCs w:val="32"/>
          <w:lang w:val="en-US" w:eastAsia="zh-CN"/>
        </w:rPr>
        <w:t>用餐情况统计表</w:t>
      </w:r>
      <w:r>
        <w:rPr>
          <w:rFonts w:hint="eastAsia" w:ascii="仿宋" w:hAnsi="仿宋" w:eastAsia="仿宋" w:cs="仿宋"/>
          <w:b w:val="0"/>
          <w:bCs w:val="0"/>
          <w:sz w:val="32"/>
          <w:szCs w:val="32"/>
          <w:lang w:val="en-US" w:eastAsia="zh-CN"/>
        </w:rPr>
        <w:t>反映当期用餐人次和消耗总量的内部凭证。</w:t>
      </w:r>
      <w:r>
        <w:rPr>
          <w:rFonts w:hint="eastAsia" w:ascii="仿宋" w:hAnsi="仿宋" w:eastAsia="仿宋" w:cs="仿宋"/>
          <w:b/>
          <w:bCs/>
          <w:sz w:val="32"/>
          <w:szCs w:val="32"/>
          <w:lang w:val="en-US" w:eastAsia="zh-CN"/>
        </w:rPr>
        <w:t>费用结算审批单</w:t>
      </w:r>
      <w:r>
        <w:rPr>
          <w:rFonts w:hint="eastAsia" w:ascii="仿宋" w:hAnsi="仿宋" w:eastAsia="仿宋" w:cs="仿宋"/>
          <w:b w:val="0"/>
          <w:bCs w:val="0"/>
          <w:sz w:val="32"/>
          <w:szCs w:val="32"/>
          <w:lang w:val="en-US" w:eastAsia="zh-CN"/>
        </w:rPr>
        <w:t>由食堂管理员、部门负责人、财务审核人、单位领导逐级审批。例如，要求提供用餐明细清单（包括用餐时间、事由、人员、菜单及金额等）、内部审批单、消费清单等能证明业务真实性的材料内部说明，由经办人撰写《情况说明》（附负责人签字），解释无明细原因并承诺整改。</w:t>
      </w:r>
      <w:r>
        <w:rPr>
          <w:rFonts w:hint="eastAsia" w:ascii="仿宋" w:hAnsi="仿宋" w:eastAsia="仿宋" w:cs="仿宋"/>
          <w:b/>
          <w:bCs/>
          <w:sz w:val="32"/>
          <w:szCs w:val="32"/>
          <w:lang w:val="en-US" w:eastAsia="zh-CN"/>
        </w:rPr>
        <w:t>二是完善制度。</w:t>
      </w:r>
      <w:r>
        <w:rPr>
          <w:rFonts w:hint="eastAsia" w:ascii="仿宋" w:hAnsi="仿宋" w:eastAsia="仿宋" w:cs="仿宋"/>
          <w:b w:val="0"/>
          <w:bCs w:val="0"/>
          <w:sz w:val="32"/>
          <w:szCs w:val="32"/>
          <w:lang w:val="en-US" w:eastAsia="zh-CN"/>
        </w:rPr>
        <w:t>建议单位修订或完善内部财务管理制度和食堂管理办法，明确各类支出的附件要求，特别是对食堂餐费等高频、小额支出，应制定详细的报销细则。</w:t>
      </w:r>
      <w:r>
        <w:rPr>
          <w:rFonts w:hint="eastAsia" w:ascii="仿宋" w:hAnsi="仿宋" w:eastAsia="仿宋" w:cs="仿宋"/>
          <w:b/>
          <w:bCs/>
          <w:sz w:val="32"/>
          <w:szCs w:val="32"/>
          <w:lang w:val="en-US" w:eastAsia="zh-CN"/>
        </w:rPr>
        <w:t>三是加强审核。</w:t>
      </w:r>
      <w:r>
        <w:rPr>
          <w:rFonts w:hint="eastAsia" w:ascii="仿宋" w:hAnsi="仿宋" w:eastAsia="仿宋" w:cs="仿宋"/>
          <w:b w:val="0"/>
          <w:bCs w:val="0"/>
          <w:sz w:val="32"/>
          <w:szCs w:val="32"/>
          <w:lang w:val="en-US" w:eastAsia="zh-CN"/>
        </w:rPr>
        <w:t>强化财务审核环节，对附件不齐全、不规范的支付申请，坚决予以退回，不予报销。确保所有支出均有充分、合法的依据。财务部门必须严格审核，</w:t>
      </w:r>
      <w:r>
        <w:rPr>
          <w:rFonts w:hint="eastAsia" w:ascii="仿宋" w:hAnsi="仿宋" w:eastAsia="仿宋" w:cs="仿宋"/>
          <w:b/>
          <w:bCs/>
          <w:sz w:val="32"/>
          <w:szCs w:val="32"/>
          <w:lang w:val="en-US" w:eastAsia="zh-CN"/>
        </w:rPr>
        <w:t>“无依据不支付、无明细不报销”</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四是强化监督。</w:t>
      </w:r>
      <w:r>
        <w:rPr>
          <w:rFonts w:hint="eastAsia" w:ascii="仿宋" w:hAnsi="仿宋" w:eastAsia="仿宋" w:cs="仿宋"/>
          <w:b w:val="0"/>
          <w:bCs w:val="0"/>
          <w:sz w:val="32"/>
          <w:szCs w:val="32"/>
          <w:lang w:val="en-US" w:eastAsia="zh-CN"/>
        </w:rPr>
        <w:t>内部审计、纪检监察等部门应加强对食堂等敏感领域支出的监督检查，对发现的违规问题严肃处理，形成有效震慑。</w:t>
      </w:r>
    </w:p>
    <w:p w14:paraId="0A294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kern w:val="0"/>
          <w:sz w:val="32"/>
          <w:szCs w:val="32"/>
          <w:lang w:val="en-US" w:eastAsia="zh-CN" w:bidi="ar"/>
        </w:rPr>
      </w:pPr>
      <w:bookmarkStart w:id="54" w:name="_Toc23562"/>
      <w:r>
        <w:rPr>
          <w:rFonts w:hint="eastAsia" w:ascii="楷体" w:hAnsi="楷体" w:eastAsia="楷体" w:cs="楷体"/>
          <w:b/>
          <w:bCs/>
          <w:sz w:val="32"/>
          <w:szCs w:val="32"/>
          <w:lang w:val="en-US" w:eastAsia="zh-CN"/>
        </w:rPr>
        <w:t>（二）管理程序方面存在的问题及建议</w:t>
      </w:r>
      <w:bookmarkEnd w:id="54"/>
    </w:p>
    <w:p w14:paraId="03310DE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kern w:val="0"/>
          <w:sz w:val="32"/>
          <w:szCs w:val="32"/>
          <w:lang w:val="en-US" w:eastAsia="zh-CN" w:bidi="ar"/>
        </w:rPr>
        <w:t>1.</w:t>
      </w:r>
      <w:r>
        <w:rPr>
          <w:rFonts w:hint="eastAsia" w:ascii="仿宋" w:hAnsi="仿宋" w:eastAsia="仿宋" w:cs="仿宋"/>
          <w:b/>
          <w:bCs/>
          <w:sz w:val="32"/>
          <w:szCs w:val="32"/>
          <w:lang w:val="en-US" w:eastAsia="zh-CN"/>
        </w:rPr>
        <w:t>业务发生时间早于政府采购协议签订时间。</w:t>
      </w:r>
    </w:p>
    <w:p w14:paraId="3A42837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w:t>
      </w:r>
    </w:p>
    <w:p w14:paraId="1CC7B9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第四十三条：“政府采购合同适用合同法。采购人和供应商之间的权利和义务，应当按照平等、自愿的原则以合同方式约定。”第四十四条：“</w:t>
      </w:r>
      <w:r>
        <w:rPr>
          <w:rFonts w:hint="eastAsia" w:ascii="仿宋" w:hAnsi="仿宋" w:eastAsia="仿宋" w:cs="仿宋"/>
          <w:b/>
          <w:bCs/>
          <w:sz w:val="32"/>
          <w:szCs w:val="32"/>
          <w:lang w:val="en-US" w:eastAsia="zh-CN"/>
        </w:rPr>
        <w:t>政府采购合同应当采用书面形式</w:t>
      </w:r>
      <w:r>
        <w:rPr>
          <w:rFonts w:hint="eastAsia" w:ascii="仿宋" w:hAnsi="仿宋" w:eastAsia="仿宋" w:cs="仿宋"/>
          <w:b w:val="0"/>
          <w:bCs w:val="0"/>
          <w:sz w:val="32"/>
          <w:szCs w:val="32"/>
          <w:lang w:val="en-US" w:eastAsia="zh-CN"/>
        </w:rPr>
        <w:t>。”</w:t>
      </w:r>
    </w:p>
    <w:p w14:paraId="1B2B427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核心解读：</w:t>
      </w:r>
      <w:r>
        <w:rPr>
          <w:rFonts w:hint="eastAsia" w:ascii="仿宋" w:hAnsi="仿宋" w:eastAsia="仿宋" w:cs="仿宋"/>
          <w:b w:val="0"/>
          <w:bCs w:val="0"/>
          <w:sz w:val="32"/>
          <w:szCs w:val="32"/>
          <w:lang w:val="en-US" w:eastAsia="zh-CN"/>
        </w:rPr>
        <w:t>法律明确规定，采购人与供应商的权利义务必须通过书面合同来约定。在合同签订之前，双方的法律关系并未正式确立。提前开展业务，意味着在没有任何法律文件约束的情况下进行了采购活动，完全违背了政府采购</w:t>
      </w:r>
      <w:r>
        <w:rPr>
          <w:rFonts w:hint="eastAsia" w:ascii="仿宋" w:hAnsi="仿宋" w:eastAsia="仿宋" w:cs="仿宋"/>
          <w:b/>
          <w:bCs/>
          <w:sz w:val="32"/>
          <w:szCs w:val="32"/>
          <w:lang w:val="en-US" w:eastAsia="zh-CN"/>
        </w:rPr>
        <w:t>“按合同办事”</w:t>
      </w:r>
      <w:r>
        <w:rPr>
          <w:rFonts w:hint="eastAsia" w:ascii="仿宋" w:hAnsi="仿宋" w:eastAsia="仿宋" w:cs="仿宋"/>
          <w:b w:val="0"/>
          <w:bCs w:val="0"/>
          <w:sz w:val="32"/>
          <w:szCs w:val="32"/>
          <w:lang w:val="en-US" w:eastAsia="zh-CN"/>
        </w:rPr>
        <w:t>的基本原则。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上述违反了《中华人民共和国政府采购法实施条例》第六十七条。详细列举了未按照政府采购法和本条例规定执行的各种违法情形。虽然未直接提及</w:t>
      </w:r>
      <w:r>
        <w:rPr>
          <w:rFonts w:hint="eastAsia" w:ascii="仿宋" w:hAnsi="仿宋" w:eastAsia="仿宋" w:cs="仿宋"/>
          <w:b/>
          <w:bCs/>
          <w:sz w:val="32"/>
          <w:szCs w:val="32"/>
          <w:lang w:val="en-US" w:eastAsia="zh-CN"/>
        </w:rPr>
        <w:t>“合同倒签”</w:t>
      </w:r>
      <w:r>
        <w:rPr>
          <w:rFonts w:hint="eastAsia" w:ascii="仿宋" w:hAnsi="仿宋" w:eastAsia="仿宋" w:cs="仿宋"/>
          <w:b w:val="0"/>
          <w:bCs w:val="0"/>
          <w:sz w:val="32"/>
          <w:szCs w:val="32"/>
          <w:lang w:val="en-US" w:eastAsia="zh-CN"/>
        </w:rPr>
        <w:t>，但</w:t>
      </w:r>
      <w:r>
        <w:rPr>
          <w:rFonts w:hint="eastAsia" w:ascii="仿宋" w:hAnsi="仿宋" w:eastAsia="仿宋" w:cs="仿宋"/>
          <w:b/>
          <w:bCs/>
          <w:sz w:val="32"/>
          <w:szCs w:val="32"/>
          <w:lang w:val="en-US" w:eastAsia="zh-CN"/>
        </w:rPr>
        <w:t>“先干活后补合同”</w:t>
      </w:r>
      <w:r>
        <w:rPr>
          <w:rFonts w:hint="eastAsia" w:ascii="仿宋" w:hAnsi="仿宋" w:eastAsia="仿宋" w:cs="仿宋"/>
          <w:b w:val="0"/>
          <w:bCs w:val="0"/>
          <w:sz w:val="32"/>
          <w:szCs w:val="32"/>
          <w:lang w:val="en-US" w:eastAsia="zh-CN"/>
        </w:rPr>
        <w:t>本质上属于规避政府采购法定程序的行为，属于广义的违法违规行为。</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《政府采购需求管理办法》（财库〔2021〕22号）。</w:t>
      </w:r>
      <w:r>
        <w:rPr>
          <w:rFonts w:hint="eastAsia" w:ascii="仿宋" w:hAnsi="仿宋" w:eastAsia="仿宋" w:cs="仿宋"/>
          <w:b w:val="0"/>
          <w:bCs w:val="0"/>
          <w:sz w:val="32"/>
          <w:szCs w:val="32"/>
          <w:lang w:val="en-US" w:eastAsia="zh-CN"/>
        </w:rPr>
        <w:t>该办法强调，采购需求管理是政府采购管理的起点，合同是落实采购需求的终点。所有采购活动都应在确定的采购需求框架下，通过规范的采购程序，最终以合同形式固化。业务先于合同，导致整个采购流程本末倒置。</w:t>
      </w:r>
      <w:r>
        <w:rPr>
          <w:rFonts w:hint="eastAsia" w:ascii="仿宋" w:hAnsi="仿宋" w:eastAsia="仿宋" w:cs="仿宋"/>
          <w:b/>
          <w:bCs/>
          <w:sz w:val="32"/>
          <w:szCs w:val="32"/>
          <w:lang w:val="en-US" w:eastAsia="zh-CN"/>
        </w:rPr>
        <w:t>三类风险分析。</w:t>
      </w:r>
    </w:p>
    <w:p w14:paraId="5EDE83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一是程序违法风险。</w:t>
      </w:r>
      <w:r>
        <w:rPr>
          <w:rFonts w:hint="eastAsia" w:ascii="仿宋" w:hAnsi="仿宋" w:eastAsia="仿宋" w:cs="仿宋"/>
          <w:b w:val="0"/>
          <w:bCs w:val="0"/>
          <w:sz w:val="32"/>
          <w:szCs w:val="32"/>
          <w:lang w:val="en-US" w:eastAsia="zh-CN"/>
        </w:rPr>
        <w:t>这是最根本的风险。它使得整个政府采购程序（公开招标、竞争性谈判、询价等）形同虚设，因为实际执行已经提前发生，采购结果在程序完成前就已内定，严重损害了政府采购的公开、公平、公正原则。</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中，此类合同是重点审查对象。审计人员会通过比对发票日期、验收日期和合同签订日期来发现此类问题。一旦发现，该笔支出很可能被认定为不合规支出，要求整改甚至追回资金，并在审计报告中作为重大问题披露</w:t>
      </w:r>
      <w:r>
        <w:rPr>
          <w:rFonts w:hint="eastAsia" w:ascii="仿宋" w:hAnsi="仿宋" w:eastAsia="仿宋" w:cs="仿宋"/>
          <w:b/>
          <w:bCs/>
          <w:sz w:val="32"/>
          <w:szCs w:val="32"/>
          <w:lang w:val="en-US" w:eastAsia="zh-CN"/>
        </w:rPr>
        <w:t>。三是合同效力与资金安全风险。</w:t>
      </w:r>
      <w:r>
        <w:rPr>
          <w:rFonts w:hint="eastAsia" w:ascii="仿宋" w:hAnsi="仿宋" w:eastAsia="仿宋" w:cs="仿宋"/>
          <w:b w:val="0"/>
          <w:bCs w:val="0"/>
          <w:sz w:val="32"/>
          <w:szCs w:val="32"/>
          <w:lang w:val="en-US" w:eastAsia="zh-CN"/>
        </w:rPr>
        <w:t>合同效力存疑，由于合同签订前的业务行为缺乏法律依据，一旦发生纠纷（如服务质量、价格争议），合同双方的权利义务难以界定，合同本身的效力可能受到挑战。资金支付无依据，财政资金支付必须以有效的合同为依据。合同签订前的业务，其费用支付缺乏合同支持，属于无依据支付，违反了财政资金管理的规定。</w:t>
      </w:r>
    </w:p>
    <w:p w14:paraId="4B811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建议：应着重于从源头和流程上杜绝此类现象，推动采购活动回归“程序优先、合同为据”的法治轨道。</w:t>
      </w:r>
      <w:r>
        <w:rPr>
          <w:rFonts w:hint="eastAsia" w:ascii="仿宋" w:hAnsi="仿宋" w:eastAsia="仿宋" w:cs="仿宋"/>
          <w:b w:val="0"/>
          <w:bCs w:val="0"/>
          <w:sz w:val="32"/>
          <w:szCs w:val="32"/>
          <w:highlight w:val="none"/>
          <w:lang w:val="en-US" w:eastAsia="zh-CN"/>
        </w:rPr>
        <w:t>若已发生2024年先使用后补合同的情况，</w:t>
      </w:r>
      <w:r>
        <w:rPr>
          <w:rFonts w:hint="eastAsia" w:ascii="仿宋" w:hAnsi="仿宋" w:eastAsia="仿宋" w:cs="仿宋"/>
          <w:b/>
          <w:bCs/>
          <w:sz w:val="32"/>
          <w:szCs w:val="32"/>
          <w:highlight w:val="none"/>
          <w:lang w:val="en-US" w:eastAsia="zh-CN"/>
        </w:rPr>
        <w:t>一是补充书面说明</w:t>
      </w:r>
      <w:r>
        <w:rPr>
          <w:rFonts w:hint="eastAsia" w:ascii="仿宋" w:hAnsi="仿宋" w:eastAsia="仿宋" w:cs="仿宋"/>
          <w:b w:val="0"/>
          <w:bCs w:val="0"/>
          <w:sz w:val="32"/>
          <w:szCs w:val="32"/>
          <w:highlight w:val="none"/>
          <w:lang w:val="en-US" w:eastAsia="zh-CN"/>
        </w:rPr>
        <w:t>，向上级部门说明原因，完善内部审批记录。</w:t>
      </w:r>
      <w:r>
        <w:rPr>
          <w:rFonts w:hint="eastAsia" w:ascii="仿宋" w:hAnsi="仿宋" w:eastAsia="仿宋" w:cs="仿宋"/>
          <w:b/>
          <w:bCs/>
          <w:sz w:val="32"/>
          <w:szCs w:val="32"/>
          <w:highlight w:val="none"/>
          <w:lang w:val="en-US" w:eastAsia="zh-CN"/>
        </w:rPr>
        <w:t>二是建立框架协议或定点采购机制，避免再次出现程序倒置，既能满足零星采购灵活性，又能确保程序合规。</w:t>
      </w:r>
      <w:r>
        <w:rPr>
          <w:rFonts w:hint="eastAsia" w:ascii="仿宋" w:hAnsi="仿宋" w:eastAsia="仿宋" w:cs="仿宋"/>
          <w:b w:val="0"/>
          <w:bCs w:val="0"/>
          <w:sz w:val="32"/>
          <w:szCs w:val="32"/>
          <w:highlight w:val="none"/>
          <w:lang w:val="en-US" w:eastAsia="zh-CN"/>
        </w:rPr>
        <w:t>具体操作需结合当地财政部门实施细则。</w:t>
      </w:r>
      <w:r>
        <w:rPr>
          <w:rFonts w:hint="eastAsia" w:ascii="仿宋" w:hAnsi="仿宋" w:eastAsia="仿宋" w:cs="仿宋"/>
          <w:b/>
          <w:bCs/>
          <w:sz w:val="32"/>
          <w:szCs w:val="32"/>
          <w:highlight w:val="none"/>
          <w:lang w:val="en-US" w:eastAsia="zh-CN"/>
        </w:rPr>
        <w:t>方案1：采用“框架协议+订单”模式。适用场景：</w:t>
      </w:r>
      <w:r>
        <w:rPr>
          <w:rFonts w:hint="eastAsia" w:ascii="仿宋" w:hAnsi="仿宋" w:eastAsia="仿宋" w:cs="仿宋"/>
          <w:b w:val="0"/>
          <w:bCs w:val="0"/>
          <w:sz w:val="32"/>
          <w:szCs w:val="32"/>
          <w:highlight w:val="none"/>
          <w:lang w:val="en-US" w:eastAsia="zh-CN"/>
        </w:rPr>
        <w:t>需求数量不确定，但采购频次较高。</w:t>
      </w:r>
      <w:r>
        <w:rPr>
          <w:rFonts w:hint="eastAsia" w:ascii="仿宋" w:hAnsi="仿宋" w:eastAsia="仿宋" w:cs="仿宋"/>
          <w:b/>
          <w:bCs/>
          <w:sz w:val="32"/>
          <w:szCs w:val="32"/>
          <w:highlight w:val="none"/>
          <w:lang w:val="en-US" w:eastAsia="zh-CN"/>
        </w:rPr>
        <w:t>操作步骤：</w:t>
      </w:r>
      <w:r>
        <w:rPr>
          <w:rFonts w:hint="eastAsia" w:ascii="仿宋" w:hAnsi="仿宋" w:eastAsia="仿宋" w:cs="仿宋"/>
          <w:b w:val="0"/>
          <w:bCs w:val="0"/>
          <w:sz w:val="32"/>
          <w:szCs w:val="32"/>
          <w:highlight w:val="none"/>
          <w:lang w:val="en-US" w:eastAsia="zh-CN"/>
        </w:rPr>
        <w:t>提前签订框架协议（2024年初），通过公开竞争程序确定供应商，约定商品目录、单价、服务条款等，协议有效期1年。</w:t>
      </w:r>
      <w:r>
        <w:rPr>
          <w:rFonts w:hint="eastAsia" w:ascii="仿宋" w:hAnsi="仿宋" w:eastAsia="仿宋" w:cs="仿宋"/>
          <w:b/>
          <w:bCs/>
          <w:sz w:val="32"/>
          <w:szCs w:val="32"/>
          <w:highlight w:val="none"/>
          <w:lang w:val="en-US" w:eastAsia="zh-CN"/>
        </w:rPr>
        <w:t>法律依据：</w:t>
      </w:r>
      <w:r>
        <w:rPr>
          <w:rFonts w:hint="eastAsia" w:ascii="仿宋" w:hAnsi="仿宋" w:eastAsia="仿宋" w:cs="仿宋"/>
          <w:b w:val="0"/>
          <w:bCs w:val="0"/>
          <w:sz w:val="32"/>
          <w:szCs w:val="32"/>
          <w:highlight w:val="none"/>
          <w:lang w:val="en-US" w:eastAsia="zh-CN"/>
        </w:rPr>
        <w:t>《政府采购框架协议采购方式管理暂行办法》（财政部令第110号）。</w:t>
      </w:r>
      <w:r>
        <w:rPr>
          <w:rFonts w:hint="eastAsia" w:ascii="仿宋" w:hAnsi="仿宋" w:eastAsia="仿宋" w:cs="仿宋"/>
          <w:b/>
          <w:bCs/>
          <w:sz w:val="32"/>
          <w:szCs w:val="32"/>
          <w:highlight w:val="none"/>
          <w:lang w:val="en-US" w:eastAsia="zh-CN"/>
        </w:rPr>
        <w:t>按需下发订单：</w:t>
      </w:r>
      <w:r>
        <w:rPr>
          <w:rFonts w:hint="eastAsia" w:ascii="仿宋" w:hAnsi="仿宋" w:eastAsia="仿宋" w:cs="仿宋"/>
          <w:b w:val="0"/>
          <w:bCs w:val="0"/>
          <w:sz w:val="32"/>
          <w:szCs w:val="32"/>
          <w:highlight w:val="none"/>
          <w:lang w:val="en-US" w:eastAsia="zh-CN"/>
        </w:rPr>
        <w:t>在实际需要时，根据框架协议下达订单，无需重复签订合同。</w:t>
      </w:r>
      <w:r>
        <w:rPr>
          <w:rFonts w:hint="eastAsia" w:ascii="仿宋" w:hAnsi="仿宋" w:eastAsia="仿宋" w:cs="仿宋"/>
          <w:b/>
          <w:bCs/>
          <w:sz w:val="32"/>
          <w:szCs w:val="32"/>
          <w:highlight w:val="none"/>
          <w:lang w:val="en-US" w:eastAsia="zh-CN"/>
        </w:rPr>
        <w:t>验收与付款：</w:t>
      </w:r>
      <w:r>
        <w:rPr>
          <w:rFonts w:hint="eastAsia" w:ascii="仿宋" w:hAnsi="仿宋" w:eastAsia="仿宋" w:cs="仿宋"/>
          <w:b w:val="0"/>
          <w:bCs w:val="0"/>
          <w:sz w:val="32"/>
          <w:szCs w:val="32"/>
          <w:highlight w:val="none"/>
          <w:lang w:val="en-US" w:eastAsia="zh-CN"/>
        </w:rPr>
        <w:t>每笔订单单独验收，按协议约定周期（如季度）集中付款。</w:t>
      </w:r>
      <w:r>
        <w:rPr>
          <w:rFonts w:hint="eastAsia" w:ascii="仿宋" w:hAnsi="仿宋" w:eastAsia="仿宋" w:cs="仿宋"/>
          <w:b/>
          <w:bCs/>
          <w:sz w:val="32"/>
          <w:szCs w:val="32"/>
          <w:highlight w:val="none"/>
          <w:lang w:val="en-US" w:eastAsia="zh-CN"/>
        </w:rPr>
        <w:t>方案2：小额零星采购简化程序。适用场景：</w:t>
      </w:r>
      <w:r>
        <w:rPr>
          <w:rFonts w:hint="eastAsia" w:ascii="仿宋" w:hAnsi="仿宋" w:eastAsia="仿宋" w:cs="仿宋"/>
          <w:b w:val="0"/>
          <w:bCs w:val="0"/>
          <w:sz w:val="32"/>
          <w:szCs w:val="32"/>
          <w:highlight w:val="none"/>
          <w:lang w:val="en-US" w:eastAsia="zh-CN"/>
        </w:rPr>
        <w:t>单次采购金额极低（如低于当地分散采购限额，通常为30万元以下）。</w:t>
      </w:r>
      <w:r>
        <w:rPr>
          <w:rFonts w:hint="eastAsia" w:ascii="仿宋" w:hAnsi="仿宋" w:eastAsia="仿宋" w:cs="仿宋"/>
          <w:b/>
          <w:bCs/>
          <w:sz w:val="32"/>
          <w:szCs w:val="32"/>
          <w:highlight w:val="none"/>
          <w:lang w:val="en-US" w:eastAsia="zh-CN"/>
        </w:rPr>
        <w:t>操作步骤：提前备案采购计划，</w:t>
      </w:r>
      <w:r>
        <w:rPr>
          <w:rFonts w:hint="eastAsia" w:ascii="仿宋" w:hAnsi="仿宋" w:eastAsia="仿宋" w:cs="仿宋"/>
          <w:b w:val="0"/>
          <w:bCs w:val="0"/>
          <w:sz w:val="32"/>
          <w:szCs w:val="32"/>
          <w:highlight w:val="none"/>
          <w:lang w:val="en-US" w:eastAsia="zh-CN"/>
        </w:rPr>
        <w:t>在财政部门备案年度零星采购预算及标准。</w:t>
      </w:r>
    </w:p>
    <w:p w14:paraId="3342EC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lang w:val="en-US" w:eastAsia="zh-CN"/>
        </w:rPr>
      </w:pPr>
      <w:r>
        <w:rPr>
          <w:rFonts w:hint="eastAsia" w:ascii="仿宋" w:hAnsi="仿宋" w:eastAsia="仿宋" w:cs="仿宋"/>
          <w:b/>
          <w:bCs/>
          <w:sz w:val="32"/>
          <w:szCs w:val="32"/>
          <w:highlight w:val="none"/>
          <w:lang w:val="en-US" w:eastAsia="zh-CN"/>
        </w:rPr>
        <w:t>通过定点供应商采购，</w:t>
      </w:r>
      <w:r>
        <w:rPr>
          <w:rFonts w:hint="eastAsia" w:ascii="仿宋" w:hAnsi="仿宋" w:eastAsia="仿宋" w:cs="仿宋"/>
          <w:b w:val="0"/>
          <w:bCs w:val="0"/>
          <w:sz w:val="32"/>
          <w:szCs w:val="32"/>
          <w:highlight w:val="none"/>
          <w:lang w:val="en-US" w:eastAsia="zh-CN"/>
        </w:rPr>
        <w:t>选择政府采购定点供应商，直接按定点价格采购。及时</w:t>
      </w:r>
      <w:r>
        <w:rPr>
          <w:rFonts w:hint="eastAsia" w:ascii="仿宋" w:hAnsi="仿宋" w:eastAsia="仿宋" w:cs="仿宋"/>
          <w:b/>
          <w:bCs/>
          <w:sz w:val="32"/>
          <w:szCs w:val="32"/>
          <w:highlight w:val="none"/>
          <w:lang w:val="en-US" w:eastAsia="zh-CN"/>
        </w:rPr>
        <w:t>验收并留存记录，</w:t>
      </w:r>
      <w:r>
        <w:rPr>
          <w:rFonts w:hint="eastAsia" w:ascii="仿宋" w:hAnsi="仿宋" w:eastAsia="仿宋" w:cs="仿宋"/>
          <w:b w:val="0"/>
          <w:bCs w:val="0"/>
          <w:sz w:val="32"/>
          <w:szCs w:val="32"/>
          <w:highlight w:val="none"/>
          <w:lang w:val="en-US" w:eastAsia="zh-CN"/>
        </w:rPr>
        <w:t>每笔采购需有验收单，定期（如按月）汇总签订结算合同并付款。</w:t>
      </w:r>
      <w:r>
        <w:rPr>
          <w:rFonts w:hint="eastAsia" w:ascii="仿宋" w:hAnsi="仿宋" w:eastAsia="仿宋" w:cs="仿宋"/>
          <w:b/>
          <w:bCs/>
          <w:sz w:val="32"/>
          <w:szCs w:val="32"/>
          <w:highlight w:val="none"/>
          <w:lang w:val="en-US" w:eastAsia="zh-CN"/>
        </w:rPr>
        <w:t>方案3：预估需求+分批履行。</w:t>
      </w:r>
      <w:r>
        <w:rPr>
          <w:rFonts w:hint="eastAsia" w:ascii="仿宋" w:hAnsi="仿宋" w:eastAsia="仿宋" w:cs="仿宋"/>
          <w:b w:val="0"/>
          <w:bCs w:val="0"/>
          <w:sz w:val="32"/>
          <w:szCs w:val="32"/>
          <w:highlight w:val="none"/>
          <w:lang w:val="en-US" w:eastAsia="zh-CN"/>
        </w:rPr>
        <w:t>若需求可部分预估，签订合同时明确“预估总量+允许浮动比例”（如±20%），实际采购量按需分批下达，但总额不超过合同上限。</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5" w:name="_Toc16350"/>
      <w:r>
        <w:rPr>
          <w:rFonts w:hint="eastAsia" w:ascii="楷体" w:hAnsi="楷体" w:eastAsia="楷体" w:cs="楷体"/>
          <w:b/>
          <w:bCs/>
          <w:sz w:val="32"/>
          <w:szCs w:val="32"/>
          <w:lang w:val="en-US" w:eastAsia="zh-CN"/>
        </w:rPr>
        <w:t>（三）人员经费管理方面存在的问题及建议</w:t>
      </w:r>
      <w:bookmarkEnd w:id="55"/>
    </w:p>
    <w:p w14:paraId="52423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481F7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1.发放统发工资后附件有国库支付单，无审批人签字及审核意见且无银行回单。</w:t>
      </w:r>
    </w:p>
    <w:p w14:paraId="3B40C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对财政资金的使用和管理负责，必须提高财政资金使用效益。这种粗放式的管理显然无法体现“有效管理”。仅有国库支付凭证，不符合财务管理和内部控制的规范性要求。这套资料在证据链上是残缺的，无法构成一个完整、可信的工资发放证明。工资发放表无审批人签字及审核意见，是</w:t>
      </w:r>
      <w:r>
        <w:rPr>
          <w:rFonts w:hint="eastAsia" w:ascii="仿宋" w:hAnsi="仿宋" w:eastAsia="仿宋" w:cs="仿宋"/>
          <w:b/>
          <w:bCs/>
          <w:sz w:val="32"/>
          <w:szCs w:val="32"/>
          <w:lang w:val="en-US" w:eastAsia="zh-CN"/>
        </w:rPr>
        <w:t>内部控制缺失</w:t>
      </w:r>
      <w:r>
        <w:rPr>
          <w:rFonts w:hint="eastAsia" w:ascii="仿宋" w:hAnsi="仿宋" w:eastAsia="仿宋" w:cs="仿宋"/>
          <w:b w:val="0"/>
          <w:bCs w:val="0"/>
          <w:sz w:val="32"/>
          <w:szCs w:val="32"/>
          <w:lang w:val="en-US" w:eastAsia="zh-CN"/>
        </w:rPr>
        <w:t>的核心体现。缺少审批环节，意味着无法证明工资表的数据（人员、级别、金额、扣款等）的</w:t>
      </w:r>
      <w:r>
        <w:rPr>
          <w:rFonts w:hint="eastAsia" w:ascii="仿宋" w:hAnsi="仿宋" w:eastAsia="仿宋" w:cs="仿宋"/>
          <w:b/>
          <w:bCs/>
          <w:sz w:val="32"/>
          <w:szCs w:val="32"/>
          <w:lang w:val="en-US" w:eastAsia="zh-CN"/>
        </w:rPr>
        <w:t>真实性。</w:t>
      </w:r>
      <w:r>
        <w:rPr>
          <w:rFonts w:hint="eastAsia" w:ascii="仿宋" w:hAnsi="仿宋" w:eastAsia="仿宋" w:cs="仿宋"/>
          <w:b w:val="0"/>
          <w:bCs w:val="0"/>
          <w:sz w:val="32"/>
          <w:szCs w:val="32"/>
          <w:lang w:val="en-US" w:eastAsia="zh-CN"/>
        </w:rPr>
        <w:t>无法证明经过</w:t>
      </w:r>
      <w:r>
        <w:rPr>
          <w:rFonts w:hint="eastAsia" w:ascii="仿宋" w:hAnsi="仿宋" w:eastAsia="仿宋" w:cs="仿宋"/>
          <w:b/>
          <w:bCs/>
          <w:sz w:val="32"/>
          <w:szCs w:val="32"/>
          <w:lang w:val="en-US" w:eastAsia="zh-CN"/>
        </w:rPr>
        <w:t>授权人员</w:t>
      </w:r>
      <w:r>
        <w:rPr>
          <w:rFonts w:hint="eastAsia" w:ascii="仿宋" w:hAnsi="仿宋" w:eastAsia="仿宋" w:cs="仿宋"/>
          <w:b w:val="0"/>
          <w:bCs w:val="0"/>
          <w:sz w:val="32"/>
          <w:szCs w:val="32"/>
          <w:lang w:val="en-US" w:eastAsia="zh-CN"/>
        </w:rPr>
        <w:t>确认其真实准确。无法证明工资发放标准和计算是否符合</w:t>
      </w:r>
      <w:r>
        <w:rPr>
          <w:rFonts w:hint="eastAsia" w:ascii="仿宋" w:hAnsi="仿宋" w:eastAsia="仿宋" w:cs="仿宋"/>
          <w:b/>
          <w:bCs/>
          <w:sz w:val="32"/>
          <w:szCs w:val="32"/>
          <w:lang w:val="en-US" w:eastAsia="zh-CN"/>
        </w:rPr>
        <w:t>相关政策规定</w:t>
      </w:r>
      <w:r>
        <w:rPr>
          <w:rFonts w:hint="eastAsia" w:ascii="仿宋" w:hAnsi="仿宋" w:eastAsia="仿宋" w:cs="仿宋"/>
          <w:b w:val="0"/>
          <w:bCs w:val="0"/>
          <w:sz w:val="32"/>
          <w:szCs w:val="32"/>
          <w:lang w:val="en-US" w:eastAsia="zh-CN"/>
        </w:rPr>
        <w:t>（如人事部门的批复文件）。</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财会〔2012〕21号）第十六条：“单位内部控制方法包括不相容岗位相互分离、内部授权审批控制、归口管理等。”工资发放没有审批签字，严重违反了“内部授权审批控制”原则。违反了“经办、审核、审批”相分离的内控基本原则，容易产生错误和舞弊风险。例如，财务人员可能擅自修改数据而无人复核。</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上述违反了《会计基础工作规范》（财会字〔1996〕19号）。强调原始凭证的完整性和真实性。未经审批的工资表不能作为合法、有效的记账原始凭证附件。要求各单位应当建立内部的稽核和审批制度。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地方政府和财政部门的具体规定。各地财政局通常会有更细化的财政资金支付管理办法、工资统发实施细则等，其中必然会明确要求工资发放必须经过单位人事、财务负责人乃至单位领导的审批，并要求附上银行回单作为做账依据。</w:t>
      </w:r>
    </w:p>
    <w:p w14:paraId="10E58A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建议：规范管理、防范风险、提升效能。短期建议，及时整改。A补全审批手续。</w:t>
      </w:r>
      <w:r>
        <w:rPr>
          <w:rFonts w:hint="eastAsia" w:ascii="仿宋" w:hAnsi="仿宋" w:eastAsia="仿宋" w:cs="仿宋"/>
          <w:b w:val="0"/>
          <w:bCs w:val="0"/>
          <w:sz w:val="32"/>
          <w:szCs w:val="32"/>
          <w:lang w:val="en-US" w:eastAsia="zh-CN"/>
        </w:rPr>
        <w:t>及时对当期的工资发放明细表进行补审批。由制表人、审核人、审批人（通常为单位分管财务的领导或财务主管）补签姓名和日期，并可根据情况补充“已核，数据无误”等简要审核意见。</w:t>
      </w:r>
      <w:r>
        <w:rPr>
          <w:rFonts w:hint="eastAsia" w:ascii="仿宋" w:hAnsi="仿宋" w:eastAsia="仿宋" w:cs="仿宋"/>
          <w:b/>
          <w:bCs/>
          <w:sz w:val="32"/>
          <w:szCs w:val="32"/>
          <w:lang w:val="en-US" w:eastAsia="zh-CN"/>
        </w:rPr>
        <w:t>B获取银行回单。</w:t>
      </w:r>
      <w:r>
        <w:rPr>
          <w:rFonts w:hint="eastAsia" w:ascii="仿宋" w:hAnsi="仿宋" w:eastAsia="仿宋" w:cs="仿宋"/>
          <w:b w:val="0"/>
          <w:bCs w:val="0"/>
          <w:sz w:val="32"/>
          <w:szCs w:val="32"/>
          <w:lang w:val="en-US" w:eastAsia="zh-CN"/>
        </w:rPr>
        <w:t>立即联系代理银行，获取历史月份的工资发放成功回单（电子版或纸质版），作为原始凭证附件装入会计档案。</w:t>
      </w:r>
      <w:r>
        <w:rPr>
          <w:rFonts w:hint="eastAsia" w:ascii="仿宋" w:hAnsi="仿宋" w:eastAsia="仿宋" w:cs="仿宋"/>
          <w:b/>
          <w:bCs/>
          <w:sz w:val="32"/>
          <w:szCs w:val="32"/>
          <w:lang w:val="en-US" w:eastAsia="zh-CN"/>
        </w:rPr>
        <w:t>长期建议，加强制度建设，完善内控制度。A制定或修订本单位《工资发放管理内部控制实施细则》。B明确以下流程。一是编制管理。</w:t>
      </w:r>
      <w:r>
        <w:rPr>
          <w:rFonts w:hint="eastAsia" w:ascii="仿宋" w:hAnsi="仿宋" w:eastAsia="仿宋" w:cs="仿宋"/>
          <w:b w:val="0"/>
          <w:bCs w:val="0"/>
          <w:sz w:val="32"/>
          <w:szCs w:val="32"/>
          <w:lang w:val="en-US" w:eastAsia="zh-CN"/>
        </w:rPr>
        <w:t>由人事部门或指定人员根据政策编制工资变动表和应发数据。</w:t>
      </w:r>
      <w:r>
        <w:rPr>
          <w:rFonts w:hint="eastAsia" w:ascii="仿宋" w:hAnsi="仿宋" w:eastAsia="仿宋" w:cs="仿宋"/>
          <w:b/>
          <w:bCs/>
          <w:sz w:val="32"/>
          <w:szCs w:val="32"/>
          <w:lang w:val="en-US" w:eastAsia="zh-CN"/>
        </w:rPr>
        <w:t>二是审核。</w:t>
      </w:r>
      <w:r>
        <w:rPr>
          <w:rFonts w:hint="eastAsia" w:ascii="仿宋" w:hAnsi="仿宋" w:eastAsia="仿宋" w:cs="仿宋"/>
          <w:b w:val="0"/>
          <w:bCs w:val="0"/>
          <w:sz w:val="32"/>
          <w:szCs w:val="32"/>
          <w:lang w:val="en-US" w:eastAsia="zh-CN"/>
        </w:rPr>
        <w:t>财务部门根据人事通知审核数据准确性。</w:t>
      </w:r>
    </w:p>
    <w:p w14:paraId="503E35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三是审批。</w:t>
      </w:r>
      <w:r>
        <w:rPr>
          <w:rFonts w:hint="eastAsia" w:ascii="仿宋" w:hAnsi="仿宋" w:eastAsia="仿宋" w:cs="仿宋"/>
          <w:b w:val="0"/>
          <w:bCs w:val="0"/>
          <w:sz w:val="32"/>
          <w:szCs w:val="32"/>
          <w:lang w:val="en-US" w:eastAsia="zh-CN"/>
        </w:rPr>
        <w:t>规定明确的审批权限和流程，例如：财务负责人审核后，必须报单位主要领导或分管财务领导审批签字，方可进入支付程序。审批签字必须是纸质或具有同等法律效力的电子签批流程。</w:t>
      </w:r>
      <w:r>
        <w:rPr>
          <w:rFonts w:hint="eastAsia" w:ascii="仿宋" w:hAnsi="仿宋" w:eastAsia="仿宋" w:cs="仿宋"/>
          <w:b/>
          <w:bCs/>
          <w:sz w:val="32"/>
          <w:szCs w:val="32"/>
          <w:lang w:val="en-US" w:eastAsia="zh-CN"/>
        </w:rPr>
        <w:t>四是支付与归档。</w:t>
      </w:r>
      <w:r>
        <w:rPr>
          <w:rFonts w:hint="eastAsia" w:ascii="仿宋" w:hAnsi="仿宋" w:eastAsia="仿宋" w:cs="仿宋"/>
          <w:b w:val="0"/>
          <w:bCs w:val="0"/>
          <w:sz w:val="32"/>
          <w:szCs w:val="32"/>
          <w:lang w:val="en-US" w:eastAsia="zh-CN"/>
        </w:rPr>
        <w:t>财务人员凭审批完毕的工资表提交国库支付申请，支付完成后，必须及时将经审批的工资表、国库支付凭证、银行发放成功回单三者一并作为记账凭证的附件，妥善保管。</w:t>
      </w:r>
      <w:r>
        <w:rPr>
          <w:rFonts w:hint="eastAsia" w:ascii="仿宋" w:hAnsi="仿宋" w:eastAsia="仿宋" w:cs="仿宋"/>
          <w:b/>
          <w:bCs/>
          <w:sz w:val="32"/>
          <w:szCs w:val="32"/>
          <w:lang w:val="en-US" w:eastAsia="zh-CN"/>
        </w:rPr>
        <w:t>C推行电子审批。</w:t>
      </w:r>
      <w:r>
        <w:rPr>
          <w:rFonts w:hint="eastAsia" w:ascii="仿宋" w:hAnsi="仿宋" w:eastAsia="仿宋" w:cs="仿宋"/>
          <w:b w:val="0"/>
          <w:bCs w:val="0"/>
          <w:sz w:val="32"/>
          <w:szCs w:val="32"/>
          <w:lang w:val="en-US" w:eastAsia="zh-CN"/>
        </w:rPr>
        <w:t>如有条件，建议在OA系统或财政一体化平台上实现工资发放的线上审批流程，使审批环节留痕、不可篡改，提高效率和规范性。</w:t>
      </w:r>
    </w:p>
    <w:p w14:paraId="0DA698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D加强人员培训。</w:t>
      </w:r>
      <w:r>
        <w:rPr>
          <w:rFonts w:hint="eastAsia" w:ascii="仿宋" w:hAnsi="仿宋" w:eastAsia="仿宋" w:cs="仿宋"/>
          <w:b w:val="0"/>
          <w:bCs w:val="0"/>
          <w:sz w:val="32"/>
          <w:szCs w:val="32"/>
          <w:lang w:val="en-US" w:eastAsia="zh-CN"/>
        </w:rPr>
        <w:t>对财务人员和相关审批负责人进行内控规范和财务知识的定期培训，强化其风险意识和责任意识。</w:t>
      </w:r>
    </w:p>
    <w:p w14:paraId="485FB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2.支付医疗保险、工伤保险、职业年金后仅附国库支付单，银行端查询缴税凭证，附人员名单、缴费基数确认表、明确的计算依据、银行付款回单，但无人力资源部审批意见及盖章等。</w:t>
      </w:r>
    </w:p>
    <w:p w14:paraId="01EEA2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上述违反了内部控制的基本原则即不相容岗位分离原则。社保的计提（计算） 与审核（审批） 属于不相容岗位。人力资源部门负责提供准确的人员、工资数据（计算），部门负责根据审核后的数据记账和支付。如果无人力资源部门的审核，就相当于部门计算与支付，失去了关键的内部监督和制约，极易导致错误和舞弊。</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审核与审批控制原则。任何重要的经济事项，必须经过适当的授权和审核。人力资源部门的盖章审批，正是这一控制环节的关键书面证据。缺少它，意味着整个业务流程缺少了至关重要的“刹车”和“校验”环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上述违反了《中华人民共和国预算法》。社保支出是单位预算的重要组成部分。无人力资源部门审核，编制的社保支出预算和决算就缺乏可靠的数据来源和核对依据，影响预算编制的准确性和预算执行的严肃性。</w:t>
      </w:r>
      <w:r>
        <w:rPr>
          <w:rFonts w:hint="eastAsia" w:ascii="仿宋" w:hAnsi="仿宋" w:eastAsia="仿宋" w:cs="仿宋"/>
          <w:b/>
          <w:bCs/>
          <w:sz w:val="32"/>
          <w:szCs w:val="32"/>
          <w:lang w:val="en-US" w:eastAsia="zh-CN"/>
        </w:rPr>
        <w:t>存在三类风险。一是数据不准确风险。</w:t>
      </w:r>
      <w:r>
        <w:rPr>
          <w:rFonts w:hint="eastAsia" w:ascii="仿宋" w:hAnsi="仿宋" w:eastAsia="仿宋" w:cs="仿宋"/>
          <w:b w:val="0"/>
          <w:bCs w:val="0"/>
          <w:sz w:val="32"/>
          <w:szCs w:val="32"/>
          <w:lang w:val="en-US" w:eastAsia="zh-CN"/>
        </w:rPr>
        <w:t>人员调入、调出、离职、工资变动等信息未能及时、准确地传递给财务部门，导致多缴、少缴或为已离职人员缴费，造成财政资金损失。</w:t>
      </w:r>
      <w:r>
        <w:rPr>
          <w:rFonts w:hint="eastAsia" w:ascii="仿宋" w:hAnsi="仿宋" w:eastAsia="仿宋" w:cs="仿宋"/>
          <w:b/>
          <w:bCs/>
          <w:sz w:val="32"/>
          <w:szCs w:val="32"/>
          <w:lang w:val="en-US" w:eastAsia="zh-CN"/>
        </w:rPr>
        <w:t>二是舞弊风险。</w:t>
      </w:r>
      <w:r>
        <w:rPr>
          <w:rFonts w:hint="eastAsia" w:ascii="仿宋" w:hAnsi="仿宋" w:eastAsia="仿宋" w:cs="仿宋"/>
          <w:b w:val="0"/>
          <w:bCs w:val="0"/>
          <w:sz w:val="32"/>
          <w:szCs w:val="32"/>
          <w:lang w:val="en-US" w:eastAsia="zh-CN"/>
        </w:rPr>
        <w:t>在缺乏监督的情况下，存在虚报人数、虚增工资基数从而套取资金的风险。</w:t>
      </w:r>
      <w:r>
        <w:rPr>
          <w:rFonts w:hint="eastAsia" w:ascii="仿宋" w:hAnsi="仿宋" w:eastAsia="仿宋" w:cs="仿宋"/>
          <w:b/>
          <w:bCs/>
          <w:sz w:val="32"/>
          <w:szCs w:val="32"/>
          <w:lang w:val="en-US" w:eastAsia="zh-CN"/>
        </w:rPr>
        <w:t>三是合规性风险。</w:t>
      </w:r>
      <w:r>
        <w:rPr>
          <w:rFonts w:hint="eastAsia" w:ascii="仿宋" w:hAnsi="仿宋" w:eastAsia="仿宋" w:cs="仿宋"/>
          <w:b w:val="0"/>
          <w:bCs w:val="0"/>
          <w:sz w:val="32"/>
          <w:szCs w:val="32"/>
          <w:lang w:val="en-US" w:eastAsia="zh-CN"/>
        </w:rPr>
        <w:t>可能导致社保缴费不符合《社会保险法》及相关规定，面临社保稽查部门的处罚。</w:t>
      </w:r>
    </w:p>
    <w:p w14:paraId="039E2D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应从</w:t>
      </w:r>
      <w:r>
        <w:rPr>
          <w:rFonts w:hint="eastAsia" w:ascii="仿宋" w:hAnsi="仿宋" w:eastAsia="仿宋" w:cs="仿宋"/>
          <w:b/>
          <w:bCs/>
          <w:sz w:val="32"/>
          <w:szCs w:val="32"/>
          <w:lang w:val="en-US" w:eastAsia="zh-CN"/>
        </w:rPr>
        <w:t>“及时整改”</w:t>
      </w:r>
      <w:r>
        <w:rPr>
          <w:rFonts w:hint="eastAsia" w:ascii="仿宋" w:hAnsi="仿宋" w:eastAsia="仿宋" w:cs="仿宋"/>
          <w:b w:val="0"/>
          <w:bCs w:val="0"/>
          <w:sz w:val="32"/>
          <w:szCs w:val="32"/>
          <w:lang w:val="en-US" w:eastAsia="zh-CN"/>
        </w:rPr>
        <w:t>和</w:t>
      </w:r>
      <w:r>
        <w:rPr>
          <w:rFonts w:hint="eastAsia" w:ascii="仿宋" w:hAnsi="仿宋" w:eastAsia="仿宋" w:cs="仿宋"/>
          <w:b/>
          <w:bCs/>
          <w:sz w:val="32"/>
          <w:szCs w:val="32"/>
          <w:lang w:val="en-US" w:eastAsia="zh-CN"/>
        </w:rPr>
        <w:t>“长效机制”</w:t>
      </w:r>
      <w:r>
        <w:rPr>
          <w:rFonts w:hint="eastAsia" w:ascii="仿宋" w:hAnsi="仿宋" w:eastAsia="仿宋" w:cs="仿宋"/>
          <w:b w:val="0"/>
          <w:bCs w:val="0"/>
          <w:sz w:val="32"/>
          <w:szCs w:val="32"/>
          <w:lang w:val="en-US" w:eastAsia="zh-CN"/>
        </w:rPr>
        <w:t>两个层面提出建议。</w:t>
      </w:r>
      <w:r>
        <w:rPr>
          <w:rFonts w:hint="eastAsia" w:ascii="仿宋" w:hAnsi="仿宋" w:eastAsia="仿宋" w:cs="仿宋"/>
          <w:b/>
          <w:bCs/>
          <w:sz w:val="32"/>
          <w:szCs w:val="32"/>
          <w:lang w:val="en-US" w:eastAsia="zh-CN"/>
        </w:rPr>
        <w:t>一是及时整改措施（针对已发现的问题）。A补充审批程序，</w:t>
      </w:r>
      <w:r>
        <w:rPr>
          <w:rFonts w:hint="eastAsia" w:ascii="仿宋" w:hAnsi="仿宋" w:eastAsia="仿宋" w:cs="仿宋"/>
          <w:b w:val="0"/>
          <w:bCs w:val="0"/>
          <w:sz w:val="32"/>
          <w:szCs w:val="32"/>
          <w:lang w:val="en-US" w:eastAsia="zh-CN"/>
        </w:rPr>
        <w:t>要求该预算单位立即对评价期内所有的社保计提与缴费业务，补充人力资源部门的审核确认手续。对于缺失的审批单，应限期补办，由人力资源部门负责人签字并加盖部门公章。</w:t>
      </w:r>
      <w:r>
        <w:rPr>
          <w:rFonts w:hint="eastAsia" w:ascii="仿宋" w:hAnsi="仿宋" w:eastAsia="仿宋" w:cs="仿宋"/>
          <w:b/>
          <w:bCs/>
          <w:sz w:val="32"/>
          <w:szCs w:val="32"/>
          <w:lang w:val="en-US" w:eastAsia="zh-CN"/>
        </w:rPr>
        <w:t>B书面说明情况，</w:t>
      </w:r>
      <w:r>
        <w:rPr>
          <w:rFonts w:hint="eastAsia" w:ascii="仿宋" w:hAnsi="仿宋" w:eastAsia="仿宋" w:cs="仿宋"/>
          <w:b w:val="0"/>
          <w:bCs w:val="0"/>
          <w:sz w:val="32"/>
          <w:szCs w:val="32"/>
          <w:lang w:val="en-US" w:eastAsia="zh-CN"/>
        </w:rPr>
        <w:t>要求该单位就此次内控缺失问题提交书面说明，解释原因并承诺整改，由单位主要负责人签字，以表明单位领导对此问题的重视。</w:t>
      </w:r>
      <w:r>
        <w:rPr>
          <w:rFonts w:hint="eastAsia" w:ascii="仿宋" w:hAnsi="仿宋" w:eastAsia="仿宋" w:cs="仿宋"/>
          <w:b/>
          <w:bCs/>
          <w:sz w:val="32"/>
          <w:szCs w:val="32"/>
          <w:lang w:val="en-US" w:eastAsia="zh-CN"/>
        </w:rPr>
        <w:t>二是长效机制建设建议（从根本上解决问题）。A完善制度建设，明确责任分工。</w:t>
      </w:r>
      <w:r>
        <w:rPr>
          <w:rFonts w:hint="eastAsia" w:ascii="仿宋" w:hAnsi="仿宋" w:eastAsia="仿宋" w:cs="仿宋"/>
          <w:b w:val="0"/>
          <w:bCs w:val="0"/>
          <w:sz w:val="32"/>
          <w:szCs w:val="32"/>
          <w:lang w:val="en-US" w:eastAsia="zh-CN"/>
        </w:rPr>
        <w:t>修订其内部财务管理制度和人力资源</w:t>
      </w:r>
      <w:r>
        <w:rPr>
          <w:rFonts w:hint="eastAsia" w:ascii="仿宋" w:hAnsi="仿宋" w:eastAsia="仿宋" w:cs="仿宋"/>
          <w:b/>
          <w:bCs/>
          <w:sz w:val="32"/>
          <w:szCs w:val="32"/>
          <w:lang w:val="en-US" w:eastAsia="zh-CN"/>
        </w:rPr>
        <w:t>管理流程。</w:t>
      </w:r>
      <w:r>
        <w:rPr>
          <w:rFonts w:hint="eastAsia" w:ascii="仿宋" w:hAnsi="仿宋" w:eastAsia="仿宋" w:cs="仿宋"/>
          <w:b w:val="0"/>
          <w:bCs w:val="0"/>
          <w:sz w:val="32"/>
          <w:szCs w:val="32"/>
          <w:lang w:val="en-US" w:eastAsia="zh-CN"/>
        </w:rPr>
        <w:t>明文规定，社保的计提必须以经人力资源部门审核、盖章（或负责人签字）的《人员及工资变动汇总表》或《社保缴费核定表》作为</w:t>
      </w:r>
      <w:r>
        <w:rPr>
          <w:rFonts w:hint="eastAsia" w:ascii="仿宋" w:hAnsi="仿宋" w:eastAsia="仿宋" w:cs="仿宋"/>
          <w:b/>
          <w:bCs/>
          <w:sz w:val="32"/>
          <w:szCs w:val="32"/>
          <w:lang w:val="en-US" w:eastAsia="zh-CN"/>
        </w:rPr>
        <w:t>唯一依据。</w:t>
      </w:r>
      <w:r>
        <w:rPr>
          <w:rFonts w:hint="eastAsia" w:ascii="仿宋" w:hAnsi="仿宋" w:eastAsia="仿宋" w:cs="仿宋"/>
          <w:b w:val="0"/>
          <w:bCs w:val="0"/>
          <w:sz w:val="32"/>
          <w:szCs w:val="32"/>
          <w:lang w:val="en-US" w:eastAsia="zh-CN"/>
        </w:rPr>
        <w:t>部门必须见到合规的审批单后方可进行账务处理和办理缴费。</w:t>
      </w:r>
      <w:r>
        <w:rPr>
          <w:rFonts w:hint="eastAsia" w:ascii="仿宋" w:hAnsi="仿宋" w:eastAsia="仿宋" w:cs="仿宋"/>
          <w:b/>
          <w:bCs/>
          <w:sz w:val="32"/>
          <w:szCs w:val="32"/>
          <w:lang w:val="en-US" w:eastAsia="zh-CN"/>
        </w:rPr>
        <w:t>B优化业务流程，固化审批环节。设计标准化的审批表单，</w:t>
      </w:r>
      <w:r>
        <w:rPr>
          <w:rFonts w:hint="eastAsia" w:ascii="仿宋" w:hAnsi="仿宋" w:eastAsia="仿宋" w:cs="仿宋"/>
          <w:b w:val="0"/>
          <w:bCs w:val="0"/>
          <w:sz w:val="32"/>
          <w:szCs w:val="32"/>
          <w:lang w:val="en-US" w:eastAsia="zh-CN"/>
        </w:rPr>
        <w:t>表单应包含人员姓名、身份证号、缴费基数、单位应缴额、个人应缴额、合计金额等核心信息，并设置“制表人”、“人力资源部门审核人”、“财务部门复核人”等签章栏位。</w:t>
      </w:r>
      <w:r>
        <w:rPr>
          <w:rFonts w:hint="eastAsia" w:ascii="仿宋" w:hAnsi="仿宋" w:eastAsia="仿宋" w:cs="仿宋"/>
          <w:b/>
          <w:bCs/>
          <w:sz w:val="32"/>
          <w:szCs w:val="32"/>
          <w:lang w:val="en-US" w:eastAsia="zh-CN"/>
        </w:rPr>
        <w:t>固化流程，</w:t>
      </w:r>
      <w:r>
        <w:rPr>
          <w:rFonts w:hint="eastAsia" w:ascii="仿宋" w:hAnsi="仿宋" w:eastAsia="仿宋" w:cs="仿宋"/>
          <w:b w:val="0"/>
          <w:bCs w:val="0"/>
          <w:sz w:val="32"/>
          <w:szCs w:val="32"/>
          <w:lang w:val="en-US" w:eastAsia="zh-CN"/>
        </w:rPr>
        <w:t>每月（或每季度）初，人力资源部门制作表单并审核签章 -&gt; 提交至财务部门 -&gt; 财务部门复核无误后 -&gt; 进行计提和缴费 -&gt; 将审批单作为重要原始凭证附于记账凭证之后。</w:t>
      </w:r>
      <w:r>
        <w:rPr>
          <w:rFonts w:hint="eastAsia" w:ascii="仿宋" w:hAnsi="仿宋" w:eastAsia="仿宋" w:cs="仿宋"/>
          <w:b/>
          <w:bCs/>
          <w:sz w:val="32"/>
          <w:szCs w:val="32"/>
          <w:lang w:val="en-US" w:eastAsia="zh-CN"/>
        </w:rPr>
        <w:t>加强信息化建设，实现数据联动，</w:t>
      </w:r>
      <w:r>
        <w:rPr>
          <w:rFonts w:hint="eastAsia" w:ascii="仿宋" w:hAnsi="仿宋" w:eastAsia="仿宋" w:cs="仿宋"/>
          <w:b w:val="0"/>
          <w:bCs w:val="0"/>
          <w:sz w:val="32"/>
          <w:szCs w:val="32"/>
          <w:lang w:val="en-US" w:eastAsia="zh-CN"/>
        </w:rPr>
        <w:t>长远来看，建议推动单位使用集成的财务与人力资源管理系统。通过系统设置，实现人力资源数据变动后，社保数据自动生成，并通过线上流程推送给相关负责人审批，审批完成后数据自动传递至财务系统。这样可以减少人为干预，提高效率和准确性。</w:t>
      </w:r>
    </w:p>
    <w:p w14:paraId="56679F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3.住房公积金交通补贴津贴的计提缺乏人力资源或组织部门的审核盖章。</w:t>
      </w:r>
    </w:p>
    <w:p w14:paraId="33EA3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5DE7B2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及时补办，对于已发放但缺少签章的补贴，应尽快联系人力资源或组织部门，对发放名单和金额进行事后审核与追认，并在发放表上加盖部门公章。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4BB66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w:t>
      </w:r>
      <w:r>
        <w:rPr>
          <w:rFonts w:hint="default" w:ascii="仿宋" w:hAnsi="仿宋" w:eastAsia="仿宋" w:cs="仿宋"/>
          <w:b/>
          <w:bCs/>
          <w:sz w:val="32"/>
          <w:szCs w:val="32"/>
          <w:highlight w:val="none"/>
          <w:lang w:val="en-US" w:eastAsia="zh-CN"/>
        </w:rPr>
        <w:t>发放退休人员补贴由本单位领导签字，无人力资源审核</w:t>
      </w:r>
      <w:r>
        <w:rPr>
          <w:rFonts w:hint="eastAsia" w:ascii="仿宋" w:hAnsi="仿宋" w:eastAsia="仿宋" w:cs="仿宋"/>
          <w:b/>
          <w:bCs/>
          <w:sz w:val="32"/>
          <w:szCs w:val="32"/>
          <w:highlight w:val="none"/>
          <w:lang w:val="en-US" w:eastAsia="zh-CN"/>
        </w:rPr>
        <w:t>，无回单</w:t>
      </w:r>
      <w:r>
        <w:rPr>
          <w:rFonts w:hint="default" w:ascii="仿宋" w:hAnsi="仿宋" w:eastAsia="仿宋" w:cs="仿宋"/>
          <w:b/>
          <w:bCs/>
          <w:sz w:val="32"/>
          <w:szCs w:val="32"/>
          <w:highlight w:val="none"/>
          <w:lang w:val="en-US" w:eastAsia="zh-CN"/>
        </w:rPr>
        <w:t>。</w:t>
      </w:r>
    </w:p>
    <w:p w14:paraId="04DA04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上述违反了《行政事业单位内部控制规范（试行）》，违反了“不相容岗位分离”和“业务归口管理”原则。退休待遇的核定（人事权） 与执行支付（财务权） 必须由不同部门负责，相互审核与制约。</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上述违反了《政府会计制度》，要求支出必须“附有原始凭证”，银行回单是关键支付凭证，其缺失导致会计信息无法真实反映“资金已付</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上述违反了《关于工资福利支出管理的相关政策》，各级政府对退休人员待遇发放均有严格规定，必须由人力资源和社会保障部门根据档案和政策准确核定，不允许未经审核直接发放。</w:t>
      </w:r>
    </w:p>
    <w:p w14:paraId="7D228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建议：一是及时暂停与全面核查（紧急纠错），及时暂停当前仅凭领导签字即发放的模式。</w:t>
      </w:r>
      <w:r>
        <w:rPr>
          <w:rFonts w:hint="eastAsia" w:ascii="仿宋" w:hAnsi="仿宋" w:eastAsia="仿宋" w:cs="仿宋"/>
          <w:b w:val="0"/>
          <w:bCs w:val="0"/>
          <w:sz w:val="32"/>
          <w:szCs w:val="32"/>
          <w:highlight w:val="none"/>
          <w:lang w:val="en-US" w:eastAsia="zh-CN"/>
        </w:rPr>
        <w:t>对过往已发放的补贴进行全面核查。责成人力资源部门补审核所有历史发放名单与金额，确认是否正确无误。如发现错发、多发，必须制定计划及时追回。</w:t>
      </w:r>
      <w:r>
        <w:rPr>
          <w:rFonts w:hint="eastAsia" w:ascii="仿宋" w:hAnsi="仿宋" w:eastAsia="仿宋" w:cs="仿宋"/>
          <w:b/>
          <w:bCs/>
          <w:sz w:val="32"/>
          <w:szCs w:val="32"/>
          <w:highlight w:val="none"/>
          <w:lang w:val="en-US" w:eastAsia="zh-CN"/>
        </w:rPr>
        <w:t>二是建立健全标准化流程（长效机制）。</w:t>
      </w:r>
      <w:r>
        <w:rPr>
          <w:rFonts w:hint="eastAsia" w:ascii="仿宋" w:hAnsi="仿宋" w:eastAsia="仿宋" w:cs="仿宋"/>
          <w:b w:val="0"/>
          <w:bCs w:val="0"/>
          <w:sz w:val="32"/>
          <w:szCs w:val="32"/>
          <w:highlight w:val="none"/>
          <w:lang w:val="en-US" w:eastAsia="zh-CN"/>
        </w:rPr>
        <w:t>必须推行“人力资源审核前置”的标准化流程，建议设计并使用统一的《退休人员补贴发放审批表》。</w:t>
      </w:r>
      <w:r>
        <w:rPr>
          <w:rFonts w:hint="eastAsia" w:ascii="仿宋" w:hAnsi="仿宋" w:eastAsia="仿宋" w:cs="仿宋"/>
          <w:b/>
          <w:bCs/>
          <w:sz w:val="32"/>
          <w:szCs w:val="32"/>
          <w:highlight w:val="none"/>
          <w:lang w:val="en-US" w:eastAsia="zh-CN"/>
        </w:rPr>
        <w:t>三是明确责任与加强监督。明确责任。</w:t>
      </w:r>
      <w:r>
        <w:rPr>
          <w:rFonts w:hint="eastAsia" w:ascii="仿宋" w:hAnsi="仿宋" w:eastAsia="仿宋" w:cs="仿宋"/>
          <w:b w:val="0"/>
          <w:bCs w:val="0"/>
          <w:sz w:val="32"/>
          <w:szCs w:val="32"/>
          <w:highlight w:val="none"/>
          <w:lang w:val="en-US" w:eastAsia="zh-CN"/>
        </w:rPr>
        <w:t>在制度中明确，人力资源部门对人员资格和标准的准确性负首要责任。财务部门对支付凭证的完整性负责。领导负最终审批责任。</w:t>
      </w:r>
      <w:r>
        <w:rPr>
          <w:rFonts w:hint="eastAsia" w:ascii="仿宋" w:hAnsi="仿宋" w:eastAsia="仿宋" w:cs="仿宋"/>
          <w:b/>
          <w:bCs/>
          <w:sz w:val="32"/>
          <w:szCs w:val="32"/>
          <w:highlight w:val="none"/>
          <w:lang w:val="en-US" w:eastAsia="zh-CN"/>
        </w:rPr>
        <w:t>加强监督。</w:t>
      </w:r>
      <w:r>
        <w:rPr>
          <w:rFonts w:hint="eastAsia" w:ascii="仿宋" w:hAnsi="仿宋" w:eastAsia="仿宋" w:cs="仿宋"/>
          <w:b w:val="0"/>
          <w:bCs w:val="0"/>
          <w:sz w:val="32"/>
          <w:szCs w:val="32"/>
          <w:highlight w:val="none"/>
          <w:lang w:val="en-US" w:eastAsia="zh-CN"/>
        </w:rPr>
        <w:t>审计或纪检部门应定期对此类支出进行专项检查，确保流程得到遵循。</w:t>
      </w:r>
    </w:p>
    <w:p w14:paraId="10583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5.工资管理“四张表、两家发”的模式是一种碎片化的管理方式，虽然可能源于历史习惯或特定管理需求，但其弊端明显，体现在以下九个方面：一是维权成本高。</w:t>
      </w:r>
      <w:r>
        <w:rPr>
          <w:rFonts w:hint="eastAsia" w:ascii="仿宋" w:hAnsi="仿宋" w:eastAsia="仿宋" w:cs="仿宋"/>
          <w:b w:val="0"/>
          <w:bCs w:val="0"/>
          <w:sz w:val="32"/>
          <w:szCs w:val="32"/>
          <w:highlight w:val="none"/>
          <w:lang w:val="en-US" w:eastAsia="zh-CN"/>
        </w:rPr>
        <w:t>如果对某一笔收入有疑问，员工需要分别向财政局和单位办公室咨询，沟通成本高，问题处理链条长。</w:t>
      </w:r>
      <w:r>
        <w:rPr>
          <w:rFonts w:hint="eastAsia" w:ascii="仿宋" w:hAnsi="仿宋" w:eastAsia="仿宋" w:cs="仿宋"/>
          <w:b/>
          <w:bCs/>
          <w:sz w:val="32"/>
          <w:szCs w:val="32"/>
          <w:highlight w:val="none"/>
          <w:lang w:val="en-US" w:eastAsia="zh-CN"/>
        </w:rPr>
        <w:t>二是数据一致性风险高。</w:t>
      </w:r>
      <w:r>
        <w:rPr>
          <w:rFonts w:hint="eastAsia" w:ascii="仿宋" w:hAnsi="仿宋" w:eastAsia="仿宋" w:cs="仿宋"/>
          <w:b w:val="0"/>
          <w:bCs w:val="0"/>
          <w:sz w:val="32"/>
          <w:szCs w:val="32"/>
          <w:highlight w:val="none"/>
          <w:lang w:val="en-US" w:eastAsia="zh-CN"/>
        </w:rPr>
        <w:t>财政统发部分和单位发放部分的基础数据（如基本工资、职级、扣款基数等）需要高度同步。任何一方的数据变动（如职级晋升、公积金调整）若未及时通知另一方，就会导致发放错误，后续纠错流程烦琐。</w:t>
      </w:r>
      <w:r>
        <w:rPr>
          <w:rFonts w:hint="eastAsia" w:ascii="仿宋" w:hAnsi="仿宋" w:eastAsia="仿宋" w:cs="仿宋"/>
          <w:b/>
          <w:bCs/>
          <w:sz w:val="32"/>
          <w:szCs w:val="32"/>
          <w:highlight w:val="none"/>
          <w:lang w:val="en-US" w:eastAsia="zh-CN"/>
        </w:rPr>
        <w:t>三是资金安全风险。</w:t>
      </w:r>
      <w:r>
        <w:rPr>
          <w:rFonts w:hint="eastAsia" w:ascii="仿宋" w:hAnsi="仿宋" w:eastAsia="仿宋" w:cs="仿宋"/>
          <w:b w:val="0"/>
          <w:bCs w:val="0"/>
          <w:sz w:val="32"/>
          <w:szCs w:val="32"/>
          <w:highlight w:val="none"/>
          <w:lang w:val="en-US" w:eastAsia="zh-CN"/>
        </w:rPr>
        <w:t>单位通常通过自有账户发放补贴，涉及资金的请款、保管、支付等环节，内部控制若不到位，存在资金安全风险。</w:t>
      </w:r>
      <w:r>
        <w:rPr>
          <w:rFonts w:hint="eastAsia" w:ascii="仿宋" w:hAnsi="仿宋" w:eastAsia="仿宋" w:cs="仿宋"/>
          <w:b/>
          <w:bCs/>
          <w:sz w:val="32"/>
          <w:szCs w:val="32"/>
          <w:highlight w:val="none"/>
          <w:lang w:val="en-US" w:eastAsia="zh-CN"/>
        </w:rPr>
        <w:t>四是人事变动同步延迟。</w:t>
      </w:r>
      <w:r>
        <w:rPr>
          <w:rFonts w:hint="eastAsia" w:ascii="仿宋" w:hAnsi="仿宋" w:eastAsia="仿宋" w:cs="仿宋"/>
          <w:b w:val="0"/>
          <w:bCs w:val="0"/>
          <w:sz w:val="32"/>
          <w:szCs w:val="32"/>
          <w:highlight w:val="none"/>
          <w:lang w:val="en-US" w:eastAsia="zh-CN"/>
        </w:rPr>
        <w:t>对于人员调入、调出、离职、退休等情况，财政局和单位办公室之间的信息传递可能存在时间差，导致多发、少发或漏发工资。</w:t>
      </w:r>
      <w:r>
        <w:rPr>
          <w:rFonts w:hint="eastAsia" w:ascii="仿宋" w:hAnsi="仿宋" w:eastAsia="仿宋" w:cs="仿宋"/>
          <w:b/>
          <w:bCs/>
          <w:sz w:val="32"/>
          <w:szCs w:val="32"/>
          <w:highlight w:val="none"/>
          <w:lang w:val="en-US" w:eastAsia="zh-CN"/>
        </w:rPr>
        <w:t>五是核算与对账复杂。</w:t>
      </w:r>
      <w:r>
        <w:rPr>
          <w:rFonts w:hint="eastAsia" w:ascii="仿宋" w:hAnsi="仿宋" w:eastAsia="仿宋" w:cs="仿宋"/>
          <w:b w:val="0"/>
          <w:bCs w:val="0"/>
          <w:sz w:val="32"/>
          <w:szCs w:val="32"/>
          <w:highlight w:val="none"/>
          <w:lang w:val="en-US" w:eastAsia="zh-CN"/>
        </w:rPr>
        <w:t>单位财务人员需要将财政发放和单位发放的两部分金额在账务上进行合并处理，期末与财政局、银行等多方对账工作量翻倍，容易出错。</w:t>
      </w:r>
      <w:r>
        <w:rPr>
          <w:rFonts w:hint="eastAsia" w:ascii="仿宋" w:hAnsi="仿宋" w:eastAsia="仿宋" w:cs="仿宋"/>
          <w:b/>
          <w:bCs/>
          <w:sz w:val="32"/>
          <w:szCs w:val="32"/>
          <w:highlight w:val="none"/>
          <w:lang w:val="en-US" w:eastAsia="zh-CN"/>
        </w:rPr>
        <w:t>六是预算编制和执行困难。</w:t>
      </w:r>
      <w:r>
        <w:rPr>
          <w:rFonts w:hint="eastAsia" w:ascii="仿宋" w:hAnsi="仿宋" w:eastAsia="仿宋" w:cs="仿宋"/>
          <w:b w:val="0"/>
          <w:bCs w:val="0"/>
          <w:sz w:val="32"/>
          <w:szCs w:val="32"/>
          <w:highlight w:val="none"/>
          <w:lang w:val="en-US" w:eastAsia="zh-CN"/>
        </w:rPr>
        <w:t>工资福利支出被分割成两块，不利于单位财务进行准确的全年人员经费预算编制，也不利于对预算执行情况进行整体把控和分析。</w:t>
      </w:r>
      <w:r>
        <w:rPr>
          <w:rFonts w:hint="eastAsia" w:ascii="仿宋" w:hAnsi="仿宋" w:eastAsia="仿宋" w:cs="仿宋"/>
          <w:b/>
          <w:bCs/>
          <w:sz w:val="32"/>
          <w:szCs w:val="32"/>
          <w:highlight w:val="none"/>
          <w:lang w:val="en-US" w:eastAsia="zh-CN"/>
        </w:rPr>
        <w:t>七是审计风险高。</w:t>
      </w:r>
      <w:r>
        <w:rPr>
          <w:rFonts w:hint="eastAsia" w:ascii="仿宋" w:hAnsi="仿宋" w:eastAsia="仿宋" w:cs="仿宋"/>
          <w:b w:val="0"/>
          <w:bCs w:val="0"/>
          <w:sz w:val="32"/>
          <w:szCs w:val="32"/>
          <w:highlight w:val="none"/>
          <w:lang w:val="en-US" w:eastAsia="zh-CN"/>
        </w:rPr>
        <w:t>这种模式在审计时会被重点关注。审计人员会审查发放依据、标准、内部控制的完整性，任何环节的疏漏都可能被提出审计质疑。津补贴的发放是否符合政策规定是审计的重中之重。</w:t>
      </w:r>
    </w:p>
    <w:p w14:paraId="6B940F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八是信息孤岛。</w:t>
      </w:r>
      <w:r>
        <w:rPr>
          <w:rFonts w:hint="eastAsia" w:ascii="仿宋" w:hAnsi="仿宋" w:eastAsia="仿宋" w:cs="仿宋"/>
          <w:b w:val="0"/>
          <w:bCs w:val="0"/>
          <w:sz w:val="32"/>
          <w:szCs w:val="32"/>
          <w:highlight w:val="none"/>
          <w:lang w:val="en-US" w:eastAsia="zh-CN"/>
        </w:rPr>
        <w:t>薪资数据分散在两套甚至多套系统中，无法形成完整、统一的人员薪酬数据库，难以进行有效的薪酬数据分析和决策支持。</w:t>
      </w:r>
      <w:r>
        <w:rPr>
          <w:rFonts w:hint="eastAsia" w:ascii="仿宋" w:hAnsi="仿宋" w:eastAsia="仿宋" w:cs="仿宋"/>
          <w:b/>
          <w:bCs/>
          <w:sz w:val="32"/>
          <w:szCs w:val="32"/>
          <w:highlight w:val="none"/>
          <w:lang w:val="en-US" w:eastAsia="zh-CN"/>
        </w:rPr>
        <w:t>九是统计报表困难。</w:t>
      </w:r>
      <w:r>
        <w:rPr>
          <w:rFonts w:hint="eastAsia" w:ascii="仿宋" w:hAnsi="仿宋" w:eastAsia="仿宋" w:cs="仿宋"/>
          <w:b w:val="0"/>
          <w:bCs w:val="0"/>
          <w:sz w:val="32"/>
          <w:szCs w:val="32"/>
          <w:highlight w:val="none"/>
          <w:lang w:val="en-US" w:eastAsia="zh-CN"/>
        </w:rPr>
        <w:t>每当需要向上级部门报送人事、工资统计报表时，需要人工从不同来源汇总数据，费时费力，且数据准确性难以保证。</w:t>
      </w:r>
    </w:p>
    <w:p w14:paraId="0C1912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 xml:space="preserve">上述违反了《中华人民共和国预算法》及其实施条例 - </w:t>
      </w:r>
      <w:r>
        <w:rPr>
          <w:rFonts w:hint="eastAsia" w:ascii="仿宋" w:hAnsi="仿宋" w:eastAsia="仿宋" w:cs="仿宋"/>
          <w:b/>
          <w:bCs/>
          <w:sz w:val="32"/>
          <w:szCs w:val="32"/>
          <w:highlight w:val="none"/>
          <w:lang w:val="en-US" w:eastAsia="zh-CN"/>
        </w:rPr>
        <w:t>全口径预算与支出管理</w:t>
      </w:r>
      <w:r>
        <w:rPr>
          <w:rFonts w:hint="eastAsia" w:ascii="仿宋" w:hAnsi="仿宋" w:eastAsia="仿宋" w:cs="仿宋"/>
          <w:b w:val="0"/>
          <w:bCs w:val="0"/>
          <w:sz w:val="32"/>
          <w:szCs w:val="32"/>
          <w:highlight w:val="none"/>
          <w:lang w:val="en-US" w:eastAsia="zh-CN"/>
        </w:rPr>
        <w:t>。核心要求：政府的全部收入和支出都应当纳入预算。所有工资性支出作为单位预算的重要组成部分，必须接受严格的预算管理和控制。将工资拆分发放，尤其是使用单位“小金库”、未纳入预算的收支或其他非财政渠道的资金，规避了预算的统筹管理和监督，使得部分人员支出脱离了人大和财政的监管视野，属于典型的“预算管理碎片化”。</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 xml:space="preserve">上述违反了《政府会计制度》 - </w:t>
      </w:r>
      <w:r>
        <w:rPr>
          <w:rFonts w:hint="eastAsia" w:ascii="仿宋" w:hAnsi="仿宋" w:eastAsia="仿宋" w:cs="仿宋"/>
          <w:b/>
          <w:bCs/>
          <w:sz w:val="32"/>
          <w:szCs w:val="32"/>
          <w:highlight w:val="none"/>
          <w:lang w:val="en-US" w:eastAsia="zh-CN"/>
        </w:rPr>
        <w:t>核算的完整性与准确性。</w:t>
      </w:r>
      <w:r>
        <w:rPr>
          <w:rFonts w:hint="eastAsia" w:ascii="仿宋" w:hAnsi="仿宋" w:eastAsia="仿宋" w:cs="仿宋"/>
          <w:b w:val="0"/>
          <w:bCs w:val="0"/>
          <w:sz w:val="32"/>
          <w:szCs w:val="32"/>
          <w:highlight w:val="none"/>
          <w:lang w:val="en-US" w:eastAsia="zh-CN"/>
        </w:rPr>
        <w:t>核心要求：会计核算应当以实际发生的经济业务为依据，</w:t>
      </w:r>
      <w:r>
        <w:rPr>
          <w:rFonts w:hint="eastAsia" w:ascii="仿宋" w:hAnsi="仿宋" w:eastAsia="仿宋" w:cs="仿宋"/>
          <w:b/>
          <w:bCs/>
          <w:sz w:val="32"/>
          <w:szCs w:val="32"/>
          <w:highlight w:val="none"/>
          <w:lang w:val="en-US" w:eastAsia="zh-CN"/>
        </w:rPr>
        <w:t>真实、完整</w:t>
      </w:r>
      <w:r>
        <w:rPr>
          <w:rFonts w:hint="eastAsia" w:ascii="仿宋" w:hAnsi="仿宋" w:eastAsia="仿宋" w:cs="仿宋"/>
          <w:b w:val="0"/>
          <w:bCs w:val="0"/>
          <w:sz w:val="32"/>
          <w:szCs w:val="32"/>
          <w:highlight w:val="none"/>
          <w:lang w:val="en-US" w:eastAsia="zh-CN"/>
        </w:rPr>
        <w:t>地反映单位的财务状况和运行情况。人为将同一笔经济业务（支付职工薪酬）拆分，导致单位的“人员支出”总额在账面上无法真实、完整地体现。这扭曲了成本信息，影响了会计信息的质量，使得报表使用者无法准确了解单位真实的人工成本。</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 xml:space="preserve">上述违反了《行政事业单位内部控制规范（试行）》 - </w:t>
      </w:r>
      <w:r>
        <w:rPr>
          <w:rFonts w:hint="eastAsia" w:ascii="仿宋" w:hAnsi="仿宋" w:eastAsia="仿宋" w:cs="仿宋"/>
          <w:b/>
          <w:bCs/>
          <w:sz w:val="32"/>
          <w:szCs w:val="32"/>
          <w:highlight w:val="none"/>
          <w:lang w:val="en-US" w:eastAsia="zh-CN"/>
        </w:rPr>
        <w:t>业务归口管理与控制。</w:t>
      </w:r>
      <w:r>
        <w:rPr>
          <w:rFonts w:hint="eastAsia" w:ascii="仿宋" w:hAnsi="仿宋" w:eastAsia="仿宋" w:cs="仿宋"/>
          <w:b w:val="0"/>
          <w:bCs w:val="0"/>
          <w:sz w:val="32"/>
          <w:szCs w:val="32"/>
          <w:highlight w:val="none"/>
          <w:lang w:val="en-US" w:eastAsia="zh-CN"/>
        </w:rPr>
        <w:t>核心要求：单位应当建立健全内部控制体系，对经济活动实行归口管理。工资薪金发放作为一个完整的经济活动，应由人力资源和社会保障部门和财务部门统一审核、统一支付。“四张表、两家发”的模式破坏了业务的完整性和归口管理原则。导致审核控制弱化，人力资源和社会保障部门可能无法全面掌握职工的总收入，无法进行有效的总量控制和合规性审核。支付控制分散，财务部门无法对人员经费进行统一的支付控制和账务处理，内控环节出现断点。</w:t>
      </w:r>
    </w:p>
    <w:p w14:paraId="1EA520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建议：推动整合与规范化，利用信息化手段，明确责任分工，强化内部控制，实现工资性收入的“一个标准、归口管理、统一核算、统一发放”</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一是确定终极目标，推动“工资一体化发放”。</w:t>
      </w:r>
      <w:r>
        <w:rPr>
          <w:rFonts w:hint="eastAsia" w:ascii="仿宋" w:hAnsi="仿宋" w:eastAsia="仿宋" w:cs="仿宋"/>
          <w:b w:val="0"/>
          <w:bCs w:val="0"/>
          <w:sz w:val="32"/>
          <w:szCs w:val="32"/>
          <w:highlight w:val="none"/>
          <w:lang w:val="en-US" w:eastAsia="zh-CN"/>
        </w:rPr>
        <w:t>积极与上级财政部门沟通，争取将所有合规的津补贴、绩效工资等项目全部纳入财政统发系统。由单位提供完整、准确的发放数据和依据，由财政局通过一个渠道统一发放。这是最彻底、最规范的解决方案，能从根本上解决上述所有问题。</w:t>
      </w:r>
      <w:r>
        <w:rPr>
          <w:rFonts w:hint="eastAsia" w:ascii="仿宋" w:hAnsi="仿宋" w:eastAsia="仿宋" w:cs="仿宋"/>
          <w:b/>
          <w:bCs/>
          <w:sz w:val="32"/>
          <w:szCs w:val="32"/>
          <w:highlight w:val="none"/>
          <w:lang w:val="en-US" w:eastAsia="zh-CN"/>
        </w:rPr>
        <w:t>二是优化流程与加强管理，实施现阶段过渡方案。</w:t>
      </w:r>
      <w:r>
        <w:rPr>
          <w:rFonts w:hint="eastAsia" w:ascii="仿宋" w:hAnsi="仿宋" w:eastAsia="仿宋" w:cs="仿宋"/>
          <w:b w:val="0"/>
          <w:bCs w:val="0"/>
          <w:sz w:val="32"/>
          <w:szCs w:val="32"/>
          <w:highlight w:val="none"/>
          <w:lang w:val="en-US" w:eastAsia="zh-CN"/>
        </w:rPr>
        <w:t>如果短期内无法实现全部财政统发，应采取以下措施进行优化：</w:t>
      </w:r>
      <w:r>
        <w:rPr>
          <w:rFonts w:hint="eastAsia" w:ascii="仿宋" w:hAnsi="仿宋" w:eastAsia="仿宋" w:cs="仿宋"/>
          <w:b/>
          <w:bCs/>
          <w:sz w:val="32"/>
          <w:szCs w:val="32"/>
          <w:highlight w:val="none"/>
          <w:lang w:val="en-US" w:eastAsia="zh-CN"/>
        </w:rPr>
        <w:t>①流程优化。</w:t>
      </w:r>
      <w:r>
        <w:rPr>
          <w:rFonts w:hint="eastAsia" w:ascii="仿宋" w:hAnsi="仿宋" w:eastAsia="仿宋" w:cs="仿宋"/>
          <w:b w:val="0"/>
          <w:bCs w:val="0"/>
          <w:sz w:val="32"/>
          <w:szCs w:val="32"/>
          <w:highlight w:val="none"/>
          <w:lang w:val="en-US" w:eastAsia="zh-CN"/>
        </w:rPr>
        <w:t>明确发放项目和标准，制定内部的《薪酬发放管理办法》，以书面形式明确财政统发哪些、单位发哪些，每个项目的计算标准、发放时间、责任部门，并向全体员工公示，减少误解。</w:t>
      </w:r>
      <w:r>
        <w:rPr>
          <w:rFonts w:hint="eastAsia" w:ascii="仿宋" w:hAnsi="仿宋" w:eastAsia="仿宋" w:cs="仿宋"/>
          <w:b/>
          <w:bCs/>
          <w:sz w:val="32"/>
          <w:szCs w:val="32"/>
          <w:highlight w:val="none"/>
          <w:lang w:val="en-US" w:eastAsia="zh-CN"/>
        </w:rPr>
        <w:t>②建立数据同步机制。</w:t>
      </w:r>
      <w:r>
        <w:rPr>
          <w:rFonts w:hint="eastAsia" w:ascii="仿宋" w:hAnsi="仿宋" w:eastAsia="仿宋" w:cs="仿宋"/>
          <w:b w:val="0"/>
          <w:bCs w:val="0"/>
          <w:sz w:val="32"/>
          <w:szCs w:val="32"/>
          <w:highlight w:val="none"/>
          <w:lang w:val="en-US" w:eastAsia="zh-CN"/>
        </w:rPr>
        <w:t>建立“人事-财务-办公室”联动机制。任何人员信息、薪资标准的变动，由人力资源岗统一发起，同时通知财政局对接人和单位办公室发放负责人，确保两边数据源一致</w:t>
      </w:r>
      <w:r>
        <w:rPr>
          <w:rFonts w:hint="eastAsia" w:ascii="仿宋" w:hAnsi="仿宋" w:eastAsia="仿宋" w:cs="仿宋"/>
          <w:b/>
          <w:bCs/>
          <w:sz w:val="32"/>
          <w:szCs w:val="32"/>
          <w:highlight w:val="none"/>
          <w:lang w:val="en-US" w:eastAsia="zh-CN"/>
        </w:rPr>
        <w:t>。③合并发放时间。</w:t>
      </w:r>
      <w:r>
        <w:rPr>
          <w:rFonts w:hint="eastAsia" w:ascii="仿宋" w:hAnsi="仿宋" w:eastAsia="仿宋" w:cs="仿宋"/>
          <w:b w:val="0"/>
          <w:bCs w:val="0"/>
          <w:sz w:val="32"/>
          <w:szCs w:val="32"/>
          <w:highlight w:val="none"/>
          <w:lang w:val="en-US" w:eastAsia="zh-CN"/>
        </w:rPr>
        <w:t>尽量将单位发放的补贴与财政统发工资的到账时间安排在相近的日期，减轻员工的核算困惑。</w:t>
      </w:r>
      <w:r>
        <w:rPr>
          <w:rFonts w:hint="eastAsia" w:ascii="仿宋" w:hAnsi="仿宋" w:eastAsia="仿宋" w:cs="仿宋"/>
          <w:b/>
          <w:bCs/>
          <w:sz w:val="32"/>
          <w:szCs w:val="32"/>
          <w:highlight w:val="none"/>
          <w:lang w:val="en-US" w:eastAsia="zh-CN"/>
        </w:rPr>
        <w:t>④技术赋能。</w:t>
      </w:r>
      <w:r>
        <w:rPr>
          <w:rFonts w:hint="eastAsia" w:ascii="仿宋" w:hAnsi="仿宋" w:eastAsia="仿宋" w:cs="仿宋"/>
          <w:b w:val="0"/>
          <w:bCs w:val="0"/>
          <w:sz w:val="32"/>
          <w:szCs w:val="32"/>
          <w:highlight w:val="none"/>
          <w:lang w:val="en-US" w:eastAsia="zh-CN"/>
        </w:rPr>
        <w:t>引入或优化薪资管理系统，即使发放渠道不同，也应使用一套统一的软件或Excel模板进行所有工资项目的计算和汇总。系统应能自动生成财政统发表和单位发放表，并能合并生成一张完整的、给员工看的综合工资条（详细列出所有收入项目和扣除项目）。</w:t>
      </w:r>
      <w:r>
        <w:rPr>
          <w:rFonts w:hint="eastAsia" w:ascii="仿宋" w:hAnsi="仿宋" w:eastAsia="仿宋" w:cs="仿宋"/>
          <w:b/>
          <w:bCs/>
          <w:sz w:val="32"/>
          <w:szCs w:val="32"/>
          <w:highlight w:val="none"/>
          <w:lang w:val="en-US" w:eastAsia="zh-CN"/>
        </w:rPr>
        <w:t>⑤推广电子工资条。</w:t>
      </w:r>
      <w:r>
        <w:rPr>
          <w:rFonts w:hint="eastAsia" w:ascii="仿宋" w:hAnsi="仿宋" w:eastAsia="仿宋" w:cs="仿宋"/>
          <w:b w:val="0"/>
          <w:bCs w:val="0"/>
          <w:sz w:val="32"/>
          <w:szCs w:val="32"/>
          <w:highlight w:val="none"/>
          <w:lang w:val="en-US" w:eastAsia="zh-CN"/>
        </w:rPr>
        <w:t>通过短信、邮件或内部OA系统推送完整的电子工资条，方便员工查询、保存和核对。</w:t>
      </w:r>
    </w:p>
    <w:p w14:paraId="0343AA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⑥强化审核与监督。</w:t>
      </w:r>
      <w:r>
        <w:rPr>
          <w:rFonts w:hint="eastAsia" w:ascii="仿宋" w:hAnsi="仿宋" w:eastAsia="仿宋" w:cs="仿宋"/>
          <w:b w:val="0"/>
          <w:bCs w:val="0"/>
          <w:sz w:val="32"/>
          <w:szCs w:val="32"/>
          <w:highlight w:val="none"/>
          <w:lang w:val="en-US" w:eastAsia="zh-CN"/>
        </w:rPr>
        <w:t>单位办公室制作补贴发放表时，必须经过制表人、审核人（财务负责人）、审批人（单位分管领导）三级审核签字确认，确保数据准确、合规。</w:t>
      </w:r>
      <w:r>
        <w:rPr>
          <w:rFonts w:hint="eastAsia" w:ascii="仿宋" w:hAnsi="仿宋" w:eastAsia="仿宋" w:cs="仿宋"/>
          <w:b/>
          <w:bCs/>
          <w:sz w:val="32"/>
          <w:szCs w:val="32"/>
          <w:highlight w:val="none"/>
          <w:lang w:val="en-US" w:eastAsia="zh-CN"/>
        </w:rPr>
        <w:t>⑦定期对账与审计。</w:t>
      </w:r>
      <w:r>
        <w:rPr>
          <w:rFonts w:hint="eastAsia" w:ascii="仿宋" w:hAnsi="仿宋" w:eastAsia="仿宋" w:cs="仿宋"/>
          <w:b w:val="0"/>
          <w:bCs w:val="0"/>
          <w:sz w:val="32"/>
          <w:szCs w:val="32"/>
          <w:highlight w:val="none"/>
          <w:lang w:val="en-US" w:eastAsia="zh-CN"/>
        </w:rPr>
        <w:t>财务部门每月、每季度都要对财政发放和单位发放的记录进行核对，确保账实相符。定期邀请内审或上级审计部门进行抽查，提前发现问题。</w:t>
      </w:r>
      <w:r>
        <w:rPr>
          <w:rFonts w:hint="eastAsia" w:ascii="仿宋" w:hAnsi="仿宋" w:eastAsia="仿宋" w:cs="仿宋"/>
          <w:b/>
          <w:bCs/>
          <w:sz w:val="32"/>
          <w:szCs w:val="32"/>
          <w:highlight w:val="none"/>
          <w:lang w:val="en-US" w:eastAsia="zh-CN"/>
        </w:rPr>
        <w:t>⑧专款专用与账户管理。</w:t>
      </w:r>
      <w:r>
        <w:rPr>
          <w:rFonts w:hint="eastAsia" w:ascii="仿宋" w:hAnsi="仿宋" w:eastAsia="仿宋" w:cs="仿宋"/>
          <w:b w:val="0"/>
          <w:bCs w:val="0"/>
          <w:sz w:val="32"/>
          <w:szCs w:val="32"/>
          <w:highlight w:val="none"/>
          <w:lang w:val="en-US" w:eastAsia="zh-CN"/>
        </w:rPr>
        <w:t>对用于发放补贴的账户进行严格管理，收支清晰，杜绝与其他经费混用。</w:t>
      </w:r>
      <w:r>
        <w:rPr>
          <w:rFonts w:hint="eastAsia" w:ascii="仿宋" w:hAnsi="仿宋" w:eastAsia="仿宋" w:cs="仿宋"/>
          <w:b/>
          <w:bCs/>
          <w:sz w:val="32"/>
          <w:szCs w:val="32"/>
          <w:highlight w:val="none"/>
          <w:lang w:val="en-US" w:eastAsia="zh-CN"/>
        </w:rPr>
        <w:t>三是加强沟通与培训。对员工，</w:t>
      </w:r>
      <w:r>
        <w:rPr>
          <w:rFonts w:hint="eastAsia" w:ascii="仿宋" w:hAnsi="仿宋" w:eastAsia="仿宋" w:cs="仿宋"/>
          <w:b w:val="0"/>
          <w:bCs w:val="0"/>
          <w:sz w:val="32"/>
          <w:szCs w:val="32"/>
          <w:highlight w:val="none"/>
          <w:lang w:val="en-US" w:eastAsia="zh-CN"/>
        </w:rPr>
        <w:t>定期召开说明会或印发通知，解释工资构成和发放方式，公布咨询渠道，减少因信息不对称带来的误会。</w:t>
      </w:r>
      <w:r>
        <w:rPr>
          <w:rFonts w:hint="eastAsia" w:ascii="仿宋" w:hAnsi="仿宋" w:eastAsia="仿宋" w:cs="仿宋"/>
          <w:b/>
          <w:bCs/>
          <w:sz w:val="32"/>
          <w:szCs w:val="32"/>
          <w:highlight w:val="none"/>
          <w:lang w:val="en-US" w:eastAsia="zh-CN"/>
        </w:rPr>
        <w:t>对相关经办人员，</w:t>
      </w:r>
      <w:r>
        <w:rPr>
          <w:rFonts w:hint="eastAsia" w:ascii="仿宋" w:hAnsi="仿宋" w:eastAsia="仿宋" w:cs="仿宋"/>
          <w:b w:val="0"/>
          <w:bCs w:val="0"/>
          <w:sz w:val="32"/>
          <w:szCs w:val="32"/>
          <w:highlight w:val="none"/>
          <w:lang w:val="en-US" w:eastAsia="zh-CN"/>
        </w:rPr>
        <w:t>组织办公室、财务室人员进行业务培训，确保他们熟悉政策、精通流程、熟练操作软件，减少人为差错。</w:t>
      </w:r>
    </w:p>
    <w:p w14:paraId="5A52DD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6.花名册列示个人联系电话，未列示制发责任主体，未反映本年度本部门在编人员的增减变动情况。</w:t>
      </w:r>
    </w:p>
    <w:p w14:paraId="482E7A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个人信息保护法》第五条、第六条规定。处理个人信息应当遵循合法、正当、必要和诚信原则，采取对个人权益影响最小的方式，实现处理目的。在内部花名册中公开全体人员的手机号码，超出了实现人事管理目的的必要性原则。上述违反了第五十一条规定。个人信息处理者采取必要的措施确保个人信息安全。将敏感个人信息以明文形式列于表格中，且可能在部门内较广流传，存在安全隐患。</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干部人事档案工作条例》及相关配套规定。机关单位内部控制和文档管理规范，任何重要的内部管理文档，尤其是涉及人员核心信息的，都必须有明确的制发责任主体，以确保信息的权威性和在发生争议时可追溯。</w:t>
      </w:r>
    </w:p>
    <w:p w14:paraId="53A18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建议：一是处理敏感信息，严守安全底线。</w:t>
      </w:r>
      <w:r>
        <w:rPr>
          <w:rFonts w:hint="eastAsia" w:ascii="仿宋" w:hAnsi="仿宋" w:eastAsia="仿宋" w:cs="仿宋"/>
          <w:b w:val="0"/>
          <w:bCs w:val="0"/>
          <w:sz w:val="32"/>
          <w:szCs w:val="32"/>
          <w:highlight w:val="none"/>
          <w:lang w:val="en-US" w:eastAsia="zh-CN"/>
        </w:rPr>
        <w:t>从花名册中彻底删除“联系电话”一栏。员工的个人手机号码属于受法律保护的敏感信息，在通用花名册中公开存储和传阅存在严重泄露风险。</w:t>
      </w:r>
      <w:r>
        <w:rPr>
          <w:rFonts w:hint="eastAsia" w:ascii="仿宋" w:hAnsi="仿宋" w:eastAsia="仿宋" w:cs="仿宋"/>
          <w:b/>
          <w:bCs/>
          <w:sz w:val="32"/>
          <w:szCs w:val="32"/>
          <w:highlight w:val="none"/>
          <w:lang w:val="en-US" w:eastAsia="zh-CN"/>
        </w:rPr>
        <w:t>替代方案，</w:t>
      </w:r>
      <w:r>
        <w:rPr>
          <w:rFonts w:hint="eastAsia" w:ascii="仿宋" w:hAnsi="仿宋" w:eastAsia="仿宋" w:cs="仿宋"/>
          <w:b w:val="0"/>
          <w:bCs w:val="0"/>
          <w:sz w:val="32"/>
          <w:szCs w:val="32"/>
          <w:highlight w:val="none"/>
          <w:lang w:val="en-US" w:eastAsia="zh-CN"/>
        </w:rPr>
        <w:t>内部通讯需求应通过权限受控的独立通讯录（建议仅保留办公室座机）来满足，并与花名册分开管理。</w:t>
      </w:r>
      <w:r>
        <w:rPr>
          <w:rFonts w:hint="eastAsia" w:ascii="仿宋" w:hAnsi="仿宋" w:eastAsia="仿宋" w:cs="仿宋"/>
          <w:b/>
          <w:bCs/>
          <w:sz w:val="32"/>
          <w:szCs w:val="32"/>
          <w:highlight w:val="none"/>
          <w:lang w:val="en-US" w:eastAsia="zh-CN"/>
        </w:rPr>
        <w:t>二是补全管理责任要素，明确权威来源。</w:t>
      </w:r>
      <w:r>
        <w:rPr>
          <w:rFonts w:hint="eastAsia" w:ascii="仿宋" w:hAnsi="仿宋" w:eastAsia="仿宋" w:cs="仿宋"/>
          <w:b w:val="0"/>
          <w:bCs w:val="0"/>
          <w:sz w:val="32"/>
          <w:szCs w:val="32"/>
          <w:highlight w:val="none"/>
          <w:lang w:val="en-US" w:eastAsia="zh-CN"/>
        </w:rPr>
        <w:t>在表格末尾或页眉处添加，制表部门（如：办公室）、制表人、审核人、批准领导，并预留盖章位置。最终定稿的版本应由审核人签字并加盖单位公章后，方可作为正式文件存档或在一定权限范围内使用。</w:t>
      </w:r>
      <w:r>
        <w:rPr>
          <w:rFonts w:hint="eastAsia" w:ascii="仿宋" w:hAnsi="仿宋" w:eastAsia="仿宋" w:cs="仿宋"/>
          <w:b/>
          <w:bCs/>
          <w:sz w:val="32"/>
          <w:szCs w:val="32"/>
          <w:highlight w:val="none"/>
          <w:lang w:val="en-US" w:eastAsia="zh-CN"/>
        </w:rPr>
        <w:t>三是建立花名册动态更新机制，确保信息实时准确。明确更新触发条件。</w:t>
      </w:r>
      <w:r>
        <w:rPr>
          <w:rFonts w:hint="eastAsia" w:ascii="仿宋" w:hAnsi="仿宋" w:eastAsia="仿宋" w:cs="仿宋"/>
          <w:b w:val="0"/>
          <w:bCs w:val="0"/>
          <w:sz w:val="32"/>
          <w:szCs w:val="32"/>
          <w:highlight w:val="none"/>
          <w:lang w:val="en-US" w:eastAsia="zh-CN"/>
        </w:rPr>
        <w:t>规定在发生新员工入职、人员调离/退休、职务/职级变动、学历/学位取得、政治面貌变化、联系方式变更等情况时，必须启动花名册更新流程。</w:t>
      </w:r>
      <w:r>
        <w:rPr>
          <w:rFonts w:hint="eastAsia" w:ascii="仿宋" w:hAnsi="仿宋" w:eastAsia="仿宋" w:cs="仿宋"/>
          <w:b/>
          <w:bCs/>
          <w:sz w:val="32"/>
          <w:szCs w:val="32"/>
          <w:highlight w:val="none"/>
          <w:lang w:val="en-US" w:eastAsia="zh-CN"/>
        </w:rPr>
        <w:t>明确责任人与时限。</w:t>
      </w:r>
      <w:r>
        <w:rPr>
          <w:rFonts w:hint="eastAsia" w:ascii="仿宋" w:hAnsi="仿宋" w:eastAsia="仿宋" w:cs="仿宋"/>
          <w:b w:val="0"/>
          <w:bCs w:val="0"/>
          <w:sz w:val="32"/>
          <w:szCs w:val="32"/>
          <w:highlight w:val="none"/>
          <w:lang w:val="en-US" w:eastAsia="zh-CN"/>
        </w:rPr>
        <w:t>指定专人（如组织人事干部或办公室文秘）负责花名册的维护，并规定相关信息变动发生后，必须在多少个工作日内完成花名册的更新。</w:t>
      </w:r>
      <w:r>
        <w:rPr>
          <w:rFonts w:hint="eastAsia" w:ascii="仿宋" w:hAnsi="仿宋" w:eastAsia="仿宋" w:cs="仿宋"/>
          <w:b/>
          <w:bCs/>
          <w:sz w:val="32"/>
          <w:szCs w:val="32"/>
          <w:highlight w:val="none"/>
          <w:lang w:val="en-US" w:eastAsia="zh-CN"/>
        </w:rPr>
        <w:t>建立联动核查机制。</w:t>
      </w:r>
      <w:r>
        <w:rPr>
          <w:rFonts w:hint="eastAsia" w:ascii="仿宋" w:hAnsi="仿宋" w:eastAsia="仿宋" w:cs="仿宋"/>
          <w:b w:val="0"/>
          <w:bCs w:val="0"/>
          <w:sz w:val="32"/>
          <w:szCs w:val="32"/>
          <w:highlight w:val="none"/>
          <w:lang w:val="en-US" w:eastAsia="zh-CN"/>
        </w:rPr>
        <w:t>将花名册的定期审核（如每季度或每半年）与干部人事档案核查、年度考核等工作相结合，形成制度性安排，确保花名册信息与档案记录、实际情况“三统一”。</w:t>
      </w:r>
      <w:r>
        <w:rPr>
          <w:rFonts w:hint="eastAsia" w:ascii="仿宋" w:hAnsi="仿宋" w:eastAsia="仿宋" w:cs="仿宋"/>
          <w:b/>
          <w:bCs/>
          <w:sz w:val="32"/>
          <w:szCs w:val="32"/>
          <w:highlight w:val="none"/>
          <w:lang w:val="en-US" w:eastAsia="zh-CN"/>
        </w:rPr>
        <w:t>版本管理。</w:t>
      </w:r>
      <w:r>
        <w:rPr>
          <w:rFonts w:hint="eastAsia" w:ascii="仿宋" w:hAnsi="仿宋" w:eastAsia="仿宋" w:cs="仿宋"/>
          <w:b w:val="0"/>
          <w:bCs w:val="0"/>
          <w:sz w:val="32"/>
          <w:szCs w:val="32"/>
          <w:highlight w:val="none"/>
          <w:lang w:val="en-US" w:eastAsia="zh-CN"/>
        </w:rPr>
        <w:t>对每次重大更新后形成的花名册进行版本标注和存档，明确其统计截止日期，避免新旧版本混淆。整改的核心在于从</w:t>
      </w:r>
      <w:r>
        <w:rPr>
          <w:rFonts w:hint="eastAsia" w:ascii="仿宋" w:hAnsi="仿宋" w:eastAsia="仿宋" w:cs="仿宋"/>
          <w:b/>
          <w:bCs/>
          <w:sz w:val="32"/>
          <w:szCs w:val="32"/>
          <w:highlight w:val="none"/>
          <w:lang w:val="en-US" w:eastAsia="zh-CN"/>
        </w:rPr>
        <w:t>“形式合规”</w:t>
      </w:r>
      <w:r>
        <w:rPr>
          <w:rFonts w:hint="eastAsia" w:ascii="仿宋" w:hAnsi="仿宋" w:eastAsia="仿宋" w:cs="仿宋"/>
          <w:b w:val="0"/>
          <w:bCs w:val="0"/>
          <w:sz w:val="32"/>
          <w:szCs w:val="32"/>
          <w:highlight w:val="none"/>
          <w:lang w:val="en-US" w:eastAsia="zh-CN"/>
        </w:rPr>
        <w:t>迈向</w:t>
      </w:r>
      <w:r>
        <w:rPr>
          <w:rFonts w:hint="eastAsia" w:ascii="仿宋" w:hAnsi="仿宋" w:eastAsia="仿宋" w:cs="仿宋"/>
          <w:b/>
          <w:bCs/>
          <w:sz w:val="32"/>
          <w:szCs w:val="32"/>
          <w:highlight w:val="none"/>
          <w:lang w:val="en-US" w:eastAsia="zh-CN"/>
        </w:rPr>
        <w:t>“实质合规”</w:t>
      </w:r>
      <w:r>
        <w:rPr>
          <w:rFonts w:hint="eastAsia" w:ascii="仿宋" w:hAnsi="仿宋" w:eastAsia="仿宋" w:cs="仿宋"/>
          <w:b w:val="0"/>
          <w:bCs w:val="0"/>
          <w:sz w:val="32"/>
          <w:szCs w:val="32"/>
          <w:highlight w:val="none"/>
          <w:lang w:val="en-US" w:eastAsia="zh-CN"/>
        </w:rPr>
        <w:t>和</w:t>
      </w:r>
      <w:r>
        <w:rPr>
          <w:rFonts w:hint="eastAsia" w:ascii="仿宋" w:hAnsi="仿宋" w:eastAsia="仿宋" w:cs="仿宋"/>
          <w:b/>
          <w:bCs/>
          <w:sz w:val="32"/>
          <w:szCs w:val="32"/>
          <w:highlight w:val="none"/>
          <w:lang w:val="en-US" w:eastAsia="zh-CN"/>
        </w:rPr>
        <w:t>“动态合规”</w:t>
      </w:r>
      <w:r>
        <w:rPr>
          <w:rFonts w:hint="eastAsia" w:ascii="仿宋" w:hAnsi="仿宋" w:eastAsia="仿宋" w:cs="仿宋"/>
          <w:b w:val="0"/>
          <w:bCs w:val="0"/>
          <w:sz w:val="32"/>
          <w:szCs w:val="32"/>
          <w:highlight w:val="none"/>
          <w:lang w:val="en-US" w:eastAsia="zh-CN"/>
        </w:rPr>
        <w:t>。通过删除敏感信息来规避法律风险，通过规范填写来提升数据质量，通过明确责任来加强内部控制，最后通过建立动态更新机制来确保这份基础管理工具能够持续、真实、有效地反映组织人事状况，为各项管理工作提供可靠依据。</w:t>
      </w:r>
    </w:p>
    <w:p w14:paraId="779A764C">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7.区妇联人员超编。编制2个，在编在岗职工3人。区妇女联合会机关行政编制2名，设主席1名，专职副主席1名。工青妇事业发展中心事业编制1名。人员控制率150%。</w:t>
      </w:r>
    </w:p>
    <w:p w14:paraId="1DD24CEA">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sz w:val="32"/>
          <w:szCs w:val="32"/>
          <w:highlight w:val="none"/>
          <w:lang w:val="en-US" w:eastAsia="zh-CN"/>
        </w:rPr>
        <w:t>机构编制</w:t>
      </w:r>
      <w:r>
        <w:rPr>
          <w:rFonts w:hint="eastAsia" w:ascii="仿宋" w:hAnsi="仿宋" w:eastAsia="仿宋" w:cs="仿宋"/>
          <w:b/>
          <w:bCs/>
          <w:sz w:val="32"/>
          <w:szCs w:val="32"/>
          <w:highlight w:val="none"/>
          <w:lang w:val="en-US" w:eastAsia="zh-CN"/>
        </w:rPr>
        <w:t>“限额”</w:t>
      </w:r>
      <w:r>
        <w:rPr>
          <w:rFonts w:hint="eastAsia" w:ascii="仿宋" w:hAnsi="仿宋" w:eastAsia="仿宋" w:cs="仿宋"/>
          <w:sz w:val="32"/>
          <w:szCs w:val="32"/>
          <w:highlight w:val="none"/>
          <w:lang w:val="en-US" w:eastAsia="zh-CN"/>
        </w:rPr>
        <w:t>管理原则。机构编制管理实行严格的总量控制和限额管理。单位的编制数量是其人员配备的法律上限，未经机构编制部门批准，不得擅自突破。实有人员超过核定编制，直接违反了根本原则。</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sz w:val="32"/>
          <w:szCs w:val="32"/>
          <w:highlight w:val="none"/>
          <w:lang w:val="en-US" w:eastAsia="zh-CN"/>
        </w:rPr>
        <w:t>《中国共产党机构编制工作条例》相关规定。第二十六条明确规定</w:t>
      </w:r>
      <w:r>
        <w:rPr>
          <w:rFonts w:hint="eastAsia" w:ascii="仿宋" w:hAnsi="仿宋" w:eastAsia="仿宋" w:cs="仿宋"/>
          <w:b/>
          <w:bCs/>
          <w:sz w:val="32"/>
          <w:szCs w:val="32"/>
          <w:highlight w:val="none"/>
          <w:lang w:val="en-US" w:eastAsia="zh-CN"/>
        </w:rPr>
        <w:t>“严禁擅自超编进人、超职数配备领导干部。”</w:t>
      </w:r>
      <w:r>
        <w:rPr>
          <w:rFonts w:hint="eastAsia" w:ascii="仿宋" w:hAnsi="仿宋" w:eastAsia="仿宋" w:cs="仿宋"/>
          <w:sz w:val="32"/>
          <w:szCs w:val="32"/>
          <w:highlight w:val="none"/>
          <w:lang w:val="en-US" w:eastAsia="zh-CN"/>
        </w:rPr>
        <w:t>第三十条将“擅自超编配备人员”列为需要问责的违纪违法行为。</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b/>
          <w:bCs/>
          <w:sz w:val="32"/>
          <w:szCs w:val="32"/>
          <w:highlight w:val="none"/>
          <w:lang w:val="en-US" w:eastAsia="zh-CN"/>
        </w:rPr>
        <w:t>“三定”</w:t>
      </w:r>
      <w:r>
        <w:rPr>
          <w:rFonts w:hint="eastAsia" w:ascii="仿宋" w:hAnsi="仿宋" w:eastAsia="仿宋" w:cs="仿宋"/>
          <w:sz w:val="32"/>
          <w:szCs w:val="32"/>
          <w:highlight w:val="none"/>
          <w:lang w:val="en-US" w:eastAsia="zh-CN"/>
        </w:rPr>
        <w:t>规定（主要职责、内设机构和人员编制）的严肃性。“三定”规定是机构运行的法定依据。人员编制是“三定”的核心内容之一，超编配备人员是对“三定”规定严肃性的破坏。</w:t>
      </w:r>
      <w:r>
        <w:rPr>
          <w:rFonts w:hint="eastAsia" w:ascii="仿宋" w:hAnsi="仿宋" w:eastAsia="仿宋" w:cs="仿宋"/>
          <w:b/>
          <w:bCs/>
          <w:sz w:val="32"/>
          <w:szCs w:val="32"/>
          <w:highlight w:val="none"/>
          <w:lang w:val="en-US" w:eastAsia="zh-CN"/>
        </w:rPr>
        <w:t>相关政策4：</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sz w:val="32"/>
          <w:szCs w:val="32"/>
          <w:highlight w:val="none"/>
          <w:lang w:val="en-US" w:eastAsia="zh-CN"/>
        </w:rPr>
        <w:t>财政纪律。作为全额拨款行政单位，其人员经费由财政保障。超编进入意味着动用了未被批准的财政预算来发放人员工资和福利，违反了财政预算管理和国库集中支付制度。核定行政编制2名，实际在编在岗3人，明确超出了1个行政编制。“工青妇事业发展中心事业编制1名”，在实际操作与区妇联机关的行政人员“混岗”使用，即事业编制人员在行政机关岗位上工作。这1名事业编制人员占用的是事业编，其工作岗位在行政单位（区妇联），属于不规范的人员管理方式，并且加剧了区妇联整体“人头数”超过其自身核定编制数的问题。从控制财政供养人员总量的角度看，这个单位的人员规模已经超出了为其核定的额度。</w:t>
      </w:r>
    </w:p>
    <w:p w14:paraId="69C6C97F">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建议：一是及时停止并纠正。</w:t>
      </w:r>
      <w:r>
        <w:rPr>
          <w:rFonts w:hint="eastAsia" w:ascii="仿宋" w:hAnsi="仿宋" w:eastAsia="仿宋" w:cs="仿宋"/>
          <w:sz w:val="32"/>
          <w:szCs w:val="32"/>
          <w:highlight w:val="none"/>
          <w:lang w:val="en-US" w:eastAsia="zh-CN"/>
        </w:rPr>
        <w:t>上级机构编制部门（雁峰区委编办）应介入，责令雁峰区妇联及其主管部门（雁峰区委）立即进行整改。最直接的整改方式是在人员自然减员（如退休、调离）时，优先核减超编人员，直至实际人数恢复到核定编制数以内。在特殊情况下，可能需要通过组织调配，将超编人员调剂到其他有空编的单位。二是</w:t>
      </w:r>
      <w:r>
        <w:rPr>
          <w:rFonts w:hint="eastAsia" w:ascii="仿宋" w:hAnsi="仿宋" w:eastAsia="仿宋" w:cs="仿宋"/>
          <w:b/>
          <w:bCs/>
          <w:sz w:val="32"/>
          <w:szCs w:val="32"/>
          <w:highlight w:val="none"/>
          <w:lang w:val="en-US" w:eastAsia="zh-CN"/>
        </w:rPr>
        <w:t>理顺编制关系。</w:t>
      </w:r>
      <w:r>
        <w:rPr>
          <w:rFonts w:hint="eastAsia" w:ascii="仿宋" w:hAnsi="仿宋" w:eastAsia="仿宋" w:cs="仿宋"/>
          <w:sz w:val="32"/>
          <w:szCs w:val="32"/>
          <w:highlight w:val="none"/>
          <w:lang w:val="en-US" w:eastAsia="zh-CN"/>
        </w:rPr>
        <w:t>明确工青妇事业发展中心事业编制人员的岗位职责，确保其工作在事业岗位上，避免与行政岗位混岗。如果区妇联机关确实需要3名工作人员才能正常运转，则应启动程序，向区委编办正式申请增加行政编制。</w:t>
      </w:r>
      <w:r>
        <w:rPr>
          <w:rFonts w:hint="eastAsia" w:ascii="仿宋" w:hAnsi="仿宋" w:eastAsia="仿宋" w:cs="仿宋"/>
          <w:b/>
          <w:bCs/>
          <w:sz w:val="32"/>
          <w:szCs w:val="32"/>
          <w:highlight w:val="none"/>
          <w:lang w:val="en-US" w:eastAsia="zh-CN"/>
        </w:rPr>
        <w:t>三是严格编制纪律。</w:t>
      </w:r>
      <w:r>
        <w:rPr>
          <w:rFonts w:hint="eastAsia" w:ascii="仿宋" w:hAnsi="仿宋" w:eastAsia="仿宋" w:cs="仿宋"/>
          <w:sz w:val="32"/>
          <w:szCs w:val="32"/>
          <w:highlight w:val="none"/>
          <w:lang w:val="en-US" w:eastAsia="zh-CN"/>
        </w:rPr>
        <w:t>在全区范围内重申机构编制纪律的严肃性，加强对各单位“三定”规定执行情况的监督检查，防止类似情况再次发生。将机构编制管理和执行情况纳入区委巡察和领导干部经济责任审计的重要内容。</w:t>
      </w:r>
      <w:r>
        <w:rPr>
          <w:rFonts w:hint="eastAsia" w:ascii="仿宋" w:hAnsi="仿宋" w:eastAsia="仿宋" w:cs="仿宋"/>
          <w:b/>
          <w:bCs/>
          <w:sz w:val="32"/>
          <w:szCs w:val="32"/>
          <w:highlight w:val="none"/>
          <w:lang w:val="en-US" w:eastAsia="zh-CN"/>
        </w:rPr>
        <w:t>四是动态调整机制。</w:t>
      </w:r>
      <w:r>
        <w:rPr>
          <w:rFonts w:hint="eastAsia" w:ascii="仿宋" w:hAnsi="仿宋" w:eastAsia="仿宋" w:cs="仿宋"/>
          <w:sz w:val="32"/>
          <w:szCs w:val="32"/>
          <w:highlight w:val="none"/>
          <w:lang w:val="en-US" w:eastAsia="zh-CN"/>
        </w:rPr>
        <w:t>建议雁峰区委编办根据区妇联实际工作负荷和任务变化，重新评估其编制数量的科学性。如果现有2名编制确实无法满足工作需要，应按照法定程序进行研究，考虑是否合理增加编制，而不是默许其超编运行。</w:t>
      </w:r>
    </w:p>
    <w:p w14:paraId="3F40CA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8.未提供王萍的借调协议，未对</w:t>
      </w:r>
      <w:r>
        <w:rPr>
          <w:rFonts w:hint="default" w:ascii="仿宋" w:hAnsi="仿宋" w:eastAsia="仿宋" w:cs="仿宋"/>
          <w:b/>
          <w:bCs/>
          <w:sz w:val="32"/>
          <w:szCs w:val="32"/>
          <w:highlight w:val="none"/>
          <w:lang w:val="en-US" w:eastAsia="zh-CN"/>
        </w:rPr>
        <w:t>关于“社会保险”、“费用承担”等条款</w:t>
      </w:r>
      <w:r>
        <w:rPr>
          <w:rFonts w:hint="eastAsia" w:ascii="仿宋" w:hAnsi="仿宋" w:eastAsia="仿宋" w:cs="仿宋"/>
          <w:b/>
          <w:bCs/>
          <w:sz w:val="32"/>
          <w:szCs w:val="32"/>
          <w:highlight w:val="none"/>
          <w:lang w:val="en-US" w:eastAsia="zh-CN"/>
        </w:rPr>
        <w:t>作出</w:t>
      </w:r>
      <w:r>
        <w:rPr>
          <w:rFonts w:hint="default" w:ascii="仿宋" w:hAnsi="仿宋" w:eastAsia="仿宋" w:cs="仿宋"/>
          <w:b/>
          <w:bCs/>
          <w:sz w:val="32"/>
          <w:szCs w:val="32"/>
          <w:highlight w:val="none"/>
          <w:lang w:val="en-US" w:eastAsia="zh-CN"/>
        </w:rPr>
        <w:t>明确约定。</w:t>
      </w:r>
      <w:r>
        <w:rPr>
          <w:rFonts w:hint="eastAsia" w:ascii="仿宋" w:hAnsi="仿宋" w:eastAsia="仿宋" w:cs="仿宋"/>
          <w:b/>
          <w:bCs/>
          <w:sz w:val="32"/>
          <w:szCs w:val="32"/>
          <w:highlight w:val="none"/>
          <w:lang w:val="en-US" w:eastAsia="zh-CN"/>
        </w:rPr>
        <w:t>王萍编制不在妇联，其统发工资及绩效未在区妇联发放，但津贴车补、体检费、医保铺底在区妇联支付，在妇联的医保铺底，通过国库支付给雁峰区总工会工会经费专户。</w:t>
      </w:r>
    </w:p>
    <w:p w14:paraId="0F6078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b/>
          <w:bCs/>
          <w:sz w:val="32"/>
          <w:szCs w:val="32"/>
          <w:highlight w:val="none"/>
          <w:lang w:val="en-US" w:eastAsia="zh-CN"/>
        </w:rPr>
        <w:t>人员经费</w:t>
      </w:r>
      <w:r>
        <w:rPr>
          <w:rFonts w:hint="eastAsia" w:ascii="仿宋" w:hAnsi="仿宋" w:eastAsia="仿宋" w:cs="仿宋"/>
          <w:b w:val="0"/>
          <w:bCs w:val="0"/>
          <w:sz w:val="32"/>
          <w:szCs w:val="32"/>
          <w:highlight w:val="none"/>
          <w:lang w:val="en-US" w:eastAsia="zh-CN"/>
        </w:rPr>
        <w:t>应归口管理的规定。存在财务混乱与政策违规，人为割裂了完整的薪酬福利包，导致费用列支渠道混乱。</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工会经费独立核算、专款专用的原则。存在专项资金挪用风险。工会经费专户有特定用途。将应列支为行政运行成本的医保费用打入此账户，涉嫌挤占、挪用工会经费。存在管理责任风险，依据最高法相关解释，关联单位交替用工时，三方若无明确约定，可能需共同承担责任</w:t>
      </w:r>
      <w:r>
        <w:rPr>
          <w:rFonts w:hint="eastAsia" w:ascii="仿宋" w:hAnsi="仿宋" w:eastAsia="仿宋" w:cs="仿宋"/>
          <w:b/>
          <w:bCs/>
          <w:sz w:val="32"/>
          <w:szCs w:val="32"/>
          <w:highlight w:val="none"/>
          <w:lang w:val="en-US" w:eastAsia="zh-CN"/>
        </w:rPr>
        <w:t>。</w:t>
      </w:r>
    </w:p>
    <w:p w14:paraId="58F33D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建议：一是紧急补救与追溯澄清（治标）。A及时补签协议。</w:t>
      </w:r>
      <w:r>
        <w:rPr>
          <w:rFonts w:hint="eastAsia" w:ascii="仿宋" w:hAnsi="仿宋" w:eastAsia="仿宋" w:cs="仿宋"/>
          <w:b w:val="0"/>
          <w:bCs w:val="0"/>
          <w:sz w:val="32"/>
          <w:szCs w:val="32"/>
          <w:highlight w:val="none"/>
          <w:lang w:val="en-US" w:eastAsia="zh-CN"/>
        </w:rPr>
        <w:t>由雁峰区总工会、雁峰区妇联及王萍本人补签三方《借调协议》，明确借调起止时间、岗位，并重点约定：借调期间工资社保由区总工会承担，区妇联可承担并直接支付其工作相关的津贴补贴、体检费等，且支付方式需符合财政规定。</w:t>
      </w:r>
      <w:r>
        <w:rPr>
          <w:rFonts w:hint="eastAsia" w:ascii="仿宋" w:hAnsi="仿宋" w:eastAsia="仿宋" w:cs="仿宋"/>
          <w:b/>
          <w:bCs/>
          <w:sz w:val="32"/>
          <w:szCs w:val="32"/>
          <w:highlight w:val="none"/>
          <w:lang w:val="en-US" w:eastAsia="zh-CN"/>
        </w:rPr>
        <w:t>B清理异常资金流。</w:t>
      </w:r>
      <w:r>
        <w:rPr>
          <w:rFonts w:hint="eastAsia" w:ascii="仿宋" w:hAnsi="仿宋" w:eastAsia="仿宋" w:cs="仿宋"/>
          <w:b w:val="0"/>
          <w:bCs w:val="0"/>
          <w:sz w:val="32"/>
          <w:szCs w:val="32"/>
          <w:highlight w:val="none"/>
          <w:lang w:val="en-US" w:eastAsia="zh-CN"/>
        </w:rPr>
        <w:t>对已打入区总工会“工会经费专户”的医保铺底等资金，应由两单位财务协商，在财政部门的指导下，按原渠道退回或进行规范的账务调整，确保工会经费专户的纯洁性。</w:t>
      </w:r>
      <w:r>
        <w:rPr>
          <w:rFonts w:hint="eastAsia" w:ascii="仿宋" w:hAnsi="仿宋" w:eastAsia="仿宋" w:cs="仿宋"/>
          <w:b/>
          <w:bCs/>
          <w:sz w:val="32"/>
          <w:szCs w:val="32"/>
          <w:highlight w:val="none"/>
          <w:lang w:val="en-US" w:eastAsia="zh-CN"/>
        </w:rPr>
        <w:t>二是建立健全长效机制（治本），规范费用承担模式。未来借调人员费用，应在协议中明确两类处理方式：A由编制单位承担。</w:t>
      </w:r>
      <w:r>
        <w:rPr>
          <w:rFonts w:hint="eastAsia" w:ascii="仿宋" w:hAnsi="仿宋" w:eastAsia="仿宋" w:cs="仿宋"/>
          <w:b w:val="0"/>
          <w:bCs w:val="0"/>
          <w:sz w:val="32"/>
          <w:szCs w:val="32"/>
          <w:highlight w:val="none"/>
          <w:lang w:val="en-US" w:eastAsia="zh-CN"/>
        </w:rPr>
        <w:t>最规范的做法，所有工资福利均由区总工会发放缴纳，区妇联可按协议向区总工会支付一定的借调补偿或管理费。B</w:t>
      </w:r>
      <w:r>
        <w:rPr>
          <w:rFonts w:hint="eastAsia" w:ascii="仿宋" w:hAnsi="仿宋" w:eastAsia="仿宋" w:cs="仿宋"/>
          <w:b/>
          <w:bCs/>
          <w:sz w:val="32"/>
          <w:szCs w:val="32"/>
          <w:highlight w:val="none"/>
          <w:lang w:val="en-US" w:eastAsia="zh-CN"/>
        </w:rPr>
        <w:t>由借用单位代付。</w:t>
      </w:r>
      <w:r>
        <w:rPr>
          <w:rFonts w:hint="eastAsia" w:ascii="仿宋" w:hAnsi="仿宋" w:eastAsia="仿宋" w:cs="仿宋"/>
          <w:b w:val="0"/>
          <w:bCs w:val="0"/>
          <w:sz w:val="32"/>
          <w:szCs w:val="32"/>
          <w:highlight w:val="none"/>
          <w:lang w:val="en-US" w:eastAsia="zh-CN"/>
        </w:rPr>
        <w:t>若约定由区妇联承担部分费用，必须通过财政预算调整或单位间资金划转的合规渠道支付，绝不能将财政资金支付到对方工会账户。</w:t>
      </w:r>
      <w:r>
        <w:rPr>
          <w:rFonts w:hint="eastAsia" w:ascii="仿宋" w:hAnsi="仿宋" w:eastAsia="仿宋" w:cs="仿宋"/>
          <w:b/>
          <w:bCs/>
          <w:sz w:val="32"/>
          <w:szCs w:val="32"/>
          <w:highlight w:val="none"/>
          <w:lang w:val="en-US" w:eastAsia="zh-CN"/>
        </w:rPr>
        <w:t>三是加强财务与审计监督。</w:t>
      </w:r>
      <w:r>
        <w:rPr>
          <w:rFonts w:hint="eastAsia" w:ascii="仿宋" w:hAnsi="仿宋" w:eastAsia="仿宋" w:cs="仿宋"/>
          <w:b w:val="0"/>
          <w:bCs w:val="0"/>
          <w:sz w:val="32"/>
          <w:szCs w:val="32"/>
          <w:highlight w:val="none"/>
          <w:lang w:val="en-US" w:eastAsia="zh-CN"/>
        </w:rPr>
        <w:t>财务人员需严格审核借调协议，无协议或约定不清的费用拒绝支付。内部审计或纪检国家监察委员会门应将借调人员管理纳入监督检查范围</w:t>
      </w:r>
      <w:r>
        <w:rPr>
          <w:rFonts w:hint="eastAsia" w:ascii="仿宋" w:hAnsi="仿宋" w:eastAsia="仿宋" w:cs="仿宋"/>
          <w:b/>
          <w:bCs/>
          <w:sz w:val="32"/>
          <w:szCs w:val="32"/>
          <w:highlight w:val="none"/>
          <w:lang w:val="en-US" w:eastAsia="zh-CN"/>
        </w:rPr>
        <w:t>。</w:t>
      </w:r>
    </w:p>
    <w:p w14:paraId="0F0C3C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9.变动人员就职该单位时间与住房公积金补缴时间不匹配。调入人员唐翠婷2024年7月调入，补缴住房公积金为2022年6月至2024年4月。该期间其并未在区妇联就职，但此期间的住房公积金在区妇联补缴。此次补缴公积金金额由原单位转入及个人补缴。</w:t>
      </w:r>
    </w:p>
    <w:p w14:paraId="74481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w:t>
      </w:r>
      <w:r>
        <w:rPr>
          <w:rFonts w:hint="default" w:ascii="仿宋" w:hAnsi="仿宋" w:eastAsia="仿宋" w:cs="仿宋"/>
          <w:b w:val="0"/>
          <w:bCs w:val="0"/>
          <w:sz w:val="32"/>
          <w:szCs w:val="32"/>
          <w:highlight w:val="none"/>
          <w:lang w:val="en-US" w:eastAsia="zh-CN"/>
        </w:rPr>
        <w:t>《住房公积金管理条例》第十五条规定：“单位录用职工的，应当自录用之日起30日内向住房公积金管理中心办理缴存登记。”新单位的缴存义务自录用之日（2024年7月）起算，无权追溯至录用前的时期。</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w:t>
      </w:r>
      <w:r>
        <w:rPr>
          <w:rFonts w:hint="default" w:ascii="仿宋" w:hAnsi="仿宋" w:eastAsia="仿宋" w:cs="仿宋"/>
          <w:b w:val="0"/>
          <w:bCs w:val="0"/>
          <w:sz w:val="32"/>
          <w:szCs w:val="32"/>
          <w:highlight w:val="none"/>
          <w:lang w:val="en-US" w:eastAsia="zh-CN"/>
        </w:rPr>
        <w:t>《政府会计制度》及相关财务规定</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要求所有支出必须基于真实、已发生的经济业务。为非本单位雇员时期支付费用，业务不真实，凭证不合法。</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w:t>
      </w:r>
      <w:r>
        <w:rPr>
          <w:rFonts w:hint="default" w:ascii="仿宋" w:hAnsi="仿宋" w:eastAsia="仿宋" w:cs="仿宋"/>
          <w:b w:val="0"/>
          <w:bCs w:val="0"/>
          <w:sz w:val="32"/>
          <w:szCs w:val="32"/>
          <w:highlight w:val="none"/>
          <w:lang w:val="en-US" w:eastAsia="zh-CN"/>
        </w:rPr>
        <w:t>内部控制的“归口管理”原则</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人员经费应与实际劳动关系严格对应，此做法造成了人员管理与费用支出部门的严重脱节。</w:t>
      </w:r>
    </w:p>
    <w:p w14:paraId="4D41C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default" w:ascii="仿宋" w:hAnsi="仿宋" w:eastAsia="仿宋" w:cs="仿宋"/>
          <w:b/>
          <w:bCs/>
          <w:sz w:val="32"/>
          <w:szCs w:val="32"/>
          <w:highlight w:val="none"/>
          <w:lang w:val="en-US" w:eastAsia="zh-CN"/>
        </w:rPr>
        <w:t>建议</w:t>
      </w:r>
      <w:r>
        <w:rPr>
          <w:rFonts w:hint="eastAsia" w:ascii="仿宋" w:hAnsi="仿宋" w:eastAsia="仿宋" w:cs="仿宋"/>
          <w:b/>
          <w:bCs/>
          <w:sz w:val="32"/>
          <w:szCs w:val="32"/>
          <w:highlight w:val="none"/>
          <w:lang w:val="en-US" w:eastAsia="zh-CN"/>
        </w:rPr>
        <w:t>：一是及时</w:t>
      </w:r>
      <w:r>
        <w:rPr>
          <w:rFonts w:hint="default" w:ascii="仿宋" w:hAnsi="仿宋" w:eastAsia="仿宋" w:cs="仿宋"/>
          <w:b/>
          <w:bCs/>
          <w:sz w:val="32"/>
          <w:szCs w:val="32"/>
          <w:highlight w:val="none"/>
          <w:lang w:val="en-US" w:eastAsia="zh-CN"/>
        </w:rPr>
        <w:t>纠正与追溯（治标）</w:t>
      </w:r>
      <w:r>
        <w:rPr>
          <w:rFonts w:hint="eastAsia" w:ascii="仿宋" w:hAnsi="仿宋" w:eastAsia="仿宋" w:cs="仿宋"/>
          <w:b/>
          <w:bCs/>
          <w:sz w:val="32"/>
          <w:szCs w:val="32"/>
          <w:highlight w:val="none"/>
          <w:lang w:val="en-US" w:eastAsia="zh-CN"/>
        </w:rPr>
        <w:t>。</w:t>
      </w:r>
      <w:r>
        <w:rPr>
          <w:rFonts w:hint="eastAsia" w:ascii="仿宋" w:hAnsi="仿宋" w:eastAsia="仿宋" w:cs="仿宋"/>
          <w:b w:val="0"/>
          <w:bCs w:val="0"/>
          <w:sz w:val="32"/>
          <w:szCs w:val="32"/>
          <w:highlight w:val="none"/>
          <w:lang w:val="en-US" w:eastAsia="zh-CN"/>
        </w:rPr>
        <w:t>及时</w:t>
      </w:r>
      <w:r>
        <w:rPr>
          <w:rFonts w:hint="default" w:ascii="仿宋" w:hAnsi="仿宋" w:eastAsia="仿宋" w:cs="仿宋"/>
          <w:b w:val="0"/>
          <w:bCs w:val="0"/>
          <w:sz w:val="32"/>
          <w:szCs w:val="32"/>
          <w:highlight w:val="none"/>
          <w:lang w:val="en-US" w:eastAsia="zh-CN"/>
        </w:rPr>
        <w:t>与住房公积金管理中心沟通，说明情况，申请撤销由区妇联办理的这笔（2022.6-2024.4）补缴业务。</w:t>
      </w:r>
      <w:r>
        <w:rPr>
          <w:rFonts w:hint="default" w:ascii="仿宋" w:hAnsi="仿宋" w:eastAsia="仿宋" w:cs="仿宋"/>
          <w:b/>
          <w:bCs/>
          <w:sz w:val="32"/>
          <w:szCs w:val="32"/>
          <w:highlight w:val="none"/>
          <w:lang w:val="en-US" w:eastAsia="zh-CN"/>
        </w:rPr>
        <w:t>规范渠道重办</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责成唐翠婷的原单位作为责任主体，向公积金中心申请为其补缴该期间的单位及个人部分。资金应通过原单位账户支付，确保劳动关系、缴费主体和资金流一致。</w:t>
      </w:r>
      <w:r>
        <w:rPr>
          <w:rFonts w:hint="default" w:ascii="仿宋" w:hAnsi="仿宋" w:eastAsia="仿宋" w:cs="仿宋"/>
          <w:b/>
          <w:bCs/>
          <w:sz w:val="32"/>
          <w:szCs w:val="32"/>
          <w:highlight w:val="none"/>
          <w:lang w:val="en-US" w:eastAsia="zh-CN"/>
        </w:rPr>
        <w:t>账务调整</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区妇联财务需将已支出的款项按原渠道收回（向原单位追回），并做相应的账务冲正处理。</w:t>
      </w:r>
      <w:r>
        <w:rPr>
          <w:rFonts w:hint="eastAsia" w:ascii="仿宋" w:hAnsi="仿宋" w:eastAsia="仿宋" w:cs="仿宋"/>
          <w:b/>
          <w:bCs/>
          <w:sz w:val="32"/>
          <w:szCs w:val="32"/>
          <w:highlight w:val="none"/>
          <w:lang w:val="en-US" w:eastAsia="zh-CN"/>
        </w:rPr>
        <w:t>二是</w:t>
      </w:r>
      <w:r>
        <w:rPr>
          <w:rFonts w:hint="default" w:ascii="仿宋" w:hAnsi="仿宋" w:eastAsia="仿宋" w:cs="仿宋"/>
          <w:b/>
          <w:bCs/>
          <w:sz w:val="32"/>
          <w:szCs w:val="32"/>
          <w:highlight w:val="none"/>
          <w:lang w:val="en-US" w:eastAsia="zh-CN"/>
        </w:rPr>
        <w:t>追查根源与完善制度（治本）</w:t>
      </w:r>
      <w:r>
        <w:rPr>
          <w:rFonts w:hint="eastAsia" w:ascii="仿宋" w:hAnsi="仿宋" w:eastAsia="仿宋" w:cs="仿宋"/>
          <w:b/>
          <w:bCs/>
          <w:sz w:val="32"/>
          <w:szCs w:val="32"/>
          <w:highlight w:val="none"/>
          <w:lang w:val="en-US" w:eastAsia="zh-CN"/>
        </w:rPr>
        <w:t>。</w:t>
      </w:r>
      <w:r>
        <w:rPr>
          <w:rFonts w:hint="default" w:ascii="仿宋" w:hAnsi="仿宋" w:eastAsia="仿宋" w:cs="仿宋"/>
          <w:b/>
          <w:bCs/>
          <w:sz w:val="32"/>
          <w:szCs w:val="32"/>
          <w:highlight w:val="none"/>
          <w:lang w:val="en-US" w:eastAsia="zh-CN"/>
        </w:rPr>
        <w:t>全面排查</w:t>
      </w:r>
      <w:r>
        <w:rPr>
          <w:rFonts w:hint="eastAsia" w:ascii="仿宋" w:hAnsi="仿宋" w:eastAsia="仿宋" w:cs="仿宋"/>
          <w:b/>
          <w:bCs/>
          <w:sz w:val="32"/>
          <w:szCs w:val="32"/>
          <w:highlight w:val="none"/>
          <w:lang w:val="en-US" w:eastAsia="zh-CN"/>
        </w:rPr>
        <w:t>。</w:t>
      </w:r>
      <w:r>
        <w:rPr>
          <w:rFonts w:hint="eastAsia" w:ascii="仿宋" w:hAnsi="仿宋" w:eastAsia="仿宋" w:cs="仿宋"/>
          <w:b w:val="0"/>
          <w:bCs w:val="0"/>
          <w:sz w:val="32"/>
          <w:szCs w:val="32"/>
          <w:highlight w:val="none"/>
          <w:lang w:val="en-US" w:eastAsia="zh-CN"/>
        </w:rPr>
        <w:t>及时</w:t>
      </w:r>
      <w:r>
        <w:rPr>
          <w:rFonts w:hint="default" w:ascii="仿宋" w:hAnsi="仿宋" w:eastAsia="仿宋" w:cs="仿宋"/>
          <w:b w:val="0"/>
          <w:bCs w:val="0"/>
          <w:sz w:val="32"/>
          <w:szCs w:val="32"/>
          <w:highlight w:val="none"/>
          <w:lang w:val="en-US" w:eastAsia="zh-CN"/>
        </w:rPr>
        <w:t>对单位所有调入、调出人员的公积金缴存记录进行一次专项审计，检查是否存在同类“时间错配”的补缴问题。</w:t>
      </w:r>
      <w:r>
        <w:rPr>
          <w:rFonts w:hint="default" w:ascii="仿宋" w:hAnsi="仿宋" w:eastAsia="仿宋" w:cs="仿宋"/>
          <w:b/>
          <w:bCs/>
          <w:sz w:val="32"/>
          <w:szCs w:val="32"/>
          <w:highlight w:val="none"/>
          <w:lang w:val="en-US" w:eastAsia="zh-CN"/>
        </w:rPr>
        <w:t>明确制度</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在内部财务管理制度中明确规定：“办理人员调入后，只可为其补缴在本单位实际任职期间（以工资发放记录为准）的住房公积金。对于前任单位的欠缴或补缴，一律由员工协调原单位办理，本单位不得代付或代办。”</w:t>
      </w:r>
      <w:r>
        <w:rPr>
          <w:rFonts w:hint="default" w:ascii="仿宋" w:hAnsi="仿宋" w:eastAsia="仿宋" w:cs="仿宋"/>
          <w:b/>
          <w:bCs/>
          <w:sz w:val="32"/>
          <w:szCs w:val="32"/>
          <w:highlight w:val="none"/>
          <w:lang w:val="en-US" w:eastAsia="zh-CN"/>
        </w:rPr>
        <w:t>规范流程</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人力资源部门在办理调入手续时，应书面告知员工其公积金历史问题应由原单位解决</w:t>
      </w:r>
      <w:r>
        <w:rPr>
          <w:rFonts w:hint="eastAsia" w:ascii="仿宋" w:hAnsi="仿宋" w:eastAsia="仿宋" w:cs="仿宋"/>
          <w:b w:val="0"/>
          <w:bCs w:val="0"/>
          <w:sz w:val="32"/>
          <w:szCs w:val="32"/>
          <w:highlight w:val="none"/>
          <w:lang w:val="en-US" w:eastAsia="zh-CN"/>
        </w:rPr>
        <w:t>。</w:t>
      </w:r>
      <w:r>
        <w:rPr>
          <w:rFonts w:hint="default" w:ascii="仿宋" w:hAnsi="仿宋" w:eastAsia="仿宋" w:cs="仿宋"/>
          <w:b w:val="0"/>
          <w:bCs w:val="0"/>
          <w:sz w:val="32"/>
          <w:szCs w:val="32"/>
          <w:highlight w:val="none"/>
          <w:lang w:val="en-US" w:eastAsia="zh-CN"/>
        </w:rPr>
        <w:t>财务部门在收到补缴申请时，必须核验员工在本单位的起薪时间，对非本单位期间的补缴申请一律拒绝。</w:t>
      </w:r>
      <w:r>
        <w:rPr>
          <w:rFonts w:hint="eastAsia" w:ascii="仿宋" w:hAnsi="仿宋" w:eastAsia="仿宋" w:cs="仿宋"/>
          <w:b/>
          <w:bCs/>
          <w:sz w:val="32"/>
          <w:szCs w:val="32"/>
          <w:highlight w:val="none"/>
          <w:lang w:val="en-US" w:eastAsia="zh-CN"/>
        </w:rPr>
        <w:t>三是</w:t>
      </w:r>
      <w:r>
        <w:rPr>
          <w:rFonts w:hint="default" w:ascii="仿宋" w:hAnsi="仿宋" w:eastAsia="仿宋" w:cs="仿宋"/>
          <w:b/>
          <w:bCs/>
          <w:sz w:val="32"/>
          <w:szCs w:val="32"/>
          <w:highlight w:val="none"/>
          <w:lang w:val="en-US" w:eastAsia="zh-CN"/>
        </w:rPr>
        <w:t>强化审核责任</w:t>
      </w:r>
      <w:r>
        <w:rPr>
          <w:rFonts w:hint="eastAsia" w:ascii="仿宋" w:hAnsi="仿宋" w:eastAsia="仿宋" w:cs="仿宋"/>
          <w:b/>
          <w:bCs/>
          <w:sz w:val="32"/>
          <w:szCs w:val="32"/>
          <w:highlight w:val="none"/>
          <w:lang w:val="en-US" w:eastAsia="zh-CN"/>
        </w:rPr>
        <w:t>。</w:t>
      </w:r>
      <w:r>
        <w:rPr>
          <w:rFonts w:hint="default" w:ascii="仿宋" w:hAnsi="仿宋" w:eastAsia="仿宋" w:cs="仿宋"/>
          <w:b w:val="0"/>
          <w:bCs w:val="0"/>
          <w:sz w:val="32"/>
          <w:szCs w:val="32"/>
          <w:highlight w:val="none"/>
          <w:lang w:val="en-US" w:eastAsia="zh-CN"/>
        </w:rPr>
        <w:t>将公积金缴存的合规性纳入人力资源和财务部门的考核，明确因审核不严导致此类错误发生的责任。</w:t>
      </w:r>
    </w:p>
    <w:p w14:paraId="39EE2A53">
      <w:pPr>
        <w:pStyle w:val="7"/>
        <w:keepNext w:val="0"/>
        <w:keepLines w:val="0"/>
        <w:pageBreakBefore w:val="0"/>
        <w:widowControl/>
        <w:kinsoku/>
        <w:wordWrap/>
        <w:overflowPunct/>
        <w:topLinePunct w:val="0"/>
        <w:autoSpaceDE/>
        <w:autoSpaceDN/>
        <w:bidi w:val="0"/>
        <w:adjustRightInd/>
        <w:snapToGrid/>
        <w:spacing w:after="0" w:line="560" w:lineRule="exact"/>
        <w:ind w:left="0" w:leftChars="0" w:firstLine="643" w:firstLineChars="200"/>
        <w:jc w:val="both"/>
        <w:textAlignment w:val="auto"/>
        <w:outlineLvl w:val="1"/>
        <w:rPr>
          <w:rFonts w:hint="default"/>
          <w:lang w:val="en-US" w:eastAsia="zh-CN"/>
        </w:rPr>
      </w:pPr>
      <w:bookmarkStart w:id="56" w:name="_Toc27277"/>
      <w:r>
        <w:rPr>
          <w:rFonts w:hint="eastAsia" w:ascii="楷体" w:hAnsi="楷体" w:eastAsia="楷体" w:cs="楷体"/>
          <w:b/>
          <w:bCs/>
          <w:sz w:val="32"/>
          <w:szCs w:val="32"/>
          <w:lang w:val="en-US" w:eastAsia="zh-CN"/>
        </w:rPr>
        <w:t>（四）项目管理方面存在的问题及建议</w:t>
      </w:r>
      <w:bookmarkEnd w:id="56"/>
    </w:p>
    <w:p w14:paraId="6E5CC8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lang w:val="en-US" w:eastAsia="zh-CN"/>
        </w:rPr>
        <w:t>2024年2月2号凭证，支付出手吧姐姐2023关爱困境妇女儿童金1万元后附国库支付单、收据、方案、清单、慰问统计表及公示，</w:t>
      </w:r>
      <w:r>
        <w:rPr>
          <w:rFonts w:hint="eastAsia" w:ascii="仿宋" w:hAnsi="仿宋" w:eastAsia="仿宋" w:cs="仿宋"/>
          <w:b/>
          <w:bCs/>
          <w:sz w:val="32"/>
          <w:szCs w:val="32"/>
          <w:lang w:val="en-US" w:eastAsia="zh-CN"/>
        </w:rPr>
        <w:t>未填写统计表上执行单位经手人及联系方式、执行单位证明人及联系方式。</w:t>
      </w:r>
    </w:p>
    <w:p w14:paraId="1AC5E9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b w:val="0"/>
          <w:bCs w:val="0"/>
          <w:sz w:val="32"/>
          <w:szCs w:val="32"/>
          <w:lang w:val="en-US" w:eastAsia="zh-CN"/>
        </w:rPr>
        <w:t>行政事业单位内部控制规范（试行）关于“支出业务控制”和“评价与监督”的要求。规范强调经济活动应真实、完整，关键信息需记录清晰以备核查。缺失关键联系方式的记录，不符合“</w:t>
      </w:r>
      <w:r>
        <w:rPr>
          <w:rFonts w:hint="eastAsia" w:ascii="仿宋" w:hAnsi="仿宋" w:eastAsia="仿宋" w:cs="仿宋"/>
          <w:b/>
          <w:bCs/>
          <w:sz w:val="32"/>
          <w:szCs w:val="32"/>
          <w:lang w:val="en-US" w:eastAsia="zh-CN"/>
        </w:rPr>
        <w:t>完整”和“可验证”</w:t>
      </w:r>
      <w:r>
        <w:rPr>
          <w:rFonts w:hint="eastAsia" w:ascii="仿宋" w:hAnsi="仿宋" w:eastAsia="仿宋" w:cs="仿宋"/>
          <w:b w:val="0"/>
          <w:bCs w:val="0"/>
          <w:sz w:val="32"/>
          <w:szCs w:val="32"/>
          <w:lang w:val="en-US" w:eastAsia="zh-CN"/>
        </w:rPr>
        <w:t>的原则。</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b w:val="0"/>
          <w:bCs w:val="0"/>
          <w:sz w:val="32"/>
          <w:szCs w:val="32"/>
          <w:lang w:val="en-US" w:eastAsia="zh-CN"/>
        </w:rPr>
        <w:t>《中华人民共和国慈善法》及相关公益资金管理办法精神。虽然这是单位内部资金，但其用途具有明确的公益属性，参照公益资金管理要求，必须确保全过程</w:t>
      </w:r>
      <w:r>
        <w:rPr>
          <w:rFonts w:hint="eastAsia" w:ascii="仿宋" w:hAnsi="仿宋" w:eastAsia="仿宋" w:cs="仿宋"/>
          <w:b/>
          <w:bCs/>
          <w:sz w:val="32"/>
          <w:szCs w:val="32"/>
          <w:lang w:val="en-US" w:eastAsia="zh-CN"/>
        </w:rPr>
        <w:t>公开透明、可追溯。</w:t>
      </w:r>
      <w:r>
        <w:rPr>
          <w:rFonts w:hint="eastAsia" w:ascii="仿宋" w:hAnsi="仿宋" w:eastAsia="仿宋" w:cs="仿宋"/>
          <w:b w:val="0"/>
          <w:bCs w:val="0"/>
          <w:sz w:val="32"/>
          <w:szCs w:val="32"/>
          <w:lang w:val="en-US" w:eastAsia="zh-CN"/>
        </w:rPr>
        <w:t>信息不全直接影响可追溯性。</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b w:val="0"/>
          <w:bCs w:val="0"/>
          <w:sz w:val="32"/>
          <w:szCs w:val="32"/>
          <w:lang w:val="en-US" w:eastAsia="zh-CN"/>
        </w:rPr>
        <w:t>内部项目管理与财务报销制度。任何单位的内部财务制度通常都要求报销附件齐全、信息完整，以支持经济业务的真实性。</w:t>
      </w:r>
    </w:p>
    <w:p w14:paraId="72E5CC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建议：一是补正，完善本次凭证。补充信息。</w:t>
      </w:r>
      <w:r>
        <w:rPr>
          <w:rFonts w:hint="eastAsia" w:ascii="仿宋" w:hAnsi="仿宋" w:eastAsia="仿宋" w:cs="仿宋"/>
          <w:b w:val="0"/>
          <w:bCs w:val="0"/>
          <w:sz w:val="32"/>
          <w:szCs w:val="32"/>
          <w:lang w:val="en-US" w:eastAsia="zh-CN"/>
        </w:rPr>
        <w:t>及时联系该项目的具体执行单位（可能是某个乡镇街道或社区的妇联组织），要求其在《慰问统计表》上补签经手人、证明人姓名，并填写有效的联系电话。</w:t>
      </w:r>
      <w:r>
        <w:rPr>
          <w:rFonts w:hint="eastAsia" w:ascii="仿宋" w:hAnsi="仿宋" w:eastAsia="仿宋" w:cs="仿宋"/>
          <w:b/>
          <w:bCs/>
          <w:sz w:val="32"/>
          <w:szCs w:val="32"/>
          <w:lang w:val="en-US" w:eastAsia="zh-CN"/>
        </w:rPr>
        <w:t>情况说明。</w:t>
      </w:r>
      <w:r>
        <w:rPr>
          <w:rFonts w:hint="eastAsia" w:ascii="仿宋" w:hAnsi="仿宋" w:eastAsia="仿宋" w:cs="仿宋"/>
          <w:b w:val="0"/>
          <w:bCs w:val="0"/>
          <w:sz w:val="32"/>
          <w:szCs w:val="32"/>
          <w:lang w:val="en-US" w:eastAsia="zh-CN"/>
        </w:rPr>
        <w:t>如因客观原因确实无法补全，应由区妇联本次项目的负责科室出具一份书面说明，解释原因并承诺加强后续管理，将此说明作为凭证附件归档。</w:t>
      </w:r>
      <w:r>
        <w:rPr>
          <w:rFonts w:hint="eastAsia" w:ascii="仿宋" w:hAnsi="仿宋" w:eastAsia="仿宋" w:cs="仿宋"/>
          <w:b/>
          <w:bCs/>
          <w:sz w:val="32"/>
          <w:szCs w:val="32"/>
          <w:lang w:val="en-US" w:eastAsia="zh-CN"/>
        </w:rPr>
        <w:t>完善归档。</w:t>
      </w:r>
      <w:r>
        <w:rPr>
          <w:rFonts w:hint="eastAsia" w:ascii="仿宋" w:hAnsi="仿宋" w:eastAsia="仿宋" w:cs="仿宋"/>
          <w:b w:val="0"/>
          <w:bCs w:val="0"/>
          <w:sz w:val="32"/>
          <w:szCs w:val="32"/>
          <w:lang w:val="en-US" w:eastAsia="zh-CN"/>
        </w:rPr>
        <w:t>将补充完整的统计表或情况说明，与原始凭证一同存档备查。</w:t>
      </w:r>
      <w:r>
        <w:rPr>
          <w:rFonts w:hint="eastAsia" w:ascii="仿宋" w:hAnsi="仿宋" w:eastAsia="仿宋" w:cs="仿宋"/>
          <w:b/>
          <w:bCs/>
          <w:sz w:val="32"/>
          <w:szCs w:val="32"/>
          <w:lang w:val="en-US" w:eastAsia="zh-CN"/>
        </w:rPr>
        <w:t>二是建章立制，杜绝同类问题。设计标准化表格。</w:t>
      </w:r>
      <w:r>
        <w:rPr>
          <w:rFonts w:hint="eastAsia" w:ascii="仿宋" w:hAnsi="仿宋" w:eastAsia="仿宋" w:cs="仿宋"/>
          <w:b w:val="0"/>
          <w:bCs w:val="0"/>
          <w:sz w:val="32"/>
          <w:szCs w:val="32"/>
          <w:lang w:val="en-US" w:eastAsia="zh-CN"/>
        </w:rPr>
        <w:t>制定统一的《关爱资金发放执行情况统计表》模板，强制要求填写以下字段，并作为报销必备附件：慰问对象姓名、联系方式、金额、签收（或指纹）。执行单位名称、现场经手人、证明人签名及联系电话。执行日期、地点。单位审核人签字。</w:t>
      </w:r>
      <w:r>
        <w:rPr>
          <w:rFonts w:hint="eastAsia" w:ascii="仿宋" w:hAnsi="仿宋" w:eastAsia="仿宋" w:cs="仿宋"/>
          <w:b/>
          <w:bCs/>
          <w:sz w:val="32"/>
          <w:szCs w:val="32"/>
          <w:lang w:val="en-US" w:eastAsia="zh-CN"/>
        </w:rPr>
        <w:t>三是明确制度规定。</w:t>
      </w:r>
      <w:r>
        <w:rPr>
          <w:rFonts w:hint="eastAsia" w:ascii="仿宋" w:hAnsi="仿宋" w:eastAsia="仿宋" w:cs="仿宋"/>
          <w:b w:val="0"/>
          <w:bCs w:val="0"/>
          <w:sz w:val="32"/>
          <w:szCs w:val="32"/>
          <w:lang w:val="en-US" w:eastAsia="zh-CN"/>
        </w:rPr>
        <w:t>在内部财务管理办法或项目资金使用细则中明确规定：“支付各类慰问金、补助款时，必须附有包含完整执行方及对象信息的签收统计表，</w:t>
      </w:r>
      <w:r>
        <w:rPr>
          <w:rFonts w:hint="eastAsia" w:ascii="仿宋" w:hAnsi="仿宋" w:eastAsia="仿宋" w:cs="仿宋"/>
          <w:b/>
          <w:bCs/>
          <w:sz w:val="32"/>
          <w:szCs w:val="32"/>
          <w:lang w:val="en-US" w:eastAsia="zh-CN"/>
        </w:rPr>
        <w:t>信息不全的，财务部门应予以退回，不予报销。”四是加强培训与审核。</w:t>
      </w:r>
      <w:r>
        <w:rPr>
          <w:rFonts w:hint="eastAsia" w:ascii="仿宋" w:hAnsi="仿宋" w:eastAsia="仿宋" w:cs="仿宋"/>
          <w:b w:val="0"/>
          <w:bCs w:val="0"/>
          <w:sz w:val="32"/>
          <w:szCs w:val="32"/>
          <w:lang w:val="en-US" w:eastAsia="zh-CN"/>
        </w:rPr>
        <w:t>对业务科室经办人员和财务人员进行培训，强调凭证附件的完整性要求。财务人员在审核时，应将此类统计表信息的完整性作为付款前的刚性检查点。</w:t>
      </w:r>
    </w:p>
    <w:p w14:paraId="7FA447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2.2024年2月1号凭证，支付出手吧姐姐2023关爱困境妇女儿童金0.9万元直接打在雁峰区教育局账上或雁峰分局等单位账上，</w:t>
      </w:r>
      <w:r>
        <w:rPr>
          <w:rFonts w:hint="eastAsia" w:ascii="仿宋" w:hAnsi="仿宋" w:eastAsia="仿宋" w:cs="仿宋"/>
          <w:b/>
          <w:bCs/>
          <w:sz w:val="32"/>
          <w:szCs w:val="32"/>
          <w:lang w:val="en-US" w:eastAsia="zh-CN"/>
        </w:rPr>
        <w:t>款项未直接打入帮扶个人账上。</w:t>
      </w:r>
    </w:p>
    <w:p w14:paraId="1AD47A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w:t>
      </w:r>
      <w:r>
        <w:rPr>
          <w:rFonts w:hint="default" w:ascii="仿宋" w:hAnsi="仿宋" w:eastAsia="仿宋" w:cs="仿宋"/>
          <w:b w:val="0"/>
          <w:bCs w:val="0"/>
          <w:sz w:val="32"/>
          <w:szCs w:val="32"/>
          <w:lang w:val="en-US" w:eastAsia="zh-CN"/>
        </w:rPr>
        <w:t>《中央财政困难群众救助补助资金管理办法》及相关地方规定</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此类资金管理普遍遵循 “社会化发放”原则，即通过银行、信用社等金融机构，直接支付到救助对象个人或其法定监护人的账户。例如，多地明确规定困境儿童基本生活补贴等须通过“一卡通”系统直发到人。</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w:t>
      </w:r>
      <w:r>
        <w:rPr>
          <w:rFonts w:hint="default" w:ascii="仿宋" w:hAnsi="仿宋" w:eastAsia="仿宋" w:cs="仿宋"/>
          <w:b w:val="0"/>
          <w:bCs w:val="0"/>
          <w:sz w:val="32"/>
          <w:szCs w:val="32"/>
          <w:lang w:val="en-US" w:eastAsia="zh-CN"/>
        </w:rPr>
        <w:t>《行政事业单位内部控制规范（试行）》“业务控制”中关于确保经济活动真实、合法，以及“归口管理”和“支出标准”的原则。将个人补助改为对公转账，改变了资金用途性质，内控失效。</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w:t>
      </w:r>
      <w:r>
        <w:rPr>
          <w:rFonts w:hint="default" w:ascii="仿宋" w:hAnsi="仿宋" w:eastAsia="仿宋" w:cs="仿宋"/>
          <w:b w:val="0"/>
          <w:bCs w:val="0"/>
          <w:sz w:val="32"/>
          <w:szCs w:val="32"/>
          <w:lang w:val="en-US" w:eastAsia="zh-CN"/>
        </w:rPr>
        <w:t>专项资金绩效管理要求</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财政资金强调“花钱必问效”。直接支付给单位，无法准确衡量资金对最终受益人的帮扶效果，导致绩效评价困难。</w:t>
      </w:r>
      <w:r>
        <w:rPr>
          <w:rFonts w:hint="eastAsia" w:ascii="仿宋" w:hAnsi="仿宋" w:eastAsia="仿宋" w:cs="仿宋"/>
          <w:b w:val="0"/>
          <w:bCs w:val="0"/>
          <w:sz w:val="32"/>
          <w:szCs w:val="32"/>
          <w:lang w:val="en-US" w:eastAsia="zh-CN"/>
        </w:rPr>
        <w:t>存在三类风险。一是</w:t>
      </w:r>
      <w:r>
        <w:rPr>
          <w:rFonts w:hint="default" w:ascii="仿宋" w:hAnsi="仿宋" w:eastAsia="仿宋" w:cs="仿宋"/>
          <w:b/>
          <w:bCs/>
          <w:sz w:val="32"/>
          <w:szCs w:val="32"/>
          <w:lang w:val="en-US" w:eastAsia="zh-CN"/>
        </w:rPr>
        <w:t>资金安全与合规性风险</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款项进入教育局等单位账户后，脱离了项目主管部门（妇联）的直接监管。无法确保该单位是否全额、及时地将资金转付给指定帮扶对象，也无法排除资金被单位统筹使用、延迟发放甚至挪作他用的可能性。</w:t>
      </w:r>
      <w:r>
        <w:rPr>
          <w:rFonts w:hint="eastAsia" w:ascii="仿宋" w:hAnsi="仿宋" w:eastAsia="仿宋" w:cs="仿宋"/>
          <w:b/>
          <w:bCs/>
          <w:sz w:val="32"/>
          <w:szCs w:val="32"/>
          <w:lang w:val="en-US" w:eastAsia="zh-CN"/>
        </w:rPr>
        <w:t>二是</w:t>
      </w:r>
      <w:r>
        <w:rPr>
          <w:rFonts w:hint="default" w:ascii="仿宋" w:hAnsi="仿宋" w:eastAsia="仿宋" w:cs="仿宋"/>
          <w:b/>
          <w:bCs/>
          <w:sz w:val="32"/>
          <w:szCs w:val="32"/>
          <w:lang w:val="en-US" w:eastAsia="zh-CN"/>
        </w:rPr>
        <w:t>审计与监督风险</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在审计或检查时，支付给第三方单位的凭证，无法作为资金已足额发放至最终受益人的直接证据。审计方会要求继续追查教育局向个人支付的下一级凭证，如果链条断裂或不清，将被认定为资金管理不规范、支出依据不充分。</w:t>
      </w:r>
      <w:r>
        <w:rPr>
          <w:rFonts w:hint="eastAsia" w:ascii="仿宋" w:hAnsi="仿宋" w:eastAsia="仿宋" w:cs="仿宋"/>
          <w:b/>
          <w:bCs/>
          <w:sz w:val="32"/>
          <w:szCs w:val="32"/>
          <w:lang w:val="en-US" w:eastAsia="zh-CN"/>
        </w:rPr>
        <w:t>三是</w:t>
      </w:r>
      <w:r>
        <w:rPr>
          <w:rFonts w:hint="default" w:ascii="仿宋" w:hAnsi="仿宋" w:eastAsia="仿宋" w:cs="仿宋"/>
          <w:b/>
          <w:bCs/>
          <w:sz w:val="32"/>
          <w:szCs w:val="32"/>
          <w:lang w:val="en-US" w:eastAsia="zh-CN"/>
        </w:rPr>
        <w:t>政策目标偏离风险</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此类关爱金旨在为困境妇女儿童提供直接经济援助。经单位账户转手，增加了环节，可能产生滞纳、信息误差，使得救助的“精准性”和“时效性”大打折扣。</w:t>
      </w:r>
    </w:p>
    <w:p w14:paraId="0019D2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w:t>
      </w:r>
      <w:r>
        <w:rPr>
          <w:rFonts w:hint="default" w:ascii="仿宋" w:hAnsi="仿宋" w:eastAsia="仿宋" w:cs="仿宋"/>
          <w:b/>
          <w:bCs/>
          <w:sz w:val="32"/>
          <w:szCs w:val="32"/>
          <w:lang w:val="en-US" w:eastAsia="zh-CN"/>
        </w:rPr>
        <w:t>核查与纠正（针对本次支付）</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追踪资金流向</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致函雁峰区教育局，要求其提供该0.9万元资金的详细发放记录，包括但不限于：最终收款人名单、身份证号、发放金额、发放日期、银行转账凭证或签收单据。务必取得这些材料作为本次支付凭证的补充附件归档，以形成完整闭环。</w:t>
      </w:r>
      <w:r>
        <w:rPr>
          <w:rFonts w:hint="default" w:ascii="仿宋" w:hAnsi="仿宋" w:eastAsia="仿宋" w:cs="仿宋"/>
          <w:b/>
          <w:bCs/>
          <w:sz w:val="32"/>
          <w:szCs w:val="32"/>
          <w:lang w:val="en-US" w:eastAsia="zh-CN"/>
        </w:rPr>
        <w:t>评估影响</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核实该笔资金是否已全部、足额发放到目标妇女儿童手中。如发现存在发放不及时、不足额或未发放的情况，应立即督促整改并追回资金。</w:t>
      </w:r>
      <w:r>
        <w:rPr>
          <w:rFonts w:hint="default" w:ascii="仿宋" w:hAnsi="仿宋" w:eastAsia="仿宋" w:cs="仿宋"/>
          <w:b/>
          <w:bCs/>
          <w:sz w:val="32"/>
          <w:szCs w:val="32"/>
          <w:lang w:val="en-US" w:eastAsia="zh-CN"/>
        </w:rPr>
        <w:t>严肃程序</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如系工作失误，应由相关经办人员或科室出具情况说明，明确未来杜绝此类情况。</w:t>
      </w:r>
      <w:r>
        <w:rPr>
          <w:rFonts w:hint="eastAsia" w:ascii="仿宋" w:hAnsi="仿宋" w:eastAsia="仿宋" w:cs="仿宋"/>
          <w:b w:val="0"/>
          <w:bCs w:val="0"/>
          <w:sz w:val="32"/>
          <w:szCs w:val="32"/>
          <w:lang w:val="en-US" w:eastAsia="zh-CN"/>
        </w:rPr>
        <w:t>二是</w:t>
      </w:r>
      <w:r>
        <w:rPr>
          <w:rFonts w:hint="default" w:ascii="仿宋" w:hAnsi="仿宋" w:eastAsia="仿宋" w:cs="仿宋"/>
          <w:b/>
          <w:bCs/>
          <w:sz w:val="32"/>
          <w:szCs w:val="32"/>
          <w:lang w:val="en-US" w:eastAsia="zh-CN"/>
        </w:rPr>
        <w:t>建立长效机制，规范未来发放</w:t>
      </w:r>
      <w:r>
        <w:rPr>
          <w:rFonts w:hint="eastAsia" w:ascii="仿宋" w:hAnsi="仿宋" w:eastAsia="仿宋" w:cs="仿宋"/>
          <w:b/>
          <w:bCs/>
          <w:sz w:val="32"/>
          <w:szCs w:val="32"/>
          <w:lang w:val="en-US" w:eastAsia="zh-CN"/>
        </w:rPr>
        <w:t>。A</w:t>
      </w:r>
      <w:r>
        <w:rPr>
          <w:rFonts w:hint="default" w:ascii="仿宋" w:hAnsi="仿宋" w:eastAsia="仿宋" w:cs="仿宋"/>
          <w:b/>
          <w:bCs/>
          <w:sz w:val="32"/>
          <w:szCs w:val="32"/>
          <w:lang w:val="en-US" w:eastAsia="zh-CN"/>
        </w:rPr>
        <w:t>确立“直发到人”铁律</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修订内部项目资金管理办法，明确规定：所有面向个人的救助、慰问、补贴类资金，原则上必须通过银行转账等方式直接支付至受益人个人（或其法定监护人）账户，严禁将资金批量支付给任何第三方单位代发。</w:t>
      </w:r>
      <w:r>
        <w:rPr>
          <w:rFonts w:hint="eastAsia" w:ascii="仿宋" w:hAnsi="仿宋" w:eastAsia="仿宋" w:cs="仿宋"/>
          <w:b/>
          <w:bCs/>
          <w:sz w:val="32"/>
          <w:szCs w:val="32"/>
          <w:lang w:val="en-US" w:eastAsia="zh-CN"/>
        </w:rPr>
        <w:t>B</w:t>
      </w:r>
      <w:r>
        <w:rPr>
          <w:rFonts w:hint="default" w:ascii="仿宋" w:hAnsi="仿宋" w:eastAsia="仿宋" w:cs="仿宋"/>
          <w:b/>
          <w:bCs/>
          <w:sz w:val="32"/>
          <w:szCs w:val="32"/>
          <w:lang w:val="en-US" w:eastAsia="zh-CN"/>
        </w:rPr>
        <w:t>特殊情况审批制度</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极特殊情况下（如受益人无银行账户且需现金发放），应建立严格的例外审批程序。须事先书面说明原因，经单位主要领导批准，并制定确保资金安全送达的监督方案（</w:t>
      </w:r>
      <w:r>
        <w:rPr>
          <w:rFonts w:hint="default" w:ascii="仿宋" w:hAnsi="仿宋" w:eastAsia="仿宋" w:cs="仿宋"/>
          <w:b/>
          <w:bCs/>
          <w:sz w:val="32"/>
          <w:szCs w:val="32"/>
          <w:lang w:val="en-US" w:eastAsia="zh-CN"/>
        </w:rPr>
        <w:t>如双人经办、拍照记录、取得签收等）。</w:t>
      </w:r>
      <w:r>
        <w:rPr>
          <w:rFonts w:hint="eastAsia" w:ascii="仿宋" w:hAnsi="仿宋" w:eastAsia="仿宋" w:cs="仿宋"/>
          <w:b/>
          <w:bCs/>
          <w:sz w:val="32"/>
          <w:szCs w:val="32"/>
          <w:lang w:val="en-US" w:eastAsia="zh-CN"/>
        </w:rPr>
        <w:t>C</w:t>
      </w:r>
      <w:r>
        <w:rPr>
          <w:rFonts w:hint="default" w:ascii="仿宋" w:hAnsi="仿宋" w:eastAsia="仿宋" w:cs="仿宋"/>
          <w:b/>
          <w:bCs/>
          <w:sz w:val="32"/>
          <w:szCs w:val="32"/>
          <w:lang w:val="en-US" w:eastAsia="zh-CN"/>
        </w:rPr>
        <w:t>优化支付流程</w:t>
      </w:r>
      <w:r>
        <w:rPr>
          <w:rFonts w:hint="eastAsia" w:ascii="仿宋" w:hAnsi="仿宋" w:eastAsia="仿宋" w:cs="仿宋"/>
          <w:b/>
          <w:bCs/>
          <w:sz w:val="32"/>
          <w:szCs w:val="32"/>
          <w:lang w:val="en-US" w:eastAsia="zh-CN"/>
        </w:rPr>
        <w:t>。</w:t>
      </w:r>
      <w:r>
        <w:rPr>
          <w:rFonts w:hint="default" w:ascii="仿宋" w:hAnsi="仿宋" w:eastAsia="仿宋" w:cs="仿宋"/>
          <w:b/>
          <w:bCs/>
          <w:sz w:val="32"/>
          <w:szCs w:val="32"/>
          <w:lang w:val="en-US" w:eastAsia="zh-CN"/>
        </w:rPr>
        <w:t>信息采集</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业务科室负责准确收集并核实帮扶对象的姓名、身份证号、银行账号等信息。</w:t>
      </w:r>
      <w:r>
        <w:rPr>
          <w:rFonts w:hint="default" w:ascii="仿宋" w:hAnsi="仿宋" w:eastAsia="仿宋" w:cs="仿宋"/>
          <w:b/>
          <w:bCs/>
          <w:sz w:val="32"/>
          <w:szCs w:val="32"/>
          <w:lang w:val="en-US" w:eastAsia="zh-CN"/>
        </w:rPr>
        <w:t>清单审批</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制作统一的《关爱金发放明细表》，包含上述信息及金额，经审批后提交财务。</w:t>
      </w:r>
      <w:r>
        <w:rPr>
          <w:rFonts w:hint="default" w:ascii="仿宋" w:hAnsi="仿宋" w:eastAsia="仿宋" w:cs="仿宋"/>
          <w:b/>
          <w:bCs/>
          <w:sz w:val="32"/>
          <w:szCs w:val="32"/>
          <w:lang w:val="en-US" w:eastAsia="zh-CN"/>
        </w:rPr>
        <w:t>集中支付</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财务部门通过国库集中支付系统或单位网银，批量</w:t>
      </w:r>
      <w:r>
        <w:rPr>
          <w:rFonts w:hint="eastAsia" w:ascii="仿宋" w:hAnsi="仿宋" w:eastAsia="仿宋" w:cs="仿宋"/>
          <w:b w:val="0"/>
          <w:bCs w:val="0"/>
          <w:sz w:val="32"/>
          <w:szCs w:val="32"/>
          <w:lang w:val="en-US" w:eastAsia="zh-CN"/>
        </w:rPr>
        <w:t>支付</w:t>
      </w:r>
      <w:r>
        <w:rPr>
          <w:rFonts w:hint="default" w:ascii="仿宋" w:hAnsi="仿宋" w:eastAsia="仿宋" w:cs="仿宋"/>
          <w:b w:val="0"/>
          <w:bCs w:val="0"/>
          <w:sz w:val="32"/>
          <w:szCs w:val="32"/>
          <w:lang w:val="en-US" w:eastAsia="zh-CN"/>
        </w:rPr>
        <w:t>到个人账户。</w:t>
      </w:r>
      <w:r>
        <w:rPr>
          <w:rFonts w:hint="default" w:ascii="仿宋" w:hAnsi="仿宋" w:eastAsia="仿宋" w:cs="仿宋"/>
          <w:b/>
          <w:bCs/>
          <w:sz w:val="32"/>
          <w:szCs w:val="32"/>
          <w:lang w:val="en-US" w:eastAsia="zh-CN"/>
        </w:rPr>
        <w:t>凭证归档</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将支付成功的银行回单（或财政支付明细）与审批清单一并作为记账凭证。</w:t>
      </w:r>
    </w:p>
    <w:p w14:paraId="12943A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p>
    <w:p w14:paraId="48127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p>
    <w:p w14:paraId="55A2EF99">
      <w:pPr>
        <w:rPr>
          <w:rFonts w:hint="default"/>
          <w:lang w:val="en-US" w:eastAsia="zh-CN"/>
        </w:rPr>
      </w:pPr>
    </w:p>
    <w:p w14:paraId="6A64E558">
      <w:pPr>
        <w:rPr>
          <w:rFonts w:hint="default"/>
          <w:lang w:val="en-US" w:eastAsia="zh-CN"/>
        </w:rPr>
      </w:pPr>
    </w:p>
    <w:p w14:paraId="1B72C8DF">
      <w:pPr>
        <w:rPr>
          <w:rFonts w:hint="default"/>
          <w:lang w:val="en-US" w:eastAsia="zh-CN"/>
        </w:rPr>
      </w:pPr>
    </w:p>
    <w:p w14:paraId="67686BBC">
      <w:pPr>
        <w:rPr>
          <w:rFonts w:hint="default"/>
          <w:lang w:val="en-US" w:eastAsia="zh-CN"/>
        </w:rPr>
      </w:pPr>
    </w:p>
    <w:p w14:paraId="298EFF1C">
      <w:pPr>
        <w:rPr>
          <w:rFonts w:hint="default"/>
          <w:lang w:val="en-US" w:eastAsia="zh-CN"/>
        </w:rPr>
      </w:pPr>
    </w:p>
    <w:p w14:paraId="5B3063AA">
      <w:pPr>
        <w:rPr>
          <w:rFonts w:hint="default"/>
          <w:lang w:val="en-US" w:eastAsia="zh-CN"/>
        </w:rPr>
      </w:pPr>
    </w:p>
    <w:p w14:paraId="4A184617">
      <w:pPr>
        <w:rPr>
          <w:rFonts w:hint="default"/>
          <w:lang w:val="en-US" w:eastAsia="zh-CN"/>
        </w:rPr>
      </w:pPr>
    </w:p>
    <w:p w14:paraId="702C60D9">
      <w:pPr>
        <w:rPr>
          <w:rFonts w:hint="default"/>
          <w:lang w:val="en-US" w:eastAsia="zh-CN"/>
        </w:rPr>
      </w:pPr>
    </w:p>
    <w:p w14:paraId="0643517D">
      <w:pPr>
        <w:rPr>
          <w:rFonts w:hint="default"/>
          <w:lang w:val="en-US" w:eastAsia="zh-CN"/>
        </w:rPr>
      </w:pPr>
    </w:p>
    <w:p w14:paraId="5A4BC6A7">
      <w:pPr>
        <w:rPr>
          <w:rFonts w:hint="default"/>
          <w:lang w:val="en-US" w:eastAsia="zh-CN"/>
        </w:rPr>
      </w:pPr>
    </w:p>
    <w:p w14:paraId="5B2CF727">
      <w:pPr>
        <w:rPr>
          <w:rFonts w:hint="default"/>
          <w:lang w:val="en-US" w:eastAsia="zh-CN"/>
        </w:rPr>
      </w:pPr>
    </w:p>
    <w:p w14:paraId="11F37C83">
      <w:pPr>
        <w:rPr>
          <w:rFonts w:hint="default"/>
          <w:lang w:val="en-US" w:eastAsia="zh-CN"/>
        </w:rPr>
      </w:pPr>
    </w:p>
    <w:p w14:paraId="2A665980">
      <w:pPr>
        <w:rPr>
          <w:rFonts w:hint="default"/>
          <w:lang w:val="en-US" w:eastAsia="zh-CN"/>
        </w:rPr>
      </w:pPr>
    </w:p>
    <w:p w14:paraId="77BAF0E4">
      <w:pPr>
        <w:rPr>
          <w:rFonts w:hint="default"/>
          <w:lang w:val="en-US" w:eastAsia="zh-CN"/>
        </w:rPr>
      </w:pPr>
    </w:p>
    <w:p w14:paraId="6647015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（此页无正文）</w:t>
      </w:r>
    </w:p>
    <w:p w14:paraId="4432FB90">
      <w:pPr>
        <w:rPr>
          <w:rFonts w:hint="default"/>
          <w:lang w:val="en-US" w:eastAsia="zh-CN"/>
        </w:rPr>
      </w:pPr>
    </w:p>
    <w:p w14:paraId="17ACE2BC">
      <w:pPr>
        <w:rPr>
          <w:rFonts w:hint="default"/>
          <w:lang w:val="en-US" w:eastAsia="zh-CN"/>
        </w:rPr>
      </w:pPr>
    </w:p>
    <w:p w14:paraId="20C7154E">
      <w:pPr>
        <w:rPr>
          <w:rFonts w:hint="default"/>
          <w:lang w:val="en-US" w:eastAsia="zh-CN"/>
        </w:rPr>
      </w:pPr>
    </w:p>
    <w:p w14:paraId="06984545">
      <w:pPr>
        <w:rPr>
          <w:rFonts w:hint="default"/>
          <w:lang w:val="en-US" w:eastAsia="zh-CN"/>
        </w:rPr>
      </w:pPr>
    </w:p>
    <w:p w14:paraId="0B83C6C8">
      <w:pPr>
        <w:rPr>
          <w:rFonts w:hint="default"/>
          <w:lang w:val="en-US" w:eastAsia="zh-CN"/>
        </w:rPr>
      </w:pPr>
    </w:p>
    <w:tbl>
      <w:tblPr>
        <w:tblStyle w:val="14"/>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76CBCD93">
        <w:tblPrEx>
          <w:tblCellMar>
            <w:top w:w="0" w:type="dxa"/>
            <w:left w:w="108" w:type="dxa"/>
            <w:bottom w:w="0" w:type="dxa"/>
            <w:right w:w="108" w:type="dxa"/>
          </w:tblCellMar>
        </w:tblPrEx>
        <w:trPr>
          <w:trHeight w:val="623" w:hRule="atLeast"/>
          <w:jc w:val="center"/>
        </w:trPr>
        <w:tc>
          <w:tcPr>
            <w:tcW w:w="4525" w:type="dxa"/>
            <w:noWrap w:val="0"/>
            <w:vAlign w:val="top"/>
          </w:tcPr>
          <w:p w14:paraId="27B7AE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0746C02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7FD693C9">
        <w:tblPrEx>
          <w:tblCellMar>
            <w:top w:w="0" w:type="dxa"/>
            <w:left w:w="108" w:type="dxa"/>
            <w:bottom w:w="0" w:type="dxa"/>
            <w:right w:w="108" w:type="dxa"/>
          </w:tblCellMar>
        </w:tblPrEx>
        <w:trPr>
          <w:trHeight w:val="1267" w:hRule="atLeast"/>
          <w:jc w:val="center"/>
        </w:trPr>
        <w:tc>
          <w:tcPr>
            <w:tcW w:w="4525" w:type="dxa"/>
            <w:noWrap w:val="0"/>
            <w:vAlign w:val="top"/>
          </w:tcPr>
          <w:p w14:paraId="5C9DE52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6FC64BD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BCD2100">
        <w:tblPrEx>
          <w:tblCellMar>
            <w:top w:w="0" w:type="dxa"/>
            <w:left w:w="108" w:type="dxa"/>
            <w:bottom w:w="0" w:type="dxa"/>
            <w:right w:w="108" w:type="dxa"/>
          </w:tblCellMar>
        </w:tblPrEx>
        <w:trPr>
          <w:trHeight w:val="1247" w:hRule="atLeast"/>
          <w:jc w:val="center"/>
        </w:trPr>
        <w:tc>
          <w:tcPr>
            <w:tcW w:w="4525" w:type="dxa"/>
            <w:noWrap w:val="0"/>
            <w:vAlign w:val="top"/>
          </w:tcPr>
          <w:p w14:paraId="5DDE7399">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67F3844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6FA1FA4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E160BFB">
        <w:tblPrEx>
          <w:tblCellMar>
            <w:top w:w="0" w:type="dxa"/>
            <w:left w:w="108" w:type="dxa"/>
            <w:bottom w:w="0" w:type="dxa"/>
            <w:right w:w="108" w:type="dxa"/>
          </w:tblCellMar>
        </w:tblPrEx>
        <w:trPr>
          <w:trHeight w:val="623" w:hRule="atLeast"/>
          <w:jc w:val="center"/>
        </w:trPr>
        <w:tc>
          <w:tcPr>
            <w:tcW w:w="4525" w:type="dxa"/>
            <w:noWrap w:val="0"/>
            <w:vAlign w:val="top"/>
          </w:tcPr>
          <w:p w14:paraId="51A7DD8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34AC23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2025年10月21日</w:t>
            </w:r>
          </w:p>
        </w:tc>
      </w:tr>
    </w:tbl>
    <w:p w14:paraId="324490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ascii="黑体" w:hAnsi="黑体" w:eastAsia="黑体" w:cs="黑体"/>
          <w:sz w:val="32"/>
          <w:szCs w:val="32"/>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9"/>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2024年雁峰区妇女联合会整体支出绩效评价报告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b/>
        <w:bCs/>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C86B9F76"/>
    <w:multiLevelType w:val="singleLevel"/>
    <w:tmpl w:val="C86B9F76"/>
    <w:lvl w:ilvl="0" w:tentative="0">
      <w:start w:val="6"/>
      <w:numFmt w:val="chineseCounting"/>
      <w:suff w:val="nothing"/>
      <w:lvlText w:val="%1、"/>
      <w:lvlJc w:val="left"/>
      <w:rPr>
        <w:rFonts w:hint="eastAsia"/>
      </w:rPr>
    </w:lvl>
  </w:abstractNum>
  <w:abstractNum w:abstractNumId="4">
    <w:nsid w:val="D84C4568"/>
    <w:multiLevelType w:val="singleLevel"/>
    <w:tmpl w:val="D84C4568"/>
    <w:lvl w:ilvl="0" w:tentative="0">
      <w:start w:val="1"/>
      <w:numFmt w:val="chineseCounting"/>
      <w:suff w:val="nothing"/>
      <w:lvlText w:val="（%1）"/>
      <w:lvlJc w:val="left"/>
      <w:rPr>
        <w:rFonts w:hint="eastAsia"/>
      </w:rPr>
    </w:lvl>
  </w:abstractNum>
  <w:abstractNum w:abstractNumId="5">
    <w:nsid w:val="EBF7B6E1"/>
    <w:multiLevelType w:val="singleLevel"/>
    <w:tmpl w:val="EBF7B6E1"/>
    <w:lvl w:ilvl="0" w:tentative="0">
      <w:start w:val="1"/>
      <w:numFmt w:val="chineseCounting"/>
      <w:suff w:val="nothing"/>
      <w:lvlText w:val="（%1）"/>
      <w:lvlJc w:val="left"/>
      <w:rPr>
        <w:rFonts w:hint="eastAsia"/>
      </w:rPr>
    </w:lvl>
  </w:abstractNum>
  <w:abstractNum w:abstractNumId="6">
    <w:nsid w:val="22845DC4"/>
    <w:multiLevelType w:val="singleLevel"/>
    <w:tmpl w:val="22845DC4"/>
    <w:lvl w:ilvl="0" w:tentative="0">
      <w:start w:val="4"/>
      <w:numFmt w:val="chineseCounting"/>
      <w:suff w:val="nothing"/>
      <w:lvlText w:val="（%1）"/>
      <w:lvlJc w:val="left"/>
      <w:rPr>
        <w:rFonts w:hint="eastAsia"/>
      </w:rPr>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3440E5"/>
    <w:rsid w:val="00347465"/>
    <w:rsid w:val="003675EE"/>
    <w:rsid w:val="00392EA7"/>
    <w:rsid w:val="00396CDA"/>
    <w:rsid w:val="00440AFC"/>
    <w:rsid w:val="00441793"/>
    <w:rsid w:val="0046375D"/>
    <w:rsid w:val="004E616D"/>
    <w:rsid w:val="00543B5B"/>
    <w:rsid w:val="006C4A5C"/>
    <w:rsid w:val="0075235C"/>
    <w:rsid w:val="008C4773"/>
    <w:rsid w:val="00957601"/>
    <w:rsid w:val="00AC7437"/>
    <w:rsid w:val="00CE50BF"/>
    <w:rsid w:val="00DC574A"/>
    <w:rsid w:val="00ED1E2A"/>
    <w:rsid w:val="00F114F5"/>
    <w:rsid w:val="00F96DAA"/>
    <w:rsid w:val="00FE0086"/>
    <w:rsid w:val="01017684"/>
    <w:rsid w:val="010D6479"/>
    <w:rsid w:val="01142B69"/>
    <w:rsid w:val="011655D4"/>
    <w:rsid w:val="01211959"/>
    <w:rsid w:val="013F2781"/>
    <w:rsid w:val="014F34AC"/>
    <w:rsid w:val="01543F37"/>
    <w:rsid w:val="018A7679"/>
    <w:rsid w:val="0196601E"/>
    <w:rsid w:val="01967D5E"/>
    <w:rsid w:val="019755DD"/>
    <w:rsid w:val="019D115B"/>
    <w:rsid w:val="019E58B5"/>
    <w:rsid w:val="019F1377"/>
    <w:rsid w:val="01CB7507"/>
    <w:rsid w:val="01D846CD"/>
    <w:rsid w:val="021E5540"/>
    <w:rsid w:val="023A109F"/>
    <w:rsid w:val="023F2351"/>
    <w:rsid w:val="024C492F"/>
    <w:rsid w:val="025739FF"/>
    <w:rsid w:val="0263637C"/>
    <w:rsid w:val="02811C50"/>
    <w:rsid w:val="028D5673"/>
    <w:rsid w:val="029D18A6"/>
    <w:rsid w:val="029F7154"/>
    <w:rsid w:val="02A1111E"/>
    <w:rsid w:val="02A815EB"/>
    <w:rsid w:val="02AD3FBE"/>
    <w:rsid w:val="02AE478C"/>
    <w:rsid w:val="02B50726"/>
    <w:rsid w:val="02B726F0"/>
    <w:rsid w:val="02BA21E0"/>
    <w:rsid w:val="02C443E7"/>
    <w:rsid w:val="02F94384"/>
    <w:rsid w:val="03074E87"/>
    <w:rsid w:val="03103BAE"/>
    <w:rsid w:val="03105CDF"/>
    <w:rsid w:val="031713E0"/>
    <w:rsid w:val="03191EEE"/>
    <w:rsid w:val="031D6EFB"/>
    <w:rsid w:val="03267F2A"/>
    <w:rsid w:val="03295034"/>
    <w:rsid w:val="032A758D"/>
    <w:rsid w:val="03303491"/>
    <w:rsid w:val="034A1211"/>
    <w:rsid w:val="03754F19"/>
    <w:rsid w:val="03764359"/>
    <w:rsid w:val="03773C2D"/>
    <w:rsid w:val="0391431A"/>
    <w:rsid w:val="03A3304A"/>
    <w:rsid w:val="03A36FA0"/>
    <w:rsid w:val="03A47774"/>
    <w:rsid w:val="03A5079A"/>
    <w:rsid w:val="03C3438E"/>
    <w:rsid w:val="03C47923"/>
    <w:rsid w:val="03CE545F"/>
    <w:rsid w:val="03D25723"/>
    <w:rsid w:val="03E64831"/>
    <w:rsid w:val="04125FCD"/>
    <w:rsid w:val="04160862"/>
    <w:rsid w:val="04220309"/>
    <w:rsid w:val="04245B63"/>
    <w:rsid w:val="042E3A1F"/>
    <w:rsid w:val="043229AE"/>
    <w:rsid w:val="043E5100"/>
    <w:rsid w:val="04421B33"/>
    <w:rsid w:val="04460AFF"/>
    <w:rsid w:val="047C774D"/>
    <w:rsid w:val="047F1C73"/>
    <w:rsid w:val="04986613"/>
    <w:rsid w:val="04B62533"/>
    <w:rsid w:val="04B70785"/>
    <w:rsid w:val="04C133B2"/>
    <w:rsid w:val="04C1427B"/>
    <w:rsid w:val="04C218DA"/>
    <w:rsid w:val="04C6380B"/>
    <w:rsid w:val="04CD774D"/>
    <w:rsid w:val="04E57AC0"/>
    <w:rsid w:val="05183F1A"/>
    <w:rsid w:val="05281683"/>
    <w:rsid w:val="05353DA0"/>
    <w:rsid w:val="053B68BC"/>
    <w:rsid w:val="05620FEB"/>
    <w:rsid w:val="0571031E"/>
    <w:rsid w:val="057714C1"/>
    <w:rsid w:val="05791A70"/>
    <w:rsid w:val="058C131C"/>
    <w:rsid w:val="058C1C12"/>
    <w:rsid w:val="059C3F40"/>
    <w:rsid w:val="059E7B97"/>
    <w:rsid w:val="05A11BAC"/>
    <w:rsid w:val="05A50F26"/>
    <w:rsid w:val="05BA0D70"/>
    <w:rsid w:val="05DB66F5"/>
    <w:rsid w:val="05DE1D42"/>
    <w:rsid w:val="05E0766C"/>
    <w:rsid w:val="05F309FB"/>
    <w:rsid w:val="05F45A09"/>
    <w:rsid w:val="05F57389"/>
    <w:rsid w:val="05FA2A1A"/>
    <w:rsid w:val="05FF0279"/>
    <w:rsid w:val="06062574"/>
    <w:rsid w:val="06093E43"/>
    <w:rsid w:val="06106186"/>
    <w:rsid w:val="061B656D"/>
    <w:rsid w:val="06222576"/>
    <w:rsid w:val="062865D7"/>
    <w:rsid w:val="06316B63"/>
    <w:rsid w:val="06322AAB"/>
    <w:rsid w:val="06341813"/>
    <w:rsid w:val="06345BBB"/>
    <w:rsid w:val="064514DA"/>
    <w:rsid w:val="06462747"/>
    <w:rsid w:val="064A35D0"/>
    <w:rsid w:val="065D6663"/>
    <w:rsid w:val="0660046B"/>
    <w:rsid w:val="066A1F1E"/>
    <w:rsid w:val="067369FB"/>
    <w:rsid w:val="06875F36"/>
    <w:rsid w:val="068D0A84"/>
    <w:rsid w:val="069112CA"/>
    <w:rsid w:val="06930D7E"/>
    <w:rsid w:val="06B069BA"/>
    <w:rsid w:val="06C30126"/>
    <w:rsid w:val="06C57799"/>
    <w:rsid w:val="06C92D5A"/>
    <w:rsid w:val="06CC0578"/>
    <w:rsid w:val="06D86978"/>
    <w:rsid w:val="06DF5D71"/>
    <w:rsid w:val="070337A4"/>
    <w:rsid w:val="07097643"/>
    <w:rsid w:val="07143785"/>
    <w:rsid w:val="071E67C4"/>
    <w:rsid w:val="072639A0"/>
    <w:rsid w:val="072801E2"/>
    <w:rsid w:val="073F4A62"/>
    <w:rsid w:val="074D53D1"/>
    <w:rsid w:val="0756191C"/>
    <w:rsid w:val="076A180B"/>
    <w:rsid w:val="076C47A9"/>
    <w:rsid w:val="077376CB"/>
    <w:rsid w:val="078D3874"/>
    <w:rsid w:val="079468F0"/>
    <w:rsid w:val="079B120C"/>
    <w:rsid w:val="07A7684E"/>
    <w:rsid w:val="07AC013B"/>
    <w:rsid w:val="07BA10F5"/>
    <w:rsid w:val="07BB67DE"/>
    <w:rsid w:val="07BE4341"/>
    <w:rsid w:val="07D442F0"/>
    <w:rsid w:val="07E00C9C"/>
    <w:rsid w:val="07E22674"/>
    <w:rsid w:val="07ED2710"/>
    <w:rsid w:val="07F9321E"/>
    <w:rsid w:val="07FF1CDD"/>
    <w:rsid w:val="08253FEF"/>
    <w:rsid w:val="08313B80"/>
    <w:rsid w:val="083E11BD"/>
    <w:rsid w:val="084542FA"/>
    <w:rsid w:val="085821DB"/>
    <w:rsid w:val="085B544F"/>
    <w:rsid w:val="085E70A3"/>
    <w:rsid w:val="086A6018"/>
    <w:rsid w:val="087921F6"/>
    <w:rsid w:val="08A53B3F"/>
    <w:rsid w:val="08BB245F"/>
    <w:rsid w:val="08C12927"/>
    <w:rsid w:val="08C14499"/>
    <w:rsid w:val="08C8551C"/>
    <w:rsid w:val="08CD7790"/>
    <w:rsid w:val="08D33389"/>
    <w:rsid w:val="091E489D"/>
    <w:rsid w:val="09322AD0"/>
    <w:rsid w:val="0949606C"/>
    <w:rsid w:val="094F2CD3"/>
    <w:rsid w:val="096B15C8"/>
    <w:rsid w:val="097F0956"/>
    <w:rsid w:val="098026A7"/>
    <w:rsid w:val="098244A7"/>
    <w:rsid w:val="098368C3"/>
    <w:rsid w:val="099A08B5"/>
    <w:rsid w:val="09A5179F"/>
    <w:rsid w:val="09B90AFC"/>
    <w:rsid w:val="09BF0001"/>
    <w:rsid w:val="09BF1E8A"/>
    <w:rsid w:val="09D70DA6"/>
    <w:rsid w:val="0A0F3905"/>
    <w:rsid w:val="0A355EA0"/>
    <w:rsid w:val="0A3D472E"/>
    <w:rsid w:val="0A4106A1"/>
    <w:rsid w:val="0A5F7F8F"/>
    <w:rsid w:val="0A653918"/>
    <w:rsid w:val="0A6E2124"/>
    <w:rsid w:val="0A8777EC"/>
    <w:rsid w:val="0A891C20"/>
    <w:rsid w:val="0AA364AD"/>
    <w:rsid w:val="0AAC0F25"/>
    <w:rsid w:val="0ABB08A3"/>
    <w:rsid w:val="0ADF27E4"/>
    <w:rsid w:val="0B0D610C"/>
    <w:rsid w:val="0B1A34E5"/>
    <w:rsid w:val="0B42710B"/>
    <w:rsid w:val="0B553428"/>
    <w:rsid w:val="0B6131F9"/>
    <w:rsid w:val="0B7E1DF4"/>
    <w:rsid w:val="0BAB2B32"/>
    <w:rsid w:val="0BAD643E"/>
    <w:rsid w:val="0BB72F3C"/>
    <w:rsid w:val="0BC419DA"/>
    <w:rsid w:val="0BD452F2"/>
    <w:rsid w:val="0BE45812"/>
    <w:rsid w:val="0BE71C3D"/>
    <w:rsid w:val="0BFE0100"/>
    <w:rsid w:val="0C254F7A"/>
    <w:rsid w:val="0C2B3573"/>
    <w:rsid w:val="0C3A7178"/>
    <w:rsid w:val="0C476893"/>
    <w:rsid w:val="0C5517B2"/>
    <w:rsid w:val="0C5556CA"/>
    <w:rsid w:val="0C5965C6"/>
    <w:rsid w:val="0C7476C0"/>
    <w:rsid w:val="0C925AC4"/>
    <w:rsid w:val="0C9E401A"/>
    <w:rsid w:val="0CA350DD"/>
    <w:rsid w:val="0CAC044E"/>
    <w:rsid w:val="0CAF0502"/>
    <w:rsid w:val="0CB841CC"/>
    <w:rsid w:val="0CBC3E25"/>
    <w:rsid w:val="0CBF0132"/>
    <w:rsid w:val="0CC06645"/>
    <w:rsid w:val="0CC852E6"/>
    <w:rsid w:val="0CCF6888"/>
    <w:rsid w:val="0CD56D9C"/>
    <w:rsid w:val="0CDB0A03"/>
    <w:rsid w:val="0CE25880"/>
    <w:rsid w:val="0CE27DCE"/>
    <w:rsid w:val="0CE5798A"/>
    <w:rsid w:val="0CF462EF"/>
    <w:rsid w:val="0D0201EA"/>
    <w:rsid w:val="0D02609B"/>
    <w:rsid w:val="0D0332A3"/>
    <w:rsid w:val="0D1C2595"/>
    <w:rsid w:val="0D22141A"/>
    <w:rsid w:val="0D483858"/>
    <w:rsid w:val="0D5C5D7C"/>
    <w:rsid w:val="0D6B7889"/>
    <w:rsid w:val="0D81478E"/>
    <w:rsid w:val="0D862FC8"/>
    <w:rsid w:val="0D8A2FED"/>
    <w:rsid w:val="0D940C01"/>
    <w:rsid w:val="0D9E6986"/>
    <w:rsid w:val="0DA4187D"/>
    <w:rsid w:val="0DAB4CA3"/>
    <w:rsid w:val="0DAC2D80"/>
    <w:rsid w:val="0DBA6115"/>
    <w:rsid w:val="0DBB7938"/>
    <w:rsid w:val="0DC01F09"/>
    <w:rsid w:val="0DC24E06"/>
    <w:rsid w:val="0DCA29A0"/>
    <w:rsid w:val="0DD208F0"/>
    <w:rsid w:val="0DD66235"/>
    <w:rsid w:val="0DDC7AB4"/>
    <w:rsid w:val="0DE73F9D"/>
    <w:rsid w:val="0E0E0ABB"/>
    <w:rsid w:val="0E156855"/>
    <w:rsid w:val="0E180AFA"/>
    <w:rsid w:val="0E1E1689"/>
    <w:rsid w:val="0E355A5F"/>
    <w:rsid w:val="0E434CA2"/>
    <w:rsid w:val="0E452056"/>
    <w:rsid w:val="0E4A60A8"/>
    <w:rsid w:val="0E7159E2"/>
    <w:rsid w:val="0E90419B"/>
    <w:rsid w:val="0EAA7A46"/>
    <w:rsid w:val="0EB151DA"/>
    <w:rsid w:val="0EBA1FBA"/>
    <w:rsid w:val="0EBD5965"/>
    <w:rsid w:val="0EC40B28"/>
    <w:rsid w:val="0ED270CE"/>
    <w:rsid w:val="0EE30765"/>
    <w:rsid w:val="0EE875CA"/>
    <w:rsid w:val="0EEF3211"/>
    <w:rsid w:val="0F033BBE"/>
    <w:rsid w:val="0F0B71C2"/>
    <w:rsid w:val="0F16254C"/>
    <w:rsid w:val="0F2904D1"/>
    <w:rsid w:val="0F2E527C"/>
    <w:rsid w:val="0F333973"/>
    <w:rsid w:val="0F36499C"/>
    <w:rsid w:val="0F61365E"/>
    <w:rsid w:val="0F6C03BE"/>
    <w:rsid w:val="0F775D3E"/>
    <w:rsid w:val="0F7811AE"/>
    <w:rsid w:val="0F8B17F6"/>
    <w:rsid w:val="0FA270B4"/>
    <w:rsid w:val="0FAB006A"/>
    <w:rsid w:val="0FB10A42"/>
    <w:rsid w:val="0FDA17CC"/>
    <w:rsid w:val="0FE53F92"/>
    <w:rsid w:val="0FE90290"/>
    <w:rsid w:val="0FFC7697"/>
    <w:rsid w:val="100F5919"/>
    <w:rsid w:val="101E7BF6"/>
    <w:rsid w:val="10246EEB"/>
    <w:rsid w:val="10362DC0"/>
    <w:rsid w:val="103750DB"/>
    <w:rsid w:val="103A6D61"/>
    <w:rsid w:val="105B5D71"/>
    <w:rsid w:val="106612B1"/>
    <w:rsid w:val="107069BA"/>
    <w:rsid w:val="10762B40"/>
    <w:rsid w:val="1099323E"/>
    <w:rsid w:val="109B53FF"/>
    <w:rsid w:val="10AA3894"/>
    <w:rsid w:val="10AD4E1F"/>
    <w:rsid w:val="10C8771B"/>
    <w:rsid w:val="10E2584A"/>
    <w:rsid w:val="10F770B9"/>
    <w:rsid w:val="10F9096F"/>
    <w:rsid w:val="11045EE1"/>
    <w:rsid w:val="110C12EC"/>
    <w:rsid w:val="11186A50"/>
    <w:rsid w:val="11275806"/>
    <w:rsid w:val="11456666"/>
    <w:rsid w:val="1152799A"/>
    <w:rsid w:val="11553800"/>
    <w:rsid w:val="115820C3"/>
    <w:rsid w:val="116339D1"/>
    <w:rsid w:val="116972AB"/>
    <w:rsid w:val="1170063A"/>
    <w:rsid w:val="11910B2A"/>
    <w:rsid w:val="11B60016"/>
    <w:rsid w:val="11BD1BAD"/>
    <w:rsid w:val="11C22644"/>
    <w:rsid w:val="11C73FD2"/>
    <w:rsid w:val="11C90F52"/>
    <w:rsid w:val="11D53180"/>
    <w:rsid w:val="11DB182B"/>
    <w:rsid w:val="11EA5F58"/>
    <w:rsid w:val="11F84BB9"/>
    <w:rsid w:val="12144AEB"/>
    <w:rsid w:val="12185560"/>
    <w:rsid w:val="121B783C"/>
    <w:rsid w:val="12213A4B"/>
    <w:rsid w:val="12266F4A"/>
    <w:rsid w:val="122E4051"/>
    <w:rsid w:val="1246013E"/>
    <w:rsid w:val="125A4E46"/>
    <w:rsid w:val="125B775D"/>
    <w:rsid w:val="12656690"/>
    <w:rsid w:val="126D4B79"/>
    <w:rsid w:val="126F08F1"/>
    <w:rsid w:val="12712954"/>
    <w:rsid w:val="127D5172"/>
    <w:rsid w:val="12843C71"/>
    <w:rsid w:val="12872C68"/>
    <w:rsid w:val="1288550F"/>
    <w:rsid w:val="129C457B"/>
    <w:rsid w:val="12A01767"/>
    <w:rsid w:val="12A41E2E"/>
    <w:rsid w:val="12C5502F"/>
    <w:rsid w:val="12CE0BB5"/>
    <w:rsid w:val="12D47F8E"/>
    <w:rsid w:val="12DE2F04"/>
    <w:rsid w:val="12E6250F"/>
    <w:rsid w:val="12EF1689"/>
    <w:rsid w:val="12F80CC7"/>
    <w:rsid w:val="13001549"/>
    <w:rsid w:val="130A1D43"/>
    <w:rsid w:val="1311486C"/>
    <w:rsid w:val="13134ACB"/>
    <w:rsid w:val="13257202"/>
    <w:rsid w:val="132C67E2"/>
    <w:rsid w:val="133308DE"/>
    <w:rsid w:val="13367661"/>
    <w:rsid w:val="133B6A25"/>
    <w:rsid w:val="133E24DD"/>
    <w:rsid w:val="133E63BF"/>
    <w:rsid w:val="135E5661"/>
    <w:rsid w:val="136C36A0"/>
    <w:rsid w:val="13853604"/>
    <w:rsid w:val="138949F9"/>
    <w:rsid w:val="139F4E30"/>
    <w:rsid w:val="139F5206"/>
    <w:rsid w:val="13AC7923"/>
    <w:rsid w:val="140275A9"/>
    <w:rsid w:val="140C37B9"/>
    <w:rsid w:val="14182A2A"/>
    <w:rsid w:val="141F1EA3"/>
    <w:rsid w:val="142E6F34"/>
    <w:rsid w:val="143F0CC5"/>
    <w:rsid w:val="145558C5"/>
    <w:rsid w:val="145E6E6F"/>
    <w:rsid w:val="147D4F92"/>
    <w:rsid w:val="14897C91"/>
    <w:rsid w:val="148A2C9A"/>
    <w:rsid w:val="14AB450A"/>
    <w:rsid w:val="14B35F82"/>
    <w:rsid w:val="14BA1BA8"/>
    <w:rsid w:val="14BC1DE8"/>
    <w:rsid w:val="14BF2D3F"/>
    <w:rsid w:val="14C21E3B"/>
    <w:rsid w:val="14D7452C"/>
    <w:rsid w:val="14E530ED"/>
    <w:rsid w:val="14ED01F3"/>
    <w:rsid w:val="14ED5843"/>
    <w:rsid w:val="15032920"/>
    <w:rsid w:val="151439D2"/>
    <w:rsid w:val="151A411A"/>
    <w:rsid w:val="151B65FC"/>
    <w:rsid w:val="152A4FA3"/>
    <w:rsid w:val="152E409F"/>
    <w:rsid w:val="15314652"/>
    <w:rsid w:val="153328BD"/>
    <w:rsid w:val="153E5E21"/>
    <w:rsid w:val="153F568C"/>
    <w:rsid w:val="15542020"/>
    <w:rsid w:val="15712BD2"/>
    <w:rsid w:val="1582093B"/>
    <w:rsid w:val="158703BA"/>
    <w:rsid w:val="15894CE1"/>
    <w:rsid w:val="158E5532"/>
    <w:rsid w:val="158F3058"/>
    <w:rsid w:val="159863B3"/>
    <w:rsid w:val="159D39C7"/>
    <w:rsid w:val="15CB1E48"/>
    <w:rsid w:val="15D95D65"/>
    <w:rsid w:val="15F66544"/>
    <w:rsid w:val="160C46A9"/>
    <w:rsid w:val="16296B24"/>
    <w:rsid w:val="162E461F"/>
    <w:rsid w:val="162E75CC"/>
    <w:rsid w:val="16306774"/>
    <w:rsid w:val="16314110"/>
    <w:rsid w:val="163C4C29"/>
    <w:rsid w:val="1646419B"/>
    <w:rsid w:val="16465E0D"/>
    <w:rsid w:val="164E6A70"/>
    <w:rsid w:val="165764A9"/>
    <w:rsid w:val="165A3F0C"/>
    <w:rsid w:val="165D428C"/>
    <w:rsid w:val="16714EDD"/>
    <w:rsid w:val="16716242"/>
    <w:rsid w:val="1674502D"/>
    <w:rsid w:val="167E22F8"/>
    <w:rsid w:val="1682657E"/>
    <w:rsid w:val="16827510"/>
    <w:rsid w:val="16931292"/>
    <w:rsid w:val="169C0F78"/>
    <w:rsid w:val="16BB3429"/>
    <w:rsid w:val="16D725CF"/>
    <w:rsid w:val="16D74A36"/>
    <w:rsid w:val="16E573D4"/>
    <w:rsid w:val="16EF70D4"/>
    <w:rsid w:val="16F13FCB"/>
    <w:rsid w:val="16F97785"/>
    <w:rsid w:val="1700420E"/>
    <w:rsid w:val="170A3ED8"/>
    <w:rsid w:val="170D5CC4"/>
    <w:rsid w:val="17215F32"/>
    <w:rsid w:val="172D2B29"/>
    <w:rsid w:val="173E0892"/>
    <w:rsid w:val="175761FF"/>
    <w:rsid w:val="175A569D"/>
    <w:rsid w:val="175C045F"/>
    <w:rsid w:val="177C42CE"/>
    <w:rsid w:val="17956A47"/>
    <w:rsid w:val="17A42169"/>
    <w:rsid w:val="17B62B1E"/>
    <w:rsid w:val="17C52AFB"/>
    <w:rsid w:val="17CC0594"/>
    <w:rsid w:val="17EC02EE"/>
    <w:rsid w:val="17FB2C27"/>
    <w:rsid w:val="18145A0D"/>
    <w:rsid w:val="18185587"/>
    <w:rsid w:val="1862727E"/>
    <w:rsid w:val="18930AC2"/>
    <w:rsid w:val="18B232E6"/>
    <w:rsid w:val="18B31317"/>
    <w:rsid w:val="18CA2B7F"/>
    <w:rsid w:val="18D05E62"/>
    <w:rsid w:val="18D33CA4"/>
    <w:rsid w:val="19000E9A"/>
    <w:rsid w:val="19103042"/>
    <w:rsid w:val="19173A91"/>
    <w:rsid w:val="192166BD"/>
    <w:rsid w:val="192E3215"/>
    <w:rsid w:val="193F3921"/>
    <w:rsid w:val="1960649E"/>
    <w:rsid w:val="196A3BC0"/>
    <w:rsid w:val="196B6713"/>
    <w:rsid w:val="196C5B8A"/>
    <w:rsid w:val="19831DCC"/>
    <w:rsid w:val="198A065A"/>
    <w:rsid w:val="199B6790"/>
    <w:rsid w:val="19A364CF"/>
    <w:rsid w:val="19B4308D"/>
    <w:rsid w:val="19C31523"/>
    <w:rsid w:val="19C33487"/>
    <w:rsid w:val="19C94420"/>
    <w:rsid w:val="19DA2BE1"/>
    <w:rsid w:val="19E05346"/>
    <w:rsid w:val="19FD105D"/>
    <w:rsid w:val="1A02204B"/>
    <w:rsid w:val="1A0C111B"/>
    <w:rsid w:val="1A1136AE"/>
    <w:rsid w:val="1A1520AE"/>
    <w:rsid w:val="1A275223"/>
    <w:rsid w:val="1A2771D6"/>
    <w:rsid w:val="1A331C30"/>
    <w:rsid w:val="1A336C1E"/>
    <w:rsid w:val="1A367F46"/>
    <w:rsid w:val="1A4E5A90"/>
    <w:rsid w:val="1A570B02"/>
    <w:rsid w:val="1A5C123E"/>
    <w:rsid w:val="1A607DD7"/>
    <w:rsid w:val="1A6D284D"/>
    <w:rsid w:val="1A80358B"/>
    <w:rsid w:val="1A8667BD"/>
    <w:rsid w:val="1A8B200C"/>
    <w:rsid w:val="1A956CF1"/>
    <w:rsid w:val="1A9941E3"/>
    <w:rsid w:val="1A9E31DD"/>
    <w:rsid w:val="1A9E44A3"/>
    <w:rsid w:val="1AA141FF"/>
    <w:rsid w:val="1AA17AB6"/>
    <w:rsid w:val="1AA42D85"/>
    <w:rsid w:val="1AAC69B5"/>
    <w:rsid w:val="1AAE7B07"/>
    <w:rsid w:val="1AAF7C6D"/>
    <w:rsid w:val="1ABE0417"/>
    <w:rsid w:val="1AC436A6"/>
    <w:rsid w:val="1ACC581E"/>
    <w:rsid w:val="1AD3193F"/>
    <w:rsid w:val="1AD627EF"/>
    <w:rsid w:val="1AE479A2"/>
    <w:rsid w:val="1AF5570C"/>
    <w:rsid w:val="1AFA6A9C"/>
    <w:rsid w:val="1AFD2812"/>
    <w:rsid w:val="1B131612"/>
    <w:rsid w:val="1B707488"/>
    <w:rsid w:val="1B7A0AA9"/>
    <w:rsid w:val="1B8F4A8D"/>
    <w:rsid w:val="1BA553F0"/>
    <w:rsid w:val="1BAA299A"/>
    <w:rsid w:val="1BAD2058"/>
    <w:rsid w:val="1BB65A6F"/>
    <w:rsid w:val="1BD815BE"/>
    <w:rsid w:val="1BE83F4F"/>
    <w:rsid w:val="1C0302FC"/>
    <w:rsid w:val="1C142509"/>
    <w:rsid w:val="1C1F16EE"/>
    <w:rsid w:val="1C1F6B10"/>
    <w:rsid w:val="1C221F2A"/>
    <w:rsid w:val="1C2344FA"/>
    <w:rsid w:val="1C286643"/>
    <w:rsid w:val="1C69492B"/>
    <w:rsid w:val="1C7A7B16"/>
    <w:rsid w:val="1C7B644A"/>
    <w:rsid w:val="1C7F10E3"/>
    <w:rsid w:val="1C837694"/>
    <w:rsid w:val="1C927A29"/>
    <w:rsid w:val="1C9F39A1"/>
    <w:rsid w:val="1C9F475A"/>
    <w:rsid w:val="1CA308FE"/>
    <w:rsid w:val="1CAC44F0"/>
    <w:rsid w:val="1CCD27DE"/>
    <w:rsid w:val="1CD25DDB"/>
    <w:rsid w:val="1CD81161"/>
    <w:rsid w:val="1CDD0B4D"/>
    <w:rsid w:val="1CE855C9"/>
    <w:rsid w:val="1CE974F2"/>
    <w:rsid w:val="1D061B33"/>
    <w:rsid w:val="1D0924B1"/>
    <w:rsid w:val="1D0B425E"/>
    <w:rsid w:val="1D245888"/>
    <w:rsid w:val="1D3A5FA0"/>
    <w:rsid w:val="1D3F35B6"/>
    <w:rsid w:val="1D444728"/>
    <w:rsid w:val="1D4A3A19"/>
    <w:rsid w:val="1D4A5B59"/>
    <w:rsid w:val="1D50131F"/>
    <w:rsid w:val="1D6645D6"/>
    <w:rsid w:val="1D7023BC"/>
    <w:rsid w:val="1D7F2BF3"/>
    <w:rsid w:val="1D845CE8"/>
    <w:rsid w:val="1D89551A"/>
    <w:rsid w:val="1D8B67FB"/>
    <w:rsid w:val="1DA23326"/>
    <w:rsid w:val="1DAB37E2"/>
    <w:rsid w:val="1DB573D4"/>
    <w:rsid w:val="1DBB1717"/>
    <w:rsid w:val="1DCB2F5B"/>
    <w:rsid w:val="1DDC7057"/>
    <w:rsid w:val="1E0565AE"/>
    <w:rsid w:val="1E1124CF"/>
    <w:rsid w:val="1E192DF2"/>
    <w:rsid w:val="1E1C5753"/>
    <w:rsid w:val="1E1E31CB"/>
    <w:rsid w:val="1E221057"/>
    <w:rsid w:val="1E23318F"/>
    <w:rsid w:val="1E2D4F19"/>
    <w:rsid w:val="1E3C6829"/>
    <w:rsid w:val="1E3F1E9B"/>
    <w:rsid w:val="1E450758"/>
    <w:rsid w:val="1E4918BD"/>
    <w:rsid w:val="1E5D5BA1"/>
    <w:rsid w:val="1E606CD7"/>
    <w:rsid w:val="1E635A1F"/>
    <w:rsid w:val="1E6B7566"/>
    <w:rsid w:val="1E711282"/>
    <w:rsid w:val="1E783EF3"/>
    <w:rsid w:val="1E82375A"/>
    <w:rsid w:val="1E8528CF"/>
    <w:rsid w:val="1E8A0C48"/>
    <w:rsid w:val="1E903CEC"/>
    <w:rsid w:val="1E91399D"/>
    <w:rsid w:val="1E9439C2"/>
    <w:rsid w:val="1E957931"/>
    <w:rsid w:val="1ECE699F"/>
    <w:rsid w:val="1ECE79DD"/>
    <w:rsid w:val="1ED94129"/>
    <w:rsid w:val="1EE77A61"/>
    <w:rsid w:val="1EFD2393"/>
    <w:rsid w:val="1F110314"/>
    <w:rsid w:val="1F170F70"/>
    <w:rsid w:val="1F2C36C6"/>
    <w:rsid w:val="1F2E64B0"/>
    <w:rsid w:val="1F331BA6"/>
    <w:rsid w:val="1F3360E0"/>
    <w:rsid w:val="1F38206B"/>
    <w:rsid w:val="1F3B1407"/>
    <w:rsid w:val="1F404DD2"/>
    <w:rsid w:val="1F500E1F"/>
    <w:rsid w:val="1F5A7246"/>
    <w:rsid w:val="1F5C21FD"/>
    <w:rsid w:val="1F6F3700"/>
    <w:rsid w:val="1F78274B"/>
    <w:rsid w:val="1F7D3F22"/>
    <w:rsid w:val="1F937D4E"/>
    <w:rsid w:val="1F9B1C69"/>
    <w:rsid w:val="1FC72E8E"/>
    <w:rsid w:val="1FD03E69"/>
    <w:rsid w:val="1FD06EA3"/>
    <w:rsid w:val="1FEE56C8"/>
    <w:rsid w:val="1FF044EA"/>
    <w:rsid w:val="1FF74D8F"/>
    <w:rsid w:val="2011123A"/>
    <w:rsid w:val="20142AD8"/>
    <w:rsid w:val="202B4E35"/>
    <w:rsid w:val="2043516B"/>
    <w:rsid w:val="204F1D62"/>
    <w:rsid w:val="204F50E3"/>
    <w:rsid w:val="20740615"/>
    <w:rsid w:val="20791657"/>
    <w:rsid w:val="207E61A3"/>
    <w:rsid w:val="208C3A33"/>
    <w:rsid w:val="20B028B9"/>
    <w:rsid w:val="20B82C45"/>
    <w:rsid w:val="20B83463"/>
    <w:rsid w:val="20C130C2"/>
    <w:rsid w:val="20CC30EE"/>
    <w:rsid w:val="20D47DCE"/>
    <w:rsid w:val="20D51E07"/>
    <w:rsid w:val="20D9164A"/>
    <w:rsid w:val="20DA5073"/>
    <w:rsid w:val="20DA5ACF"/>
    <w:rsid w:val="20E22BD6"/>
    <w:rsid w:val="20F82C6C"/>
    <w:rsid w:val="20FA0A99"/>
    <w:rsid w:val="20FE18B0"/>
    <w:rsid w:val="2107361C"/>
    <w:rsid w:val="210E6EDF"/>
    <w:rsid w:val="211C60E8"/>
    <w:rsid w:val="212925B3"/>
    <w:rsid w:val="212A1E87"/>
    <w:rsid w:val="212E1977"/>
    <w:rsid w:val="213673FE"/>
    <w:rsid w:val="214E5B76"/>
    <w:rsid w:val="215B0293"/>
    <w:rsid w:val="21676E41"/>
    <w:rsid w:val="216D0BA0"/>
    <w:rsid w:val="217537B9"/>
    <w:rsid w:val="2188552B"/>
    <w:rsid w:val="21924322"/>
    <w:rsid w:val="219E4D4F"/>
    <w:rsid w:val="21A13B19"/>
    <w:rsid w:val="21AF0D0A"/>
    <w:rsid w:val="21CC6CC6"/>
    <w:rsid w:val="21D0786F"/>
    <w:rsid w:val="21E408A9"/>
    <w:rsid w:val="21EA6F2F"/>
    <w:rsid w:val="21EC1864"/>
    <w:rsid w:val="21EF3EC7"/>
    <w:rsid w:val="21F204F5"/>
    <w:rsid w:val="21FF50C2"/>
    <w:rsid w:val="220041D9"/>
    <w:rsid w:val="220A5F40"/>
    <w:rsid w:val="220B3CA8"/>
    <w:rsid w:val="22123047"/>
    <w:rsid w:val="22361059"/>
    <w:rsid w:val="2238523E"/>
    <w:rsid w:val="22435553"/>
    <w:rsid w:val="225455D2"/>
    <w:rsid w:val="227331B1"/>
    <w:rsid w:val="22775899"/>
    <w:rsid w:val="227D2BB6"/>
    <w:rsid w:val="22A53EBB"/>
    <w:rsid w:val="22B57049"/>
    <w:rsid w:val="230633CA"/>
    <w:rsid w:val="230C1041"/>
    <w:rsid w:val="230F0CBA"/>
    <w:rsid w:val="23163D80"/>
    <w:rsid w:val="231D7E1D"/>
    <w:rsid w:val="232667AF"/>
    <w:rsid w:val="232C1EE7"/>
    <w:rsid w:val="23494ECF"/>
    <w:rsid w:val="234E4979"/>
    <w:rsid w:val="23542AC1"/>
    <w:rsid w:val="236203FB"/>
    <w:rsid w:val="23645B24"/>
    <w:rsid w:val="236D42CA"/>
    <w:rsid w:val="2374336A"/>
    <w:rsid w:val="237613B4"/>
    <w:rsid w:val="238910E7"/>
    <w:rsid w:val="239A1546"/>
    <w:rsid w:val="23B1211E"/>
    <w:rsid w:val="23D039F6"/>
    <w:rsid w:val="23D20CE0"/>
    <w:rsid w:val="23D51059"/>
    <w:rsid w:val="23DB4530"/>
    <w:rsid w:val="23EB7FF4"/>
    <w:rsid w:val="23F43032"/>
    <w:rsid w:val="23FA133C"/>
    <w:rsid w:val="240B5FA0"/>
    <w:rsid w:val="24100849"/>
    <w:rsid w:val="24116CB2"/>
    <w:rsid w:val="24122984"/>
    <w:rsid w:val="24194B61"/>
    <w:rsid w:val="242F6132"/>
    <w:rsid w:val="24336E73"/>
    <w:rsid w:val="243B6690"/>
    <w:rsid w:val="24477478"/>
    <w:rsid w:val="244839EA"/>
    <w:rsid w:val="244C4E24"/>
    <w:rsid w:val="245C4A4D"/>
    <w:rsid w:val="24635A19"/>
    <w:rsid w:val="24780534"/>
    <w:rsid w:val="2480073C"/>
    <w:rsid w:val="24850BE6"/>
    <w:rsid w:val="24B16B47"/>
    <w:rsid w:val="24D25EE9"/>
    <w:rsid w:val="24D32F62"/>
    <w:rsid w:val="24D40A88"/>
    <w:rsid w:val="24D61CD0"/>
    <w:rsid w:val="24DC16EA"/>
    <w:rsid w:val="24E64719"/>
    <w:rsid w:val="24EE3D24"/>
    <w:rsid w:val="250467D9"/>
    <w:rsid w:val="250A44A9"/>
    <w:rsid w:val="250A5253"/>
    <w:rsid w:val="25122D5D"/>
    <w:rsid w:val="251D3FC0"/>
    <w:rsid w:val="25254322"/>
    <w:rsid w:val="25261647"/>
    <w:rsid w:val="25275183"/>
    <w:rsid w:val="25357D1C"/>
    <w:rsid w:val="25381CE0"/>
    <w:rsid w:val="253B0B07"/>
    <w:rsid w:val="253D2630"/>
    <w:rsid w:val="25467197"/>
    <w:rsid w:val="254774AC"/>
    <w:rsid w:val="255761C5"/>
    <w:rsid w:val="2563762C"/>
    <w:rsid w:val="257007B0"/>
    <w:rsid w:val="257D2ECD"/>
    <w:rsid w:val="25821466"/>
    <w:rsid w:val="25842805"/>
    <w:rsid w:val="25965391"/>
    <w:rsid w:val="25A53853"/>
    <w:rsid w:val="25A6572B"/>
    <w:rsid w:val="25AE3087"/>
    <w:rsid w:val="25AF5988"/>
    <w:rsid w:val="25BC6855"/>
    <w:rsid w:val="25C52C92"/>
    <w:rsid w:val="25EC2454"/>
    <w:rsid w:val="25EE5B79"/>
    <w:rsid w:val="261E6BA2"/>
    <w:rsid w:val="263712CE"/>
    <w:rsid w:val="26385E8A"/>
    <w:rsid w:val="263E265D"/>
    <w:rsid w:val="26607A60"/>
    <w:rsid w:val="266D4CF0"/>
    <w:rsid w:val="26773DC1"/>
    <w:rsid w:val="268931AA"/>
    <w:rsid w:val="269F41B3"/>
    <w:rsid w:val="26A175D1"/>
    <w:rsid w:val="26B90BBD"/>
    <w:rsid w:val="26C443E1"/>
    <w:rsid w:val="26CD1C32"/>
    <w:rsid w:val="26D0702D"/>
    <w:rsid w:val="26DB30B5"/>
    <w:rsid w:val="26DD00C8"/>
    <w:rsid w:val="26DF742E"/>
    <w:rsid w:val="270A253F"/>
    <w:rsid w:val="270C4FC5"/>
    <w:rsid w:val="27127645"/>
    <w:rsid w:val="272301A4"/>
    <w:rsid w:val="27244E5A"/>
    <w:rsid w:val="273121F9"/>
    <w:rsid w:val="27354EC1"/>
    <w:rsid w:val="273B34AE"/>
    <w:rsid w:val="274E0EEF"/>
    <w:rsid w:val="2755492F"/>
    <w:rsid w:val="276F5D75"/>
    <w:rsid w:val="276F6846"/>
    <w:rsid w:val="278D3D61"/>
    <w:rsid w:val="2791112C"/>
    <w:rsid w:val="279679E3"/>
    <w:rsid w:val="27BD1CA7"/>
    <w:rsid w:val="27C313CD"/>
    <w:rsid w:val="27C61578"/>
    <w:rsid w:val="27CB7F20"/>
    <w:rsid w:val="27DB6949"/>
    <w:rsid w:val="27DD762A"/>
    <w:rsid w:val="27ED7B74"/>
    <w:rsid w:val="27F92A22"/>
    <w:rsid w:val="27FB46DA"/>
    <w:rsid w:val="283D6944"/>
    <w:rsid w:val="28427C92"/>
    <w:rsid w:val="28475108"/>
    <w:rsid w:val="284F17D4"/>
    <w:rsid w:val="28575047"/>
    <w:rsid w:val="288307FB"/>
    <w:rsid w:val="288376B0"/>
    <w:rsid w:val="288E20B9"/>
    <w:rsid w:val="28B62261"/>
    <w:rsid w:val="28E61013"/>
    <w:rsid w:val="28F12CF2"/>
    <w:rsid w:val="28F827CB"/>
    <w:rsid w:val="28F90ABD"/>
    <w:rsid w:val="28FB2A87"/>
    <w:rsid w:val="29143B49"/>
    <w:rsid w:val="29290B96"/>
    <w:rsid w:val="292B0388"/>
    <w:rsid w:val="292E2EDE"/>
    <w:rsid w:val="293F5790"/>
    <w:rsid w:val="29512576"/>
    <w:rsid w:val="29514455"/>
    <w:rsid w:val="29591B52"/>
    <w:rsid w:val="29593727"/>
    <w:rsid w:val="296070AC"/>
    <w:rsid w:val="29696464"/>
    <w:rsid w:val="297445E7"/>
    <w:rsid w:val="297F67EF"/>
    <w:rsid w:val="298C36DF"/>
    <w:rsid w:val="299010C2"/>
    <w:rsid w:val="299041AF"/>
    <w:rsid w:val="29997556"/>
    <w:rsid w:val="29AD4EDD"/>
    <w:rsid w:val="29CC761E"/>
    <w:rsid w:val="29DE0E87"/>
    <w:rsid w:val="29E05449"/>
    <w:rsid w:val="29EE3795"/>
    <w:rsid w:val="29F13DA9"/>
    <w:rsid w:val="2A056A4F"/>
    <w:rsid w:val="2A390B59"/>
    <w:rsid w:val="2A3E73D9"/>
    <w:rsid w:val="2A502A30"/>
    <w:rsid w:val="2A502FEB"/>
    <w:rsid w:val="2A596352"/>
    <w:rsid w:val="2A83594F"/>
    <w:rsid w:val="2A8B37C2"/>
    <w:rsid w:val="2AB71864"/>
    <w:rsid w:val="2ABA427C"/>
    <w:rsid w:val="2AD551AF"/>
    <w:rsid w:val="2AD9612A"/>
    <w:rsid w:val="2AE24705"/>
    <w:rsid w:val="2AF23A16"/>
    <w:rsid w:val="2AF75AE0"/>
    <w:rsid w:val="2AF91248"/>
    <w:rsid w:val="2B0100FD"/>
    <w:rsid w:val="2B081734"/>
    <w:rsid w:val="2B09317D"/>
    <w:rsid w:val="2B116592"/>
    <w:rsid w:val="2B181536"/>
    <w:rsid w:val="2B2C6BA2"/>
    <w:rsid w:val="2B341EF0"/>
    <w:rsid w:val="2B3D4992"/>
    <w:rsid w:val="2B3D7387"/>
    <w:rsid w:val="2B5B15BB"/>
    <w:rsid w:val="2B634FBD"/>
    <w:rsid w:val="2B764647"/>
    <w:rsid w:val="2B830CED"/>
    <w:rsid w:val="2B842931"/>
    <w:rsid w:val="2B842DE8"/>
    <w:rsid w:val="2B8815F9"/>
    <w:rsid w:val="2B8F1669"/>
    <w:rsid w:val="2B960AC3"/>
    <w:rsid w:val="2B9C3BC7"/>
    <w:rsid w:val="2BA75E7D"/>
    <w:rsid w:val="2BAE2033"/>
    <w:rsid w:val="2BBD4024"/>
    <w:rsid w:val="2BCA6741"/>
    <w:rsid w:val="2BDD1F05"/>
    <w:rsid w:val="2BDF043E"/>
    <w:rsid w:val="2BEE68D3"/>
    <w:rsid w:val="2C091017"/>
    <w:rsid w:val="2C181352"/>
    <w:rsid w:val="2C210A56"/>
    <w:rsid w:val="2C22657D"/>
    <w:rsid w:val="2C2E0D4E"/>
    <w:rsid w:val="2C2E1BA9"/>
    <w:rsid w:val="2C31056E"/>
    <w:rsid w:val="2C493B09"/>
    <w:rsid w:val="2C5A7AC4"/>
    <w:rsid w:val="2C66290D"/>
    <w:rsid w:val="2C703257"/>
    <w:rsid w:val="2C710EE2"/>
    <w:rsid w:val="2C797E8C"/>
    <w:rsid w:val="2C895EB5"/>
    <w:rsid w:val="2C981092"/>
    <w:rsid w:val="2C9D3A89"/>
    <w:rsid w:val="2CB2345D"/>
    <w:rsid w:val="2CB92402"/>
    <w:rsid w:val="2CEC5E40"/>
    <w:rsid w:val="2D0B6A5D"/>
    <w:rsid w:val="2D123224"/>
    <w:rsid w:val="2D2D1B91"/>
    <w:rsid w:val="2D455999"/>
    <w:rsid w:val="2D4C0AA8"/>
    <w:rsid w:val="2D560DCD"/>
    <w:rsid w:val="2D8A7EAC"/>
    <w:rsid w:val="2DA326E8"/>
    <w:rsid w:val="2DBB27E5"/>
    <w:rsid w:val="2DC1265E"/>
    <w:rsid w:val="2DCC46A5"/>
    <w:rsid w:val="2DEA3ADD"/>
    <w:rsid w:val="2DEC6E42"/>
    <w:rsid w:val="2E060D0E"/>
    <w:rsid w:val="2E0C4DEE"/>
    <w:rsid w:val="2E144526"/>
    <w:rsid w:val="2E1562CD"/>
    <w:rsid w:val="2E2111E7"/>
    <w:rsid w:val="2E230AA6"/>
    <w:rsid w:val="2E262354"/>
    <w:rsid w:val="2E2843FB"/>
    <w:rsid w:val="2E294772"/>
    <w:rsid w:val="2E2E799A"/>
    <w:rsid w:val="2E3063D5"/>
    <w:rsid w:val="2E336C50"/>
    <w:rsid w:val="2E400F3C"/>
    <w:rsid w:val="2E4B2482"/>
    <w:rsid w:val="2E57625B"/>
    <w:rsid w:val="2E5B0E2E"/>
    <w:rsid w:val="2E6279C6"/>
    <w:rsid w:val="2E635A59"/>
    <w:rsid w:val="2EAA5F11"/>
    <w:rsid w:val="2EB72AA3"/>
    <w:rsid w:val="2EC733AD"/>
    <w:rsid w:val="2ECB4CA9"/>
    <w:rsid w:val="2EE45D6B"/>
    <w:rsid w:val="2EEE2BA1"/>
    <w:rsid w:val="2EFE507F"/>
    <w:rsid w:val="2EFF2BA5"/>
    <w:rsid w:val="2F0C4C23"/>
    <w:rsid w:val="2F1C5505"/>
    <w:rsid w:val="2F394689"/>
    <w:rsid w:val="2F3B0811"/>
    <w:rsid w:val="2F594288"/>
    <w:rsid w:val="2F6110DD"/>
    <w:rsid w:val="2F62059B"/>
    <w:rsid w:val="2F66436B"/>
    <w:rsid w:val="2F6856D6"/>
    <w:rsid w:val="2F843AFF"/>
    <w:rsid w:val="2F856F8B"/>
    <w:rsid w:val="2F987F32"/>
    <w:rsid w:val="2FA86D99"/>
    <w:rsid w:val="2FAD5F0B"/>
    <w:rsid w:val="2FB120F1"/>
    <w:rsid w:val="2FBE78D3"/>
    <w:rsid w:val="2FC736C3"/>
    <w:rsid w:val="2FCD3757"/>
    <w:rsid w:val="2FDB0F1C"/>
    <w:rsid w:val="2FDE27BA"/>
    <w:rsid w:val="2FE74BAE"/>
    <w:rsid w:val="2FF540FA"/>
    <w:rsid w:val="2FF54C06"/>
    <w:rsid w:val="2FFE2E5D"/>
    <w:rsid w:val="30003A4C"/>
    <w:rsid w:val="30030473"/>
    <w:rsid w:val="30146793"/>
    <w:rsid w:val="30147BBD"/>
    <w:rsid w:val="301B7CA8"/>
    <w:rsid w:val="30466CDD"/>
    <w:rsid w:val="305731A1"/>
    <w:rsid w:val="306F0A59"/>
    <w:rsid w:val="3082680F"/>
    <w:rsid w:val="309243C0"/>
    <w:rsid w:val="309E140D"/>
    <w:rsid w:val="30A457B2"/>
    <w:rsid w:val="30AD45FE"/>
    <w:rsid w:val="30B52A83"/>
    <w:rsid w:val="30C9346B"/>
    <w:rsid w:val="30C95EA8"/>
    <w:rsid w:val="30E7256B"/>
    <w:rsid w:val="31012C04"/>
    <w:rsid w:val="310668FC"/>
    <w:rsid w:val="310E70CF"/>
    <w:rsid w:val="31327262"/>
    <w:rsid w:val="31375948"/>
    <w:rsid w:val="313F4FFA"/>
    <w:rsid w:val="31402948"/>
    <w:rsid w:val="314760EE"/>
    <w:rsid w:val="315076E8"/>
    <w:rsid w:val="315A745C"/>
    <w:rsid w:val="315B61CA"/>
    <w:rsid w:val="31634B42"/>
    <w:rsid w:val="317319DE"/>
    <w:rsid w:val="319A665C"/>
    <w:rsid w:val="31A72A29"/>
    <w:rsid w:val="31AD2471"/>
    <w:rsid w:val="31AD7BE9"/>
    <w:rsid w:val="31B50B0C"/>
    <w:rsid w:val="31C07AE8"/>
    <w:rsid w:val="31C75008"/>
    <w:rsid w:val="31D50D66"/>
    <w:rsid w:val="31DA4405"/>
    <w:rsid w:val="31DB16A7"/>
    <w:rsid w:val="31F2450F"/>
    <w:rsid w:val="32087FC3"/>
    <w:rsid w:val="32143204"/>
    <w:rsid w:val="32186458"/>
    <w:rsid w:val="321E77E6"/>
    <w:rsid w:val="321F3CD8"/>
    <w:rsid w:val="32236288"/>
    <w:rsid w:val="322D1335"/>
    <w:rsid w:val="3260443B"/>
    <w:rsid w:val="32672F3B"/>
    <w:rsid w:val="32676A97"/>
    <w:rsid w:val="327A1535"/>
    <w:rsid w:val="327F76D8"/>
    <w:rsid w:val="32851613"/>
    <w:rsid w:val="3288246C"/>
    <w:rsid w:val="32926B0B"/>
    <w:rsid w:val="32A63A63"/>
    <w:rsid w:val="32A95302"/>
    <w:rsid w:val="32AF0265"/>
    <w:rsid w:val="32BE5501"/>
    <w:rsid w:val="32D47F84"/>
    <w:rsid w:val="32D87995"/>
    <w:rsid w:val="32D92CDB"/>
    <w:rsid w:val="32DB1C5F"/>
    <w:rsid w:val="32EA681C"/>
    <w:rsid w:val="32EC5C70"/>
    <w:rsid w:val="32EE1841"/>
    <w:rsid w:val="32FF4F22"/>
    <w:rsid w:val="33014A95"/>
    <w:rsid w:val="33022C64"/>
    <w:rsid w:val="3308789D"/>
    <w:rsid w:val="33095DA0"/>
    <w:rsid w:val="331462D9"/>
    <w:rsid w:val="331A61FF"/>
    <w:rsid w:val="332B3F69"/>
    <w:rsid w:val="332C69B5"/>
    <w:rsid w:val="3341340F"/>
    <w:rsid w:val="33460345"/>
    <w:rsid w:val="33514C1C"/>
    <w:rsid w:val="33580FD6"/>
    <w:rsid w:val="335C57D6"/>
    <w:rsid w:val="33812D41"/>
    <w:rsid w:val="33835B53"/>
    <w:rsid w:val="33941B0E"/>
    <w:rsid w:val="33B51A84"/>
    <w:rsid w:val="33B55D30"/>
    <w:rsid w:val="33C42EFC"/>
    <w:rsid w:val="33C61EE3"/>
    <w:rsid w:val="33CC5059"/>
    <w:rsid w:val="33D72BA4"/>
    <w:rsid w:val="33E915F3"/>
    <w:rsid w:val="33F14E3F"/>
    <w:rsid w:val="33F43719"/>
    <w:rsid w:val="33FE6037"/>
    <w:rsid w:val="34002C60"/>
    <w:rsid w:val="34224B16"/>
    <w:rsid w:val="343017E0"/>
    <w:rsid w:val="344057F2"/>
    <w:rsid w:val="34470F4D"/>
    <w:rsid w:val="344D7F0F"/>
    <w:rsid w:val="3458039D"/>
    <w:rsid w:val="34593FB8"/>
    <w:rsid w:val="345A3198"/>
    <w:rsid w:val="34757B91"/>
    <w:rsid w:val="34790259"/>
    <w:rsid w:val="347D07F4"/>
    <w:rsid w:val="347E1FD2"/>
    <w:rsid w:val="34833825"/>
    <w:rsid w:val="348558FB"/>
    <w:rsid w:val="3490711A"/>
    <w:rsid w:val="34A246FE"/>
    <w:rsid w:val="34AE2A73"/>
    <w:rsid w:val="34BD32E6"/>
    <w:rsid w:val="34C40D15"/>
    <w:rsid w:val="34CD748C"/>
    <w:rsid w:val="34DB5183"/>
    <w:rsid w:val="34DC3ECC"/>
    <w:rsid w:val="34E24AFB"/>
    <w:rsid w:val="350902DA"/>
    <w:rsid w:val="35132F06"/>
    <w:rsid w:val="35144DC0"/>
    <w:rsid w:val="3518051D"/>
    <w:rsid w:val="352132DA"/>
    <w:rsid w:val="354D5B85"/>
    <w:rsid w:val="35707279"/>
    <w:rsid w:val="3578720D"/>
    <w:rsid w:val="357D4824"/>
    <w:rsid w:val="358160C2"/>
    <w:rsid w:val="35A27F45"/>
    <w:rsid w:val="35AD1CD3"/>
    <w:rsid w:val="35AF0108"/>
    <w:rsid w:val="35B12CA3"/>
    <w:rsid w:val="35D346B8"/>
    <w:rsid w:val="35F13CF7"/>
    <w:rsid w:val="36120683"/>
    <w:rsid w:val="361909F0"/>
    <w:rsid w:val="36294A38"/>
    <w:rsid w:val="362A49AB"/>
    <w:rsid w:val="362B3081"/>
    <w:rsid w:val="36326BC5"/>
    <w:rsid w:val="36402219"/>
    <w:rsid w:val="36407D2B"/>
    <w:rsid w:val="3649562D"/>
    <w:rsid w:val="36631BE4"/>
    <w:rsid w:val="36747A1D"/>
    <w:rsid w:val="36792EB9"/>
    <w:rsid w:val="367D0F7F"/>
    <w:rsid w:val="368A5F83"/>
    <w:rsid w:val="368D6C58"/>
    <w:rsid w:val="36C4095C"/>
    <w:rsid w:val="36D64360"/>
    <w:rsid w:val="36E515F1"/>
    <w:rsid w:val="36E82F71"/>
    <w:rsid w:val="36E903C3"/>
    <w:rsid w:val="370944C7"/>
    <w:rsid w:val="370C7B03"/>
    <w:rsid w:val="37214898"/>
    <w:rsid w:val="37255FFD"/>
    <w:rsid w:val="37323B03"/>
    <w:rsid w:val="374019EB"/>
    <w:rsid w:val="3747333B"/>
    <w:rsid w:val="37494B6F"/>
    <w:rsid w:val="374A4436"/>
    <w:rsid w:val="374A6F7B"/>
    <w:rsid w:val="374C6AA7"/>
    <w:rsid w:val="374E2388"/>
    <w:rsid w:val="375430B6"/>
    <w:rsid w:val="3776710C"/>
    <w:rsid w:val="379540A7"/>
    <w:rsid w:val="379C34DB"/>
    <w:rsid w:val="37A662B4"/>
    <w:rsid w:val="37AC319E"/>
    <w:rsid w:val="37C96CE5"/>
    <w:rsid w:val="37CA566B"/>
    <w:rsid w:val="37D2672A"/>
    <w:rsid w:val="37D3697D"/>
    <w:rsid w:val="37E172EC"/>
    <w:rsid w:val="37E623B5"/>
    <w:rsid w:val="37E82428"/>
    <w:rsid w:val="37E87724"/>
    <w:rsid w:val="37F222D9"/>
    <w:rsid w:val="37FA50C2"/>
    <w:rsid w:val="38003798"/>
    <w:rsid w:val="380803DD"/>
    <w:rsid w:val="380D40C9"/>
    <w:rsid w:val="380E46BF"/>
    <w:rsid w:val="38170F5F"/>
    <w:rsid w:val="38194CD8"/>
    <w:rsid w:val="38292433"/>
    <w:rsid w:val="38313807"/>
    <w:rsid w:val="383832E4"/>
    <w:rsid w:val="38412DA1"/>
    <w:rsid w:val="384A512D"/>
    <w:rsid w:val="3853724F"/>
    <w:rsid w:val="386341A5"/>
    <w:rsid w:val="387A2D4D"/>
    <w:rsid w:val="389A08FE"/>
    <w:rsid w:val="38A241A6"/>
    <w:rsid w:val="38A464F9"/>
    <w:rsid w:val="38A528A2"/>
    <w:rsid w:val="38A677FE"/>
    <w:rsid w:val="38B14F10"/>
    <w:rsid w:val="38D4441C"/>
    <w:rsid w:val="38E52E0C"/>
    <w:rsid w:val="38FA30DF"/>
    <w:rsid w:val="39046EC4"/>
    <w:rsid w:val="390908A8"/>
    <w:rsid w:val="391060DB"/>
    <w:rsid w:val="391B25BA"/>
    <w:rsid w:val="393B2A2C"/>
    <w:rsid w:val="39462F2A"/>
    <w:rsid w:val="394F0285"/>
    <w:rsid w:val="3954386D"/>
    <w:rsid w:val="39564958"/>
    <w:rsid w:val="395A201B"/>
    <w:rsid w:val="395D6E46"/>
    <w:rsid w:val="396C150B"/>
    <w:rsid w:val="39730417"/>
    <w:rsid w:val="399D7242"/>
    <w:rsid w:val="39A15CD6"/>
    <w:rsid w:val="39AF6EAD"/>
    <w:rsid w:val="39B17496"/>
    <w:rsid w:val="39B506F2"/>
    <w:rsid w:val="39C03197"/>
    <w:rsid w:val="39C66799"/>
    <w:rsid w:val="39E03482"/>
    <w:rsid w:val="3A021CB9"/>
    <w:rsid w:val="3A082F84"/>
    <w:rsid w:val="3A234D7B"/>
    <w:rsid w:val="3A3A1AE8"/>
    <w:rsid w:val="3A3B7187"/>
    <w:rsid w:val="3A4A73CA"/>
    <w:rsid w:val="3A667F7C"/>
    <w:rsid w:val="3A726921"/>
    <w:rsid w:val="3A7D53E1"/>
    <w:rsid w:val="3A87079F"/>
    <w:rsid w:val="3A8E29D3"/>
    <w:rsid w:val="3A903883"/>
    <w:rsid w:val="3A9E3272"/>
    <w:rsid w:val="3AA50161"/>
    <w:rsid w:val="3AC0143A"/>
    <w:rsid w:val="3AD249E7"/>
    <w:rsid w:val="3ADF3C25"/>
    <w:rsid w:val="3AE11DE1"/>
    <w:rsid w:val="3AE16E49"/>
    <w:rsid w:val="3AFA0DF0"/>
    <w:rsid w:val="3B0F5F1E"/>
    <w:rsid w:val="3B1039F4"/>
    <w:rsid w:val="3B217306"/>
    <w:rsid w:val="3B293484"/>
    <w:rsid w:val="3B2F1426"/>
    <w:rsid w:val="3B433CCB"/>
    <w:rsid w:val="3B4A3779"/>
    <w:rsid w:val="3B5953EB"/>
    <w:rsid w:val="3B69348E"/>
    <w:rsid w:val="3B7874E6"/>
    <w:rsid w:val="3B7B4311"/>
    <w:rsid w:val="3B92543E"/>
    <w:rsid w:val="3B997AE8"/>
    <w:rsid w:val="3B9A4359"/>
    <w:rsid w:val="3B9D79CE"/>
    <w:rsid w:val="3BAB20EB"/>
    <w:rsid w:val="3BAC1821"/>
    <w:rsid w:val="3BAC5E63"/>
    <w:rsid w:val="3BAC628D"/>
    <w:rsid w:val="3BC60A9D"/>
    <w:rsid w:val="3BD11DBB"/>
    <w:rsid w:val="3BD81646"/>
    <w:rsid w:val="3BE164EA"/>
    <w:rsid w:val="3BE81FCD"/>
    <w:rsid w:val="3BEA0701"/>
    <w:rsid w:val="3BEE28FF"/>
    <w:rsid w:val="3BF61B6B"/>
    <w:rsid w:val="3BFC64A2"/>
    <w:rsid w:val="3C0B0DDB"/>
    <w:rsid w:val="3C4877ED"/>
    <w:rsid w:val="3C4B1FA8"/>
    <w:rsid w:val="3C547B47"/>
    <w:rsid w:val="3C5A58BF"/>
    <w:rsid w:val="3C5B37E7"/>
    <w:rsid w:val="3C6127A9"/>
    <w:rsid w:val="3C636171"/>
    <w:rsid w:val="3C664263"/>
    <w:rsid w:val="3C706B34"/>
    <w:rsid w:val="3C8674DF"/>
    <w:rsid w:val="3C911248"/>
    <w:rsid w:val="3C9A5CBB"/>
    <w:rsid w:val="3CA479E0"/>
    <w:rsid w:val="3CBD3289"/>
    <w:rsid w:val="3CC243E3"/>
    <w:rsid w:val="3CCC214C"/>
    <w:rsid w:val="3CD147A4"/>
    <w:rsid w:val="3CD66855"/>
    <w:rsid w:val="3CDA6FAE"/>
    <w:rsid w:val="3CDF60CE"/>
    <w:rsid w:val="3CF85FDC"/>
    <w:rsid w:val="3CF93E6F"/>
    <w:rsid w:val="3D0329CE"/>
    <w:rsid w:val="3D134DE8"/>
    <w:rsid w:val="3D3A30E3"/>
    <w:rsid w:val="3D424389"/>
    <w:rsid w:val="3D504798"/>
    <w:rsid w:val="3D5B0736"/>
    <w:rsid w:val="3D5C0760"/>
    <w:rsid w:val="3D5E3B4D"/>
    <w:rsid w:val="3D63018E"/>
    <w:rsid w:val="3D6407A3"/>
    <w:rsid w:val="3DAE5EC2"/>
    <w:rsid w:val="3DB95AEB"/>
    <w:rsid w:val="3DBC024A"/>
    <w:rsid w:val="3DCF659A"/>
    <w:rsid w:val="3DD96D0B"/>
    <w:rsid w:val="3DEC0798"/>
    <w:rsid w:val="3DEC564C"/>
    <w:rsid w:val="3DEE5BAB"/>
    <w:rsid w:val="3DFD4AF1"/>
    <w:rsid w:val="3E1D4AF4"/>
    <w:rsid w:val="3E1E6276"/>
    <w:rsid w:val="3E276F6E"/>
    <w:rsid w:val="3E4B4094"/>
    <w:rsid w:val="3E4D4B98"/>
    <w:rsid w:val="3E636451"/>
    <w:rsid w:val="3E69030B"/>
    <w:rsid w:val="3E6F5651"/>
    <w:rsid w:val="3E8D3D29"/>
    <w:rsid w:val="3E95498C"/>
    <w:rsid w:val="3EBA2645"/>
    <w:rsid w:val="3ED63527"/>
    <w:rsid w:val="3ED67B55"/>
    <w:rsid w:val="3EE70C7C"/>
    <w:rsid w:val="3EEF6C51"/>
    <w:rsid w:val="3EF74D33"/>
    <w:rsid w:val="3F057D64"/>
    <w:rsid w:val="3F075CC4"/>
    <w:rsid w:val="3F0D6C18"/>
    <w:rsid w:val="3F187CFD"/>
    <w:rsid w:val="3F21712E"/>
    <w:rsid w:val="3F275F2C"/>
    <w:rsid w:val="3F285DF0"/>
    <w:rsid w:val="3F2C29E1"/>
    <w:rsid w:val="3F384C10"/>
    <w:rsid w:val="3F5A28C3"/>
    <w:rsid w:val="3F740A45"/>
    <w:rsid w:val="3F8E5733"/>
    <w:rsid w:val="3FA163F2"/>
    <w:rsid w:val="3FA4757D"/>
    <w:rsid w:val="3FA5067B"/>
    <w:rsid w:val="3FAA3C10"/>
    <w:rsid w:val="3FB43DF9"/>
    <w:rsid w:val="3FD3204B"/>
    <w:rsid w:val="3FDB4706"/>
    <w:rsid w:val="3FF51B86"/>
    <w:rsid w:val="3FFD6C8D"/>
    <w:rsid w:val="4010076E"/>
    <w:rsid w:val="40193A36"/>
    <w:rsid w:val="40204729"/>
    <w:rsid w:val="404011A2"/>
    <w:rsid w:val="40402FA6"/>
    <w:rsid w:val="40584539"/>
    <w:rsid w:val="405D1A2A"/>
    <w:rsid w:val="40612D9E"/>
    <w:rsid w:val="40635A95"/>
    <w:rsid w:val="40782251"/>
    <w:rsid w:val="408A2001"/>
    <w:rsid w:val="40A23968"/>
    <w:rsid w:val="40B445FE"/>
    <w:rsid w:val="40BA4B7E"/>
    <w:rsid w:val="40C55EA8"/>
    <w:rsid w:val="40C61775"/>
    <w:rsid w:val="40CF687B"/>
    <w:rsid w:val="40DB409D"/>
    <w:rsid w:val="40E35B04"/>
    <w:rsid w:val="40E972DF"/>
    <w:rsid w:val="40ED136E"/>
    <w:rsid w:val="40F24F08"/>
    <w:rsid w:val="41076FBE"/>
    <w:rsid w:val="41126768"/>
    <w:rsid w:val="411E6EBB"/>
    <w:rsid w:val="412160C9"/>
    <w:rsid w:val="41250249"/>
    <w:rsid w:val="412D5718"/>
    <w:rsid w:val="41480E16"/>
    <w:rsid w:val="414B08D8"/>
    <w:rsid w:val="414C2E08"/>
    <w:rsid w:val="414F3F68"/>
    <w:rsid w:val="41582082"/>
    <w:rsid w:val="41821212"/>
    <w:rsid w:val="41872CB2"/>
    <w:rsid w:val="41874A60"/>
    <w:rsid w:val="41AE1418"/>
    <w:rsid w:val="41BA6D64"/>
    <w:rsid w:val="41BE544A"/>
    <w:rsid w:val="41C4132E"/>
    <w:rsid w:val="41D35EF7"/>
    <w:rsid w:val="41DA7286"/>
    <w:rsid w:val="41FD4053"/>
    <w:rsid w:val="42063A3A"/>
    <w:rsid w:val="4214405D"/>
    <w:rsid w:val="42171D70"/>
    <w:rsid w:val="42183589"/>
    <w:rsid w:val="42341E97"/>
    <w:rsid w:val="42376E3B"/>
    <w:rsid w:val="42613503"/>
    <w:rsid w:val="42755200"/>
    <w:rsid w:val="427721CF"/>
    <w:rsid w:val="428627B5"/>
    <w:rsid w:val="429A0F55"/>
    <w:rsid w:val="42A31D6D"/>
    <w:rsid w:val="42AC6B19"/>
    <w:rsid w:val="42B20202"/>
    <w:rsid w:val="42B67CE3"/>
    <w:rsid w:val="42BB7663"/>
    <w:rsid w:val="42C700D1"/>
    <w:rsid w:val="42CB0D1B"/>
    <w:rsid w:val="42CB7EE2"/>
    <w:rsid w:val="42F779C3"/>
    <w:rsid w:val="430D110E"/>
    <w:rsid w:val="430D368B"/>
    <w:rsid w:val="431E02ED"/>
    <w:rsid w:val="433E55F2"/>
    <w:rsid w:val="4355293C"/>
    <w:rsid w:val="43827BD5"/>
    <w:rsid w:val="438356FB"/>
    <w:rsid w:val="438374A9"/>
    <w:rsid w:val="438C7FE1"/>
    <w:rsid w:val="43994DD7"/>
    <w:rsid w:val="439B2D87"/>
    <w:rsid w:val="43A53412"/>
    <w:rsid w:val="43AC3ED1"/>
    <w:rsid w:val="43BE41CB"/>
    <w:rsid w:val="43F16B09"/>
    <w:rsid w:val="43F202D8"/>
    <w:rsid w:val="43F45BD0"/>
    <w:rsid w:val="43FB478E"/>
    <w:rsid w:val="43FC6D22"/>
    <w:rsid w:val="440873F8"/>
    <w:rsid w:val="441049B7"/>
    <w:rsid w:val="4411001F"/>
    <w:rsid w:val="44112439"/>
    <w:rsid w:val="44142073"/>
    <w:rsid w:val="44204C51"/>
    <w:rsid w:val="44301B45"/>
    <w:rsid w:val="443C78D0"/>
    <w:rsid w:val="443F3F3E"/>
    <w:rsid w:val="44555450"/>
    <w:rsid w:val="445D7297"/>
    <w:rsid w:val="446403A9"/>
    <w:rsid w:val="446A1915"/>
    <w:rsid w:val="44790B63"/>
    <w:rsid w:val="4491109A"/>
    <w:rsid w:val="449C1238"/>
    <w:rsid w:val="449F0024"/>
    <w:rsid w:val="449F5E85"/>
    <w:rsid w:val="44A1052F"/>
    <w:rsid w:val="44B10EA1"/>
    <w:rsid w:val="44B53FC2"/>
    <w:rsid w:val="44B546FA"/>
    <w:rsid w:val="44BF2CE3"/>
    <w:rsid w:val="44C13F54"/>
    <w:rsid w:val="44C401EC"/>
    <w:rsid w:val="44D83825"/>
    <w:rsid w:val="44E14D9A"/>
    <w:rsid w:val="44E16B7D"/>
    <w:rsid w:val="44EC452F"/>
    <w:rsid w:val="44FC597B"/>
    <w:rsid w:val="451707F1"/>
    <w:rsid w:val="451A1577"/>
    <w:rsid w:val="451E70F3"/>
    <w:rsid w:val="452901CE"/>
    <w:rsid w:val="453E08E3"/>
    <w:rsid w:val="45500BC7"/>
    <w:rsid w:val="456078ED"/>
    <w:rsid w:val="456F753C"/>
    <w:rsid w:val="45AA3413"/>
    <w:rsid w:val="45C30031"/>
    <w:rsid w:val="45C53E45"/>
    <w:rsid w:val="45D43FEC"/>
    <w:rsid w:val="45D60368"/>
    <w:rsid w:val="46001285"/>
    <w:rsid w:val="46050649"/>
    <w:rsid w:val="462211FB"/>
    <w:rsid w:val="462417D4"/>
    <w:rsid w:val="462E5DF2"/>
    <w:rsid w:val="463A4797"/>
    <w:rsid w:val="463C5F52"/>
    <w:rsid w:val="46431172"/>
    <w:rsid w:val="464521E7"/>
    <w:rsid w:val="46455732"/>
    <w:rsid w:val="46495120"/>
    <w:rsid w:val="466B19C4"/>
    <w:rsid w:val="467D4684"/>
    <w:rsid w:val="468269BA"/>
    <w:rsid w:val="46AB281B"/>
    <w:rsid w:val="46B67B95"/>
    <w:rsid w:val="46C329DE"/>
    <w:rsid w:val="46C97C75"/>
    <w:rsid w:val="46D00C57"/>
    <w:rsid w:val="46D6477E"/>
    <w:rsid w:val="46E94D27"/>
    <w:rsid w:val="46EF27ED"/>
    <w:rsid w:val="46EF355C"/>
    <w:rsid w:val="471274C2"/>
    <w:rsid w:val="47233BB3"/>
    <w:rsid w:val="472657A6"/>
    <w:rsid w:val="47304C90"/>
    <w:rsid w:val="473110DC"/>
    <w:rsid w:val="473F3908"/>
    <w:rsid w:val="47406A95"/>
    <w:rsid w:val="474C71FC"/>
    <w:rsid w:val="474D6260"/>
    <w:rsid w:val="4754581B"/>
    <w:rsid w:val="47625A6E"/>
    <w:rsid w:val="47644DAE"/>
    <w:rsid w:val="4779309D"/>
    <w:rsid w:val="477F442B"/>
    <w:rsid w:val="478A7058"/>
    <w:rsid w:val="478C6CF3"/>
    <w:rsid w:val="479202CF"/>
    <w:rsid w:val="47925F0D"/>
    <w:rsid w:val="47946129"/>
    <w:rsid w:val="47963FF7"/>
    <w:rsid w:val="47A3636C"/>
    <w:rsid w:val="47A85096"/>
    <w:rsid w:val="47AD0D2F"/>
    <w:rsid w:val="47AF44AD"/>
    <w:rsid w:val="47AF4D11"/>
    <w:rsid w:val="47C75C4C"/>
    <w:rsid w:val="47CD0DEC"/>
    <w:rsid w:val="47CD5197"/>
    <w:rsid w:val="47D112E0"/>
    <w:rsid w:val="47F00E85"/>
    <w:rsid w:val="48041AAC"/>
    <w:rsid w:val="480D3A23"/>
    <w:rsid w:val="483A0C1F"/>
    <w:rsid w:val="4846741F"/>
    <w:rsid w:val="484D0086"/>
    <w:rsid w:val="484E4529"/>
    <w:rsid w:val="485C55E7"/>
    <w:rsid w:val="485C7379"/>
    <w:rsid w:val="487D4E0F"/>
    <w:rsid w:val="48954542"/>
    <w:rsid w:val="489C48EF"/>
    <w:rsid w:val="48AB372A"/>
    <w:rsid w:val="48B06F92"/>
    <w:rsid w:val="48D72771"/>
    <w:rsid w:val="48DA7B6B"/>
    <w:rsid w:val="48E54B66"/>
    <w:rsid w:val="48F01FB9"/>
    <w:rsid w:val="49173469"/>
    <w:rsid w:val="49175151"/>
    <w:rsid w:val="492872E4"/>
    <w:rsid w:val="493A64EB"/>
    <w:rsid w:val="4941669C"/>
    <w:rsid w:val="4949284A"/>
    <w:rsid w:val="494B6C4D"/>
    <w:rsid w:val="4958156F"/>
    <w:rsid w:val="496C2214"/>
    <w:rsid w:val="496D5E51"/>
    <w:rsid w:val="496D6036"/>
    <w:rsid w:val="496D7ED3"/>
    <w:rsid w:val="49790663"/>
    <w:rsid w:val="49861160"/>
    <w:rsid w:val="49883A05"/>
    <w:rsid w:val="49933A5A"/>
    <w:rsid w:val="49A14359"/>
    <w:rsid w:val="49AF10F0"/>
    <w:rsid w:val="49B74940"/>
    <w:rsid w:val="49C03205"/>
    <w:rsid w:val="49C11CF5"/>
    <w:rsid w:val="49C2084A"/>
    <w:rsid w:val="49C660D4"/>
    <w:rsid w:val="49D16BE6"/>
    <w:rsid w:val="49FD12F9"/>
    <w:rsid w:val="49FE5F91"/>
    <w:rsid w:val="4A026F25"/>
    <w:rsid w:val="4A0E4BFD"/>
    <w:rsid w:val="4A1A5506"/>
    <w:rsid w:val="4A1C041F"/>
    <w:rsid w:val="4A372155"/>
    <w:rsid w:val="4A3749D0"/>
    <w:rsid w:val="4A3D7280"/>
    <w:rsid w:val="4A553B36"/>
    <w:rsid w:val="4A5A2744"/>
    <w:rsid w:val="4A626327"/>
    <w:rsid w:val="4A6726BA"/>
    <w:rsid w:val="4A783AE0"/>
    <w:rsid w:val="4A8A6B0D"/>
    <w:rsid w:val="4A8F7AF1"/>
    <w:rsid w:val="4AA448D5"/>
    <w:rsid w:val="4ACC7988"/>
    <w:rsid w:val="4AD877C8"/>
    <w:rsid w:val="4AE271AB"/>
    <w:rsid w:val="4AE65A17"/>
    <w:rsid w:val="4AEA67B3"/>
    <w:rsid w:val="4B2E0642"/>
    <w:rsid w:val="4B3B7A64"/>
    <w:rsid w:val="4B4900AE"/>
    <w:rsid w:val="4B6021EA"/>
    <w:rsid w:val="4B6B0F4E"/>
    <w:rsid w:val="4B6F679E"/>
    <w:rsid w:val="4B83273C"/>
    <w:rsid w:val="4BAB6674"/>
    <w:rsid w:val="4BB5666E"/>
    <w:rsid w:val="4BB906DD"/>
    <w:rsid w:val="4BEB6533"/>
    <w:rsid w:val="4BFB0C29"/>
    <w:rsid w:val="4BFF74B1"/>
    <w:rsid w:val="4C0263CE"/>
    <w:rsid w:val="4C0473C6"/>
    <w:rsid w:val="4C2537F3"/>
    <w:rsid w:val="4C2555A1"/>
    <w:rsid w:val="4C266086"/>
    <w:rsid w:val="4C3618DB"/>
    <w:rsid w:val="4C4F0AB3"/>
    <w:rsid w:val="4C531C47"/>
    <w:rsid w:val="4C586FC6"/>
    <w:rsid w:val="4C5D0796"/>
    <w:rsid w:val="4C6360FE"/>
    <w:rsid w:val="4C72455F"/>
    <w:rsid w:val="4C793B3F"/>
    <w:rsid w:val="4C8E75EA"/>
    <w:rsid w:val="4C9C194B"/>
    <w:rsid w:val="4CC15AE1"/>
    <w:rsid w:val="4CC35BEB"/>
    <w:rsid w:val="4CCF60BD"/>
    <w:rsid w:val="4CD02929"/>
    <w:rsid w:val="4CD370C7"/>
    <w:rsid w:val="4CDE5035"/>
    <w:rsid w:val="4CE41265"/>
    <w:rsid w:val="4CEE4C2A"/>
    <w:rsid w:val="4D103667"/>
    <w:rsid w:val="4D185106"/>
    <w:rsid w:val="4D1A59F9"/>
    <w:rsid w:val="4D363E53"/>
    <w:rsid w:val="4D3701CB"/>
    <w:rsid w:val="4D386DDA"/>
    <w:rsid w:val="4D4B7AFC"/>
    <w:rsid w:val="4D715F84"/>
    <w:rsid w:val="4D7851EB"/>
    <w:rsid w:val="4D8F6A66"/>
    <w:rsid w:val="4D9229C5"/>
    <w:rsid w:val="4D930C30"/>
    <w:rsid w:val="4D953FDE"/>
    <w:rsid w:val="4D9B543E"/>
    <w:rsid w:val="4D9C7AE5"/>
    <w:rsid w:val="4D9E1AAF"/>
    <w:rsid w:val="4DA501AA"/>
    <w:rsid w:val="4DAA3EA7"/>
    <w:rsid w:val="4DB4344C"/>
    <w:rsid w:val="4DB51455"/>
    <w:rsid w:val="4DC62FE4"/>
    <w:rsid w:val="4DC8250B"/>
    <w:rsid w:val="4DE3710F"/>
    <w:rsid w:val="4DED4BFE"/>
    <w:rsid w:val="4DEE61D1"/>
    <w:rsid w:val="4E0005F3"/>
    <w:rsid w:val="4E005F07"/>
    <w:rsid w:val="4E0B6496"/>
    <w:rsid w:val="4E0E6509"/>
    <w:rsid w:val="4E186966"/>
    <w:rsid w:val="4E3F2CAA"/>
    <w:rsid w:val="4E4854B2"/>
    <w:rsid w:val="4E5263F6"/>
    <w:rsid w:val="4E6951D8"/>
    <w:rsid w:val="4E74636C"/>
    <w:rsid w:val="4E78439B"/>
    <w:rsid w:val="4E7B1363"/>
    <w:rsid w:val="4E8A3DE2"/>
    <w:rsid w:val="4ED65CB0"/>
    <w:rsid w:val="4EE84443"/>
    <w:rsid w:val="4F0352F3"/>
    <w:rsid w:val="4F135B85"/>
    <w:rsid w:val="4F2D30F6"/>
    <w:rsid w:val="4F2D4EEE"/>
    <w:rsid w:val="4F3F2683"/>
    <w:rsid w:val="4F58517B"/>
    <w:rsid w:val="4F5E5D57"/>
    <w:rsid w:val="4F5F526E"/>
    <w:rsid w:val="4F664600"/>
    <w:rsid w:val="4F6C109F"/>
    <w:rsid w:val="4F7A20A8"/>
    <w:rsid w:val="4F846A83"/>
    <w:rsid w:val="4F8847C5"/>
    <w:rsid w:val="4F90367A"/>
    <w:rsid w:val="4F98252E"/>
    <w:rsid w:val="4F993C1F"/>
    <w:rsid w:val="4F9A241D"/>
    <w:rsid w:val="4FA52839"/>
    <w:rsid w:val="4FA60096"/>
    <w:rsid w:val="4FA831D2"/>
    <w:rsid w:val="4FB6798D"/>
    <w:rsid w:val="4FBC575D"/>
    <w:rsid w:val="4FC1120E"/>
    <w:rsid w:val="4FCF5F48"/>
    <w:rsid w:val="4FD77F76"/>
    <w:rsid w:val="4FDC68BF"/>
    <w:rsid w:val="50165391"/>
    <w:rsid w:val="501A73E7"/>
    <w:rsid w:val="501D4EFB"/>
    <w:rsid w:val="502D711A"/>
    <w:rsid w:val="503469BD"/>
    <w:rsid w:val="503844DC"/>
    <w:rsid w:val="504E0E81"/>
    <w:rsid w:val="5057648D"/>
    <w:rsid w:val="505B18D4"/>
    <w:rsid w:val="50621059"/>
    <w:rsid w:val="507028FD"/>
    <w:rsid w:val="508A5DF4"/>
    <w:rsid w:val="50940F47"/>
    <w:rsid w:val="50970A38"/>
    <w:rsid w:val="509C1BAA"/>
    <w:rsid w:val="50A8054F"/>
    <w:rsid w:val="50A820D4"/>
    <w:rsid w:val="50AD422D"/>
    <w:rsid w:val="50AD4A4F"/>
    <w:rsid w:val="50D37CC2"/>
    <w:rsid w:val="50D57015"/>
    <w:rsid w:val="50E84DEF"/>
    <w:rsid w:val="50F56EA0"/>
    <w:rsid w:val="5107796B"/>
    <w:rsid w:val="5108607B"/>
    <w:rsid w:val="51171918"/>
    <w:rsid w:val="511B41EA"/>
    <w:rsid w:val="51241F2C"/>
    <w:rsid w:val="512C73D2"/>
    <w:rsid w:val="512C7ED2"/>
    <w:rsid w:val="51450494"/>
    <w:rsid w:val="5148134E"/>
    <w:rsid w:val="51510BE7"/>
    <w:rsid w:val="5164091A"/>
    <w:rsid w:val="51677F27"/>
    <w:rsid w:val="518F170F"/>
    <w:rsid w:val="51A056CA"/>
    <w:rsid w:val="51A451BA"/>
    <w:rsid w:val="51B80BAA"/>
    <w:rsid w:val="51BF28E4"/>
    <w:rsid w:val="51C1288B"/>
    <w:rsid w:val="51DC2283"/>
    <w:rsid w:val="51E34ACA"/>
    <w:rsid w:val="51E657D3"/>
    <w:rsid w:val="51EA1F0C"/>
    <w:rsid w:val="51FB798D"/>
    <w:rsid w:val="51FC4FF6"/>
    <w:rsid w:val="52081B54"/>
    <w:rsid w:val="520B6FE7"/>
    <w:rsid w:val="522B58DB"/>
    <w:rsid w:val="52393E48"/>
    <w:rsid w:val="52477F24"/>
    <w:rsid w:val="524B7D2C"/>
    <w:rsid w:val="52501DAB"/>
    <w:rsid w:val="5256651E"/>
    <w:rsid w:val="52691BE6"/>
    <w:rsid w:val="526B23B2"/>
    <w:rsid w:val="52730B44"/>
    <w:rsid w:val="52733A71"/>
    <w:rsid w:val="5277467D"/>
    <w:rsid w:val="529C0587"/>
    <w:rsid w:val="52A5743C"/>
    <w:rsid w:val="52AE4870"/>
    <w:rsid w:val="52B66E3F"/>
    <w:rsid w:val="52BD5936"/>
    <w:rsid w:val="52C378C2"/>
    <w:rsid w:val="52C7501B"/>
    <w:rsid w:val="52C8137C"/>
    <w:rsid w:val="52C86D86"/>
    <w:rsid w:val="52D27B05"/>
    <w:rsid w:val="52E53CDC"/>
    <w:rsid w:val="52E73435"/>
    <w:rsid w:val="52EF6909"/>
    <w:rsid w:val="52F56F98"/>
    <w:rsid w:val="531E2D4A"/>
    <w:rsid w:val="533802B0"/>
    <w:rsid w:val="5349426B"/>
    <w:rsid w:val="53570DD0"/>
    <w:rsid w:val="535C7948"/>
    <w:rsid w:val="53605111"/>
    <w:rsid w:val="53626210"/>
    <w:rsid w:val="536C61AC"/>
    <w:rsid w:val="53764934"/>
    <w:rsid w:val="5376752B"/>
    <w:rsid w:val="537979E1"/>
    <w:rsid w:val="53861A20"/>
    <w:rsid w:val="538816E0"/>
    <w:rsid w:val="53BD18F1"/>
    <w:rsid w:val="53D8114B"/>
    <w:rsid w:val="53E04DBD"/>
    <w:rsid w:val="53EF674A"/>
    <w:rsid w:val="53F669EB"/>
    <w:rsid w:val="54041F40"/>
    <w:rsid w:val="54172B75"/>
    <w:rsid w:val="541A68A8"/>
    <w:rsid w:val="5420228D"/>
    <w:rsid w:val="54322F51"/>
    <w:rsid w:val="543D1818"/>
    <w:rsid w:val="544B3EE9"/>
    <w:rsid w:val="546538BA"/>
    <w:rsid w:val="5468108F"/>
    <w:rsid w:val="54756AF5"/>
    <w:rsid w:val="5483555B"/>
    <w:rsid w:val="548A4B3B"/>
    <w:rsid w:val="548B71EB"/>
    <w:rsid w:val="549A6186"/>
    <w:rsid w:val="549F69EF"/>
    <w:rsid w:val="54CB0CB0"/>
    <w:rsid w:val="54E0475B"/>
    <w:rsid w:val="54EA6C0E"/>
    <w:rsid w:val="54F372B3"/>
    <w:rsid w:val="5503044A"/>
    <w:rsid w:val="55201C9C"/>
    <w:rsid w:val="5523208A"/>
    <w:rsid w:val="552F56E3"/>
    <w:rsid w:val="5549554B"/>
    <w:rsid w:val="554D1A31"/>
    <w:rsid w:val="55684751"/>
    <w:rsid w:val="55782BA3"/>
    <w:rsid w:val="5592206E"/>
    <w:rsid w:val="55A27C63"/>
    <w:rsid w:val="55BB0D24"/>
    <w:rsid w:val="55C776C9"/>
    <w:rsid w:val="55DB2EFA"/>
    <w:rsid w:val="55DD6540"/>
    <w:rsid w:val="55E737FF"/>
    <w:rsid w:val="55E93AE3"/>
    <w:rsid w:val="55EB238D"/>
    <w:rsid w:val="55ED4109"/>
    <w:rsid w:val="55F87E98"/>
    <w:rsid w:val="561B1CE0"/>
    <w:rsid w:val="562B4FD7"/>
    <w:rsid w:val="563A7E9B"/>
    <w:rsid w:val="56586573"/>
    <w:rsid w:val="56725887"/>
    <w:rsid w:val="568B419B"/>
    <w:rsid w:val="569752EE"/>
    <w:rsid w:val="569F23F4"/>
    <w:rsid w:val="56AA5F28"/>
    <w:rsid w:val="56B506F1"/>
    <w:rsid w:val="56B7303F"/>
    <w:rsid w:val="56B934B6"/>
    <w:rsid w:val="56BC09FD"/>
    <w:rsid w:val="56D02B61"/>
    <w:rsid w:val="56D71B8E"/>
    <w:rsid w:val="56DF6C95"/>
    <w:rsid w:val="57165E73"/>
    <w:rsid w:val="57305C46"/>
    <w:rsid w:val="57394A4D"/>
    <w:rsid w:val="57435475"/>
    <w:rsid w:val="57547004"/>
    <w:rsid w:val="5758495A"/>
    <w:rsid w:val="575C2093"/>
    <w:rsid w:val="57631EDC"/>
    <w:rsid w:val="576D3C31"/>
    <w:rsid w:val="576F0018"/>
    <w:rsid w:val="57725AAD"/>
    <w:rsid w:val="5774562F"/>
    <w:rsid w:val="578F06BB"/>
    <w:rsid w:val="579857A6"/>
    <w:rsid w:val="579F74A6"/>
    <w:rsid w:val="57A36349"/>
    <w:rsid w:val="57A70D03"/>
    <w:rsid w:val="57AC4DC9"/>
    <w:rsid w:val="57B44CCE"/>
    <w:rsid w:val="57C514C8"/>
    <w:rsid w:val="57C71C02"/>
    <w:rsid w:val="57D45CF1"/>
    <w:rsid w:val="57E74DAE"/>
    <w:rsid w:val="57F13854"/>
    <w:rsid w:val="580520C8"/>
    <w:rsid w:val="580B3421"/>
    <w:rsid w:val="58187D01"/>
    <w:rsid w:val="584315C4"/>
    <w:rsid w:val="5846239B"/>
    <w:rsid w:val="586E207E"/>
    <w:rsid w:val="586E3461"/>
    <w:rsid w:val="586E7274"/>
    <w:rsid w:val="588A02D8"/>
    <w:rsid w:val="5891087F"/>
    <w:rsid w:val="589D0BB5"/>
    <w:rsid w:val="58BA45A1"/>
    <w:rsid w:val="58C12EE1"/>
    <w:rsid w:val="58D864B6"/>
    <w:rsid w:val="58DA784C"/>
    <w:rsid w:val="58DE5456"/>
    <w:rsid w:val="58EB2245"/>
    <w:rsid w:val="59027CDF"/>
    <w:rsid w:val="590649AC"/>
    <w:rsid w:val="59161F59"/>
    <w:rsid w:val="591744C4"/>
    <w:rsid w:val="592E0EF6"/>
    <w:rsid w:val="594204CF"/>
    <w:rsid w:val="594A2AEB"/>
    <w:rsid w:val="5951357A"/>
    <w:rsid w:val="59544BDF"/>
    <w:rsid w:val="597B2CA5"/>
    <w:rsid w:val="59811737"/>
    <w:rsid w:val="59854011"/>
    <w:rsid w:val="599223FD"/>
    <w:rsid w:val="59941601"/>
    <w:rsid w:val="59965D30"/>
    <w:rsid w:val="59A117BD"/>
    <w:rsid w:val="59B03041"/>
    <w:rsid w:val="59BA45FA"/>
    <w:rsid w:val="59C33F06"/>
    <w:rsid w:val="59C962AE"/>
    <w:rsid w:val="59D10B16"/>
    <w:rsid w:val="59D625D1"/>
    <w:rsid w:val="5A0738B3"/>
    <w:rsid w:val="5A1223DE"/>
    <w:rsid w:val="5A126AC9"/>
    <w:rsid w:val="5A20479B"/>
    <w:rsid w:val="5A47527D"/>
    <w:rsid w:val="5A594B8D"/>
    <w:rsid w:val="5A690A9C"/>
    <w:rsid w:val="5A7B0A82"/>
    <w:rsid w:val="5A8E36CC"/>
    <w:rsid w:val="5AAC3332"/>
    <w:rsid w:val="5ABF5916"/>
    <w:rsid w:val="5AC3781F"/>
    <w:rsid w:val="5AC90A7E"/>
    <w:rsid w:val="5AD71A00"/>
    <w:rsid w:val="5ADF1BC9"/>
    <w:rsid w:val="5AE76118"/>
    <w:rsid w:val="5B1B1714"/>
    <w:rsid w:val="5B242EC8"/>
    <w:rsid w:val="5B280C0A"/>
    <w:rsid w:val="5B2C65A4"/>
    <w:rsid w:val="5B3E6680"/>
    <w:rsid w:val="5B413A7A"/>
    <w:rsid w:val="5B4325A2"/>
    <w:rsid w:val="5B4672E2"/>
    <w:rsid w:val="5B4E481E"/>
    <w:rsid w:val="5B601CC1"/>
    <w:rsid w:val="5B6234AA"/>
    <w:rsid w:val="5B6854AA"/>
    <w:rsid w:val="5B813346"/>
    <w:rsid w:val="5B871DD5"/>
    <w:rsid w:val="5B9F6DE2"/>
    <w:rsid w:val="5BA265DE"/>
    <w:rsid w:val="5BA46CE2"/>
    <w:rsid w:val="5BB95E08"/>
    <w:rsid w:val="5BBA0393"/>
    <w:rsid w:val="5BCE7981"/>
    <w:rsid w:val="5BD41136"/>
    <w:rsid w:val="5BD54692"/>
    <w:rsid w:val="5BD7618C"/>
    <w:rsid w:val="5BD92F2A"/>
    <w:rsid w:val="5BE32D83"/>
    <w:rsid w:val="5BEA4FCD"/>
    <w:rsid w:val="5BEC1C38"/>
    <w:rsid w:val="5BF84A80"/>
    <w:rsid w:val="5BFA4B6A"/>
    <w:rsid w:val="5C003935"/>
    <w:rsid w:val="5C043425"/>
    <w:rsid w:val="5C124BEB"/>
    <w:rsid w:val="5C1F498A"/>
    <w:rsid w:val="5C25339C"/>
    <w:rsid w:val="5C380531"/>
    <w:rsid w:val="5C4B3416"/>
    <w:rsid w:val="5C4D0F4D"/>
    <w:rsid w:val="5C4F1B7F"/>
    <w:rsid w:val="5C4F21C6"/>
    <w:rsid w:val="5C504241"/>
    <w:rsid w:val="5C6550CC"/>
    <w:rsid w:val="5C7731D7"/>
    <w:rsid w:val="5C826B51"/>
    <w:rsid w:val="5C93136F"/>
    <w:rsid w:val="5C957AE8"/>
    <w:rsid w:val="5CA61CCA"/>
    <w:rsid w:val="5CA61FE4"/>
    <w:rsid w:val="5CA67A5D"/>
    <w:rsid w:val="5CAA564F"/>
    <w:rsid w:val="5CAC7619"/>
    <w:rsid w:val="5CB526EE"/>
    <w:rsid w:val="5CC31B3E"/>
    <w:rsid w:val="5CC67A06"/>
    <w:rsid w:val="5CD718AB"/>
    <w:rsid w:val="5CDD125B"/>
    <w:rsid w:val="5CF039A9"/>
    <w:rsid w:val="5D131446"/>
    <w:rsid w:val="5D1551BE"/>
    <w:rsid w:val="5D213E13"/>
    <w:rsid w:val="5D301FF8"/>
    <w:rsid w:val="5D3543FB"/>
    <w:rsid w:val="5D3A69D3"/>
    <w:rsid w:val="5D3D7B55"/>
    <w:rsid w:val="5D4D4B67"/>
    <w:rsid w:val="5D692B4A"/>
    <w:rsid w:val="5D6E1FD6"/>
    <w:rsid w:val="5D760DFE"/>
    <w:rsid w:val="5D972077"/>
    <w:rsid w:val="5DA87DE0"/>
    <w:rsid w:val="5DAB1143"/>
    <w:rsid w:val="5DB17D02"/>
    <w:rsid w:val="5DC0337C"/>
    <w:rsid w:val="5DCF2503"/>
    <w:rsid w:val="5DD43000"/>
    <w:rsid w:val="5DD619A0"/>
    <w:rsid w:val="5DD97B2E"/>
    <w:rsid w:val="5DE33377"/>
    <w:rsid w:val="5DE52DE2"/>
    <w:rsid w:val="5E183CFF"/>
    <w:rsid w:val="5E1E394A"/>
    <w:rsid w:val="5E2B7EEF"/>
    <w:rsid w:val="5E2C0A11"/>
    <w:rsid w:val="5E2E1600"/>
    <w:rsid w:val="5E416216"/>
    <w:rsid w:val="5E4C10B3"/>
    <w:rsid w:val="5E50072C"/>
    <w:rsid w:val="5E52616B"/>
    <w:rsid w:val="5E6623EB"/>
    <w:rsid w:val="5E67417C"/>
    <w:rsid w:val="5E6B1C04"/>
    <w:rsid w:val="5E6C3504"/>
    <w:rsid w:val="5E8048B9"/>
    <w:rsid w:val="5E912F6A"/>
    <w:rsid w:val="5E914D18"/>
    <w:rsid w:val="5E9345EC"/>
    <w:rsid w:val="5E946DA5"/>
    <w:rsid w:val="5E961741"/>
    <w:rsid w:val="5E9B254F"/>
    <w:rsid w:val="5EA05BE0"/>
    <w:rsid w:val="5EAE7678"/>
    <w:rsid w:val="5EBA601D"/>
    <w:rsid w:val="5ED94EE3"/>
    <w:rsid w:val="5EE673AD"/>
    <w:rsid w:val="5EF05EE3"/>
    <w:rsid w:val="5F0B4ACB"/>
    <w:rsid w:val="5F100333"/>
    <w:rsid w:val="5F3176B9"/>
    <w:rsid w:val="5F4B7B56"/>
    <w:rsid w:val="5F5046EA"/>
    <w:rsid w:val="5F5F0972"/>
    <w:rsid w:val="5F6441ED"/>
    <w:rsid w:val="5F6661A5"/>
    <w:rsid w:val="5F6A6AC8"/>
    <w:rsid w:val="5F6F6A29"/>
    <w:rsid w:val="5F84250C"/>
    <w:rsid w:val="5F866EC2"/>
    <w:rsid w:val="5F875EC9"/>
    <w:rsid w:val="5F920EC8"/>
    <w:rsid w:val="5F9A5E4E"/>
    <w:rsid w:val="5F9E1348"/>
    <w:rsid w:val="5FA12D39"/>
    <w:rsid w:val="5FAA42E4"/>
    <w:rsid w:val="5FAC4886"/>
    <w:rsid w:val="5FB66D02"/>
    <w:rsid w:val="5FC058B5"/>
    <w:rsid w:val="5FC41398"/>
    <w:rsid w:val="5FE311ED"/>
    <w:rsid w:val="5FE42E7C"/>
    <w:rsid w:val="5FEC48FC"/>
    <w:rsid w:val="5FF2749D"/>
    <w:rsid w:val="5FF87C5D"/>
    <w:rsid w:val="600315B6"/>
    <w:rsid w:val="600E3B45"/>
    <w:rsid w:val="60273055"/>
    <w:rsid w:val="603242D9"/>
    <w:rsid w:val="60522285"/>
    <w:rsid w:val="605C5A30"/>
    <w:rsid w:val="607D63DF"/>
    <w:rsid w:val="60A3539C"/>
    <w:rsid w:val="60AE7E03"/>
    <w:rsid w:val="60B149D0"/>
    <w:rsid w:val="60B70030"/>
    <w:rsid w:val="60C627BB"/>
    <w:rsid w:val="60C90799"/>
    <w:rsid w:val="60D443A1"/>
    <w:rsid w:val="60DC2CC3"/>
    <w:rsid w:val="60DD7D2A"/>
    <w:rsid w:val="60E21853"/>
    <w:rsid w:val="61366D54"/>
    <w:rsid w:val="613720DD"/>
    <w:rsid w:val="613979C7"/>
    <w:rsid w:val="614E6EF1"/>
    <w:rsid w:val="615755BD"/>
    <w:rsid w:val="615D2A65"/>
    <w:rsid w:val="61613BEB"/>
    <w:rsid w:val="61693D2A"/>
    <w:rsid w:val="61796574"/>
    <w:rsid w:val="61880654"/>
    <w:rsid w:val="6189617B"/>
    <w:rsid w:val="619E4563"/>
    <w:rsid w:val="619F63A8"/>
    <w:rsid w:val="61CD6067"/>
    <w:rsid w:val="61DD059C"/>
    <w:rsid w:val="61E06BEB"/>
    <w:rsid w:val="61FB44F2"/>
    <w:rsid w:val="62026A91"/>
    <w:rsid w:val="62086C73"/>
    <w:rsid w:val="624060C2"/>
    <w:rsid w:val="625941A1"/>
    <w:rsid w:val="625C0D21"/>
    <w:rsid w:val="62671448"/>
    <w:rsid w:val="62726C0F"/>
    <w:rsid w:val="628110AA"/>
    <w:rsid w:val="62875A90"/>
    <w:rsid w:val="629047BC"/>
    <w:rsid w:val="629762BF"/>
    <w:rsid w:val="62B13E15"/>
    <w:rsid w:val="62B56ACB"/>
    <w:rsid w:val="62C30852"/>
    <w:rsid w:val="62E61DA2"/>
    <w:rsid w:val="62EC0759"/>
    <w:rsid w:val="62FA0C93"/>
    <w:rsid w:val="62FD472A"/>
    <w:rsid w:val="63065CD5"/>
    <w:rsid w:val="631421D2"/>
    <w:rsid w:val="633012F7"/>
    <w:rsid w:val="6333416A"/>
    <w:rsid w:val="63414F5F"/>
    <w:rsid w:val="636C0637"/>
    <w:rsid w:val="63AA7892"/>
    <w:rsid w:val="63AB062A"/>
    <w:rsid w:val="63C65464"/>
    <w:rsid w:val="63D11CD0"/>
    <w:rsid w:val="63D60D6D"/>
    <w:rsid w:val="63DA0F0F"/>
    <w:rsid w:val="63DC4C88"/>
    <w:rsid w:val="63FE1B1D"/>
    <w:rsid w:val="64083EBA"/>
    <w:rsid w:val="640A6B8A"/>
    <w:rsid w:val="641B5F97"/>
    <w:rsid w:val="64243F39"/>
    <w:rsid w:val="64262637"/>
    <w:rsid w:val="643423CE"/>
    <w:rsid w:val="64430863"/>
    <w:rsid w:val="64441708"/>
    <w:rsid w:val="644B2E9F"/>
    <w:rsid w:val="646107A2"/>
    <w:rsid w:val="6469042C"/>
    <w:rsid w:val="647944D1"/>
    <w:rsid w:val="647D7FBC"/>
    <w:rsid w:val="64802D6E"/>
    <w:rsid w:val="64805613"/>
    <w:rsid w:val="648A0240"/>
    <w:rsid w:val="64AD2B0F"/>
    <w:rsid w:val="64B11C70"/>
    <w:rsid w:val="64BD5DA3"/>
    <w:rsid w:val="64C67161"/>
    <w:rsid w:val="64E42046"/>
    <w:rsid w:val="64EA5182"/>
    <w:rsid w:val="64EC297E"/>
    <w:rsid w:val="64F102BF"/>
    <w:rsid w:val="64FE364A"/>
    <w:rsid w:val="650D2C1F"/>
    <w:rsid w:val="65123962"/>
    <w:rsid w:val="65337EC4"/>
    <w:rsid w:val="654B7228"/>
    <w:rsid w:val="654D7C2E"/>
    <w:rsid w:val="65505F7C"/>
    <w:rsid w:val="6593581A"/>
    <w:rsid w:val="65C200D8"/>
    <w:rsid w:val="65C41297"/>
    <w:rsid w:val="65C60E87"/>
    <w:rsid w:val="65CF5000"/>
    <w:rsid w:val="65D969F1"/>
    <w:rsid w:val="65F468C3"/>
    <w:rsid w:val="66081D64"/>
    <w:rsid w:val="660B53B0"/>
    <w:rsid w:val="661669E2"/>
    <w:rsid w:val="661B76D3"/>
    <w:rsid w:val="662B74D0"/>
    <w:rsid w:val="662D3578"/>
    <w:rsid w:val="663533F6"/>
    <w:rsid w:val="663F14FE"/>
    <w:rsid w:val="663F7253"/>
    <w:rsid w:val="66415147"/>
    <w:rsid w:val="664D7777"/>
    <w:rsid w:val="667529CC"/>
    <w:rsid w:val="66763171"/>
    <w:rsid w:val="667D51BE"/>
    <w:rsid w:val="667E6793"/>
    <w:rsid w:val="66860EDB"/>
    <w:rsid w:val="669C0748"/>
    <w:rsid w:val="66A51361"/>
    <w:rsid w:val="66A80E51"/>
    <w:rsid w:val="66A8260B"/>
    <w:rsid w:val="66AB3962"/>
    <w:rsid w:val="66C12C09"/>
    <w:rsid w:val="66C15989"/>
    <w:rsid w:val="66C739CD"/>
    <w:rsid w:val="66C814F3"/>
    <w:rsid w:val="66DE6A20"/>
    <w:rsid w:val="66E6060C"/>
    <w:rsid w:val="66EB050D"/>
    <w:rsid w:val="67055E1B"/>
    <w:rsid w:val="672277D6"/>
    <w:rsid w:val="67290209"/>
    <w:rsid w:val="67290ACE"/>
    <w:rsid w:val="672F50CE"/>
    <w:rsid w:val="67307EB3"/>
    <w:rsid w:val="67355406"/>
    <w:rsid w:val="6739040E"/>
    <w:rsid w:val="674E60A1"/>
    <w:rsid w:val="675D60DF"/>
    <w:rsid w:val="676129D2"/>
    <w:rsid w:val="676378A7"/>
    <w:rsid w:val="67644C59"/>
    <w:rsid w:val="677B490E"/>
    <w:rsid w:val="677B7C35"/>
    <w:rsid w:val="6785559A"/>
    <w:rsid w:val="678673E4"/>
    <w:rsid w:val="678A6C8A"/>
    <w:rsid w:val="67955879"/>
    <w:rsid w:val="67B5271A"/>
    <w:rsid w:val="67B57CC9"/>
    <w:rsid w:val="67C021CA"/>
    <w:rsid w:val="67E916C6"/>
    <w:rsid w:val="67E934CF"/>
    <w:rsid w:val="67EC408F"/>
    <w:rsid w:val="67FE19E3"/>
    <w:rsid w:val="68071BA7"/>
    <w:rsid w:val="68076A48"/>
    <w:rsid w:val="68106CAE"/>
    <w:rsid w:val="68125890"/>
    <w:rsid w:val="682E5386"/>
    <w:rsid w:val="683A1C10"/>
    <w:rsid w:val="683B4874"/>
    <w:rsid w:val="683F7593"/>
    <w:rsid w:val="684352D5"/>
    <w:rsid w:val="684A6664"/>
    <w:rsid w:val="684F3C7A"/>
    <w:rsid w:val="68A67612"/>
    <w:rsid w:val="68AE414D"/>
    <w:rsid w:val="68C6767F"/>
    <w:rsid w:val="68C81889"/>
    <w:rsid w:val="68E424F2"/>
    <w:rsid w:val="68EB171F"/>
    <w:rsid w:val="68F12C01"/>
    <w:rsid w:val="68FA6539"/>
    <w:rsid w:val="69045669"/>
    <w:rsid w:val="69061428"/>
    <w:rsid w:val="690F3409"/>
    <w:rsid w:val="6927078B"/>
    <w:rsid w:val="69286279"/>
    <w:rsid w:val="693F5EA4"/>
    <w:rsid w:val="69460607"/>
    <w:rsid w:val="694858F0"/>
    <w:rsid w:val="69550BFB"/>
    <w:rsid w:val="696A6B29"/>
    <w:rsid w:val="696E0A9A"/>
    <w:rsid w:val="69715E72"/>
    <w:rsid w:val="69750E21"/>
    <w:rsid w:val="6985687C"/>
    <w:rsid w:val="699851AD"/>
    <w:rsid w:val="69A048BD"/>
    <w:rsid w:val="69A71034"/>
    <w:rsid w:val="69A83492"/>
    <w:rsid w:val="69A9560C"/>
    <w:rsid w:val="69C27B02"/>
    <w:rsid w:val="69C91F97"/>
    <w:rsid w:val="69E623BC"/>
    <w:rsid w:val="69ED6F02"/>
    <w:rsid w:val="69EE7223"/>
    <w:rsid w:val="69FD14B4"/>
    <w:rsid w:val="6A056DDC"/>
    <w:rsid w:val="6A057393"/>
    <w:rsid w:val="6A0E1913"/>
    <w:rsid w:val="6A143694"/>
    <w:rsid w:val="6A1C0949"/>
    <w:rsid w:val="6A1E0A41"/>
    <w:rsid w:val="6A2E3F76"/>
    <w:rsid w:val="6A2E73C3"/>
    <w:rsid w:val="6A472B4C"/>
    <w:rsid w:val="6A570A63"/>
    <w:rsid w:val="6A63210D"/>
    <w:rsid w:val="6A8120E5"/>
    <w:rsid w:val="6A987C6F"/>
    <w:rsid w:val="6AAA1DFE"/>
    <w:rsid w:val="6AAF79FF"/>
    <w:rsid w:val="6AC00E5F"/>
    <w:rsid w:val="6AC306AA"/>
    <w:rsid w:val="6AC33F7B"/>
    <w:rsid w:val="6AC60616"/>
    <w:rsid w:val="6AC87871"/>
    <w:rsid w:val="6AD26369"/>
    <w:rsid w:val="6AD959DC"/>
    <w:rsid w:val="6AEB19C5"/>
    <w:rsid w:val="6AF40B09"/>
    <w:rsid w:val="6B193F82"/>
    <w:rsid w:val="6B3453A9"/>
    <w:rsid w:val="6B39476E"/>
    <w:rsid w:val="6B450D39"/>
    <w:rsid w:val="6B4A1FF9"/>
    <w:rsid w:val="6B592AF9"/>
    <w:rsid w:val="6B5C2732"/>
    <w:rsid w:val="6B633598"/>
    <w:rsid w:val="6B7E44A8"/>
    <w:rsid w:val="6B802B7B"/>
    <w:rsid w:val="6B851761"/>
    <w:rsid w:val="6B9D2F4E"/>
    <w:rsid w:val="6BA22313"/>
    <w:rsid w:val="6BAF67DE"/>
    <w:rsid w:val="6BB32772"/>
    <w:rsid w:val="6BB641D1"/>
    <w:rsid w:val="6BDD77EF"/>
    <w:rsid w:val="6BE75F78"/>
    <w:rsid w:val="6BFB26B9"/>
    <w:rsid w:val="6C003F58"/>
    <w:rsid w:val="6C0510AF"/>
    <w:rsid w:val="6C0A12A0"/>
    <w:rsid w:val="6C1E27FB"/>
    <w:rsid w:val="6C2125B9"/>
    <w:rsid w:val="6C45127D"/>
    <w:rsid w:val="6C465394"/>
    <w:rsid w:val="6C477A48"/>
    <w:rsid w:val="6C497C2B"/>
    <w:rsid w:val="6C4D6279"/>
    <w:rsid w:val="6C691929"/>
    <w:rsid w:val="6C6B4DFB"/>
    <w:rsid w:val="6C80161C"/>
    <w:rsid w:val="6C8346BA"/>
    <w:rsid w:val="6C8C7A1A"/>
    <w:rsid w:val="6C8E07EB"/>
    <w:rsid w:val="6C922387"/>
    <w:rsid w:val="6CAA1C24"/>
    <w:rsid w:val="6CC5763D"/>
    <w:rsid w:val="6CD7449F"/>
    <w:rsid w:val="6CEF50C6"/>
    <w:rsid w:val="6CF43A7A"/>
    <w:rsid w:val="6CF803B7"/>
    <w:rsid w:val="6CFC7A9E"/>
    <w:rsid w:val="6CFD633E"/>
    <w:rsid w:val="6D1A3AF6"/>
    <w:rsid w:val="6D281E21"/>
    <w:rsid w:val="6D295F60"/>
    <w:rsid w:val="6D347596"/>
    <w:rsid w:val="6D596E90"/>
    <w:rsid w:val="6D68758C"/>
    <w:rsid w:val="6D82064E"/>
    <w:rsid w:val="6D860032"/>
    <w:rsid w:val="6DA07862"/>
    <w:rsid w:val="6DAB5AB0"/>
    <w:rsid w:val="6DAE7C8E"/>
    <w:rsid w:val="6DD864C0"/>
    <w:rsid w:val="6DE33684"/>
    <w:rsid w:val="6DE60B88"/>
    <w:rsid w:val="6DEB5D49"/>
    <w:rsid w:val="6DF33D76"/>
    <w:rsid w:val="6DF40A60"/>
    <w:rsid w:val="6DFD3487"/>
    <w:rsid w:val="6DFF1AAA"/>
    <w:rsid w:val="6E015BBB"/>
    <w:rsid w:val="6E061D25"/>
    <w:rsid w:val="6E0F7A08"/>
    <w:rsid w:val="6E2900AC"/>
    <w:rsid w:val="6E2B7977"/>
    <w:rsid w:val="6E2E4063"/>
    <w:rsid w:val="6E3C285F"/>
    <w:rsid w:val="6E414A73"/>
    <w:rsid w:val="6E562AD8"/>
    <w:rsid w:val="6E5E6D9D"/>
    <w:rsid w:val="6E714591"/>
    <w:rsid w:val="6E772037"/>
    <w:rsid w:val="6E786804"/>
    <w:rsid w:val="6E8250F1"/>
    <w:rsid w:val="6E846A90"/>
    <w:rsid w:val="6E9D5013"/>
    <w:rsid w:val="6EAD16FA"/>
    <w:rsid w:val="6ECB4CD8"/>
    <w:rsid w:val="6ECE1BA8"/>
    <w:rsid w:val="6ECF5D6D"/>
    <w:rsid w:val="6EDC418C"/>
    <w:rsid w:val="6EE67590"/>
    <w:rsid w:val="6EEA69AD"/>
    <w:rsid w:val="6EEE6498"/>
    <w:rsid w:val="6EFD1D73"/>
    <w:rsid w:val="6EFD5AB2"/>
    <w:rsid w:val="6F053C43"/>
    <w:rsid w:val="6F075837"/>
    <w:rsid w:val="6F1B6067"/>
    <w:rsid w:val="6F256125"/>
    <w:rsid w:val="6F2620DC"/>
    <w:rsid w:val="6F28453E"/>
    <w:rsid w:val="6F4656AB"/>
    <w:rsid w:val="6F49551F"/>
    <w:rsid w:val="6F540B15"/>
    <w:rsid w:val="6F54601A"/>
    <w:rsid w:val="6F555835"/>
    <w:rsid w:val="6F5837CB"/>
    <w:rsid w:val="6F597080"/>
    <w:rsid w:val="6F626E48"/>
    <w:rsid w:val="6F630BD6"/>
    <w:rsid w:val="6F812184"/>
    <w:rsid w:val="6F845B2B"/>
    <w:rsid w:val="6F8D5088"/>
    <w:rsid w:val="6F970471"/>
    <w:rsid w:val="6F974654"/>
    <w:rsid w:val="6FA10C39"/>
    <w:rsid w:val="6FC51A41"/>
    <w:rsid w:val="6FC532F8"/>
    <w:rsid w:val="6FE32EFA"/>
    <w:rsid w:val="6FEC1DAE"/>
    <w:rsid w:val="6FF8441E"/>
    <w:rsid w:val="70300C7F"/>
    <w:rsid w:val="70385739"/>
    <w:rsid w:val="704020FA"/>
    <w:rsid w:val="70457711"/>
    <w:rsid w:val="704A5564"/>
    <w:rsid w:val="70751679"/>
    <w:rsid w:val="708B47AA"/>
    <w:rsid w:val="70981E9C"/>
    <w:rsid w:val="709F2104"/>
    <w:rsid w:val="70A47E6A"/>
    <w:rsid w:val="70B52D25"/>
    <w:rsid w:val="70C36F04"/>
    <w:rsid w:val="70C740E1"/>
    <w:rsid w:val="70D07EC3"/>
    <w:rsid w:val="70D319E7"/>
    <w:rsid w:val="70D75F53"/>
    <w:rsid w:val="70D80585"/>
    <w:rsid w:val="70EC468E"/>
    <w:rsid w:val="70EE7DA8"/>
    <w:rsid w:val="70FD71A6"/>
    <w:rsid w:val="71082AAC"/>
    <w:rsid w:val="71202DBA"/>
    <w:rsid w:val="71614A1E"/>
    <w:rsid w:val="71902BFF"/>
    <w:rsid w:val="719A5DCE"/>
    <w:rsid w:val="719B7F30"/>
    <w:rsid w:val="71A74762"/>
    <w:rsid w:val="71A93FA1"/>
    <w:rsid w:val="71BA28B0"/>
    <w:rsid w:val="71BD203C"/>
    <w:rsid w:val="71D76943"/>
    <w:rsid w:val="71EC41F4"/>
    <w:rsid w:val="72035AD5"/>
    <w:rsid w:val="720E21AB"/>
    <w:rsid w:val="72127AC6"/>
    <w:rsid w:val="72135D18"/>
    <w:rsid w:val="72172DD6"/>
    <w:rsid w:val="72190E55"/>
    <w:rsid w:val="723E4170"/>
    <w:rsid w:val="724759C2"/>
    <w:rsid w:val="72516841"/>
    <w:rsid w:val="726A16B0"/>
    <w:rsid w:val="726F7761"/>
    <w:rsid w:val="72780225"/>
    <w:rsid w:val="727C5F33"/>
    <w:rsid w:val="727F77F5"/>
    <w:rsid w:val="72816D82"/>
    <w:rsid w:val="729C3F60"/>
    <w:rsid w:val="72B70089"/>
    <w:rsid w:val="72B73C27"/>
    <w:rsid w:val="72C7009D"/>
    <w:rsid w:val="72DB0E40"/>
    <w:rsid w:val="72FD42D3"/>
    <w:rsid w:val="72FF004B"/>
    <w:rsid w:val="731352DC"/>
    <w:rsid w:val="731F249B"/>
    <w:rsid w:val="73253671"/>
    <w:rsid w:val="73306456"/>
    <w:rsid w:val="73317A27"/>
    <w:rsid w:val="73357E69"/>
    <w:rsid w:val="733817AF"/>
    <w:rsid w:val="7351733F"/>
    <w:rsid w:val="73593E7F"/>
    <w:rsid w:val="735B6DB7"/>
    <w:rsid w:val="735C2691"/>
    <w:rsid w:val="737353DE"/>
    <w:rsid w:val="73767F05"/>
    <w:rsid w:val="7379604F"/>
    <w:rsid w:val="73886292"/>
    <w:rsid w:val="73935567"/>
    <w:rsid w:val="73A62438"/>
    <w:rsid w:val="73AC0E24"/>
    <w:rsid w:val="73BA21C4"/>
    <w:rsid w:val="73BA3CC2"/>
    <w:rsid w:val="73BC5F3C"/>
    <w:rsid w:val="73BE02D8"/>
    <w:rsid w:val="73D50144"/>
    <w:rsid w:val="73E060CE"/>
    <w:rsid w:val="73F602AE"/>
    <w:rsid w:val="740D1EA9"/>
    <w:rsid w:val="741E5489"/>
    <w:rsid w:val="741F7825"/>
    <w:rsid w:val="742F7A23"/>
    <w:rsid w:val="74325266"/>
    <w:rsid w:val="74417576"/>
    <w:rsid w:val="7452064E"/>
    <w:rsid w:val="745443C6"/>
    <w:rsid w:val="74685677"/>
    <w:rsid w:val="74895730"/>
    <w:rsid w:val="74943E9C"/>
    <w:rsid w:val="749A50E1"/>
    <w:rsid w:val="749B1FF5"/>
    <w:rsid w:val="749F1AE5"/>
    <w:rsid w:val="74A0551B"/>
    <w:rsid w:val="74A30713"/>
    <w:rsid w:val="74B6122E"/>
    <w:rsid w:val="74CA6436"/>
    <w:rsid w:val="74EE481B"/>
    <w:rsid w:val="74FB1883"/>
    <w:rsid w:val="750F7705"/>
    <w:rsid w:val="75241FEA"/>
    <w:rsid w:val="75275B9B"/>
    <w:rsid w:val="75275C40"/>
    <w:rsid w:val="752D0D38"/>
    <w:rsid w:val="753560F9"/>
    <w:rsid w:val="758A424E"/>
    <w:rsid w:val="758E3C4E"/>
    <w:rsid w:val="75947170"/>
    <w:rsid w:val="75A44310"/>
    <w:rsid w:val="75B52BD6"/>
    <w:rsid w:val="75B72D40"/>
    <w:rsid w:val="75BB6DDA"/>
    <w:rsid w:val="75BC0475"/>
    <w:rsid w:val="75C84C1B"/>
    <w:rsid w:val="75E85141"/>
    <w:rsid w:val="76094035"/>
    <w:rsid w:val="760A3051"/>
    <w:rsid w:val="760B6D06"/>
    <w:rsid w:val="761262E7"/>
    <w:rsid w:val="76155DFB"/>
    <w:rsid w:val="76230272"/>
    <w:rsid w:val="76263B40"/>
    <w:rsid w:val="76360227"/>
    <w:rsid w:val="76371C9A"/>
    <w:rsid w:val="763E40F3"/>
    <w:rsid w:val="764D35D7"/>
    <w:rsid w:val="76581B86"/>
    <w:rsid w:val="765A1DB4"/>
    <w:rsid w:val="765A68B9"/>
    <w:rsid w:val="7662023E"/>
    <w:rsid w:val="76643AE7"/>
    <w:rsid w:val="767A306F"/>
    <w:rsid w:val="768309E0"/>
    <w:rsid w:val="7684793E"/>
    <w:rsid w:val="769767EC"/>
    <w:rsid w:val="76983734"/>
    <w:rsid w:val="76A235BC"/>
    <w:rsid w:val="76C02622"/>
    <w:rsid w:val="76C04379"/>
    <w:rsid w:val="76F62536"/>
    <w:rsid w:val="76F63F8E"/>
    <w:rsid w:val="7705394C"/>
    <w:rsid w:val="77541DD9"/>
    <w:rsid w:val="775B3563"/>
    <w:rsid w:val="77737259"/>
    <w:rsid w:val="77750B1E"/>
    <w:rsid w:val="77785FC0"/>
    <w:rsid w:val="777C69F4"/>
    <w:rsid w:val="7782124A"/>
    <w:rsid w:val="779D6D1F"/>
    <w:rsid w:val="77B37656"/>
    <w:rsid w:val="77C3377A"/>
    <w:rsid w:val="77C35AEB"/>
    <w:rsid w:val="77C655DB"/>
    <w:rsid w:val="77C74EAF"/>
    <w:rsid w:val="77DE46D3"/>
    <w:rsid w:val="77E617D9"/>
    <w:rsid w:val="77EB6DF0"/>
    <w:rsid w:val="77F43EF6"/>
    <w:rsid w:val="77F54AD9"/>
    <w:rsid w:val="78024049"/>
    <w:rsid w:val="780802FA"/>
    <w:rsid w:val="78177082"/>
    <w:rsid w:val="78212811"/>
    <w:rsid w:val="78320EC2"/>
    <w:rsid w:val="785051F3"/>
    <w:rsid w:val="78632E2A"/>
    <w:rsid w:val="78646F86"/>
    <w:rsid w:val="787057C4"/>
    <w:rsid w:val="78727E4E"/>
    <w:rsid w:val="7873289B"/>
    <w:rsid w:val="787B63C5"/>
    <w:rsid w:val="78880AE2"/>
    <w:rsid w:val="78886D34"/>
    <w:rsid w:val="78A23952"/>
    <w:rsid w:val="78AE072B"/>
    <w:rsid w:val="78AE0DB3"/>
    <w:rsid w:val="78B638A1"/>
    <w:rsid w:val="78C12F29"/>
    <w:rsid w:val="78C7160B"/>
    <w:rsid w:val="78CE6947"/>
    <w:rsid w:val="791D122B"/>
    <w:rsid w:val="79294073"/>
    <w:rsid w:val="792B34EF"/>
    <w:rsid w:val="792B7DEB"/>
    <w:rsid w:val="79325BEF"/>
    <w:rsid w:val="793B3DA7"/>
    <w:rsid w:val="79420C91"/>
    <w:rsid w:val="797445F1"/>
    <w:rsid w:val="79821A9D"/>
    <w:rsid w:val="79A75DED"/>
    <w:rsid w:val="79BB0B66"/>
    <w:rsid w:val="79BC3EB0"/>
    <w:rsid w:val="79D02741"/>
    <w:rsid w:val="79F20909"/>
    <w:rsid w:val="7A02015B"/>
    <w:rsid w:val="7A0648A7"/>
    <w:rsid w:val="7A096D9E"/>
    <w:rsid w:val="7A0E5017"/>
    <w:rsid w:val="7A116EA2"/>
    <w:rsid w:val="7A1350B3"/>
    <w:rsid w:val="7A2041A1"/>
    <w:rsid w:val="7A2E7B6A"/>
    <w:rsid w:val="7A3D378A"/>
    <w:rsid w:val="7A4A42A1"/>
    <w:rsid w:val="7A4D2AE1"/>
    <w:rsid w:val="7A886B78"/>
    <w:rsid w:val="7A8D0632"/>
    <w:rsid w:val="7A940CEF"/>
    <w:rsid w:val="7AA42D9E"/>
    <w:rsid w:val="7AB908C6"/>
    <w:rsid w:val="7AC06311"/>
    <w:rsid w:val="7ADB1185"/>
    <w:rsid w:val="7AEF6BF7"/>
    <w:rsid w:val="7AF97A75"/>
    <w:rsid w:val="7B217224"/>
    <w:rsid w:val="7B46489C"/>
    <w:rsid w:val="7B5353D8"/>
    <w:rsid w:val="7B53600E"/>
    <w:rsid w:val="7B660B9C"/>
    <w:rsid w:val="7B737828"/>
    <w:rsid w:val="7B7E43E3"/>
    <w:rsid w:val="7B864A64"/>
    <w:rsid w:val="7B973491"/>
    <w:rsid w:val="7BB43953"/>
    <w:rsid w:val="7BB87930"/>
    <w:rsid w:val="7BBF13B3"/>
    <w:rsid w:val="7BD15117"/>
    <w:rsid w:val="7BD27A5D"/>
    <w:rsid w:val="7BDF0A19"/>
    <w:rsid w:val="7BE1477E"/>
    <w:rsid w:val="7BED5740"/>
    <w:rsid w:val="7BFD3FCE"/>
    <w:rsid w:val="7C010D1F"/>
    <w:rsid w:val="7C085991"/>
    <w:rsid w:val="7C1508DF"/>
    <w:rsid w:val="7C2B29AB"/>
    <w:rsid w:val="7C37476C"/>
    <w:rsid w:val="7C445F6B"/>
    <w:rsid w:val="7C465062"/>
    <w:rsid w:val="7C4A252D"/>
    <w:rsid w:val="7C4A67DB"/>
    <w:rsid w:val="7C4F3EB5"/>
    <w:rsid w:val="7C550AA2"/>
    <w:rsid w:val="7C5D397B"/>
    <w:rsid w:val="7C6B1D2B"/>
    <w:rsid w:val="7C75137E"/>
    <w:rsid w:val="7C923CDE"/>
    <w:rsid w:val="7C9C1750"/>
    <w:rsid w:val="7C9F18C8"/>
    <w:rsid w:val="7CA0289E"/>
    <w:rsid w:val="7CC72DC3"/>
    <w:rsid w:val="7CE81B50"/>
    <w:rsid w:val="7D1564DB"/>
    <w:rsid w:val="7D1A3036"/>
    <w:rsid w:val="7D212011"/>
    <w:rsid w:val="7D2A660C"/>
    <w:rsid w:val="7D366731"/>
    <w:rsid w:val="7D3D1E9B"/>
    <w:rsid w:val="7D513B99"/>
    <w:rsid w:val="7D5176F5"/>
    <w:rsid w:val="7D5353F5"/>
    <w:rsid w:val="7D552799"/>
    <w:rsid w:val="7D6F7660"/>
    <w:rsid w:val="7D7B1F42"/>
    <w:rsid w:val="7D8B6E4D"/>
    <w:rsid w:val="7D8E1243"/>
    <w:rsid w:val="7D935F5F"/>
    <w:rsid w:val="7DA95783"/>
    <w:rsid w:val="7DAA70EE"/>
    <w:rsid w:val="7DD32800"/>
    <w:rsid w:val="7DD52BE0"/>
    <w:rsid w:val="7DE467BB"/>
    <w:rsid w:val="7DF52776"/>
    <w:rsid w:val="7DFA7D8C"/>
    <w:rsid w:val="7E012B5A"/>
    <w:rsid w:val="7E09289C"/>
    <w:rsid w:val="7E133C92"/>
    <w:rsid w:val="7E150010"/>
    <w:rsid w:val="7E176C01"/>
    <w:rsid w:val="7E1A4D7A"/>
    <w:rsid w:val="7E2D63B4"/>
    <w:rsid w:val="7E35461F"/>
    <w:rsid w:val="7E361EBB"/>
    <w:rsid w:val="7E525835"/>
    <w:rsid w:val="7E5E47BF"/>
    <w:rsid w:val="7E5F4018"/>
    <w:rsid w:val="7E6943E0"/>
    <w:rsid w:val="7E7E10FB"/>
    <w:rsid w:val="7E843835"/>
    <w:rsid w:val="7E8C712F"/>
    <w:rsid w:val="7E993502"/>
    <w:rsid w:val="7EA0044B"/>
    <w:rsid w:val="7EA87DB4"/>
    <w:rsid w:val="7ECA3E11"/>
    <w:rsid w:val="7ED405DD"/>
    <w:rsid w:val="7ED62316"/>
    <w:rsid w:val="7EDF1235"/>
    <w:rsid w:val="7EE36A72"/>
    <w:rsid w:val="7EF4608E"/>
    <w:rsid w:val="7EFE1AFE"/>
    <w:rsid w:val="7F0A3FFF"/>
    <w:rsid w:val="7F196938"/>
    <w:rsid w:val="7F217AD5"/>
    <w:rsid w:val="7F2210EE"/>
    <w:rsid w:val="7F46773E"/>
    <w:rsid w:val="7F4B6252"/>
    <w:rsid w:val="7F531F0C"/>
    <w:rsid w:val="7F547970"/>
    <w:rsid w:val="7F5E2CF2"/>
    <w:rsid w:val="7F7B4EFD"/>
    <w:rsid w:val="7F7D5E5E"/>
    <w:rsid w:val="7F89736C"/>
    <w:rsid w:val="7F9B559F"/>
    <w:rsid w:val="7FAE0E2E"/>
    <w:rsid w:val="7FBA59C5"/>
    <w:rsid w:val="7FCC4CBB"/>
    <w:rsid w:val="7FE14118"/>
    <w:rsid w:val="7FEE1B7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1"/>
    <w:rPr>
      <w:sz w:val="28"/>
      <w:szCs w:val="28"/>
    </w:rPr>
  </w:style>
  <w:style w:type="paragraph" w:styleId="5">
    <w:name w:val="toc 5"/>
    <w:basedOn w:val="1"/>
    <w:next w:val="1"/>
    <w:qFormat/>
    <w:uiPriority w:val="0"/>
    <w:pPr>
      <w:ind w:left="1680" w:leftChars="800"/>
    </w:pPr>
    <w:rPr>
      <w:rFonts w:ascii="Times New Roman" w:hAnsi="Times New Roman" w:eastAsia="宋体" w:cs="Times New Roman"/>
      <w:szCs w:val="24"/>
    </w:rPr>
  </w:style>
  <w:style w:type="paragraph" w:styleId="6">
    <w:name w:val="Body Text Indent"/>
    <w:basedOn w:val="1"/>
    <w:qFormat/>
    <w:uiPriority w:val="0"/>
    <w:pPr>
      <w:ind w:firstLine="720" w:firstLineChars="257"/>
    </w:pPr>
    <w:rPr>
      <w:rFonts w:ascii="Calibri" w:hAnsi="Calibri" w:cs="Times New Roman"/>
      <w:kern w:val="0"/>
      <w:sz w:val="20"/>
    </w:rPr>
  </w:style>
  <w:style w:type="paragraph" w:styleId="7">
    <w:name w:val="Body Text Indent 2"/>
    <w:basedOn w:val="1"/>
    <w:qFormat/>
    <w:uiPriority w:val="0"/>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1"/>
    <w:next w:val="1"/>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paragraph" w:customStyle="1" w:styleId="18">
    <w:name w:val="Table Text"/>
    <w:basedOn w:val="1"/>
    <w:autoRedefine/>
    <w:semiHidden/>
    <w:qFormat/>
    <w:uiPriority w:val="0"/>
    <w:rPr>
      <w:rFonts w:ascii="宋体" w:hAnsi="宋体" w:eastAsia="宋体" w:cs="宋体"/>
      <w:sz w:val="18"/>
      <w:szCs w:val="18"/>
      <w:lang w:val="en-US" w:eastAsia="en-US" w:bidi="ar-SA"/>
    </w:rPr>
  </w:style>
  <w:style w:type="character" w:customStyle="1" w:styleId="19">
    <w:name w:val="font41"/>
    <w:basedOn w:val="16"/>
    <w:autoRedefine/>
    <w:qFormat/>
    <w:uiPriority w:val="0"/>
    <w:rPr>
      <w:rFonts w:hint="eastAsia" w:ascii="宋体" w:hAnsi="宋体" w:eastAsia="宋体" w:cs="宋体"/>
      <w:color w:val="000000"/>
      <w:sz w:val="18"/>
      <w:szCs w:val="18"/>
      <w:u w:val="none"/>
    </w:rPr>
  </w:style>
  <w:style w:type="character" w:customStyle="1" w:styleId="20">
    <w:name w:val="font51"/>
    <w:basedOn w:val="16"/>
    <w:autoRedefine/>
    <w:qFormat/>
    <w:uiPriority w:val="0"/>
    <w:rPr>
      <w:rFonts w:hint="eastAsia" w:ascii="宋体" w:hAnsi="宋体" w:eastAsia="宋体" w:cs="宋体"/>
      <w:color w:val="000000"/>
      <w:sz w:val="18"/>
      <w:szCs w:val="18"/>
      <w:u w:val="none"/>
    </w:rPr>
  </w:style>
  <w:style w:type="character" w:customStyle="1" w:styleId="21">
    <w:name w:val="font11"/>
    <w:basedOn w:val="16"/>
    <w:qFormat/>
    <w:uiPriority w:val="0"/>
    <w:rPr>
      <w:rFonts w:hint="eastAsia" w:ascii="宋体" w:hAnsi="宋体" w:eastAsia="宋体" w:cs="宋体"/>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1"/>
      <w:szCs w:val="21"/>
      <w:u w:val="none"/>
    </w:rPr>
  </w:style>
  <w:style w:type="character" w:customStyle="1" w:styleId="23">
    <w:name w:val="font01"/>
    <w:basedOn w:val="16"/>
    <w:qFormat/>
    <w:uiPriority w:val="0"/>
    <w:rPr>
      <w:rFonts w:hint="eastAsia" w:ascii="宋体" w:hAnsi="宋体" w:eastAsia="宋体" w:cs="宋体"/>
      <w:color w:val="000000"/>
      <w:sz w:val="22"/>
      <w:szCs w:val="22"/>
      <w:u w:val="none"/>
    </w:rPr>
  </w:style>
  <w:style w:type="character" w:customStyle="1" w:styleId="24">
    <w:name w:val="font31"/>
    <w:basedOn w:val="16"/>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emf"/><Relationship Id="rId25" Type="http://schemas.openxmlformats.org/officeDocument/2006/relationships/image" Target="media/image16.emf"/><Relationship Id="rId24" Type="http://schemas.openxmlformats.org/officeDocument/2006/relationships/image" Target="media/image15.emf"/><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chart" Target="charts/chart3.xml"/><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chart" Target="charts/chart2.xml"/><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chart" Target="charts/chart1.xml"/><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4&#21495;&#22919;&#32852;\&#25552;&#20379;&#36130;&#21153;&#36164;&#26009;&#22919;&#32852;\&#22919;&#32852;&#36164;&#26009;\&#25903;&#20184;&#30003;&#35831;&#29366;&#24577;&#26597;&#3581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4&#21495;&#22919;&#32852;\&#25552;&#20379;&#36130;&#21153;&#36164;&#26009;&#22919;&#32852;\&#22919;&#32852;&#36164;&#26009;\&#25903;&#20184;&#30003;&#35831;&#29366;&#24577;&#26597;&#3581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4&#21495;&#22919;&#32852;\&#25552;&#20379;&#36130;&#21153;&#36164;&#26009;&#22919;&#32852;\2024&#24180;&#22919;&#32852;&#24207;&#26102;&#36134;&#24213;&#312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财政直接支付与财政间接支付对比图（金额：元）</a:t>
            </a:r>
          </a:p>
        </c:rich>
      </c:tx>
      <c:layout/>
      <c:overlay val="0"/>
      <c:spPr>
        <a:noFill/>
        <a:ln>
          <a:noFill/>
        </a:ln>
        <a:effectLst/>
      </c:spPr>
    </c:title>
    <c:autoTitleDeleted val="0"/>
    <c:plotArea>
      <c:layout/>
      <c:pieChart>
        <c:varyColors val="1"/>
        <c:ser>
          <c:idx val="0"/>
          <c:order val="0"/>
          <c:tx>
            <c:strRef>
              <c:f>[支付申请状态查询表.xlsx]指标使用!$F$172</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out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[支付申请状态查询表.xlsx]指标使用!$E$173:$E$174</c:f>
              <c:strCache>
                <c:ptCount val="2"/>
                <c:pt idx="0">
                  <c:v>财政零余额支付</c:v>
                </c:pt>
                <c:pt idx="1">
                  <c:v>单位零余额支付</c:v>
                </c:pt>
              </c:strCache>
            </c:strRef>
          </c:cat>
          <c:val>
            <c:numRef>
              <c:f>[支付申请状态查询表.xlsx]指标使用!$F$173:$F$174</c:f>
              <c:numCache>
                <c:formatCode>_ * #,##0.00_ ;_ * \-#,##0.00_ ;_ * "-"??_ ;_ @_ </c:formatCode>
                <c:ptCount val="2"/>
                <c:pt idx="0">
                  <c:v>128746</c:v>
                </c:pt>
                <c:pt idx="1">
                  <c:v>695861.88</c:v>
                </c:pt>
              </c:numCache>
            </c:numRef>
          </c:val>
          <c:extLst>
            <c:ext xmlns:c15="http://schemas.microsoft.com/office/drawing/2012/chart" uri="{02D57815-91ED-43cb-92C2-25804820EDAC}">
              <c15:datalabelsRange>
                <c15:f>指标使用!$E$173:$E$174</c15:f>
                <c15:dlblRangeCache>
                  <c:ptCount val="2"/>
                  <c:pt idx="0">
                    <c:v>财政零余额支付</c:v>
                  </c:pt>
                  <c:pt idx="1">
                    <c:v>单位零余额支付</c:v>
                  </c:pt>
                </c15:dlblRangeCache>
              </c15:datalabelsRange>
            </c:ext>
          </c:extLst>
        </c:ser>
        <c:dLbls>
          <c:showLegendKey val="0"/>
          <c:showVal val="1"/>
          <c:showCatName val="0"/>
          <c:showSerName val="0"/>
          <c:showPercent val="0"/>
          <c:showBubbleSize val="0"/>
          <c:showLeaderLines val="1"/>
        </c:dLbls>
        <c:firstSliceAng val="66"/>
      </c:pieChart>
      <c:spPr>
        <a:noFill/>
        <a:ln>
          <a:noFill/>
        </a:ln>
        <a:effectLst/>
      </c:spPr>
    </c:plotArea>
    <c:plotVisOnly val="1"/>
    <c:dispBlanksAs val="gap"/>
    <c:showDLblsOverMax val="0"/>
    <c:extLst>
      <c:ext uri="{0b15fc19-7d7d-44ad-8c2d-2c3a37ce22c3}">
        <chartProps xmlns="https://web.wps.cn/et/2018/main" chartId="{00f12f89-8c43-4bd1-bb33-830789d7928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指标下达数与指标使用数对比图</a:t>
            </a:r>
          </a:p>
        </c:rich>
      </c:tx>
      <c:layout/>
      <c:overlay val="0"/>
      <c:spPr>
        <a:noFill/>
        <a:ln>
          <a:noFill/>
        </a:ln>
        <a:effectLst/>
      </c:spPr>
    </c:title>
    <c:autoTitleDeleted val="0"/>
    <c:plotArea>
      <c:layout>
        <c:manualLayout>
          <c:layoutTarget val="inner"/>
          <c:xMode val="edge"/>
          <c:yMode val="edge"/>
          <c:x val="0.147029442691903"/>
          <c:y val="0.176636834667923"/>
          <c:w val="0.828654048370137"/>
          <c:h val="0.599952896844089"/>
        </c:manualLayout>
      </c:layout>
      <c:barChart>
        <c:barDir val="col"/>
        <c:grouping val="clustered"/>
        <c:varyColors val="0"/>
        <c:ser>
          <c:idx val="0"/>
          <c:order val="0"/>
          <c:tx>
            <c:strRef>
              <c:f>[支付申请状态查询表.xlsx]指标使用!$D$214</c:f>
              <c:strCache>
                <c:ptCount val="1"/>
                <c:pt idx="0">
                  <c:v>指标下达数</c:v>
                </c:pt>
              </c:strCache>
            </c:strRef>
          </c:tx>
          <c:spPr>
            <a:solidFill>
              <a:schemeClr val="accent1"/>
            </a:solidFill>
            <a:ln>
              <a:noFill/>
            </a:ln>
            <a:effectLst/>
          </c:spPr>
          <c:invertIfNegative val="0"/>
          <c:dLbls>
            <c:delete val="1"/>
          </c:dLbls>
          <c:cat>
            <c:strRef>
              <c:f>[支付申请状态查询表.xlsx]指标使用!$C$215:$C$226</c:f>
              <c:strCache>
                <c:ptCount val="12"/>
                <c:pt idx="0" c:formatCode="_ * #,##0.00_ ;_ * \-#,##0.00_ ;_ * &quot;-&quot;??_ ;_ @_ ">
                  <c:v>1月</c:v>
                </c:pt>
                <c:pt idx="1" c:formatCode="_ * #,##0.00_ ;_ * \-#,##0.00_ ;_ * &quot;-&quot;??_ ;_ @_ ">
                  <c:v>2月</c:v>
                </c:pt>
                <c:pt idx="2" c:formatCode="_ * #,##0.00_ ;_ * \-#,##0.00_ ;_ * &quot;-&quot;??_ ;_ @_ ">
                  <c:v>3月</c:v>
                </c:pt>
                <c:pt idx="3" c:formatCode="_ * #,##0.00_ ;_ * \-#,##0.00_ ;_ * &quot;-&quot;??_ ;_ @_ ">
                  <c:v>4月</c:v>
                </c:pt>
                <c:pt idx="4" c:formatCode="_ * #,##0.00_ ;_ * \-#,##0.00_ ;_ * &quot;-&quot;??_ ;_ @_ ">
                  <c:v>5月</c:v>
                </c:pt>
                <c:pt idx="5" c:formatCode="_ * #,##0.00_ ;_ * \-#,##0.00_ ;_ * &quot;-&quot;??_ ;_ @_ ">
                  <c:v>6月</c:v>
                </c:pt>
                <c:pt idx="6" c:formatCode="_ * #,##0.00_ ;_ * \-#,##0.00_ ;_ * &quot;-&quot;??_ ;_ @_ ">
                  <c:v>7月</c:v>
                </c:pt>
                <c:pt idx="7" c:formatCode="_ * #,##0.00_ ;_ * \-#,##0.00_ ;_ * &quot;-&quot;??_ ;_ @_ ">
                  <c:v>8月</c:v>
                </c:pt>
                <c:pt idx="8" c:formatCode="_ * #,##0.00_ ;_ * \-#,##0.00_ ;_ * &quot;-&quot;??_ ;_ @_ ">
                  <c:v>9月</c:v>
                </c:pt>
                <c:pt idx="9" c:formatCode="_ * #,##0.00_ ;_ * \-#,##0.00_ ;_ * &quot;-&quot;??_ ;_ @_ ">
                  <c:v>10月</c:v>
                </c:pt>
                <c:pt idx="10" c:formatCode="_ * #,##0.00_ ;_ * \-#,##0.00_ ;_ * &quot;-&quot;??_ ;_ @_ ">
                  <c:v>11月</c:v>
                </c:pt>
                <c:pt idx="11" c:formatCode="_ * #,##0.00_ ;_ * \-#,##0.00_ ;_ * &quot;-&quot;??_ ;_ @_ ">
                  <c:v>12月</c:v>
                </c:pt>
              </c:strCache>
            </c:strRef>
          </c:cat>
          <c:val>
            <c:numRef>
              <c:f>[支付申请状态查询表.xlsx]指标使用!$D$215:$D$226</c:f>
              <c:numCache>
                <c:formatCode>_ * #,##0.00_ ;_ * \-#,##0.00_ ;_ * "-"??_ ;_ @_ </c:formatCode>
                <c:ptCount val="12"/>
                <c:pt idx="0">
                  <c:v>508754.48</c:v>
                </c:pt>
                <c:pt idx="1">
                  <c:v>14000</c:v>
                </c:pt>
                <c:pt idx="5">
                  <c:v>10000</c:v>
                </c:pt>
                <c:pt idx="6">
                  <c:v>400</c:v>
                </c:pt>
                <c:pt idx="7">
                  <c:v>68779</c:v>
                </c:pt>
                <c:pt idx="8">
                  <c:v>100000</c:v>
                </c:pt>
                <c:pt idx="10">
                  <c:v>70000</c:v>
                </c:pt>
                <c:pt idx="11">
                  <c:v>52674.48</c:v>
                </c:pt>
              </c:numCache>
            </c:numRef>
          </c:val>
        </c:ser>
        <c:ser>
          <c:idx val="1"/>
          <c:order val="1"/>
          <c:tx>
            <c:strRef>
              <c:f>[支付申请状态查询表.xlsx]指标使用!$E$214</c:f>
              <c:strCache>
                <c:ptCount val="1"/>
                <c:pt idx="0">
                  <c:v>占比</c:v>
                </c:pt>
              </c:strCache>
            </c:strRef>
          </c:tx>
          <c:spPr>
            <a:solidFill>
              <a:schemeClr val="accent2"/>
            </a:solidFill>
            <a:ln>
              <a:noFill/>
            </a:ln>
            <a:effectLst/>
          </c:spPr>
          <c:invertIfNegative val="0"/>
          <c:dLbls>
            <c:delete val="1"/>
          </c:dLbls>
          <c:cat>
            <c:strRef>
              <c:f>[支付申请状态查询表.xlsx]指标使用!$C$215:$C$226</c:f>
              <c:strCache>
                <c:ptCount val="12"/>
                <c:pt idx="0" c:formatCode="_ * #,##0.00_ ;_ * \-#,##0.00_ ;_ * &quot;-&quot;??_ ;_ @_ ">
                  <c:v>1月</c:v>
                </c:pt>
                <c:pt idx="1" c:formatCode="_ * #,##0.00_ ;_ * \-#,##0.00_ ;_ * &quot;-&quot;??_ ;_ @_ ">
                  <c:v>2月</c:v>
                </c:pt>
                <c:pt idx="2" c:formatCode="_ * #,##0.00_ ;_ * \-#,##0.00_ ;_ * &quot;-&quot;??_ ;_ @_ ">
                  <c:v>3月</c:v>
                </c:pt>
                <c:pt idx="3" c:formatCode="_ * #,##0.00_ ;_ * \-#,##0.00_ ;_ * &quot;-&quot;??_ ;_ @_ ">
                  <c:v>4月</c:v>
                </c:pt>
                <c:pt idx="4" c:formatCode="_ * #,##0.00_ ;_ * \-#,##0.00_ ;_ * &quot;-&quot;??_ ;_ @_ ">
                  <c:v>5月</c:v>
                </c:pt>
                <c:pt idx="5" c:formatCode="_ * #,##0.00_ ;_ * \-#,##0.00_ ;_ * &quot;-&quot;??_ ;_ @_ ">
                  <c:v>6月</c:v>
                </c:pt>
                <c:pt idx="6" c:formatCode="_ * #,##0.00_ ;_ * \-#,##0.00_ ;_ * &quot;-&quot;??_ ;_ @_ ">
                  <c:v>7月</c:v>
                </c:pt>
                <c:pt idx="7" c:formatCode="_ * #,##0.00_ ;_ * \-#,##0.00_ ;_ * &quot;-&quot;??_ ;_ @_ ">
                  <c:v>8月</c:v>
                </c:pt>
                <c:pt idx="8" c:formatCode="_ * #,##0.00_ ;_ * \-#,##0.00_ ;_ * &quot;-&quot;??_ ;_ @_ ">
                  <c:v>9月</c:v>
                </c:pt>
                <c:pt idx="9" c:formatCode="_ * #,##0.00_ ;_ * \-#,##0.00_ ;_ * &quot;-&quot;??_ ;_ @_ ">
                  <c:v>10月</c:v>
                </c:pt>
                <c:pt idx="10" c:formatCode="_ * #,##0.00_ ;_ * \-#,##0.00_ ;_ * &quot;-&quot;??_ ;_ @_ ">
                  <c:v>11月</c:v>
                </c:pt>
                <c:pt idx="11" c:formatCode="_ * #,##0.00_ ;_ * \-#,##0.00_ ;_ * &quot;-&quot;??_ ;_ @_ ">
                  <c:v>12月</c:v>
                </c:pt>
              </c:strCache>
            </c:strRef>
          </c:cat>
          <c:val>
            <c:numRef>
              <c:f>[支付申请状态查询表.xlsx]指标使用!$E$215:$E$226</c:f>
              <c:numCache>
                <c:formatCode>0.00%</c:formatCode>
                <c:ptCount val="12"/>
                <c:pt idx="0">
                  <c:v>0.616965278870216</c:v>
                </c:pt>
                <c:pt idx="1">
                  <c:v>0.0169777648035316</c:v>
                </c:pt>
                <c:pt idx="2">
                  <c:v>0</c:v>
                </c:pt>
                <c:pt idx="3">
                  <c:v>0</c:v>
                </c:pt>
                <c:pt idx="4">
                  <c:v>0</c:v>
                </c:pt>
                <c:pt idx="5">
                  <c:v>0.0121269748596654</c:v>
                </c:pt>
                <c:pt idx="6">
                  <c:v>0.000485078994386617</c:v>
                </c:pt>
                <c:pt idx="7">
                  <c:v>0.0834081203872929</c:v>
                </c:pt>
                <c:pt idx="8">
                  <c:v>0.121269748596654</c:v>
                </c:pt>
                <c:pt idx="9">
                  <c:v>0</c:v>
                </c:pt>
                <c:pt idx="10">
                  <c:v>0.084888824017658</c:v>
                </c:pt>
                <c:pt idx="11">
                  <c:v>0.063878209470595</c:v>
                </c:pt>
              </c:numCache>
            </c:numRef>
          </c:val>
        </c:ser>
        <c:ser>
          <c:idx val="2"/>
          <c:order val="2"/>
          <c:tx>
            <c:strRef>
              <c:f>[支付申请状态查询表.xlsx]指标使用!$F$214</c:f>
              <c:strCache>
                <c:ptCount val="1"/>
                <c:pt idx="0">
                  <c:v>指标使用数</c:v>
                </c:pt>
              </c:strCache>
            </c:strRef>
          </c:tx>
          <c:spPr>
            <a:solidFill>
              <a:schemeClr val="accent2"/>
            </a:solidFill>
            <a:ln>
              <a:noFill/>
            </a:ln>
            <a:effectLst/>
          </c:spPr>
          <c:invertIfNegative val="0"/>
          <c:dLbls>
            <c:delete val="1"/>
          </c:dLbls>
          <c:cat>
            <c:strRef>
              <c:f>[支付申请状态查询表.xlsx]指标使用!$C$215:$C$226</c:f>
              <c:strCache>
                <c:ptCount val="12"/>
                <c:pt idx="0" c:formatCode="_ * #,##0.00_ ;_ * \-#,##0.00_ ;_ * &quot;-&quot;??_ ;_ @_ ">
                  <c:v>1月</c:v>
                </c:pt>
                <c:pt idx="1" c:formatCode="_ * #,##0.00_ ;_ * \-#,##0.00_ ;_ * &quot;-&quot;??_ ;_ @_ ">
                  <c:v>2月</c:v>
                </c:pt>
                <c:pt idx="2" c:formatCode="_ * #,##0.00_ ;_ * \-#,##0.00_ ;_ * &quot;-&quot;??_ ;_ @_ ">
                  <c:v>3月</c:v>
                </c:pt>
                <c:pt idx="3" c:formatCode="_ * #,##0.00_ ;_ * \-#,##0.00_ ;_ * &quot;-&quot;??_ ;_ @_ ">
                  <c:v>4月</c:v>
                </c:pt>
                <c:pt idx="4" c:formatCode="_ * #,##0.00_ ;_ * \-#,##0.00_ ;_ * &quot;-&quot;??_ ;_ @_ ">
                  <c:v>5月</c:v>
                </c:pt>
                <c:pt idx="5" c:formatCode="_ * #,##0.00_ ;_ * \-#,##0.00_ ;_ * &quot;-&quot;??_ ;_ @_ ">
                  <c:v>6月</c:v>
                </c:pt>
                <c:pt idx="6" c:formatCode="_ * #,##0.00_ ;_ * \-#,##0.00_ ;_ * &quot;-&quot;??_ ;_ @_ ">
                  <c:v>7月</c:v>
                </c:pt>
                <c:pt idx="7" c:formatCode="_ * #,##0.00_ ;_ * \-#,##0.00_ ;_ * &quot;-&quot;??_ ;_ @_ ">
                  <c:v>8月</c:v>
                </c:pt>
                <c:pt idx="8" c:formatCode="_ * #,##0.00_ ;_ * \-#,##0.00_ ;_ * &quot;-&quot;??_ ;_ @_ ">
                  <c:v>9月</c:v>
                </c:pt>
                <c:pt idx="9" c:formatCode="_ * #,##0.00_ ;_ * \-#,##0.00_ ;_ * &quot;-&quot;??_ ;_ @_ ">
                  <c:v>10月</c:v>
                </c:pt>
                <c:pt idx="10" c:formatCode="_ * #,##0.00_ ;_ * \-#,##0.00_ ;_ * &quot;-&quot;??_ ;_ @_ ">
                  <c:v>11月</c:v>
                </c:pt>
                <c:pt idx="11" c:formatCode="_ * #,##0.00_ ;_ * \-#,##0.00_ ;_ * &quot;-&quot;??_ ;_ @_ ">
                  <c:v>12月</c:v>
                </c:pt>
              </c:strCache>
            </c:strRef>
          </c:cat>
          <c:val>
            <c:numRef>
              <c:f>[支付申请状态查询表.xlsx]指标使用!$F$215:$F$226</c:f>
              <c:numCache>
                <c:formatCode>_ * #,##0.00_ ;_ * \-#,##0.00_ ;_ * "-"??_ ;_ @_ </c:formatCode>
                <c:ptCount val="12"/>
                <c:pt idx="0">
                  <c:v>59022.22</c:v>
                </c:pt>
                <c:pt idx="1">
                  <c:v>96553.22</c:v>
                </c:pt>
                <c:pt idx="2">
                  <c:v>52822.41</c:v>
                </c:pt>
                <c:pt idx="3">
                  <c:v>45493.22</c:v>
                </c:pt>
                <c:pt idx="4">
                  <c:v>17492.47</c:v>
                </c:pt>
                <c:pt idx="5">
                  <c:v>43509.45</c:v>
                </c:pt>
                <c:pt idx="6">
                  <c:v>24127.17</c:v>
                </c:pt>
                <c:pt idx="7">
                  <c:v>104774.08</c:v>
                </c:pt>
                <c:pt idx="8">
                  <c:v>64274.08</c:v>
                </c:pt>
                <c:pt idx="9">
                  <c:v>18012.08</c:v>
                </c:pt>
                <c:pt idx="10">
                  <c:v>88965.58</c:v>
                </c:pt>
                <c:pt idx="11">
                  <c:v>209561.9</c:v>
                </c:pt>
              </c:numCache>
            </c:numRef>
          </c:val>
        </c:ser>
        <c:ser>
          <c:idx val="3"/>
          <c:order val="3"/>
          <c:tx>
            <c:strRef>
              <c:f>[支付申请状态查询表.xlsx]指标使用!$G$214</c:f>
              <c:strCache>
                <c:ptCount val="1"/>
                <c:pt idx="0">
                  <c:v>占比</c:v>
                </c:pt>
              </c:strCache>
            </c:strRef>
          </c:tx>
          <c:spPr>
            <a:solidFill>
              <a:schemeClr val="accent4"/>
            </a:solidFill>
            <a:ln>
              <a:noFill/>
            </a:ln>
            <a:effectLst/>
          </c:spPr>
          <c:invertIfNegative val="0"/>
          <c:dLbls>
            <c:delete val="1"/>
          </c:dLbls>
          <c:cat>
            <c:strRef>
              <c:f>[支付申请状态查询表.xlsx]指标使用!$C$215:$C$226</c:f>
              <c:strCache>
                <c:ptCount val="12"/>
                <c:pt idx="0" c:formatCode="_ * #,##0.00_ ;_ * \-#,##0.00_ ;_ * &quot;-&quot;??_ ;_ @_ ">
                  <c:v>1月</c:v>
                </c:pt>
                <c:pt idx="1" c:formatCode="_ * #,##0.00_ ;_ * \-#,##0.00_ ;_ * &quot;-&quot;??_ ;_ @_ ">
                  <c:v>2月</c:v>
                </c:pt>
                <c:pt idx="2" c:formatCode="_ * #,##0.00_ ;_ * \-#,##0.00_ ;_ * &quot;-&quot;??_ ;_ @_ ">
                  <c:v>3月</c:v>
                </c:pt>
                <c:pt idx="3" c:formatCode="_ * #,##0.00_ ;_ * \-#,##0.00_ ;_ * &quot;-&quot;??_ ;_ @_ ">
                  <c:v>4月</c:v>
                </c:pt>
                <c:pt idx="4" c:formatCode="_ * #,##0.00_ ;_ * \-#,##0.00_ ;_ * &quot;-&quot;??_ ;_ @_ ">
                  <c:v>5月</c:v>
                </c:pt>
                <c:pt idx="5" c:formatCode="_ * #,##0.00_ ;_ * \-#,##0.00_ ;_ * &quot;-&quot;??_ ;_ @_ ">
                  <c:v>6月</c:v>
                </c:pt>
                <c:pt idx="6" c:formatCode="_ * #,##0.00_ ;_ * \-#,##0.00_ ;_ * &quot;-&quot;??_ ;_ @_ ">
                  <c:v>7月</c:v>
                </c:pt>
                <c:pt idx="7" c:formatCode="_ * #,##0.00_ ;_ * \-#,##0.00_ ;_ * &quot;-&quot;??_ ;_ @_ ">
                  <c:v>8月</c:v>
                </c:pt>
                <c:pt idx="8" c:formatCode="_ * #,##0.00_ ;_ * \-#,##0.00_ ;_ * &quot;-&quot;??_ ;_ @_ ">
                  <c:v>9月</c:v>
                </c:pt>
                <c:pt idx="9" c:formatCode="_ * #,##0.00_ ;_ * \-#,##0.00_ ;_ * &quot;-&quot;??_ ;_ @_ ">
                  <c:v>10月</c:v>
                </c:pt>
                <c:pt idx="10" c:formatCode="_ * #,##0.00_ ;_ * \-#,##0.00_ ;_ * &quot;-&quot;??_ ;_ @_ ">
                  <c:v>11月</c:v>
                </c:pt>
                <c:pt idx="11" c:formatCode="_ * #,##0.00_ ;_ * \-#,##0.00_ ;_ * &quot;-&quot;??_ ;_ @_ ">
                  <c:v>12月</c:v>
                </c:pt>
              </c:strCache>
            </c:strRef>
          </c:cat>
          <c:val>
            <c:numRef>
              <c:f>[支付申请状态查询表.xlsx]指标使用!$G$215:$G$226</c:f>
              <c:numCache>
                <c:formatCode>0.00%</c:formatCode>
                <c:ptCount val="12"/>
                <c:pt idx="0">
                  <c:v>0.0715761047541772</c:v>
                </c:pt>
                <c:pt idx="1">
                  <c:v>0.117089858515541</c:v>
                </c:pt>
                <c:pt idx="2">
                  <c:v>0.0640576100242942</c:v>
                </c:pt>
                <c:pt idx="3">
                  <c:v>0.0551695188748378</c:v>
                </c:pt>
                <c:pt idx="4">
                  <c:v>0.0212130764503487</c:v>
                </c:pt>
                <c:pt idx="5">
                  <c:v>0.0527638057497098</c:v>
                </c:pt>
                <c:pt idx="6">
                  <c:v>0.0292589612410689</c:v>
                </c:pt>
                <c:pt idx="7">
                  <c:v>0.127059275737215</c:v>
                </c:pt>
                <c:pt idx="8">
                  <c:v>0.0779450227907112</c:v>
                </c:pt>
                <c:pt idx="9">
                  <c:v>0.0218432062521644</c:v>
                </c:pt>
                <c:pt idx="10">
                  <c:v>0.107888345670429</c:v>
                </c:pt>
                <c:pt idx="11">
                  <c:v>0.254135213939503</c:v>
                </c:pt>
              </c:numCache>
            </c:numRef>
          </c:val>
        </c:ser>
        <c:dLbls>
          <c:showLegendKey val="0"/>
          <c:showVal val="0"/>
          <c:showCatName val="0"/>
          <c:showSerName val="0"/>
          <c:showPercent val="0"/>
          <c:showBubbleSize val="0"/>
        </c:dLbls>
        <c:gapWidth val="48"/>
        <c:overlap val="52"/>
        <c:axId val="507329022"/>
        <c:axId val="579085814"/>
      </c:barChart>
      <c:catAx>
        <c:axId val="5073290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9085814"/>
        <c:crosses val="autoZero"/>
        <c:auto val="1"/>
        <c:lblAlgn val="ctr"/>
        <c:lblOffset val="100"/>
        <c:noMultiLvlLbl val="0"/>
      </c:catAx>
      <c:valAx>
        <c:axId val="579085814"/>
        <c:scaling>
          <c:orientation val="minMax"/>
        </c:scaling>
        <c:delete val="0"/>
        <c:axPos val="l"/>
        <c:majorGridlines>
          <c:spPr>
            <a:ln w="9525" cap="flat" cmpd="sng" algn="ctr">
              <a:solidFill>
                <a:schemeClr val="lt1">
                  <a:lumMod val="902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329022"/>
        <c:crosses val="autoZero"/>
        <c:crossBetween val="between"/>
      </c:valAx>
      <c:spPr>
        <a:noFill/>
        <a:ln>
          <a:noFill/>
        </a:ln>
        <a:effectLst/>
      </c:spPr>
    </c:plotArea>
    <c:legend>
      <c:legendPos val="b"/>
      <c:legendEntry>
        <c:idx val="1"/>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900d47-786c-40e9-a653-4dd099d525b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tx1">
                    <a:lumMod val="75000"/>
                    <a:lumOff val="25000"/>
                  </a:schemeClr>
                </a:solidFill>
                <a:latin typeface="+mn-lt"/>
                <a:ea typeface="+mn-ea"/>
                <a:cs typeface="+mn-cs"/>
              </a:defRPr>
            </a:pPr>
            <a:r>
              <a:rPr sz="1440"/>
              <a:t>四数趋势对比图</a:t>
            </a:r>
            <a:endParaRPr sz="1440"/>
          </a:p>
        </c:rich>
      </c:tx>
      <c:layout/>
      <c:overlay val="0"/>
      <c:spPr>
        <a:noFill/>
        <a:ln>
          <a:noFill/>
        </a:ln>
        <a:effectLst/>
      </c:spPr>
    </c:title>
    <c:autoTitleDeleted val="0"/>
    <c:plotArea>
      <c:layout/>
      <c:barChart>
        <c:barDir val="col"/>
        <c:grouping val="stacked"/>
        <c:varyColors val="0"/>
        <c:ser>
          <c:idx val="0"/>
          <c:order val="0"/>
          <c:tx>
            <c:strRef>
              <c:f>[2024年妇联序时账底稿.xlsx]汇总1!$C$121</c:f>
              <c:strCache>
                <c:ptCount val="1"/>
                <c:pt idx="0">
                  <c:v>人员经费</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[2024年妇联序时账底稿.xlsx]汇总1!$D$120:$G$120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[2024年妇联序时账底稿.xlsx]汇总1!$D$121:$G$121</c:f>
              <c:numCache>
                <c:formatCode>0.00%</c:formatCode>
                <c:ptCount val="4"/>
                <c:pt idx="0">
                  <c:v>0.665374278154525</c:v>
                </c:pt>
                <c:pt idx="1">
                  <c:v>0.459835140066816</c:v>
                </c:pt>
                <c:pt idx="2">
                  <c:v>0.466011966802937</c:v>
                </c:pt>
                <c:pt idx="3">
                  <c:v>0.645870753257569</c:v>
                </c:pt>
              </c:numCache>
            </c:numRef>
          </c:val>
        </c:ser>
        <c:ser>
          <c:idx val="1"/>
          <c:order val="1"/>
          <c:tx>
            <c:strRef>
              <c:f>[2024年妇联序时账底稿.xlsx]汇总1!$C$122</c:f>
              <c:strCache>
                <c:ptCount val="1"/>
                <c:pt idx="0">
                  <c:v>公用经费</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[2024年妇联序时账底稿.xlsx]汇总1!$D$120:$G$120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[2024年妇联序时账底稿.xlsx]汇总1!$D$122:$G$122</c:f>
              <c:numCache>
                <c:formatCode>0.00%</c:formatCode>
                <c:ptCount val="4"/>
                <c:pt idx="0">
                  <c:v>0.0261170178495233</c:v>
                </c:pt>
                <c:pt idx="1">
                  <c:v>0.0244685510402835</c:v>
                </c:pt>
                <c:pt idx="2">
                  <c:v>0.0182917243041626</c:v>
                </c:pt>
                <c:pt idx="3">
                  <c:v>0.0596567202429455</c:v>
                </c:pt>
              </c:numCache>
            </c:numRef>
          </c:val>
        </c:ser>
        <c:ser>
          <c:idx val="2"/>
          <c:order val="2"/>
          <c:tx>
            <c:strRef>
              <c:f>[2024年妇联序时账底稿.xlsx]汇总1!$C$123</c:f>
              <c:strCache>
                <c:ptCount val="1"/>
                <c:pt idx="0">
                  <c:v>项目支出</c:v>
                </c:pt>
              </c:strCache>
            </c:strRef>
          </c:tx>
          <c:spPr>
            <a:solidFill>
              <a:schemeClr val="bg1">
                <a:lumMod val="85000"/>
              </a:schemeClr>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[2024年妇联序时账底稿.xlsx]汇总1!$D$120:$G$120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[2024年妇联序时账底稿.xlsx]汇总1!$D$123:$G$123</c:f>
              <c:numCache>
                <c:formatCode>0.00%</c:formatCode>
                <c:ptCount val="4"/>
                <c:pt idx="0">
                  <c:v>0.308508703995951</c:v>
                </c:pt>
                <c:pt idx="1">
                  <c:v>0.515696308892901</c:v>
                </c:pt>
                <c:pt idx="2">
                  <c:v>0.515696308892901</c:v>
                </c:pt>
                <c:pt idx="3">
                  <c:v>0.294472526499486</c:v>
                </c:pt>
              </c:numCache>
            </c:numRef>
          </c:val>
        </c:ser>
        <c:dLbls>
          <c:showLegendKey val="0"/>
          <c:showVal val="1"/>
          <c:showCatName val="0"/>
          <c:showSerName val="0"/>
          <c:showPercent val="0"/>
          <c:showBubbleSize val="0"/>
        </c:dLbls>
        <c:gapWidth val="54"/>
        <c:overlap val="100"/>
        <c:serLines>
          <c:spPr>
            <a:ln w="19050" cap="flat" cmpd="sng" algn="ctr">
              <a:solidFill>
                <a:schemeClr val="tx1"/>
              </a:solidFill>
              <a:round/>
              <a:headEnd type="triangle"/>
            </a:ln>
            <a:effectLst/>
          </c:spPr>
        </c:serLines>
        <c:axId val="529321734"/>
        <c:axId val="511597584"/>
      </c:barChart>
      <c:catAx>
        <c:axId val="52932173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11597584"/>
        <c:crosses val="autoZero"/>
        <c:auto val="1"/>
        <c:lblAlgn val="ctr"/>
        <c:lblOffset val="100"/>
        <c:noMultiLvlLbl val="0"/>
      </c:catAx>
      <c:valAx>
        <c:axId val="511597584"/>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52932173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0921950d-d2a8-4107-9437-f5c65728455b}"/>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1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fd96ab6a-12e8-4cae-ba1a-681e7e382288</errorID>
      <errorWord>[2025]</errorWord>
      <group>L1_Punc</group>
      <groupName>标点问题</groupName>
      <ability>L2_Punc</ability>
      <abilityName>标点符号检查</abilityName>
      <candidateList>
        <item>〔2025〕</item>
      </candidateList>
      <explain/>
      <paraID>59FC2698</paraID>
      <start>5</start>
      <end>11</end>
      <status>unmodified</status>
      <modifiedWord/>
      <trackRevisions>false</trackRevisions>
    </reviewItem>
    <reviewItem>
      <errorID>2fe710ee-0e8f-4647-b490-3e2991270104</errorID>
      <errorWord>[2025]</errorWord>
      <group>L1_Punc</group>
      <groupName>标点问题</groupName>
      <ability>L2_Punc</ability>
      <abilityName>标点符号检查</abilityName>
      <candidateList>
        <item>〔2025〕</item>
      </candidateList>
      <explain/>
      <paraID>18CF8679</paraID>
      <start>5</start>
      <end>11</end>
      <status>unmodified</status>
      <modifiedWord/>
      <trackRevisions>false</trackRevisions>
    </reviewItem>
    <reviewItem>
      <errorID>34799957-a735-4ec3-99b8-515eca6a6f29</errorID>
      <errorWord>。</errorWord>
      <group>L1_Grammar</group>
      <groupName>语法问题</groupName>
      <ability>L2_Missing</ability>
      <abilityName>成分残缺</abilityName>
      <candidateList>
        <item>的步骤。</item>
      </candidateList>
      <explain>句子中可能存在主谓宾、修饰语或者必要的词语残缺。</explain>
      <paraID>46E904E7</paraID>
      <start>108</start>
      <end>109</end>
      <status>unmodified</status>
      <modifiedWord/>
      <trackRevisions>false</trackRevisions>
    </reviewItem>
    <reviewItem>
      <errorID>7c350ec7-dc2c-4f25-8545-da5ee372be17</errorID>
      <errorWord>括</errorWord>
      <group>L1_Word</group>
      <groupName>字词问题</groupName>
      <ability>L2_Typo</ability>
      <abilityName>字词错误</abilityName>
      <candidateList>
        <item>括但</item>
      </candidateList>
      <explain/>
      <paraID> 68AC208</paraID>
      <start>30</start>
      <end>31</end>
      <status>unmodified</status>
      <modifiedWord/>
      <trackRevisions>false</trackRevisions>
    </reviewItem>
    <reviewItem>
      <errorID>5c497209-2660-46b0-ab77-8e504572e249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7E639943</paraID>
      <start>0</start>
      <end>2</end>
      <status>unmodified</status>
      <modifiedWord/>
      <trackRevisions>false</trackRevisions>
    </reviewItem>
    <reviewItem>
      <errorID>2582e735-f6a2-4b98-9e5b-88d8b6186428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70207DD6</paraID>
      <start>0</start>
      <end>2</end>
      <status>unmodified</status>
      <modifiedWord/>
      <trackRevisions>false</trackRevisions>
    </reviewItem>
    <reviewItem>
      <errorID>5a4d6033-7248-46aa-88cf-f4c923ffd864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54B859B</paraID>
      <start>0</start>
      <end>2</end>
      <status>unmodified</status>
      <modifiedWord/>
      <trackRevisions>false</trackRevisions>
    </reviewItem>
    <reviewItem>
      <errorID>9cc6e173-42de-408d-a2c1-fcde0a9a52ca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393EE0EE</paraID>
      <start>0</start>
      <end>2</end>
      <status>unmodified</status>
      <modifiedWord/>
      <trackRevisions>false</trackRevisions>
    </reviewItem>
    <reviewItem>
      <errorID>90e80cfb-378e-4abe-8bd7-777be30a4ac8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95FF3AA</paraID>
      <start>0</start>
      <end>2</end>
      <status>unmodified</status>
      <modifiedWord/>
      <trackRevisions>false</trackRevisions>
    </reviewItem>
    <reviewItem>
      <errorID>c479db1e-350f-4c75-a18a-2cdfb37e4349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58819D15</paraID>
      <start>0</start>
      <end>2</end>
      <status>unmodified</status>
      <modifiedWord/>
      <trackRevisions>false</trackRevisions>
    </reviewItem>
    <reviewItem>
      <errorID>0873d253-35d7-441a-b6cc-2377a7951839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4C76F82A</paraID>
      <start>0</start>
      <end>2</end>
      <status>unmodified</status>
      <modifiedWord/>
      <trackRevisions>false</trackRevisions>
    </reviewItem>
    <reviewItem>
      <errorID>68830398-8097-48a6-8522-d021b2334426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4CD93FB7</paraID>
      <start>0</start>
      <end>2</end>
      <status>unmodified</status>
      <modifiedWord/>
      <trackRevisions>false</trackRevisions>
    </reviewItem>
    <reviewItem>
      <errorID>dee31916-2b36-4937-97ed-ebdbf6613ba2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531721EF</paraID>
      <start>0</start>
      <end>2</end>
      <status>unmodified</status>
      <modifiedWord/>
      <trackRevisions>false</trackRevisions>
    </reviewItem>
    <reviewItem>
      <errorID>6a2f4bf8-3ec3-4c70-b75e-705e84b6ce09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4391BE99</paraID>
      <start>0</start>
      <end>3</end>
      <status>unmodified</status>
      <modifiedWord/>
      <trackRevisions>false</trackRevisions>
    </reviewItem>
    <reviewItem>
      <errorID>9518cf8e-b88a-45ff-b695-2c087ffa2114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63EC011E</paraID>
      <start>0</start>
      <end>3</end>
      <status>unmodified</status>
      <modifiedWord/>
      <trackRevisions>false</trackRevisions>
    </reviewItem>
    <reviewItem>
      <errorID>af5ba320-b4da-4bc2-9206-201875d94ada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4C67DECB</paraID>
      <start>0</start>
      <end>3</end>
      <status>unmodified</status>
      <modifiedWord/>
      <trackRevisions>false</trackRevisions>
    </reviewItem>
    <reviewItem>
      <errorID>f1a8eb7e-bbb8-4ebc-a8da-3fa72d65f3f5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36A5A86A</paraID>
      <start>0</start>
      <end>3</end>
      <status>unmodified</status>
      <modifiedWord/>
      <trackRevisions>false</trackRevisions>
    </reviewItem>
    <reviewItem>
      <errorID>611ca8ad-65a2-487d-a741-49e096f4b638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1BAE7B51</paraID>
      <start>0</start>
      <end>3</end>
      <status>unmodified</status>
      <modifiedWord/>
      <trackRevisions>false</trackRevisions>
    </reviewItem>
    <reviewItem>
      <errorID>2f116a82-9520-4087-ab62-ccd3f10b32d2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3AEBA156</paraID>
      <start>0</start>
      <end>3</end>
      <status>unmodified</status>
      <modifiedWord/>
      <trackRevisions>false</trackRevisions>
    </reviewItem>
    <reviewItem>
      <errorID>0138ddbd-244b-478a-8806-15c2e034352d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5D2E8234</paraID>
      <start>0</start>
      <end>3</end>
      <status>unmodified</status>
      <modifiedWord/>
      <trackRevisions>false</trackRevisions>
    </reviewItem>
    <reviewItem>
      <errorID>8e86d94e-ce66-48ad-8912-6d00df6006a5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D4C8011</paraID>
      <start>0</start>
      <end>3</end>
      <status>unmodified</status>
      <modifiedWord/>
      <trackRevisions>false</trackRevisions>
    </reviewItem>
    <reviewItem>
      <errorID>8f9aa1ef-6f48-4351-bc97-5cd4eb3ee7d5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D4C8011</paraID>
      <start>10</start>
      <end>12</end>
      <status>unmodified</status>
      <modifiedWord/>
      <trackRevisions>false</trackRevisions>
    </reviewItem>
    <reviewItem>
      <errorID>7189fa59-e66b-4753-b0ba-9ed24af9b160</errorID>
      <errorWord>。</errorWord>
      <group>L1_Grammar</group>
      <groupName>语法问题</groupName>
      <ability>L2_Missing</ability>
      <abilityName>成分残缺</abilityName>
      <candidateList>
        <item>作出明确。</item>
      </candidateList>
      <explain>句子中可能存在主谓宾、修饰语或者必要的词语残缺。</explain>
      <paraID> D4C8011</paraID>
      <start>30</start>
      <end>31</end>
      <status>unmodified</status>
      <modifiedWord/>
      <trackRevisions>false</trackRevisions>
    </reviewItem>
    <reviewItem>
      <errorID>2bcb068b-e049-4ce6-8c10-3dd8b64b69be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4AF561C1</paraID>
      <start>0</start>
      <end>3</end>
      <status>unmodified</status>
      <modifiedWord/>
      <trackRevisions>false</trackRevisions>
    </reviewItem>
    <reviewItem>
      <errorID>6ef456cd-8998-45f3-874f-ce3e42cebda4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71A41B9F</paraID>
      <start>0</start>
      <end>3</end>
      <status>unmodified</status>
      <modifiedWord/>
      <trackRevisions>false</trackRevisions>
    </reviewItem>
    <reviewItem>
      <errorID>ad3446f7-66bd-4110-984d-316312393902</errorID>
      <errorWord>[2017]409号</errorWord>
      <group>L1_Knowledge</group>
      <groupName>知识性问题</groupName>
      <ability>L2_Knowledge</ability>
      <abilityName>其他知识</abilityName>
      <candidateList>
        <item>〔2017〕409号</item>
      </candidateList>
      <explain>发文字号格式错误。</explain>
      <paraID>71A41B9F</paraID>
      <start>20</start>
      <end>30</end>
      <status>unmodified</status>
      <modifiedWord/>
      <trackRevisions>false</trackRevisions>
    </reviewItem>
    <reviewItem>
      <errorID>95dfca28-94e1-45f7-80df-a3261b98d512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34DA055C</paraID>
      <start>0</start>
      <end>3</end>
      <status>unmodified</status>
      <modifiedWord/>
      <trackRevisions>false</trackRevisions>
    </reviewItem>
    <reviewItem>
      <errorID>66ffe559-74c3-473e-831c-1b0e619d4a38</errorID>
      <errorWord>[2018]467号</errorWord>
      <group>L1_Knowledge</group>
      <groupName>知识性问题</groupName>
      <ability>L2_Knowledge</ability>
      <abilityName>其他知识</abilityName>
      <candidateList>
        <item>〔2018〕467号</item>
      </candidateList>
      <explain>发文字号格式错误。</explain>
      <paraID>34DA055C</paraID>
      <start>14</start>
      <end>24</end>
      <status>unmodified</status>
      <modifiedWord/>
      <trackRevisions>false</trackRevisions>
    </reviewItem>
    <reviewItem>
      <errorID>dcee2ba9-e660-405f-879f-27e6febfb9a2</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73E24FFD</paraID>
      <start>0</start>
      <end>3</end>
      <status>unmodified</status>
      <modifiedWord/>
      <trackRevisions>false</trackRevisions>
    </reviewItem>
    <reviewItem>
      <errorID>10046c7f-e3db-4279-acdf-0534679e5da2</errorID>
      <errorWord>[2025]6号</errorWord>
      <group>L1_Knowledge</group>
      <groupName>知识性问题</groupName>
      <ability>L2_Knowledge</ability>
      <abilityName>其他知识</abilityName>
      <candidateList>
        <item>〔2025〕6号</item>
      </candidateList>
      <explain>发文字号格式错误。</explain>
      <paraID>73E24FFD</paraID>
      <start>28</start>
      <end>36</end>
      <status>unmodified</status>
      <modifiedWord/>
      <trackRevisions>false</trackRevisions>
    </reviewItem>
    <reviewItem>
      <errorID>a4d9d0cc-b40c-402c-878a-b99dfa7e2fa2</errorID>
      <errorWord>。</errorWord>
      <group>L1_Grammar</group>
      <groupName>语法问题</groupName>
      <ability>L2_Missing</ability>
      <abilityName>成分残缺</abilityName>
      <candidateList>
        <item>已经印发。</item>
      </candidateList>
      <explain>句子中可能存在主谓宾、修饰语或者必要的词语残缺。</explain>
      <paraID>73E24FFD</paraID>
      <start>59</start>
      <end>60</end>
      <status>unmodified</status>
      <modifiedWord/>
      <trackRevisions>false</trackRevisions>
    </reviewItem>
    <reviewItem>
      <errorID>9860f423-efa7-42d9-a4bc-2df8f115ed39</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18017CDF</paraID>
      <start>0</start>
      <end>3</end>
      <status>unmodified</status>
      <modifiedWord/>
      <trackRevisions>false</trackRevisions>
    </reviewItem>
    <reviewItem>
      <errorID>7812e1e4-412b-4ab9-b887-baa0ba26ee49</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1CC63EDA</paraID>
      <start>0</start>
      <end>3</end>
      <status>unmodified</status>
      <modifiedWord/>
      <trackRevisions>false</trackRevisions>
    </reviewItem>
    <reviewItem>
      <errorID>86305249-09da-4eb8-8ffa-b7846e07a1bd</errorID>
      <errorWord>；</errorWord>
      <group>L1_Word</group>
      <groupName>字词问题</groupName>
      <ability>L2_Typo</ability>
      <abilityName>字词错误</abilityName>
      <candidateList>
        <item>；要</item>
      </candidateList>
      <explain/>
      <paraID>2059990C</paraID>
      <start>83</start>
      <end>84</end>
      <status>unmodified</status>
      <modifiedWord/>
      <trackRevisions>false</trackRevisions>
    </reviewItem>
    <reviewItem>
      <errorID>74e8aab5-0137-48a0-bc16-bb21b6516cef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38E0E05A</paraID>
      <start>2</start>
      <end>4</end>
      <status>unmodified</status>
      <modifiedWord/>
      <trackRevisions>false</trackRevisions>
    </reviewItem>
    <reviewItem>
      <errorID>4e0d8db9-70d4-4fdd-8c8c-50d16877065d</errorID>
      <errorWord>领头雁</errorWord>
      <group>L1_Political</group>
      <groupName>政治性问题</groupName>
      <ability>L2_Keyword</ability>
      <abilityName>固定表述</abilityName>
      <candidateList>
        <item>‘领头雁’</item>
      </candidateList>
      <explain>注意检查当前固定表述标点是否使用规范。</explain>
      <paraID>38E0E05A</paraID>
      <start>220</start>
      <end>223</end>
      <status>unmodified</status>
      <modifiedWord/>
      <trackRevisions>false</trackRevisions>
    </reviewItem>
    <reviewItem>
      <errorID>b9537c2e-961f-4dfc-a585-42ff48291d2a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3A292EE</paraID>
      <start>0</start>
      <end>2</end>
      <status>unmodified</status>
      <modifiedWord/>
      <trackRevisions>false</trackRevisions>
    </reviewItem>
    <reviewItem>
      <errorID>598503bb-b521-442a-868c-b3b80b3682fc</errorID>
      <errorWord>，在</errorWord>
      <group>L1_Word</group>
      <groupName>字词问题</groupName>
      <ability>L2_Typo</ability>
      <abilityName>字词错误</abilityName>
      <candidateList>
        <item>，</item>
      </candidateList>
      <explain/>
      <paraID> 3A292EE</paraID>
      <start>38</start>
      <end>40</end>
      <status>unmodified</status>
      <modifiedWord/>
      <trackRevisions>false</trackRevisions>
    </reviewItem>
    <reviewItem>
      <errorID>4a82b32e-db57-4ea3-9565-21617b6fce8e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429CA26B</paraID>
      <start>0</start>
      <end>2</end>
      <status>unmodified</status>
      <modifiedWord/>
      <trackRevisions>false</trackRevisions>
    </reviewItem>
    <reviewItem>
      <errorID>a4455b72-241c-457c-a6a6-1967ac28c5b5</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429CA26B</paraID>
      <start>90</start>
      <end>100</end>
      <status>modified</status>
      <modifiedWord>中华人民共和国民法典</modifiedWord>
      <trackRevisions>false</trackRevisions>
    </reviewItem>
    <reviewItem>
      <errorID>1d2e7915-d902-43c7-b16f-23d6009d4428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429CA26B</paraID>
      <start>100</start>
      <end>103</end>
      <status>unmodified</status>
      <modifiedWord/>
      <trackRevisions>false</trackRevisions>
    </reviewItem>
    <reviewItem>
      <errorID>e6bf8583-c540-4467-83d8-760415441fb9</errorID>
      <errorWord>未成年人保护法</errorWord>
      <group>L1_Knowledge</group>
      <groupName>知识性问题</groupName>
      <ability>L2_Knowledge</ability>
      <abilityName>其他知识</abilityName>
      <candidateList>
        <item>中华人民共和国未成年人保护法</item>
      </candidateList>
      <explain>当前法律法规名称使用简称，请注意是否应当使用全称。</explain>
      <paraID>429CA26B</paraID>
      <start>103</start>
      <end>117</end>
      <status>modified</status>
      <modifiedWord>中华人民共和国未成年人保护法</modifiedWord>
      <trackRevisions>false</trackRevisions>
    </reviewItem>
    <reviewItem>
      <errorID>d28f508d-7948-46ff-a0df-ad5a30dea7cc</errorID>
      <errorWord>提高</errorWord>
      <group>L1_Word</group>
      <groupName>字词问题</groupName>
      <ability>L2_Typo</ability>
      <abilityName>字词错误</abilityName>
      <candidateList>
        <item>增强</item>
      </candidateList>
      <explain>“提高～意识”搭配不当，建议修改为“增强～意识”。</explain>
      <paraID>429CA26B</paraID>
      <start>244</start>
      <end>246</end>
      <status>modified</status>
      <modifiedWord>增强</modifiedWord>
      <trackRevisions>false</trackRevisions>
    </reviewItem>
    <reviewItem>
      <errorID>f219b384-2d1e-4ada-bd51-daef50022fd2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4955CC23</paraID>
      <start>0</start>
      <end>2</end>
      <status>unmodified</status>
      <modifiedWord/>
      <trackRevisions>false</trackRevisions>
    </reviewItem>
    <reviewItem>
      <errorID>8361dae4-6400-4b85-8d11-0d42f97860cb</errorID>
      <errorWord>截止</errorWord>
      <group>L1_Word</group>
      <groupName>字词问题</groupName>
      <ability>L2_Typo</ability>
      <abilityName>字词错误</abilityName>
      <candidateList>
        <item>截至</item>
      </candidateList>
      <explain>存在发音相同字词的误用。</explain>
      <paraID>4955CC23</paraID>
      <start>149</start>
      <end>151</end>
      <status>modified</status>
      <modifiedWord>截至</modifiedWord>
      <trackRevisions>false</trackRevisions>
    </reviewItem>
    <reviewItem>
      <errorID>6201765a-b97a-4936-8ea9-5ebb481a6025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6022449A</paraID>
      <start>0</start>
      <end>2</end>
      <status>unmodified</status>
      <modifiedWord/>
      <trackRevisions>false</trackRevisions>
    </reviewItem>
    <reviewItem>
      <errorID>b1cd57be-c756-451b-97f1-545b392c4717</errorID>
      <errorWord>部</errorWord>
      <group>L1_Word</group>
      <groupName>字词问题</groupName>
      <ability>L2_Typo</ability>
      <abilityName>字词错误</abilityName>
      <candidateList>
        <item>部部</item>
      </candidateList>
      <explain/>
      <paraID>6022449A</paraID>
      <start>200</start>
      <end>201</end>
      <status>unmodified</status>
      <modifiedWord/>
      <trackRevisions>false</trackRevisions>
    </reviewItem>
    <reviewItem>
      <errorID>18ac635c-a8ae-4c12-83de-2a1e97cd040d</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6022449A</paraID>
      <start>204</start>
      <end>207</end>
      <status>unmodified</status>
      <modifiedWord/>
      <trackRevisions>false</trackRevisions>
    </reviewItem>
    <reviewItem>
      <errorID>3b849097-b840-4032-86be-4e4685f6a013</errorID>
      <errorWord>截止</errorWord>
      <group>L1_Word</group>
      <groupName>字词问题</groupName>
      <ability>L2_Typo</ability>
      <abilityName>字词错误</abilityName>
      <candidateList>
        <item>截至</item>
      </candidateList>
      <explain>存在发音相同字词的误用。</explain>
      <paraID>6022449A</paraID>
      <start>323</start>
      <end>325</end>
      <status>unmodified</status>
      <modifiedWord/>
      <trackRevisions>false</trackRevisions>
    </reviewItem>
    <reviewItem>
      <errorID>d0e2dfe4-6901-40ab-9c39-302b56b38c63</errorID>
      <errorWord>(</errorWord>
      <group>L1_Format</group>
      <groupName>格式问题</groupName>
      <ability>L2_HalfPunc</ability>
      <abilityName>全半角检查</abilityName>
      <candidateList>
        <item>（</item>
      </candidateList>
      <explain>文本全半角错误。</explain>
      <paraID>7E2AC065</paraID>
      <start>35</start>
      <end>36</end>
      <status>unmodified</status>
      <modifiedWord/>
      <trackRevisions>false</trackRevisions>
    </reviewItem>
    <reviewItem>
      <errorID>5778cf85-dd1e-432d-a0dc-f6b96be749e6</errorID>
      <errorWord>)</errorWord>
      <group>L1_Format</group>
      <groupName>格式问题</groupName>
      <ability>L2_HalfPunc</ability>
      <abilityName>全半角检查</abilityName>
      <candidateList>
        <item>）</item>
      </candidateList>
      <explain>文本全半角错误。</explain>
      <paraID>7E2AC065</paraID>
      <start>95</start>
      <end>96</end>
      <status>unmodified</status>
      <modifiedWord/>
      <trackRevisions>false</trackRevisions>
    </reviewItem>
    <reviewItem>
      <errorID>316884fd-bf94-4b03-ac02-2b5d27c0f71c</errorID>
      <errorWord>-</errorWord>
      <group>L1_Format</group>
      <groupName>格式问题</groupName>
      <ability>L2_HalfPunc</ability>
      <abilityName>全半角检查</abilityName>
      <candidateList>
        <item>－</item>
      </candidateList>
      <explain>文本全半角错误。</explain>
      <paraID> E4BBADD</paraID>
      <start>21</start>
      <end>22</end>
      <status>unmodified</status>
      <modifiedWord/>
      <trackRevisions>false</trackRevisions>
    </reviewItem>
    <reviewItem>
      <errorID>c8fbf95b-d27c-4fb2-b9db-d0695d573458</errorID>
      <errorWord>-</errorWord>
      <group>L1_Format</group>
      <groupName>格式问题</groupName>
      <ability>L2_HalfPunc</ability>
      <abilityName>全半角检查</abilityName>
      <candidateList>
        <item>－</item>
      </candidateList>
      <explain>文本全半角错误。</explain>
      <paraID> E4BBADD</paraID>
      <start>31</start>
      <end>32</end>
      <status>unmodified</status>
      <modifiedWord/>
      <trackRevisions>false</trackRevisions>
    </reviewItem>
    <reviewItem>
      <errorID>a4458a48-bf79-446f-8243-28233fcd99e4</errorID>
      <errorWord>-</errorWord>
      <group>L1_Format</group>
      <groupName>格式问题</groupName>
      <ability>L2_HalfPunc</ability>
      <abilityName>全半角检查</abilityName>
      <candidateList>
        <item>－</item>
      </candidateList>
      <explain>文本全半角错误。</explain>
      <paraID> E4BBADD</paraID>
      <start>55</start>
      <end>56</end>
      <status>unmodified</status>
      <modifiedWord/>
      <trackRevisions>false</trackRevisions>
    </reviewItem>
    <reviewItem>
      <errorID>4af99dcc-d1d1-42c7-8945-15b9ee45b92a</errorID>
      <errorWord>-</errorWord>
      <group>L1_Format</group>
      <groupName>格式问题</groupName>
      <ability>L2_HalfPunc</ability>
      <abilityName>全半角检查</abilityName>
      <candidateList>
        <item>－</item>
      </candidateList>
      <explain>文本全半角错误。</explain>
      <paraID> E4BBADD</paraID>
      <start>115</start>
      <end>116</end>
      <status>unmodified</status>
      <modifiedWord/>
      <trackRevisions>false</trackRevisions>
    </reviewItem>
    <reviewItem>
      <errorID>8eb99e40-4243-47cf-bd65-91bc32e69da7</errorID>
      <errorWord>-</errorWord>
      <group>L1_Format</group>
      <groupName>格式问题</groupName>
      <ability>L2_HalfPunc</ability>
      <abilityName>全半角检查</abilityName>
      <candidateList>
        <item>－</item>
      </candidateList>
      <explain>文本全半角错误。</explain>
      <paraID>483A402F</paraID>
      <start>6</start>
      <end>7</end>
      <status>unmodified</status>
      <modifiedWord/>
      <trackRevisions>false</trackRevisions>
    </reviewItem>
    <reviewItem>
      <errorID>acb6478a-274f-44ca-89df-1cda99889040</errorID>
      <errorWord>-</errorWord>
      <group>L1_Format</group>
      <groupName>格式问题</groupName>
      <ability>L2_HalfPunc</ability>
      <abilityName>全半角检查</abilityName>
      <candidateList>
        <item>－</item>
      </candidateList>
      <explain>文本全半角错误。</explain>
      <paraID> 74A5260</paraID>
      <start>6</start>
      <end>7</end>
      <status>unmodified</status>
      <modifiedWord/>
      <trackRevisions>false</trackRevisions>
    </reviewItem>
    <reviewItem>
      <errorID>8a5d121c-965f-43db-ad9f-bd86083a27f6</errorID>
      <errorWord>8号</errorWord>
      <group>L1_Knowledge</group>
      <groupName>知识性问题</groupName>
      <ability>L2_Time</ability>
      <abilityName>日期时间</abilityName>
      <candidateList>
        <item>8日</item>
      </candidateList>
      <explain>日期表达规范为x月x日。</explain>
      <paraID>7A04196A</paraID>
      <start>28</start>
      <end>30</end>
      <status>unmodified</status>
      <modifiedWord/>
      <trackRevisions>false</trackRevisions>
    </reviewItem>
    <reviewItem>
      <errorID>4532cbab-383f-4a5e-ad2e-3d330e6a321d</errorID>
      <errorWord>2号</errorWord>
      <group>L1_Knowledge</group>
      <groupName>知识性问题</groupName>
      <ability>L2_Time</ability>
      <abilityName>日期时间</abilityName>
      <candidateList>
        <item>2日</item>
      </candidateList>
      <explain>日期表达规范为x月x日。</explain>
      <paraID>7A04196A</paraID>
      <start>83</start>
      <end>85</end>
      <status>unmodified</status>
      <modifiedWord/>
      <trackRevisions>false</trackRevisions>
    </reviewItem>
    <reviewItem>
      <errorID>645834e6-8b4a-4cea-b648-ff3e59790ac2</errorID>
      <errorWord>4号</errorWord>
      <group>L1_Knowledge</group>
      <groupName>知识性问题</groupName>
      <ability>L2_Time</ability>
      <abilityName>日期时间</abilityName>
      <candidateList>
        <item>4日</item>
      </candidateList>
      <explain>日期表达规范为x月x日。</explain>
      <paraID>7A04196A</paraID>
      <start>145</start>
      <end>147</end>
      <status>unmodified</status>
      <modifiedWord/>
      <trackRevisions>false</trackRevisions>
    </reviewItem>
    <reviewItem>
      <errorID>8cc86f3e-a861-4610-bfde-916579f1960b</errorID>
      <errorWord>3号</errorWord>
      <group>L1_Knowledge</group>
      <groupName>知识性问题</groupName>
      <ability>L2_Time</ability>
      <abilityName>日期时间</abilityName>
      <candidateList>
        <item>3日</item>
      </candidateList>
      <explain>日期表达规范为x月x日。</explain>
      <paraID>7A04196A</paraID>
      <start>212</start>
      <end>214</end>
      <status>unmodified</status>
      <modifiedWord/>
      <trackRevisions>false</trackRevisions>
    </reviewItem>
    <reviewItem>
      <errorID>3e653124-6fe2-4c80-a31a-94c788ed308b</errorID>
      <errorWord>,</errorWord>
      <group>L1_Format</group>
      <groupName>格式问题</groupName>
      <ability>L2_HalfPunc</ability>
      <abilityName>全半角检查</abilityName>
      <candidateList>
        <item>，</item>
      </candidateList>
      <explain>文本全半角错误。</explain>
      <paraID>7A04196A</paraID>
      <start>285</start>
      <end>286</end>
      <status>unmodified</status>
      <modifiedWord/>
      <trackRevisions>false</trackRevisions>
    </reviewItem>
    <reviewItem>
      <errorID>b772ad14-2c7e-4308-bba3-c4e828cf61e4</errorID>
      <errorWord>,</errorWord>
      <group>L1_Format</group>
      <groupName>格式问题</groupName>
      <ability>L2_HalfPunc</ability>
      <abilityName>全半角检查</abilityName>
      <candidateList>
        <item>，</item>
      </candidateList>
      <explain>文本全半角错误。</explain>
      <paraID>7A04196A</paraID>
      <start>298</start>
      <end>299</end>
      <status>unmodified</status>
      <modifiedWord/>
      <trackRevisions>false</trackRevisions>
    </reviewItem>
    <reviewItem>
      <errorID>165ad6b4-e610-467d-8bce-5fa9acecf73a</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6C95C375</paraID>
      <start>2</start>
      <end>6</end>
      <status>unmodified</status>
      <modifiedWord/>
      <trackRevisions>false</trackRevisions>
    </reviewItem>
    <reviewItem>
      <errorID>6b288a0e-94db-4f39-81b2-884b1dd7b0e7</errorID>
      <errorWord>数</errorWord>
      <group>L1_Word</group>
      <groupName>字词问题</groupName>
      <ability>L2_Typo</ability>
      <abilityName>字词错误</abilityName>
      <candidateList>
        <item>数据</item>
      </candidateList>
      <explain/>
      <paraID>6C95C375</paraID>
      <start>9</start>
      <end>10</end>
      <status>unmodified</status>
      <modifiedWord/>
      <trackRevisions>false</trackRevisions>
    </reviewItem>
    <reviewItem>
      <errorID>261fa384-f6ba-4d0e-9ca7-6a2ebcac5643</errorID>
      <errorWord>-</errorWord>
      <group>L1_Format</group>
      <groupName>格式问题</groupName>
      <ability>L2_HalfPunc</ability>
      <abilityName>全半角检查</abilityName>
      <candidateList>
        <item>－</item>
      </candidateList>
      <explain>文本全半角错误。</explain>
      <paraID>1100C993</paraID>
      <start>4</start>
      <end>5</end>
      <status>unmodified</status>
      <modifiedWord/>
      <trackRevisions>false</trackRevisions>
    </reviewItem>
    <reviewItem>
      <errorID>78f00967-9368-4083-ba36-93d17edf9a7b</errorID>
      <errorWord>-</errorWord>
      <group>L1_Format</group>
      <groupName>格式问题</groupName>
      <ability>L2_HalfPunc</ability>
      <abilityName>全半角检查</abilityName>
      <candidateList>
        <item>－</item>
      </candidateList>
      <explain>文本全半角错误。</explain>
      <paraID>1100C993</paraID>
      <start>9</start>
      <end>10</end>
      <status>unmodified</status>
      <modifiedWord/>
      <trackRevisions>false</trackRevisions>
    </reviewItem>
    <reviewItem>
      <errorID>02e18891-4fe1-4b90-a6d6-480fe0e12339</errorID>
      <errorWord>-</errorWord>
      <group>L1_Format</group>
      <groupName>格式问题</groupName>
      <ability>L2_HalfPunc</ability>
      <abilityName>全半角检查</abilityName>
      <candidateList>
        <item>－</item>
      </candidateList>
      <explain>文本全半角错误。</explain>
      <paraID>1100C890</paraID>
      <start>21</start>
      <end>22</end>
      <status>unmodified</status>
      <modifiedWord/>
      <trackRevisions>false</trackRevisions>
    </reviewItem>
    <reviewItem>
      <errorID>f74dc787-e751-4616-af0d-46d22d24bce3</errorID>
      <errorWord>-</errorWord>
      <group>L1_Format</group>
      <groupName>格式问题</groupName>
      <ability>L2_HalfPunc</ability>
      <abilityName>全半角检查</abilityName>
      <candidateList>
        <item>－</item>
      </candidateList>
      <explain>文本全半角错误。</explain>
      <paraID>1100C890</paraID>
      <start>24</start>
      <end>25</end>
      <status>unmodified</status>
      <modifiedWord/>
      <trackRevisions>false</trackRevisions>
    </reviewItem>
    <reviewItem>
      <errorID>e3870308-0fe5-43a1-a2a5-2d97d5ae808b</errorID>
      <errorWord>程</errorWord>
      <group>L1_Word</group>
      <groupName>字词问题</groupName>
      <ability>L2_Typo</ability>
      <abilityName>字词错误</abilityName>
      <candidateList>
        <item>程中</item>
      </candidateList>
      <explain/>
      <paraID>6A19E50F</paraID>
      <start>7</start>
      <end>9</end>
      <status>modified</status>
      <modifiedWord>程中</modifiedWord>
      <trackRevisions>false</trackRevisions>
    </reviewItem>
    <reviewItem>
      <errorID>83c1401b-8d1b-45a2-8c13-f285c5f600b3</errorID>
      <errorWord>，无</errorWord>
      <group>L1_Word</group>
      <groupName>字词问题</groupName>
      <ability>L2_Typo</ability>
      <abilityName>字词错误</abilityName>
      <candidateList>
        <item>，</item>
      </candidateList>
      <explain/>
      <paraID>6A19E50F</paraID>
      <start>126</start>
      <end>128</end>
      <status>unmodified</status>
      <modifiedWord/>
      <trackRevisions>false</trackRevisions>
    </reviewItem>
    <reviewItem>
      <errorID>e153463b-49d4-45fc-bda0-2c64ded41480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6323CA7B</paraID>
      <start>9</start>
      <end>12</end>
      <status>unmodified</status>
      <modifiedWord/>
      <trackRevisions>false</trackRevisions>
    </reviewItem>
    <reviewItem>
      <errorID>bdf92fad-774c-48f0-80de-996eaf54728c</errorID>
      <errorWord>补交</errorWord>
      <group>L1_Word</group>
      <groupName>字词问题</groupName>
      <ability>L2_Typo</ability>
      <abilityName>字词错误</abilityName>
      <candidateList>
        <item>补缴</item>
      </candidateList>
      <explain>存在发音相同字词的误用。</explain>
      <paraID>6323CA7B</paraID>
      <start>119</start>
      <end>121</end>
      <status>modified</status>
      <modifiedWord>补缴</modifiedWord>
      <trackRevisions>false</trackRevisions>
    </reviewItem>
    <reviewItem>
      <errorID>37bd17fd-46cc-499b-8c6c-8e44ac7b2c94</errorID>
      <errorWord>补交</errorWord>
      <group>L1_Word</group>
      <groupName>字词问题</groupName>
      <ability>L2_Typo</ability>
      <abilityName>字词错误</abilityName>
      <candidateList>
        <item>补缴</item>
      </candidateList>
      <explain/>
      <paraID>6323CA7B</paraID>
      <start>168</start>
      <end>170</end>
      <status>modified</status>
      <modifiedWord>补缴</modifiedWord>
      <trackRevisions>false</trackRevisions>
    </reviewItem>
    <reviewItem>
      <errorID>047bd2d4-becf-4fd4-94d8-a16f03ae0d54</errorID>
      <errorWord>2号</errorWord>
      <group>L1_Knowledge</group>
      <groupName>知识性问题</groupName>
      <ability>L2_Time</ability>
      <abilityName>日期时间</abilityName>
      <candidateList>
        <item>2日</item>
      </candidateList>
      <explain>日期表达规范为x月x日。</explain>
      <paraID>10CEBBF3</paraID>
      <start>9</start>
      <end>11</end>
      <status>unmodified</status>
      <modifiedWord/>
      <trackRevisions>false</trackRevisions>
    </reviewItem>
    <reviewItem>
      <errorID>ebb00f7c-87aa-4743-be29-e7625bf075ff</errorID>
      <errorWord>1号</errorWord>
      <group>L1_Knowledge</group>
      <groupName>知识性问题</groupName>
      <ability>L2_Time</ability>
      <abilityName>日期时间</abilityName>
      <candidateList>
        <item>1日</item>
      </candidateList>
      <explain>日期表达规范为x月x日。</explain>
      <paraID>10CEBBF3</paraID>
      <start>104</start>
      <end>106</end>
      <status>unmodified</status>
      <modifiedWord/>
      <trackRevisions>false</trackRevisions>
    </reviewItem>
    <reviewItem>
      <errorID>8df57e29-959b-4d02-b8cf-5a048c059d39</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10CEBBF3</paraID>
      <start>176</start>
      <end>180</end>
      <status>unmodified</status>
      <modifiedWord/>
      <trackRevisions>false</trackRevisions>
    </reviewItem>
    <reviewItem>
      <errorID>47fcdf65-7e88-40da-9c09-ddbcdb3a6a43</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10CEBBF3</paraID>
      <start>197</start>
      <end>201</end>
      <status>unmodified</status>
      <modifiedWord/>
      <trackRevisions>false</trackRevisions>
    </reviewItem>
    <reviewItem>
      <errorID>17c3c9d5-334c-4e40-878c-2c20b68f92ba</errorID>
      <errorWord>号待</errorWord>
      <group>L1_Word</group>
      <groupName>字词问题</groupName>
      <ability>L2_Typo</ability>
      <abilityName>字词错误</abilityName>
      <candidateList>
        <item>尚待</item>
      </candidateList>
      <explain/>
      <paraID> B5938C5</paraID>
      <start>6</start>
      <end>8</end>
      <status>unmodified</status>
      <modifiedWord/>
      <trackRevisions>false</trackRevisions>
    </reviewItem>
    <reviewItem>
      <errorID>4bce6813-e7ee-4279-b8f0-180e21c3f43b</errorID>
      <errorWord>,</errorWord>
      <group>L1_Format</group>
      <groupName>格式问题</groupName>
      <ability>L2_HalfPunc</ability>
      <abilityName>全半角检查</abilityName>
      <candidateList>
        <item>，</item>
      </candidateList>
      <explain>文本全半角错误。</explain>
      <paraID> B5938C5</paraID>
      <start>10</start>
      <end>11</end>
      <status>unmodified</status>
      <modifiedWord/>
      <trackRevisions>false</trackRevisions>
    </reviewItem>
    <reviewItem>
      <errorID>40e0c81a-2897-44db-82bf-0246e3cf846e</errorID>
      <errorWord>(</errorWord>
      <group>L1_Format</group>
      <groupName>格式问题</groupName>
      <ability>L2_HalfPunc</ability>
      <abilityName>全半角检查</abilityName>
      <candidateList>
        <item>（</item>
      </candidateList>
      <explain>文本全半角错误。</explain>
      <paraID> 26A9CE0</paraID>
      <start>4</start>
      <end>5</end>
      <status>unmodified</status>
      <modifiedWord/>
      <trackRevisions>false</trackRevisions>
    </reviewItem>
    <reviewItem>
      <errorID>a423efc7-c6e3-4606-ae75-accb74b01717</errorID>
      <errorWord>)</errorWord>
      <group>L1_Format</group>
      <groupName>格式问题</groupName>
      <ability>L2_HalfPunc</ability>
      <abilityName>全半角检查</abilityName>
      <candidateList>
        <item>）</item>
      </candidateList>
      <explain>文本全半角错误。</explain>
      <paraID> 26A9CE0</paraID>
      <start>6</start>
      <end>7</end>
      <status>unmodified</status>
      <modifiedWord/>
      <trackRevisions>false</trackRevisions>
    </reviewItem>
    <reviewItem>
      <errorID>c3734944-8fcb-46cc-ad10-06ed7fede09a</errorID>
      <errorWord>(</errorWord>
      <group>L1_Format</group>
      <groupName>格式问题</groupName>
      <ability>L2_HalfPunc</ability>
      <abilityName>全半角检查</abilityName>
      <candidateList>
        <item>（</item>
      </candidateList>
      <explain>文本全半角错误。</explain>
      <paraID>1B6337E8</paraID>
      <start>7</start>
      <end>8</end>
      <status>unmodified</status>
      <modifiedWord/>
      <trackRevisions>false</trackRevisions>
    </reviewItem>
    <reviewItem>
      <errorID>e5259910-4ad7-42ac-a17c-062cf0992296</errorID>
      <errorWord>)</errorWord>
      <group>L1_Format</group>
      <groupName>格式问题</groupName>
      <ability>L2_HalfPunc</ability>
      <abilityName>全半角检查</abilityName>
      <candidateList>
        <item>）</item>
      </candidateList>
      <explain>文本全半角错误。</explain>
      <paraID>1B6337E8</paraID>
      <start>9</start>
      <end>10</end>
      <status>unmodified</status>
      <modifiedWord/>
      <trackRevisions>false</trackRevisions>
    </reviewItem>
    <reviewItem>
      <errorID>fe395edd-0533-4b79-b6c7-9ce3b71e1ba0</errorID>
      <errorWord>"</errorWord>
      <group>L1_Format</group>
      <groupName>格式问题</groupName>
      <ability>L2_HalfPunc</ability>
      <abilityName>全半角检查</abilityName>
      <candidateList>
        <item>“</item>
      </candidateList>
      <explain>文本全半角错误。</explain>
      <paraID>686E257A</paraID>
      <start>21</start>
      <end>22</end>
      <status>unmodified</status>
      <modifiedWord/>
      <trackRevisions>false</trackRevisions>
    </reviewItem>
    <reviewItem>
      <errorID>da7b8d21-781a-4ff3-b45d-3a5e63a7c272</errorID>
      <errorWord>"</errorWord>
      <group>L1_Format</group>
      <groupName>格式问题</groupName>
      <ability>L2_HalfPunc</ability>
      <abilityName>全半角检查</abilityName>
      <candidateList>
        <item>”</item>
      </candidateList>
      <explain>文本全半角错误。</explain>
      <paraID>686E257A</paraID>
      <start>33</start>
      <end>34</end>
      <status>unmodified</status>
      <modifiedWord/>
      <trackRevisions>false</trackRevisions>
    </reviewItem>
    <reviewItem>
      <errorID>0647d49d-73b3-4cc4-95ad-06f80481fb90</errorID>
      <errorWord>"</errorWord>
      <group>L1_Format</group>
      <groupName>格式问题</groupName>
      <ability>L2_HalfPunc</ability>
      <abilityName>全半角检查</abilityName>
      <candidateList>
        <item>“</item>
      </candidateList>
      <explain>文本全半角错误。</explain>
      <paraID>686E257A</paraID>
      <start>82</start>
      <end>83</end>
      <status>unmodified</status>
      <modifiedWord/>
      <trackRevisions>false</trackRevisions>
    </reviewItem>
    <reviewItem>
      <errorID>7bbf9d46-d003-4cd0-a72c-36c985bd25e4</errorID>
      <errorWord>"</errorWord>
      <group>L1_Format</group>
      <groupName>格式问题</groupName>
      <ability>L2_HalfPunc</ability>
      <abilityName>全半角检查</abilityName>
      <candidateList>
        <item>”</item>
      </candidateList>
      <explain>文本全半角错误。</explain>
      <paraID>686E257A</paraID>
      <start>88</start>
      <end>89</end>
      <status>unmodified</status>
      <modifiedWord/>
      <trackRevisions>false</trackRevisions>
    </reviewItem>
    <reviewItem>
      <errorID>b391f45f-ef37-46e1-84d3-133d09458c84</errorID>
      <errorWord>"</errorWord>
      <group>L1_Format</group>
      <groupName>格式问题</groupName>
      <ability>L2_HalfPunc</ability>
      <abilityName>全半角检查</abilityName>
      <candidateList>
        <item>“</item>
      </candidateList>
      <explain>文本全半角错误。</explain>
      <paraID>686E257A</paraID>
      <start>118</start>
      <end>119</end>
      <status>unmodified</status>
      <modifiedWord/>
      <trackRevisions>false</trackRevisions>
    </reviewItem>
    <reviewItem>
      <errorID>ce234697-7fa5-4d59-b79b-b404539cf60c</errorID>
      <errorWord>"</errorWord>
      <group>L1_Format</group>
      <groupName>格式问题</groupName>
      <ability>L2_HalfPunc</ability>
      <abilityName>全半角检查</abilityName>
      <candidateList>
        <item>”</item>
      </candidateList>
      <explain>文本全半角错误。</explain>
      <paraID>686E257A</paraID>
      <start>128</start>
      <end>129</end>
      <status>unmodified</status>
      <modifiedWord/>
      <trackRevisions>false</trackRevisions>
    </reviewItem>
    <reviewItem>
      <errorID>69a3336c-d86a-4093-82c0-08e24571d4a0</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686E257A</paraID>
      <start>271</start>
      <end>281</end>
      <status>modified</status>
      <modifiedWord>学习贯彻习近平总书记</modifiedWord>
      <trackRevisions>false</trackRevisions>
    </reviewItem>
    <reviewItem>
      <errorID>c7466687-a4b0-4e49-9865-f84c0b7474c8</errorID>
      <errorWord>必需</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686E257A</paraID>
      <start>796</start>
      <end>798</end>
      <status>modified</status>
      <modifiedWord>必须</modifiedWord>
      <trackRevisions>false</trackRevisions>
    </reviewItem>
    <reviewItem>
      <errorID>333a1d60-c474-4026-a340-f0188d64698a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4492F1C0</paraID>
      <start>223</start>
      <end>224</end>
      <status>unmodified</status>
      <modifiedWord/>
      <trackRevisions>false</trackRevisions>
    </reviewItem>
    <reviewItem>
      <errorID>239b018a-812b-4fbf-a5f6-b95e2b83cfde</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5CC226C2</paraID>
      <start>169</start>
      <end>174</end>
      <status>unmodified</status>
      <modifiedWord/>
      <trackRevisions>false</trackRevisions>
    </reviewItem>
    <reviewItem>
      <errorID>94d59467-eaf8-4296-b13e-472a3afe05b0</errorID>
      <errorWord>（</errorWord>
      <group>L1_Punc</group>
      <groupName>标点问题</groupName>
      <ability>L2_Punc</ability>
      <abilityName>标点符号检查</abilityName>
      <candidateList/>
      <explain/>
      <paraID>76E08836</paraID>
      <start>64</start>
      <end>65</end>
      <status>unmodified</status>
      <modifiedWord/>
      <trackRevisions>false</trackRevisions>
    </reviewItem>
    <reviewItem>
      <errorID>3c3424e4-9054-4231-bf29-130627079082</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42E1C1E1</paraID>
      <start>95</start>
      <end>99</end>
      <status>unmodified</status>
      <modifiedWord/>
      <trackRevisions>false</trackRevisions>
    </reviewItem>
    <reviewItem>
      <errorID>1b7372de-0f4b-4cac-99fc-2da8c87872ae</errorID>
      <errorWord>三重一大</errorWord>
      <group>L1_Political</group>
      <groupName>政治性问题</groupName>
      <ability>L2_Keyword</ability>
      <abilityName>固定表述</abilityName>
      <candidateList>
        <item>“三重一大”</item>
      </candidateList>
      <explain>注意检查当前固定表述标点是否使用规范。</explain>
      <paraID>42E1C1E1</paraID>
      <start>116</start>
      <end>120</end>
      <status>unmodified</status>
      <modifiedWord/>
      <trackRevisions>false</trackRevisions>
    </reviewItem>
    <reviewItem>
      <errorID>5a1b1c58-4ac9-402b-8f71-9a7be5101b11</errorID>
      <errorWord>，无</errorWord>
      <group>L1_Word</group>
      <groupName>字词问题</groupName>
      <ability>L2_Typo</ability>
      <abilityName>字词错误</abilityName>
      <candidateList>
        <item>，</item>
      </candidateList>
      <explain/>
      <paraID>17CF0910</paraID>
      <start>107</start>
      <end>109</end>
      <status>unmodified</status>
      <modifiedWord/>
      <trackRevisions>false</trackRevisions>
    </reviewItem>
    <reviewItem>
      <errorID>377ed8c0-5494-41a8-8df9-5a1a0e566a6a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17CF0910</paraID>
      <start>199</start>
      <end>202</end>
      <status>unmodified</status>
      <modifiedWord/>
      <trackRevisions>false</trackRevisions>
    </reviewItem>
    <reviewItem>
      <errorID>3c327668-97ae-4bbd-a298-aac2d062e410</errorID>
      <errorWord>补交</errorWord>
      <group>L1_Word</group>
      <groupName>字词问题</groupName>
      <ability>L2_Typo</ability>
      <abilityName>字词错误</abilityName>
      <candidateList>
        <item>补缴</item>
      </candidateList>
      <explain>存在发音相同字词的误用。</explain>
      <paraID>17CF0910</paraID>
      <start>309</start>
      <end>311</end>
      <status>modified</status>
      <modifiedWord>补缴</modifiedWord>
      <trackRevisions>false</trackRevisions>
    </reviewItem>
    <reviewItem>
      <errorID>75a059f8-5d7e-4821-842c-d56338d76422</errorID>
      <errorWord>补交</errorWord>
      <group>L1_Word</group>
      <groupName>字词问题</groupName>
      <ability>L2_Typo</ability>
      <abilityName>字词错误</abilityName>
      <candidateList>
        <item>补缴</item>
      </candidateList>
      <explain/>
      <paraID>17CF0910</paraID>
      <start>358</start>
      <end>360</end>
      <status>modified</status>
      <modifiedWord>补缴</modifiedWord>
      <trackRevisions>false</trackRevisions>
    </reviewItem>
    <reviewItem>
      <errorID>e38524a7-90ee-41a8-b7f4-8490eb87cc8f</errorID>
      <errorWord>1号</errorWord>
      <group>L1_Knowledge</group>
      <groupName>知识性问题</groupName>
      <ability>L2_Time</ability>
      <abilityName>日期时间</abilityName>
      <candidateList>
        <item>1日</item>
      </candidateList>
      <explain>日期表达规范为x月x日。</explain>
      <paraID>17CF0910</paraID>
      <start>500</start>
      <end>502</end>
      <status>unmodified</status>
      <modifiedWord/>
      <trackRevisions>false</trackRevisions>
    </reviewItem>
    <reviewItem>
      <errorID>e91634d0-6847-4033-b88f-6abf28394a52</errorID>
      <errorWord>（</errorWord>
      <group>L1_Punc</group>
      <groupName>标点问题</groupName>
      <ability>L2_Punc</ability>
      <abilityName>标点符号检查</abilityName>
      <candidateList/>
      <explain/>
      <paraID>7396AE52</paraID>
      <start>7</start>
      <end>8</end>
      <status>unmodified</status>
      <modifiedWord/>
      <trackRevisions>false</trackRevisions>
    </reviewItem>
    <reviewItem>
      <errorID>fdd93de8-d103-41e0-a83c-f18c6dfa8830</errorID>
      <errorWord>-</errorWord>
      <group>L1_Format</group>
      <groupName>格式问题</groupName>
      <ability>L2_HalfPunc</ability>
      <abilityName>全半角检查</abilityName>
      <candidateList>
        <item>－</item>
      </candidateList>
      <explain>文本全半角错误。</explain>
      <paraID>65B71D23</paraID>
      <start>32</start>
      <end>33</end>
      <status>unmodified</status>
      <modifiedWord/>
      <trackRevisions>false</trackRevisions>
    </reviewItem>
    <reviewItem>
      <errorID>e2439ffb-c037-4ca1-9a0a-1fcaa4510dcd</errorID>
      <errorWord>"</errorWord>
      <group>L1_Format</group>
      <groupName>格式问题</groupName>
      <ability>L2_HalfPunc</ability>
      <abilityName>全半角检查</abilityName>
      <candidateList>
        <item>“</item>
      </candidateList>
      <explain>文本全半角错误。</explain>
      <paraID>65B71D23</paraID>
      <start>42</start>
      <end>43</end>
      <status>unmodified</status>
      <modifiedWord/>
      <trackRevisions>false</trackRevisions>
    </reviewItem>
    <reviewItem>
      <errorID>146c513d-7922-4315-b07f-24ac016f55a3</errorID>
      <errorWord>"</errorWord>
      <group>L1_Format</group>
      <groupName>格式问题</groupName>
      <ability>L2_HalfPunc</ability>
      <abilityName>全半角检查</abilityName>
      <candidateList>
        <item>”</item>
      </candidateList>
      <explain>文本全半角错误。</explain>
      <paraID>65B71D23</paraID>
      <start>47</start>
      <end>48</end>
      <status>unmodified</status>
      <modifiedWord/>
      <trackRevisions>false</trackRevisions>
    </reviewItem>
    <reviewItem>
      <errorID>5c514c37-3806-47a9-b095-928ae06b3735</errorID>
      <errorWord>"</errorWord>
      <group>L1_Format</group>
      <groupName>格式问题</groupName>
      <ability>L2_HalfPunc</ability>
      <abilityName>全半角检查</abilityName>
      <candidateList>
        <item>“</item>
      </candidateList>
      <explain>文本全半角错误。</explain>
      <paraID>65B71D23</paraID>
      <start>54</start>
      <end>55</end>
      <status>unmodified</status>
      <modifiedWord/>
      <trackRevisions>false</trackRevisions>
    </reviewItem>
    <reviewItem>
      <errorID>9b71c95a-7da3-4f5c-942d-3b77627691e8</errorID>
      <errorWord>"</errorWord>
      <group>L1_Format</group>
      <groupName>格式问题</groupName>
      <ability>L2_HalfPunc</ability>
      <abilityName>全半角检查</abilityName>
      <candidateList>
        <item>”</item>
      </candidateList>
      <explain>文本全半角错误。</explain>
      <paraID>65B71D23</paraID>
      <start>60</start>
      <end>61</end>
      <status>unmodified</status>
      <modifiedWord/>
      <trackRevisions>false</trackRevisions>
    </reviewItem>
    <reviewItem>
      <errorID>42d297be-4ded-4021-b198-06c6d5b4630f</errorID>
      <errorWord>"</errorWord>
      <group>L1_Format</group>
      <groupName>格式问题</groupName>
      <ability>L2_HalfPunc</ability>
      <abilityName>全半角检查</abilityName>
      <candidateList>
        <item>“</item>
      </candidateList>
      <explain>文本全半角错误。</explain>
      <paraID>65B71D23</paraID>
      <start>80</start>
      <end>81</end>
      <status>unmodified</status>
      <modifiedWord/>
      <trackRevisions>false</trackRevisions>
    </reviewItem>
    <reviewItem>
      <errorID>cb22d91f-e895-4ea1-9f43-ed79c538feb3</errorID>
      <errorWord>"</errorWord>
      <group>L1_Format</group>
      <groupName>格式问题</groupName>
      <ability>L2_HalfPunc</ability>
      <abilityName>全半角检查</abilityName>
      <candidateList>
        <item>”</item>
      </candidateList>
      <explain>文本全半角错误。</explain>
      <paraID>65B71D23</paraID>
      <start>88</start>
      <end>89</end>
      <status>unmodified</status>
      <modifiedWord/>
      <trackRevisions>false</trackRevisions>
    </reviewItem>
    <reviewItem>
      <errorID>a945b850-58c5-4d68-8440-0fc55dedfa47</errorID>
      <errorWord>"</errorWord>
      <group>L1_Format</group>
      <groupName>格式问题</groupName>
      <ability>L2_HalfPunc</ability>
      <abilityName>全半角检查</abilityName>
      <candidateList>
        <item>“</item>
      </candidateList>
      <explain>文本全半角错误。</explain>
      <paraID>65B71D23</paraID>
      <start>90</start>
      <end>91</end>
      <status>unmodified</status>
      <modifiedWord/>
      <trackRevisions>false</trackRevisions>
    </reviewItem>
    <reviewItem>
      <errorID>3ecd33e9-2017-4abe-affe-b7489b94bada</errorID>
      <errorWord>"</errorWord>
      <group>L1_Format</group>
      <groupName>格式问题</groupName>
      <ability>L2_HalfPunc</ability>
      <abilityName>全半角检查</abilityName>
      <candidateList>
        <item>”</item>
      </candidateList>
      <explain>文本全半角错误。</explain>
      <paraID>65B71D23</paraID>
      <start>93</start>
      <end>94</end>
      <status>unmodified</status>
      <modifiedWord/>
      <trackRevisions>false</trackRevisions>
    </reviewItem>
    <reviewItem>
      <errorID>3f21c7f4-6684-478d-ac87-20b9de5ecda7</errorID>
      <errorWord>-</errorWord>
      <group>L1_Format</group>
      <groupName>格式问题</groupName>
      <ability>L2_HalfPunc</ability>
      <abilityName>全半角检查</abilityName>
      <candidateList>
        <item>－</item>
      </candidateList>
      <explain>文本全半角错误。</explain>
      <paraID>24AE4CC8</paraID>
      <start>24</start>
      <end>25</end>
      <status>unmodified</status>
      <modifiedWord/>
      <trackRevisions>false</trackRevisions>
    </reviewItem>
    <reviewItem>
      <errorID>5375e213-1009-41c4-a3f9-663792516d61</errorID>
      <errorWord>"</errorWord>
      <group>L1_Format</group>
      <groupName>格式问题</groupName>
      <ability>L2_HalfPunc</ability>
      <abilityName>全半角检查</abilityName>
      <candidateList>
        <item>“</item>
      </candidateList>
      <explain>文本全半角错误。</explain>
      <paraID>24AE4CC8</paraID>
      <start>38</start>
      <end>39</end>
      <status>unmodified</status>
      <modifiedWord/>
      <trackRevisions>false</trackRevisions>
    </reviewItem>
    <reviewItem>
      <errorID>74a7fe5d-379b-4bd7-89a1-93010765bb1a</errorID>
      <errorWord>"</errorWord>
      <group>L1_Format</group>
      <groupName>格式问题</groupName>
      <ability>L2_HalfPunc</ability>
      <abilityName>全半角检查</abilityName>
      <candidateList>
        <item>”</item>
      </candidateList>
      <explain>文本全半角错误。</explain>
      <paraID>24AE4CC8</paraID>
      <start>41</start>
      <end>42</end>
      <status>unmodified</status>
      <modifiedWord/>
      <trackRevisions>false</trackRevisions>
    </reviewItem>
    <reviewItem>
      <errorID>ff1c5d3c-f229-43e4-8647-4f4e34d00d9e</errorID>
      <errorWord>多项</errorWord>
      <group>L1_Knowledge</group>
      <groupName>知识性问题</groupName>
      <ability>L2_Knowledge</ability>
      <abilityName>其他知识</abilityName>
      <candidateList>
        <item>多部</item>
      </candidateList>
      <explain/>
      <paraID>24AE4CC8</paraID>
      <start>65</start>
      <end>67</end>
      <status>unmodified</status>
      <modifiedWord/>
      <trackRevisions>false</trackRevisions>
    </reviewItem>
    <reviewItem>
      <errorID>be53fe97-0e8b-4bac-8233-af914e590a9a</errorID>
      <errorWord>-</errorWord>
      <group>L1_Format</group>
      <groupName>格式问题</groupName>
      <ability>L2_HalfPunc</ability>
      <abilityName>全半角检查</abilityName>
      <candidateList>
        <item>－</item>
      </candidateList>
      <explain>文本全半角错误。</explain>
      <paraID>5D453D31</paraID>
      <start>25</start>
      <end>26</end>
      <status>unmodified</status>
      <modifiedWord/>
      <trackRevisions>false</trackRevisions>
    </reviewItem>
    <reviewItem>
      <errorID>4ef1af77-63a3-419e-b19d-592ca8ae47a6</errorID>
      <errorWord>"</errorWord>
      <group>L1_Format</group>
      <groupName>格式问题</groupName>
      <ability>L2_HalfPunc</ability>
      <abilityName>全半角检查</abilityName>
      <candidateList>
        <item>“</item>
      </candidateList>
      <explain>文本全半角错误。</explain>
      <paraID>5D453D31</paraID>
      <start>34</start>
      <end>35</end>
      <status>unmodified</status>
      <modifiedWord/>
      <trackRevisions>false</trackRevisions>
    </reviewItem>
    <reviewItem>
      <errorID>3c9c186f-264c-446a-80da-7936374d6ab7</errorID>
      <errorWord>"</errorWord>
      <group>L1_Format</group>
      <groupName>格式问题</groupName>
      <ability>L2_HalfPunc</ability>
      <abilityName>全半角检查</abilityName>
      <candidateList>
        <item>”</item>
      </candidateList>
      <explain>文本全半角错误。</explain>
      <paraID>5D453D31</paraID>
      <start>38</start>
      <end>39</end>
      <status>unmodified</status>
      <modifiedWord/>
      <trackRevisions>false</trackRevisions>
    </reviewItem>
    <reviewItem>
      <errorID>a088ec45-a636-4e0a-b694-baeed25da2e4</errorID>
      <errorWord>-</errorWord>
      <group>L1_Format</group>
      <groupName>格式问题</groupName>
      <ability>L2_HalfPunc</ability>
      <abilityName>全半角检查</abilityName>
      <candidateList>
        <item>－</item>
      </candidateList>
      <explain>文本全半角错误。</explain>
      <paraID>4121246D</paraID>
      <start>34</start>
      <end>35</end>
      <status>unmodified</status>
      <modifiedWord/>
      <trackRevisions>false</trackRevisions>
    </reviewItem>
    <reviewItem>
      <errorID>efc104f9-f55c-40eb-bcf0-b6959d9a8c4c</errorID>
      <errorWord>"</errorWord>
      <group>L1_Format</group>
      <groupName>格式问题</groupName>
      <ability>L2_HalfPunc</ability>
      <abilityName>全半角检查</abilityName>
      <candidateList>
        <item>“</item>
      </candidateList>
      <explain>文本全半角错误。</explain>
      <paraID>4121246D</paraID>
      <start>45</start>
      <end>46</end>
      <status>unmodified</status>
      <modifiedWord/>
      <trackRevisions>false</trackRevisions>
    </reviewItem>
    <reviewItem>
      <errorID>adf65a00-a0cc-4c13-b9dc-a7fffaadfb00</errorID>
      <errorWord>"</errorWord>
      <group>L1_Format</group>
      <groupName>格式问题</groupName>
      <ability>L2_HalfPunc</ability>
      <abilityName>全半角检查</abilityName>
      <candidateList>
        <item>”</item>
      </candidateList>
      <explain>文本全半角错误。</explain>
      <paraID>4121246D</paraID>
      <start>53</start>
      <end>54</end>
      <status>unmodified</status>
      <modifiedWord/>
      <trackRevisions>false</trackRevisions>
    </reviewItem>
    <reviewItem>
      <errorID>d22928d3-a105-4b28-8c1e-c07d3fa8945c</errorID>
      <errorWord>"</errorWord>
      <group>L1_Format</group>
      <groupName>格式问题</groupName>
      <ability>L2_HalfPunc</ability>
      <abilityName>全半角检查</abilityName>
      <candidateList>
        <item>“</item>
      </candidateList>
      <explain>文本全半角错误。</explain>
      <paraID>4121246D</paraID>
      <start>75</start>
      <end>76</end>
      <status>unmodified</status>
      <modifiedWord/>
      <trackRevisions>false</trackRevisions>
    </reviewItem>
    <reviewItem>
      <errorID>6223adec-3010-49b7-9e23-475b2b6c0c6d</errorID>
      <errorWord>"</errorWord>
      <group>L1_Format</group>
      <groupName>格式问题</groupName>
      <ability>L2_HalfPunc</ability>
      <abilityName>全半角检查</abilityName>
      <candidateList>
        <item>”</item>
      </candidateList>
      <explain>文本全半角错误。</explain>
      <paraID>4121246D</paraID>
      <start>78</start>
      <end>79</end>
      <status>unmodified</status>
      <modifiedWord/>
      <trackRevisions>false</trackRevisions>
    </reviewItem>
    <reviewItem>
      <errorID>8307398a-60b9-443c-8096-ab22715e18fb</errorID>
      <errorWord>"</errorWord>
      <group>L1_Format</group>
      <groupName>格式问题</groupName>
      <ability>L2_HalfPunc</ability>
      <abilityName>全半角检查</abilityName>
      <candidateList>
        <item>“</item>
      </candidateList>
      <explain>文本全半角错误。</explain>
      <paraID>4A5C1291</paraID>
      <start>0</start>
      <end>1</end>
      <status>unmodified</status>
      <modifiedWord/>
      <trackRevisions>false</trackRevisions>
    </reviewItem>
    <reviewItem>
      <errorID>63b50286-ca11-45fc-862b-f3f1966ba49b</errorID>
      <errorWord>"</errorWord>
      <group>L1_Format</group>
      <groupName>格式问题</groupName>
      <ability>L2_HalfPunc</ability>
      <abilityName>全半角检查</abilityName>
      <candidateList>
        <item>”</item>
      </candidateList>
      <explain>文本全半角错误。</explain>
      <paraID>4A5C1291</paraID>
      <start>5</start>
      <end>6</end>
      <status>unmodified</status>
      <modifiedWord/>
      <trackRevisions>false</trackRevisions>
    </reviewItem>
    <reviewItem>
      <errorID>71ef53b9-44e6-4e63-927c-bc6504944594</errorID>
      <errorWord>-</errorWord>
      <group>L1_Format</group>
      <groupName>格式问题</groupName>
      <ability>L2_HalfPunc</ability>
      <abilityName>全半角检查</abilityName>
      <candidateList>
        <item>－</item>
      </candidateList>
      <explain>文本全半角错误。</explain>
      <paraID>1F489819</paraID>
      <start>12</start>
      <end>13</end>
      <status>unmodified</status>
      <modifiedWord/>
      <trackRevisions>false</trackRevisions>
    </reviewItem>
    <reviewItem>
      <errorID>c0ea55dc-6c9f-43e2-b2d8-e02b2ee7ee6e</errorID>
      <errorWord>"</errorWord>
      <group>L1_Format</group>
      <groupName>格式问题</groupName>
      <ability>L2_HalfPunc</ability>
      <abilityName>全半角检查</abilityName>
      <candidateList>
        <item>“</item>
      </candidateList>
      <explain>文本全半角错误。</explain>
      <paraID>621ACF25</paraID>
      <start>0</start>
      <end>1</end>
      <status>unmodified</status>
      <modifiedWord/>
      <trackRevisions>false</trackRevisions>
    </reviewItem>
    <reviewItem>
      <errorID>c5fede40-2f55-4c85-b8b4-2246c78082ac</errorID>
      <errorWord>"</errorWord>
      <group>L1_Format</group>
      <groupName>格式问题</groupName>
      <ability>L2_HalfPunc</ability>
      <abilityName>全半角检查</abilityName>
      <candidateList>
        <item>”</item>
      </candidateList>
      <explain>文本全半角错误。</explain>
      <paraID>621ACF25</paraID>
      <start>4</start>
      <end>5</end>
      <status>unmodified</status>
      <modifiedWord/>
      <trackRevisions>false</trackRevisions>
    </reviewItem>
    <reviewItem>
      <errorID>9d5b7978-8046-4a77-9f64-c5dc4419980b</errorID>
      <errorWord>-</errorWord>
      <group>L1_Format</group>
      <groupName>格式问题</groupName>
      <ability>L2_HalfPunc</ability>
      <abilityName>全半角检查</abilityName>
      <candidateList>
        <item>－</item>
      </candidateList>
      <explain>文本全半角错误。</explain>
      <paraID>4243E888</paraID>
      <start>18</start>
      <end>19</end>
      <status>unmodified</status>
      <modifiedWord/>
      <trackRevisions>false</trackRevisions>
    </reviewItem>
    <reviewItem>
      <errorID>74c02da9-7657-4575-99a3-5ebc04e066d4</errorID>
      <errorWord>"</errorWord>
      <group>L1_Format</group>
      <groupName>格式问题</groupName>
      <ability>L2_HalfPunc</ability>
      <abilityName>全半角检查</abilityName>
      <candidateList>
        <item>“</item>
      </candidateList>
      <explain>文本全半角错误。</explain>
      <paraID>4243E888</paraID>
      <start>36</start>
      <end>37</end>
      <status>unmodified</status>
      <modifiedWord/>
      <trackRevisions>false</trackRevisions>
    </reviewItem>
    <reviewItem>
      <errorID>43216d21-9b69-41ce-a2c6-83149bbf7b65</errorID>
      <errorWord>"</errorWord>
      <group>L1_Format</group>
      <groupName>格式问题</groupName>
      <ability>L2_HalfPunc</ability>
      <abilityName>全半角检查</abilityName>
      <candidateList>
        <item>”</item>
      </candidateList>
      <explain>文本全半角错误。</explain>
      <paraID>4243E888</paraID>
      <start>41</start>
      <end>42</end>
      <status>unmodified</status>
      <modifiedWord/>
      <trackRevisions>false</trackRevisions>
    </reviewItem>
    <reviewItem>
      <errorID>4fa6280d-f889-4846-b347-ce7970ff49d8</errorID>
      <errorWord>"</errorWord>
      <group>L1_Format</group>
      <groupName>格式问题</groupName>
      <ability>L2_HalfPunc</ability>
      <abilityName>全半角检查</abilityName>
      <candidateList>
        <item>“</item>
      </candidateList>
      <explain>文本全半角错误。</explain>
      <paraID>1C7A110F</paraID>
      <start>0</start>
      <end>1</end>
      <status>unmodified</status>
      <modifiedWord/>
      <trackRevisions>false</trackRevisions>
    </reviewItem>
    <reviewItem>
      <errorID>9e8d970f-d4e1-4f4b-b545-3a367be452d1</errorID>
      <errorWord>"</errorWord>
      <group>L1_Format</group>
      <groupName>格式问题</groupName>
      <ability>L2_HalfPunc</ability>
      <abilityName>全半角检查</abilityName>
      <candidateList>
        <item>”</item>
      </candidateList>
      <explain>文本全半角错误。</explain>
      <paraID>1C7A110F</paraID>
      <start>3</start>
      <end>4</end>
      <status>unmodified</status>
      <modifiedWord/>
      <trackRevisions>false</trackRevisions>
    </reviewItem>
    <reviewItem>
      <errorID>5d05fb38-0c2b-4a18-894f-3304f3213cef</errorID>
      <errorWord>-</errorWord>
      <group>L1_Format</group>
      <groupName>格式问题</groupName>
      <ability>L2_HalfPunc</ability>
      <abilityName>全半角检查</abilityName>
      <candidateList>
        <item>－</item>
      </candidateList>
      <explain>文本全半角错误。</explain>
      <paraID>65C23828</paraID>
      <start>24</start>
      <end>25</end>
      <status>unmodified</status>
      <modifiedWord/>
      <trackRevisions>false</trackRevisions>
    </reviewItem>
    <reviewItem>
      <errorID>7fb8e1a5-3efd-4465-93ee-36f8bd5e0a3a</errorID>
      <errorWord>"</errorWord>
      <group>L1_Format</group>
      <groupName>格式问题</groupName>
      <ability>L2_HalfPunc</ability>
      <abilityName>全半角检查</abilityName>
      <candidateList>
        <item>“</item>
      </candidateList>
      <explain>文本全半角错误。</explain>
      <paraID>65C23828</paraID>
      <start>50</start>
      <end>51</end>
      <status>unmodified</status>
      <modifiedWord/>
      <trackRevisions>false</trackRevisions>
    </reviewItem>
    <reviewItem>
      <errorID>036c8653-8ec9-45c5-8931-0e9c2ce947d8</errorID>
      <errorWord>"</errorWord>
      <group>L1_Format</group>
      <groupName>格式问题</groupName>
      <ability>L2_HalfPunc</ability>
      <abilityName>全半角检查</abilityName>
      <candidateList>
        <item>”</item>
      </candidateList>
      <explain>文本全半角错误。</explain>
      <paraID>65C23828</paraID>
      <start>53</start>
      <end>54</end>
      <status>unmodified</status>
      <modifiedWord/>
      <trackRevisions>false</trackRevisions>
    </reviewItem>
    <reviewItem>
      <errorID>55e22d37-7e1f-4b7c-ab28-63afd64ea3d5</errorID>
      <errorWord>-</errorWord>
      <group>L1_Format</group>
      <groupName>格式问题</groupName>
      <ability>L2_HalfPunc</ability>
      <abilityName>全半角检查</abilityName>
      <candidateList>
        <item>－</item>
      </candidateList>
      <explain>文本全半角错误。</explain>
      <paraID>7A5649EE</paraID>
      <start>27</start>
      <end>28</end>
      <status>unmodified</status>
      <modifiedWord/>
      <trackRevisions>false</trackRevisions>
    </reviewItem>
    <reviewItem>
      <errorID>1fe8ae49-cc09-44f2-9473-2538216e69d8</errorID>
      <errorWord>"</errorWord>
      <group>L1_Format</group>
      <groupName>格式问题</groupName>
      <ability>L2_HalfPunc</ability>
      <abilityName>全半角检查</abilityName>
      <candidateList>
        <item>“</item>
      </candidateList>
      <explain>文本全半角错误。</explain>
      <paraID>7A5649EE</paraID>
      <start>35</start>
      <end>36</end>
      <status>unmodified</status>
      <modifiedWord/>
      <trackRevisions>false</trackRevisions>
    </reviewItem>
    <reviewItem>
      <errorID>558d3209-b497-4df0-ace1-79b64cde9f5a</errorID>
      <errorWord>"</errorWord>
      <group>L1_Format</group>
      <groupName>格式问题</groupName>
      <ability>L2_HalfPunc</ability>
      <abilityName>全半角检查</abilityName>
      <candidateList>
        <item>”</item>
      </candidateList>
      <explain>文本全半角错误。</explain>
      <paraID>7A5649EE</paraID>
      <start>41</start>
      <end>42</end>
      <status>unmodified</status>
      <modifiedWord/>
      <trackRevisions>false</trackRevisions>
    </reviewItem>
    <reviewItem>
      <errorID>16004d6d-2304-4e05-9980-3373c16b6bf0</errorID>
      <errorWord>-</errorWord>
      <group>L1_Format</group>
      <groupName>格式问题</groupName>
      <ability>L2_HalfPunc</ability>
      <abilityName>全半角检查</abilityName>
      <candidateList>
        <item>－</item>
      </candidateList>
      <explain>文本全半角错误。</explain>
      <paraID>1AA1AA7F</paraID>
      <start>22</start>
      <end>23</end>
      <status>unmodified</status>
      <modifiedWord/>
      <trackRevisions>false</trackRevisions>
    </reviewItem>
    <reviewItem>
      <errorID>8df21f00-4e9c-4e1d-bd24-c6c3baf26620</errorID>
      <errorWord>"</errorWord>
      <group>L1_Format</group>
      <groupName>格式问题</groupName>
      <ability>L2_HalfPunc</ability>
      <abilityName>全半角检查</abilityName>
      <candidateList>
        <item>“</item>
      </candidateList>
      <explain>文本全半角错误。</explain>
      <paraID>1AA1AA7F</paraID>
      <start>40</start>
      <end>41</end>
      <status>unmodified</status>
      <modifiedWord/>
      <trackRevisions>false</trackRevisions>
    </reviewItem>
    <reviewItem>
      <errorID>fdea7940-3517-4829-b95d-258737b62978</errorID>
      <errorWord>"</errorWord>
      <group>L1_Format</group>
      <groupName>格式问题</groupName>
      <ability>L2_HalfPunc</ability>
      <abilityName>全半角检查</abilityName>
      <candidateList>
        <item>”</item>
      </candidateList>
      <explain>文本全半角错误。</explain>
      <paraID>1AA1AA7F</paraID>
      <start>46</start>
      <end>47</end>
      <status>unmodified</status>
      <modifiedWord/>
      <trackRevisions>false</trackRevisions>
    </reviewItem>
    <reviewItem>
      <errorID>43ebbc63-5409-4da5-bd10-299e2c0738a5</errorID>
      <errorWord>-</errorWord>
      <group>L1_Format</group>
      <groupName>格式问题</groupName>
      <ability>L2_HalfPunc</ability>
      <abilityName>全半角检查</abilityName>
      <candidateList>
        <item>－</item>
      </candidateList>
      <explain>文本全半角错误。</explain>
      <paraID>5ADA6FA2</paraID>
      <start>28</start>
      <end>29</end>
      <status>unmodified</status>
      <modifiedWord/>
      <trackRevisions>false</trackRevisions>
    </reviewItem>
    <reviewItem>
      <errorID>20365675-a46e-4bf4-8d25-02276cb68266</errorID>
      <errorWord>"</errorWord>
      <group>L1_Format</group>
      <groupName>格式问题</groupName>
      <ability>L2_HalfPunc</ability>
      <abilityName>全半角检查</abilityName>
      <candidateList>
        <item>“</item>
      </candidateList>
      <explain>文本全半角错误。</explain>
      <paraID>5ADA6FA2</paraID>
      <start>35</start>
      <end>36</end>
      <status>unmodified</status>
      <modifiedWord/>
      <trackRevisions>false</trackRevisions>
    </reviewItem>
    <reviewItem>
      <errorID>a6f07b91-7c0f-4a29-b6ed-2b9ab68bb796</errorID>
      <errorWord>"</errorWord>
      <group>L1_Format</group>
      <groupName>格式问题</groupName>
      <ability>L2_HalfPunc</ability>
      <abilityName>全半角检查</abilityName>
      <candidateList>
        <item>”</item>
      </candidateList>
      <explain>文本全半角错误。</explain>
      <paraID>5ADA6FA2</paraID>
      <start>40</start>
      <end>41</end>
      <status>unmodified</status>
      <modifiedWord/>
      <trackRevisions>false</trackRevisions>
    </reviewItem>
    <reviewItem>
      <errorID>fde661ce-9884-454a-a9a8-c83a14fbfcff</errorID>
      <errorWord>"</errorWord>
      <group>L1_Format</group>
      <groupName>格式问题</groupName>
      <ability>L2_HalfPunc</ability>
      <abilityName>全半角检查</abilityName>
      <candidateList>
        <item>“</item>
      </candidateList>
      <explain>文本全半角错误。</explain>
      <paraID>5ADA6FA2</paraID>
      <start>51</start>
      <end>52</end>
      <status>unmodified</status>
      <modifiedWord/>
      <trackRevisions>false</trackRevisions>
    </reviewItem>
    <reviewItem>
      <errorID>38571dd2-b0b4-44bb-9d11-8009a4136bd8</errorID>
      <errorWord>"</errorWord>
      <group>L1_Format</group>
      <groupName>格式问题</groupName>
      <ability>L2_HalfPunc</ability>
      <abilityName>全半角检查</abilityName>
      <candidateList>
        <item>”</item>
      </candidateList>
      <explain>文本全半角错误。</explain>
      <paraID>5ADA6FA2</paraID>
      <start>59</start>
      <end>60</end>
      <status>unmodified</status>
      <modifiedWord/>
      <trackRevisions>false</trackRevisions>
    </reviewItem>
    <reviewItem>
      <errorID>7fcdc458-7498-4223-967d-81bd11a9eae3</errorID>
      <errorWord>-</errorWord>
      <group>L1_Format</group>
      <groupName>格式问题</groupName>
      <ability>L2_HalfPunc</ability>
      <abilityName>全半角检查</abilityName>
      <candidateList>
        <item>－</item>
      </candidateList>
      <explain>文本全半角错误。</explain>
      <paraID>6614621A</paraID>
      <start>30</start>
      <end>31</end>
      <status>unmodified</status>
      <modifiedWord/>
      <trackRevisions>false</trackRevisions>
    </reviewItem>
    <reviewItem>
      <errorID>3fea593a-4659-4072-b5c7-a3565a980307</errorID>
      <errorWord>"</errorWord>
      <group>L1_Format</group>
      <groupName>格式问题</groupName>
      <ability>L2_HalfPunc</ability>
      <abilityName>全半角检查</abilityName>
      <candidateList>
        <item>“</item>
      </candidateList>
      <explain>文本全半角错误。</explain>
      <paraID>6614621A</paraID>
      <start>61</start>
      <end>62</end>
      <status>unmodified</status>
      <modifiedWord/>
      <trackRevisions>false</trackRevisions>
    </reviewItem>
    <reviewItem>
      <errorID>1a499c58-26ef-429d-9c58-c54a2b19e998</errorID>
      <errorWord>提高</errorWord>
      <group>L1_Word</group>
      <groupName>字词问题</groupName>
      <ability>L2_Typo</ability>
      <abilityName>字词错误</abilityName>
      <candidateList>
        <item>增强</item>
      </candidateList>
      <explain>“提高～意识”搭配不当，建议修改为“增强～意识”。</explain>
      <paraID>6614621A</paraID>
      <start>62</start>
      <end>64</end>
      <status>modified</status>
      <modifiedWord>增强</modifiedWord>
      <trackRevisions>false</trackRevisions>
    </reviewItem>
    <reviewItem>
      <errorID>2f708667-c16a-4d36-a77d-01fdb12ff793</errorID>
      <errorWord>"</errorWord>
      <group>L1_Format</group>
      <groupName>格式问题</groupName>
      <ability>L2_HalfPunc</ability>
      <abilityName>全半角检查</abilityName>
      <candidateList>
        <item>”</item>
      </candidateList>
      <explain>文本全半角错误。</explain>
      <paraID>6614621A</paraID>
      <start>82</start>
      <end>83</end>
      <status>unmodified</status>
      <modifiedWord/>
      <trackRevisions>false</trackRevisions>
    </reviewItem>
    <reviewItem>
      <errorID>35ce3d61-7ae2-429d-86b0-4b9d3ae1b3a5</errorID>
      <errorWord>-</errorWord>
      <group>L1_Format</group>
      <groupName>格式问题</groupName>
      <ability>L2_HalfPunc</ability>
      <abilityName>全半角检查</abilityName>
      <candidateList>
        <item>－</item>
      </candidateList>
      <explain>文本全半角错误。</explain>
      <paraID>26D0EA4B</paraID>
      <start>25</start>
      <end>26</end>
      <status>unmodified</status>
      <modifiedWord/>
      <trackRevisions>false</trackRevisions>
    </reviewItem>
    <reviewItem>
      <errorID>42300e8c-d54a-44fc-92bf-63706b130293</errorID>
      <errorWord>"</errorWord>
      <group>L1_Format</group>
      <groupName>格式问题</groupName>
      <ability>L2_HalfPunc</ability>
      <abilityName>全半角检查</abilityName>
      <candidateList>
        <item>“</item>
      </candidateList>
      <explain>文本全半角错误。</explain>
      <paraID>26D0EA4B</paraID>
      <start>34</start>
      <end>35</end>
      <status>unmodified</status>
      <modifiedWord/>
      <trackRevisions>false</trackRevisions>
    </reviewItem>
    <reviewItem>
      <errorID>1e330f9b-037e-4bd0-af78-5f0ebeabccc1</errorID>
      <errorWord>"</errorWord>
      <group>L1_Format</group>
      <groupName>格式问题</groupName>
      <ability>L2_HalfPunc</ability>
      <abilityName>全半角检查</abilityName>
      <candidateList>
        <item>”</item>
      </candidateList>
      <explain>文本全半角错误。</explain>
      <paraID>26D0EA4B</paraID>
      <start>39</start>
      <end>40</end>
      <status>unmodified</status>
      <modifiedWord/>
      <trackRevisions>false</trackRevisions>
    </reviewItem>
    <reviewItem>
      <errorID>97482a7d-b605-4177-96b7-89e5acdf0651</errorID>
      <errorWord>"</errorWord>
      <group>L1_Format</group>
      <groupName>格式问题</groupName>
      <ability>L2_HalfPunc</ability>
      <abilityName>全半角检查</abilityName>
      <candidateList>
        <item>“</item>
      </candidateList>
      <explain>文本全半角错误。</explain>
      <paraID>26D0EA4B</paraID>
      <start>84</start>
      <end>85</end>
      <status>unmodified</status>
      <modifiedWord/>
      <trackRevisions>false</trackRevisions>
    </reviewItem>
    <reviewItem>
      <errorID>62c6c6ff-f07f-4d08-8791-6f8d04914074</errorID>
      <errorWord>"</errorWord>
      <group>L1_Format</group>
      <groupName>格式问题</groupName>
      <ability>L2_HalfPunc</ability>
      <abilityName>全半角检查</abilityName>
      <candidateList>
        <item>”</item>
      </candidateList>
      <explain>文本全半角错误。</explain>
      <paraID>26D0EA4B</paraID>
      <start>90</start>
      <end>91</end>
      <status>unmodified</status>
      <modifiedWord/>
      <trackRevisions>false</trackRevisions>
    </reviewItem>
    <reviewItem>
      <errorID>fd8d68b8-5e1f-4e5c-8174-6deb9568dfa2</errorID>
      <errorWord>-</errorWord>
      <group>L1_Format</group>
      <groupName>格式问题</groupName>
      <ability>L2_HalfPunc</ability>
      <abilityName>全半角检查</abilityName>
      <candidateList>
        <item>－</item>
      </candidateList>
      <explain>文本全半角错误。</explain>
      <paraID>35D50E6A</paraID>
      <start>33</start>
      <end>34</end>
      <status>unmodified</status>
      <modifiedWord/>
      <trackRevisions>false</trackRevisions>
    </reviewItem>
    <reviewItem>
      <errorID>4d09b0a1-8be6-4efd-857a-088cf33bdb76</errorID>
      <errorWord>"</errorWord>
      <group>L1_Format</group>
      <groupName>格式问题</groupName>
      <ability>L2_HalfPunc</ability>
      <abilityName>全半角检查</abilityName>
      <candidateList>
        <item>“</item>
      </candidateList>
      <explain>文本全半角错误。</explain>
      <paraID>35D50E6A</paraID>
      <start>61</start>
      <end>62</end>
      <status>unmodified</status>
      <modifiedWord/>
      <trackRevisions>false</trackRevisions>
    </reviewItem>
    <reviewItem>
      <errorID>70765ead-7eef-4a30-9441-01ba8dc382a4</errorID>
      <errorWord>"</errorWord>
      <group>L1_Format</group>
      <groupName>格式问题</groupName>
      <ability>L2_HalfPunc</ability>
      <abilityName>全半角检查</abilityName>
      <candidateList>
        <item>”</item>
      </candidateList>
      <explain>文本全半角错误。</explain>
      <paraID>35D50E6A</paraID>
      <start>64</start>
      <end>65</end>
      <status>unmodified</status>
      <modifiedWord/>
      <trackRevisions>false</trackRevisions>
    </reviewItem>
    <reviewItem>
      <errorID>c1f0b62b-ad53-4165-834e-19203349a0f0</errorID>
      <errorWord>"</errorWord>
      <group>L1_Format</group>
      <groupName>格式问题</groupName>
      <ability>L2_HalfPunc</ability>
      <abilityName>全半角检查</abilityName>
      <candidateList>
        <item>“</item>
      </candidateList>
      <explain>文本全半角错误。</explain>
      <paraID>35D50E6A</paraID>
      <start>71</start>
      <end>72</end>
      <status>unmodified</status>
      <modifiedWord/>
      <trackRevisions>false</trackRevisions>
    </reviewItem>
    <reviewItem>
      <errorID>3a5c506c-784d-414e-b65c-6b72f6138f69</errorID>
      <errorWord>"</errorWord>
      <group>L1_Format</group>
      <groupName>格式问题</groupName>
      <ability>L2_HalfPunc</ability>
      <abilityName>全半角检查</abilityName>
      <candidateList>
        <item>”</item>
      </candidateList>
      <explain>文本全半角错误。</explain>
      <paraID>35D50E6A</paraID>
      <start>79</start>
      <end>80</end>
      <status>unmodified</status>
      <modifiedWord/>
      <trackRevisions>false</trackRevisions>
    </reviewItem>
    <reviewItem>
      <errorID>2dece62a-0766-4e7f-9866-166f274b2546</errorID>
      <errorWord>"</errorWord>
      <group>L1_Format</group>
      <groupName>格式问题</groupName>
      <ability>L2_HalfPunc</ability>
      <abilityName>全半角检查</abilityName>
      <candidateList>
        <item>“</item>
      </candidateList>
      <explain>文本全半角错误。</explain>
      <paraID>35D50E6A</paraID>
      <start>84</start>
      <end>85</end>
      <status>unmodified</status>
      <modifiedWord/>
      <trackRevisions>false</trackRevisions>
    </reviewItem>
    <reviewItem>
      <errorID>5ad48693-dc08-4850-883f-570ce5f469b1</errorID>
      <errorWord>"</errorWord>
      <group>L1_Format</group>
      <groupName>格式问题</groupName>
      <ability>L2_HalfPunc</ability>
      <abilityName>全半角检查</abilityName>
      <candidateList>
        <item>”</item>
      </candidateList>
      <explain>文本全半角错误。</explain>
      <paraID>35D50E6A</paraID>
      <start>90</start>
      <end>91</end>
      <status>unmodified</status>
      <modifiedWord/>
      <trackRevisions>false</trackRevisions>
    </reviewItem>
    <reviewItem>
      <errorID>848473c3-57ec-4233-8fa1-c856a41286d2</errorID>
      <errorWord>-</errorWord>
      <group>L1_Format</group>
      <groupName>格式问题</groupName>
      <ability>L2_HalfPunc</ability>
      <abilityName>全半角检查</abilityName>
      <candidateList>
        <item>－</item>
      </candidateList>
      <explain>文本全半角错误。</explain>
      <paraID>11F37B88</paraID>
      <start>28</start>
      <end>29</end>
      <status>unmodified</status>
      <modifiedWord/>
      <trackRevisions>false</trackRevisions>
    </reviewItem>
    <reviewItem>
      <errorID>cf163e6c-9a3a-4b17-a1c2-b5a696251e92</errorID>
      <errorWord>"</errorWord>
      <group>L1_Format</group>
      <groupName>格式问题</groupName>
      <ability>L2_HalfPunc</ability>
      <abilityName>全半角检查</abilityName>
      <candidateList>
        <item>“</item>
      </candidateList>
      <explain>文本全半角错误。</explain>
      <paraID>11F37B88</paraID>
      <start>65</start>
      <end>66</end>
      <status>unmodified</status>
      <modifiedWord/>
      <trackRevisions>false</trackRevisions>
    </reviewItem>
    <reviewItem>
      <errorID>dcef0267-af99-4fd6-9445-8b4218e2f446</errorID>
      <errorWord>"</errorWord>
      <group>L1_Format</group>
      <groupName>格式问题</groupName>
      <ability>L2_HalfPunc</ability>
      <abilityName>全半角检查</abilityName>
      <candidateList>
        <item>”</item>
      </candidateList>
      <explain>文本全半角错误。</explain>
      <paraID>11F37B88</paraID>
      <start>68</start>
      <end>69</end>
      <status>unmodified</status>
      <modifiedWord/>
      <trackRevisions>false</trackRevisions>
    </reviewItem>
    <reviewItem>
      <errorID>7e1700df-6a0f-4e17-8db7-b7bd5b4f8009</errorID>
      <errorWord>-</errorWord>
      <group>L1_Format</group>
      <groupName>格式问题</groupName>
      <ability>L2_HalfPunc</ability>
      <abilityName>全半角检查</abilityName>
      <candidateList>
        <item>－</item>
      </candidateList>
      <explain>文本全半角错误。</explain>
      <paraID>6E2768E9</paraID>
      <start>41</start>
      <end>42</end>
      <status>unmodified</status>
      <modifiedWord/>
      <trackRevisions>false</trackRevisions>
    </reviewItem>
    <reviewItem>
      <errorID>2ebcc2c5-186f-433a-adce-6f405b1f6dd0</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5E54A46E</paraID>
      <start>7</start>
      <end>12</end>
      <status>unmodified</status>
      <modifiedWord/>
      <trackRevisions>false</trackRevisions>
    </reviewItem>
    <reviewItem>
      <errorID>1fe13cf6-b255-4286-8ae6-a0ff5e0af4aa</errorID>
      <errorWord>-</errorWord>
      <group>L1_Format</group>
      <groupName>格式问题</groupName>
      <ability>L2_HalfPunc</ability>
      <abilityName>全半角检查</abilityName>
      <candidateList>
        <item>－</item>
      </candidateList>
      <explain>文本全半角错误。</explain>
      <paraID>5E54A46E</paraID>
      <start>49</start>
      <end>50</end>
      <status>unmodified</status>
      <modifiedWord/>
      <trackRevisions>false</trackRevisions>
    </reviewItem>
    <reviewItem>
      <errorID>d769bdc7-4935-4d39-a9cf-bae161d4dee3</errorID>
      <errorWord>分</errorWord>
      <group>L1_Word</group>
      <groupName>字词问题</groupName>
      <ability>L2_Typo</ability>
      <abilityName>字词错误</abilityName>
      <candidateList>
        <item>分为</item>
      </candidateList>
      <explain/>
      <paraID>27D5FB03</paraID>
      <start>59</start>
      <end>60</end>
      <status>unmodified</status>
      <modifiedWord/>
      <trackRevisions>false</trackRevisions>
    </reviewItem>
    <reviewItem>
      <errorID>9d872cab-0567-4014-8d6c-d6718b8384db</errorID>
      <errorWord>随意流用</errorWord>
      <group>L1_Word</group>
      <groupName>字词问题</groupName>
      <ability>L2_Typo</ability>
      <abilityName>字词错误</abilityName>
      <candidateList>
        <item>随意留用</item>
      </candidateList>
      <explain/>
      <paraID>439C9FAD</paraID>
      <start>119</start>
      <end>123</end>
      <status>unmodified</status>
      <modifiedWord/>
      <trackRevisions>false</trackRevisions>
    </reviewItem>
    <reviewItem>
      <errorID>71eb677c-e4ab-4f39-b69d-e11725e54686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439C9FAD</paraID>
      <start>245</start>
      <end>248</end>
      <status>unmodified</status>
      <modifiedWord/>
      <trackRevisions>false</trackRevisions>
    </reviewItem>
    <reviewItem>
      <errorID>132e345c-51d6-4d1c-9118-017996b571cb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273</start>
      <end>276</end>
      <status>unmodified</status>
      <modifiedWord/>
      <trackRevisions>false</trackRevisions>
    </reviewItem>
    <reviewItem>
      <errorID>da11cc19-2540-4d9d-a4ac-f7de15ca14da</errorID>
      <errorWord>-</errorWord>
      <group>L1_Format</group>
      <groupName>格式问题</groupName>
      <ability>L2_HalfPunc</ability>
      <abilityName>全半角检查</abilityName>
      <candidateList>
        <item>－</item>
      </candidateList>
      <explain>文本全半角错误。</explain>
      <paraID> 5CF6424</paraID>
      <start>414</start>
      <end>415</end>
      <status>unmodified</status>
      <modifiedWord/>
      <trackRevisions>false</trackRevisions>
    </reviewItem>
    <reviewItem>
      <errorID>81b11da8-e239-4127-b37e-b68a7afd3b08</errorID>
      <errorWord>、以及</errorWord>
      <group>L1_Punc</group>
      <groupName>标点问题</groupName>
      <ability>L2_Punc</ability>
      <abilityName>标点符号检查</abilityName>
      <candidateList>
        <item>，以及</item>
      </candidateList>
      <explain>连接词前后不宜使用顿号，建议使用逗号。</explain>
      <paraID> 5CF6424</paraID>
      <start>468</start>
      <end>471</end>
      <status>unmodified</status>
      <modifiedWord/>
      <trackRevisions>false</trackRevisions>
    </reviewItem>
    <reviewItem>
      <errorID>f94fae0b-3875-47db-9362-64c9ae736ca5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562</start>
      <end>565</end>
      <status>unmodified</status>
      <modifiedWord/>
      <trackRevisions>false</trackRevisions>
    </reviewItem>
    <reviewItem>
      <errorID>89975c76-a0dd-42d9-9ec8-bdb900f74f06</errorID>
      <errorWord>财政和</errorWord>
      <group>L1_Word</group>
      <groupName>字词问题</groupName>
      <ability>L2_Typo</ability>
      <abilityName>字词错误</abilityName>
      <candidateList>
        <item>财政</item>
      </candidateList>
      <explain/>
      <paraID> 5CF6424</paraID>
      <start>793</start>
      <end>795</end>
      <status>modified</status>
      <modifiedWord>财政</modifiedWord>
      <trackRevisions>false</trackRevisions>
    </reviewItem>
    <reviewItem>
      <errorID>e7b6e754-3ce1-4a11-8f2f-3f1e3c37fb12</errorID>
      <errorWord>中华人民共和国政府采购法》</errorWord>
      <group>L1_Knowledge</group>
      <groupName>知识性问题</groupName>
      <ability>L2_Knowledge</ability>
      <abilityName>其他知识</abilityName>
      <candidateList>
        <item>《中华人民共和国政府采购法》</item>
      </candidateList>
      <explain>完整法律法规名称需要加书名号，请注意检查。</explain>
      <paraID> AF387C4</paraID>
      <start>314</start>
      <end>328</end>
      <status>modified</status>
      <modifiedWord>《中华人民共和国政府采购法》</modifiedWord>
      <trackRevisions>false</trackRevisions>
    </reviewItem>
    <reviewItem>
      <errorID>a90ac031-88ef-4ea4-9d2d-b3b15b95401a</errorID>
      <errorWord>2-3年</errorWord>
      <group>L1_Word</group>
      <groupName>字词问题</groupName>
      <ability>L2_Typo</ability>
      <abilityName>字词错误</abilityName>
      <candidateList>
        <item>2～3年</item>
      </candidateList>
      <explain/>
      <paraID>33B050AF</paraID>
      <start>479</start>
      <end>483</end>
      <status>unmodified</status>
      <modifiedWord/>
      <trackRevisions>false</trackRevisions>
    </reviewItem>
    <reviewItem>
      <errorID>0564bef5-b75d-4a26-9833-4134517e1fe0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1E666ADD</paraID>
      <start>24</start>
      <end>25</end>
      <status>unmodified</status>
      <modifiedWord/>
      <trackRevisions>false</trackRevisions>
    </reviewItem>
    <reviewItem>
      <errorID>61e4cd27-63bf-40e2-8c50-d627dd8faf6c</errorID>
      <errorWord>3号</errorWord>
      <group>L1_Knowledge</group>
      <groupName>知识性问题</groupName>
      <ability>L2_Time</ability>
      <abilityName>日期时间</abilityName>
      <candidateList>
        <item>3日</item>
      </candidateList>
      <explain>日期表达规范为x月x日。</explain>
      <paraID>1E666ADD</paraID>
      <start>69</start>
      <end>71</end>
      <status>unmodified</status>
      <modifiedWord/>
      <trackRevisions>false</trackRevisions>
    </reviewItem>
    <reviewItem>
      <errorID>fca317b8-10b4-46e7-908e-5df93273fec2</errorID>
      <errorWord>,</errorWord>
      <group>L1_Format</group>
      <groupName>格式问题</groupName>
      <ability>L2_HalfPunc</ability>
      <abilityName>全半角检查</abilityName>
      <candidateList>
        <item>，</item>
      </candidateList>
      <explain>文本全半角错误。</explain>
      <paraID>1E666ADD</paraID>
      <start>125</start>
      <end>126</end>
      <status>unmodified</status>
      <modifiedWord/>
      <trackRevisions>false</trackRevisions>
    </reviewItem>
    <reviewItem>
      <errorID>a842a6b9-564b-4160-8e85-0d129977fede</errorID>
      <errorWord>,</errorWord>
      <group>L1_Format</group>
      <groupName>格式问题</groupName>
      <ability>L2_HalfPunc</ability>
      <abilityName>全半角检查</abilityName>
      <candidateList>
        <item>，</item>
      </candidateList>
      <explain>文本全半角错误。</explain>
      <paraID>1E666ADD</paraID>
      <start>138</start>
      <end>139</end>
      <status>unmodified</status>
      <modifiedWord/>
      <trackRevisions>false</trackRevisions>
    </reviewItem>
    <reviewItem>
      <errorID>b85aca8b-f02a-46c0-bd57-1ad213562af2</errorID>
      <errorWord>,</errorWord>
      <group>L1_Format</group>
      <groupName>格式问题</groupName>
      <ability>L2_HalfPunc</ability>
      <abilityName>全半角检查</abilityName>
      <candidateList>
        <item>，</item>
      </candidateList>
      <explain>文本全半角错误。</explain>
      <paraID>32FEDE25</paraID>
      <start>147</start>
      <end>148</end>
      <status>unmodified</status>
      <modifiedWord/>
      <trackRevisions>false</trackRevisions>
    </reviewItem>
    <reviewItem>
      <errorID>dab4426e-6d33-4978-8326-1f83da681792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32FEDE25</paraID>
      <start>877</start>
      <end>878</end>
      <status>unmodified</status>
      <modifiedWord/>
      <trackRevisions>false</trackRevisions>
    </reviewItem>
    <reviewItem>
      <errorID>1721dabd-d9c2-4461-a9e6-0004f016e49e</errorID>
      <errorWord>工会法</errorWord>
      <group>L1_Knowledge</group>
      <groupName>知识性问题</groupName>
      <ability>L2_Knowledge</ability>
      <abilityName>其他知识</abilityName>
      <candidateList>
        <item>中华人民共和国工会法</item>
      </candidateList>
      <explain>当前法律法规名称使用简称，请注意是否应当使用全称。</explain>
      <paraID>32FEDE25</paraID>
      <start>1055</start>
      <end>1065</end>
      <status>modified</status>
      <modifiedWord>中华人民共和国工会法</modifiedWord>
      <trackRevisions>false</trackRevisions>
    </reviewItem>
    <reviewItem>
      <errorID>3c1ac2c9-c2d1-4776-95d0-935a585778a2</errorID>
      <errorWord>晰</errorWord>
      <group>L1_Word</group>
      <groupName>字词问题</groupName>
      <ability>L2_Typo</ability>
      <abilityName>字词错误</abilityName>
      <candidateList>
        <item>晰地</item>
      </candidateList>
      <explain/>
      <paraID>7C624820</paraID>
      <start>75</start>
      <end>76</end>
      <status>unmodified</status>
      <modifiedWord/>
      <trackRevisions>false</trackRevisions>
    </reviewItem>
    <reviewItem>
      <errorID>8f801a8d-b63a-4d12-9b44-f08d7f77eb65</errorID>
      <errorWord>理</errorWord>
      <group>L1_Word</group>
      <groupName>字词问题</groupName>
      <ability>L2_Typo</ability>
      <abilityName>字词错误</abilityName>
      <candidateList>
        <item>理人</item>
      </candidateList>
      <explain/>
      <paraID>1CDE1480</paraID>
      <start>72</start>
      <end>73</end>
      <status>unmodified</status>
      <modifiedWord/>
      <trackRevisions>false</trackRevisions>
    </reviewItem>
    <reviewItem>
      <errorID>72cfabc4-d422-4024-9b43-d9b6ed9e8ea9</errorID>
      <errorWord>合同法</errorWord>
      <group>L1_Knowledge</group>
      <groupName>知识性问题</groupName>
      <ability>L2_Knowledge</ability>
      <abilityName>其他知识</abilityName>
      <candidateList/>
      <explain>已废止</explain>
      <paraID>1CC7B9B8</paraID>
      <start>15</start>
      <end>18</end>
      <status>unmodified</status>
      <modifiedWord/>
      <trackRevisions>false</trackRevisions>
    </reviewItem>
    <reviewItem>
      <errorID>f647c4b2-06b1-4c96-9836-a1db3815bb93</errorID>
      <errorWord>即时</errorWord>
      <group>L1_Word</group>
      <groupName>字词问题</groupName>
      <ability>L2_Typo</ability>
      <abilityName>字词错误</abilityName>
      <candidateList>
        <item>及时</item>
      </candidateList>
      <explain>存在发音相同字词的误用。</explain>
      <paraID>3342EC21</paraID>
      <start>32</start>
      <end>34</end>
      <status>modified</status>
      <modifiedWord>及时</modifiedWord>
      <trackRevisions>false</trackRevisions>
    </reviewItem>
    <reviewItem>
      <errorID>f763fbbc-6c2c-4e01-97cd-34f2b2e28234</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3B40CC2C</paraID>
      <start>257</start>
      <end>260</end>
      <status>unmodified</status>
      <modifiedWord/>
      <trackRevisions>false</trackRevisions>
    </reviewItem>
    <reviewItem>
      <errorID>8caac7ed-e1e4-473e-ac2c-cc6fdca97a98</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10E58A4E</paraID>
      <start>237</start>
      <end>240</end>
      <status>unmodified</status>
      <modifiedWord/>
      <trackRevisions>false</trackRevisions>
    </reviewItem>
    <reviewItem>
      <errorID>09be80b7-3bc3-4f2c-b344-96ed992cfc02</errorID>
      <errorWord>社会保险法</errorWord>
      <group>L1_Knowledge</group>
      <groupName>知识性问题</groupName>
      <ability>L2_Knowledge</ability>
      <abilityName>其他知识</abilityName>
      <candidateList>
        <item>中华人民共和国社会保险法</item>
      </candidateList>
      <explain>当前法律法规名称使用简称，请注意是否应当使用全称。</explain>
      <paraID> 1EEA21E</paraID>
      <start>490</start>
      <end>495</end>
      <status>unmodified</status>
      <modifiedWord/>
      <trackRevisions>false</trackRevisions>
    </reviewItem>
    <reviewItem>
      <errorID>491a4aa6-a804-468c-810e-0139e6a01084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419</start>
      <end>422</end>
      <status>unmodified</status>
      <modifiedWord/>
      <trackRevisions>false</trackRevisions>
    </reviewItem>
    <reviewItem>
      <errorID>d5ffc58c-320a-4fe9-9ffa-5ab6b0798d6f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431</start>
      <end>434</end>
      <status>unmodified</status>
      <modifiedWord/>
      <trackRevisions>false</trackRevisions>
    </reviewItem>
    <reviewItem>
      <errorID>6c15850b-6b9a-4319-afc3-5d5f4d59945d</errorID>
      <errorWord>住房公积及</errorWord>
      <group>L1_Knowledge</group>
      <groupName>知识性问题</groupName>
      <ability>L2_Term</ability>
      <abilityName>专业术语</abilityName>
      <candidateList>
        <item>住房公积金</item>
      </candidateList>
      <explain/>
      <paraID>56679FBE</paraID>
      <start>2</start>
      <end>7</end>
      <status>modified</status>
      <modifiedWord>住房公积金</modifiedWord>
      <trackRevisions>false</trackRevisions>
    </reviewItem>
    <reviewItem>
      <errorID>e85b25e5-48a3-44fb-8b80-af3017dfc1a6</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33EA3F0F</paraID>
      <start>12</start>
      <end>22</end>
      <status>modified</status>
      <modifiedWord>中华人民共和国预算法</modifiedWord>
      <trackRevisions>false</trackRevisions>
    </reviewItem>
    <reviewItem>
      <errorID>af6cbb39-9060-4ca4-9fd0-0417c9dda6d3</errorID>
      <errorWord>发票管理办法</errorWord>
      <group>L1_Knowledge</group>
      <groupName>知识性问题</groupName>
      <ability>L2_Knowledge</ability>
      <abilityName>其他知识</abilityName>
      <candidateList>
        <item>中华人民共和国发票管理办法</item>
      </candidateList>
      <explain>当前法律法规名称使用简称，请注意是否应当使用全称。</explain>
      <paraID>33EA3F0F</paraID>
      <start>175</start>
      <end>188</end>
      <status>modified</status>
      <modifiedWord>中华人民共和国发票管理办法</modifiedWord>
      <trackRevisions>false</trackRevisions>
    </reviewItem>
    <reviewItem>
      <errorID>994596a2-caca-44b9-bc53-a992d8f8751b</errorID>
      <errorWord>补盖</errorWord>
      <group>L1_Word</group>
      <groupName>字词问题</groupName>
      <ability>L2_Typo</ability>
      <abilityName>字词错误</abilityName>
      <candidateList>
        <item>加盖</item>
      </candidateList>
      <explain/>
      <paraID>5DE7B290</paraID>
      <start>72</start>
      <end>74</end>
      <status>modified</status>
      <modifiedWord>加盖</modifiedWord>
      <trackRevisions>false</trackRevisions>
    </reviewItem>
    <reviewItem>
      <errorID>fab6cbb7-96c9-49ca-9b72-f55c324cc71d</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 4DA043C</paraID>
      <start>217</start>
      <end>227</end>
      <status>modified</status>
      <modifiedWord>人力资源和社会保障部</modifiedWord>
      <trackRevisions>false</trackRevisions>
    </reviewItem>
    <reviewItem>
      <errorID>53a04677-263e-4d60-a7b6-70122faa16e4</errorID>
      <errorWord>繁琐</errorWord>
      <group>L1_Word</group>
      <groupName>字词问题</groupName>
      <ability>L2_Typo</ability>
      <abilityName>字词错误</abilityName>
      <candidateList>
        <item>烦琐</item>
      </candidateList>
      <explain/>
      <paraID>105830A8</paraID>
      <start>217</start>
      <end>219</end>
      <status>modified</status>
      <modifiedWord>烦琐</modifiedWord>
      <trackRevisions>false</trackRevisions>
    </reviewItem>
    <reviewItem>
      <errorID>d9a60068-c5e3-494d-a6a1-b574fb23939d</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 C191213</paraID>
      <start>459</start>
      <end>469</end>
      <status>modified</status>
      <modifiedWord>人力资源和社会保障部</modifiedWord>
      <trackRevisions>false</trackRevisions>
    </reviewItem>
    <reviewItem>
      <errorID>28dd7575-b27e-47a6-a687-ebba2e2ab345</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 C191213</paraID>
      <start>523</start>
      <end>533</end>
      <status>modified</status>
      <modifiedWord>人力资源和社会保障部</modifiedWord>
      <trackRevisions>false</trackRevisions>
    </reviewItem>
    <reviewItem>
      <errorID>a7c2a264-45bb-466f-af0d-8d1aa6f5af82</errorID>
      <errorWord>-</errorWord>
      <group>L1_Format</group>
      <groupName>格式问题</groupName>
      <ability>L2_HalfPunc</ability>
      <abilityName>全半角检查</abilityName>
      <candidateList>
        <item>－</item>
      </candidateList>
      <explain>文本全半角错误。</explain>
      <paraID>1EA520C4</paraID>
      <start>341</start>
      <end>342</end>
      <status>unmodified</status>
      <modifiedWord/>
      <trackRevisions>false</trackRevisions>
    </reviewItem>
    <reviewItem>
      <errorID>780389c2-6225-4bf6-9fd0-0255db1d89c6</errorID>
      <errorWord>-</errorWord>
      <group>L1_Format</group>
      <groupName>格式问题</groupName>
      <ability>L2_HalfPunc</ability>
      <abilityName>全半角检查</abilityName>
      <candidateList>
        <item>－</item>
      </candidateList>
      <explain>文本全半角错误。</explain>
      <paraID>1EA520C4</paraID>
      <start>344</start>
      <end>345</end>
      <status>unmodified</status>
      <modifiedWord/>
      <trackRevisions>false</trackRevisions>
    </reviewItem>
    <reviewItem>
      <errorID>df4c75d0-1aee-4ba1-90f6-ee64336d037c</errorID>
      <errorWord>人</errorWord>
      <group>L1_Word</group>
      <groupName>字词问题</groupName>
      <ability>L2_Typo</ability>
      <abilityName>字词错误</abilityName>
      <candidateList>
        <item>人员</item>
      </candidateList>
      <explain>〈名〉担任某种职务的人：机关工作～｜值班～｜～配备。</explain>
      <paraID>1EA520C4</paraID>
      <start>389</start>
      <end>390</end>
      <status>unmodified</status>
      <modifiedWord/>
      <trackRevisions>false</trackRevisions>
    </reviewItem>
    <reviewItem>
      <errorID>bee0012d-1605-4839-a85b-3aa7bcfa16fe</errorID>
      <errorWord>泄露风险</errorWord>
      <group>L1_Word</group>
      <groupName>字词问题</groupName>
      <ability>L2_Typo</ability>
      <abilityName>字词错误</abilityName>
      <candidateList>
        <item>泄漏风险</item>
      </candidateList>
      <explain/>
      <paraID>53A189E2</paraID>
      <start>77</start>
      <end>81</end>
      <status>unmodified</status>
      <modifiedWord/>
      <trackRevisions>false</trackRevisions>
    </reviewItem>
    <reviewItem>
      <errorID>675ca75e-18f7-444d-b5c3-993464ee6075</errorID>
      <errorWord>份</errorWord>
      <group>L1_Knowledge</group>
      <groupName>知识性问题</groupName>
      <ability>L2_Knowledge</ability>
      <abilityName>其他知识</abilityName>
      <candidateList>
        <item>套</item>
      </candidateList>
      <explain/>
      <paraID>53A189E2</paraID>
      <start>624</start>
      <end>625</end>
      <status>unmodified</status>
      <modifiedWord/>
      <trackRevisions>false</trackRevisions>
    </reviewItem>
    <reviewItem>
      <errorID>23897754-4eb4-4e96-b52b-0ebc1b3e0abf</errorID>
      <errorWord>作</errorWord>
      <group>L1_Word</group>
      <groupName>字词问题</groupName>
      <ability>L2_Typo</ability>
      <abilityName>字词错误</abilityName>
      <candidateList>
        <item>作中</item>
      </candidateList>
      <explain/>
      <paraID>1DD24CEA</paraID>
      <start>425</start>
      <end>426</end>
      <status>unmodified</status>
      <modifiedWord/>
      <trackRevisions>false</trackRevisions>
    </reviewItem>
    <reviewItem>
      <errorID>9008d1d5-0857-4e51-8024-62c8d1876365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3F40CA3C</paraID>
      <start>22</start>
      <end>25</end>
      <status>unmodified</status>
      <modifiedWord/>
      <trackRevisions>false</trackRevisions>
    </reviewItem>
    <reviewItem>
      <errorID>1955e254-12e5-4da8-86e8-d040fcccce2d</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58F33D61</paraID>
      <start>436</start>
      <end>443</end>
      <status>modified</status>
      <modifiedWord>国家监察委员会</modifiedWord>
      <trackRevisions>false</trackRevisions>
    </reviewItem>
    <reviewItem>
      <errorID>e1aa5f2b-af15-4fa0-ace4-62ab18be2d29</errorID>
      <errorWord>人员的</errorWord>
      <group>L1_Word</group>
      <groupName>字词问题</groupName>
      <ability>L2_Typo</ability>
      <abilityName>字词错误</abilityName>
      <candidateList>
        <item>人员</item>
      </candidateList>
      <explain>〈名〉担任某种职务的人：机关工作～｜值班～｜～配备。</explain>
      <paraID> F0C3C81</paraID>
      <start>4</start>
      <end>6</end>
      <status>modified</status>
      <modifiedWord>人员</modifiedWord>
      <trackRevisions>false</trackRevisions>
    </reviewItem>
    <reviewItem>
      <errorID>2b2f9b7d-4d20-4ba4-83be-4014c5d386a5</errorID>
      <errorWord>补交</errorWord>
      <group>L1_Word</group>
      <groupName>字词问题</groupName>
      <ability>L2_Typo</ability>
      <abilityName>字词错误</abilityName>
      <candidateList>
        <item>补缴</item>
      </candidateList>
      <explain>存在发音相同字词的误用。</explain>
      <paraID> F0C3C81</paraID>
      <start>44</start>
      <end>46</end>
      <status>modified</status>
      <modifiedWord>补缴</modifiedWord>
      <trackRevisions>false</trackRevisions>
    </reviewItem>
    <reviewItem>
      <errorID>b3fb9b6e-3246-4a43-ba3d-f74822aa3257</errorID>
      <errorWord>补交</errorWord>
      <group>L1_Word</group>
      <groupName>字词问题</groupName>
      <ability>L2_Typo</ability>
      <abilityName>字词错误</abilityName>
      <candidateList>
        <item>补缴</item>
      </candidateList>
      <explain/>
      <paraID> F0C3C81</paraID>
      <start>95</start>
      <end>97</end>
      <status>modified</status>
      <modifiedWord>补缴</modifiedWord>
      <trackRevisions>false</trackRevisions>
    </reviewItem>
    <reviewItem>
      <errorID>3e2f0354-a276-4f6c-bf91-ab7725535995</errorID>
      <errorWord>此</errorWord>
      <group>L1_Word</group>
      <groupName>字词问题</groupName>
      <ability>L2_Typo</ability>
      <abilityName>字词错误</abilityName>
      <candidateList>
        <item>此次</item>
      </candidateList>
      <explain/>
      <paraID> F0C3C81</paraID>
      <start>98</start>
      <end>100</end>
      <status>modified</status>
      <modifiedWord>此次</modifiedWord>
      <trackRevisions>false</trackRevisions>
    </reviewItem>
    <reviewItem>
      <errorID>bb4cc662-4eba-4b7d-aa4c-0fca537df77b</errorID>
      <errorWord>补交</errorWord>
      <group>L1_Word</group>
      <groupName>字词问题</groupName>
      <ability>L2_Typo</ability>
      <abilityName>字词错误</abilityName>
      <candidateList>
        <item>补缴</item>
      </candidateList>
      <explain/>
      <paraID> F0C3C81</paraID>
      <start>100</start>
      <end>102</end>
      <status>modified</status>
      <modifiedWord>补缴</modifiedWord>
      <trackRevisions>false</trackRevisions>
    </reviewItem>
    <reviewItem>
      <errorID>3143eed4-177f-4df7-992c-e2c2b001cdc4</errorID>
      <errorWord>2号</errorWord>
      <group>L1_Knowledge</group>
      <groupName>知识性问题</groupName>
      <ability>L2_Time</ability>
      <abilityName>日期时间</abilityName>
      <candidateList>
        <item>2日</item>
      </candidateList>
      <explain>日期表达规范为x月x日。</explain>
      <paraID>6E5CC891</paraID>
      <start>9</start>
      <end>11</end>
      <status>unmodified</status>
      <modifiedWord/>
      <trackRevisions>false</trackRevisions>
    </reviewItem>
    <reviewItem>
      <errorID>d93278b7-d7e0-461e-afe9-d212e06a77fa</errorID>
      <errorWord>慈善法</errorWord>
      <group>L1_Knowledge</group>
      <groupName>知识性问题</groupName>
      <ability>L2_Knowledge</ability>
      <abilityName>其他知识</abilityName>
      <candidateList>
        <item>中华人民共和国慈善法</item>
      </candidateList>
      <explain>当前法律法规名称使用简称，请注意是否应当使用全称。</explain>
      <paraID>1AC5E9C0</paraID>
      <start>119</start>
      <end>129</end>
      <status>modified</status>
      <modifiedWord>中华人民共和国慈善法</modifiedWord>
      <trackRevisions>false</trackRevisions>
    </reviewItem>
    <reviewItem>
      <errorID>cc62f552-1b5c-4e44-9d83-3c7b6fcbee9a</errorID>
      <errorWord>1号</errorWord>
      <group>L1_Knowledge</group>
      <groupName>知识性问题</groupName>
      <ability>L2_Time</ability>
      <abilityName>日期时间</abilityName>
      <candidateList>
        <item>1日</item>
      </candidateList>
      <explain>日期表达规范为x月x日。</explain>
      <paraID>7FA447AF</paraID>
      <start>9</start>
      <end>11</end>
      <status>unmodified</status>
      <modifiedWord/>
      <trackRevisions>false</trackRevisions>
    </reviewItem>
    <reviewItem>
      <errorID>d03ffff2-06e7-4154-af2d-8f1e7277b547</errorID>
      <errorWord>直付</errorWord>
      <group>L1_Word</group>
      <groupName>字词问题</groupName>
      <ability>L2_Typo</ability>
      <abilityName>字词错误</abilityName>
      <candidateList>
        <item>支付</item>
      </candidateList>
      <explain/>
      <paraID>  19D220</paraID>
      <start>576</start>
      <end>578</end>
      <status>modified</status>
      <modifiedWord>支付</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50ec2-bc59-47a9-8b25-b5936a6121c1}">
  <ds:schemaRefs/>
</ds:datastoreItem>
</file>

<file path=docProps/app.xml><?xml version="1.0" encoding="utf-8"?>
<Properties xmlns="http://schemas.openxmlformats.org/officeDocument/2006/extended-properties" xmlns:vt="http://schemas.openxmlformats.org/officeDocument/2006/docPropsVTypes">
  <Template>Normal.dotm</Template>
  <Pages>74</Pages>
  <Words>5764</Words>
  <Characters>6256</Characters>
  <Lines>0</Lines>
  <Paragraphs>0</Paragraphs>
  <TotalTime>3</TotalTime>
  <ScaleCrop>false</ScaleCrop>
  <LinksUpToDate>false</LinksUpToDate>
  <CharactersWithSpaces>6301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【JXY】</cp:lastModifiedBy>
  <cp:lastPrinted>2025-11-03T02:48:00Z</cp:lastPrinted>
  <dcterms:modified xsi:type="dcterms:W3CDTF">2025-12-15T00:48:05Z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79224C720F06428CA3CC04C92A854D1A_13</vt:lpwstr>
  </property>
  <property fmtid="{D5CDD505-2E9C-101B-9397-08002B2CF9AE}" pid="4" name="KSOTemplateDocerSaveRecord">
    <vt:lpwstr>eyJoZGlkIjoiYTU1ZDEwZTk0MTQ5Yzc0MGYxMWRkMmUyNzBiYmUzMGUiLCJ1c2VySWQiOiIyNzQ3NjA5MzgifQ==</vt:lpwstr>
  </property>
</Properties>
</file>