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46A6">
      <w:pPr>
        <w:widowControl w:val="0"/>
        <w:jc w:val="distribute"/>
        <w:rPr>
          <w:rFonts w:hint="eastAsia" w:ascii="仿宋" w:hAnsi="仿宋" w:eastAsia="仿宋" w:cs="仿宋"/>
          <w:b/>
          <w:bCs/>
          <w:sz w:val="36"/>
          <w:szCs w:val="36"/>
          <w:lang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DD29C4">
                            <w:pPr>
                              <w:jc w:val="center"/>
                              <w:rPr>
                                <w:rFonts w:hint="default"/>
                                <w:b/>
                                <w:bCs/>
                                <w:sz w:val="32"/>
                                <w:szCs w:val="32"/>
                                <w:lang w:val="en-US" w:eastAsia="zh-CN"/>
                              </w:rPr>
                            </w:pPr>
                            <w:r>
                              <w:rPr>
                                <w:rFonts w:hint="eastAsia"/>
                                <w:b/>
                                <w:bCs/>
                                <w:sz w:val="32"/>
                                <w:szCs w:val="32"/>
                                <w:lang w:val="en-US" w:eastAsia="zh-CN"/>
                              </w:rPr>
                              <w:t>C8</w:t>
                            </w:r>
                          </w:p>
                          <w:p w14:paraId="2C473F4B">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47DD29C4">
                      <w:pPr>
                        <w:jc w:val="center"/>
                        <w:rPr>
                          <w:rFonts w:hint="default"/>
                          <w:b/>
                          <w:bCs/>
                          <w:sz w:val="32"/>
                          <w:szCs w:val="32"/>
                          <w:lang w:val="en-US" w:eastAsia="zh-CN"/>
                        </w:rPr>
                      </w:pPr>
                      <w:r>
                        <w:rPr>
                          <w:rFonts w:hint="eastAsia"/>
                          <w:b/>
                          <w:bCs/>
                          <w:sz w:val="32"/>
                          <w:szCs w:val="32"/>
                          <w:lang w:val="en-US" w:eastAsia="zh-CN"/>
                        </w:rPr>
                        <w:t>C8</w:t>
                      </w:r>
                    </w:p>
                    <w:p w14:paraId="2C473F4B">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sz w:val="36"/>
          <w:szCs w:val="36"/>
          <w:lang w:eastAsia="zh-CN"/>
        </w:rPr>
        <w:t>湖南浩元会计师事务所（普通合伙）</w:t>
      </w:r>
    </w:p>
    <w:p w14:paraId="2EE52B05">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5C4277D">
      <w:pPr>
        <w:widowControl w:val="0"/>
        <w:jc w:val="center"/>
        <w:rPr>
          <w:rFonts w:hint="eastAsia" w:ascii="仿宋" w:hAnsi="仿宋" w:eastAsia="仿宋" w:cs="仿宋"/>
          <w:sz w:val="32"/>
          <w:szCs w:val="32"/>
          <w:lang w:eastAsia="zh-CN"/>
        </w:rPr>
      </w:pPr>
    </w:p>
    <w:p w14:paraId="2CE24707">
      <w:pPr>
        <w:widowControl w:val="0"/>
        <w:jc w:val="both"/>
        <w:rPr>
          <w:rFonts w:hint="eastAsia" w:ascii="仿宋" w:hAnsi="仿宋" w:eastAsia="仿宋" w:cs="仿宋"/>
          <w:sz w:val="32"/>
          <w:szCs w:val="32"/>
          <w:lang w:eastAsia="zh-CN"/>
        </w:rPr>
      </w:pPr>
    </w:p>
    <w:p w14:paraId="4BA2C105">
      <w:pPr>
        <w:widowControl w:val="0"/>
        <w:jc w:val="both"/>
        <w:rPr>
          <w:rFonts w:hint="eastAsia" w:ascii="仿宋" w:hAnsi="仿宋" w:eastAsia="仿宋" w:cs="仿宋"/>
          <w:sz w:val="32"/>
          <w:szCs w:val="32"/>
          <w:lang w:eastAsia="zh-CN"/>
        </w:rPr>
      </w:pPr>
    </w:p>
    <w:p w14:paraId="7F0AE20D">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59FC2698">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5FA7B718">
      <w:pPr>
        <w:widowControl w:val="0"/>
        <w:jc w:val="center"/>
        <w:rPr>
          <w:rFonts w:hint="eastAsia" w:ascii="仿宋" w:hAnsi="仿宋" w:eastAsia="仿宋" w:cs="仿宋"/>
          <w:sz w:val="32"/>
          <w:szCs w:val="32"/>
          <w:lang w:eastAsia="zh-CN"/>
        </w:rPr>
      </w:pPr>
    </w:p>
    <w:p w14:paraId="24348FBC">
      <w:pPr>
        <w:widowControl w:val="0"/>
        <w:jc w:val="both"/>
        <w:rPr>
          <w:rFonts w:hint="eastAsia" w:ascii="仿宋" w:hAnsi="仿宋" w:eastAsia="仿宋" w:cs="仿宋"/>
          <w:sz w:val="32"/>
          <w:szCs w:val="32"/>
          <w:lang w:eastAsia="zh-CN"/>
        </w:rPr>
      </w:pPr>
    </w:p>
    <w:p w14:paraId="60A0E5B7">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2024年雁峰区人民代表大会常务委员会</w:t>
      </w:r>
    </w:p>
    <w:p w14:paraId="08E74D41">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B8D29C5">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73DC98A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568F01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69164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4050336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项目单位：雁峰区人民代表大会常务委员会</w:t>
      </w:r>
    </w:p>
    <w:p w14:paraId="4665FB6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7BC404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0179B9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：2025年11月3日</w:t>
      </w:r>
    </w:p>
    <w:p w14:paraId="482C60CD">
      <w:pPr>
        <w:pStyle w:val="10"/>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EF9BD3A">
      <w:pPr>
        <w:pStyle w:val="10"/>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p>
    <w:p w14:paraId="19E9FF6C">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TOC \o "1-3" \h \u </w:instrText>
      </w:r>
      <w:r>
        <w:rPr>
          <w:rFonts w:hint="default"/>
          <w:sz w:val="32"/>
          <w:szCs w:val="32"/>
          <w:lang w:val="en-US" w:eastAsia="zh-CN"/>
        </w:rPr>
        <w:fldChar w:fldCharType="separate"/>
      </w:r>
      <w:r>
        <w:rPr>
          <w:rFonts w:hint="default"/>
          <w:sz w:val="32"/>
          <w:szCs w:val="32"/>
          <w:lang w:val="en-US" w:eastAsia="zh-CN"/>
        </w:rPr>
        <w:fldChar w:fldCharType="begin"/>
      </w:r>
      <w:r>
        <w:rPr>
          <w:rFonts w:hint="default"/>
          <w:sz w:val="32"/>
          <w:szCs w:val="32"/>
          <w:lang w:val="en-US" w:eastAsia="zh-CN"/>
        </w:rPr>
        <w:instrText xml:space="preserve"> HYPERLINK \l _Toc32432 </w:instrText>
      </w:r>
      <w:r>
        <w:rPr>
          <w:rFonts w:hint="default"/>
          <w:sz w:val="32"/>
          <w:szCs w:val="32"/>
          <w:lang w:val="en-US" w:eastAsia="zh-CN"/>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r>
        <w:rPr>
          <w:sz w:val="32"/>
          <w:szCs w:val="32"/>
        </w:rPr>
        <w:tab/>
      </w:r>
      <w:r>
        <w:rPr>
          <w:sz w:val="32"/>
          <w:szCs w:val="32"/>
        </w:rPr>
        <w:fldChar w:fldCharType="begin"/>
      </w:r>
      <w:r>
        <w:rPr>
          <w:sz w:val="32"/>
          <w:szCs w:val="32"/>
        </w:rPr>
        <w:instrText xml:space="preserve"> PAGEREF _Toc32432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4D6B7F2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_Toc18548 </w:instrText>
      </w:r>
      <w:r>
        <w:rPr>
          <w:rFonts w:hint="default"/>
          <w:sz w:val="32"/>
          <w:szCs w:val="32"/>
          <w:lang w:val="en-US" w:eastAsia="zh-CN"/>
        </w:rPr>
        <w:fldChar w:fldCharType="separate"/>
      </w:r>
      <w:r>
        <w:rPr>
          <w:rFonts w:hint="eastAsia" w:ascii="楷体" w:hAnsi="楷体" w:eastAsia="楷体" w:cs="楷体"/>
          <w:bCs/>
          <w:sz w:val="32"/>
          <w:szCs w:val="32"/>
        </w:rPr>
        <w:t>（一）</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对象和范围</w:t>
      </w:r>
      <w:r>
        <w:rPr>
          <w:sz w:val="32"/>
          <w:szCs w:val="32"/>
        </w:rPr>
        <w:tab/>
      </w:r>
      <w:r>
        <w:rPr>
          <w:sz w:val="32"/>
          <w:szCs w:val="32"/>
        </w:rPr>
        <w:fldChar w:fldCharType="begin"/>
      </w:r>
      <w:r>
        <w:rPr>
          <w:sz w:val="32"/>
          <w:szCs w:val="32"/>
        </w:rPr>
        <w:instrText xml:space="preserve"> PAGEREF _Toc18548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40F4C3F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_Toc16703 </w:instrText>
      </w:r>
      <w:r>
        <w:rPr>
          <w:rFonts w:hint="default"/>
          <w:sz w:val="32"/>
          <w:szCs w:val="32"/>
          <w:lang w:val="en-US" w:eastAsia="zh-CN"/>
        </w:rPr>
        <w:fldChar w:fldCharType="separate"/>
      </w:r>
      <w:r>
        <w:rPr>
          <w:rFonts w:hint="eastAsia" w:ascii="楷体" w:hAnsi="楷体" w:eastAsia="楷体" w:cs="楷体"/>
          <w:bCs/>
          <w:sz w:val="32"/>
          <w:szCs w:val="32"/>
        </w:rPr>
        <w:t>（二）</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依据</w:t>
      </w:r>
      <w:r>
        <w:rPr>
          <w:sz w:val="32"/>
          <w:szCs w:val="32"/>
        </w:rPr>
        <w:tab/>
      </w:r>
      <w:r>
        <w:rPr>
          <w:sz w:val="32"/>
          <w:szCs w:val="32"/>
        </w:rPr>
        <w:fldChar w:fldCharType="begin"/>
      </w:r>
      <w:r>
        <w:rPr>
          <w:sz w:val="32"/>
          <w:szCs w:val="32"/>
        </w:rPr>
        <w:instrText xml:space="preserve"> PAGEREF _Toc16703 \h </w:instrText>
      </w:r>
      <w:r>
        <w:rPr>
          <w:sz w:val="32"/>
          <w:szCs w:val="32"/>
        </w:rPr>
        <w:fldChar w:fldCharType="separate"/>
      </w:r>
      <w:r>
        <w:rPr>
          <w:sz w:val="32"/>
          <w:szCs w:val="32"/>
        </w:rPr>
        <w:t>2</w:t>
      </w:r>
      <w:r>
        <w:rPr>
          <w:sz w:val="32"/>
          <w:szCs w:val="32"/>
        </w:rPr>
        <w:fldChar w:fldCharType="end"/>
      </w:r>
      <w:r>
        <w:rPr>
          <w:rFonts w:hint="default"/>
          <w:sz w:val="32"/>
          <w:szCs w:val="32"/>
          <w:lang w:val="en-US" w:eastAsia="zh-CN"/>
        </w:rPr>
        <w:fldChar w:fldCharType="end"/>
      </w:r>
    </w:p>
    <w:p w14:paraId="09818FFF">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_Toc6731 </w:instrText>
      </w:r>
      <w:r>
        <w:rPr>
          <w:rFonts w:hint="default"/>
          <w:sz w:val="32"/>
          <w:szCs w:val="32"/>
          <w:lang w:val="en-US" w:eastAsia="zh-CN"/>
        </w:rPr>
        <w:fldChar w:fldCharType="separate"/>
      </w:r>
      <w:r>
        <w:rPr>
          <w:rFonts w:hint="eastAsia" w:ascii="楷体" w:hAnsi="楷体" w:eastAsia="楷体" w:cs="楷体"/>
          <w:bCs/>
          <w:sz w:val="32"/>
          <w:szCs w:val="32"/>
        </w:rPr>
        <w:t>（三）</w:t>
      </w:r>
      <w:r>
        <w:rPr>
          <w:rFonts w:hint="eastAsia" w:ascii="楷体" w:hAnsi="楷体" w:eastAsia="楷体" w:cs="楷体"/>
          <w:bCs/>
          <w:sz w:val="32"/>
          <w:szCs w:val="32"/>
          <w:lang w:val="en-US" w:eastAsia="zh-CN"/>
        </w:rPr>
        <w:t>评价方法和目的</w:t>
      </w:r>
      <w:r>
        <w:rPr>
          <w:sz w:val="32"/>
          <w:szCs w:val="32"/>
        </w:rPr>
        <w:tab/>
      </w:r>
      <w:r>
        <w:rPr>
          <w:sz w:val="32"/>
          <w:szCs w:val="32"/>
        </w:rPr>
        <w:fldChar w:fldCharType="begin"/>
      </w:r>
      <w:r>
        <w:rPr>
          <w:sz w:val="32"/>
          <w:szCs w:val="32"/>
        </w:rPr>
        <w:instrText xml:space="preserve"> PAGEREF _Toc6731 \h </w:instrText>
      </w:r>
      <w:r>
        <w:rPr>
          <w:sz w:val="32"/>
          <w:szCs w:val="32"/>
        </w:rPr>
        <w:fldChar w:fldCharType="separate"/>
      </w:r>
      <w:r>
        <w:rPr>
          <w:sz w:val="32"/>
          <w:szCs w:val="32"/>
        </w:rPr>
        <w:t>3</w:t>
      </w:r>
      <w:r>
        <w:rPr>
          <w:sz w:val="32"/>
          <w:szCs w:val="32"/>
        </w:rPr>
        <w:fldChar w:fldCharType="end"/>
      </w:r>
      <w:r>
        <w:rPr>
          <w:rFonts w:hint="default"/>
          <w:sz w:val="32"/>
          <w:szCs w:val="32"/>
          <w:lang w:val="en-US" w:eastAsia="zh-CN"/>
        </w:rPr>
        <w:fldChar w:fldCharType="end"/>
      </w:r>
    </w:p>
    <w:p w14:paraId="129BAE97">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_Toc13259 </w:instrText>
      </w:r>
      <w:r>
        <w:rPr>
          <w:rFonts w:hint="default"/>
          <w:sz w:val="32"/>
          <w:szCs w:val="32"/>
          <w:lang w:val="en-US" w:eastAsia="zh-CN"/>
        </w:rPr>
        <w:fldChar w:fldCharType="separate"/>
      </w: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r>
        <w:rPr>
          <w:sz w:val="32"/>
          <w:szCs w:val="32"/>
        </w:rPr>
        <w:tab/>
      </w:r>
      <w:r>
        <w:rPr>
          <w:sz w:val="32"/>
          <w:szCs w:val="32"/>
        </w:rPr>
        <w:fldChar w:fldCharType="begin"/>
      </w:r>
      <w:r>
        <w:rPr>
          <w:sz w:val="32"/>
          <w:szCs w:val="32"/>
        </w:rPr>
        <w:instrText xml:space="preserve"> PAGEREF _Toc13259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07990F8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_Toc27795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基本信息</w:t>
      </w:r>
      <w:r>
        <w:rPr>
          <w:sz w:val="32"/>
          <w:szCs w:val="32"/>
        </w:rPr>
        <w:tab/>
      </w:r>
      <w:r>
        <w:rPr>
          <w:sz w:val="32"/>
          <w:szCs w:val="32"/>
        </w:rPr>
        <w:fldChar w:fldCharType="begin"/>
      </w:r>
      <w:r>
        <w:rPr>
          <w:sz w:val="32"/>
          <w:szCs w:val="32"/>
        </w:rPr>
        <w:instrText xml:space="preserve"> PAGEREF _Toc27795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34CC67CF">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_Toc6358 </w:instrText>
      </w:r>
      <w:r>
        <w:rPr>
          <w:rFonts w:hint="default"/>
          <w:sz w:val="32"/>
          <w:szCs w:val="32"/>
          <w:lang w:val="en-US" w:eastAsia="zh-CN"/>
        </w:rPr>
        <w:fldChar w:fldCharType="separate"/>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二</w:t>
      </w:r>
      <w:r>
        <w:rPr>
          <w:rFonts w:hint="eastAsia" w:ascii="楷体" w:hAnsi="楷体" w:eastAsia="楷体" w:cs="楷体"/>
          <w:bCs/>
          <w:sz w:val="32"/>
          <w:szCs w:val="32"/>
          <w:highlight w:val="none"/>
          <w:lang w:eastAsia="zh-CN"/>
        </w:rPr>
        <w:t>）部门</w:t>
      </w:r>
      <w:r>
        <w:rPr>
          <w:rFonts w:hint="eastAsia" w:ascii="楷体" w:hAnsi="楷体" w:eastAsia="楷体" w:cs="楷体"/>
          <w:bCs/>
          <w:sz w:val="32"/>
          <w:szCs w:val="32"/>
          <w:highlight w:val="none"/>
          <w:lang w:val="en-US" w:eastAsia="zh-CN"/>
        </w:rPr>
        <w:t>主要职责</w:t>
      </w:r>
      <w:r>
        <w:rPr>
          <w:sz w:val="32"/>
          <w:szCs w:val="32"/>
        </w:rPr>
        <w:tab/>
      </w:r>
      <w:r>
        <w:rPr>
          <w:sz w:val="32"/>
          <w:szCs w:val="32"/>
        </w:rPr>
        <w:fldChar w:fldCharType="begin"/>
      </w:r>
      <w:r>
        <w:rPr>
          <w:sz w:val="32"/>
          <w:szCs w:val="32"/>
        </w:rPr>
        <w:instrText xml:space="preserve"> PAGEREF _Toc6358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7C8D93C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_Toc7403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三</w:t>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部门</w:t>
      </w:r>
      <w:r>
        <w:rPr>
          <w:rFonts w:hint="eastAsia" w:ascii="楷体" w:hAnsi="楷体" w:eastAsia="楷体" w:cs="楷体"/>
          <w:bCs/>
          <w:sz w:val="32"/>
          <w:szCs w:val="32"/>
          <w:lang w:eastAsia="zh-CN"/>
        </w:rPr>
        <w:t>组织架构与人员</w:t>
      </w:r>
      <w:r>
        <w:rPr>
          <w:sz w:val="32"/>
          <w:szCs w:val="32"/>
        </w:rPr>
        <w:tab/>
      </w:r>
      <w:r>
        <w:rPr>
          <w:sz w:val="32"/>
          <w:szCs w:val="32"/>
        </w:rPr>
        <w:fldChar w:fldCharType="begin"/>
      </w:r>
      <w:r>
        <w:rPr>
          <w:sz w:val="32"/>
          <w:szCs w:val="32"/>
        </w:rPr>
        <w:instrText xml:space="preserve"> PAGEREF _Toc7403 \h </w:instrText>
      </w:r>
      <w:r>
        <w:rPr>
          <w:sz w:val="32"/>
          <w:szCs w:val="32"/>
        </w:rPr>
        <w:fldChar w:fldCharType="separate"/>
      </w:r>
      <w:r>
        <w:rPr>
          <w:sz w:val="32"/>
          <w:szCs w:val="32"/>
        </w:rPr>
        <w:t>5</w:t>
      </w:r>
      <w:r>
        <w:rPr>
          <w:sz w:val="32"/>
          <w:szCs w:val="32"/>
        </w:rPr>
        <w:fldChar w:fldCharType="end"/>
      </w:r>
      <w:r>
        <w:rPr>
          <w:rFonts w:hint="default"/>
          <w:sz w:val="32"/>
          <w:szCs w:val="32"/>
          <w:lang w:val="en-US" w:eastAsia="zh-CN"/>
        </w:rPr>
        <w:fldChar w:fldCharType="end"/>
      </w:r>
    </w:p>
    <w:p w14:paraId="0EA22CD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_Toc4098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（四）部门2024年度职责履行及履职效益</w:t>
      </w:r>
      <w:r>
        <w:rPr>
          <w:sz w:val="32"/>
          <w:szCs w:val="32"/>
        </w:rPr>
        <w:tab/>
      </w:r>
      <w:r>
        <w:rPr>
          <w:sz w:val="32"/>
          <w:szCs w:val="32"/>
        </w:rPr>
        <w:fldChar w:fldCharType="begin"/>
      </w:r>
      <w:r>
        <w:rPr>
          <w:sz w:val="32"/>
          <w:szCs w:val="32"/>
        </w:rPr>
        <w:instrText xml:space="preserve"> PAGEREF _Toc4098 \h </w:instrText>
      </w:r>
      <w:r>
        <w:rPr>
          <w:sz w:val="32"/>
          <w:szCs w:val="32"/>
        </w:rPr>
        <w:fldChar w:fldCharType="separate"/>
      </w:r>
      <w:r>
        <w:rPr>
          <w:sz w:val="32"/>
          <w:szCs w:val="32"/>
        </w:rPr>
        <w:t>6</w:t>
      </w:r>
      <w:r>
        <w:rPr>
          <w:sz w:val="32"/>
          <w:szCs w:val="32"/>
        </w:rPr>
        <w:fldChar w:fldCharType="end"/>
      </w:r>
      <w:r>
        <w:rPr>
          <w:rFonts w:hint="default"/>
          <w:sz w:val="32"/>
          <w:szCs w:val="32"/>
          <w:lang w:val="en-US" w:eastAsia="zh-CN"/>
        </w:rPr>
        <w:fldChar w:fldCharType="end"/>
      </w:r>
    </w:p>
    <w:p w14:paraId="02E2368B">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_Toc10986 </w:instrText>
      </w:r>
      <w:r>
        <w:rPr>
          <w:rFonts w:hint="default"/>
          <w:sz w:val="32"/>
          <w:szCs w:val="32"/>
          <w:lang w:val="en-US" w:eastAsia="zh-CN"/>
        </w:rPr>
        <w:fldChar w:fldCharType="separate"/>
      </w:r>
      <w:r>
        <w:rPr>
          <w:rFonts w:hint="eastAsia" w:ascii="黑体" w:hAnsi="黑体" w:eastAsia="黑体" w:cs="黑体"/>
          <w:sz w:val="32"/>
          <w:szCs w:val="32"/>
          <w:lang w:eastAsia="zh-CN"/>
        </w:rPr>
        <w:t>三、部门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r>
        <w:rPr>
          <w:sz w:val="32"/>
          <w:szCs w:val="32"/>
        </w:rPr>
        <w:tab/>
      </w:r>
      <w:r>
        <w:rPr>
          <w:sz w:val="32"/>
          <w:szCs w:val="32"/>
        </w:rPr>
        <w:fldChar w:fldCharType="begin"/>
      </w:r>
      <w:r>
        <w:rPr>
          <w:sz w:val="32"/>
          <w:szCs w:val="32"/>
        </w:rPr>
        <w:instrText xml:space="preserve"> PAGEREF _Toc10986 \h </w:instrText>
      </w:r>
      <w:r>
        <w:rPr>
          <w:sz w:val="32"/>
          <w:szCs w:val="32"/>
        </w:rPr>
        <w:fldChar w:fldCharType="separate"/>
      </w:r>
      <w:r>
        <w:rPr>
          <w:sz w:val="32"/>
          <w:szCs w:val="32"/>
        </w:rPr>
        <w:t>16</w:t>
      </w:r>
      <w:r>
        <w:rPr>
          <w:sz w:val="32"/>
          <w:szCs w:val="32"/>
        </w:rPr>
        <w:fldChar w:fldCharType="end"/>
      </w:r>
      <w:r>
        <w:rPr>
          <w:rFonts w:hint="default"/>
          <w:sz w:val="32"/>
          <w:szCs w:val="32"/>
          <w:lang w:val="en-US" w:eastAsia="zh-CN"/>
        </w:rPr>
        <w:fldChar w:fldCharType="end"/>
      </w:r>
    </w:p>
    <w:p w14:paraId="346B8CE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_Toc26399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配置</w:t>
      </w:r>
      <w:r>
        <w:rPr>
          <w:rFonts w:hint="eastAsia" w:ascii="楷体" w:hAnsi="楷体" w:eastAsia="楷体" w:cs="楷体"/>
          <w:bCs/>
          <w:sz w:val="32"/>
          <w:szCs w:val="32"/>
          <w:lang w:eastAsia="zh-CN"/>
        </w:rPr>
        <w:t>情况</w:t>
      </w:r>
      <w:r>
        <w:rPr>
          <w:rFonts w:hint="eastAsia" w:ascii="楷体" w:hAnsi="楷体" w:eastAsia="楷体" w:cs="楷体"/>
          <w:bCs/>
          <w:sz w:val="32"/>
          <w:szCs w:val="32"/>
          <w:lang w:val="en-US" w:eastAsia="zh-CN"/>
        </w:rPr>
        <w:t>及分析</w:t>
      </w:r>
      <w:r>
        <w:rPr>
          <w:sz w:val="32"/>
          <w:szCs w:val="32"/>
        </w:rPr>
        <w:tab/>
      </w:r>
      <w:r>
        <w:rPr>
          <w:sz w:val="32"/>
          <w:szCs w:val="32"/>
        </w:rPr>
        <w:fldChar w:fldCharType="begin"/>
      </w:r>
      <w:r>
        <w:rPr>
          <w:sz w:val="32"/>
          <w:szCs w:val="32"/>
        </w:rPr>
        <w:instrText xml:space="preserve"> PAGEREF _Toc26399 \h </w:instrText>
      </w:r>
      <w:r>
        <w:rPr>
          <w:sz w:val="32"/>
          <w:szCs w:val="32"/>
        </w:rPr>
        <w:fldChar w:fldCharType="separate"/>
      </w:r>
      <w:r>
        <w:rPr>
          <w:sz w:val="32"/>
          <w:szCs w:val="32"/>
        </w:rPr>
        <w:t>16</w:t>
      </w:r>
      <w:r>
        <w:rPr>
          <w:sz w:val="32"/>
          <w:szCs w:val="32"/>
        </w:rPr>
        <w:fldChar w:fldCharType="end"/>
      </w:r>
      <w:r>
        <w:rPr>
          <w:rFonts w:hint="default"/>
          <w:sz w:val="32"/>
          <w:szCs w:val="32"/>
          <w:lang w:val="en-US" w:eastAsia="zh-CN"/>
        </w:rPr>
        <w:fldChar w:fldCharType="end"/>
      </w:r>
    </w:p>
    <w:p w14:paraId="6AD3AF1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_Toc3945 </w:instrText>
      </w:r>
      <w:r>
        <w:rPr>
          <w:rFonts w:hint="default"/>
          <w:sz w:val="32"/>
          <w:szCs w:val="32"/>
          <w:lang w:val="en-US" w:eastAsia="zh-CN"/>
        </w:rPr>
        <w:fldChar w:fldCharType="separate"/>
      </w:r>
      <w:r>
        <w:rPr>
          <w:rFonts w:hint="eastAsia" w:ascii="楷体" w:hAnsi="楷体" w:eastAsia="楷体" w:cs="楷体"/>
          <w:bCs/>
          <w:sz w:val="32"/>
          <w:szCs w:val="32"/>
          <w:lang w:eastAsia="zh-CN"/>
        </w:rPr>
        <w:t>（二）预算执行</w:t>
      </w:r>
      <w:r>
        <w:rPr>
          <w:rFonts w:hint="eastAsia" w:ascii="楷体" w:hAnsi="楷体" w:eastAsia="楷体" w:cs="楷体"/>
          <w:bCs/>
          <w:sz w:val="32"/>
          <w:szCs w:val="32"/>
          <w:lang w:val="en-US" w:eastAsia="zh-CN"/>
        </w:rPr>
        <w:t>情况及分析</w:t>
      </w:r>
      <w:r>
        <w:rPr>
          <w:sz w:val="32"/>
          <w:szCs w:val="32"/>
        </w:rPr>
        <w:tab/>
      </w:r>
      <w:r>
        <w:rPr>
          <w:sz w:val="32"/>
          <w:szCs w:val="32"/>
        </w:rPr>
        <w:fldChar w:fldCharType="begin"/>
      </w:r>
      <w:r>
        <w:rPr>
          <w:sz w:val="32"/>
          <w:szCs w:val="32"/>
        </w:rPr>
        <w:instrText xml:space="preserve"> PAGEREF _Toc3945 \h </w:instrText>
      </w:r>
      <w:r>
        <w:rPr>
          <w:sz w:val="32"/>
          <w:szCs w:val="32"/>
        </w:rPr>
        <w:fldChar w:fldCharType="separate"/>
      </w:r>
      <w:r>
        <w:rPr>
          <w:sz w:val="32"/>
          <w:szCs w:val="32"/>
        </w:rPr>
        <w:t>17</w:t>
      </w:r>
      <w:r>
        <w:rPr>
          <w:sz w:val="32"/>
          <w:szCs w:val="32"/>
        </w:rPr>
        <w:fldChar w:fldCharType="end"/>
      </w:r>
      <w:r>
        <w:rPr>
          <w:rFonts w:hint="default"/>
          <w:sz w:val="32"/>
          <w:szCs w:val="32"/>
          <w:lang w:val="en-US" w:eastAsia="zh-CN"/>
        </w:rPr>
        <w:fldChar w:fldCharType="end"/>
      </w:r>
    </w:p>
    <w:p w14:paraId="2C9F63BF">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_Toc13505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（三）整体支出汇总及分析</w:t>
      </w:r>
      <w:r>
        <w:rPr>
          <w:sz w:val="32"/>
          <w:szCs w:val="32"/>
        </w:rPr>
        <w:tab/>
      </w:r>
      <w:r>
        <w:rPr>
          <w:sz w:val="32"/>
          <w:szCs w:val="32"/>
        </w:rPr>
        <w:fldChar w:fldCharType="begin"/>
      </w:r>
      <w:r>
        <w:rPr>
          <w:sz w:val="32"/>
          <w:szCs w:val="32"/>
        </w:rPr>
        <w:instrText xml:space="preserve"> PAGEREF _Toc13505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54BA449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_Toc2885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管理情况及分析</w:t>
      </w:r>
      <w:r>
        <w:rPr>
          <w:sz w:val="32"/>
          <w:szCs w:val="32"/>
        </w:rPr>
        <w:tab/>
      </w:r>
      <w:r>
        <w:rPr>
          <w:sz w:val="32"/>
          <w:szCs w:val="32"/>
        </w:rPr>
        <w:fldChar w:fldCharType="begin"/>
      </w:r>
      <w:r>
        <w:rPr>
          <w:sz w:val="32"/>
          <w:szCs w:val="32"/>
        </w:rPr>
        <w:instrText xml:space="preserve"> PAGEREF _Toc2885 \h </w:instrText>
      </w:r>
      <w:r>
        <w:rPr>
          <w:sz w:val="32"/>
          <w:szCs w:val="32"/>
        </w:rPr>
        <w:fldChar w:fldCharType="separate"/>
      </w:r>
      <w:r>
        <w:rPr>
          <w:sz w:val="32"/>
          <w:szCs w:val="32"/>
        </w:rPr>
        <w:t>27</w:t>
      </w:r>
      <w:r>
        <w:rPr>
          <w:sz w:val="32"/>
          <w:szCs w:val="32"/>
        </w:rPr>
        <w:fldChar w:fldCharType="end"/>
      </w:r>
      <w:r>
        <w:rPr>
          <w:rFonts w:hint="default"/>
          <w:sz w:val="32"/>
          <w:szCs w:val="32"/>
          <w:lang w:val="en-US" w:eastAsia="zh-CN"/>
        </w:rPr>
        <w:fldChar w:fldCharType="end"/>
      </w:r>
    </w:p>
    <w:p w14:paraId="777E5842">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_Toc4228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（五）工资管理情况及分析</w:t>
      </w:r>
      <w:r>
        <w:rPr>
          <w:sz w:val="32"/>
          <w:szCs w:val="32"/>
        </w:rPr>
        <w:tab/>
      </w:r>
      <w:r>
        <w:rPr>
          <w:sz w:val="32"/>
          <w:szCs w:val="32"/>
        </w:rPr>
        <w:fldChar w:fldCharType="begin"/>
      </w:r>
      <w:r>
        <w:rPr>
          <w:sz w:val="32"/>
          <w:szCs w:val="32"/>
        </w:rPr>
        <w:instrText xml:space="preserve"> PAGEREF _Toc4228 \h </w:instrText>
      </w:r>
      <w:r>
        <w:rPr>
          <w:sz w:val="32"/>
          <w:szCs w:val="32"/>
        </w:rPr>
        <w:fldChar w:fldCharType="separate"/>
      </w:r>
      <w:r>
        <w:rPr>
          <w:sz w:val="32"/>
          <w:szCs w:val="32"/>
        </w:rPr>
        <w:t>29</w:t>
      </w:r>
      <w:r>
        <w:rPr>
          <w:sz w:val="32"/>
          <w:szCs w:val="32"/>
        </w:rPr>
        <w:fldChar w:fldCharType="end"/>
      </w:r>
      <w:r>
        <w:rPr>
          <w:rFonts w:hint="default"/>
          <w:sz w:val="32"/>
          <w:szCs w:val="32"/>
          <w:lang w:val="en-US" w:eastAsia="zh-CN"/>
        </w:rPr>
        <w:fldChar w:fldCharType="end"/>
      </w:r>
    </w:p>
    <w:p w14:paraId="3E383242">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_Toc4374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（六）项目支出管理情况及分析</w:t>
      </w:r>
      <w:r>
        <w:rPr>
          <w:sz w:val="32"/>
          <w:szCs w:val="32"/>
        </w:rPr>
        <w:tab/>
      </w:r>
      <w:r>
        <w:rPr>
          <w:sz w:val="32"/>
          <w:szCs w:val="32"/>
        </w:rPr>
        <w:fldChar w:fldCharType="begin"/>
      </w:r>
      <w:r>
        <w:rPr>
          <w:sz w:val="32"/>
          <w:szCs w:val="32"/>
        </w:rPr>
        <w:instrText xml:space="preserve"> PAGEREF _Toc4374 \h </w:instrText>
      </w:r>
      <w:r>
        <w:rPr>
          <w:sz w:val="32"/>
          <w:szCs w:val="32"/>
        </w:rPr>
        <w:fldChar w:fldCharType="separate"/>
      </w:r>
      <w:r>
        <w:rPr>
          <w:sz w:val="32"/>
          <w:szCs w:val="32"/>
        </w:rPr>
        <w:t>29</w:t>
      </w:r>
      <w:r>
        <w:rPr>
          <w:sz w:val="32"/>
          <w:szCs w:val="32"/>
        </w:rPr>
        <w:fldChar w:fldCharType="end"/>
      </w:r>
      <w:r>
        <w:rPr>
          <w:rFonts w:hint="default"/>
          <w:sz w:val="32"/>
          <w:szCs w:val="32"/>
          <w:lang w:val="en-US" w:eastAsia="zh-CN"/>
        </w:rPr>
        <w:fldChar w:fldCharType="end"/>
      </w:r>
    </w:p>
    <w:p w14:paraId="2417132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_Toc7777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（七）</w:t>
      </w:r>
      <w:r>
        <w:rPr>
          <w:rFonts w:hint="eastAsia" w:ascii="楷体" w:hAnsi="楷体" w:eastAsia="楷体" w:cs="楷体"/>
          <w:bCs/>
          <w:sz w:val="32"/>
          <w:szCs w:val="32"/>
          <w:highlight w:val="none"/>
          <w:lang w:val="en-US" w:eastAsia="zh-CN"/>
        </w:rPr>
        <w:t>固定资产管理情况及分析</w:t>
      </w:r>
      <w:r>
        <w:rPr>
          <w:sz w:val="32"/>
          <w:szCs w:val="32"/>
        </w:rPr>
        <w:tab/>
      </w:r>
      <w:r>
        <w:rPr>
          <w:sz w:val="32"/>
          <w:szCs w:val="32"/>
        </w:rPr>
        <w:fldChar w:fldCharType="begin"/>
      </w:r>
      <w:r>
        <w:rPr>
          <w:sz w:val="32"/>
          <w:szCs w:val="32"/>
        </w:rPr>
        <w:instrText xml:space="preserve"> PAGEREF _Toc7777 \h </w:instrText>
      </w:r>
      <w:r>
        <w:rPr>
          <w:sz w:val="32"/>
          <w:szCs w:val="32"/>
        </w:rPr>
        <w:fldChar w:fldCharType="separate"/>
      </w:r>
      <w:r>
        <w:rPr>
          <w:sz w:val="32"/>
          <w:szCs w:val="32"/>
        </w:rPr>
        <w:t>32</w:t>
      </w:r>
      <w:r>
        <w:rPr>
          <w:sz w:val="32"/>
          <w:szCs w:val="32"/>
        </w:rPr>
        <w:fldChar w:fldCharType="end"/>
      </w:r>
      <w:r>
        <w:rPr>
          <w:rFonts w:hint="default"/>
          <w:sz w:val="32"/>
          <w:szCs w:val="32"/>
          <w:lang w:val="en-US" w:eastAsia="zh-CN"/>
        </w:rPr>
        <w:fldChar w:fldCharType="end"/>
      </w:r>
    </w:p>
    <w:p w14:paraId="54BFC36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_Toc18857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（八）厉行节约保障措施的执行情况及其政策效果</w:t>
      </w:r>
      <w:r>
        <w:rPr>
          <w:sz w:val="32"/>
          <w:szCs w:val="32"/>
        </w:rPr>
        <w:tab/>
      </w:r>
      <w:r>
        <w:rPr>
          <w:sz w:val="32"/>
          <w:szCs w:val="32"/>
        </w:rPr>
        <w:fldChar w:fldCharType="begin"/>
      </w:r>
      <w:r>
        <w:rPr>
          <w:sz w:val="32"/>
          <w:szCs w:val="32"/>
        </w:rPr>
        <w:instrText xml:space="preserve"> PAGEREF _Toc18857 \h </w:instrText>
      </w:r>
      <w:r>
        <w:rPr>
          <w:sz w:val="32"/>
          <w:szCs w:val="32"/>
        </w:rPr>
        <w:fldChar w:fldCharType="separate"/>
      </w:r>
      <w:r>
        <w:rPr>
          <w:sz w:val="32"/>
          <w:szCs w:val="32"/>
        </w:rPr>
        <w:t>39</w:t>
      </w:r>
      <w:r>
        <w:rPr>
          <w:sz w:val="32"/>
          <w:szCs w:val="32"/>
        </w:rPr>
        <w:fldChar w:fldCharType="end"/>
      </w:r>
      <w:r>
        <w:rPr>
          <w:rFonts w:hint="default"/>
          <w:sz w:val="32"/>
          <w:szCs w:val="32"/>
          <w:lang w:val="en-US" w:eastAsia="zh-CN"/>
        </w:rPr>
        <w:fldChar w:fldCharType="end"/>
      </w:r>
    </w:p>
    <w:p w14:paraId="6AD02E50">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_Toc3526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r>
        <w:rPr>
          <w:sz w:val="32"/>
          <w:szCs w:val="32"/>
        </w:rPr>
        <w:tab/>
      </w:r>
      <w:r>
        <w:rPr>
          <w:sz w:val="32"/>
          <w:szCs w:val="32"/>
        </w:rPr>
        <w:fldChar w:fldCharType="begin"/>
      </w:r>
      <w:r>
        <w:rPr>
          <w:sz w:val="32"/>
          <w:szCs w:val="32"/>
        </w:rPr>
        <w:instrText xml:space="preserve"> PAGEREF _Toc3526 \h </w:instrText>
      </w:r>
      <w:r>
        <w:rPr>
          <w:sz w:val="32"/>
          <w:szCs w:val="32"/>
        </w:rPr>
        <w:fldChar w:fldCharType="separate"/>
      </w:r>
      <w:r>
        <w:rPr>
          <w:sz w:val="32"/>
          <w:szCs w:val="32"/>
        </w:rPr>
        <w:t>42</w:t>
      </w:r>
      <w:r>
        <w:rPr>
          <w:sz w:val="32"/>
          <w:szCs w:val="32"/>
        </w:rPr>
        <w:fldChar w:fldCharType="end"/>
      </w:r>
      <w:r>
        <w:rPr>
          <w:rFonts w:hint="default"/>
          <w:sz w:val="32"/>
          <w:szCs w:val="32"/>
          <w:lang w:val="en-US" w:eastAsia="zh-CN"/>
        </w:rPr>
        <w:fldChar w:fldCharType="end"/>
      </w:r>
    </w:p>
    <w:p w14:paraId="01DA1188">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_Toc28992 </w:instrText>
      </w:r>
      <w:r>
        <w:rPr>
          <w:rFonts w:hint="default"/>
          <w:sz w:val="32"/>
          <w:szCs w:val="32"/>
          <w:lang w:val="en-US" w:eastAsia="zh-CN"/>
        </w:rPr>
        <w:fldChar w:fldCharType="separate"/>
      </w:r>
      <w:r>
        <w:rPr>
          <w:rFonts w:hint="eastAsia" w:ascii="楷体" w:hAnsi="楷体" w:eastAsia="楷体" w:cs="楷体"/>
          <w:bCs/>
          <w:sz w:val="32"/>
          <w:szCs w:val="32"/>
          <w:lang w:eastAsia="zh-CN"/>
        </w:rPr>
        <w:t>（一）总体目标</w:t>
      </w:r>
      <w:r>
        <w:rPr>
          <w:sz w:val="32"/>
          <w:szCs w:val="32"/>
        </w:rPr>
        <w:tab/>
      </w:r>
      <w:r>
        <w:rPr>
          <w:sz w:val="32"/>
          <w:szCs w:val="32"/>
        </w:rPr>
        <w:fldChar w:fldCharType="begin"/>
      </w:r>
      <w:r>
        <w:rPr>
          <w:sz w:val="32"/>
          <w:szCs w:val="32"/>
        </w:rPr>
        <w:instrText xml:space="preserve"> PAGEREF _Toc28992 \h </w:instrText>
      </w:r>
      <w:r>
        <w:rPr>
          <w:sz w:val="32"/>
          <w:szCs w:val="32"/>
        </w:rPr>
        <w:fldChar w:fldCharType="separate"/>
      </w:r>
      <w:r>
        <w:rPr>
          <w:sz w:val="32"/>
          <w:szCs w:val="32"/>
        </w:rPr>
        <w:t>42</w:t>
      </w:r>
      <w:r>
        <w:rPr>
          <w:sz w:val="32"/>
          <w:szCs w:val="32"/>
        </w:rPr>
        <w:fldChar w:fldCharType="end"/>
      </w:r>
      <w:r>
        <w:rPr>
          <w:rFonts w:hint="default"/>
          <w:sz w:val="32"/>
          <w:szCs w:val="32"/>
          <w:lang w:val="en-US" w:eastAsia="zh-CN"/>
        </w:rPr>
        <w:fldChar w:fldCharType="end"/>
      </w:r>
    </w:p>
    <w:p w14:paraId="48B101B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_Toc29261 </w:instrText>
      </w:r>
      <w:r>
        <w:rPr>
          <w:rFonts w:hint="default"/>
          <w:sz w:val="32"/>
          <w:szCs w:val="32"/>
          <w:lang w:val="en-US" w:eastAsia="zh-CN"/>
        </w:rPr>
        <w:fldChar w:fldCharType="separate"/>
      </w:r>
      <w:r>
        <w:rPr>
          <w:rFonts w:hint="eastAsia" w:ascii="楷体" w:hAnsi="楷体" w:eastAsia="楷体" w:cs="楷体"/>
          <w:bCs/>
          <w:sz w:val="32"/>
          <w:szCs w:val="32"/>
          <w:lang w:eastAsia="zh-CN"/>
        </w:rPr>
        <w:t>（二）分类目标</w:t>
      </w:r>
      <w:r>
        <w:rPr>
          <w:sz w:val="32"/>
          <w:szCs w:val="32"/>
        </w:rPr>
        <w:tab/>
      </w:r>
      <w:r>
        <w:rPr>
          <w:sz w:val="32"/>
          <w:szCs w:val="32"/>
        </w:rPr>
        <w:fldChar w:fldCharType="begin"/>
      </w:r>
      <w:r>
        <w:rPr>
          <w:sz w:val="32"/>
          <w:szCs w:val="32"/>
        </w:rPr>
        <w:instrText xml:space="preserve"> PAGEREF _Toc29261 \h </w:instrText>
      </w:r>
      <w:r>
        <w:rPr>
          <w:sz w:val="32"/>
          <w:szCs w:val="32"/>
        </w:rPr>
        <w:fldChar w:fldCharType="separate"/>
      </w:r>
      <w:r>
        <w:rPr>
          <w:sz w:val="32"/>
          <w:szCs w:val="32"/>
        </w:rPr>
        <w:t>42</w:t>
      </w:r>
      <w:r>
        <w:rPr>
          <w:sz w:val="32"/>
          <w:szCs w:val="32"/>
        </w:rPr>
        <w:fldChar w:fldCharType="end"/>
      </w:r>
      <w:r>
        <w:rPr>
          <w:rFonts w:hint="default"/>
          <w:sz w:val="32"/>
          <w:szCs w:val="32"/>
          <w:lang w:val="en-US" w:eastAsia="zh-CN"/>
        </w:rPr>
        <w:fldChar w:fldCharType="end"/>
      </w:r>
    </w:p>
    <w:p w14:paraId="07B9219F">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_Toc31720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r>
        <w:rPr>
          <w:sz w:val="32"/>
          <w:szCs w:val="32"/>
        </w:rPr>
        <w:tab/>
      </w:r>
      <w:r>
        <w:rPr>
          <w:sz w:val="32"/>
          <w:szCs w:val="32"/>
        </w:rPr>
        <w:fldChar w:fldCharType="begin"/>
      </w:r>
      <w:r>
        <w:rPr>
          <w:sz w:val="32"/>
          <w:szCs w:val="32"/>
        </w:rPr>
        <w:instrText xml:space="preserve"> PAGEREF _Toc31720 \h </w:instrText>
      </w:r>
      <w:r>
        <w:rPr>
          <w:sz w:val="32"/>
          <w:szCs w:val="32"/>
        </w:rPr>
        <w:fldChar w:fldCharType="separate"/>
      </w:r>
      <w:r>
        <w:rPr>
          <w:sz w:val="32"/>
          <w:szCs w:val="32"/>
        </w:rPr>
        <w:t>43</w:t>
      </w:r>
      <w:r>
        <w:rPr>
          <w:sz w:val="32"/>
          <w:szCs w:val="32"/>
        </w:rPr>
        <w:fldChar w:fldCharType="end"/>
      </w:r>
      <w:r>
        <w:rPr>
          <w:rFonts w:hint="default"/>
          <w:sz w:val="32"/>
          <w:szCs w:val="32"/>
          <w:lang w:val="en-US" w:eastAsia="zh-CN"/>
        </w:rPr>
        <w:fldChar w:fldCharType="end"/>
      </w:r>
    </w:p>
    <w:p w14:paraId="2704473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_Toc19267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（一）评价框架</w:t>
      </w:r>
      <w:r>
        <w:rPr>
          <w:sz w:val="32"/>
          <w:szCs w:val="32"/>
        </w:rPr>
        <w:tab/>
      </w:r>
      <w:r>
        <w:rPr>
          <w:sz w:val="32"/>
          <w:szCs w:val="32"/>
        </w:rPr>
        <w:fldChar w:fldCharType="begin"/>
      </w:r>
      <w:r>
        <w:rPr>
          <w:sz w:val="32"/>
          <w:szCs w:val="32"/>
        </w:rPr>
        <w:instrText xml:space="preserve"> PAGEREF _Toc19267 \h </w:instrText>
      </w:r>
      <w:r>
        <w:rPr>
          <w:sz w:val="32"/>
          <w:szCs w:val="32"/>
        </w:rPr>
        <w:fldChar w:fldCharType="separate"/>
      </w:r>
      <w:r>
        <w:rPr>
          <w:sz w:val="32"/>
          <w:szCs w:val="32"/>
        </w:rPr>
        <w:t>43</w:t>
      </w:r>
      <w:r>
        <w:rPr>
          <w:sz w:val="32"/>
          <w:szCs w:val="32"/>
        </w:rPr>
        <w:fldChar w:fldCharType="end"/>
      </w:r>
      <w:r>
        <w:rPr>
          <w:rFonts w:hint="default"/>
          <w:sz w:val="32"/>
          <w:szCs w:val="32"/>
          <w:lang w:val="en-US" w:eastAsia="zh-CN"/>
        </w:rPr>
        <w:fldChar w:fldCharType="end"/>
      </w:r>
    </w:p>
    <w:p w14:paraId="06F12AD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_Toc8545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（二）评价分析</w:t>
      </w:r>
      <w:r>
        <w:rPr>
          <w:sz w:val="32"/>
          <w:szCs w:val="32"/>
        </w:rPr>
        <w:tab/>
      </w:r>
      <w:r>
        <w:rPr>
          <w:sz w:val="32"/>
          <w:szCs w:val="32"/>
        </w:rPr>
        <w:fldChar w:fldCharType="begin"/>
      </w:r>
      <w:r>
        <w:rPr>
          <w:sz w:val="32"/>
          <w:szCs w:val="32"/>
        </w:rPr>
        <w:instrText xml:space="preserve"> PAGEREF _Toc8545 \h </w:instrText>
      </w:r>
      <w:r>
        <w:rPr>
          <w:sz w:val="32"/>
          <w:szCs w:val="32"/>
        </w:rPr>
        <w:fldChar w:fldCharType="separate"/>
      </w:r>
      <w:r>
        <w:rPr>
          <w:sz w:val="32"/>
          <w:szCs w:val="32"/>
        </w:rPr>
        <w:t>45</w:t>
      </w:r>
      <w:r>
        <w:rPr>
          <w:sz w:val="32"/>
          <w:szCs w:val="32"/>
        </w:rPr>
        <w:fldChar w:fldCharType="end"/>
      </w:r>
      <w:r>
        <w:rPr>
          <w:rFonts w:hint="default"/>
          <w:sz w:val="32"/>
          <w:szCs w:val="32"/>
          <w:lang w:val="en-US" w:eastAsia="zh-CN"/>
        </w:rPr>
        <w:fldChar w:fldCharType="end"/>
      </w:r>
    </w:p>
    <w:p w14:paraId="429D992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_Toc30820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（三）评价结果</w:t>
      </w:r>
      <w:r>
        <w:rPr>
          <w:sz w:val="32"/>
          <w:szCs w:val="32"/>
        </w:rPr>
        <w:tab/>
      </w:r>
      <w:r>
        <w:rPr>
          <w:sz w:val="32"/>
          <w:szCs w:val="32"/>
        </w:rPr>
        <w:fldChar w:fldCharType="begin"/>
      </w:r>
      <w:r>
        <w:rPr>
          <w:sz w:val="32"/>
          <w:szCs w:val="32"/>
        </w:rPr>
        <w:instrText xml:space="preserve"> PAGEREF _Toc30820 \h </w:instrText>
      </w:r>
      <w:r>
        <w:rPr>
          <w:sz w:val="32"/>
          <w:szCs w:val="32"/>
        </w:rPr>
        <w:fldChar w:fldCharType="separate"/>
      </w:r>
      <w:r>
        <w:rPr>
          <w:sz w:val="32"/>
          <w:szCs w:val="32"/>
        </w:rPr>
        <w:t>58</w:t>
      </w:r>
      <w:r>
        <w:rPr>
          <w:sz w:val="32"/>
          <w:szCs w:val="32"/>
        </w:rPr>
        <w:fldChar w:fldCharType="end"/>
      </w:r>
      <w:r>
        <w:rPr>
          <w:rFonts w:hint="default"/>
          <w:sz w:val="32"/>
          <w:szCs w:val="32"/>
          <w:lang w:val="en-US" w:eastAsia="zh-CN"/>
        </w:rPr>
        <w:fldChar w:fldCharType="end"/>
      </w:r>
    </w:p>
    <w:p w14:paraId="2540C6B7">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_Toc13682 </w:instrText>
      </w:r>
      <w:r>
        <w:rPr>
          <w:rFonts w:hint="default"/>
          <w:sz w:val="32"/>
          <w:szCs w:val="32"/>
          <w:lang w:val="en-US" w:eastAsia="zh-CN"/>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r>
        <w:rPr>
          <w:sz w:val="32"/>
          <w:szCs w:val="32"/>
        </w:rPr>
        <w:tab/>
      </w:r>
      <w:r>
        <w:rPr>
          <w:sz w:val="32"/>
          <w:szCs w:val="32"/>
        </w:rPr>
        <w:fldChar w:fldCharType="begin"/>
      </w:r>
      <w:r>
        <w:rPr>
          <w:sz w:val="32"/>
          <w:szCs w:val="32"/>
        </w:rPr>
        <w:instrText xml:space="preserve"> PAGEREF _Toc13682 \h </w:instrText>
      </w:r>
      <w:r>
        <w:rPr>
          <w:sz w:val="32"/>
          <w:szCs w:val="32"/>
        </w:rPr>
        <w:fldChar w:fldCharType="separate"/>
      </w:r>
      <w:r>
        <w:rPr>
          <w:sz w:val="32"/>
          <w:szCs w:val="32"/>
        </w:rPr>
        <w:t>58</w:t>
      </w:r>
      <w:r>
        <w:rPr>
          <w:sz w:val="32"/>
          <w:szCs w:val="32"/>
        </w:rPr>
        <w:fldChar w:fldCharType="end"/>
      </w:r>
      <w:r>
        <w:rPr>
          <w:rFonts w:hint="default"/>
          <w:sz w:val="32"/>
          <w:szCs w:val="32"/>
          <w:lang w:val="en-US" w:eastAsia="zh-CN"/>
        </w:rPr>
        <w:fldChar w:fldCharType="end"/>
      </w:r>
    </w:p>
    <w:p w14:paraId="29588EA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_Toc3445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（一）预算配置与执行方面存在的问题及建议</w:t>
      </w:r>
      <w:r>
        <w:rPr>
          <w:sz w:val="32"/>
          <w:szCs w:val="32"/>
        </w:rPr>
        <w:tab/>
      </w:r>
      <w:r>
        <w:rPr>
          <w:sz w:val="32"/>
          <w:szCs w:val="32"/>
        </w:rPr>
        <w:fldChar w:fldCharType="begin"/>
      </w:r>
      <w:r>
        <w:rPr>
          <w:sz w:val="32"/>
          <w:szCs w:val="32"/>
        </w:rPr>
        <w:instrText xml:space="preserve"> PAGEREF _Toc3445 \h </w:instrText>
      </w:r>
      <w:r>
        <w:rPr>
          <w:sz w:val="32"/>
          <w:szCs w:val="32"/>
        </w:rPr>
        <w:fldChar w:fldCharType="separate"/>
      </w:r>
      <w:r>
        <w:rPr>
          <w:sz w:val="32"/>
          <w:szCs w:val="32"/>
        </w:rPr>
        <w:t>58</w:t>
      </w:r>
      <w:r>
        <w:rPr>
          <w:sz w:val="32"/>
          <w:szCs w:val="32"/>
        </w:rPr>
        <w:fldChar w:fldCharType="end"/>
      </w:r>
      <w:r>
        <w:rPr>
          <w:rFonts w:hint="default"/>
          <w:sz w:val="32"/>
          <w:szCs w:val="32"/>
          <w:lang w:val="en-US" w:eastAsia="zh-CN"/>
        </w:rPr>
        <w:fldChar w:fldCharType="end"/>
      </w:r>
    </w:p>
    <w:p w14:paraId="40D9E82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_Toc6039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_Toc6039 \h </w:instrText>
      </w:r>
      <w:r>
        <w:rPr>
          <w:sz w:val="32"/>
          <w:szCs w:val="32"/>
        </w:rPr>
        <w:fldChar w:fldCharType="separate"/>
      </w:r>
      <w:r>
        <w:rPr>
          <w:sz w:val="32"/>
          <w:szCs w:val="32"/>
        </w:rPr>
        <w:t>72</w:t>
      </w:r>
      <w:r>
        <w:rPr>
          <w:sz w:val="32"/>
          <w:szCs w:val="32"/>
        </w:rPr>
        <w:fldChar w:fldCharType="end"/>
      </w:r>
      <w:r>
        <w:rPr>
          <w:rFonts w:hint="default"/>
          <w:sz w:val="32"/>
          <w:szCs w:val="32"/>
          <w:lang w:val="en-US" w:eastAsia="zh-CN"/>
        </w:rPr>
        <w:fldChar w:fldCharType="end"/>
      </w:r>
    </w:p>
    <w:p w14:paraId="219AC16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_Toc17311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（三）人员经费管理方面存在的问题及建议</w:t>
      </w:r>
      <w:r>
        <w:rPr>
          <w:sz w:val="32"/>
          <w:szCs w:val="32"/>
        </w:rPr>
        <w:tab/>
      </w:r>
      <w:r>
        <w:rPr>
          <w:sz w:val="32"/>
          <w:szCs w:val="32"/>
        </w:rPr>
        <w:fldChar w:fldCharType="begin"/>
      </w:r>
      <w:r>
        <w:rPr>
          <w:sz w:val="32"/>
          <w:szCs w:val="32"/>
        </w:rPr>
        <w:instrText xml:space="preserve"> PAGEREF _Toc17311 \h </w:instrText>
      </w:r>
      <w:r>
        <w:rPr>
          <w:sz w:val="32"/>
          <w:szCs w:val="32"/>
        </w:rPr>
        <w:fldChar w:fldCharType="separate"/>
      </w:r>
      <w:r>
        <w:rPr>
          <w:sz w:val="32"/>
          <w:szCs w:val="32"/>
        </w:rPr>
        <w:t>76</w:t>
      </w:r>
      <w:r>
        <w:rPr>
          <w:sz w:val="32"/>
          <w:szCs w:val="32"/>
        </w:rPr>
        <w:fldChar w:fldCharType="end"/>
      </w:r>
      <w:r>
        <w:rPr>
          <w:rFonts w:hint="default"/>
          <w:sz w:val="32"/>
          <w:szCs w:val="32"/>
          <w:lang w:val="en-US" w:eastAsia="zh-CN"/>
        </w:rPr>
        <w:fldChar w:fldCharType="end"/>
      </w:r>
    </w:p>
    <w:p w14:paraId="076FDFB8">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_Toc7534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（四）项目管理方面存在的问题及建议</w:t>
      </w:r>
      <w:r>
        <w:rPr>
          <w:sz w:val="32"/>
          <w:szCs w:val="32"/>
        </w:rPr>
        <w:tab/>
      </w:r>
      <w:r>
        <w:rPr>
          <w:sz w:val="32"/>
          <w:szCs w:val="32"/>
        </w:rPr>
        <w:fldChar w:fldCharType="begin"/>
      </w:r>
      <w:r>
        <w:rPr>
          <w:sz w:val="32"/>
          <w:szCs w:val="32"/>
        </w:rPr>
        <w:instrText xml:space="preserve"> PAGEREF _Toc7534 \h </w:instrText>
      </w:r>
      <w:r>
        <w:rPr>
          <w:sz w:val="32"/>
          <w:szCs w:val="32"/>
        </w:rPr>
        <w:fldChar w:fldCharType="separate"/>
      </w:r>
      <w:r>
        <w:rPr>
          <w:sz w:val="32"/>
          <w:szCs w:val="32"/>
        </w:rPr>
        <w:t>88</w:t>
      </w:r>
      <w:r>
        <w:rPr>
          <w:sz w:val="32"/>
          <w:szCs w:val="32"/>
        </w:rPr>
        <w:fldChar w:fldCharType="end"/>
      </w:r>
      <w:r>
        <w:rPr>
          <w:rFonts w:hint="default"/>
          <w:sz w:val="32"/>
          <w:szCs w:val="32"/>
          <w:lang w:val="en-US" w:eastAsia="zh-CN"/>
        </w:rPr>
        <w:fldChar w:fldCharType="end"/>
      </w:r>
    </w:p>
    <w:p w14:paraId="7FD67802">
      <w:pPr>
        <w:keepNext w:val="0"/>
        <w:keepLines w:val="0"/>
        <w:pageBreakBefore w:val="0"/>
        <w:widowControl/>
        <w:tabs>
          <w:tab w:val="left" w:pos="475"/>
        </w:tabs>
        <w:kinsoku/>
        <w:wordWrap/>
        <w:overflowPunct/>
        <w:topLinePunct w:val="0"/>
        <w:autoSpaceDE/>
        <w:autoSpaceDN/>
        <w:bidi w:val="0"/>
        <w:adjustRightInd/>
        <w:snapToGrid/>
        <w:spacing w:line="560" w:lineRule="exact"/>
        <w:textAlignment w:val="auto"/>
        <w:rPr>
          <w:rFonts w:hint="default"/>
          <w:sz w:val="28"/>
          <w:szCs w:val="28"/>
          <w:lang w:val="en-US" w:eastAsia="zh-CN"/>
        </w:rPr>
      </w:pPr>
      <w:r>
        <w:rPr>
          <w:rFonts w:hint="default"/>
          <w:sz w:val="32"/>
          <w:szCs w:val="32"/>
          <w:lang w:val="en-US" w:eastAsia="zh-CN"/>
        </w:rPr>
        <w:fldChar w:fldCharType="end"/>
      </w:r>
    </w:p>
    <w:p w14:paraId="6A3BD969">
      <w:pPr>
        <w:pStyle w:val="11"/>
        <w:tabs>
          <w:tab w:val="left" w:pos="2694"/>
        </w:tabs>
        <w:rPr>
          <w:rFonts w:hint="default" w:asciiTheme="minorHAnsi" w:hAnsiTheme="minorHAnsi" w:eastAsiaTheme="minorEastAsia" w:cstheme="minorBidi"/>
          <w:kern w:val="0"/>
          <w:sz w:val="28"/>
          <w:szCs w:val="28"/>
          <w:lang w:val="en-US" w:eastAsia="zh-CN" w:bidi="ar"/>
        </w:rPr>
      </w:pPr>
    </w:p>
    <w:p w14:paraId="6C01F959">
      <w:pPr>
        <w:bidi w:val="0"/>
        <w:rPr>
          <w:rFonts w:hint="default"/>
          <w:lang w:val="en-US" w:eastAsia="zh-CN"/>
        </w:rPr>
      </w:pPr>
    </w:p>
    <w:p w14:paraId="23CB58C1">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72E8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2024年雁峰区人民代表大会常务委员会部门整体支出绩效评价报告</w:t>
      </w:r>
    </w:p>
    <w:p w14:paraId="1A4E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18CF8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号</w:t>
      </w:r>
    </w:p>
    <w:p w14:paraId="68460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69ABBD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雁峰区人民代表大会常务委员会（以下简称“区人大”）的部门整体支出进行了绩效评价。建立健全内部控制制度，保护资金与资产的安全和完整，保证会计资料和其他绩效评价的相关资料的真实性、合法性和完整性，是区人大的责任。我们的责任是在区人大提供资料基础上，对2024年的部门整体支出绩效进行评价。</w:t>
      </w:r>
    </w:p>
    <w:p w14:paraId="46E90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63EE6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20127"/>
      <w:bookmarkStart w:id="2" w:name="_Toc9891"/>
      <w:bookmarkStart w:id="3" w:name="_Toc18591"/>
      <w:bookmarkStart w:id="4" w:name="_Toc32432"/>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FBD8C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26464"/>
      <w:bookmarkStart w:id="6" w:name="_Toc2812"/>
      <w:bookmarkStart w:id="7" w:name="_Toc13350"/>
      <w:bookmarkStart w:id="8" w:name="_Toc18548"/>
      <w:bookmarkStart w:id="9" w:name="_Toc3257"/>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068A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7691"/>
      <w:bookmarkStart w:id="11" w:name="_Toc8069"/>
      <w:bookmarkStart w:id="12" w:name="_Toc29635"/>
      <w:r>
        <w:rPr>
          <w:rFonts w:hint="eastAsia" w:ascii="仿宋" w:hAnsi="仿宋" w:eastAsia="仿宋" w:cs="仿宋"/>
          <w:sz w:val="32"/>
          <w:szCs w:val="32"/>
          <w:lang w:val="en-US" w:eastAsia="zh-CN"/>
        </w:rPr>
        <w:t>评价对象为2024年雁峰区人民代表大会常务委员会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8394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1228"/>
      <w:bookmarkStart w:id="14" w:name="_Toc16703"/>
      <w:bookmarkStart w:id="15" w:name="_Toc24072"/>
      <w:bookmarkStart w:id="16" w:name="_Toc7231"/>
      <w:bookmarkStart w:id="17" w:name="_Toc4694"/>
      <w:bookmarkStart w:id="18" w:name="_Toc25241"/>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E639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7020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054B8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393EE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095FF3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58819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4C76F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CD93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53172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4391B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63EC01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4C67D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36A5A8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AE7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3AEBA1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5D2E82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0D4C8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4AF56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1A41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34DA0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73E24F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18017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1CC6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15E7E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1"/>
        <w:rPr>
          <w:rFonts w:hint="default" w:ascii="楷体" w:hAnsi="楷体" w:eastAsia="楷体" w:cs="楷体"/>
          <w:b/>
          <w:bCs/>
          <w:sz w:val="32"/>
          <w:szCs w:val="32"/>
          <w:lang w:val="en-US"/>
        </w:rPr>
      </w:pPr>
      <w:bookmarkStart w:id="20" w:name="_Toc6731"/>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242A6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听取情况介绍、进行实地核查、发放调查问卷、对照复核及分析等方式，对区人大提供的相关资料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w:t>
      </w:r>
      <w:r>
        <w:rPr>
          <w:rFonts w:hint="eastAsia" w:ascii="仿宋" w:hAnsi="仿宋" w:eastAsia="仿宋" w:cs="仿宋"/>
          <w:sz w:val="32"/>
          <w:szCs w:val="32"/>
          <w:highlight w:val="none"/>
          <w:lang w:val="en-US" w:eastAsia="zh-CN"/>
        </w:rPr>
        <w:t>强化政府责任与透明度，全面衡量公共资金使用的经济性、效率性、效益性和可持续性，系统性地检视资金使用全流程，确保公共资源发挥</w:t>
      </w:r>
      <w:r>
        <w:rPr>
          <w:rFonts w:hint="eastAsia" w:ascii="仿宋" w:hAnsi="仿宋" w:eastAsia="仿宋" w:cs="仿宋"/>
          <w:sz w:val="32"/>
          <w:szCs w:val="32"/>
          <w:lang w:val="en-US" w:eastAsia="zh-CN"/>
        </w:rPr>
        <w:t>最大价值，同时为政策调整和预算优化提供依据。</w:t>
      </w:r>
    </w:p>
    <w:bookmarkEnd w:id="0"/>
    <w:bookmarkEnd w:id="19"/>
    <w:p w14:paraId="76AE3A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21063"/>
      <w:bookmarkStart w:id="22" w:name="_Toc32697"/>
      <w:bookmarkStart w:id="23" w:name="_Toc13259"/>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2A24FB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27795"/>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3664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bCs/>
          <w:sz w:val="32"/>
          <w:szCs w:val="32"/>
          <w:lang w:val="en-US" w:eastAsia="zh-CN"/>
        </w:rPr>
      </w:pPr>
      <w:r>
        <w:rPr>
          <w:rFonts w:hint="default" w:ascii="仿宋" w:hAnsi="仿宋" w:eastAsia="仿宋" w:cs="仿宋"/>
          <w:sz w:val="32"/>
          <w:szCs w:val="32"/>
          <w:lang w:val="en-US" w:eastAsia="zh-CN"/>
        </w:rPr>
        <w:t>统一社会信用代码114304030062543782</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县区级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全额</w:t>
      </w:r>
      <w:r>
        <w:rPr>
          <w:rFonts w:hint="eastAsia" w:ascii="仿宋" w:hAnsi="仿宋" w:eastAsia="仿宋" w:cs="仿宋"/>
          <w:sz w:val="32"/>
          <w:szCs w:val="32"/>
          <w:lang w:val="en-US" w:eastAsia="zh-CN"/>
        </w:rPr>
        <w:t>。</w:t>
      </w:r>
    </w:p>
    <w:p w14:paraId="5EE58AC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25" w:name="_Toc6358"/>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lang w:eastAsia="zh-CN"/>
        </w:rPr>
        <w:t>）部门</w:t>
      </w:r>
      <w:r>
        <w:rPr>
          <w:rFonts w:hint="eastAsia" w:ascii="楷体" w:hAnsi="楷体" w:eastAsia="楷体" w:cs="楷体"/>
          <w:b/>
          <w:bCs/>
          <w:sz w:val="32"/>
          <w:szCs w:val="32"/>
          <w:highlight w:val="none"/>
          <w:lang w:val="en-US" w:eastAsia="zh-CN"/>
        </w:rPr>
        <w:t>主要职责</w:t>
      </w:r>
      <w:bookmarkEnd w:id="25"/>
    </w:p>
    <w:p w14:paraId="2F1ACA9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区人大常委会办公室。主要职责是：</w:t>
      </w:r>
      <w:r>
        <w:rPr>
          <w:rFonts w:hint="eastAsia" w:ascii="仿宋" w:hAnsi="仿宋" w:eastAsia="仿宋" w:cs="仿宋"/>
          <w:b w:val="0"/>
          <w:bCs w:val="0"/>
          <w:sz w:val="32"/>
          <w:szCs w:val="32"/>
          <w:lang w:eastAsia="zh-CN"/>
        </w:rPr>
        <w:t>（1）负责区人大常委会、主任会议、党组会议的会务及起草会议意见等工作。（</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）负责常委会机关日常工作的组织、协调、管理和服务。（</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）负责起草区人大常委会工作报告等综合性文件及材料，编印区人大常委会公报，加强人大的宣传工作。（</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）负责常委会、党组及办公室文件及有关综合性材料的把关工作，负责常委会有关重要信息的整理上报工作。（</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）负责对区人民代表大会、常务委员会会议、主任会议的决议、决定落实情况组织督办、检查。受理、接待人民群众和人大代表的来信来访，承办上级人大交办的信访案件。（</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）负责人大机关的文书处理、印鉴、档案管理、保密、文件打印等工作。（</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lang w:eastAsia="zh-CN"/>
        </w:rPr>
        <w:t>）负责人大机关人事、财务、接待、后勤等工作。（</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lang w:eastAsia="zh-CN"/>
        </w:rPr>
        <w:t>）负责联系安排常委会领导的政务活动。（</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lang w:eastAsia="zh-CN"/>
        </w:rPr>
        <w:t>）负责联系群团组织工作。（</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lang w:eastAsia="zh-CN"/>
        </w:rPr>
        <w:t>）承办筹备区人代会的有关工作，完成区人大常委会开展的其他中心工作所承担的工作任务。（</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lang w:eastAsia="zh-CN"/>
        </w:rPr>
        <w:t>）办理常务委员会和主任会议交办的其他事项。</w:t>
      </w:r>
    </w:p>
    <w:p w14:paraId="5905F42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区人大常委会选举任免联络工作委员会。主要职责是：</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）负责联系在我区的省市人大代表和区人大代表，组织代表培训工作，为代表依法履行职务服务。（</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）接待区人大代表来信来访，转交和牵头督办区人大代表的建议、批评和意见。（</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）督促区人大代表小组开展活动，组织区人大代表向选民报告履职情况，牵头组织区人大代表集中视察。（</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）依法实施区人大代表换届选举，联系指导镇人大主席团和街道人大工委工作。</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牵头组织区人民政府组成人员和监察委员会、法院、检察院领导人员向区人大常委会报告履职情况。</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负责办理区人大常委会职权范围内的干部任免事项，办理代表的质询、辞职、罢免、补选及代表资格审查工作，承办司法机关向区人大常委会报告的对区人大代表依法采取强制措施的有关事项。</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lang w:eastAsia="zh-CN"/>
        </w:rPr>
        <w:t>对涉及联工委职责范围内的工作进行调查研究，向区人大常委会提出报告及建议。</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lang w:eastAsia="zh-CN"/>
        </w:rPr>
        <w:t>承办筹备人代会有关工作，完成区人大常委会开展的其他中心工作所承担的工作任务。</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lang w:eastAsia="zh-CN"/>
        </w:rPr>
        <w:t>负责草拟联工委职责范围的通知、文件及材料。</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lang w:eastAsia="zh-CN"/>
        </w:rPr>
        <w:t>负责涉及联工委工作的有关会议的筹备组织工作。</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lang w:eastAsia="zh-CN"/>
        </w:rPr>
        <w:t>办理常务委员会和主任会议交办的其他事项。</w:t>
      </w:r>
    </w:p>
    <w:p w14:paraId="17A83B1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区人大各专门委员会。主要职责按照《中华人民共和国地方各级人民代表大会和地方各级人民政府组织法》的规定履行。</w:t>
      </w:r>
    </w:p>
    <w:p w14:paraId="40CF435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6" w:name="_Toc7403"/>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lang w:eastAsia="zh-CN"/>
        </w:rPr>
        <w:t>组织架构与人员</w:t>
      </w:r>
      <w:bookmarkEnd w:id="26"/>
    </w:p>
    <w:p w14:paraId="70F1384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1.内部机构设置</w:t>
      </w:r>
    </w:p>
    <w:p w14:paraId="749AA5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bCs/>
          <w:kern w:val="0"/>
          <w:sz w:val="32"/>
          <w:szCs w:val="32"/>
          <w:highlight w:val="none"/>
          <w:lang w:eastAsia="zh-CN"/>
        </w:rPr>
      </w:pPr>
      <w:r>
        <w:rPr>
          <w:rFonts w:hint="eastAsia" w:ascii="仿宋" w:hAnsi="仿宋" w:eastAsia="仿宋"/>
          <w:bCs/>
          <w:kern w:val="0"/>
          <w:sz w:val="32"/>
          <w:szCs w:val="32"/>
          <w:highlight w:val="none"/>
          <w:lang w:eastAsia="zh-CN"/>
        </w:rPr>
        <w:t>区人大常委会机关设置办事机构、工作机构2个：</w:t>
      </w:r>
      <w:r>
        <w:rPr>
          <w:rFonts w:hint="eastAsia" w:ascii="仿宋" w:hAnsi="仿宋" w:eastAsia="仿宋"/>
          <w:b/>
          <w:bCs w:val="0"/>
          <w:kern w:val="0"/>
          <w:sz w:val="32"/>
          <w:szCs w:val="32"/>
          <w:highlight w:val="none"/>
          <w:lang w:eastAsia="zh-CN"/>
        </w:rPr>
        <w:t>区人大常委会办公室、选举任免联络工作委员会。</w:t>
      </w:r>
      <w:r>
        <w:rPr>
          <w:rFonts w:hint="eastAsia" w:ascii="仿宋" w:hAnsi="仿宋" w:eastAsia="仿宋"/>
          <w:bCs/>
          <w:kern w:val="0"/>
          <w:sz w:val="32"/>
          <w:szCs w:val="32"/>
          <w:highlight w:val="none"/>
          <w:lang w:eastAsia="zh-CN"/>
        </w:rPr>
        <w:t>区人大教育科学文化卫生委员会、监察和司法委员会、财政经济委员会、环境与资源保护委员会、农业与农村委员会、社会建设委员会等6个专门委员会由区人民代表大会依法产生，在区人民代表大会闭会期间，受区人大常委会领导，按照法律赋予的职责开展工作。区人大常委会办公室加挂研究室、信访室牌子。区人大民族华侨外事委员会与区教育科学文化卫生委员会合署办公。区人大法制委员会与区监察和司法委员会合署办公。区人大常委会预算工作委员会与人大财政经济委员会合署办公。</w:t>
      </w:r>
    </w:p>
    <w:p w14:paraId="1956EBC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2.编制及实有人员</w:t>
      </w:r>
    </w:p>
    <w:p w14:paraId="1D868E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截至2024年12月31日，区人大退休</w:t>
      </w:r>
      <w:r>
        <w:rPr>
          <w:rFonts w:hint="eastAsia" w:ascii="仿宋" w:hAnsi="仿宋" w:eastAsia="仿宋" w:cs="仿宋"/>
          <w:sz w:val="32"/>
          <w:szCs w:val="32"/>
          <w:highlight w:val="none"/>
          <w:lang w:val="en-US" w:eastAsia="zh-CN"/>
        </w:rPr>
        <w:t>人员9人。</w:t>
      </w:r>
      <w:r>
        <w:rPr>
          <w:rFonts w:hint="eastAsia" w:ascii="仿宋" w:hAnsi="仿宋" w:eastAsia="仿宋" w:cs="仿宋"/>
          <w:sz w:val="32"/>
          <w:szCs w:val="32"/>
          <w:lang w:val="en-US" w:eastAsia="zh-CN"/>
        </w:rPr>
        <w:t>编制35个，在编在岗职工34人，</w:t>
      </w:r>
      <w:r>
        <w:rPr>
          <w:rFonts w:hint="eastAsia" w:ascii="仿宋" w:hAnsi="仿宋" w:eastAsia="仿宋" w:cs="仿宋"/>
          <w:sz w:val="32"/>
          <w:szCs w:val="32"/>
          <w:highlight w:val="none"/>
          <w:lang w:val="en-US" w:eastAsia="zh-CN"/>
        </w:rPr>
        <w:t>人员控制率97.14%。</w:t>
      </w:r>
    </w:p>
    <w:p w14:paraId="5F8F43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7" w:name="_Toc4098"/>
      <w:r>
        <w:rPr>
          <w:rFonts w:hint="eastAsia" w:ascii="楷体" w:hAnsi="楷体" w:eastAsia="楷体" w:cs="楷体"/>
          <w:b/>
          <w:bCs/>
          <w:sz w:val="32"/>
          <w:szCs w:val="32"/>
          <w:lang w:val="en-US" w:eastAsia="zh-CN"/>
        </w:rPr>
        <w:t>部门2024年度职责履行及履职效益</w:t>
      </w:r>
      <w:bookmarkEnd w:id="27"/>
    </w:p>
    <w:p w14:paraId="1C5C0567">
      <w:pPr>
        <w:pStyle w:val="7"/>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 w:hAnsi="楷体" w:eastAsia="楷体" w:cs="楷体"/>
          <w:b/>
          <w:bCs/>
          <w:sz w:val="32"/>
          <w:szCs w:val="32"/>
          <w:lang w:val="en-US" w:eastAsia="zh-CN"/>
        </w:rPr>
      </w:pPr>
      <w:r>
        <w:rPr>
          <w:rFonts w:hint="eastAsia" w:ascii="仿宋" w:hAnsi="仿宋" w:eastAsia="仿宋" w:cs="仿宋"/>
          <w:b w:val="0"/>
          <w:bCs w:val="0"/>
          <w:sz w:val="32"/>
          <w:szCs w:val="32"/>
          <w:lang w:val="en-US" w:eastAsia="zh-CN"/>
        </w:rPr>
        <w:t>2024年，是雁峰</w:t>
      </w:r>
      <w:r>
        <w:rPr>
          <w:rFonts w:hint="eastAsia" w:ascii="仿宋" w:hAnsi="仿宋" w:eastAsia="仿宋" w:cs="仿宋"/>
          <w:b/>
          <w:bCs/>
          <w:sz w:val="32"/>
          <w:szCs w:val="32"/>
          <w:lang w:val="en-US" w:eastAsia="zh-CN"/>
        </w:rPr>
        <w:t>奋楫争先、破浪前行、硕果累累</w:t>
      </w:r>
      <w:r>
        <w:rPr>
          <w:rFonts w:hint="eastAsia" w:ascii="仿宋" w:hAnsi="仿宋" w:eastAsia="仿宋" w:cs="仿宋"/>
          <w:b w:val="0"/>
          <w:bCs w:val="0"/>
          <w:sz w:val="32"/>
          <w:szCs w:val="32"/>
          <w:lang w:val="en-US" w:eastAsia="zh-CN"/>
        </w:rPr>
        <w:t>的一年，也是雁峰人大</w:t>
      </w:r>
      <w:r>
        <w:rPr>
          <w:rFonts w:hint="eastAsia" w:ascii="仿宋" w:hAnsi="仿宋" w:eastAsia="仿宋" w:cs="仿宋"/>
          <w:b/>
          <w:bCs/>
          <w:sz w:val="32"/>
          <w:szCs w:val="32"/>
          <w:lang w:val="en-US" w:eastAsia="zh-CN"/>
        </w:rPr>
        <w:t>踔厉奋发、务实求新，</w:t>
      </w:r>
      <w:r>
        <w:rPr>
          <w:rFonts w:hint="eastAsia" w:ascii="仿宋" w:hAnsi="仿宋" w:eastAsia="仿宋" w:cs="仿宋"/>
          <w:b w:val="0"/>
          <w:bCs w:val="0"/>
          <w:sz w:val="32"/>
          <w:szCs w:val="32"/>
          <w:lang w:val="en-US" w:eastAsia="zh-CN"/>
        </w:rPr>
        <w:t>以高效能履职服务高质量发展的一年。一年来，区人大常委会在区委的坚强领导下，紧扣雁峰发展大局，依法履职尽责，共召开人大常委会7次、主任会8次，听取审议专项工作报告14个，开展执法检查7次、视察调研14次、依法决定重大事项9项，任免国家机关工作人员95人次，圆满完成年度各项目标任务，为加快建设中国式现代化新雁峰作出了人大新贡献。雁峰区发展全过程人民民主工作得到省人大常委会副主任陈飞的充分肯定，王燕书记在全市庆祝人民代表大会制度建立70周年大会上作典型发言，上海市闵行区人大、河北沧州市人大先后来我区学习交流发展全过程人民民主工作。</w:t>
      </w:r>
      <w:r>
        <w:rPr>
          <w:rFonts w:hint="eastAsia" w:ascii="仿宋" w:hAnsi="仿宋" w:eastAsia="仿宋" w:cs="仿宋"/>
          <w:b/>
          <w:bCs/>
          <w:sz w:val="32"/>
          <w:szCs w:val="32"/>
          <w:lang w:val="en-US" w:eastAsia="zh-CN"/>
        </w:rPr>
        <w:t>一是坚持政治引领，筑牢忠诚之魂。</w:t>
      </w:r>
      <w:r>
        <w:rPr>
          <w:rFonts w:hint="eastAsia" w:ascii="仿宋" w:hAnsi="仿宋" w:eastAsia="仿宋" w:cs="仿宋"/>
          <w:b w:val="0"/>
          <w:bCs w:val="0"/>
          <w:sz w:val="32"/>
          <w:szCs w:val="32"/>
          <w:lang w:val="en-US" w:eastAsia="zh-CN"/>
        </w:rPr>
        <w:t>常委会牢牢把握政治机关定位，强化政治意识，扛牢政治责任，自觉把党的领导落实到人大工作全过程各方面。</w:t>
      </w:r>
      <w:r>
        <w:rPr>
          <w:rFonts w:hint="eastAsia" w:ascii="仿宋" w:hAnsi="仿宋" w:eastAsia="仿宋" w:cs="仿宋"/>
          <w:b/>
          <w:bCs/>
          <w:sz w:val="32"/>
          <w:szCs w:val="32"/>
          <w:lang w:val="en-US" w:eastAsia="zh-CN"/>
        </w:rPr>
        <w:t>坚定思想自觉。</w:t>
      </w:r>
      <w:r>
        <w:rPr>
          <w:rFonts w:hint="eastAsia" w:ascii="仿宋" w:hAnsi="仿宋" w:eastAsia="仿宋" w:cs="仿宋"/>
          <w:b w:val="0"/>
          <w:bCs w:val="0"/>
          <w:sz w:val="32"/>
          <w:szCs w:val="32"/>
          <w:lang w:val="en-US" w:eastAsia="zh-CN"/>
        </w:rPr>
        <w:t>坚持“第一议题”制度，组织党组理论学习中心组学习16次、机关干部集中学习33次，深入学习贯彻党的二十届三中全会精神和习近平总书记在湖南考察时的重要讲话和指示精神，推动党的创新理论</w:t>
      </w:r>
      <w:r>
        <w:rPr>
          <w:rFonts w:hint="eastAsia" w:ascii="仿宋" w:hAnsi="仿宋" w:eastAsia="仿宋" w:cs="仿宋"/>
          <w:b/>
          <w:bCs/>
          <w:sz w:val="32"/>
          <w:szCs w:val="32"/>
          <w:lang w:val="en-US" w:eastAsia="zh-CN"/>
        </w:rPr>
        <w:t>入脑入心、走深走实，</w:t>
      </w:r>
      <w:r>
        <w:rPr>
          <w:rFonts w:hint="eastAsia" w:ascii="仿宋" w:hAnsi="仿宋" w:eastAsia="仿宋" w:cs="仿宋"/>
          <w:b w:val="0"/>
          <w:bCs w:val="0"/>
          <w:sz w:val="32"/>
          <w:szCs w:val="32"/>
          <w:lang w:val="en-US" w:eastAsia="zh-CN"/>
        </w:rPr>
        <w:t>不断提高政治判断力、政治领悟力、政治执行力。深入开展党纪学习教育，坚持带着问题学、联系实际学、及时跟进学、全面系统学，引导党员干部学纪、知纪、明纪、守纪，督促领导干部公正用权、依法用权、为民用权、廉洁用权。</w:t>
      </w:r>
      <w:r>
        <w:rPr>
          <w:rFonts w:hint="eastAsia" w:ascii="仿宋" w:hAnsi="仿宋" w:eastAsia="仿宋" w:cs="仿宋"/>
          <w:b/>
          <w:bCs/>
          <w:sz w:val="32"/>
          <w:szCs w:val="32"/>
          <w:lang w:val="en-US" w:eastAsia="zh-CN"/>
        </w:rPr>
        <w:t>坚定政治自觉。</w:t>
      </w:r>
      <w:r>
        <w:rPr>
          <w:rFonts w:hint="eastAsia" w:ascii="仿宋" w:hAnsi="仿宋" w:eastAsia="仿宋" w:cs="仿宋"/>
          <w:b w:val="0"/>
          <w:bCs w:val="0"/>
          <w:sz w:val="32"/>
          <w:szCs w:val="32"/>
          <w:lang w:val="en-US" w:eastAsia="zh-CN"/>
        </w:rPr>
        <w:t>严格执行请示报告制度，全年共向区委请示报告25次，做到人大工作中的重大问题、重要事项、重要情况，主动及时向区委请示报告，确保在党的领导下依法有序开展人大工作。坚持党管干部原则与人大依法任免相统一，全年任免国家机关工作人员95人次，圆满实现组织意图。充分发挥常委会党组把方向、管大局、保落实的核心作用，确保人大工作始终坚持正确的政治方向。</w:t>
      </w:r>
      <w:r>
        <w:rPr>
          <w:rFonts w:hint="eastAsia" w:ascii="仿宋" w:hAnsi="仿宋" w:eastAsia="仿宋" w:cs="仿宋"/>
          <w:b/>
          <w:bCs/>
          <w:sz w:val="32"/>
          <w:szCs w:val="32"/>
          <w:lang w:val="en-US" w:eastAsia="zh-CN"/>
        </w:rPr>
        <w:t>坚定行动自觉。</w:t>
      </w:r>
      <w:r>
        <w:rPr>
          <w:rFonts w:hint="eastAsia" w:ascii="仿宋" w:hAnsi="仿宋" w:eastAsia="仿宋" w:cs="仿宋"/>
          <w:b w:val="0"/>
          <w:bCs w:val="0"/>
          <w:sz w:val="32"/>
          <w:szCs w:val="32"/>
          <w:lang w:val="en-US" w:eastAsia="zh-CN"/>
        </w:rPr>
        <w:t>自觉把人大工作放到全区大局中谋划，紧扣区委决策部署谋事议事督事干事。领导班子成员主动深入一线，聚焦制造立市，调研输变电产业链建设，助力打造国家级先进制造业产业集群；调研古汉中药智慧工厂建设，助力创建三星级工业旅游示范点。聚焦文旅兴城，调研打造“文旅兴城”核心区情况，并牵头推动重点文旅项目建设，解决中心城区停车难、路面破、街面旧、屋面漏等社会痛点，挖掘船山文化、大雁文化、抗战文化等文化亮点，开发夫之巷、道台衙门旧址、衡阳保卫战指挥部旧址、南岳第一峰廻雁峰景区等旅游景点，确保人大工作与全区中心工作同频共振、同向发力。全区各级人大代表积极投身于“喜迎旅发会，代表在行动”活动，他们在各自岗位、各个领域亮身份、重服务、晒承诺、勤履职，争当省旅发大会“战斗员”“宣传员”“服务员”，代表模范带头作用有效发挥，树立了新时代人大代表的良好形象。积极向区委推荐优秀人大干部，在区委关心下，提拔重用人大系统干部9名，进一步激发了人大干部干事创业的活力。</w:t>
      </w:r>
      <w:r>
        <w:rPr>
          <w:rFonts w:hint="eastAsia" w:ascii="仿宋" w:hAnsi="仿宋" w:eastAsia="仿宋" w:cs="仿宋"/>
          <w:b/>
          <w:bCs/>
          <w:sz w:val="32"/>
          <w:szCs w:val="32"/>
          <w:lang w:val="en-US" w:eastAsia="zh-CN"/>
        </w:rPr>
        <w:t>二是坚持服务大局，彰显法治之力。聚焦经济稳健运行开展监督。</w:t>
      </w:r>
      <w:r>
        <w:rPr>
          <w:rFonts w:hint="eastAsia" w:ascii="仿宋" w:hAnsi="仿宋" w:eastAsia="仿宋" w:cs="仿宋"/>
          <w:b w:val="0"/>
          <w:bCs w:val="0"/>
          <w:sz w:val="32"/>
          <w:szCs w:val="32"/>
          <w:lang w:val="en-US" w:eastAsia="zh-CN"/>
        </w:rPr>
        <w:t>听取和审议计划执行、预算执行、决算情况报告，批准区级预算调整方案。听取和审议国有资产管理情况报告，推动建立国有资产监管长效机制。加强审计查出问题整改监督，围绕区级预算执行、部门预算执行等方面审计查出问题开展跟踪监督。听取和审议政府债务管理情况报告，监督支持政府健全债务管理机制，严防政府债务风险。按照省人大常委会统一部署，完成预算联网审查监督系统二期建设，实现预算指标、国库集中支付的动态数据联通和实时监督。开展中小企业促进“一法一办法”执法检查，听取企业家意见建议，提出抓实法律保障、抓好政策落实、抓好纾困助企、抓实营商环境的意见建议，督促做好法律贯彻实施“后半篇文章”，为服务和保障中小企业发展奠定法治基础，促进了全区经济稳健运行。</w:t>
      </w:r>
      <w:r>
        <w:rPr>
          <w:rFonts w:hint="eastAsia" w:ascii="仿宋" w:hAnsi="仿宋" w:eastAsia="仿宋" w:cs="仿宋"/>
          <w:b/>
          <w:bCs/>
          <w:sz w:val="32"/>
          <w:szCs w:val="32"/>
          <w:lang w:val="en-US" w:eastAsia="zh-CN"/>
        </w:rPr>
        <w:t>聚焦民生福祉改善开展监督。</w:t>
      </w:r>
      <w:r>
        <w:rPr>
          <w:rFonts w:hint="eastAsia" w:ascii="仿宋" w:hAnsi="仿宋" w:eastAsia="仿宋" w:cs="仿宋"/>
          <w:b w:val="0"/>
          <w:bCs w:val="0"/>
          <w:sz w:val="32"/>
          <w:szCs w:val="32"/>
          <w:lang w:val="en-US" w:eastAsia="zh-CN"/>
        </w:rPr>
        <w:t>推进民生实事“民提民议民决民督民评”，组织全体代表参与项目征集、票决、审议、视察、评价全过程，推动解决环城南路小学大班额问题、雁峰区人民医院提质改造、居民休闲游玩运动公园提质改造、防溺水监控设施改造、白蚁防治等民生实事项目落地见效，让发展成果更多更公平地惠及雁峰人民。推动乡村振兴战略实施，开展农业技术推广法“一法一条例”执法检查，督促涉农单位落实法律责任，加大保障力度，为乡村振兴提供有力支撑；开展全区水利设施运行情况调研，督促坚持不懈兴水利、抓管护、增效益；开展全区农业合作社运营情况调研，促进农业增效、农民增收、农村发展。开展大气污染防治“一法一条例”执法检查，听取和审议全区环境状况和环境保护目标完成情况报告，调研全区垃圾清运处置工作，开展“法治护绿雁峰行”活动，视察市环境监测站、生态农业专业合作社、垃圾中转站、千吨级码头排污口、餐饮油烟治理等现场点，提出突出抓好源头治污、精准治污、科学治污、依法治污等意见建议，共同守护雁峰绿水青山。开展公共卫生服务体系建设情况调研，推动医防协同、医防融合公共卫生体系建设；开展母婴保健“一法一办法”执法检查，以强有力的法治保障推动母婴事业高质量发展。开展退役军人事务工作情况调研，保障退役军人合法权益，共建社区服务体系。</w:t>
      </w:r>
      <w:r>
        <w:rPr>
          <w:rFonts w:hint="eastAsia" w:ascii="仿宋" w:hAnsi="仿宋" w:eastAsia="仿宋" w:cs="仿宋"/>
          <w:b/>
          <w:bCs/>
          <w:sz w:val="32"/>
          <w:szCs w:val="32"/>
          <w:lang w:val="en-US" w:eastAsia="zh-CN"/>
        </w:rPr>
        <w:t>聚焦社会治理效能开展监督。</w:t>
      </w:r>
      <w:r>
        <w:rPr>
          <w:rFonts w:hint="eastAsia" w:ascii="仿宋" w:hAnsi="仿宋" w:eastAsia="仿宋" w:cs="仿宋"/>
          <w:b w:val="0"/>
          <w:bCs w:val="0"/>
          <w:sz w:val="32"/>
          <w:szCs w:val="32"/>
          <w:lang w:val="en-US" w:eastAsia="zh-CN"/>
        </w:rPr>
        <w:t>加强法律法规宣传教育，深入开展宪法宣传周和“法治护企”普法宣传活动，配合市人大开展立法调研和法规草案论证工作，增强全民法治观念，营造良好的法治氛围。推进法治政府建设，开展安全生产“三法一条例两办法”等执法检查，督促政府完善依法行政制度体系，严格规范公正文明执法，提高依法行政水平。加强对文化事业发展的监督，开展非物质文化遗产法执法检查，推动挖掘非遗资源、壮大传承队伍，加强文化遗产保护。开展社会救助专题调研，监督支持政府落实救助政策，提升服务保障能力，兜住、兜准、兜牢民生保障底线。强化司法监督，紧盯维护社会公平正义的最后一道防线，开展未成年人检察和知识产权审判工作情况调研，促进司法机关规范司法行为，提高司法公信力。强化任后监督，对3名副区长、8名局长、4名法官和4名检察官开展履职评议，督促依法行政、公正司法。加强规范性文件备案审查工作，备案审查规范性文件2件，做到“有件必备、有备必审、有错必纠”。受理群众来信来访28件70余人次，推动涉法涉诉信访案件纳入法治轨道解决。</w:t>
      </w:r>
      <w:r>
        <w:rPr>
          <w:rFonts w:hint="eastAsia" w:ascii="仿宋" w:hAnsi="仿宋" w:eastAsia="仿宋" w:cs="仿宋"/>
          <w:b/>
          <w:bCs/>
          <w:sz w:val="32"/>
          <w:szCs w:val="32"/>
          <w:lang w:val="en-US" w:eastAsia="zh-CN"/>
        </w:rPr>
        <w:t>三是坚持代表为本，夯实民主之基。全面夯实代表履职平台。</w:t>
      </w:r>
      <w:r>
        <w:rPr>
          <w:rFonts w:hint="eastAsia" w:ascii="仿宋" w:hAnsi="仿宋" w:eastAsia="仿宋" w:cs="仿宋"/>
          <w:b w:val="0"/>
          <w:bCs w:val="0"/>
          <w:sz w:val="32"/>
          <w:szCs w:val="32"/>
          <w:lang w:val="en-US" w:eastAsia="zh-CN"/>
        </w:rPr>
        <w:t>持续推进代表联络站“建、管、用”提质增效，出台《关于推进全区人大代表联络站“三化三创”工作的实施意见》，制定“六有”（有场地、有设备、有人员、有制度、有活动、有经费）标准，推动代表联络站建设升级。选优配强联络站站长、副站长和联络员，推动代表联络站高效运行。推进数字平台赋能，依托省、市人大常委会“智慧人大”载体平台，深化“码上找代表”工作，码上解决问题56个，打造人大系统的“民意直通车”。完善代表联络站接待群众、学习交流、视察调研等规章制度，规范民主议事工作流程，增强代表联络站联系选民、民意征集、民主议事、学习宣传、工作交流功能，以“严”促“管”，以“管”促“用”，让代表联络站真正地“动”起来，“用”起来，“活”起来。2024年12月3日，全市发展全过程</w:t>
      </w:r>
      <w:r>
        <w:rPr>
          <w:rFonts w:hint="eastAsia" w:ascii="仿宋" w:hAnsi="仿宋" w:eastAsia="仿宋" w:cs="仿宋"/>
          <w:b/>
          <w:bCs/>
          <w:sz w:val="32"/>
          <w:szCs w:val="32"/>
          <w:lang w:val="en-US" w:eastAsia="zh-CN"/>
        </w:rPr>
        <w:t>人民民主</w:t>
      </w:r>
      <w:r>
        <w:rPr>
          <w:rFonts w:hint="eastAsia" w:ascii="仿宋" w:hAnsi="仿宋" w:eastAsia="仿宋" w:cs="仿宋"/>
          <w:b w:val="0"/>
          <w:bCs w:val="0"/>
          <w:sz w:val="32"/>
          <w:szCs w:val="32"/>
          <w:lang w:val="en-US" w:eastAsia="zh-CN"/>
        </w:rPr>
        <w:t>现场会在白沙洲街道进行了专题观摩，我区的代表联络站建设和发展全过程人民民主工作经验，得到与会领导一致好评。株洲市攸县人大、怀化市鹤城区人大、郴州市汝城县人大和临武县人大、常宁市人大和南岳区人大等兄弟县市区人大先后来我区开展学习交流活动。</w:t>
      </w:r>
      <w:r>
        <w:rPr>
          <w:rFonts w:hint="eastAsia" w:ascii="仿宋" w:hAnsi="仿宋" w:eastAsia="仿宋" w:cs="仿宋"/>
          <w:b/>
          <w:bCs/>
          <w:sz w:val="32"/>
          <w:szCs w:val="32"/>
          <w:lang w:val="en-US" w:eastAsia="zh-CN"/>
        </w:rPr>
        <w:t>全面激发代表履职活力。</w:t>
      </w:r>
      <w:r>
        <w:rPr>
          <w:rFonts w:hint="eastAsia" w:ascii="仿宋" w:hAnsi="仿宋" w:eastAsia="仿宋" w:cs="仿宋"/>
          <w:b w:val="0"/>
          <w:bCs w:val="0"/>
          <w:sz w:val="32"/>
          <w:szCs w:val="32"/>
          <w:lang w:val="en-US" w:eastAsia="zh-CN"/>
        </w:rPr>
        <w:t>落实省人大议案建议“提质减量”工作要求，全面提升代表建议提出质量和办理实效，鲁立新代表提出的《关于加强区域内公共绿化日常维护管理的建议》、陈焕代表提出的《关于安置房安全隐患消除的建议》、张玉娟代表提出的《关于加快文旅兴区，提升打造南岳第一峰景区的建议》、龙革英代表提出的《关于社会医疗跟商业医疗体系相结合的建议》、张军代表提出的《关于加强未成年人综合司法保护的建议》等一批高质量建议既体现了调研深度又彰显了履职温度；雁峰区人民检察院、雁峰区城市管理综合行政执法局、雁峰区文化旅游体育局、雁峰区医疗保障局、雁峰区发展和改革局等一批建议办理高质量单位，积极回应代表关切，以务实举措推动解决发展的“关键事”、群众的“身边事”，获得代表们的高度认可，实现了“民有所呼、我有所应”的</w:t>
      </w:r>
      <w:r>
        <w:rPr>
          <w:rFonts w:hint="eastAsia" w:ascii="仿宋" w:hAnsi="仿宋" w:eastAsia="仿宋" w:cs="仿宋"/>
          <w:b/>
          <w:bCs/>
          <w:sz w:val="32"/>
          <w:szCs w:val="32"/>
          <w:lang w:val="en-US" w:eastAsia="zh-CN"/>
        </w:rPr>
        <w:t>履职承诺</w:t>
      </w:r>
      <w:r>
        <w:rPr>
          <w:rFonts w:hint="eastAsia" w:ascii="仿宋" w:hAnsi="仿宋" w:eastAsia="仿宋" w:cs="仿宋"/>
          <w:b w:val="0"/>
          <w:bCs w:val="0"/>
          <w:sz w:val="32"/>
          <w:szCs w:val="32"/>
          <w:lang w:val="en-US" w:eastAsia="zh-CN"/>
        </w:rPr>
        <w:t>。优化代表建议交办、督办、反馈等办理机制，加大对《关于加快文旅兴区，提升打造南岳第一峰景区的建议》等5件重点建议跟踪督办力度，深化代表建议“回头看”，推动代表建议办理从“答复满意”向“结果满意”转变。区五届人大四次会议以来，代表共提出建议64件，均在规定时间内办理答复完毕，</w:t>
      </w:r>
      <w:r>
        <w:rPr>
          <w:rFonts w:hint="eastAsia" w:ascii="仿宋" w:hAnsi="仿宋" w:eastAsia="仿宋" w:cs="仿宋"/>
          <w:b/>
          <w:bCs/>
          <w:sz w:val="32"/>
          <w:szCs w:val="32"/>
          <w:lang w:val="en-US" w:eastAsia="zh-CN"/>
        </w:rPr>
        <w:t>见面率、回复率、满意率</w:t>
      </w:r>
      <w:r>
        <w:rPr>
          <w:rFonts w:hint="eastAsia" w:ascii="仿宋" w:hAnsi="仿宋" w:eastAsia="仿宋" w:cs="仿宋"/>
          <w:b w:val="0"/>
          <w:bCs w:val="0"/>
          <w:sz w:val="32"/>
          <w:szCs w:val="32"/>
          <w:lang w:val="en-US" w:eastAsia="zh-CN"/>
        </w:rPr>
        <w:t>达到三个100%。扩大常委会组成人员联系代表、各专委会对口联系代表的广度和深度，邀请</w:t>
      </w:r>
      <w:r>
        <w:rPr>
          <w:rFonts w:hint="eastAsia" w:ascii="仿宋" w:hAnsi="仿宋" w:eastAsia="仿宋" w:cs="仿宋"/>
          <w:b/>
          <w:bCs/>
          <w:sz w:val="32"/>
          <w:szCs w:val="32"/>
          <w:lang w:val="en-US" w:eastAsia="zh-CN"/>
        </w:rPr>
        <w:t>35名代表列席常委会会议，267人次代表参与常委会组织</w:t>
      </w:r>
      <w:r>
        <w:rPr>
          <w:rFonts w:hint="eastAsia" w:ascii="仿宋" w:hAnsi="仿宋" w:eastAsia="仿宋" w:cs="仿宋"/>
          <w:b w:val="0"/>
          <w:bCs w:val="0"/>
          <w:sz w:val="32"/>
          <w:szCs w:val="32"/>
          <w:lang w:val="en-US" w:eastAsia="zh-CN"/>
        </w:rPr>
        <w:t>的视察调研、执法检查、民生实事办理和建议督办等活动，代表参与常委会工作更加广泛。开展人大工作者履职能力提升培训班，学习先进地区经验做法，</w:t>
      </w:r>
      <w:r>
        <w:rPr>
          <w:rFonts w:hint="eastAsia" w:ascii="仿宋" w:hAnsi="仿宋" w:eastAsia="仿宋" w:cs="仿宋"/>
          <w:b/>
          <w:bCs/>
          <w:sz w:val="32"/>
          <w:szCs w:val="32"/>
          <w:lang w:val="en-US" w:eastAsia="zh-CN"/>
        </w:rPr>
        <w:t>分享优秀代表履职经验，促进代表履职能力和水平进一步提升。</w:t>
      </w:r>
      <w:r>
        <w:rPr>
          <w:rFonts w:hint="eastAsia" w:ascii="仿宋" w:hAnsi="仿宋" w:eastAsia="仿宋" w:cs="仿宋"/>
          <w:b w:val="0"/>
          <w:bCs w:val="0"/>
          <w:sz w:val="32"/>
          <w:szCs w:val="32"/>
          <w:lang w:val="en-US" w:eastAsia="zh-CN"/>
        </w:rPr>
        <w:t>落实代表活动经费管理使用办法和履职积分管理办法，开展代表报告履职工作，推进代表履职档案规范化建设，推动代表从“要我履职”到“我要履职”转变。大力引导全区各级代表参与“筑梦现代化，代表新作为”活动，持续奏响新时代人大强音。在工厂车间，王仕建代表深耕机械制造业，以精湛技术引领行业潮流，积极回馈社会，彰显企业家代表的风范；王清诚代表，勇挑企业管理重担，以敏锐洞察力推动企业发展，精准聚焦民生热点，积极建言献策。在田间地头，王牧代表，怀揣赤诚之心，致力乡村振兴，推进乡村道路建设，展示年轻一代的活力与担当。在三尺讲台，郭月代表，辛勤耕耘，培育祖国未来栋梁，深入调研教育问题，积极建言献策，为教育事业贡献光和热。在医卫行业，何丹代表，身着白衣，心怀大爱，默默奉献，守护人民生命健康；郑丽君代表，秉持“医者仁心”，以精湛医术救死扶伤，为医疗卫生事业积极发声。在社会公益领域，唐备战代表，热心慈善事业，坚守志愿服务初心，为困难群众排忧解难，传递人间真情与真爱……越来越多的代表心系群众、建设雁峰、奉献社会，在平凡的岗位上做出了不平凡的贡献，以实际行动诠释了新时代人大代表的使命与担当。</w:t>
      </w:r>
      <w:r>
        <w:rPr>
          <w:rFonts w:hint="eastAsia" w:ascii="仿宋" w:hAnsi="仿宋" w:eastAsia="仿宋" w:cs="仿宋"/>
          <w:b/>
          <w:bCs/>
          <w:sz w:val="32"/>
          <w:szCs w:val="32"/>
          <w:lang w:val="en-US" w:eastAsia="zh-CN"/>
        </w:rPr>
        <w:t>全面提升代表履职效能。</w:t>
      </w:r>
      <w:r>
        <w:rPr>
          <w:rFonts w:hint="eastAsia" w:ascii="仿宋" w:hAnsi="仿宋" w:eastAsia="仿宋" w:cs="仿宋"/>
          <w:b w:val="0"/>
          <w:bCs w:val="0"/>
          <w:sz w:val="32"/>
          <w:szCs w:val="32"/>
          <w:lang w:val="en-US" w:eastAsia="zh-CN"/>
        </w:rPr>
        <w:t>深化代表主题活动，</w:t>
      </w:r>
      <w:r>
        <w:rPr>
          <w:rFonts w:hint="eastAsia" w:ascii="仿宋" w:hAnsi="仿宋" w:eastAsia="仿宋" w:cs="仿宋"/>
          <w:b/>
          <w:bCs/>
          <w:sz w:val="32"/>
          <w:szCs w:val="32"/>
          <w:lang w:val="en-US" w:eastAsia="zh-CN"/>
        </w:rPr>
        <w:t>组织“6.25为民服务日”主题活动，开展中医义诊400余人次，解答法律咨询1260余次，发放宣传资料5000余份、帮扶困难群众140余户，</w:t>
      </w:r>
      <w:r>
        <w:rPr>
          <w:rFonts w:hint="eastAsia" w:ascii="仿宋" w:hAnsi="仿宋" w:eastAsia="仿宋" w:cs="仿宋"/>
          <w:b w:val="0"/>
          <w:bCs w:val="0"/>
          <w:sz w:val="32"/>
          <w:szCs w:val="32"/>
          <w:lang w:val="en-US" w:eastAsia="zh-CN"/>
        </w:rPr>
        <w:t>让人民群众切实感受到“人大代表就在身边”。深化代表小组活动，坚持“小型、专题、深入、实效”原则，组织各专业代表小组视察调研全区经济社会发展的重点堵点问题，推动解决人民群众关心关注的热点难点问题。</w:t>
      </w:r>
      <w:r>
        <w:rPr>
          <w:rFonts w:hint="eastAsia" w:ascii="仿宋" w:hAnsi="仿宋" w:eastAsia="仿宋" w:cs="仿宋"/>
          <w:b/>
          <w:bCs/>
          <w:sz w:val="32"/>
          <w:szCs w:val="32"/>
          <w:lang w:val="en-US" w:eastAsia="zh-CN"/>
        </w:rPr>
        <w:t>深化代表专题活动，组织开展代表“六进”活动42次，打造“商圈议事汇”“逢四说事”等7个民主议事品牌，</w:t>
      </w:r>
      <w:r>
        <w:rPr>
          <w:rFonts w:hint="eastAsia" w:ascii="仿宋" w:hAnsi="仿宋" w:eastAsia="仿宋" w:cs="仿宋"/>
          <w:b w:val="0"/>
          <w:bCs w:val="0"/>
          <w:sz w:val="32"/>
          <w:szCs w:val="32"/>
          <w:lang w:val="en-US" w:eastAsia="zh-CN"/>
        </w:rPr>
        <w:t>组织开展“大平安 微治理”“共议社区发展 凝聚军人力量”等民主议事活动，组织区法院、区检察院、区政府办、区发改局、区财政局、区教育局、区人社局、区审计局、区科工信局、区水利局、区农业农村局、区文旅体局、区医疗保障局、区统计局、区民宗局等国家机关进站联系人大代表、宣讲政策法规、回应群众关切。深化代表接待活动，组织五级人大代表进站</w:t>
      </w:r>
      <w:r>
        <w:rPr>
          <w:rFonts w:hint="eastAsia" w:ascii="仿宋" w:hAnsi="仿宋" w:eastAsia="仿宋" w:cs="仿宋"/>
          <w:b/>
          <w:bCs/>
          <w:sz w:val="32"/>
          <w:szCs w:val="32"/>
          <w:lang w:val="en-US" w:eastAsia="zh-CN"/>
        </w:rPr>
        <w:t>接待选民群众780余人次，收集社情民意310余条，</w:t>
      </w:r>
      <w:r>
        <w:rPr>
          <w:rFonts w:hint="eastAsia" w:ascii="仿宋" w:hAnsi="仿宋" w:eastAsia="仿宋" w:cs="仿宋"/>
          <w:b w:val="0"/>
          <w:bCs w:val="0"/>
          <w:sz w:val="32"/>
          <w:szCs w:val="32"/>
          <w:lang w:val="en-US" w:eastAsia="zh-CN"/>
        </w:rPr>
        <w:t>推动解决</w:t>
      </w:r>
      <w:r>
        <w:rPr>
          <w:rFonts w:hint="eastAsia" w:ascii="仿宋" w:hAnsi="仿宋" w:eastAsia="仿宋" w:cs="仿宋"/>
          <w:b/>
          <w:bCs/>
          <w:sz w:val="32"/>
          <w:szCs w:val="32"/>
          <w:lang w:val="en-US" w:eastAsia="zh-CN"/>
        </w:rPr>
        <w:t>福龙湾社区内涝、塑田社区危桥安全隐患、丁家牌楼社区牌楼老街路灯不通电、亚华名都停水矛盾纠纷</w:t>
      </w:r>
      <w:r>
        <w:rPr>
          <w:rFonts w:hint="eastAsia" w:ascii="仿宋" w:hAnsi="仿宋" w:eastAsia="仿宋" w:cs="仿宋"/>
          <w:b w:val="0"/>
          <w:bCs w:val="0"/>
          <w:sz w:val="32"/>
          <w:szCs w:val="32"/>
          <w:lang w:val="en-US" w:eastAsia="zh-CN"/>
        </w:rPr>
        <w:t>等难题。</w:t>
      </w:r>
      <w:r>
        <w:rPr>
          <w:rFonts w:hint="eastAsia" w:ascii="仿宋" w:hAnsi="仿宋" w:eastAsia="仿宋" w:cs="仿宋"/>
          <w:b/>
          <w:bCs/>
          <w:sz w:val="32"/>
          <w:szCs w:val="32"/>
          <w:lang w:val="en-US" w:eastAsia="zh-CN"/>
        </w:rPr>
        <w:t>四是坚持守正创新，弘扬实干之风。加强党的建设。</w:t>
      </w:r>
      <w:r>
        <w:rPr>
          <w:rFonts w:hint="eastAsia" w:ascii="仿宋" w:hAnsi="仿宋" w:eastAsia="仿宋" w:cs="仿宋"/>
          <w:b w:val="0"/>
          <w:bCs w:val="0"/>
          <w:sz w:val="32"/>
          <w:szCs w:val="32"/>
          <w:lang w:val="en-US" w:eastAsia="zh-CN"/>
        </w:rPr>
        <w:t>全面落实管党治党政治责任，坚持党建工作与人大工作同谋划、同部署、同推进，不折不扣落实党中央决策部署和省市区委工作安排。严肃党内政治生活，认真开展“三会一课”、主题党日活动，持续开展“光影铸魂”电影党课教育活动，加强党员日常教育管理，积极配合区委巡察组开展工作，支持派驻纪检监察组履行职责，党支部标准化规范化建设水平不断提升。抓制度促规范，连续三年组织修订完善《雁峰区人民代表大会常务委员会管理制度汇编》，做到按制度办文办会办事、靠制度管人管事管物全覆盖，用务实管用的制度推动人大机关各项工作更加规范、更加有序、更具实效。抓作风促廉政，严格执行中央八项规定及其实施细则精神，驰而不息纠“四风”、树新风，推进清廉机关建设。抓精简促减负，贯彻落实《整治形式主义为基层减负若干规定》，减少会议次数、精简会议议程、优化会议流程、控制发文数量、减轻基层负担。</w:t>
      </w:r>
      <w:r>
        <w:rPr>
          <w:rFonts w:hint="eastAsia" w:ascii="仿宋" w:hAnsi="仿宋" w:eastAsia="仿宋" w:cs="仿宋"/>
          <w:b/>
          <w:bCs/>
          <w:sz w:val="32"/>
          <w:szCs w:val="32"/>
          <w:lang w:val="en-US" w:eastAsia="zh-CN"/>
        </w:rPr>
        <w:t>推进工作创新。</w:t>
      </w:r>
      <w:r>
        <w:rPr>
          <w:rFonts w:hint="eastAsia" w:ascii="仿宋" w:hAnsi="仿宋" w:eastAsia="仿宋" w:cs="仿宋"/>
          <w:b w:val="0"/>
          <w:bCs w:val="0"/>
          <w:sz w:val="32"/>
          <w:szCs w:val="32"/>
          <w:lang w:val="en-US" w:eastAsia="zh-CN"/>
        </w:rPr>
        <w:t>全面探索“一委（室）一特色”，监司委致力打造公平公正法治环境，财经委推动建立债务管理长效机制，教科文卫委推进文旅项目提质增效，农业委发挥全省首个农业专业代表小组活动室示范引领作用，环资委将生态环境保护的“难点”打造成城市品质改善的“亮点”，社会委创建社会建设观察点品牌。牢牢把握意识形态工作主动权，强化正确思想舆论引导，</w:t>
      </w:r>
      <w:r>
        <w:rPr>
          <w:rFonts w:hint="eastAsia" w:ascii="仿宋" w:hAnsi="仿宋" w:eastAsia="仿宋" w:cs="仿宋"/>
          <w:b/>
          <w:bCs/>
          <w:sz w:val="32"/>
          <w:szCs w:val="32"/>
          <w:lang w:val="en-US" w:eastAsia="zh-CN"/>
        </w:rPr>
        <w:t>组织开展庆祝人民代表大会制度建立70周年演讲比赛、征文等系列活动，组织编写《雁峰人大70年》，办好“雁峰人大”微信公众号，讲好雁峰人大故事，发布原创稿件100余篇，转发中央、省、市文章400余篇，</w:t>
      </w:r>
      <w:r>
        <w:rPr>
          <w:rFonts w:hint="eastAsia" w:ascii="仿宋" w:hAnsi="仿宋" w:eastAsia="仿宋" w:cs="仿宋"/>
          <w:b w:val="0"/>
          <w:bCs w:val="0"/>
          <w:sz w:val="32"/>
          <w:szCs w:val="32"/>
          <w:lang w:val="en-US" w:eastAsia="zh-CN"/>
        </w:rPr>
        <w:t>深入宣传雁峰在发展全过程人民民主工作中的新成效，在创新“一年三问”监督机制、实行民生实事“三单制”中的新经验，在打造“一委（室）一特色”“一镇街一品牌”中的新做法，推动人民代表大会制度深入人心。</w:t>
      </w:r>
      <w:r>
        <w:rPr>
          <w:rFonts w:hint="eastAsia" w:ascii="仿宋" w:hAnsi="仿宋" w:eastAsia="仿宋" w:cs="仿宋"/>
          <w:b/>
          <w:bCs/>
          <w:sz w:val="32"/>
          <w:szCs w:val="32"/>
          <w:lang w:val="en-US" w:eastAsia="zh-CN"/>
        </w:rPr>
        <w:t>凝聚奋进合力。</w:t>
      </w:r>
      <w:r>
        <w:rPr>
          <w:rFonts w:hint="eastAsia" w:ascii="仿宋" w:hAnsi="仿宋" w:eastAsia="仿宋" w:cs="仿宋"/>
          <w:b w:val="0"/>
          <w:bCs w:val="0"/>
          <w:sz w:val="32"/>
          <w:szCs w:val="32"/>
          <w:lang w:val="en-US" w:eastAsia="zh-CN"/>
        </w:rPr>
        <w:t>坚持人大工作“一盘棋”思想，争取市人大工作支持，加强与兄弟县（市、区）人大工作交流，加强镇街人大工作指导，增强整体工作合力。先锋街道人大工委创建“商圈议事汇”工作品牌，实现“社区+景区+商区”三区融合，让老城区焕发出新活力。雁峰街道人大工委推行“逢四说事”工作品牌，构建了和美小区、明清街区、首峰景区相互交融的中心城区“家门口花园”，打造了衡阳市新地标与市民会客厅。天马山街道人大工委创建“邻里议事、代表有约”工作品牌，畅通代表与居民、坐落单位、企业商铺邻里关系，构建“群众常来、代表常在、实事常办”工作格局。黄茶岭街道人大工委创建“营盘山下议事汇”工作品牌，推动衡阳算力中心等重点项目建设，助推城乡融合发展。白沙洲街道人大工委深化“幸福圆桌会，人民来作主”工作品牌，为老旧小区安装路灯100余盏、休闲桌椅30余套、健身器材10余套，守护了辖区居民“安居梦”，白沙洲街道的基层人大工作经验还在全省作典型推介。金龙坪街道人大工委持续擦亮“永不休会的屋场恳谈会”工作品牌，聚焦关乎群众切身利益的“小事”“难事”，畅通选民与人大代表之间的“堵点”。</w:t>
      </w:r>
      <w:r>
        <w:rPr>
          <w:rFonts w:hint="eastAsia" w:ascii="仿宋" w:hAnsi="仿宋" w:eastAsia="仿宋" w:cs="仿宋"/>
          <w:b/>
          <w:bCs/>
          <w:sz w:val="32"/>
          <w:szCs w:val="32"/>
          <w:lang w:val="en-US" w:eastAsia="zh-CN"/>
        </w:rPr>
        <w:t>岳屏镇人大主席团全力打造“民生实事面对面、代表群众心连心”工作品牌，投入资金160万元，为村民铺就了致富新路，</w:t>
      </w:r>
      <w:r>
        <w:rPr>
          <w:rFonts w:hint="eastAsia" w:ascii="仿宋" w:hAnsi="仿宋" w:eastAsia="仿宋" w:cs="仿宋"/>
          <w:b w:val="0"/>
          <w:bCs w:val="0"/>
          <w:sz w:val="32"/>
          <w:szCs w:val="32"/>
          <w:lang w:val="en-US" w:eastAsia="zh-CN"/>
        </w:rPr>
        <w:t>点亮了幸福生活。在过去一年，雁峰区人大坚持政治引领，筑牢忠诚之魂，在服务大局中彰显法治之力，以代表为本夯实民主之基，凭守正创新弘扬实干之风，履职效益全面彰显。</w:t>
      </w:r>
      <w:r>
        <w:rPr>
          <w:rFonts w:hint="eastAsia" w:ascii="仿宋" w:hAnsi="仿宋" w:eastAsia="仿宋" w:cs="仿宋"/>
          <w:b/>
          <w:bCs/>
          <w:sz w:val="32"/>
          <w:szCs w:val="32"/>
          <w:lang w:val="en-US" w:eastAsia="zh-CN"/>
        </w:rPr>
        <w:t>一是在政治引领中把准方向，铸就了忠诚履职的坚定之魂。二是在服务大局中精准监督，贡献了护航发展的法治之力。三是在为民代言中激发活力，夯实了全过程人民民主之基。四是在守正创新中提质增效，展现了务实担当的实干之风。</w:t>
      </w:r>
      <w:r>
        <w:rPr>
          <w:rFonts w:hint="eastAsia" w:ascii="仿宋" w:hAnsi="仿宋" w:eastAsia="仿宋" w:cs="仿宋"/>
          <w:b w:val="0"/>
          <w:bCs w:val="0"/>
          <w:sz w:val="32"/>
          <w:szCs w:val="32"/>
          <w:lang w:val="en-US" w:eastAsia="zh-CN"/>
        </w:rPr>
        <w:t>区人大以高效能履职，实现了服务大局有力、监督工作有效、代表活动有为、自身建设有进，为推动区域高质量发展注入了强劲的人大动能。</w:t>
      </w:r>
    </w:p>
    <w:p w14:paraId="05CEE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8" w:name="_Toc10986"/>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8"/>
    </w:p>
    <w:p w14:paraId="5E93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w:t>
      </w:r>
    </w:p>
    <w:p w14:paraId="1033660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9" w:name="_Toc26399"/>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9"/>
    </w:p>
    <w:p w14:paraId="06B55F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725D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w:t>
      </w:r>
      <w:r>
        <w:rPr>
          <w:rFonts w:hint="eastAsia" w:ascii="仿宋" w:hAnsi="仿宋" w:eastAsia="仿宋" w:cs="仿宋"/>
          <w:b w:val="0"/>
          <w:bCs w:val="0"/>
          <w:sz w:val="32"/>
          <w:szCs w:val="32"/>
          <w:highlight w:val="none"/>
          <w:lang w:val="en-US" w:eastAsia="zh-CN"/>
        </w:rPr>
        <w:t>8,246,647.76</w:t>
      </w:r>
      <w:r>
        <w:rPr>
          <w:rFonts w:hint="eastAsia" w:ascii="仿宋" w:hAnsi="仿宋" w:eastAsia="仿宋" w:cs="仿宋"/>
          <w:b w:val="0"/>
          <w:bCs w:val="0"/>
          <w:sz w:val="32"/>
          <w:szCs w:val="32"/>
          <w:highlight w:val="none"/>
          <w:lang w:eastAsia="zh-CN"/>
        </w:rPr>
        <w:t>元，</w:t>
      </w:r>
      <w:r>
        <w:rPr>
          <w:rFonts w:hint="eastAsia" w:ascii="仿宋" w:hAnsi="仿宋" w:eastAsia="仿宋" w:cs="仿宋"/>
          <w:b w:val="0"/>
          <w:bCs w:val="0"/>
          <w:sz w:val="32"/>
          <w:szCs w:val="32"/>
          <w:highlight w:val="none"/>
          <w:lang w:val="en-US" w:eastAsia="zh-CN"/>
        </w:rPr>
        <w:t>预算调整后额度9,827,896.49元</w:t>
      </w:r>
      <w:r>
        <w:rPr>
          <w:rFonts w:hint="eastAsia" w:ascii="仿宋" w:hAnsi="仿宋" w:eastAsia="仿宋" w:cs="仿宋"/>
          <w:b w:val="0"/>
          <w:bCs w:val="0"/>
          <w:sz w:val="32"/>
          <w:szCs w:val="32"/>
          <w:highlight w:val="none"/>
          <w:lang w:eastAsia="zh-CN"/>
        </w:rPr>
        <w:t>。</w:t>
      </w:r>
    </w:p>
    <w:p w14:paraId="7B87E6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r>
        <w:rPr>
          <w:rFonts w:hint="eastAsia" w:ascii="仿宋" w:hAnsi="仿宋" w:eastAsia="仿宋" w:cs="仿宋"/>
          <w:b/>
          <w:bCs/>
          <w:sz w:val="32"/>
          <w:szCs w:val="32"/>
          <w:highlight w:val="none"/>
          <w:lang w:val="en-US" w:eastAsia="zh-CN"/>
        </w:rPr>
        <w:t>未提供预算调整的批复。</w:t>
      </w:r>
    </w:p>
    <w:p w14:paraId="404E758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outlineLvl w:val="9"/>
      </w:pPr>
      <w:r>
        <w:rPr>
          <w:rFonts w:hint="eastAsia" w:ascii="仿宋" w:hAnsi="仿宋" w:eastAsia="仿宋" w:cs="仿宋"/>
          <w:b w:val="0"/>
          <w:bCs w:val="0"/>
          <w:sz w:val="32"/>
          <w:szCs w:val="32"/>
          <w:highlight w:val="none"/>
          <w:lang w:val="en-US" w:eastAsia="zh-CN"/>
        </w:rPr>
        <w:t>配置对比表如下：</w:t>
      </w:r>
    </w:p>
    <w:p w14:paraId="5B1306EB">
      <w:pPr>
        <w:pStyle w:val="5"/>
      </w:pPr>
      <w:r>
        <w:drawing>
          <wp:inline distT="0" distB="0" distL="114300" distR="114300">
            <wp:extent cx="3333750" cy="742950"/>
            <wp:effectExtent l="9525" t="9525" r="9525" b="9525"/>
            <wp:docPr id="10" name="图片 4"/>
            <wp:cNvGraphicFramePr/>
            <a:graphic xmlns:a="http://schemas.openxmlformats.org/drawingml/2006/main">
              <a:graphicData uri="http://schemas.openxmlformats.org/drawingml/2006/picture">
                <pic:pic xmlns:pic="http://schemas.openxmlformats.org/drawingml/2006/picture">
                  <pic:nvPicPr>
                    <pic:cNvPr id="10" name="图片 4"/>
                    <pic:cNvPicPr/>
                  </pic:nvPicPr>
                  <pic:blipFill>
                    <a:blip r:embed="rId7"/>
                  </pic:blipFill>
                  <pic:spPr>
                    <a:xfrm>
                      <a:off x="0" y="0"/>
                      <a:ext cx="3333750" cy="742950"/>
                    </a:xfrm>
                    <a:prstGeom prst="rect">
                      <a:avLst/>
                    </a:prstGeom>
                    <a:solidFill>
                      <a:srgbClr val="FFFFFF"/>
                    </a:solidFill>
                    <a:ln w="9525">
                      <a:solidFill>
                        <a:srgbClr val="000000"/>
                      </a:solidFill>
                    </a:ln>
                  </pic:spPr>
                </pic:pic>
              </a:graphicData>
            </a:graphic>
          </wp:inline>
        </w:drawing>
      </w:r>
    </w:p>
    <w:p w14:paraId="4945922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预算调整率为25.39%，</w:t>
      </w:r>
      <w:r>
        <w:rPr>
          <w:rFonts w:hint="eastAsia" w:ascii="仿宋" w:hAnsi="仿宋" w:eastAsia="仿宋" w:cs="仿宋"/>
          <w:b w:val="0"/>
          <w:bCs w:val="0"/>
          <w:sz w:val="32"/>
          <w:szCs w:val="32"/>
          <w:highlight w:val="none"/>
          <w:lang w:val="en-US" w:eastAsia="zh-CN"/>
        </w:rPr>
        <w:t>其中：公用经费的调整率为110.02%，调整明细如下：</w:t>
      </w:r>
    </w:p>
    <w:p w14:paraId="41626721">
      <w:pPr>
        <w:pStyle w:val="4"/>
        <w:numPr>
          <w:ilvl w:val="0"/>
          <w:numId w:val="0"/>
        </w:numPr>
        <w:jc w:val="center"/>
      </w:pPr>
      <w:r>
        <w:drawing>
          <wp:inline distT="0" distB="0" distL="114300" distR="114300">
            <wp:extent cx="6134100" cy="904875"/>
            <wp:effectExtent l="9525" t="9525" r="9525" b="19050"/>
            <wp:docPr id="8" name="图片 2"/>
            <wp:cNvGraphicFramePr/>
            <a:graphic xmlns:a="http://schemas.openxmlformats.org/drawingml/2006/main">
              <a:graphicData uri="http://schemas.openxmlformats.org/drawingml/2006/picture">
                <pic:pic xmlns:pic="http://schemas.openxmlformats.org/drawingml/2006/picture">
                  <pic:nvPicPr>
                    <pic:cNvPr id="8" name="图片 2"/>
                    <pic:cNvPicPr/>
                  </pic:nvPicPr>
                  <pic:blipFill>
                    <a:blip r:embed="rId8"/>
                  </pic:blipFill>
                  <pic:spPr>
                    <a:xfrm>
                      <a:off x="0" y="0"/>
                      <a:ext cx="6134100" cy="904875"/>
                    </a:xfrm>
                    <a:prstGeom prst="rect">
                      <a:avLst/>
                    </a:prstGeom>
                    <a:solidFill>
                      <a:srgbClr val="FFFFFF"/>
                    </a:solidFill>
                    <a:ln w="9525">
                      <a:solidFill>
                        <a:srgbClr val="000000"/>
                      </a:solidFill>
                    </a:ln>
                  </pic:spPr>
                </pic:pic>
              </a:graphicData>
            </a:graphic>
          </wp:inline>
        </w:drawing>
      </w:r>
    </w:p>
    <w:p w14:paraId="72D9FC1C">
      <w:pPr>
        <w:rPr>
          <w:rFonts w:hint="eastAsia" w:ascii="楷体" w:hAnsi="楷体" w:eastAsia="楷体" w:cs="楷体"/>
          <w:b/>
          <w:bCs/>
          <w:sz w:val="32"/>
          <w:szCs w:val="32"/>
          <w:lang w:eastAsia="zh-CN"/>
        </w:rPr>
      </w:pPr>
      <w:r>
        <w:drawing>
          <wp:inline distT="0" distB="0" distL="114300" distR="114300">
            <wp:extent cx="6134100" cy="904875"/>
            <wp:effectExtent l="9525" t="9525" r="9525" b="19050"/>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9"/>
                  </pic:blipFill>
                  <pic:spPr>
                    <a:xfrm>
                      <a:off x="0" y="0"/>
                      <a:ext cx="6134100" cy="904875"/>
                    </a:xfrm>
                    <a:prstGeom prst="rect">
                      <a:avLst/>
                    </a:prstGeom>
                    <a:solidFill>
                      <a:srgbClr val="FFFFFF"/>
                    </a:solidFill>
                    <a:ln w="9525">
                      <a:solidFill>
                        <a:srgbClr val="000000"/>
                      </a:solidFill>
                    </a:ln>
                  </pic:spPr>
                </pic:pic>
              </a:graphicData>
            </a:graphic>
          </wp:inline>
        </w:drawing>
      </w:r>
    </w:p>
    <w:p w14:paraId="06FF73E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0" w:name="_Toc3945"/>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30"/>
    </w:p>
    <w:p w14:paraId="3AAAF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1EB6B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both"/>
        <w:textAlignment w:val="auto"/>
        <w:outlineLvl w:val="9"/>
        <w:rPr>
          <w:rFonts w:hint="default"/>
          <w:lang w:val="en-US" w:eastAsia="zh-CN"/>
        </w:rPr>
      </w:pPr>
      <w:r>
        <w:rPr>
          <w:rFonts w:hint="eastAsia" w:ascii="仿宋" w:hAnsi="仿宋" w:eastAsia="仿宋" w:cs="仿宋"/>
          <w:b w:val="0"/>
          <w:bCs w:val="0"/>
          <w:sz w:val="32"/>
          <w:szCs w:val="32"/>
          <w:highlight w:val="none"/>
          <w:lang w:val="en-US" w:eastAsia="zh-CN"/>
        </w:rPr>
        <w:t>（1）收入来源总计9,719,435.26元，其中一般公共预算财政拨款9,719,435.26元。</w:t>
      </w:r>
    </w:p>
    <w:p w14:paraId="3A0FCA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（2）预算资金指标支付汇总</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78"/>
        <w:gridCol w:w="2909"/>
        <w:gridCol w:w="1826"/>
      </w:tblGrid>
      <w:tr w14:paraId="6358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18" w:type="pct"/>
            <w:tcBorders>
              <w:top w:val="single" w:color="5B9BD5" w:sz="4" w:space="0"/>
              <w:left w:val="single" w:color="5B9BD5" w:sz="4" w:space="0"/>
              <w:bottom w:val="single" w:color="5B9BD5" w:sz="8" w:space="0"/>
              <w:right w:val="single" w:color="9BC2E6" w:sz="4" w:space="0"/>
            </w:tcBorders>
            <w:shd w:val="clear" w:color="auto" w:fill="auto"/>
            <w:noWrap/>
            <w:vAlign w:val="center"/>
          </w:tcPr>
          <w:p w14:paraId="0A9C89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支付类型</w:t>
            </w:r>
          </w:p>
        </w:tc>
        <w:tc>
          <w:tcPr>
            <w:tcW w:w="1708"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22B057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c>
          <w:tcPr>
            <w:tcW w:w="1072" w:type="pct"/>
            <w:tcBorders>
              <w:top w:val="single" w:color="5B9BD5" w:sz="4" w:space="0"/>
              <w:left w:val="single" w:color="9BC2E6" w:sz="4" w:space="0"/>
              <w:bottom w:val="single" w:color="5B9BD5" w:sz="8" w:space="0"/>
              <w:right w:val="single" w:color="5B9BD5" w:sz="4" w:space="0"/>
            </w:tcBorders>
            <w:shd w:val="clear" w:color="auto" w:fill="auto"/>
            <w:noWrap/>
            <w:vAlign w:val="center"/>
          </w:tcPr>
          <w:p w14:paraId="0A7795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占比</w:t>
            </w:r>
          </w:p>
        </w:tc>
      </w:tr>
      <w:tr w14:paraId="74E5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18" w:type="pct"/>
            <w:tcBorders>
              <w:top w:val="single" w:color="5B9BD5" w:sz="8" w:space="0"/>
              <w:left w:val="single" w:color="5B9BD5" w:sz="4" w:space="0"/>
              <w:bottom w:val="single" w:color="9BC2E6" w:sz="4" w:space="0"/>
              <w:right w:val="single" w:color="9BC2E6" w:sz="4" w:space="0"/>
            </w:tcBorders>
            <w:shd w:val="clear" w:color="DDEBF7" w:fill="DDEBF7"/>
            <w:noWrap/>
            <w:vAlign w:val="center"/>
          </w:tcPr>
          <w:p w14:paraId="32734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单位零余额支付</w:t>
            </w:r>
          </w:p>
        </w:tc>
        <w:tc>
          <w:tcPr>
            <w:tcW w:w="1708"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7FEC6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6,862,276.26 </w:t>
            </w:r>
          </w:p>
        </w:tc>
        <w:tc>
          <w:tcPr>
            <w:tcW w:w="1072" w:type="pct"/>
            <w:tcBorders>
              <w:top w:val="single" w:color="5B9BD5" w:sz="8" w:space="0"/>
              <w:left w:val="single" w:color="9BC2E6" w:sz="4" w:space="0"/>
              <w:bottom w:val="single" w:color="9BC2E6" w:sz="4" w:space="0"/>
              <w:right w:val="single" w:color="5B9BD5" w:sz="4" w:space="0"/>
            </w:tcBorders>
            <w:shd w:val="clear" w:color="DDEBF7" w:fill="DDEBF7"/>
            <w:noWrap/>
            <w:vAlign w:val="center"/>
          </w:tcPr>
          <w:p w14:paraId="47786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70.60%</w:t>
            </w:r>
          </w:p>
        </w:tc>
      </w:tr>
      <w:tr w14:paraId="0024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18" w:type="pct"/>
            <w:tcBorders>
              <w:top w:val="single" w:color="9BC2E6" w:sz="4" w:space="0"/>
              <w:left w:val="single" w:color="5B9BD5" w:sz="4" w:space="0"/>
              <w:bottom w:val="single" w:color="9BC2E6" w:sz="4" w:space="0"/>
              <w:right w:val="single" w:color="9BC2E6" w:sz="4" w:space="0"/>
            </w:tcBorders>
            <w:shd w:val="clear" w:color="auto" w:fill="auto"/>
            <w:noWrap/>
            <w:vAlign w:val="center"/>
          </w:tcPr>
          <w:p w14:paraId="02540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财政零余额支付</w:t>
            </w:r>
          </w:p>
        </w:tc>
        <w:tc>
          <w:tcPr>
            <w:tcW w:w="1708"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58D9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2,857,159.00 </w:t>
            </w:r>
          </w:p>
        </w:tc>
        <w:tc>
          <w:tcPr>
            <w:tcW w:w="1072"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271E8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29.40%</w:t>
            </w:r>
          </w:p>
        </w:tc>
      </w:tr>
      <w:tr w14:paraId="2CE8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18" w:type="pct"/>
            <w:tcBorders>
              <w:top w:val="single" w:color="9BC2E6" w:sz="4" w:space="0"/>
              <w:left w:val="single" w:color="5B9BD5" w:sz="4" w:space="0"/>
              <w:bottom w:val="single" w:color="5B9BD5" w:sz="4" w:space="0"/>
              <w:right w:val="single" w:color="9BC2E6" w:sz="4" w:space="0"/>
            </w:tcBorders>
            <w:shd w:val="clear" w:color="DDEBF7" w:fill="DDEBF7"/>
            <w:noWrap/>
            <w:vAlign w:val="center"/>
          </w:tcPr>
          <w:p w14:paraId="5123E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1708" w:type="pct"/>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0F311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9,719,435.26 </w:t>
            </w:r>
          </w:p>
        </w:tc>
        <w:tc>
          <w:tcPr>
            <w:tcW w:w="1072" w:type="pct"/>
            <w:tcBorders>
              <w:top w:val="single" w:color="9BC2E6" w:sz="4" w:space="0"/>
              <w:left w:val="single" w:color="9BC2E6" w:sz="4" w:space="0"/>
              <w:bottom w:val="single" w:color="5B9BD5" w:sz="4" w:space="0"/>
              <w:right w:val="single" w:color="5B9BD5" w:sz="4" w:space="0"/>
            </w:tcBorders>
            <w:shd w:val="clear" w:color="DDEBF7" w:fill="DDEBF7"/>
            <w:noWrap/>
            <w:vAlign w:val="center"/>
          </w:tcPr>
          <w:p w14:paraId="1123B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r>
    </w:tbl>
    <w:p w14:paraId="1F2EC7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p>
    <w:p w14:paraId="2825EB9E">
      <w:pPr>
        <w:pStyle w:val="4"/>
        <w:numPr>
          <w:ilvl w:val="0"/>
          <w:numId w:val="0"/>
        </w:numPr>
        <w:jc w:val="center"/>
        <w:rPr>
          <w:rFonts w:hint="eastAsia" w:ascii="仿宋" w:hAnsi="仿宋" w:eastAsia="仿宋" w:cs="仿宋"/>
          <w:b w:val="0"/>
          <w:bCs w:val="0"/>
          <w:sz w:val="32"/>
          <w:szCs w:val="32"/>
          <w:highlight w:val="none"/>
          <w:lang w:val="en-US" w:eastAsia="zh-CN"/>
        </w:rPr>
      </w:pPr>
      <w:r>
        <w:drawing>
          <wp:inline distT="0" distB="0" distL="114300" distR="114300">
            <wp:extent cx="3797935" cy="2286000"/>
            <wp:effectExtent l="4445" t="4445" r="7620" b="14605"/>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DC5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default"/>
          <w:lang w:val="en-US" w:eastAsia="zh-CN"/>
        </w:rPr>
      </w:pPr>
      <w:r>
        <w:rPr>
          <w:rFonts w:hint="eastAsia" w:ascii="仿宋" w:hAnsi="仿宋" w:eastAsia="仿宋" w:cs="仿宋"/>
          <w:b/>
          <w:bCs/>
          <w:sz w:val="32"/>
          <w:szCs w:val="32"/>
          <w:lang w:val="en-US" w:eastAsia="zh-CN"/>
        </w:rPr>
        <w:t>2.预算执行分析</w:t>
      </w:r>
    </w:p>
    <w:p w14:paraId="35B64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预算执行率为98.88%。详情如下：</w:t>
      </w:r>
    </w:p>
    <w:p w14:paraId="2B138D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9"/>
        <w:rPr>
          <w:rFonts w:hint="default" w:ascii="仿宋" w:hAnsi="仿宋" w:eastAsia="仿宋" w:cs="仿宋"/>
          <w:b/>
          <w:bCs/>
          <w:sz w:val="32"/>
          <w:szCs w:val="32"/>
          <w:lang w:val="en-US" w:eastAsia="zh-CN"/>
        </w:rPr>
      </w:pPr>
      <w:r>
        <w:drawing>
          <wp:inline distT="0" distB="0" distL="114300" distR="114300">
            <wp:extent cx="5953125" cy="952500"/>
            <wp:effectExtent l="9525" t="9525" r="19050" b="952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pic:blipFill>
                  <pic:spPr>
                    <a:xfrm>
                      <a:off x="0" y="0"/>
                      <a:ext cx="5953125" cy="952500"/>
                    </a:xfrm>
                    <a:prstGeom prst="rect">
                      <a:avLst/>
                    </a:prstGeom>
                    <a:solidFill>
                      <a:srgbClr val="FFFFFF"/>
                    </a:solidFill>
                    <a:ln w="9525">
                      <a:solidFill>
                        <a:srgbClr val="000000"/>
                      </a:solidFill>
                    </a:ln>
                  </pic:spPr>
                </pic:pic>
              </a:graphicData>
            </a:graphic>
          </wp:inline>
        </w:drawing>
      </w:r>
    </w:p>
    <w:p w14:paraId="531E49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结转结余率为5.20%。详情如下：</w:t>
      </w:r>
    </w:p>
    <w:p w14:paraId="10E3F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outlineLvl w:val="9"/>
        <w:rPr>
          <w:rFonts w:hint="eastAsia" w:ascii="仿宋" w:hAnsi="仿宋" w:eastAsia="仿宋" w:cs="仿宋"/>
          <w:b/>
          <w:bCs/>
          <w:sz w:val="32"/>
          <w:szCs w:val="32"/>
          <w:lang w:eastAsia="zh-CN"/>
        </w:rPr>
      </w:pPr>
      <w:r>
        <w:drawing>
          <wp:inline distT="0" distB="0" distL="114300" distR="114300">
            <wp:extent cx="4810125" cy="409575"/>
            <wp:effectExtent l="9525" t="9525" r="19050" b="19050"/>
            <wp:docPr id="9" name="图片 7"/>
            <wp:cNvGraphicFramePr/>
            <a:graphic xmlns:a="http://schemas.openxmlformats.org/drawingml/2006/main">
              <a:graphicData uri="http://schemas.openxmlformats.org/drawingml/2006/picture">
                <pic:pic xmlns:pic="http://schemas.openxmlformats.org/drawingml/2006/picture">
                  <pic:nvPicPr>
                    <pic:cNvPr id="9" name="图片 7"/>
                    <pic:cNvPicPr/>
                  </pic:nvPicPr>
                  <pic:blipFill>
                    <a:blip r:embed="rId12"/>
                  </pic:blipFill>
                  <pic:spPr>
                    <a:xfrm>
                      <a:off x="0" y="0"/>
                      <a:ext cx="4810125" cy="409575"/>
                    </a:xfrm>
                    <a:prstGeom prst="rect">
                      <a:avLst/>
                    </a:prstGeom>
                    <a:solidFill>
                      <a:srgbClr val="FFFFFF"/>
                    </a:solidFill>
                    <a:ln w="9525">
                      <a:solidFill>
                        <a:srgbClr val="000000"/>
                      </a:solidFill>
                    </a:ln>
                  </pic:spPr>
                </pic:pic>
              </a:graphicData>
            </a:graphic>
          </wp:inline>
        </w:drawing>
      </w:r>
    </w:p>
    <w:p w14:paraId="78AFA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val="0"/>
          <w:bCs w:val="0"/>
          <w:sz w:val="32"/>
          <w:szCs w:val="32"/>
          <w:lang w:val="en-US" w:eastAsia="zh-CN"/>
        </w:rPr>
        <w:t>资金支付及时，不存在项目等钱情况。2024年12月资金指标使用数占比18.80%，高于其他月份。指标下达数与指标使用数对比详情列示如下：</w:t>
      </w:r>
    </w:p>
    <w:p w14:paraId="3017C704">
      <w:pPr>
        <w:pStyle w:val="4"/>
        <w:jc w:val="center"/>
        <w:rPr>
          <w:rFonts w:hint="eastAsia" w:ascii="仿宋" w:hAnsi="仿宋" w:eastAsia="仿宋" w:cs="仿宋"/>
          <w:b w:val="0"/>
          <w:bCs w:val="0"/>
          <w:sz w:val="32"/>
          <w:szCs w:val="32"/>
          <w:lang w:val="en-US" w:eastAsia="zh-CN"/>
        </w:rPr>
      </w:pPr>
      <w:r>
        <w:drawing>
          <wp:inline distT="0" distB="0" distL="114300" distR="114300">
            <wp:extent cx="4743450" cy="2581275"/>
            <wp:effectExtent l="9525" t="9525" r="9525" b="19050"/>
            <wp:docPr id="12" name="图片 2"/>
            <wp:cNvGraphicFramePr/>
            <a:graphic xmlns:a="http://schemas.openxmlformats.org/drawingml/2006/main">
              <a:graphicData uri="http://schemas.openxmlformats.org/drawingml/2006/picture">
                <pic:pic xmlns:pic="http://schemas.openxmlformats.org/drawingml/2006/picture">
                  <pic:nvPicPr>
                    <pic:cNvPr id="12" name="图片 2"/>
                    <pic:cNvPicPr/>
                  </pic:nvPicPr>
                  <pic:blipFill>
                    <a:blip r:embed="rId13"/>
                  </pic:blipFill>
                  <pic:spPr>
                    <a:xfrm>
                      <a:off x="0" y="0"/>
                      <a:ext cx="4743450" cy="2581275"/>
                    </a:xfrm>
                    <a:prstGeom prst="rect">
                      <a:avLst/>
                    </a:prstGeom>
                    <a:solidFill>
                      <a:srgbClr val="FFFFFF"/>
                    </a:solidFill>
                    <a:ln w="9525">
                      <a:solidFill>
                        <a:srgbClr val="000000"/>
                      </a:solidFill>
                    </a:ln>
                  </pic:spPr>
                </pic:pic>
              </a:graphicData>
            </a:graphic>
          </wp:inline>
        </w:drawing>
      </w:r>
    </w:p>
    <w:p w14:paraId="3F9EEB01">
      <w:pPr>
        <w:jc w:val="center"/>
        <w:rPr>
          <w:rFonts w:hint="eastAsia" w:ascii="仿宋" w:hAnsi="仿宋" w:eastAsia="仿宋" w:cs="仿宋"/>
          <w:b/>
          <w:bCs/>
          <w:sz w:val="32"/>
          <w:szCs w:val="32"/>
          <w:lang w:val="en-US" w:eastAsia="zh-CN"/>
        </w:rPr>
      </w:pPr>
      <w:r>
        <w:drawing>
          <wp:inline distT="0" distB="0" distL="114300" distR="114300">
            <wp:extent cx="5177790" cy="2952115"/>
            <wp:effectExtent l="4445" t="4445" r="18415" b="1524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7B0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从预算约束、用途合规、程序合规、报销凭证完整性与合规性四个方面进行核查，在检查凭证过程中，我们发现存在跨期支付情况，存在人员经费挤占公用经费的情况。详情见后附各类支出情况汇总及分析。</w:t>
      </w:r>
    </w:p>
    <w:p w14:paraId="439DA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w:t>
      </w:r>
    </w:p>
    <w:p w14:paraId="69415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7FE879F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本年度决算数与上年度决算数对比，增加率1.15%。</w:t>
      </w:r>
    </w:p>
    <w:p w14:paraId="79E74D19">
      <w:pPr>
        <w:pStyle w:val="7"/>
      </w:pPr>
      <w:r>
        <w:drawing>
          <wp:inline distT="0" distB="0" distL="114300" distR="114300">
            <wp:extent cx="5440045" cy="2772410"/>
            <wp:effectExtent l="9525" t="9525" r="17780" b="18415"/>
            <wp:docPr id="17" name="图片 1"/>
            <wp:cNvGraphicFramePr/>
            <a:graphic xmlns:a="http://schemas.openxmlformats.org/drawingml/2006/main">
              <a:graphicData uri="http://schemas.openxmlformats.org/drawingml/2006/picture">
                <pic:pic xmlns:pic="http://schemas.openxmlformats.org/drawingml/2006/picture">
                  <pic:nvPicPr>
                    <pic:cNvPr id="17" name="图片 1"/>
                    <pic:cNvPicPr/>
                  </pic:nvPicPr>
                  <pic:blipFill>
                    <a:blip r:embed="rId15"/>
                  </pic:blipFill>
                  <pic:spPr>
                    <a:xfrm>
                      <a:off x="0" y="0"/>
                      <a:ext cx="5440045" cy="2772410"/>
                    </a:xfrm>
                    <a:prstGeom prst="rect">
                      <a:avLst/>
                    </a:prstGeom>
                    <a:solidFill>
                      <a:srgbClr val="FFFFFF"/>
                    </a:solidFill>
                    <a:ln w="9525">
                      <a:solidFill>
                        <a:srgbClr val="000000"/>
                      </a:solidFill>
                    </a:ln>
                  </pic:spPr>
                </pic:pic>
              </a:graphicData>
            </a:graphic>
          </wp:inline>
        </w:drawing>
      </w:r>
    </w:p>
    <w:p w14:paraId="7E2AC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pPr>
      <w:r>
        <w:rPr>
          <w:rFonts w:hint="eastAsia" w:ascii="仿宋" w:hAnsi="仿宋" w:eastAsia="仿宋" w:cs="仿宋"/>
          <w:b/>
          <w:bCs/>
          <w:sz w:val="32"/>
          <w:szCs w:val="32"/>
          <w:lang w:val="en-US" w:eastAsia="zh-CN"/>
        </w:rPr>
        <w:t>（6）本年度全年预算数、账套数、决算数、重分类决算数汇总对比表列示如下：（账套数与重分类数一致，与决算数差额1,352.00元,由于时间关系，未进一步查明原因）</w:t>
      </w:r>
    </w:p>
    <w:p w14:paraId="682859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267960" cy="1448435"/>
            <wp:effectExtent l="9525" t="9525" r="18415" b="27940"/>
            <wp:docPr id="3" name="图片 8"/>
            <wp:cNvGraphicFramePr/>
            <a:graphic xmlns:a="http://schemas.openxmlformats.org/drawingml/2006/main">
              <a:graphicData uri="http://schemas.openxmlformats.org/drawingml/2006/picture">
                <pic:pic xmlns:pic="http://schemas.openxmlformats.org/drawingml/2006/picture">
                  <pic:nvPicPr>
                    <pic:cNvPr id="3" name="图片 8"/>
                    <pic:cNvPicPr/>
                  </pic:nvPicPr>
                  <pic:blipFill>
                    <a:blip r:embed="rId16"/>
                  </pic:blipFill>
                  <pic:spPr>
                    <a:xfrm>
                      <a:off x="0" y="0"/>
                      <a:ext cx="5267960" cy="1448435"/>
                    </a:xfrm>
                    <a:prstGeom prst="rect">
                      <a:avLst/>
                    </a:prstGeom>
                    <a:solidFill>
                      <a:srgbClr val="FFFFFF"/>
                    </a:solidFill>
                    <a:ln w="9525">
                      <a:solidFill>
                        <a:srgbClr val="000000"/>
                      </a:solidFill>
                    </a:ln>
                  </pic:spPr>
                </pic:pic>
              </a:graphicData>
            </a:graphic>
          </wp:inline>
        </w:drawing>
      </w:r>
    </w:p>
    <w:p w14:paraId="353A0C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01A1EA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343525" cy="1476375"/>
            <wp:effectExtent l="9525" t="9525" r="19050" b="19050"/>
            <wp:docPr id="16" name="图片 9"/>
            <wp:cNvGraphicFramePr/>
            <a:graphic xmlns:a="http://schemas.openxmlformats.org/drawingml/2006/main">
              <a:graphicData uri="http://schemas.openxmlformats.org/drawingml/2006/picture">
                <pic:pic xmlns:pic="http://schemas.openxmlformats.org/drawingml/2006/picture">
                  <pic:nvPicPr>
                    <pic:cNvPr id="16" name="图片 9"/>
                    <pic:cNvPicPr/>
                  </pic:nvPicPr>
                  <pic:blipFill>
                    <a:blip r:embed="rId17"/>
                  </pic:blipFill>
                  <pic:spPr>
                    <a:xfrm>
                      <a:off x="0" y="0"/>
                      <a:ext cx="5343525" cy="1476375"/>
                    </a:xfrm>
                    <a:prstGeom prst="rect">
                      <a:avLst/>
                    </a:prstGeom>
                    <a:solidFill>
                      <a:srgbClr val="FFFFFF"/>
                    </a:solidFill>
                    <a:ln w="9525">
                      <a:solidFill>
                        <a:srgbClr val="000000"/>
                      </a:solidFill>
                    </a:ln>
                  </pic:spPr>
                </pic:pic>
              </a:graphicData>
            </a:graphic>
          </wp:inline>
        </w:drawing>
      </w:r>
    </w:p>
    <w:p w14:paraId="2FC1CD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367A25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102225" cy="4371340"/>
            <wp:effectExtent l="4445" t="4445" r="17780" b="5715"/>
            <wp:docPr id="1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F5B1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outlineLvl w:val="9"/>
      </w:pPr>
    </w:p>
    <w:p w14:paraId="16DABC4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1" w:name="_Toc13505"/>
      <w:r>
        <w:rPr>
          <w:rFonts w:hint="eastAsia" w:ascii="楷体" w:hAnsi="楷体" w:eastAsia="楷体" w:cs="楷体"/>
          <w:b/>
          <w:bCs/>
          <w:sz w:val="32"/>
          <w:szCs w:val="32"/>
          <w:lang w:val="en-US" w:eastAsia="zh-CN"/>
        </w:rPr>
        <w:t>整体支出汇总及分析</w:t>
      </w:r>
      <w:bookmarkEnd w:id="31"/>
    </w:p>
    <w:p w14:paraId="6E707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45D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（1）整体支出分类及范围</w:t>
      </w:r>
    </w:p>
    <w:p w14:paraId="0E4BBA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区人大的整体支出分为三大类，分别为基本支出-人员经费、基本支出-公用经费（一般性支出）与项目支出。</w:t>
      </w:r>
      <w:r>
        <w:rPr>
          <w:rFonts w:hint="eastAsia" w:ascii="仿宋" w:hAnsi="仿宋" w:eastAsia="仿宋" w:cs="仿宋"/>
          <w:b/>
          <w:bCs/>
          <w:sz w:val="32"/>
          <w:szCs w:val="32"/>
          <w:lang w:val="en-US" w:eastAsia="zh-CN"/>
        </w:rPr>
        <w:t>一是基本支出-人员经费</w:t>
      </w:r>
      <w:r>
        <w:rPr>
          <w:rFonts w:hint="eastAsia" w:ascii="仿宋" w:hAnsi="仿宋" w:eastAsia="仿宋" w:cs="仿宋"/>
          <w:b w:val="0"/>
          <w:bCs w:val="0"/>
          <w:sz w:val="32"/>
          <w:szCs w:val="32"/>
          <w:lang w:val="en-US" w:eastAsia="zh-CN"/>
        </w:rPr>
        <w:t>包括基本工资、津贴补贴、社会保障缴费、住房公积金、奖金、对家庭和个人的补助、津贴补贴、其他保障等。</w:t>
      </w:r>
      <w:r>
        <w:rPr>
          <w:rFonts w:hint="eastAsia" w:ascii="仿宋" w:hAnsi="仿宋" w:eastAsia="仿宋" w:cs="仿宋"/>
          <w:b/>
          <w:bCs/>
          <w:sz w:val="32"/>
          <w:szCs w:val="32"/>
          <w:lang w:val="en-US" w:eastAsia="zh-CN"/>
        </w:rPr>
        <w:t>二是基本支出-公用经费</w:t>
      </w:r>
      <w:r>
        <w:rPr>
          <w:rFonts w:hint="eastAsia" w:ascii="仿宋" w:hAnsi="仿宋" w:eastAsia="仿宋" w:cs="仿宋"/>
          <w:b w:val="0"/>
          <w:bCs w:val="0"/>
          <w:sz w:val="32"/>
          <w:szCs w:val="32"/>
          <w:lang w:val="en-US" w:eastAsia="zh-CN"/>
        </w:rPr>
        <w:t>包括办公经费、工会经费、食堂餐费、培训费、公车费、报告咨询、差旅费、保洁费、会议费、装修维修费、党建等。</w:t>
      </w:r>
      <w:r>
        <w:rPr>
          <w:rFonts w:hint="eastAsia" w:ascii="仿宋" w:hAnsi="仿宋" w:eastAsia="仿宋" w:cs="仿宋"/>
          <w:b/>
          <w:bCs/>
          <w:sz w:val="32"/>
          <w:szCs w:val="32"/>
          <w:lang w:val="en-US" w:eastAsia="zh-CN"/>
        </w:rPr>
        <w:t>三是项目支出</w:t>
      </w:r>
      <w:r>
        <w:rPr>
          <w:rFonts w:hint="eastAsia" w:ascii="仿宋" w:hAnsi="仿宋" w:eastAsia="仿宋" w:cs="仿宋"/>
          <w:b w:val="0"/>
          <w:bCs w:val="0"/>
          <w:sz w:val="32"/>
          <w:szCs w:val="32"/>
          <w:lang w:val="en-US" w:eastAsia="zh-CN"/>
        </w:rPr>
        <w:t>包括文明创建、加班餐费、编著费、宣传费、其他单位、文明创建、误工费、两优评选经费、履职费发放及下拨、履职交通费、履职培训费、民主工作经费、市委人大工作费、人大五届四次会议、为民服务费等。</w:t>
      </w:r>
    </w:p>
    <w:p w14:paraId="2EBD69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（2）各类支出从账套数到重分类数的调整过程</w:t>
      </w:r>
    </w:p>
    <w:p w14:paraId="44719A0C">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277485" cy="2418715"/>
            <wp:effectExtent l="9525" t="9525" r="27940" b="10160"/>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9"/>
                  </pic:blipFill>
                  <pic:spPr>
                    <a:xfrm>
                      <a:off x="0" y="0"/>
                      <a:ext cx="5277485" cy="2418715"/>
                    </a:xfrm>
                    <a:prstGeom prst="rect">
                      <a:avLst/>
                    </a:prstGeom>
                    <a:solidFill>
                      <a:srgbClr val="FFFFFF"/>
                    </a:solidFill>
                    <a:ln w="9525">
                      <a:solidFill>
                        <a:srgbClr val="000000"/>
                      </a:solidFill>
                    </a:ln>
                  </pic:spPr>
                </pic:pic>
              </a:graphicData>
            </a:graphic>
          </wp:inline>
        </w:drawing>
      </w:r>
    </w:p>
    <w:p w14:paraId="764ACB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lang w:val="en-US" w:eastAsia="zh-CN"/>
        </w:rPr>
      </w:pPr>
    </w:p>
    <w:p w14:paraId="7C8470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591810" cy="5076190"/>
            <wp:effectExtent l="9525" t="9525" r="18415" b="19685"/>
            <wp:docPr id="21" name="图片 1"/>
            <wp:cNvGraphicFramePr/>
            <a:graphic xmlns:a="http://schemas.openxmlformats.org/drawingml/2006/main">
              <a:graphicData uri="http://schemas.openxmlformats.org/drawingml/2006/picture">
                <pic:pic xmlns:pic="http://schemas.openxmlformats.org/drawingml/2006/picture">
                  <pic:nvPicPr>
                    <pic:cNvPr id="21" name="图片 1"/>
                    <pic:cNvPicPr/>
                  </pic:nvPicPr>
                  <pic:blipFill>
                    <a:blip r:embed="rId20"/>
                  </pic:blipFill>
                  <pic:spPr>
                    <a:xfrm>
                      <a:off x="0" y="0"/>
                      <a:ext cx="5591810" cy="5076190"/>
                    </a:xfrm>
                    <a:prstGeom prst="rect">
                      <a:avLst/>
                    </a:prstGeom>
                    <a:solidFill>
                      <a:srgbClr val="FFFFFF"/>
                    </a:solidFill>
                    <a:ln w="9525">
                      <a:solidFill>
                        <a:srgbClr val="000000"/>
                      </a:solidFill>
                    </a:ln>
                  </pic:spPr>
                </pic:pic>
              </a:graphicData>
            </a:graphic>
          </wp:inline>
        </w:drawing>
      </w:r>
    </w:p>
    <w:p w14:paraId="2C7981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lang w:val="en-US" w:eastAsia="zh-CN"/>
        </w:rPr>
      </w:pPr>
    </w:p>
    <w:p w14:paraId="5B62FE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lang w:val="en-US" w:eastAsia="zh-CN"/>
        </w:rPr>
      </w:pPr>
    </w:p>
    <w:p w14:paraId="67AA5F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lang w:val="en-US" w:eastAsia="zh-CN"/>
        </w:rPr>
      </w:pPr>
    </w:p>
    <w:p w14:paraId="5F244A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lang w:val="en-US" w:eastAsia="zh-CN"/>
        </w:rPr>
      </w:pPr>
    </w:p>
    <w:p w14:paraId="56AB77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772150" cy="3382010"/>
            <wp:effectExtent l="9525" t="9525" r="9525" b="18415"/>
            <wp:docPr id="20" name="图片 1"/>
            <wp:cNvGraphicFramePr/>
            <a:graphic xmlns:a="http://schemas.openxmlformats.org/drawingml/2006/main">
              <a:graphicData uri="http://schemas.openxmlformats.org/drawingml/2006/picture">
                <pic:pic xmlns:pic="http://schemas.openxmlformats.org/drawingml/2006/picture">
                  <pic:nvPicPr>
                    <pic:cNvPr id="20" name="图片 1"/>
                    <pic:cNvPicPr/>
                  </pic:nvPicPr>
                  <pic:blipFill>
                    <a:blip r:embed="rId21"/>
                  </pic:blipFill>
                  <pic:spPr>
                    <a:xfrm>
                      <a:off x="0" y="0"/>
                      <a:ext cx="5772150" cy="3382010"/>
                    </a:xfrm>
                    <a:prstGeom prst="rect">
                      <a:avLst/>
                    </a:prstGeom>
                    <a:solidFill>
                      <a:srgbClr val="FFFFFF"/>
                    </a:solidFill>
                    <a:ln w="9525">
                      <a:solidFill>
                        <a:srgbClr val="000000"/>
                      </a:solidFill>
                    </a:ln>
                  </pic:spPr>
                </pic:pic>
              </a:graphicData>
            </a:graphic>
          </wp:inline>
        </w:drawing>
      </w:r>
    </w:p>
    <w:p w14:paraId="06064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（3）各类支出重分类数与决算数的对比分析</w:t>
      </w:r>
    </w:p>
    <w:p w14:paraId="37A37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下表可知，重分类数与决算数相比，公用经费减少415,275.48元，减少率35.96%。项目支出减少23,946.60元，减少率1.28%。人员经费增加437,870.08元，增长率6.54%。原因为人员经费指标不够用，使用公用经费与项目支出指标。</w:t>
      </w:r>
    </w:p>
    <w:p w14:paraId="2A6B8D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r>
        <w:drawing>
          <wp:inline distT="0" distB="0" distL="114300" distR="114300">
            <wp:extent cx="5953125" cy="904875"/>
            <wp:effectExtent l="9525" t="9525" r="19050" b="19050"/>
            <wp:docPr id="23" name="图片 10"/>
            <wp:cNvGraphicFramePr/>
            <a:graphic xmlns:a="http://schemas.openxmlformats.org/drawingml/2006/main">
              <a:graphicData uri="http://schemas.openxmlformats.org/drawingml/2006/picture">
                <pic:pic xmlns:pic="http://schemas.openxmlformats.org/drawingml/2006/picture">
                  <pic:nvPicPr>
                    <pic:cNvPr id="23" name="图片 10"/>
                    <pic:cNvPicPr/>
                  </pic:nvPicPr>
                  <pic:blipFill>
                    <a:blip r:embed="rId22"/>
                  </pic:blipFill>
                  <pic:spPr>
                    <a:xfrm>
                      <a:off x="0" y="0"/>
                      <a:ext cx="5953125" cy="904875"/>
                    </a:xfrm>
                    <a:prstGeom prst="rect">
                      <a:avLst/>
                    </a:prstGeom>
                    <a:solidFill>
                      <a:srgbClr val="FFFFFF"/>
                    </a:solidFill>
                    <a:ln w="9525">
                      <a:solidFill>
                        <a:srgbClr val="000000"/>
                      </a:solidFill>
                    </a:ln>
                  </pic:spPr>
                </pic:pic>
              </a:graphicData>
            </a:graphic>
          </wp:inline>
        </w:drawing>
      </w:r>
    </w:p>
    <w:p w14:paraId="483A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2.基本支出-人员经费重分类数汇总及分析</w:t>
      </w:r>
    </w:p>
    <w:p w14:paraId="582428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详见后附工资管理情况及分析</w:t>
      </w:r>
    </w:p>
    <w:p w14:paraId="3B87B5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895975" cy="1676400"/>
            <wp:effectExtent l="9525" t="9525" r="19050" b="9525"/>
            <wp:docPr id="24" name="图片 2"/>
            <wp:cNvGraphicFramePr/>
            <a:graphic xmlns:a="http://schemas.openxmlformats.org/drawingml/2006/main">
              <a:graphicData uri="http://schemas.openxmlformats.org/drawingml/2006/picture">
                <pic:pic xmlns:pic="http://schemas.openxmlformats.org/drawingml/2006/picture">
                  <pic:nvPicPr>
                    <pic:cNvPr id="24" name="图片 2"/>
                    <pic:cNvPicPr/>
                  </pic:nvPicPr>
                  <pic:blipFill>
                    <a:blip r:embed="rId23"/>
                  </pic:blipFill>
                  <pic:spPr>
                    <a:xfrm>
                      <a:off x="0" y="0"/>
                      <a:ext cx="5895975" cy="1676400"/>
                    </a:xfrm>
                    <a:prstGeom prst="rect">
                      <a:avLst/>
                    </a:prstGeom>
                    <a:solidFill>
                      <a:srgbClr val="FFFFFF"/>
                    </a:solidFill>
                    <a:ln w="9525">
                      <a:solidFill>
                        <a:srgbClr val="000000"/>
                      </a:solidFill>
                    </a:ln>
                  </pic:spPr>
                </pic:pic>
              </a:graphicData>
            </a:graphic>
          </wp:inline>
        </w:drawing>
      </w:r>
    </w:p>
    <w:p w14:paraId="03CABA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120640" cy="3009900"/>
            <wp:effectExtent l="4445" t="4445" r="18415" b="14605"/>
            <wp:docPr id="2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4A526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基本支出-公用经费重分类数汇总及分析</w:t>
      </w:r>
    </w:p>
    <w:p w14:paraId="5F8EBF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pPr>
      <w:r>
        <w:drawing>
          <wp:inline distT="0" distB="0" distL="114300" distR="114300">
            <wp:extent cx="5743575" cy="2619375"/>
            <wp:effectExtent l="9525" t="9525" r="19050" b="19050"/>
            <wp:docPr id="27" name="图片 4"/>
            <wp:cNvGraphicFramePr/>
            <a:graphic xmlns:a="http://schemas.openxmlformats.org/drawingml/2006/main">
              <a:graphicData uri="http://schemas.openxmlformats.org/drawingml/2006/picture">
                <pic:pic xmlns:pic="http://schemas.openxmlformats.org/drawingml/2006/picture">
                  <pic:nvPicPr>
                    <pic:cNvPr id="27" name="图片 4"/>
                    <pic:cNvPicPr/>
                  </pic:nvPicPr>
                  <pic:blipFill>
                    <a:blip r:embed="rId25"/>
                  </pic:blipFill>
                  <pic:spPr>
                    <a:xfrm>
                      <a:off x="0" y="0"/>
                      <a:ext cx="5743575" cy="2619375"/>
                    </a:xfrm>
                    <a:prstGeom prst="rect">
                      <a:avLst/>
                    </a:prstGeom>
                    <a:solidFill>
                      <a:srgbClr val="FFFFFF"/>
                    </a:solidFill>
                    <a:ln w="9525">
                      <a:solidFill>
                        <a:srgbClr val="000000"/>
                      </a:solidFill>
                    </a:ln>
                  </pic:spPr>
                </pic:pic>
              </a:graphicData>
            </a:graphic>
          </wp:inline>
        </w:drawing>
      </w:r>
    </w:p>
    <w:p w14:paraId="0A42E7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color w:val="auto"/>
          <w:sz w:val="32"/>
          <w:szCs w:val="32"/>
          <w:highlight w:val="none"/>
          <w:lang w:val="en-US" w:eastAsia="zh-CN"/>
        </w:rPr>
      </w:pPr>
      <w:r>
        <w:rPr>
          <w:rFonts w:hint="eastAsia" w:ascii="仿宋" w:hAnsi="仿宋" w:eastAsia="仿宋" w:cs="仿宋"/>
          <w:sz w:val="32"/>
          <w:szCs w:val="32"/>
          <w:lang w:val="en-US" w:eastAsia="zh-CN"/>
        </w:rPr>
        <w:t>检查凭证存在以下情况：</w:t>
      </w:r>
      <w:r>
        <w:rPr>
          <w:rFonts w:hint="eastAsia" w:ascii="仿宋" w:hAnsi="仿宋" w:eastAsia="仿宋" w:cs="仿宋"/>
          <w:b/>
          <w:bCs/>
          <w:sz w:val="32"/>
          <w:szCs w:val="32"/>
          <w:highlight w:val="none"/>
          <w:lang w:val="en-US" w:eastAsia="zh-CN"/>
        </w:rPr>
        <w:t>一是</w:t>
      </w:r>
      <w:r>
        <w:rPr>
          <w:rFonts w:hint="eastAsia" w:ascii="仿宋" w:hAnsi="仿宋" w:eastAsia="仿宋" w:cs="仿宋"/>
          <w:sz w:val="32"/>
          <w:szCs w:val="32"/>
          <w:highlight w:val="none"/>
          <w:lang w:val="en-US" w:eastAsia="zh-CN"/>
        </w:rPr>
        <w:t>设置工会组织，三八过节费及八一慰问</w:t>
      </w:r>
      <w:r>
        <w:rPr>
          <w:rFonts w:hint="eastAsia" w:ascii="仿宋" w:hAnsi="仿宋" w:eastAsia="仿宋" w:cs="仿宋"/>
          <w:b/>
          <w:bCs/>
          <w:sz w:val="32"/>
          <w:szCs w:val="32"/>
          <w:highlight w:val="none"/>
          <w:lang w:val="en-US" w:eastAsia="zh-CN"/>
        </w:rPr>
        <w:t>费未从工会经费中支出，从国库支出。</w:t>
      </w:r>
      <w:r>
        <w:rPr>
          <w:rFonts w:hint="eastAsia" w:ascii="仿宋" w:hAnsi="仿宋" w:eastAsia="仿宋" w:cs="仿宋"/>
          <w:sz w:val="32"/>
          <w:szCs w:val="32"/>
          <w:highlight w:val="none"/>
          <w:lang w:val="en-US" w:eastAsia="zh-CN"/>
        </w:rPr>
        <w:t>见2024年3月21号凭证5,294.00元。见2024年7月6号凭证900.00元。</w:t>
      </w:r>
      <w:r>
        <w:rPr>
          <w:rFonts w:hint="eastAsia" w:ascii="仿宋" w:hAnsi="仿宋" w:eastAsia="仿宋" w:cs="仿宋"/>
          <w:b/>
          <w:bCs/>
          <w:sz w:val="32"/>
          <w:szCs w:val="32"/>
          <w:highlight w:val="none"/>
          <w:lang w:val="en-US" w:eastAsia="zh-CN"/>
        </w:rPr>
        <w:t>二是业务发生时间早于合同签订时间。三是装修费</w:t>
      </w:r>
      <w:r>
        <w:rPr>
          <w:rFonts w:hint="eastAsia" w:ascii="仿宋" w:hAnsi="仿宋" w:eastAsia="仿宋" w:cs="仿宋"/>
          <w:sz w:val="32"/>
          <w:szCs w:val="32"/>
          <w:highlight w:val="none"/>
          <w:lang w:val="en-US" w:eastAsia="zh-CN"/>
        </w:rPr>
        <w:t>后附国库支付单、发票、双方盖章的说明（对活动中心墙面进行整修105*32=3360元），</w:t>
      </w:r>
      <w:r>
        <w:rPr>
          <w:rFonts w:hint="eastAsia" w:ascii="仿宋" w:hAnsi="仿宋" w:eastAsia="仿宋" w:cs="仿宋"/>
          <w:b/>
          <w:bCs/>
          <w:sz w:val="32"/>
          <w:szCs w:val="32"/>
          <w:highlight w:val="none"/>
          <w:lang w:val="en-US" w:eastAsia="zh-CN"/>
        </w:rPr>
        <w:t>未拍照留证。详见2024年5月5号凭证。四是人事系统年费</w:t>
      </w:r>
      <w:r>
        <w:rPr>
          <w:rFonts w:hint="eastAsia" w:ascii="仿宋" w:hAnsi="仿宋" w:eastAsia="仿宋" w:cs="仿宋"/>
          <w:b w:val="0"/>
          <w:bCs w:val="0"/>
          <w:sz w:val="32"/>
          <w:szCs w:val="32"/>
          <w:highlight w:val="none"/>
          <w:lang w:val="en-US" w:eastAsia="zh-CN"/>
        </w:rPr>
        <w:t>后未</w:t>
      </w:r>
      <w:r>
        <w:rPr>
          <w:rFonts w:hint="eastAsia" w:ascii="仿宋" w:hAnsi="仿宋" w:eastAsia="仿宋" w:cs="仿宋"/>
          <w:sz w:val="32"/>
          <w:szCs w:val="32"/>
          <w:highlight w:val="none"/>
          <w:lang w:val="en-US" w:eastAsia="zh-CN"/>
        </w:rPr>
        <w:t>附合同及验收单，支付</w:t>
      </w:r>
      <w:r>
        <w:rPr>
          <w:rFonts w:hint="eastAsia" w:ascii="仿宋" w:hAnsi="仿宋" w:eastAsia="仿宋" w:cs="仿宋"/>
          <w:b/>
          <w:bCs/>
          <w:sz w:val="32"/>
          <w:szCs w:val="32"/>
          <w:highlight w:val="none"/>
          <w:lang w:val="en-US" w:eastAsia="zh-CN"/>
        </w:rPr>
        <w:t>2024.5.12-2026.5.12两年的服务费。</w:t>
      </w:r>
      <w:r>
        <w:rPr>
          <w:rFonts w:hint="eastAsia" w:ascii="仿宋" w:hAnsi="仿宋" w:eastAsia="仿宋" w:cs="仿宋"/>
          <w:sz w:val="32"/>
          <w:szCs w:val="32"/>
          <w:highlight w:val="none"/>
          <w:lang w:val="en-US" w:eastAsia="zh-CN"/>
        </w:rPr>
        <w:t>时间段超2024年预算。详见2024年5月13号凭证1,800.00元。</w:t>
      </w:r>
      <w:r>
        <w:rPr>
          <w:rFonts w:hint="eastAsia" w:ascii="仿宋" w:hAnsi="仿宋" w:eastAsia="仿宋" w:cs="仿宋"/>
          <w:b/>
          <w:bCs/>
          <w:color w:val="auto"/>
          <w:sz w:val="32"/>
          <w:szCs w:val="32"/>
          <w:highlight w:val="none"/>
          <w:lang w:val="en-US" w:eastAsia="zh-CN"/>
        </w:rPr>
        <w:t>五是食堂餐费</w:t>
      </w:r>
      <w:r>
        <w:rPr>
          <w:rFonts w:hint="eastAsia" w:ascii="仿宋" w:hAnsi="仿宋" w:eastAsia="仿宋" w:cs="仿宋"/>
          <w:color w:val="auto"/>
          <w:sz w:val="32"/>
          <w:szCs w:val="32"/>
          <w:highlight w:val="none"/>
          <w:lang w:val="en-US" w:eastAsia="zh-CN"/>
        </w:rPr>
        <w:t>后附国库支付单及往来结算票据，</w:t>
      </w:r>
      <w:r>
        <w:rPr>
          <w:rFonts w:hint="eastAsia" w:ascii="仿宋" w:hAnsi="仿宋" w:eastAsia="仿宋" w:cs="仿宋"/>
          <w:b/>
          <w:bCs/>
          <w:color w:val="auto"/>
          <w:sz w:val="32"/>
          <w:szCs w:val="32"/>
          <w:highlight w:val="none"/>
          <w:lang w:val="en-US" w:eastAsia="zh-CN"/>
        </w:rPr>
        <w:t>无结算依据。</w:t>
      </w:r>
    </w:p>
    <w:p w14:paraId="6C95C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4.三公经费重分类数汇总及分析</w:t>
      </w:r>
    </w:p>
    <w:p w14:paraId="4BA221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（1）区人大2024年度无因公出国（境）费。（2）区人大2024年度单位有1辆公务车，车牌号湘D-9HA95。公车运行费36,926.22元。</w:t>
      </w:r>
      <w:r>
        <w:rPr>
          <w:rFonts w:hint="eastAsia" w:ascii="仿宋" w:hAnsi="仿宋" w:eastAsia="仿宋" w:cs="仿宋"/>
          <w:b/>
          <w:bCs/>
          <w:sz w:val="32"/>
          <w:szCs w:val="32"/>
          <w:lang w:val="en-US" w:eastAsia="zh-CN"/>
        </w:rPr>
        <w:t>与交通费相关联事项：</w:t>
      </w:r>
      <w:r>
        <w:rPr>
          <w:rFonts w:hint="eastAsia" w:ascii="仿宋" w:hAnsi="仿宋" w:eastAsia="仿宋" w:cs="仿宋"/>
          <w:b w:val="0"/>
          <w:bCs w:val="0"/>
          <w:sz w:val="32"/>
          <w:szCs w:val="32"/>
          <w:lang w:val="en-US" w:eastAsia="zh-CN"/>
        </w:rPr>
        <w:t>另存在交通补贴造表发放，发放表未见人力资源部或组织部审批盖章，有本部门领导签字。（3）2024年补交97元公务接待费，在后附的项目支出-加班补助中体现。（4）</w:t>
      </w:r>
      <w:r>
        <w:rPr>
          <w:rFonts w:hint="eastAsia" w:ascii="仿宋" w:hAnsi="仿宋" w:eastAsia="仿宋" w:cs="仿宋"/>
          <w:b/>
          <w:bCs/>
          <w:sz w:val="32"/>
          <w:szCs w:val="32"/>
          <w:highlight w:val="none"/>
          <w:lang w:val="en-US" w:eastAsia="zh-CN"/>
        </w:rPr>
        <w:t>检查凭证中，我们发现：一是</w:t>
      </w:r>
      <w:r>
        <w:rPr>
          <w:rFonts w:hint="default" w:ascii="仿宋" w:hAnsi="仿宋" w:eastAsia="仿宋" w:cs="仿宋"/>
          <w:b/>
          <w:bCs/>
          <w:sz w:val="32"/>
          <w:szCs w:val="32"/>
          <w:highlight w:val="none"/>
          <w:lang w:val="en-US" w:eastAsia="zh-CN"/>
        </w:rPr>
        <w:t>安全奖</w:t>
      </w:r>
      <w:r>
        <w:rPr>
          <w:rFonts w:hint="eastAsia" w:ascii="仿宋" w:hAnsi="仿宋" w:eastAsia="仿宋" w:cs="仿宋"/>
          <w:b/>
          <w:bCs/>
          <w:sz w:val="32"/>
          <w:szCs w:val="32"/>
          <w:highlight w:val="none"/>
          <w:lang w:val="en-US" w:eastAsia="zh-CN"/>
        </w:rPr>
        <w:t>（依据</w:t>
      </w:r>
      <w:r>
        <w:rPr>
          <w:rFonts w:hint="default" w:ascii="仿宋" w:hAnsi="仿宋" w:eastAsia="仿宋" w:cs="仿宋"/>
          <w:b w:val="0"/>
          <w:bCs w:val="0"/>
          <w:sz w:val="32"/>
          <w:szCs w:val="32"/>
          <w:highlight w:val="none"/>
          <w:lang w:val="en-US" w:eastAsia="zh-CN"/>
        </w:rPr>
        <w:t>2017年6号文件</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一台车两个司机，</w:t>
      </w:r>
      <w:r>
        <w:rPr>
          <w:rFonts w:hint="default" w:ascii="仿宋" w:hAnsi="仿宋" w:eastAsia="仿宋" w:cs="仿宋"/>
          <w:b/>
          <w:bCs/>
          <w:sz w:val="32"/>
          <w:szCs w:val="32"/>
          <w:lang w:val="en-US" w:eastAsia="zh-CN"/>
        </w:rPr>
        <w:t>2023年跨期支付</w:t>
      </w:r>
      <w:r>
        <w:rPr>
          <w:rFonts w:hint="default" w:ascii="仿宋" w:hAnsi="仿宋" w:eastAsia="仿宋" w:cs="仿宋"/>
          <w:b w:val="0"/>
          <w:bCs w:val="0"/>
          <w:sz w:val="32"/>
          <w:szCs w:val="32"/>
          <w:lang w:val="en-US" w:eastAsia="zh-CN"/>
        </w:rPr>
        <w:t>。出车补助从</w:t>
      </w:r>
      <w:r>
        <w:rPr>
          <w:rFonts w:hint="default" w:ascii="仿宋" w:hAnsi="仿宋" w:eastAsia="仿宋" w:cs="仿宋"/>
          <w:b/>
          <w:bCs/>
          <w:sz w:val="32"/>
          <w:szCs w:val="32"/>
          <w:lang w:val="en-US" w:eastAsia="zh-CN"/>
        </w:rPr>
        <w:t>2020.11至2023.12月，跨期近三年。</w:t>
      </w:r>
      <w:r>
        <w:rPr>
          <w:rFonts w:hint="eastAsia" w:ascii="仿宋" w:hAnsi="仿宋" w:eastAsia="仿宋" w:cs="仿宋"/>
          <w:b/>
          <w:bCs/>
          <w:sz w:val="32"/>
          <w:szCs w:val="32"/>
          <w:lang w:val="en-US" w:eastAsia="zh-CN"/>
        </w:rPr>
        <w:t>详见2024年1月11号凭证。二是</w:t>
      </w:r>
      <w:r>
        <w:rPr>
          <w:rFonts w:hint="default" w:ascii="仿宋" w:hAnsi="仿宋" w:eastAsia="仿宋" w:cs="仿宋"/>
          <w:b/>
          <w:bCs/>
          <w:sz w:val="32"/>
          <w:szCs w:val="32"/>
          <w:lang w:val="en-US" w:eastAsia="zh-CN"/>
        </w:rPr>
        <w:t>公车费</w:t>
      </w:r>
      <w:r>
        <w:rPr>
          <w:rFonts w:hint="eastAsia" w:ascii="仿宋" w:hAnsi="仿宋" w:eastAsia="仿宋" w:cs="仿宋"/>
          <w:b/>
          <w:bCs/>
          <w:sz w:val="32"/>
          <w:szCs w:val="32"/>
          <w:lang w:val="en-US" w:eastAsia="zh-CN"/>
        </w:rPr>
        <w:t>的</w:t>
      </w:r>
      <w:r>
        <w:rPr>
          <w:rFonts w:hint="default" w:ascii="仿宋" w:hAnsi="仿宋" w:eastAsia="仿宋" w:cs="仿宋"/>
          <w:b/>
          <w:bCs/>
          <w:sz w:val="32"/>
          <w:szCs w:val="32"/>
          <w:lang w:val="en-US" w:eastAsia="zh-CN"/>
        </w:rPr>
        <w:t>2023跨期维修费</w:t>
      </w:r>
      <w:r>
        <w:rPr>
          <w:rFonts w:hint="default" w:ascii="仿宋" w:hAnsi="仿宋" w:eastAsia="仿宋" w:cs="仿宋"/>
          <w:b w:val="0"/>
          <w:bCs w:val="0"/>
          <w:sz w:val="32"/>
          <w:szCs w:val="32"/>
          <w:lang w:val="en-US" w:eastAsia="zh-CN"/>
        </w:rPr>
        <w:t>。2023年公务车维修费</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申请日为2023年3月至12月</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2024.10.28</w:t>
      </w:r>
      <w:r>
        <w:rPr>
          <w:rFonts w:hint="eastAsia" w:ascii="仿宋" w:hAnsi="仿宋" w:eastAsia="仿宋" w:cs="仿宋"/>
          <w:b w:val="0"/>
          <w:bCs w:val="0"/>
          <w:sz w:val="32"/>
          <w:szCs w:val="32"/>
          <w:lang w:val="en-US" w:eastAsia="zh-CN"/>
        </w:rPr>
        <w:t>签订</w:t>
      </w:r>
      <w:r>
        <w:rPr>
          <w:rFonts w:hint="default" w:ascii="仿宋" w:hAnsi="仿宋" w:eastAsia="仿宋" w:cs="仿宋"/>
          <w:b w:val="0"/>
          <w:bCs w:val="0"/>
          <w:sz w:val="32"/>
          <w:szCs w:val="32"/>
          <w:lang w:val="en-US" w:eastAsia="zh-CN"/>
        </w:rPr>
        <w:t>合同。</w:t>
      </w:r>
      <w:r>
        <w:rPr>
          <w:rFonts w:hint="eastAsia" w:ascii="仿宋" w:hAnsi="仿宋" w:eastAsia="仿宋" w:cs="仿宋"/>
          <w:b w:val="0"/>
          <w:bCs w:val="0"/>
          <w:sz w:val="32"/>
          <w:szCs w:val="32"/>
          <w:lang w:val="en-US" w:eastAsia="zh-CN"/>
        </w:rPr>
        <w:t>详见2024年11月3号凭证。</w:t>
      </w:r>
    </w:p>
    <w:p w14:paraId="0DCCA9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5.会议费情况汇总</w:t>
      </w:r>
    </w:p>
    <w:p w14:paraId="3BCB1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val="0"/>
          <w:bCs w:val="0"/>
          <w:sz w:val="32"/>
          <w:szCs w:val="32"/>
          <w:highlight w:val="none"/>
          <w:lang w:val="en-US" w:eastAsia="zh-CN"/>
        </w:rPr>
        <w:t>详见后附的项目支出的人大五届四次会议。</w:t>
      </w:r>
    </w:p>
    <w:p w14:paraId="4222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6.办公经费情况汇总</w:t>
      </w:r>
    </w:p>
    <w:p w14:paraId="1100C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val="0"/>
          <w:bCs w:val="0"/>
          <w:sz w:val="32"/>
          <w:szCs w:val="32"/>
          <w:lang w:val="en-US" w:eastAsia="zh-CN"/>
        </w:rPr>
        <w:t>基本支出-公用经费-办公经费重分类数268，241.80元，</w:t>
      </w:r>
      <w:r>
        <w:rPr>
          <w:rFonts w:hint="eastAsia" w:ascii="仿宋" w:hAnsi="仿宋" w:eastAsia="仿宋" w:cs="仿宋"/>
          <w:b/>
          <w:bCs/>
          <w:sz w:val="32"/>
          <w:szCs w:val="32"/>
          <w:highlight w:val="none"/>
          <w:lang w:val="en-US" w:eastAsia="zh-CN"/>
        </w:rPr>
        <w:t>一是2023跨期办公费，</w:t>
      </w:r>
      <w:r>
        <w:rPr>
          <w:rFonts w:hint="eastAsia" w:ascii="仿宋" w:hAnsi="仿宋" w:eastAsia="仿宋" w:cs="仿宋"/>
          <w:sz w:val="32"/>
          <w:szCs w:val="32"/>
          <w:highlight w:val="none"/>
          <w:lang w:val="en-US" w:eastAsia="zh-CN"/>
        </w:rPr>
        <w:t>业务发生在前，合同签订在后。合同日2024年8月13日，国库支付单标注区人大2023年办公及会议用茶。</w:t>
      </w:r>
      <w:r>
        <w:rPr>
          <w:rFonts w:hint="eastAsia" w:ascii="仿宋" w:hAnsi="仿宋" w:eastAsia="仿宋" w:cs="仿宋"/>
          <w:b/>
          <w:bCs/>
          <w:sz w:val="32"/>
          <w:szCs w:val="32"/>
          <w:highlight w:val="none"/>
          <w:lang w:val="en-US" w:eastAsia="zh-CN"/>
        </w:rPr>
        <w:t>二是办公经费-网络运营费2023跨期</w:t>
      </w:r>
      <w:r>
        <w:rPr>
          <w:rFonts w:hint="eastAsia" w:ascii="仿宋" w:hAnsi="仿宋" w:eastAsia="仿宋" w:cs="仿宋"/>
          <w:sz w:val="32"/>
          <w:szCs w:val="32"/>
          <w:highlight w:val="none"/>
          <w:lang w:val="en-US" w:eastAsia="zh-CN"/>
        </w:rPr>
        <w:t>公众号运营，后附2022年合同及说明。</w:t>
      </w:r>
      <w:r>
        <w:rPr>
          <w:rFonts w:hint="eastAsia" w:ascii="仿宋" w:hAnsi="仿宋" w:eastAsia="仿宋" w:cs="仿宋"/>
          <w:b/>
          <w:bCs/>
          <w:sz w:val="32"/>
          <w:szCs w:val="32"/>
          <w:highlight w:val="none"/>
          <w:lang w:val="en-US" w:eastAsia="zh-CN"/>
        </w:rPr>
        <w:t>三是办公经费-报刊杂志</w:t>
      </w:r>
      <w:r>
        <w:rPr>
          <w:rFonts w:hint="eastAsia" w:ascii="仿宋" w:hAnsi="仿宋" w:eastAsia="仿宋" w:cs="仿宋"/>
          <w:sz w:val="32"/>
          <w:szCs w:val="32"/>
          <w:highlight w:val="none"/>
          <w:lang w:val="en-US" w:eastAsia="zh-CN"/>
        </w:rPr>
        <w:t>未见书籍领用清单及效果反馈。</w:t>
      </w:r>
      <w:r>
        <w:rPr>
          <w:rFonts w:hint="eastAsia" w:ascii="仿宋" w:hAnsi="仿宋" w:eastAsia="仿宋" w:cs="仿宋"/>
          <w:b/>
          <w:bCs/>
          <w:sz w:val="32"/>
          <w:szCs w:val="32"/>
          <w:highlight w:val="none"/>
          <w:lang w:val="en-US" w:eastAsia="zh-CN"/>
        </w:rPr>
        <w:t>四是云软件年费跨期，</w:t>
      </w:r>
      <w:r>
        <w:rPr>
          <w:rFonts w:hint="eastAsia" w:ascii="仿宋" w:hAnsi="仿宋" w:eastAsia="仿宋" w:cs="仿宋"/>
          <w:sz w:val="32"/>
          <w:szCs w:val="32"/>
          <w:highlight w:val="none"/>
          <w:lang w:val="en-US" w:eastAsia="zh-CN"/>
        </w:rPr>
        <w:t>2025年云软件，有合同，无公章及签合同人，无验收。详见2024年12月42号凭证。</w:t>
      </w:r>
      <w:r>
        <w:rPr>
          <w:rFonts w:hint="eastAsia" w:ascii="仿宋" w:hAnsi="仿宋" w:eastAsia="仿宋" w:cs="仿宋"/>
          <w:b/>
          <w:bCs/>
          <w:sz w:val="32"/>
          <w:szCs w:val="32"/>
          <w:highlight w:val="none"/>
          <w:lang w:val="en-US" w:eastAsia="zh-CN"/>
        </w:rPr>
        <w:t>五是办公经费-网络租赁费</w:t>
      </w:r>
      <w:r>
        <w:rPr>
          <w:rFonts w:hint="eastAsia" w:ascii="仿宋" w:hAnsi="仿宋" w:eastAsia="仿宋" w:cs="仿宋"/>
          <w:sz w:val="32"/>
          <w:szCs w:val="32"/>
          <w:highlight w:val="none"/>
          <w:lang w:val="en-US" w:eastAsia="zh-CN"/>
        </w:rPr>
        <w:t>为2021.7.8-2024.7.7，三年网络租赁费</w:t>
      </w:r>
      <w:r>
        <w:rPr>
          <w:rFonts w:hint="eastAsia" w:ascii="仿宋" w:hAnsi="仿宋" w:eastAsia="仿宋" w:cs="仿宋"/>
          <w:b/>
          <w:bCs/>
          <w:sz w:val="32"/>
          <w:szCs w:val="32"/>
          <w:highlight w:val="none"/>
          <w:lang w:val="en-US" w:eastAsia="zh-CN"/>
        </w:rPr>
        <w:t>跨期，</w:t>
      </w:r>
      <w:r>
        <w:rPr>
          <w:rFonts w:hint="eastAsia" w:ascii="仿宋" w:hAnsi="仿宋" w:eastAsia="仿宋" w:cs="仿宋"/>
          <w:b w:val="0"/>
          <w:bCs w:val="0"/>
          <w:sz w:val="32"/>
          <w:szCs w:val="32"/>
          <w:highlight w:val="none"/>
          <w:lang w:val="en-US" w:eastAsia="zh-CN"/>
        </w:rPr>
        <w:t>且业</w:t>
      </w:r>
      <w:r>
        <w:rPr>
          <w:rFonts w:hint="eastAsia" w:ascii="仿宋" w:hAnsi="仿宋" w:eastAsia="仿宋" w:cs="仿宋"/>
          <w:sz w:val="32"/>
          <w:szCs w:val="32"/>
          <w:highlight w:val="none"/>
          <w:lang w:val="en-US" w:eastAsia="zh-CN"/>
        </w:rPr>
        <w:t>务执行在前。详见2024年12月56号凭证。</w:t>
      </w:r>
    </w:p>
    <w:p w14:paraId="0123C06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r>
        <w:drawing>
          <wp:inline distT="0" distB="0" distL="114300" distR="114300">
            <wp:extent cx="5743575" cy="1581150"/>
            <wp:effectExtent l="9525" t="9525" r="19050" b="9525"/>
            <wp:docPr id="28" name="图片 3"/>
            <wp:cNvGraphicFramePr/>
            <a:graphic xmlns:a="http://schemas.openxmlformats.org/drawingml/2006/main">
              <a:graphicData uri="http://schemas.openxmlformats.org/drawingml/2006/picture">
                <pic:pic xmlns:pic="http://schemas.openxmlformats.org/drawingml/2006/picture">
                  <pic:nvPicPr>
                    <pic:cNvPr id="28" name="图片 3"/>
                    <pic:cNvPicPr/>
                  </pic:nvPicPr>
                  <pic:blipFill>
                    <a:blip r:embed="rId26"/>
                  </pic:blipFill>
                  <pic:spPr>
                    <a:xfrm>
                      <a:off x="0" y="0"/>
                      <a:ext cx="5743575" cy="1581150"/>
                    </a:xfrm>
                    <a:prstGeom prst="rect">
                      <a:avLst/>
                    </a:prstGeom>
                    <a:solidFill>
                      <a:srgbClr val="FFFFFF"/>
                    </a:solidFill>
                    <a:ln w="9525">
                      <a:solidFill>
                        <a:srgbClr val="000000"/>
                      </a:solidFill>
                    </a:ln>
                  </pic:spPr>
                </pic:pic>
              </a:graphicData>
            </a:graphic>
          </wp:inline>
        </w:drawing>
      </w:r>
    </w:p>
    <w:p w14:paraId="1448D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7.新增财政性支出情况汇总</w:t>
      </w:r>
    </w:p>
    <w:p w14:paraId="1D7F4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无新增财政性支出。</w:t>
      </w:r>
    </w:p>
    <w:p w14:paraId="5FA8334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2885"/>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2"/>
    </w:p>
    <w:p w14:paraId="7107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4FB288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w:t>
      </w:r>
      <w:r>
        <w:rPr>
          <w:rFonts w:hint="eastAsia" w:ascii="仿宋" w:hAnsi="仿宋" w:eastAsia="仿宋" w:cs="仿宋"/>
          <w:b w:val="0"/>
          <w:bCs w:val="0"/>
          <w:sz w:val="32"/>
          <w:szCs w:val="32"/>
          <w:highlight w:val="none"/>
          <w:lang w:val="en-US" w:eastAsia="zh-CN"/>
        </w:rPr>
        <w:t>部门在预算管理方面建立的制度：雁峰区人大常委会党组理论学习中心组学习制度、雁峰区人大常委会机关党支部学习制度、雁峰区人大常委会机关干部学习制度、雁峰区人大常委会机关办会工作制度、雁峰区人大常委会机关公文处理办法、雁峰区人大常委会机关保密工作制度、雁峰区人大常委会机关档案管理制度、雁峰区人大常委会机关印章、介绍信管理制度、雁峰区人大常委会机关工作人员考勤与请休假制度、雁峰区人大常委会机关财务管理制度、雁峰区人大常委会机关公务接待管理制度、雁峰区人大常委会机关会议室使用管理制度、雁峰区人大常委会机关资产(物品)管理制度、雁峰区人大常委会机关党风廉政建设制度、雁峰区人大常委会机关文明卫生管理制度、雁峰区人大常委会机关工会管理办法、雁峰区人大常委会机关公务车辆管理使用规定。</w:t>
      </w:r>
      <w:r>
        <w:rPr>
          <w:rFonts w:hint="eastAsia" w:ascii="仿宋" w:hAnsi="仿宋" w:eastAsia="仿宋" w:cs="仿宋"/>
          <w:b/>
          <w:bCs/>
          <w:sz w:val="32"/>
          <w:szCs w:val="32"/>
          <w:highlight w:val="none"/>
          <w:lang w:val="en-US" w:eastAsia="zh-CN"/>
        </w:rPr>
        <w:t>未提供其他管理制度，如：预算管理制度，内部控制制度，政府采购管理制度，合同管理制度，专项资金管理办法，绩效管理制度，信息化管理制度，决算与财务报告制度，监督与审计制度，工会管理制度等。</w:t>
      </w:r>
    </w:p>
    <w:p w14:paraId="5B140CF2">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60BB84EB">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b w:val="0"/>
          <w:bCs w:val="0"/>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衡阳市雁峰区政府网上可以查到区人大的预算公开信息。</w:t>
      </w:r>
    </w:p>
    <w:p w14:paraId="74AE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5771D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（1）制度健全性</w:t>
      </w:r>
      <w:r>
        <w:rPr>
          <w:rFonts w:hint="eastAsia" w:ascii="仿宋" w:hAnsi="仿宋" w:eastAsia="仿宋" w:cs="仿宋"/>
          <w:b w:val="0"/>
          <w:bCs w:val="0"/>
          <w:sz w:val="32"/>
          <w:szCs w:val="32"/>
          <w:highlight w:val="none"/>
          <w:lang w:val="en-US" w:eastAsia="zh-CN"/>
        </w:rPr>
        <w:t>：财务管理制度未覆盖预算编制、调整、核算等关键环节，部分制度缺失。</w:t>
      </w:r>
    </w:p>
    <w:p w14:paraId="02209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highlight w:val="none"/>
          <w:lang w:val="en-US" w:eastAsia="zh-CN"/>
        </w:rPr>
        <w:t>按照财务管理制度基本有效执行。存在不足之处详见整体支出汇总及分析。</w:t>
      </w:r>
    </w:p>
    <w:p w14:paraId="1100C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3F308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234E2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（5）管理规范性：未提供预算调整批复文件。存在人员经费挤占公用经费的情况</w:t>
      </w:r>
      <w:r>
        <w:rPr>
          <w:rFonts w:hint="eastAsia" w:ascii="仿宋" w:hAnsi="仿宋" w:eastAsia="仿宋" w:cs="仿宋"/>
          <w:b w:val="0"/>
          <w:bCs w:val="0"/>
          <w:sz w:val="32"/>
          <w:szCs w:val="32"/>
          <w:highlight w:val="none"/>
          <w:lang w:val="en-US" w:eastAsia="zh-CN"/>
        </w:rPr>
        <w:t>。详见整体支出汇总及分析。</w:t>
      </w:r>
    </w:p>
    <w:p w14:paraId="2F3BF7F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3" w:name="_Toc4228"/>
      <w:r>
        <w:rPr>
          <w:rFonts w:hint="eastAsia" w:ascii="楷体" w:hAnsi="楷体" w:eastAsia="楷体" w:cs="楷体"/>
          <w:b/>
          <w:bCs/>
          <w:sz w:val="32"/>
          <w:szCs w:val="32"/>
          <w:lang w:val="en-US" w:eastAsia="zh-CN"/>
        </w:rPr>
        <w:t>工资管理情况及分析</w:t>
      </w:r>
      <w:bookmarkEnd w:id="33"/>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4464CC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84"/>
          <w:szCs w:val="84"/>
          <w:lang w:val="en-US" w:eastAsia="zh-CN"/>
        </w:rPr>
      </w:pPr>
      <w:r>
        <w:rPr>
          <w:rFonts w:hint="eastAsia" w:ascii="仿宋" w:hAnsi="仿宋" w:eastAsia="仿宋" w:cs="仿宋"/>
          <w:b/>
          <w:bCs/>
          <w:sz w:val="32"/>
          <w:szCs w:val="32"/>
          <w:lang w:val="en-US" w:eastAsia="zh-CN"/>
        </w:rPr>
        <w:t>2.检查凭证过程，发现存在以下情况：一是</w:t>
      </w:r>
      <w:r>
        <w:rPr>
          <w:rFonts w:hint="default" w:ascii="仿宋" w:hAnsi="仿宋" w:eastAsia="仿宋" w:cs="仿宋"/>
          <w:b/>
          <w:bCs/>
          <w:sz w:val="32"/>
          <w:szCs w:val="32"/>
          <w:lang w:val="en-US" w:eastAsia="zh-CN"/>
        </w:rPr>
        <w:t>统发工资后附国库支付单，无工资明细，无回单，无审批。</w:t>
      </w:r>
      <w:r>
        <w:rPr>
          <w:rFonts w:hint="eastAsia" w:ascii="仿宋" w:hAnsi="仿宋" w:eastAsia="仿宋" w:cs="仿宋"/>
          <w:b/>
          <w:bCs/>
          <w:sz w:val="32"/>
          <w:szCs w:val="32"/>
          <w:lang w:val="en-US" w:eastAsia="zh-CN"/>
        </w:rPr>
        <w:t>二是</w:t>
      </w:r>
      <w:r>
        <w:rPr>
          <w:rFonts w:hint="default" w:ascii="仿宋" w:hAnsi="仿宋" w:eastAsia="仿宋" w:cs="仿宋"/>
          <w:b/>
          <w:bCs/>
          <w:sz w:val="32"/>
          <w:szCs w:val="32"/>
          <w:lang w:val="en-US" w:eastAsia="zh-CN"/>
        </w:rPr>
        <w:t>后附计提五险一金表无本单位领导及人力资源审批签字。</w:t>
      </w:r>
      <w:r>
        <w:rPr>
          <w:rFonts w:hint="eastAsia" w:ascii="仿宋" w:hAnsi="仿宋" w:eastAsia="仿宋" w:cs="仿宋"/>
          <w:b/>
          <w:bCs/>
          <w:sz w:val="32"/>
          <w:szCs w:val="32"/>
          <w:lang w:val="en-US" w:eastAsia="zh-CN"/>
        </w:rPr>
        <w:t>三是</w:t>
      </w:r>
      <w:r>
        <w:rPr>
          <w:rFonts w:hint="default" w:ascii="仿宋" w:hAnsi="仿宋" w:eastAsia="仿宋" w:cs="仿宋"/>
          <w:b/>
          <w:bCs/>
          <w:sz w:val="32"/>
          <w:szCs w:val="32"/>
          <w:lang w:val="en-US" w:eastAsia="zh-CN"/>
        </w:rPr>
        <w:t>住房公积</w:t>
      </w:r>
      <w:r>
        <w:rPr>
          <w:rFonts w:hint="eastAsia" w:ascii="仿宋" w:hAnsi="仿宋" w:eastAsia="仿宋" w:cs="仿宋"/>
          <w:b/>
          <w:bCs/>
          <w:sz w:val="32"/>
          <w:szCs w:val="32"/>
          <w:lang w:val="en-US" w:eastAsia="zh-CN"/>
        </w:rPr>
        <w:t>及</w:t>
      </w:r>
      <w:r>
        <w:rPr>
          <w:rFonts w:hint="default" w:ascii="仿宋" w:hAnsi="仿宋" w:eastAsia="仿宋" w:cs="仿宋"/>
          <w:b/>
          <w:bCs/>
          <w:sz w:val="32"/>
          <w:szCs w:val="32"/>
          <w:lang w:val="en-US" w:eastAsia="zh-CN"/>
        </w:rPr>
        <w:t>交通补贴</w:t>
      </w:r>
      <w:r>
        <w:rPr>
          <w:rFonts w:hint="eastAsia" w:ascii="仿宋" w:hAnsi="仿宋" w:eastAsia="仿宋" w:cs="仿宋"/>
          <w:b/>
          <w:bCs/>
          <w:sz w:val="32"/>
          <w:szCs w:val="32"/>
          <w:lang w:val="en-US" w:eastAsia="zh-CN"/>
        </w:rPr>
        <w:t>津贴</w:t>
      </w:r>
      <w:r>
        <w:rPr>
          <w:rFonts w:hint="default" w:ascii="仿宋" w:hAnsi="仿宋" w:eastAsia="仿宋" w:cs="仿宋"/>
          <w:b/>
          <w:bCs/>
          <w:sz w:val="32"/>
          <w:szCs w:val="32"/>
          <w:lang w:val="en-US" w:eastAsia="zh-CN"/>
        </w:rPr>
        <w:t>缺乏人力资源或组织部门的审核盖章。由本单位领导签字，无人力资源</w:t>
      </w:r>
      <w:r>
        <w:rPr>
          <w:rFonts w:hint="eastAsia" w:ascii="仿宋" w:hAnsi="仿宋" w:eastAsia="仿宋" w:cs="仿宋"/>
          <w:b/>
          <w:bCs/>
          <w:sz w:val="32"/>
          <w:szCs w:val="32"/>
          <w:lang w:val="en-US" w:eastAsia="zh-CN"/>
        </w:rPr>
        <w:t>或组织部</w:t>
      </w:r>
      <w:r>
        <w:rPr>
          <w:rFonts w:hint="default" w:ascii="仿宋" w:hAnsi="仿宋" w:eastAsia="仿宋" w:cs="仿宋"/>
          <w:b/>
          <w:bCs/>
          <w:sz w:val="32"/>
          <w:szCs w:val="32"/>
          <w:lang w:val="en-US" w:eastAsia="zh-CN"/>
        </w:rPr>
        <w:t>审核。</w:t>
      </w:r>
      <w:r>
        <w:rPr>
          <w:rFonts w:hint="eastAsia" w:ascii="仿宋" w:hAnsi="仿宋" w:eastAsia="仿宋" w:cs="仿宋"/>
          <w:b/>
          <w:bCs/>
          <w:sz w:val="32"/>
          <w:szCs w:val="32"/>
          <w:lang w:val="en-US" w:eastAsia="zh-CN"/>
        </w:rPr>
        <w:t>四是</w:t>
      </w:r>
      <w:r>
        <w:rPr>
          <w:rFonts w:hint="default" w:ascii="仿宋" w:hAnsi="仿宋" w:eastAsia="仿宋" w:cs="仿宋"/>
          <w:b/>
          <w:bCs/>
          <w:sz w:val="32"/>
          <w:szCs w:val="32"/>
          <w:lang w:val="en-US" w:eastAsia="zh-CN"/>
        </w:rPr>
        <w:t>发放退休人员补贴由本单位领导签字，无人力资源审核。跨期支付</w:t>
      </w:r>
      <w:r>
        <w:rPr>
          <w:rFonts w:hint="eastAsia" w:ascii="仿宋" w:hAnsi="仿宋" w:eastAsia="仿宋" w:cs="仿宋"/>
          <w:b/>
          <w:bCs/>
          <w:sz w:val="32"/>
          <w:szCs w:val="32"/>
          <w:lang w:val="en-US" w:eastAsia="zh-CN"/>
        </w:rPr>
        <w:t>2023年</w:t>
      </w:r>
      <w:r>
        <w:rPr>
          <w:rFonts w:hint="default" w:ascii="仿宋" w:hAnsi="仿宋" w:eastAsia="仿宋" w:cs="仿宋"/>
          <w:b/>
          <w:bCs/>
          <w:sz w:val="32"/>
          <w:szCs w:val="32"/>
          <w:lang w:val="en-US" w:eastAsia="zh-CN"/>
        </w:rPr>
        <w:t>退休人员独生子女费，</w:t>
      </w:r>
      <w:r>
        <w:rPr>
          <w:rFonts w:hint="default" w:ascii="仿宋" w:hAnsi="仿宋" w:eastAsia="仿宋" w:cs="仿宋"/>
          <w:b/>
          <w:bCs/>
          <w:sz w:val="32"/>
          <w:szCs w:val="32"/>
          <w:highlight w:val="none"/>
          <w:lang w:val="en-US" w:eastAsia="zh-CN"/>
        </w:rPr>
        <w:t>报退休人员名单9人，该笔支出退休人员14人</w:t>
      </w:r>
      <w:r>
        <w:rPr>
          <w:rFonts w:hint="eastAsia" w:ascii="仿宋" w:hAnsi="仿宋" w:eastAsia="仿宋" w:cs="仿宋"/>
          <w:b/>
          <w:bCs/>
          <w:sz w:val="32"/>
          <w:szCs w:val="32"/>
          <w:highlight w:val="none"/>
          <w:lang w:val="en-US" w:eastAsia="zh-CN"/>
        </w:rPr>
        <w:t>，原因为其他5人为处级干部，仅独生子女费在区人大发放，工资及其他福利在老干局发放。详见2024年1月1</w:t>
      </w:r>
      <w:r>
        <w:rPr>
          <w:rFonts w:hint="eastAsia" w:ascii="仿宋" w:hAnsi="仿宋" w:eastAsia="仿宋" w:cs="仿宋"/>
          <w:b/>
          <w:bCs/>
          <w:sz w:val="32"/>
          <w:szCs w:val="32"/>
          <w:lang w:val="en-US" w:eastAsia="zh-CN"/>
        </w:rPr>
        <w:t>0号凭证。</w:t>
      </w:r>
    </w:p>
    <w:p w14:paraId="11FF4B9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4" w:name="_Toc4374"/>
      <w:r>
        <w:rPr>
          <w:rFonts w:hint="eastAsia" w:ascii="楷体" w:hAnsi="楷体" w:eastAsia="楷体" w:cs="楷体"/>
          <w:b/>
          <w:bCs/>
          <w:sz w:val="32"/>
          <w:szCs w:val="32"/>
          <w:lang w:val="en-US" w:eastAsia="zh-CN"/>
        </w:rPr>
        <w:t>项目支出管理情况及分析</w:t>
      </w:r>
      <w:bookmarkEnd w:id="34"/>
    </w:p>
    <w:p w14:paraId="46964CD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区人大未提供项目管理制度，未提供政府采购管理制度。</w:t>
      </w:r>
    </w:p>
    <w:p w14:paraId="7DBF44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1.项目支出内容</w:t>
      </w:r>
      <w:r>
        <w:rPr>
          <w:rFonts w:hint="eastAsia" w:ascii="仿宋" w:hAnsi="仿宋" w:eastAsia="仿宋" w:cs="仿宋"/>
          <w:sz w:val="32"/>
          <w:szCs w:val="32"/>
          <w:lang w:val="en-US" w:eastAsia="zh-CN"/>
        </w:rPr>
        <w:t>包括加班餐费、编著费、宣传费、其他单位、文明创建、误工费、两优评选经费、履职费发放及下拨、履职交通费、履职培训费、联络站运行经费、民主工作经费、市委人大工作费、人大五届四次会议、为民服务费等。</w:t>
      </w:r>
    </w:p>
    <w:p w14:paraId="35F0601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outlineLvl w:val="9"/>
        <w:rPr>
          <w:rFonts w:hint="default" w:ascii="仿宋" w:hAnsi="仿宋" w:eastAsia="仿宋" w:cs="仿宋"/>
          <w:sz w:val="32"/>
          <w:szCs w:val="32"/>
          <w:lang w:val="en-US" w:eastAsia="zh-CN"/>
        </w:rPr>
      </w:pPr>
      <w:r>
        <w:drawing>
          <wp:inline distT="0" distB="0" distL="114300" distR="114300">
            <wp:extent cx="4933950" cy="3124200"/>
            <wp:effectExtent l="9525" t="9525" r="9525" b="9525"/>
            <wp:docPr id="29" name="图片 2"/>
            <wp:cNvGraphicFramePr/>
            <a:graphic xmlns:a="http://schemas.openxmlformats.org/drawingml/2006/main">
              <a:graphicData uri="http://schemas.openxmlformats.org/drawingml/2006/picture">
                <pic:pic xmlns:pic="http://schemas.openxmlformats.org/drawingml/2006/picture">
                  <pic:nvPicPr>
                    <pic:cNvPr id="29" name="图片 2"/>
                    <pic:cNvPicPr/>
                  </pic:nvPicPr>
                  <pic:blipFill>
                    <a:blip r:embed="rId27"/>
                  </pic:blipFill>
                  <pic:spPr>
                    <a:xfrm>
                      <a:off x="0" y="0"/>
                      <a:ext cx="4933950" cy="3124200"/>
                    </a:xfrm>
                    <a:prstGeom prst="rect">
                      <a:avLst/>
                    </a:prstGeom>
                    <a:solidFill>
                      <a:srgbClr val="FFFFFF"/>
                    </a:solidFill>
                    <a:ln w="9525">
                      <a:solidFill>
                        <a:srgbClr val="000000"/>
                      </a:solidFill>
                    </a:ln>
                  </pic:spPr>
                </pic:pic>
              </a:graphicData>
            </a:graphic>
          </wp:inline>
        </w:drawing>
      </w:r>
    </w:p>
    <w:p w14:paraId="46104C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2.检查凭证信息，存在以下情况：一是文明创建经费</w:t>
      </w:r>
      <w:r>
        <w:rPr>
          <w:rFonts w:hint="eastAsia" w:ascii="仿宋" w:hAnsi="仿宋" w:eastAsia="仿宋" w:cs="仿宋"/>
          <w:b w:val="0"/>
          <w:bCs w:val="0"/>
          <w:sz w:val="32"/>
          <w:szCs w:val="32"/>
          <w:lang w:val="en-US" w:eastAsia="zh-CN"/>
        </w:rPr>
        <w:t>后附国库支付单，单笔支出2万元，</w:t>
      </w:r>
      <w:r>
        <w:rPr>
          <w:rFonts w:hint="eastAsia" w:ascii="仿宋" w:hAnsi="仿宋" w:eastAsia="仿宋" w:cs="仿宋"/>
          <w:b/>
          <w:bCs/>
          <w:sz w:val="32"/>
          <w:szCs w:val="32"/>
          <w:lang w:val="en-US" w:eastAsia="zh-CN"/>
        </w:rPr>
        <w:t>未见会议纪要及文件，未见项目工作总结及效果。</w:t>
      </w:r>
      <w:r>
        <w:rPr>
          <w:rFonts w:hint="eastAsia" w:ascii="仿宋" w:hAnsi="仿宋" w:eastAsia="仿宋" w:cs="仿宋"/>
          <w:b w:val="0"/>
          <w:bCs w:val="0"/>
          <w:sz w:val="32"/>
          <w:szCs w:val="32"/>
          <w:lang w:val="en-US" w:eastAsia="zh-CN"/>
        </w:rPr>
        <w:t>详见2024年1月9号凭证。</w:t>
      </w:r>
      <w:r>
        <w:rPr>
          <w:rFonts w:hint="eastAsia" w:ascii="仿宋" w:hAnsi="仿宋" w:eastAsia="仿宋" w:cs="仿宋"/>
          <w:b/>
          <w:bCs/>
          <w:sz w:val="32"/>
          <w:szCs w:val="32"/>
          <w:lang w:val="en-US" w:eastAsia="zh-CN"/>
        </w:rPr>
        <w:t>二是采购合同与验收合同同一天签订。三是加班餐费</w:t>
      </w:r>
      <w:r>
        <w:rPr>
          <w:rFonts w:hint="eastAsia" w:ascii="仿宋" w:hAnsi="仿宋" w:eastAsia="仿宋" w:cs="仿宋"/>
          <w:b w:val="0"/>
          <w:bCs w:val="0"/>
          <w:sz w:val="32"/>
          <w:szCs w:val="32"/>
          <w:lang w:val="en-US" w:eastAsia="zh-CN"/>
        </w:rPr>
        <w:t>超标25元（配送费），6*40=240，审批结果240元，实际报销265元。</w:t>
      </w:r>
      <w:r>
        <w:rPr>
          <w:rFonts w:hint="eastAsia" w:ascii="仿宋" w:hAnsi="仿宋" w:eastAsia="仿宋" w:cs="仿宋"/>
          <w:b/>
          <w:bCs/>
          <w:sz w:val="32"/>
          <w:szCs w:val="32"/>
          <w:lang w:val="en-US" w:eastAsia="zh-CN"/>
        </w:rPr>
        <w:t>四是验收单无人签字签收，无公章，无日期。</w:t>
      </w:r>
      <w:r>
        <w:rPr>
          <w:rFonts w:hint="eastAsia" w:ascii="仿宋" w:hAnsi="仿宋" w:eastAsia="仿宋" w:cs="仿宋"/>
          <w:b w:val="0"/>
          <w:bCs w:val="0"/>
          <w:sz w:val="32"/>
          <w:szCs w:val="32"/>
          <w:lang w:val="en-US" w:eastAsia="zh-CN"/>
        </w:rPr>
        <w:t>详见2024年12月29号凭证。</w:t>
      </w:r>
      <w:r>
        <w:rPr>
          <w:rFonts w:hint="eastAsia" w:ascii="仿宋" w:hAnsi="仿宋" w:eastAsia="仿宋" w:cs="仿宋"/>
          <w:b/>
          <w:bCs/>
          <w:sz w:val="32"/>
          <w:szCs w:val="32"/>
          <w:lang w:val="en-US" w:eastAsia="zh-CN"/>
        </w:rPr>
        <w:t>五是人大五届四次会议</w:t>
      </w:r>
      <w:r>
        <w:rPr>
          <w:rFonts w:hint="eastAsia" w:ascii="仿宋" w:hAnsi="仿宋" w:eastAsia="仿宋" w:cs="仿宋"/>
          <w:b w:val="0"/>
          <w:bCs w:val="0"/>
          <w:sz w:val="32"/>
          <w:szCs w:val="32"/>
          <w:lang w:val="en-US" w:eastAsia="zh-CN"/>
        </w:rPr>
        <w:t>后附合同及验收单，验收单盖了办公章，</w:t>
      </w:r>
      <w:r>
        <w:rPr>
          <w:rFonts w:hint="eastAsia" w:ascii="仿宋" w:hAnsi="仿宋" w:eastAsia="仿宋" w:cs="仿宋"/>
          <w:b/>
          <w:bCs/>
          <w:sz w:val="32"/>
          <w:szCs w:val="32"/>
          <w:lang w:val="en-US" w:eastAsia="zh-CN"/>
        </w:rPr>
        <w:t>但无验收人签字</w:t>
      </w:r>
      <w:r>
        <w:rPr>
          <w:rFonts w:hint="eastAsia" w:ascii="仿宋" w:hAnsi="仿宋" w:eastAsia="仿宋" w:cs="仿宋"/>
          <w:b w:val="0"/>
          <w:bCs w:val="0"/>
          <w:sz w:val="32"/>
          <w:szCs w:val="32"/>
          <w:lang w:val="en-US" w:eastAsia="zh-CN"/>
        </w:rPr>
        <w:t>，后附清单数量及品种，但无签字盖章。详见2024年1月3号凭证。人大五届四次会议2024年1月24日合同，验收单仅公章与验收人签字，</w:t>
      </w:r>
      <w:r>
        <w:rPr>
          <w:rFonts w:hint="eastAsia" w:ascii="仿宋" w:hAnsi="仿宋" w:eastAsia="仿宋" w:cs="仿宋"/>
          <w:b/>
          <w:bCs/>
          <w:sz w:val="32"/>
          <w:szCs w:val="32"/>
          <w:lang w:val="en-US" w:eastAsia="zh-CN"/>
        </w:rPr>
        <w:t>无验收意见。</w:t>
      </w:r>
      <w:r>
        <w:rPr>
          <w:rFonts w:hint="eastAsia" w:ascii="仿宋" w:hAnsi="仿宋" w:eastAsia="仿宋" w:cs="仿宋"/>
          <w:b w:val="0"/>
          <w:bCs w:val="0"/>
          <w:sz w:val="32"/>
          <w:szCs w:val="32"/>
          <w:lang w:val="en-US" w:eastAsia="zh-CN"/>
        </w:rPr>
        <w:t>详见2024年2月5号凭证。人大五届四次会议后附验收单仅供应商盖单，</w:t>
      </w:r>
      <w:r>
        <w:rPr>
          <w:rFonts w:hint="eastAsia" w:ascii="仿宋" w:hAnsi="仿宋" w:eastAsia="仿宋" w:cs="仿宋"/>
          <w:b/>
          <w:bCs/>
          <w:sz w:val="32"/>
          <w:szCs w:val="32"/>
          <w:lang w:val="en-US" w:eastAsia="zh-CN"/>
        </w:rPr>
        <w:t>无区人大盖章及验收人签字及无验收意见。</w:t>
      </w:r>
      <w:r>
        <w:rPr>
          <w:rFonts w:hint="eastAsia" w:ascii="仿宋" w:hAnsi="仿宋" w:eastAsia="仿宋" w:cs="仿宋"/>
          <w:b w:val="0"/>
          <w:bCs w:val="0"/>
          <w:sz w:val="32"/>
          <w:szCs w:val="32"/>
          <w:lang w:val="en-US" w:eastAsia="zh-CN"/>
        </w:rPr>
        <w:t>详见2024年3月14号凭证。</w:t>
      </w:r>
      <w:r>
        <w:rPr>
          <w:rFonts w:hint="eastAsia" w:ascii="仿宋" w:hAnsi="仿宋" w:eastAsia="仿宋" w:cs="仿宋"/>
          <w:b/>
          <w:bCs/>
          <w:sz w:val="32"/>
          <w:szCs w:val="32"/>
          <w:lang w:val="en-US" w:eastAsia="zh-CN"/>
        </w:rPr>
        <w:t>六是为民服务费</w:t>
      </w:r>
      <w:r>
        <w:rPr>
          <w:rFonts w:hint="eastAsia" w:ascii="仿宋" w:hAnsi="仿宋" w:eastAsia="仿宋" w:cs="仿宋"/>
          <w:b w:val="0"/>
          <w:bCs w:val="0"/>
          <w:sz w:val="32"/>
          <w:szCs w:val="32"/>
          <w:lang w:val="en-US" w:eastAsia="zh-CN"/>
        </w:rPr>
        <w:t>后附国库支付单，发票，合同，340*55=18700，</w:t>
      </w:r>
      <w:r>
        <w:rPr>
          <w:rFonts w:hint="eastAsia" w:ascii="仿宋" w:hAnsi="仿宋" w:eastAsia="仿宋" w:cs="仿宋"/>
          <w:b/>
          <w:bCs/>
          <w:sz w:val="32"/>
          <w:szCs w:val="32"/>
          <w:lang w:val="en-US" w:eastAsia="zh-CN"/>
        </w:rPr>
        <w:t>未附文化衫发放清单及产生效益。</w:t>
      </w:r>
      <w:r>
        <w:rPr>
          <w:rFonts w:hint="eastAsia" w:ascii="仿宋" w:hAnsi="仿宋" w:eastAsia="仿宋" w:cs="仿宋"/>
          <w:b w:val="0"/>
          <w:bCs w:val="0"/>
          <w:sz w:val="32"/>
          <w:szCs w:val="32"/>
          <w:lang w:val="en-US" w:eastAsia="zh-CN"/>
        </w:rPr>
        <w:t>详见2024年7月5号凭证。</w:t>
      </w:r>
      <w:r>
        <w:rPr>
          <w:rFonts w:hint="eastAsia" w:ascii="仿宋" w:hAnsi="仿宋" w:eastAsia="仿宋" w:cs="仿宋"/>
          <w:b/>
          <w:bCs/>
          <w:sz w:val="32"/>
          <w:szCs w:val="32"/>
          <w:lang w:val="en-US" w:eastAsia="zh-CN"/>
        </w:rPr>
        <w:t>七是联络站运行经费</w:t>
      </w:r>
      <w:r>
        <w:rPr>
          <w:rFonts w:hint="eastAsia" w:ascii="仿宋" w:hAnsi="仿宋" w:eastAsia="仿宋" w:cs="仿宋"/>
          <w:b w:val="0"/>
          <w:bCs w:val="0"/>
          <w:sz w:val="32"/>
          <w:szCs w:val="32"/>
          <w:lang w:val="en-US" w:eastAsia="zh-CN"/>
        </w:rPr>
        <w:t>后附往来收据，明细表，通知，管理办法，</w:t>
      </w:r>
      <w:r>
        <w:rPr>
          <w:rFonts w:hint="eastAsia" w:ascii="仿宋" w:hAnsi="仿宋" w:eastAsia="仿宋" w:cs="仿宋"/>
          <w:b/>
          <w:bCs/>
          <w:sz w:val="32"/>
          <w:szCs w:val="32"/>
          <w:lang w:val="en-US" w:eastAsia="zh-CN"/>
        </w:rPr>
        <w:t>未根据管理办法在第二年初提供资金使用情况汇总及效果。</w:t>
      </w:r>
      <w:r>
        <w:rPr>
          <w:rFonts w:hint="eastAsia" w:ascii="仿宋" w:hAnsi="仿宋" w:eastAsia="仿宋" w:cs="仿宋"/>
          <w:b w:val="0"/>
          <w:bCs w:val="0"/>
          <w:sz w:val="32"/>
          <w:szCs w:val="32"/>
          <w:lang w:val="en-US" w:eastAsia="zh-CN"/>
        </w:rPr>
        <w:t>详见2024年9月17号至22号，11月69号至71号。</w:t>
      </w:r>
      <w:r>
        <w:rPr>
          <w:rFonts w:hint="eastAsia" w:ascii="仿宋" w:hAnsi="仿宋" w:eastAsia="仿宋" w:cs="仿宋"/>
          <w:b/>
          <w:bCs/>
          <w:sz w:val="32"/>
          <w:szCs w:val="32"/>
          <w:lang w:val="en-US" w:eastAsia="zh-CN"/>
        </w:rPr>
        <w:t>八是履职费发放</w:t>
      </w:r>
      <w:r>
        <w:rPr>
          <w:rFonts w:hint="eastAsia" w:ascii="仿宋" w:hAnsi="仿宋" w:eastAsia="仿宋" w:cs="仿宋"/>
          <w:b w:val="0"/>
          <w:bCs w:val="0"/>
          <w:sz w:val="32"/>
          <w:szCs w:val="32"/>
          <w:lang w:val="en-US" w:eastAsia="zh-CN"/>
        </w:rPr>
        <w:t>及下拨后附人大代表活动经费通知，国库支付单，与街道往来收据，</w:t>
      </w:r>
      <w:r>
        <w:rPr>
          <w:rFonts w:hint="eastAsia" w:ascii="仿宋" w:hAnsi="仿宋" w:eastAsia="仿宋" w:cs="仿宋"/>
          <w:b/>
          <w:bCs/>
          <w:sz w:val="32"/>
          <w:szCs w:val="32"/>
          <w:lang w:val="en-US" w:eastAsia="zh-CN"/>
        </w:rPr>
        <w:t>未提供经费使用情况及效果。</w:t>
      </w:r>
      <w:r>
        <w:rPr>
          <w:rFonts w:hint="eastAsia" w:ascii="仿宋" w:hAnsi="仿宋" w:eastAsia="仿宋" w:cs="仿宋"/>
          <w:b w:val="0"/>
          <w:bCs w:val="0"/>
          <w:sz w:val="32"/>
          <w:szCs w:val="32"/>
          <w:lang w:val="en-US" w:eastAsia="zh-CN"/>
        </w:rPr>
        <w:t>详见2024年11月72号至77号凭证。</w:t>
      </w:r>
      <w:r>
        <w:rPr>
          <w:rFonts w:hint="eastAsia" w:ascii="仿宋" w:hAnsi="仿宋" w:eastAsia="仿宋" w:cs="仿宋"/>
          <w:b/>
          <w:bCs/>
          <w:sz w:val="32"/>
          <w:szCs w:val="32"/>
          <w:lang w:val="en-US" w:eastAsia="zh-CN"/>
        </w:rPr>
        <w:t>九是民主工作经费</w:t>
      </w:r>
      <w:r>
        <w:rPr>
          <w:rFonts w:hint="eastAsia" w:ascii="仿宋" w:hAnsi="仿宋" w:eastAsia="仿宋" w:cs="仿宋"/>
          <w:b w:val="0"/>
          <w:bCs w:val="0"/>
          <w:sz w:val="32"/>
          <w:szCs w:val="32"/>
          <w:lang w:val="en-US" w:eastAsia="zh-CN"/>
        </w:rPr>
        <w:t>后附国库支付单，往来收据。</w:t>
      </w:r>
      <w:r>
        <w:rPr>
          <w:rFonts w:hint="eastAsia" w:ascii="仿宋" w:hAnsi="仿宋" w:eastAsia="仿宋" w:cs="仿宋"/>
          <w:b/>
          <w:bCs/>
          <w:sz w:val="32"/>
          <w:szCs w:val="32"/>
          <w:lang w:val="en-US" w:eastAsia="zh-CN"/>
        </w:rPr>
        <w:t>无使用情况汇总及效果总结。</w:t>
      </w:r>
      <w:r>
        <w:rPr>
          <w:rFonts w:hint="eastAsia" w:ascii="仿宋" w:hAnsi="仿宋" w:eastAsia="仿宋" w:cs="仿宋"/>
          <w:b w:val="0"/>
          <w:bCs w:val="0"/>
          <w:sz w:val="32"/>
          <w:szCs w:val="32"/>
          <w:lang w:val="en-US" w:eastAsia="zh-CN"/>
        </w:rPr>
        <w:t>详见2024年12月47号、49号、50号。</w:t>
      </w:r>
    </w:p>
    <w:p w14:paraId="568AA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3.项目支出取得效益</w:t>
      </w:r>
    </w:p>
    <w:p w14:paraId="13285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val="0"/>
          <w:bCs w:val="0"/>
          <w:sz w:val="32"/>
          <w:szCs w:val="32"/>
          <w:highlight w:val="none"/>
          <w:lang w:val="en-US" w:eastAsia="zh-CN"/>
        </w:rPr>
        <w:t>一是项目支出</w:t>
      </w:r>
      <w:r>
        <w:rPr>
          <w:rFonts w:hint="eastAsia" w:ascii="仿宋" w:hAnsi="仿宋" w:eastAsia="仿宋" w:cs="仿宋"/>
          <w:b/>
          <w:bCs/>
          <w:sz w:val="32"/>
          <w:szCs w:val="32"/>
          <w:highlight w:val="none"/>
          <w:lang w:val="en-US" w:eastAsia="zh-CN"/>
        </w:rPr>
        <w:t>文明创建经费</w:t>
      </w:r>
      <w:r>
        <w:rPr>
          <w:rFonts w:hint="eastAsia" w:ascii="仿宋" w:hAnsi="仿宋" w:eastAsia="仿宋" w:cs="仿宋"/>
          <w:b w:val="0"/>
          <w:bCs w:val="0"/>
          <w:sz w:val="32"/>
          <w:szCs w:val="32"/>
          <w:highlight w:val="none"/>
          <w:lang w:val="en-US" w:eastAsia="zh-CN"/>
        </w:rPr>
        <w:t>在解决“停车难、路面破、街面旧、屋面漏”及挖掘打造文旅景点方面取得了</w:t>
      </w:r>
      <w:r>
        <w:rPr>
          <w:rFonts w:hint="eastAsia" w:ascii="仿宋" w:hAnsi="仿宋" w:eastAsia="仿宋" w:cs="仿宋"/>
          <w:b/>
          <w:bCs/>
          <w:sz w:val="32"/>
          <w:szCs w:val="32"/>
          <w:highlight w:val="none"/>
          <w:lang w:val="en-US" w:eastAsia="zh-CN"/>
        </w:rPr>
        <w:t>城市更新与文旅融合</w:t>
      </w:r>
      <w:r>
        <w:rPr>
          <w:rFonts w:hint="eastAsia" w:ascii="仿宋" w:hAnsi="仿宋" w:eastAsia="仿宋" w:cs="仿宋"/>
          <w:b w:val="0"/>
          <w:bCs w:val="0"/>
          <w:sz w:val="32"/>
          <w:szCs w:val="32"/>
          <w:highlight w:val="none"/>
          <w:lang w:val="en-US" w:eastAsia="zh-CN"/>
        </w:rPr>
        <w:t>的社会与经济效益。二是项目支出</w:t>
      </w:r>
      <w:r>
        <w:rPr>
          <w:rFonts w:hint="eastAsia" w:ascii="仿宋" w:hAnsi="仿宋" w:eastAsia="仿宋" w:cs="仿宋"/>
          <w:b/>
          <w:bCs/>
          <w:sz w:val="32"/>
          <w:szCs w:val="32"/>
          <w:highlight w:val="none"/>
          <w:lang w:val="en-US" w:eastAsia="zh-CN"/>
        </w:rPr>
        <w:t>误工费</w:t>
      </w:r>
      <w:r>
        <w:rPr>
          <w:rFonts w:hint="eastAsia" w:ascii="仿宋" w:hAnsi="仿宋" w:eastAsia="仿宋" w:cs="仿宋"/>
          <w:b w:val="0"/>
          <w:bCs w:val="0"/>
          <w:sz w:val="32"/>
          <w:szCs w:val="32"/>
          <w:highlight w:val="none"/>
          <w:lang w:val="en-US" w:eastAsia="zh-CN"/>
        </w:rPr>
        <w:t>在保障267人次代表参与视察调研、执法检查等活动方面取得了</w:t>
      </w:r>
      <w:r>
        <w:rPr>
          <w:rFonts w:hint="eastAsia" w:ascii="仿宋" w:hAnsi="仿宋" w:eastAsia="仿宋" w:cs="仿宋"/>
          <w:b/>
          <w:bCs/>
          <w:sz w:val="32"/>
          <w:szCs w:val="32"/>
          <w:highlight w:val="none"/>
          <w:lang w:val="en-US" w:eastAsia="zh-CN"/>
        </w:rPr>
        <w:t>激励参与与保障履职的补偿效</w:t>
      </w:r>
      <w:r>
        <w:rPr>
          <w:rFonts w:hint="eastAsia" w:ascii="仿宋" w:hAnsi="仿宋" w:eastAsia="仿宋" w:cs="仿宋"/>
          <w:b w:val="0"/>
          <w:bCs w:val="0"/>
          <w:sz w:val="32"/>
          <w:szCs w:val="32"/>
          <w:highlight w:val="none"/>
          <w:lang w:val="en-US" w:eastAsia="zh-CN"/>
        </w:rPr>
        <w:t>益。三是项目支出</w:t>
      </w:r>
      <w:r>
        <w:rPr>
          <w:rFonts w:hint="eastAsia" w:ascii="仿宋" w:hAnsi="仿宋" w:eastAsia="仿宋" w:cs="仿宋"/>
          <w:b/>
          <w:bCs/>
          <w:sz w:val="32"/>
          <w:szCs w:val="32"/>
          <w:highlight w:val="none"/>
          <w:lang w:val="en-US" w:eastAsia="zh-CN"/>
        </w:rPr>
        <w:t>两优评选经费</w:t>
      </w:r>
      <w:r>
        <w:rPr>
          <w:rFonts w:hint="eastAsia" w:ascii="仿宋" w:hAnsi="仿宋" w:eastAsia="仿宋" w:cs="仿宋"/>
          <w:b w:val="0"/>
          <w:bCs w:val="0"/>
          <w:sz w:val="32"/>
          <w:szCs w:val="32"/>
          <w:highlight w:val="none"/>
          <w:lang w:val="en-US" w:eastAsia="zh-CN"/>
        </w:rPr>
        <w:t>在推荐并提拔重用9名人大干部、激励代表提出64件建议方面取得了</w:t>
      </w:r>
      <w:r>
        <w:rPr>
          <w:rFonts w:hint="eastAsia" w:ascii="仿宋" w:hAnsi="仿宋" w:eastAsia="仿宋" w:cs="仿宋"/>
          <w:b/>
          <w:bCs/>
          <w:sz w:val="32"/>
          <w:szCs w:val="32"/>
          <w:highlight w:val="none"/>
          <w:lang w:val="en-US" w:eastAsia="zh-CN"/>
        </w:rPr>
        <w:t>树立标杆与激发活力的示范引领</w:t>
      </w:r>
      <w:r>
        <w:rPr>
          <w:rFonts w:hint="eastAsia" w:ascii="仿宋" w:hAnsi="仿宋" w:eastAsia="仿宋" w:cs="仿宋"/>
          <w:b w:val="0"/>
          <w:bCs w:val="0"/>
          <w:sz w:val="32"/>
          <w:szCs w:val="32"/>
          <w:highlight w:val="none"/>
          <w:lang w:val="en-US" w:eastAsia="zh-CN"/>
        </w:rPr>
        <w:t>效益。四是项目支出</w:t>
      </w:r>
      <w:r>
        <w:rPr>
          <w:rFonts w:hint="eastAsia" w:ascii="仿宋" w:hAnsi="仿宋" w:eastAsia="仿宋" w:cs="仿宋"/>
          <w:b/>
          <w:bCs/>
          <w:sz w:val="32"/>
          <w:szCs w:val="32"/>
          <w:highlight w:val="none"/>
          <w:lang w:val="en-US" w:eastAsia="zh-CN"/>
        </w:rPr>
        <w:t>履职费发放及下拨</w:t>
      </w:r>
      <w:r>
        <w:rPr>
          <w:rFonts w:hint="eastAsia" w:ascii="仿宋" w:hAnsi="仿宋" w:eastAsia="仿宋" w:cs="仿宋"/>
          <w:b w:val="0"/>
          <w:bCs w:val="0"/>
          <w:sz w:val="32"/>
          <w:szCs w:val="32"/>
          <w:highlight w:val="none"/>
          <w:lang w:val="en-US" w:eastAsia="zh-CN"/>
        </w:rPr>
        <w:t>在支持代表开展“六进”活动</w:t>
      </w:r>
      <w:r>
        <w:rPr>
          <w:rFonts w:hint="eastAsia" w:ascii="仿宋" w:hAnsi="仿宋" w:eastAsia="仿宋" w:cs="仿宋"/>
          <w:b/>
          <w:bCs/>
          <w:sz w:val="32"/>
          <w:szCs w:val="32"/>
          <w:highlight w:val="none"/>
          <w:lang w:val="en-US" w:eastAsia="zh-CN"/>
        </w:rPr>
        <w:t>42次、打造7个</w:t>
      </w:r>
      <w:r>
        <w:rPr>
          <w:rFonts w:hint="eastAsia" w:ascii="仿宋" w:hAnsi="仿宋" w:eastAsia="仿宋" w:cs="仿宋"/>
          <w:b w:val="0"/>
          <w:bCs w:val="0"/>
          <w:sz w:val="32"/>
          <w:szCs w:val="32"/>
          <w:highlight w:val="none"/>
          <w:lang w:val="en-US" w:eastAsia="zh-CN"/>
        </w:rPr>
        <w:t>民主议事品牌方面取得了保障日常履职与规范管理的</w:t>
      </w:r>
      <w:r>
        <w:rPr>
          <w:rFonts w:hint="eastAsia" w:ascii="仿宋" w:hAnsi="仿宋" w:eastAsia="仿宋" w:cs="仿宋"/>
          <w:b/>
          <w:bCs/>
          <w:sz w:val="32"/>
          <w:szCs w:val="32"/>
          <w:highlight w:val="none"/>
          <w:lang w:val="en-US" w:eastAsia="zh-CN"/>
        </w:rPr>
        <w:t>基础效益</w:t>
      </w:r>
      <w:r>
        <w:rPr>
          <w:rFonts w:hint="eastAsia" w:ascii="仿宋" w:hAnsi="仿宋" w:eastAsia="仿宋" w:cs="仿宋"/>
          <w:b w:val="0"/>
          <w:bCs w:val="0"/>
          <w:sz w:val="32"/>
          <w:szCs w:val="32"/>
          <w:highlight w:val="none"/>
          <w:lang w:val="en-US" w:eastAsia="zh-CN"/>
        </w:rPr>
        <w:t>。五是项目支出</w:t>
      </w:r>
      <w:r>
        <w:rPr>
          <w:rFonts w:hint="eastAsia" w:ascii="仿宋" w:hAnsi="仿宋" w:eastAsia="仿宋" w:cs="仿宋"/>
          <w:b/>
          <w:bCs/>
          <w:sz w:val="32"/>
          <w:szCs w:val="32"/>
          <w:highlight w:val="none"/>
          <w:lang w:val="en-US" w:eastAsia="zh-CN"/>
        </w:rPr>
        <w:t>履职交通费</w:t>
      </w:r>
      <w:r>
        <w:rPr>
          <w:rFonts w:hint="eastAsia" w:ascii="仿宋" w:hAnsi="仿宋" w:eastAsia="仿宋" w:cs="仿宋"/>
          <w:b w:val="0"/>
          <w:bCs w:val="0"/>
          <w:sz w:val="32"/>
          <w:szCs w:val="32"/>
          <w:highlight w:val="none"/>
          <w:lang w:val="en-US" w:eastAsia="zh-CN"/>
        </w:rPr>
        <w:t>在便利</w:t>
      </w:r>
      <w:r>
        <w:rPr>
          <w:rFonts w:hint="eastAsia" w:ascii="仿宋" w:hAnsi="仿宋" w:eastAsia="仿宋" w:cs="仿宋"/>
          <w:b/>
          <w:bCs/>
          <w:sz w:val="32"/>
          <w:szCs w:val="32"/>
          <w:highlight w:val="none"/>
          <w:lang w:val="en-US" w:eastAsia="zh-CN"/>
        </w:rPr>
        <w:t>780余人次</w:t>
      </w:r>
      <w:r>
        <w:rPr>
          <w:rFonts w:hint="eastAsia" w:ascii="仿宋" w:hAnsi="仿宋" w:eastAsia="仿宋" w:cs="仿宋"/>
          <w:b w:val="0"/>
          <w:bCs w:val="0"/>
          <w:sz w:val="32"/>
          <w:szCs w:val="32"/>
          <w:highlight w:val="none"/>
          <w:lang w:val="en-US" w:eastAsia="zh-CN"/>
        </w:rPr>
        <w:t>代表进站接待选民、收集</w:t>
      </w:r>
      <w:r>
        <w:rPr>
          <w:rFonts w:hint="eastAsia" w:ascii="仿宋" w:hAnsi="仿宋" w:eastAsia="仿宋" w:cs="仿宋"/>
          <w:b/>
          <w:bCs/>
          <w:sz w:val="32"/>
          <w:szCs w:val="32"/>
          <w:highlight w:val="none"/>
          <w:lang w:val="en-US" w:eastAsia="zh-CN"/>
        </w:rPr>
        <w:t>310余条社情民意方面</w:t>
      </w:r>
      <w:r>
        <w:rPr>
          <w:rFonts w:hint="eastAsia" w:ascii="仿宋" w:hAnsi="仿宋" w:eastAsia="仿宋" w:cs="仿宋"/>
          <w:b w:val="0"/>
          <w:bCs w:val="0"/>
          <w:sz w:val="32"/>
          <w:szCs w:val="32"/>
          <w:highlight w:val="none"/>
          <w:lang w:val="en-US" w:eastAsia="zh-CN"/>
        </w:rPr>
        <w:t>取得了畅通联系与服务群众的</w:t>
      </w:r>
      <w:r>
        <w:rPr>
          <w:rFonts w:hint="eastAsia" w:ascii="仿宋" w:hAnsi="仿宋" w:eastAsia="仿宋" w:cs="仿宋"/>
          <w:b/>
          <w:bCs/>
          <w:sz w:val="32"/>
          <w:szCs w:val="32"/>
          <w:highlight w:val="none"/>
          <w:lang w:val="en-US" w:eastAsia="zh-CN"/>
        </w:rPr>
        <w:t>通达效益</w:t>
      </w:r>
      <w:r>
        <w:rPr>
          <w:rFonts w:hint="eastAsia" w:ascii="仿宋" w:hAnsi="仿宋" w:eastAsia="仿宋" w:cs="仿宋"/>
          <w:b w:val="0"/>
          <w:bCs w:val="0"/>
          <w:sz w:val="32"/>
          <w:szCs w:val="32"/>
          <w:highlight w:val="none"/>
          <w:lang w:val="en-US" w:eastAsia="zh-CN"/>
        </w:rPr>
        <w:t>。六是项目支出</w:t>
      </w:r>
      <w:r>
        <w:rPr>
          <w:rFonts w:hint="eastAsia" w:ascii="仿宋" w:hAnsi="仿宋" w:eastAsia="仿宋" w:cs="仿宋"/>
          <w:b/>
          <w:bCs/>
          <w:sz w:val="32"/>
          <w:szCs w:val="32"/>
          <w:highlight w:val="none"/>
          <w:lang w:val="en-US" w:eastAsia="zh-CN"/>
        </w:rPr>
        <w:t>履职培训费</w:t>
      </w:r>
      <w:r>
        <w:rPr>
          <w:rFonts w:hint="eastAsia" w:ascii="仿宋" w:hAnsi="仿宋" w:eastAsia="仿宋" w:cs="仿宋"/>
          <w:b w:val="0"/>
          <w:bCs w:val="0"/>
          <w:sz w:val="32"/>
          <w:szCs w:val="32"/>
          <w:highlight w:val="none"/>
          <w:lang w:val="en-US" w:eastAsia="zh-CN"/>
        </w:rPr>
        <w:t>在组织履职能力提升班、邀请35名代表列席常委会方面取得了</w:t>
      </w:r>
      <w:r>
        <w:rPr>
          <w:rFonts w:hint="eastAsia" w:ascii="仿宋" w:hAnsi="仿宋" w:eastAsia="仿宋" w:cs="仿宋"/>
          <w:b/>
          <w:bCs/>
          <w:sz w:val="32"/>
          <w:szCs w:val="32"/>
          <w:highlight w:val="none"/>
          <w:lang w:val="en-US" w:eastAsia="zh-CN"/>
        </w:rPr>
        <w:t>提升能力与开阔视野</w:t>
      </w:r>
      <w:r>
        <w:rPr>
          <w:rFonts w:hint="eastAsia" w:ascii="仿宋" w:hAnsi="仿宋" w:eastAsia="仿宋" w:cs="仿宋"/>
          <w:b w:val="0"/>
          <w:bCs w:val="0"/>
          <w:sz w:val="32"/>
          <w:szCs w:val="32"/>
          <w:highlight w:val="none"/>
          <w:lang w:val="en-US" w:eastAsia="zh-CN"/>
        </w:rPr>
        <w:t>的赋能效益。七是项目支出</w:t>
      </w:r>
      <w:r>
        <w:rPr>
          <w:rFonts w:hint="eastAsia" w:ascii="仿宋" w:hAnsi="仿宋" w:eastAsia="仿宋" w:cs="仿宋"/>
          <w:b/>
          <w:bCs/>
          <w:sz w:val="32"/>
          <w:szCs w:val="32"/>
          <w:highlight w:val="none"/>
          <w:lang w:val="en-US" w:eastAsia="zh-CN"/>
        </w:rPr>
        <w:t>联络站运行经费在实现“六有”标准、解决56个问题</w:t>
      </w:r>
      <w:r>
        <w:rPr>
          <w:rFonts w:hint="eastAsia" w:ascii="仿宋" w:hAnsi="仿宋" w:eastAsia="仿宋" w:cs="仿宋"/>
          <w:b w:val="0"/>
          <w:bCs w:val="0"/>
          <w:sz w:val="32"/>
          <w:szCs w:val="32"/>
          <w:highlight w:val="none"/>
          <w:lang w:val="en-US" w:eastAsia="zh-CN"/>
        </w:rPr>
        <w:t>、承办</w:t>
      </w:r>
      <w:r>
        <w:rPr>
          <w:rFonts w:hint="eastAsia" w:ascii="仿宋" w:hAnsi="仿宋" w:eastAsia="仿宋" w:cs="仿宋"/>
          <w:b/>
          <w:bCs/>
          <w:sz w:val="32"/>
          <w:szCs w:val="32"/>
          <w:highlight w:val="none"/>
          <w:lang w:val="en-US" w:eastAsia="zh-CN"/>
        </w:rPr>
        <w:t>全市现场会方面</w:t>
      </w:r>
      <w:r>
        <w:rPr>
          <w:rFonts w:hint="eastAsia" w:ascii="仿宋" w:hAnsi="仿宋" w:eastAsia="仿宋" w:cs="仿宋"/>
          <w:b w:val="0"/>
          <w:bCs w:val="0"/>
          <w:sz w:val="32"/>
          <w:szCs w:val="32"/>
          <w:highlight w:val="none"/>
          <w:lang w:val="en-US" w:eastAsia="zh-CN"/>
        </w:rPr>
        <w:t>取得了建强平台与提升活力的</w:t>
      </w:r>
      <w:r>
        <w:rPr>
          <w:rFonts w:hint="eastAsia" w:ascii="仿宋" w:hAnsi="仿宋" w:eastAsia="仿宋" w:cs="仿宋"/>
          <w:b/>
          <w:bCs/>
          <w:sz w:val="32"/>
          <w:szCs w:val="32"/>
          <w:highlight w:val="none"/>
          <w:lang w:val="en-US" w:eastAsia="zh-CN"/>
        </w:rPr>
        <w:t>阵地效益</w:t>
      </w:r>
      <w:r>
        <w:rPr>
          <w:rFonts w:hint="eastAsia" w:ascii="仿宋" w:hAnsi="仿宋" w:eastAsia="仿宋" w:cs="仿宋"/>
          <w:b w:val="0"/>
          <w:bCs w:val="0"/>
          <w:sz w:val="32"/>
          <w:szCs w:val="32"/>
          <w:highlight w:val="none"/>
          <w:lang w:val="en-US" w:eastAsia="zh-CN"/>
        </w:rPr>
        <w:t>。八是项目支出</w:t>
      </w:r>
      <w:r>
        <w:rPr>
          <w:rFonts w:hint="eastAsia" w:ascii="仿宋" w:hAnsi="仿宋" w:eastAsia="仿宋" w:cs="仿宋"/>
          <w:b/>
          <w:bCs/>
          <w:sz w:val="32"/>
          <w:szCs w:val="32"/>
          <w:highlight w:val="none"/>
          <w:lang w:val="en-US" w:eastAsia="zh-CN"/>
        </w:rPr>
        <w:t>民主工作经费</w:t>
      </w:r>
      <w:r>
        <w:rPr>
          <w:rFonts w:hint="eastAsia" w:ascii="仿宋" w:hAnsi="仿宋" w:eastAsia="仿宋" w:cs="仿宋"/>
          <w:b w:val="0"/>
          <w:bCs w:val="0"/>
          <w:sz w:val="32"/>
          <w:szCs w:val="32"/>
          <w:highlight w:val="none"/>
          <w:lang w:val="en-US" w:eastAsia="zh-CN"/>
        </w:rPr>
        <w:t>在创建</w:t>
      </w:r>
      <w:r>
        <w:rPr>
          <w:rFonts w:hint="eastAsia" w:ascii="仿宋" w:hAnsi="仿宋" w:eastAsia="仿宋" w:cs="仿宋"/>
          <w:b/>
          <w:bCs/>
          <w:sz w:val="32"/>
          <w:szCs w:val="32"/>
          <w:highlight w:val="none"/>
          <w:lang w:val="en-US" w:eastAsia="zh-CN"/>
        </w:rPr>
        <w:t>7个民主议事品牌</w:t>
      </w:r>
      <w:r>
        <w:rPr>
          <w:rFonts w:hint="eastAsia" w:ascii="仿宋" w:hAnsi="仿宋" w:eastAsia="仿宋" w:cs="仿宋"/>
          <w:b w:val="0"/>
          <w:bCs w:val="0"/>
          <w:sz w:val="32"/>
          <w:szCs w:val="32"/>
          <w:highlight w:val="none"/>
          <w:lang w:val="en-US" w:eastAsia="zh-CN"/>
        </w:rPr>
        <w:t>、开展专题议事活动方面取得了践行全过程人民民主的</w:t>
      </w:r>
      <w:r>
        <w:rPr>
          <w:rFonts w:hint="eastAsia" w:ascii="仿宋" w:hAnsi="仿宋" w:eastAsia="仿宋" w:cs="仿宋"/>
          <w:b/>
          <w:bCs/>
          <w:sz w:val="32"/>
          <w:szCs w:val="32"/>
          <w:highlight w:val="none"/>
          <w:lang w:val="en-US" w:eastAsia="zh-CN"/>
        </w:rPr>
        <w:t>创新品牌效益</w:t>
      </w:r>
      <w:r>
        <w:rPr>
          <w:rFonts w:hint="eastAsia" w:ascii="仿宋" w:hAnsi="仿宋" w:eastAsia="仿宋" w:cs="仿宋"/>
          <w:b w:val="0"/>
          <w:bCs w:val="0"/>
          <w:sz w:val="32"/>
          <w:szCs w:val="32"/>
          <w:highlight w:val="none"/>
          <w:lang w:val="en-US" w:eastAsia="zh-CN"/>
        </w:rPr>
        <w:t>。九是项目支出</w:t>
      </w:r>
      <w:r>
        <w:rPr>
          <w:rFonts w:hint="eastAsia" w:ascii="仿宋" w:hAnsi="仿宋" w:eastAsia="仿宋" w:cs="仿宋"/>
          <w:b/>
          <w:bCs/>
          <w:sz w:val="32"/>
          <w:szCs w:val="32"/>
          <w:highlight w:val="none"/>
          <w:lang w:val="en-US" w:eastAsia="zh-CN"/>
        </w:rPr>
        <w:t>市委人大工作费</w:t>
      </w:r>
      <w:r>
        <w:rPr>
          <w:rFonts w:hint="eastAsia" w:ascii="仿宋" w:hAnsi="仿宋" w:eastAsia="仿宋" w:cs="仿宋"/>
          <w:b w:val="0"/>
          <w:bCs w:val="0"/>
          <w:sz w:val="32"/>
          <w:szCs w:val="32"/>
          <w:highlight w:val="none"/>
          <w:lang w:val="en-US" w:eastAsia="zh-CN"/>
        </w:rPr>
        <w:t>在向区委请示</w:t>
      </w:r>
      <w:r>
        <w:rPr>
          <w:rFonts w:hint="eastAsia" w:ascii="仿宋" w:hAnsi="仿宋" w:eastAsia="仿宋" w:cs="仿宋"/>
          <w:b/>
          <w:bCs/>
          <w:sz w:val="32"/>
          <w:szCs w:val="32"/>
          <w:highlight w:val="none"/>
          <w:lang w:val="en-US" w:eastAsia="zh-CN"/>
        </w:rPr>
        <w:t>报告25次、接待多个兄弟县区人大学习交流方面</w:t>
      </w:r>
      <w:r>
        <w:rPr>
          <w:rFonts w:hint="eastAsia" w:ascii="仿宋" w:hAnsi="仿宋" w:eastAsia="仿宋" w:cs="仿宋"/>
          <w:b w:val="0"/>
          <w:bCs w:val="0"/>
          <w:sz w:val="32"/>
          <w:szCs w:val="32"/>
          <w:highlight w:val="none"/>
          <w:lang w:val="en-US" w:eastAsia="zh-CN"/>
        </w:rPr>
        <w:t>取得了对标对表与联动协同的对接效益。十是项目支出</w:t>
      </w:r>
      <w:r>
        <w:rPr>
          <w:rFonts w:hint="eastAsia" w:ascii="仿宋" w:hAnsi="仿宋" w:eastAsia="仿宋" w:cs="仿宋"/>
          <w:b/>
          <w:bCs/>
          <w:sz w:val="32"/>
          <w:szCs w:val="32"/>
          <w:highlight w:val="none"/>
          <w:lang w:val="en-US" w:eastAsia="zh-CN"/>
        </w:rPr>
        <w:t>人大五届四次会议</w:t>
      </w:r>
      <w:r>
        <w:rPr>
          <w:rFonts w:hint="eastAsia" w:ascii="仿宋" w:hAnsi="仿宋" w:eastAsia="仿宋" w:cs="仿宋"/>
          <w:b w:val="0"/>
          <w:bCs w:val="0"/>
          <w:sz w:val="32"/>
          <w:szCs w:val="32"/>
          <w:highlight w:val="none"/>
          <w:lang w:val="en-US" w:eastAsia="zh-CN"/>
        </w:rPr>
        <w:t>在保障</w:t>
      </w:r>
      <w:r>
        <w:rPr>
          <w:rFonts w:hint="eastAsia" w:ascii="仿宋" w:hAnsi="仿宋" w:eastAsia="仿宋" w:cs="仿宋"/>
          <w:b/>
          <w:bCs/>
          <w:sz w:val="32"/>
          <w:szCs w:val="32"/>
          <w:highlight w:val="none"/>
          <w:lang w:val="en-US" w:eastAsia="zh-CN"/>
        </w:rPr>
        <w:t>64件建议办理实现三个100%满意率</w:t>
      </w:r>
      <w:r>
        <w:rPr>
          <w:rFonts w:hint="eastAsia" w:ascii="仿宋" w:hAnsi="仿宋" w:eastAsia="仿宋" w:cs="仿宋"/>
          <w:b w:val="0"/>
          <w:bCs w:val="0"/>
          <w:sz w:val="32"/>
          <w:szCs w:val="32"/>
          <w:highlight w:val="none"/>
          <w:lang w:val="en-US" w:eastAsia="zh-CN"/>
        </w:rPr>
        <w:t>方面取得了完成法定议程与汇聚民智的决策效益。十一项目支出</w:t>
      </w:r>
      <w:r>
        <w:rPr>
          <w:rFonts w:hint="eastAsia" w:ascii="仿宋" w:hAnsi="仿宋" w:eastAsia="仿宋" w:cs="仿宋"/>
          <w:b/>
          <w:bCs/>
          <w:sz w:val="32"/>
          <w:szCs w:val="32"/>
          <w:highlight w:val="none"/>
          <w:lang w:val="en-US" w:eastAsia="zh-CN"/>
        </w:rPr>
        <w:t>为民服务费</w:t>
      </w:r>
      <w:r>
        <w:rPr>
          <w:rFonts w:hint="eastAsia" w:ascii="仿宋" w:hAnsi="仿宋" w:eastAsia="仿宋" w:cs="仿宋"/>
          <w:b w:val="0"/>
          <w:bCs w:val="0"/>
          <w:sz w:val="32"/>
          <w:szCs w:val="32"/>
          <w:highlight w:val="none"/>
          <w:lang w:val="en-US" w:eastAsia="zh-CN"/>
        </w:rPr>
        <w:t>在组织“6.25”活动</w:t>
      </w:r>
      <w:r>
        <w:rPr>
          <w:rFonts w:hint="eastAsia" w:ascii="仿宋" w:hAnsi="仿宋" w:eastAsia="仿宋" w:cs="仿宋"/>
          <w:b/>
          <w:bCs/>
          <w:sz w:val="32"/>
          <w:szCs w:val="32"/>
          <w:highlight w:val="none"/>
          <w:lang w:val="en-US" w:eastAsia="zh-CN"/>
        </w:rPr>
        <w:t>开展义诊400余人次、法律咨询1260次、帮扶140余户方面</w:t>
      </w:r>
      <w:r>
        <w:rPr>
          <w:rFonts w:hint="eastAsia" w:ascii="仿宋" w:hAnsi="仿宋" w:eastAsia="仿宋" w:cs="仿宋"/>
          <w:b w:val="0"/>
          <w:bCs w:val="0"/>
          <w:sz w:val="32"/>
          <w:szCs w:val="32"/>
          <w:highlight w:val="none"/>
          <w:lang w:val="en-US" w:eastAsia="zh-CN"/>
        </w:rPr>
        <w:t>取得了解决急难愁盼与凝聚民心的</w:t>
      </w:r>
      <w:r>
        <w:rPr>
          <w:rFonts w:hint="eastAsia" w:ascii="仿宋" w:hAnsi="仿宋" w:eastAsia="仿宋" w:cs="仿宋"/>
          <w:b/>
          <w:bCs/>
          <w:sz w:val="32"/>
          <w:szCs w:val="32"/>
          <w:highlight w:val="none"/>
          <w:lang w:val="en-US" w:eastAsia="zh-CN"/>
        </w:rPr>
        <w:t>惠民效益。</w:t>
      </w:r>
    </w:p>
    <w:p w14:paraId="2D3AD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5" w:name="_Toc7777"/>
      <w:r>
        <w:rPr>
          <w:rFonts w:hint="eastAsia" w:ascii="仿宋" w:hAnsi="仿宋" w:eastAsia="仿宋" w:cs="仿宋"/>
          <w:b/>
          <w:bCs/>
          <w:sz w:val="32"/>
          <w:szCs w:val="32"/>
          <w:highlight w:val="none"/>
          <w:lang w:val="en-US" w:eastAsia="zh-CN"/>
        </w:rPr>
        <w:t>（七）</w:t>
      </w:r>
      <w:r>
        <w:rPr>
          <w:rFonts w:hint="eastAsia" w:ascii="楷体" w:hAnsi="楷体" w:eastAsia="楷体" w:cs="楷体"/>
          <w:b/>
          <w:bCs/>
          <w:sz w:val="32"/>
          <w:szCs w:val="32"/>
          <w:highlight w:val="none"/>
          <w:lang w:val="en-US" w:eastAsia="zh-CN"/>
        </w:rPr>
        <w:t>固定资产管理情况及分析</w:t>
      </w:r>
      <w:bookmarkEnd w:id="35"/>
    </w:p>
    <w:p w14:paraId="0B593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存在记账凭证号待完善,部分固定资产的管理部门为临时部门，固定资产台账内未标明车辆识别特征如湘D-9HA95车牌号的情况。详情见下：</w:t>
      </w:r>
    </w:p>
    <w:p w14:paraId="27D93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1.固定资产2024年原值及折旧变动情况（金额：元）</w:t>
      </w:r>
    </w:p>
    <w:tbl>
      <w:tblPr>
        <w:tblStyle w:val="14"/>
        <w:tblW w:w="9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5"/>
        <w:gridCol w:w="1710"/>
        <w:gridCol w:w="1695"/>
        <w:gridCol w:w="1800"/>
        <w:gridCol w:w="2265"/>
      </w:tblGrid>
      <w:tr w14:paraId="34B8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785" w:type="dxa"/>
            <w:tcBorders>
              <w:top w:val="single" w:color="5B9BD5" w:sz="4" w:space="0"/>
              <w:left w:val="single" w:color="5B9BD5" w:sz="4" w:space="0"/>
              <w:bottom w:val="single" w:color="5B9BD5" w:sz="8" w:space="0"/>
              <w:right w:val="single" w:color="9BC2E6" w:sz="4" w:space="0"/>
            </w:tcBorders>
            <w:shd w:val="clear" w:color="auto" w:fill="auto"/>
            <w:vAlign w:val="center"/>
          </w:tcPr>
          <w:p w14:paraId="5AD5DB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710" w:type="dxa"/>
            <w:tcBorders>
              <w:top w:val="single" w:color="5B9BD5" w:sz="4" w:space="0"/>
              <w:left w:val="single" w:color="9BC2E6" w:sz="4" w:space="0"/>
              <w:bottom w:val="single" w:color="5B9BD5" w:sz="8" w:space="0"/>
              <w:right w:val="single" w:color="9BC2E6" w:sz="4" w:space="0"/>
            </w:tcBorders>
            <w:shd w:val="clear" w:color="auto" w:fill="auto"/>
            <w:noWrap/>
            <w:vAlign w:val="center"/>
          </w:tcPr>
          <w:p w14:paraId="47E8EE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1695" w:type="dxa"/>
            <w:tcBorders>
              <w:top w:val="single" w:color="5B9BD5" w:sz="4" w:space="0"/>
              <w:left w:val="single" w:color="9BC2E6" w:sz="4" w:space="0"/>
              <w:bottom w:val="single" w:color="5B9BD5" w:sz="8" w:space="0"/>
              <w:right w:val="single" w:color="9BC2E6" w:sz="4" w:space="0"/>
            </w:tcBorders>
            <w:shd w:val="clear" w:color="auto" w:fill="auto"/>
            <w:noWrap/>
            <w:vAlign w:val="center"/>
          </w:tcPr>
          <w:p w14:paraId="78A74F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1800" w:type="dxa"/>
            <w:tcBorders>
              <w:top w:val="single" w:color="5B9BD5" w:sz="4" w:space="0"/>
              <w:left w:val="single" w:color="9BC2E6" w:sz="4" w:space="0"/>
              <w:bottom w:val="single" w:color="5B9BD5" w:sz="8" w:space="0"/>
              <w:right w:val="single" w:color="9BC2E6" w:sz="4" w:space="0"/>
            </w:tcBorders>
            <w:shd w:val="clear" w:color="auto" w:fill="auto"/>
            <w:noWrap/>
            <w:vAlign w:val="center"/>
          </w:tcPr>
          <w:p w14:paraId="6D4056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2265" w:type="dxa"/>
            <w:tcBorders>
              <w:top w:val="single" w:color="5B9BD5" w:sz="4" w:space="0"/>
              <w:left w:val="single" w:color="9BC2E6" w:sz="4" w:space="0"/>
              <w:bottom w:val="single" w:color="5B9BD5" w:sz="8" w:space="0"/>
              <w:right w:val="single" w:color="5B9BD5" w:sz="4" w:space="0"/>
            </w:tcBorders>
            <w:shd w:val="clear" w:color="auto" w:fill="auto"/>
            <w:noWrap/>
            <w:vAlign w:val="center"/>
          </w:tcPr>
          <w:p w14:paraId="5E5434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19E4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85" w:type="dxa"/>
            <w:tcBorders>
              <w:top w:val="single" w:color="5B9BD5" w:sz="8" w:space="0"/>
              <w:left w:val="single" w:color="5B9BD5" w:sz="4" w:space="0"/>
              <w:bottom w:val="single" w:color="9BC2E6" w:sz="4" w:space="0"/>
              <w:right w:val="single" w:color="9BC2E6" w:sz="4" w:space="0"/>
            </w:tcBorders>
            <w:shd w:val="clear" w:color="DDEBF7" w:fill="DDEBF7"/>
            <w:vAlign w:val="center"/>
          </w:tcPr>
          <w:p w14:paraId="3000F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固定资产原值</w:t>
            </w:r>
          </w:p>
        </w:tc>
        <w:tc>
          <w:tcPr>
            <w:tcW w:w="0" w:type="auto"/>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7D3F096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1,803,318.50</w:t>
            </w:r>
          </w:p>
        </w:tc>
        <w:tc>
          <w:tcPr>
            <w:tcW w:w="0" w:type="auto"/>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0C673F6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11,128.00</w:t>
            </w:r>
          </w:p>
        </w:tc>
        <w:tc>
          <w:tcPr>
            <w:tcW w:w="0" w:type="auto"/>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38021825">
            <w:pPr>
              <w:jc w:val="right"/>
              <w:rPr>
                <w:rFonts w:hint="eastAsia" w:ascii="宋体" w:hAnsi="宋体" w:eastAsia="宋体" w:cs="宋体"/>
                <w:i w:val="0"/>
                <w:iCs w:val="0"/>
                <w:color w:val="000000"/>
                <w:sz w:val="24"/>
                <w:szCs w:val="24"/>
                <w:u w:val="none"/>
              </w:rPr>
            </w:pPr>
          </w:p>
        </w:tc>
        <w:tc>
          <w:tcPr>
            <w:tcW w:w="0" w:type="auto"/>
            <w:tcBorders>
              <w:top w:val="single" w:color="5B9BD5" w:sz="8" w:space="0"/>
              <w:left w:val="single" w:color="9BC2E6" w:sz="4" w:space="0"/>
              <w:bottom w:val="single" w:color="9BC2E6" w:sz="4" w:space="0"/>
              <w:right w:val="single" w:color="5B9BD5" w:sz="4" w:space="0"/>
            </w:tcBorders>
            <w:shd w:val="clear" w:color="DDEBF7" w:fill="DDEBF7"/>
            <w:noWrap/>
            <w:vAlign w:val="center"/>
          </w:tcPr>
          <w:p w14:paraId="733980C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1,814,446.50</w:t>
            </w:r>
          </w:p>
        </w:tc>
      </w:tr>
      <w:tr w14:paraId="606A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85" w:type="dxa"/>
            <w:tcBorders>
              <w:top w:val="single" w:color="9BC2E6" w:sz="4" w:space="0"/>
              <w:left w:val="single" w:color="5B9BD5" w:sz="4" w:space="0"/>
              <w:bottom w:val="single" w:color="9BC2E6" w:sz="4" w:space="0"/>
              <w:right w:val="single" w:color="9BC2E6" w:sz="4" w:space="0"/>
            </w:tcBorders>
            <w:shd w:val="clear" w:color="auto" w:fill="auto"/>
            <w:vAlign w:val="center"/>
          </w:tcPr>
          <w:p w14:paraId="00D50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累计折旧</w:t>
            </w:r>
          </w:p>
        </w:tc>
        <w:tc>
          <w:tcPr>
            <w:tcW w:w="0" w:type="auto"/>
            <w:tcBorders>
              <w:top w:val="single" w:color="9BC2E6" w:sz="4" w:space="0"/>
              <w:left w:val="single" w:color="9BC2E6" w:sz="4" w:space="0"/>
              <w:bottom w:val="single" w:color="9BC2E6" w:sz="4" w:space="0"/>
              <w:right w:val="single" w:color="9BC2E6" w:sz="4" w:space="0"/>
            </w:tcBorders>
            <w:shd w:val="clear" w:color="auto" w:fill="auto"/>
            <w:noWrap/>
            <w:vAlign w:val="bottom"/>
          </w:tcPr>
          <w:p w14:paraId="65BBDA5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355,190.34</w:t>
            </w:r>
          </w:p>
        </w:tc>
        <w:tc>
          <w:tcPr>
            <w:tcW w:w="0" w:type="auto"/>
            <w:tcBorders>
              <w:top w:val="single" w:color="9BC2E6" w:sz="4" w:space="0"/>
              <w:left w:val="single" w:color="9BC2E6" w:sz="4" w:space="0"/>
              <w:bottom w:val="single" w:color="9BC2E6" w:sz="4" w:space="0"/>
              <w:right w:val="single" w:color="9BC2E6" w:sz="4" w:space="0"/>
            </w:tcBorders>
            <w:shd w:val="clear" w:color="auto" w:fill="auto"/>
            <w:noWrap/>
            <w:vAlign w:val="center"/>
          </w:tcPr>
          <w:p w14:paraId="7066B0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159,690.96</w:t>
            </w:r>
          </w:p>
        </w:tc>
        <w:tc>
          <w:tcPr>
            <w:tcW w:w="0" w:type="auto"/>
            <w:tcBorders>
              <w:top w:val="single" w:color="9BC2E6" w:sz="4" w:space="0"/>
              <w:left w:val="single" w:color="9BC2E6" w:sz="4" w:space="0"/>
              <w:bottom w:val="single" w:color="9BC2E6" w:sz="4" w:space="0"/>
              <w:right w:val="single" w:color="9BC2E6" w:sz="4" w:space="0"/>
            </w:tcBorders>
            <w:shd w:val="clear" w:color="auto" w:fill="auto"/>
            <w:noWrap/>
            <w:vAlign w:val="center"/>
          </w:tcPr>
          <w:p w14:paraId="3CBC8D8F">
            <w:pPr>
              <w:jc w:val="right"/>
              <w:rPr>
                <w:rFonts w:hint="eastAsia" w:ascii="宋体" w:hAnsi="宋体" w:eastAsia="宋体" w:cs="宋体"/>
                <w:i w:val="0"/>
                <w:iCs w:val="0"/>
                <w:color w:val="000000"/>
                <w:sz w:val="24"/>
                <w:szCs w:val="24"/>
                <w:u w:val="none"/>
              </w:rPr>
            </w:pPr>
          </w:p>
        </w:tc>
        <w:tc>
          <w:tcPr>
            <w:tcW w:w="0" w:type="auto"/>
            <w:tcBorders>
              <w:top w:val="single" w:color="9BC2E6" w:sz="4" w:space="0"/>
              <w:left w:val="single" w:color="9BC2E6" w:sz="4" w:space="0"/>
              <w:bottom w:val="single" w:color="9BC2E6" w:sz="4" w:space="0"/>
              <w:right w:val="single" w:color="5B9BD5" w:sz="4" w:space="0"/>
            </w:tcBorders>
            <w:shd w:val="clear" w:color="auto" w:fill="auto"/>
            <w:noWrap/>
            <w:vAlign w:val="center"/>
          </w:tcPr>
          <w:p w14:paraId="5266CF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514,881.30</w:t>
            </w:r>
          </w:p>
        </w:tc>
      </w:tr>
      <w:tr w14:paraId="3E01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85" w:type="dxa"/>
            <w:tcBorders>
              <w:top w:val="single" w:color="9BC2E6" w:sz="4" w:space="0"/>
              <w:left w:val="single" w:color="5B9BD5" w:sz="4" w:space="0"/>
              <w:bottom w:val="single" w:color="5B9BD5" w:sz="4" w:space="0"/>
              <w:right w:val="single" w:color="9BC2E6" w:sz="4" w:space="0"/>
            </w:tcBorders>
            <w:shd w:val="clear" w:color="DDEBF7" w:fill="DDEBF7"/>
            <w:vAlign w:val="center"/>
          </w:tcPr>
          <w:p w14:paraId="7E09D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固定资产净值</w:t>
            </w:r>
          </w:p>
        </w:tc>
        <w:tc>
          <w:tcPr>
            <w:tcW w:w="0" w:type="auto"/>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501B2AF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1,448,128.16</w:t>
            </w:r>
          </w:p>
        </w:tc>
        <w:tc>
          <w:tcPr>
            <w:tcW w:w="0" w:type="auto"/>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668942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-148,562.96</w:t>
            </w:r>
          </w:p>
        </w:tc>
        <w:tc>
          <w:tcPr>
            <w:tcW w:w="0" w:type="auto"/>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5CCC1D67">
            <w:pPr>
              <w:jc w:val="right"/>
              <w:rPr>
                <w:rFonts w:hint="eastAsia" w:ascii="宋体" w:hAnsi="宋体" w:eastAsia="宋体" w:cs="宋体"/>
                <w:i w:val="0"/>
                <w:iCs w:val="0"/>
                <w:color w:val="000000"/>
                <w:sz w:val="24"/>
                <w:szCs w:val="24"/>
                <w:u w:val="none"/>
              </w:rPr>
            </w:pPr>
          </w:p>
        </w:tc>
        <w:tc>
          <w:tcPr>
            <w:tcW w:w="0" w:type="auto"/>
            <w:tcBorders>
              <w:top w:val="single" w:color="9BC2E6" w:sz="4" w:space="0"/>
              <w:left w:val="single" w:color="9BC2E6" w:sz="4" w:space="0"/>
              <w:bottom w:val="single" w:color="5B9BD5" w:sz="4" w:space="0"/>
              <w:right w:val="single" w:color="5B9BD5" w:sz="4" w:space="0"/>
            </w:tcBorders>
            <w:shd w:val="clear" w:color="DDEBF7" w:fill="DDEBF7"/>
            <w:noWrap/>
            <w:vAlign w:val="center"/>
          </w:tcPr>
          <w:p w14:paraId="08E6A1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1,299,565.20</w:t>
            </w:r>
          </w:p>
        </w:tc>
      </w:tr>
    </w:tbl>
    <w:p w14:paraId="19FF5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2.固定资产明细（金额：元）</w:t>
      </w:r>
    </w:p>
    <w:tbl>
      <w:tblPr>
        <w:tblStyle w:val="14"/>
        <w:tblW w:w="8813" w:type="dxa"/>
        <w:tblInd w:w="-2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0"/>
        <w:gridCol w:w="1125"/>
        <w:gridCol w:w="1455"/>
        <w:gridCol w:w="1230"/>
        <w:gridCol w:w="1335"/>
        <w:gridCol w:w="915"/>
        <w:gridCol w:w="860"/>
        <w:gridCol w:w="453"/>
      </w:tblGrid>
      <w:tr w14:paraId="1292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1440" w:type="dxa"/>
            <w:tcBorders>
              <w:top w:val="single" w:color="5B9BD5" w:sz="4" w:space="0"/>
              <w:left w:val="single" w:color="5B9BD5" w:sz="4" w:space="0"/>
              <w:bottom w:val="single" w:color="5B9BD5" w:sz="8" w:space="0"/>
              <w:right w:val="single" w:color="9BC2E6" w:sz="4" w:space="0"/>
            </w:tcBorders>
            <w:shd w:val="clear" w:color="auto" w:fill="auto"/>
            <w:vAlign w:val="center"/>
          </w:tcPr>
          <w:p w14:paraId="56F1A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资产编号</w:t>
            </w:r>
          </w:p>
        </w:tc>
        <w:tc>
          <w:tcPr>
            <w:tcW w:w="1125" w:type="dxa"/>
            <w:tcBorders>
              <w:top w:val="single" w:color="5B9BD5" w:sz="4" w:space="0"/>
              <w:left w:val="single" w:color="9BC2E6" w:sz="4" w:space="0"/>
              <w:bottom w:val="single" w:color="5B9BD5" w:sz="8" w:space="0"/>
              <w:right w:val="single" w:color="9BC2E6" w:sz="4" w:space="0"/>
            </w:tcBorders>
            <w:shd w:val="clear" w:color="auto" w:fill="auto"/>
            <w:vAlign w:val="center"/>
          </w:tcPr>
          <w:p w14:paraId="5AD23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资产名称</w:t>
            </w:r>
          </w:p>
        </w:tc>
        <w:tc>
          <w:tcPr>
            <w:tcW w:w="1455" w:type="dxa"/>
            <w:tcBorders>
              <w:top w:val="single" w:color="5B9BD5" w:sz="4" w:space="0"/>
              <w:left w:val="single" w:color="9BC2E6" w:sz="4" w:space="0"/>
              <w:bottom w:val="single" w:color="5B9BD5" w:sz="8" w:space="0"/>
              <w:right w:val="single" w:color="9BC2E6" w:sz="4" w:space="0"/>
            </w:tcBorders>
            <w:shd w:val="clear" w:color="auto" w:fill="auto"/>
            <w:vAlign w:val="center"/>
          </w:tcPr>
          <w:p w14:paraId="2AAB7E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资产原值(元)</w:t>
            </w:r>
          </w:p>
        </w:tc>
        <w:tc>
          <w:tcPr>
            <w:tcW w:w="1230" w:type="dxa"/>
            <w:tcBorders>
              <w:top w:val="single" w:color="5B9BD5" w:sz="4" w:space="0"/>
              <w:left w:val="single" w:color="9BC2E6" w:sz="4" w:space="0"/>
              <w:bottom w:val="single" w:color="5B9BD5" w:sz="8" w:space="0"/>
              <w:right w:val="single" w:color="9BC2E6" w:sz="4" w:space="0"/>
            </w:tcBorders>
            <w:shd w:val="clear" w:color="auto" w:fill="auto"/>
            <w:vAlign w:val="center"/>
          </w:tcPr>
          <w:p w14:paraId="09BAD1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累计折旧</w:t>
            </w:r>
          </w:p>
        </w:tc>
        <w:tc>
          <w:tcPr>
            <w:tcW w:w="1335" w:type="dxa"/>
            <w:tcBorders>
              <w:top w:val="single" w:color="5B9BD5" w:sz="4" w:space="0"/>
              <w:left w:val="single" w:color="9BC2E6" w:sz="4" w:space="0"/>
              <w:bottom w:val="single" w:color="5B9BD5" w:sz="8" w:space="0"/>
              <w:right w:val="single" w:color="9BC2E6" w:sz="4" w:space="0"/>
            </w:tcBorders>
            <w:shd w:val="clear" w:color="auto" w:fill="auto"/>
            <w:vAlign w:val="center"/>
          </w:tcPr>
          <w:p w14:paraId="410939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净值(元)</w:t>
            </w:r>
          </w:p>
        </w:tc>
        <w:tc>
          <w:tcPr>
            <w:tcW w:w="915" w:type="dxa"/>
            <w:tcBorders>
              <w:top w:val="single" w:color="5B9BD5" w:sz="4" w:space="0"/>
              <w:left w:val="single" w:color="9BC2E6" w:sz="4" w:space="0"/>
              <w:bottom w:val="single" w:color="5B9BD5" w:sz="8" w:space="0"/>
              <w:right w:val="single" w:color="9BC2E6" w:sz="4" w:space="0"/>
            </w:tcBorders>
            <w:shd w:val="clear" w:color="auto" w:fill="auto"/>
            <w:vAlign w:val="center"/>
          </w:tcPr>
          <w:p w14:paraId="5446D0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记账日期</w:t>
            </w:r>
          </w:p>
        </w:tc>
        <w:tc>
          <w:tcPr>
            <w:tcW w:w="860" w:type="dxa"/>
            <w:tcBorders>
              <w:top w:val="single" w:color="5B9BD5" w:sz="4" w:space="0"/>
              <w:left w:val="single" w:color="9BC2E6" w:sz="4" w:space="0"/>
              <w:bottom w:val="single" w:color="5B9BD5" w:sz="8" w:space="0"/>
              <w:right w:val="single" w:color="9BC2E6" w:sz="4" w:space="0"/>
            </w:tcBorders>
            <w:shd w:val="clear" w:color="auto" w:fill="auto"/>
            <w:vAlign w:val="center"/>
          </w:tcPr>
          <w:p w14:paraId="24459F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记账凭证号</w:t>
            </w:r>
          </w:p>
        </w:tc>
        <w:tc>
          <w:tcPr>
            <w:tcW w:w="453" w:type="dxa"/>
            <w:tcBorders>
              <w:top w:val="single" w:color="5B9BD5" w:sz="4" w:space="0"/>
              <w:left w:val="single" w:color="9BC2E6" w:sz="4" w:space="0"/>
              <w:bottom w:val="single" w:color="5B9BD5" w:sz="8" w:space="0"/>
              <w:right w:val="single" w:color="9BC2E6" w:sz="4" w:space="0"/>
            </w:tcBorders>
            <w:shd w:val="clear" w:color="auto" w:fill="auto"/>
            <w:vAlign w:val="center"/>
          </w:tcPr>
          <w:p w14:paraId="1BC0C8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资产状态</w:t>
            </w:r>
          </w:p>
        </w:tc>
      </w:tr>
      <w:tr w14:paraId="43D5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40" w:type="dxa"/>
            <w:tcBorders>
              <w:top w:val="single" w:color="5B9BD5" w:sz="8" w:space="0"/>
              <w:left w:val="single" w:color="5B9BD5" w:sz="4" w:space="0"/>
              <w:bottom w:val="single" w:color="9BC2E6" w:sz="4" w:space="0"/>
              <w:right w:val="single" w:color="9BC2E6" w:sz="4" w:space="0"/>
            </w:tcBorders>
            <w:shd w:val="clear" w:color="DDEBF7" w:fill="DDEBF7"/>
            <w:noWrap/>
            <w:vAlign w:val="bottom"/>
          </w:tcPr>
          <w:p w14:paraId="057F867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430406006254378224000013</w:t>
            </w:r>
          </w:p>
        </w:tc>
        <w:tc>
          <w:tcPr>
            <w:tcW w:w="1125" w:type="dxa"/>
            <w:tcBorders>
              <w:top w:val="single" w:color="5B9BD5" w:sz="8" w:space="0"/>
              <w:left w:val="single" w:color="9BC2E6" w:sz="4" w:space="0"/>
              <w:bottom w:val="single" w:color="9BC2E6" w:sz="4" w:space="0"/>
              <w:right w:val="single" w:color="9BC2E6" w:sz="4" w:space="0"/>
            </w:tcBorders>
            <w:shd w:val="clear" w:color="DDEBF7" w:fill="DDEBF7"/>
            <w:vAlign w:val="bottom"/>
          </w:tcPr>
          <w:p w14:paraId="3BB50BC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 L2080 激光打印机</w:t>
            </w:r>
          </w:p>
        </w:tc>
        <w:tc>
          <w:tcPr>
            <w:tcW w:w="1455" w:type="dxa"/>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3E04CDD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1,190.00</w:t>
            </w:r>
          </w:p>
        </w:tc>
        <w:tc>
          <w:tcPr>
            <w:tcW w:w="1230" w:type="dxa"/>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79156CC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16.53 </w:t>
            </w:r>
          </w:p>
        </w:tc>
        <w:tc>
          <w:tcPr>
            <w:tcW w:w="1335" w:type="dxa"/>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3A459E4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1,173.47</w:t>
            </w:r>
          </w:p>
        </w:tc>
        <w:tc>
          <w:tcPr>
            <w:tcW w:w="915" w:type="dxa"/>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4A1DA73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2024/12/05</w:t>
            </w:r>
          </w:p>
        </w:tc>
        <w:tc>
          <w:tcPr>
            <w:tcW w:w="860" w:type="dxa"/>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3FFD6EE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记账-0004</w:t>
            </w:r>
          </w:p>
        </w:tc>
        <w:tc>
          <w:tcPr>
            <w:tcW w:w="453" w:type="dxa"/>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145E55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EF2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09AEBE8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430406006254378224000012</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A52E98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显示屏</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B72F2D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6CBFF3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19.17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737F06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1,360.83</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F37F9A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2024/12/05</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45D9F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记账-0004</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796830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273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161F3CF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430406006254378524000010</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582BC5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办公家具</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39E3DD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8757D6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14.70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971BC2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78FCCA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2024/06/30</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B810B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记账-0017</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9D2D23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745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1CF2715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430406006254378524000009</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882B14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5828E5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1E5209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31.08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EC13C3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768.92</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52CD9F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2024/06/30</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07A360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记账-0017</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E88F4A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0029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700376E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430406006254378524000007</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7CB7A5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办公家具</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6BC639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CB3379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65.76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766D6F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1,414.24</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832F2C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2024/05/21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71BA49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记账-0008</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230E21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EAE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166F531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430406006254378524000005</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7E511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76B668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944EF7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56.21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F981EE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863.79</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AEE32C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2024/02/01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42664B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记账-0036</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E6E56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285D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5440B9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430406006254378224000003</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B9212A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联想激光打印机</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3B659E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1D867D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380.38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AB6FEF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2,109.62</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A5AD22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2024/02/01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A55C0C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记账-0016</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73FF98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EDA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4038D0E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430406006254378224000002</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804857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联想激光打印机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D3D4DE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9FF24A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380.38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E1D04E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2,109.62</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617C88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2024/02/01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C416F0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记账-0016</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96C46A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AA2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1F83DD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430406006254378507000004</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06274B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办公桌椅</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954F53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838764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1,740.00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0B4B59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3B11F4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6F7953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197B96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2873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78580AE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430406006254378214000006</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89D446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E5BB72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6B0A01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6,120.00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B30493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2440EC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4480ED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D7C1D0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582F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697BCE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430406006254378214000005</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9BF4C9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BF2E79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C64206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5,780.00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3D7969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31A5EE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457D1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52CA2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61B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733F313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430406006254378213000008</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6DE61B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6B105F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A7AAF8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2,480.00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68B900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E15E39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EE06BD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A1A6B2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EA9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23E3E50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430406006254378213000007</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D5FFC2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BDA986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2F18DF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2,480.00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EFC884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49F312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A30526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31F029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CD5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179A79C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430406006254378213000006</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61F0E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1F657C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95D112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2,480.00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A5E917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6F4640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41F012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63D3FA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7936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47F7A09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430406006254378209000018</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5B3BEB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88B20E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E09598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3,500.00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E8D3ED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D76ECB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F985ED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CFC8E9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187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2471A4A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430406006254378209000017</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371489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9BE68A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3C4D03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3,500.00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094DF6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1859FD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BF75BD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23860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012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78065AE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430406006254378209000016</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60E75A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6EAE1A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E5F0CB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3,500.00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29B58F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8B6F22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9A7E91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80C45D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28EA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0C80D4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430406006254378209000015</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4F0869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27BA1F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459A43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3,500.00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A79498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423EB2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795D3E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449281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0C3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634BEC2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430406006254378209000014</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07D317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7AF949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92B108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3,500.00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E5CBB9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816C28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60A005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336042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2CB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1440A99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430406006254378209000013</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AA7AD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2BB983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E37093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1,000.00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C5681D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CEBAB9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B52275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772790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996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748F6F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430406006254378209000012</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C33679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2C8776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B31F23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4,500.00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B1621B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7B2A4F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C9E3F1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291188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56F0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68C3DA6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430406006254378209000011</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5D3421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42B856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76A29A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5,300.00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8CA973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B641FD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92D4AE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637C5F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闲置</w:t>
            </w:r>
          </w:p>
        </w:tc>
      </w:tr>
      <w:tr w14:paraId="4E63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7DC27C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430406006254378208000008</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3B876A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数码相机</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7AC4DC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B1C26D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1,780.00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39404D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54A49A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B17BD2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319A6A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DF8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2D104E0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430406006254378208000007</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2D772B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86C042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95B3BF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4,560.00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A1E859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74A4BB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546BD0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E76038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57E4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24C1F9C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430406006254378208000006</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730387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1DE249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C16306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D9BB42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199,800.00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F88241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125730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7AB47A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16C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1F34348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430406006254378202000012</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96B6A0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757E25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29B919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356.00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086D29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25A4BE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9D8573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B98193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5156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679178D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430406006254378202000011</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622FD8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4BD57F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41CB35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356.00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56E8BC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06B7AF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0F2D92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E62DB2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BFB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13C89CB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430406006254378202000010</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4C081E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684973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AC3AC1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356.00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53D76B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64D00A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63FAED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0B99FE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5566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4010655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430406006254378202000009</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6A6ADA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AFEB79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F8DF79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356.00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F8D4E4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4CC4F3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B02FFA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359838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326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4E61705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430406006254378202000008</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F6A2FA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D9EC89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E93937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356.00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54536B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EF52E2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3A8557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49580E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63F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365E8F7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430406006254378223000013</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5ED321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预算联网监控系统设备</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5A8F95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1,035,000.00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578770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224,250.00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AF9638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810,750.00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45E04A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AE7D02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12月27#</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3C3151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7F47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01D1F8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430406006254378223000012</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862D4B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财务装订机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EF8B7C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8BA076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715.54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499AC0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2,964.46</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EE799D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2023/11/30</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07BD9A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11月7#</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B17642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2403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6161344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430406006254378223000011</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326159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华为擎云W515PGUWBY0台式电脑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290AE4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9,722.00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1A0CDB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2,430.54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A2B5F7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7,291.46</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4EC0CD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DC946E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7月3#</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CC0A2C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93F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42A7BE5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430406006254378223000010</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DEB0E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华为擎云W515PGUWBY0台式电脑</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F0FC25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9,722.00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E4E221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2,430.54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212E5C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7,291.46</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1D30FD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990095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7月3#</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4133E6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1A8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33EF089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430406006254378223000009</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85C563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联想GM265DN</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2FE95A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3668E6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622.44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D9F6EF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1,867.56</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0559C1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6B1CD8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7月3#</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47F793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73F0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178986A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430406006254378223000008</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F6996C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联想GM265DN</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83CE43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72912E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622.44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72650C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1,867.56</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E49298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70C6A9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7月3#</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CC4601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CF1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792B367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430406006254378523000007</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C099E5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四通大班椅</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8B3A09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4DFD97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190.80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3AE24E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1,527.20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B32A58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722B98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5月8#</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A1329C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531E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52E0397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430406006254378523000006</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499B1D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四通电脑办公桌</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31E061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B84421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328.80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148196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2,631.20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394499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302519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5月8#</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741221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582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4020667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430406006254378223000005</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D3A928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GM265DN激光打印机</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16068B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ACDA3F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691.60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295D4B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1,798.40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AC8652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FEBA7C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5月7#</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4E4FA1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2BEA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4395AE6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430406006254378223000004</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E9799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GM265DN激光打印机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5236D6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29E7B3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691.60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E7F53E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1,798.40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863D38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C145F2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5月7#</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1FB720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1CCC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30C8CAA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430406006254378223000003</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F290C1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联想M740Z</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651374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FA6B7E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2,480.60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53A1A5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6,449.40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C31337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48C680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5月7#</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C505E9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2E54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00E7280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430406006254378223000002</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597F1A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联想M740Z</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F0BC11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CEF364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2,480.60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1C44D3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6,449.40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F9C744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68C853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5月7#</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09E4EE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E84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467AD9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430406006254378223000001</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0D04B2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联想M740Z</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6D96A5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768EB3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2,480.60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8933AF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6,449.40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3A95CE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E86B1D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5月7#</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9101F4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721E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6A0CCEF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TY2022000007</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E85792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0539F2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64E714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1,993.75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4FD0EA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2,956.25</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BEE388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BC3B91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186CFF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1C6E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1ECDB6E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TY2022000006</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F271DC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78640B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735B63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1,993.75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0F3129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2,956.25</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84C6BB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7FE172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6248B7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B69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3CB4B09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TY2022000005</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AF323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C6CA2A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055425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1,993.75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C5AA51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2,956.25</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978171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FD0ED5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BBF18B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476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1C1373A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TY2022000004</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FD42F1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8A1D75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B8927E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643.32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324EA8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428.68</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C20829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2022/01/25</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98F9A2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记账0003号</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895C3E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2E7A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40E6354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TY2022000003</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248241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7C6A3D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55494D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2,450.16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7662D2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2,449.84</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BCA64E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2022/01/25</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F2DCD6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记账0003号</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D37B89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2533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3C6E09E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JJ2022000001</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B189B1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保密柜</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D38F12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EACA46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690.12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CFCE9F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2,759.88</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600A23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2022/01/25</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4C2CEB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记账00003号</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7ECFB9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D67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4E68303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TY2021000013</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972EE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B29363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8A279E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508.75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1F2CCA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481.25</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3890BC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A28632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A989F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B3C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060F54E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TY2021000012</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EEF798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813885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EEC64E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1,017.50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8D3BD7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962.50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54CAA4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1F36F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9FBC2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5D7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3046C5C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TY2021000011</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4CD1EC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E0CFD0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7D4AF5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1,223.22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165473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1,156.78</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990672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3AF3ED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FAC6F8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0DCB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3EE54BF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TY2021000010</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DFE1B6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771902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441189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611.61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249621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578.39</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092164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54E38B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907949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4EF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7695EAC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TY2021000009</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F9E66B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50BFCD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3DCF76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1,870.72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EB8B33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1,769.28</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FA4929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B605FB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43828E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C19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64DA8E6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TY2021000007</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530A38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B738AC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4A7385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5,036.07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6EC420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4,763.93</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87D053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01D4DA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9E5A11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055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6C27CFA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TY2021000006</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420003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375A29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CC6A0A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10,072.14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E6FA70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9,527.86</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81FA08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71E906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B7BB68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7513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36C5D03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TY2021000005</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5EEA44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2502D2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7B10BA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5,036.07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0575F7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4,763.93</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07B7FC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EB9D95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4CC621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5622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4298E11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TY2021000004</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072B11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4DB237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61FF3E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7,554.29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5DB8CE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7,145.71</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ECA02A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5D4A16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F77AF0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2936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46904FD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TY2021000003</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320BE9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C8ADA9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C326B2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2,518.22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4B497B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2,381.78</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DA6D1D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507ED9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87729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0E404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67E5985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TY2021000002</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660837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CBFDBA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31512B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4,912.86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B70F8E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4,647.14</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0D898A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D15A3B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541D9C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167D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2B01652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TY2021000001</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B2855C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9B0461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9,701.00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398011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4,985.38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48B9FD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4,715.62</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B9334C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8B2336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5AD9A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02AC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01F128C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JJ2021000020</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0C1E00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D54A9D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A8512E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592.00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ED7D8B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2,288.00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0162D1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57CF4F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1B7326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904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631A8F1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JJ2021000019</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AF67D9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5DD92F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12CB01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616.79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D6E6B5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2,383.21</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ABC0FF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49DA2B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8AEF23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754E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624E3AB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JJ2021000018</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FFC451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EB5C22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34284A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994.93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8652A5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3,845.07</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35117A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480768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CFD9E2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802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565D0B6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JJ2021000016</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996C00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六门书柜</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BEE6B5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C42B3D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242.72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B71DEB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937.28</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5C90F6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71996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2177D0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76F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3F3F0AC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JJ2021000015</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15FE84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六门书柜</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37C9AB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03F6C1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242.72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984DD5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937.28</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1841E7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429C3F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C48E6B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1794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6E30E5A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JJ2021000014</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194188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六门书柜</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043237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C91BCE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242.72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0E2CC1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937.28</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BB8356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2EA0C6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A6EF9F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18CE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4B5BC75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JJ2021000013</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3C51D7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大班椅A019</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1344A1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A2028C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164.28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6101A7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634.72</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822C6F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7076C9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8C9818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E7F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48E5926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JJ2021000012</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51BEA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大班椅A019</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7A45CB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E9EBA8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538.72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E041BC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2,081.28</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35AC86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6BDDD4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0FDBA4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5B5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77A69C2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JJ2021000011</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E3A962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33473A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015E59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164.28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3F4830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634.72</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81835F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A43586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198E77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5B89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4FD7653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JJ2021000010</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5301D0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0E2968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7D153E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164.28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A678F0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634.72</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49B5C0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D89475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A301F7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A6E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6884815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JJ2021000009</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844F29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茶水柜8014</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FB7FF4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C69FCE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308.21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4EA7BE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1,191.79</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C53137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0110A9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3EE9BA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99A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3662023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JJ2021000008</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4CDBB6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茶水柜8014</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457B1C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81BA78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283.79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31BEB3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1,096.21</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3F064E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A352D4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2F27DF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3D2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37E6CD3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JJ2021000007</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BD1E8C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茶水柜8014</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0B18C3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6A6117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180.93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22CE9D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699.07</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20FC21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903333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CC0834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0D32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71F9EC9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JJ2021000006</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633304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茶水柜8014</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792B29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8E49C5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139.86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4AB07B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540.14</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B17CD2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CF25CB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31A937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036B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4FB978E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JJ2021000005</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E378D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方茶几</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C6D665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CC4791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123.21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C12856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476.79</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3A940B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F763B6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B55ED5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23C5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030AA7E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JJ2021000004</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C880D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42ADB1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A8A8E2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616.79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6D9E0E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2,383.21</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551529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A3D975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D4B5E3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281F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6B37966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JJ2021000003</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CCCBCF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A84027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CC15FD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263.07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F0EAB8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1,016.93</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DB7667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A3171E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96250C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693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5A54760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JJ2021000002</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94822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12CAA7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27615F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616.79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7EFBA7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2,383.21</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D0DF7B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8BE3AA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27962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C94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28CF873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JJ2021000001</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6D6783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ED8EF4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F4D48F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616.79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443E9B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2,383.21</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0F0B51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2021/12/31</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67EB79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待完善</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CEA0D9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D27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1A3FC64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2015000012</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F3D7B8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2FAE99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476545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4,958.73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F1EFC1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2,541.27</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747E06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vAlign w:val="bottom"/>
          </w:tcPr>
          <w:p w14:paraId="4945BB4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30D84D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15CD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2D2BFF2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2015000011</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3F07A2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货架</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E457C6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FE2167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1,692.18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9EB15B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867.82</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F426C0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065C6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3C8CB6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5A98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5624991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2015000010</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A85FB1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D96B51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7,938.00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EE5411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7,938.00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2D9372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1F1A2F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EBFC53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DCAEA8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1465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3D7F67A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2015000009</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EDBA88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6D8067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29FE43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9,232.80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3F89CF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1,687.20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587263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320EA3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927A4D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200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3217C2D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2015000008</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B5CCAA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02294E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5,544.00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BDA021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5,544.00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B7B9B3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B9936E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611A40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B75460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7AFA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5C9DE59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2015000007</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E80247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85A758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31,605.00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597AAA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26,710.00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8241DB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4,895.00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988B38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7C16BF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660793B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C11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6514A7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2015000006</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0F4129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1A71C2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7D94C4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2,860.00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E75706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CA3E7D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373E46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F35B16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4447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41EAF86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2015000005</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C4B03E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6EA16B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1,984.50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A1FB03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1,984.50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4B1663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00A9DF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5D7FEB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599352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1E6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073E7A4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2015000004</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EC5BBD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91BF1F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13,545.00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750CAB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11,447.80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B204EA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2,097.20</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C42F7D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998955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40685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949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011A0BE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2015000003</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5CE8D62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22443A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6E3615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3,384.36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13940F3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1,735.64</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34D1985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A4F588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CE601E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18C3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5CF2E45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2015000002</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748AD0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皮沙发</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1FFB91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C76DDC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11,981.02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B31FBA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10,918.98</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F5C10D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B23951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06A2D2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153E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auto" w:fill="auto"/>
            <w:noWrap/>
            <w:vAlign w:val="bottom"/>
          </w:tcPr>
          <w:p w14:paraId="075963C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2015000001</w:t>
            </w:r>
          </w:p>
        </w:tc>
        <w:tc>
          <w:tcPr>
            <w:tcW w:w="112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2D87A31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145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1A8EE5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7,080.00</w:t>
            </w:r>
          </w:p>
        </w:tc>
        <w:tc>
          <w:tcPr>
            <w:tcW w:w="123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7E25E8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4,680.27 </w:t>
            </w:r>
          </w:p>
        </w:tc>
        <w:tc>
          <w:tcPr>
            <w:tcW w:w="133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095176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2,399.73</w:t>
            </w:r>
          </w:p>
        </w:tc>
        <w:tc>
          <w:tcPr>
            <w:tcW w:w="915"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7A14290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2015/02/28</w:t>
            </w:r>
          </w:p>
        </w:tc>
        <w:tc>
          <w:tcPr>
            <w:tcW w:w="860"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4C06ED9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auto" w:fill="auto"/>
            <w:noWrap/>
            <w:vAlign w:val="bottom"/>
          </w:tcPr>
          <w:p w14:paraId="0B231B9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3BEA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1CD94B8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20130000002</w:t>
            </w:r>
          </w:p>
        </w:tc>
        <w:tc>
          <w:tcPr>
            <w:tcW w:w="112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31CA79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w:t>
            </w:r>
          </w:p>
        </w:tc>
        <w:tc>
          <w:tcPr>
            <w:tcW w:w="145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08A5E0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179,800.00</w:t>
            </w:r>
          </w:p>
        </w:tc>
        <w:tc>
          <w:tcPr>
            <w:tcW w:w="123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26854D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61,362.77 </w:t>
            </w:r>
          </w:p>
        </w:tc>
        <w:tc>
          <w:tcPr>
            <w:tcW w:w="133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EFE019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118,437.23</w:t>
            </w:r>
          </w:p>
        </w:tc>
        <w:tc>
          <w:tcPr>
            <w:tcW w:w="915"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9899AE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2013/12/31</w:t>
            </w:r>
          </w:p>
        </w:tc>
        <w:tc>
          <w:tcPr>
            <w:tcW w:w="860"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B5774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请完善会计凭证</w:t>
            </w:r>
          </w:p>
        </w:tc>
        <w:tc>
          <w:tcPr>
            <w:tcW w:w="453" w:type="dxa"/>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C0C58E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w:t>
            </w:r>
          </w:p>
        </w:tc>
      </w:tr>
      <w:tr w14:paraId="6142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40" w:type="dxa"/>
            <w:tcBorders>
              <w:top w:val="single" w:color="9BC2E6" w:sz="4" w:space="0"/>
              <w:left w:val="single" w:color="5B9BD5" w:sz="4" w:space="0"/>
              <w:bottom w:val="single" w:color="5B9BD5" w:sz="4" w:space="0"/>
              <w:right w:val="single" w:color="9BC2E6" w:sz="4" w:space="0"/>
            </w:tcBorders>
            <w:shd w:val="clear" w:color="DDEBF7" w:fill="DDEBF7"/>
            <w:noWrap/>
            <w:vAlign w:val="bottom"/>
          </w:tcPr>
          <w:p w14:paraId="6167DB6D">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c>
          <w:tcPr>
            <w:tcW w:w="1125" w:type="dxa"/>
            <w:tcBorders>
              <w:top w:val="single" w:color="9BC2E6" w:sz="4" w:space="0"/>
              <w:left w:val="single" w:color="9BC2E6" w:sz="4" w:space="0"/>
              <w:bottom w:val="single" w:color="5B9BD5" w:sz="4" w:space="0"/>
              <w:right w:val="single" w:color="9BC2E6" w:sz="4" w:space="0"/>
            </w:tcBorders>
            <w:shd w:val="clear" w:color="DDEBF7" w:fill="DDEBF7"/>
            <w:noWrap/>
            <w:vAlign w:val="bottom"/>
          </w:tcPr>
          <w:p w14:paraId="1B5AFC1E">
            <w:pPr>
              <w:keepNext w:val="0"/>
              <w:keepLines w:val="0"/>
              <w:widowControl/>
              <w:suppressLineNumbers w:val="0"/>
              <w:jc w:val="lef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455" w:type="dxa"/>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49C772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1,814,446.50 </w:t>
            </w:r>
          </w:p>
        </w:tc>
        <w:tc>
          <w:tcPr>
            <w:tcW w:w="1230" w:type="dxa"/>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5C390E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514,881.30 </w:t>
            </w:r>
          </w:p>
        </w:tc>
        <w:tc>
          <w:tcPr>
            <w:tcW w:w="1335" w:type="dxa"/>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207001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1,299,565.20 </w:t>
            </w:r>
          </w:p>
        </w:tc>
        <w:tc>
          <w:tcPr>
            <w:tcW w:w="915" w:type="dxa"/>
            <w:tcBorders>
              <w:top w:val="single" w:color="9BC2E6" w:sz="4" w:space="0"/>
              <w:left w:val="single" w:color="9BC2E6" w:sz="4" w:space="0"/>
              <w:bottom w:val="single" w:color="5B9BD5" w:sz="4" w:space="0"/>
              <w:right w:val="single" w:color="9BC2E6" w:sz="4" w:space="0"/>
            </w:tcBorders>
            <w:shd w:val="clear" w:color="DDEBF7" w:fill="DDEBF7"/>
            <w:noWrap/>
            <w:vAlign w:val="bottom"/>
          </w:tcPr>
          <w:p w14:paraId="6D86A8AC">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c>
          <w:tcPr>
            <w:tcW w:w="860" w:type="dxa"/>
            <w:tcBorders>
              <w:top w:val="single" w:color="9BC2E6" w:sz="4" w:space="0"/>
              <w:left w:val="single" w:color="9BC2E6" w:sz="4" w:space="0"/>
              <w:bottom w:val="single" w:color="5B9BD5" w:sz="4" w:space="0"/>
              <w:right w:val="single" w:color="9BC2E6" w:sz="4" w:space="0"/>
            </w:tcBorders>
            <w:shd w:val="clear" w:color="DDEBF7" w:fill="DDEBF7"/>
            <w:noWrap/>
            <w:vAlign w:val="bottom"/>
          </w:tcPr>
          <w:p w14:paraId="0532A284">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c>
          <w:tcPr>
            <w:tcW w:w="453" w:type="dxa"/>
            <w:tcBorders>
              <w:top w:val="single" w:color="9BC2E6" w:sz="4" w:space="0"/>
              <w:left w:val="single" w:color="9BC2E6" w:sz="4" w:space="0"/>
              <w:bottom w:val="single" w:color="5B9BD5" w:sz="4" w:space="0"/>
              <w:right w:val="single" w:color="9BC2E6" w:sz="4" w:space="0"/>
            </w:tcBorders>
            <w:shd w:val="clear" w:color="DDEBF7" w:fill="DDEBF7"/>
            <w:noWrap/>
            <w:vAlign w:val="bottom"/>
          </w:tcPr>
          <w:p w14:paraId="0F4BDA78">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r>
    </w:tbl>
    <w:p w14:paraId="0E13B7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6" w:name="_Toc18857"/>
      <w:r>
        <w:rPr>
          <w:rFonts w:hint="eastAsia" w:ascii="楷体" w:hAnsi="楷体" w:eastAsia="楷体" w:cs="楷体"/>
          <w:b/>
          <w:bCs/>
          <w:sz w:val="32"/>
          <w:szCs w:val="32"/>
          <w:highlight w:val="none"/>
          <w:lang w:val="en-US" w:eastAsia="zh-CN"/>
        </w:rPr>
        <w:t>（八）厉行节约保障措施的执行情况及其政策效果</w:t>
      </w:r>
      <w:bookmarkEnd w:id="36"/>
    </w:p>
    <w:p w14:paraId="4692B7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rPr>
        <w:t>2024年，区</w:t>
      </w:r>
      <w:r>
        <w:rPr>
          <w:rFonts w:hint="eastAsia" w:ascii="仿宋" w:hAnsi="仿宋" w:eastAsia="仿宋" w:cs="仿宋"/>
          <w:sz w:val="32"/>
          <w:szCs w:val="32"/>
          <w:lang w:val="en-US" w:eastAsia="zh-CN"/>
        </w:rPr>
        <w:t>人大办</w:t>
      </w:r>
      <w:r>
        <w:rPr>
          <w:rFonts w:hint="eastAsia" w:ascii="仿宋" w:hAnsi="仿宋" w:eastAsia="仿宋" w:cs="仿宋"/>
          <w:sz w:val="32"/>
          <w:szCs w:val="32"/>
        </w:rPr>
        <w:t>深入贯彻习近平总书记关于</w:t>
      </w:r>
      <w:r>
        <w:rPr>
          <w:rFonts w:hint="eastAsia" w:ascii="仿宋" w:hAnsi="仿宋" w:eastAsia="仿宋" w:cs="仿宋"/>
          <w:b/>
          <w:bCs/>
          <w:sz w:val="32"/>
          <w:szCs w:val="32"/>
          <w:lang w:eastAsia="zh-CN"/>
        </w:rPr>
        <w:t>“</w:t>
      </w:r>
      <w:r>
        <w:rPr>
          <w:rFonts w:hint="eastAsia" w:ascii="仿宋" w:hAnsi="仿宋" w:eastAsia="仿宋" w:cs="仿宋"/>
          <w:b/>
          <w:bCs/>
          <w:sz w:val="32"/>
          <w:szCs w:val="32"/>
        </w:rPr>
        <w:t>坚持勤俭节约办一切事业</w:t>
      </w:r>
      <w:r>
        <w:rPr>
          <w:rFonts w:hint="eastAsia" w:ascii="仿宋" w:hAnsi="仿宋" w:eastAsia="仿宋" w:cs="仿宋"/>
          <w:b/>
          <w:bCs/>
          <w:sz w:val="32"/>
          <w:szCs w:val="32"/>
          <w:lang w:eastAsia="zh-CN"/>
        </w:rPr>
        <w:t>”</w:t>
      </w:r>
      <w:r>
        <w:rPr>
          <w:rFonts w:hint="eastAsia" w:ascii="仿宋" w:hAnsi="仿宋" w:eastAsia="仿宋" w:cs="仿宋"/>
          <w:sz w:val="32"/>
          <w:szCs w:val="32"/>
        </w:rPr>
        <w:t>的重要指示精神，认真落实中央、省、市关于推动党政机关带头厉行节约、反对铺张浪费的相关规定，坚持</w:t>
      </w:r>
      <w:r>
        <w:rPr>
          <w:rFonts w:hint="eastAsia" w:ascii="仿宋" w:hAnsi="仿宋" w:eastAsia="仿宋" w:cs="仿宋"/>
          <w:sz w:val="32"/>
          <w:szCs w:val="32"/>
          <w:lang w:val="en-US" w:eastAsia="zh-CN"/>
        </w:rPr>
        <w:t>创建“</w:t>
      </w:r>
      <w:r>
        <w:rPr>
          <w:rFonts w:hint="eastAsia" w:ascii="仿宋" w:hAnsi="仿宋" w:eastAsia="仿宋" w:cs="仿宋"/>
          <w:sz w:val="32"/>
          <w:szCs w:val="32"/>
        </w:rPr>
        <w:t>节约型机关</w:t>
      </w:r>
      <w:r>
        <w:rPr>
          <w:rFonts w:hint="eastAsia" w:ascii="仿宋" w:hAnsi="仿宋" w:eastAsia="仿宋" w:cs="仿宋"/>
          <w:sz w:val="32"/>
          <w:szCs w:val="32"/>
          <w:lang w:eastAsia="zh-CN"/>
        </w:rPr>
        <w:t>”</w:t>
      </w:r>
      <w:r>
        <w:rPr>
          <w:rFonts w:hint="eastAsia" w:ascii="仿宋" w:hAnsi="仿宋" w:eastAsia="仿宋" w:cs="仿宋"/>
          <w:sz w:val="32"/>
          <w:szCs w:val="32"/>
        </w:rPr>
        <w:t>。牢固树立</w:t>
      </w:r>
      <w:r>
        <w:rPr>
          <w:rFonts w:hint="eastAsia" w:ascii="仿宋" w:hAnsi="仿宋" w:eastAsia="仿宋" w:cs="仿宋"/>
          <w:sz w:val="32"/>
          <w:szCs w:val="32"/>
          <w:lang w:eastAsia="zh-CN"/>
        </w:rPr>
        <w:t>“</w:t>
      </w:r>
      <w:r>
        <w:rPr>
          <w:rFonts w:hint="eastAsia" w:ascii="仿宋" w:hAnsi="仿宋" w:eastAsia="仿宋" w:cs="仿宋"/>
          <w:sz w:val="32"/>
          <w:szCs w:val="32"/>
        </w:rPr>
        <w:t>绿色发展、机关先行</w:t>
      </w:r>
      <w:r>
        <w:rPr>
          <w:rFonts w:hint="eastAsia" w:ascii="仿宋" w:hAnsi="仿宋" w:eastAsia="仿宋" w:cs="仿宋"/>
          <w:sz w:val="32"/>
          <w:szCs w:val="32"/>
          <w:lang w:eastAsia="zh-CN"/>
        </w:rPr>
        <w:t>”</w:t>
      </w:r>
      <w:r>
        <w:rPr>
          <w:rFonts w:hint="eastAsia" w:ascii="仿宋" w:hAnsi="仿宋" w:eastAsia="仿宋" w:cs="仿宋"/>
          <w:sz w:val="32"/>
          <w:szCs w:val="32"/>
        </w:rPr>
        <w:t>的理念，把节约理念贯穿于机关运行的各个方面，从思想上、行动上坚决反对享乐主义、奢靡之风，自觉发扬艰苦奋斗、勤俭节约的优良作风。</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强化宣传教育，树立节约意识</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区人大</w:t>
      </w:r>
      <w:r>
        <w:rPr>
          <w:rFonts w:hint="eastAsia" w:ascii="仿宋" w:hAnsi="仿宋" w:eastAsia="仿宋" w:cs="仿宋"/>
          <w:sz w:val="32"/>
          <w:szCs w:val="32"/>
        </w:rPr>
        <w:t>高度重视干部职工节约意识的培养，通过多形式、多渠道开展宣传教育活动，营造勤俭节约的工作氛围。专题学习部署，组织全体干部职工深入学习习近平总书记关于厉行节约、反对浪费的重要论述，传达上级关于习惯过</w:t>
      </w:r>
      <w:r>
        <w:rPr>
          <w:rFonts w:hint="eastAsia" w:ascii="仿宋" w:hAnsi="仿宋" w:eastAsia="仿宋" w:cs="仿宋"/>
          <w:sz w:val="32"/>
          <w:szCs w:val="32"/>
          <w:lang w:eastAsia="zh-CN"/>
        </w:rPr>
        <w:t>“</w:t>
      </w:r>
      <w:r>
        <w:rPr>
          <w:rFonts w:hint="eastAsia" w:ascii="仿宋" w:hAnsi="仿宋" w:eastAsia="仿宋" w:cs="仿宋"/>
          <w:sz w:val="32"/>
          <w:szCs w:val="32"/>
        </w:rPr>
        <w:t>紧日</w:t>
      </w:r>
      <w:r>
        <w:rPr>
          <w:rFonts w:hint="eastAsia" w:ascii="仿宋" w:hAnsi="仿宋" w:eastAsia="仿宋" w:cs="仿宋"/>
          <w:sz w:val="32"/>
          <w:szCs w:val="32"/>
          <w:lang w:val="en-US" w:eastAsia="zh-CN"/>
        </w:rPr>
        <w:t>子</w:t>
      </w:r>
      <w:r>
        <w:rPr>
          <w:rFonts w:hint="eastAsia" w:ascii="仿宋" w:hAnsi="仿宋" w:eastAsia="仿宋" w:cs="仿宋"/>
          <w:sz w:val="32"/>
          <w:szCs w:val="32"/>
          <w:lang w:eastAsia="zh-CN"/>
        </w:rPr>
        <w:t>”</w:t>
      </w:r>
      <w:r>
        <w:rPr>
          <w:rFonts w:hint="eastAsia" w:ascii="仿宋" w:hAnsi="仿宋" w:eastAsia="仿宋" w:cs="仿宋"/>
          <w:sz w:val="32"/>
          <w:szCs w:val="32"/>
        </w:rPr>
        <w:t>的要求。会议明确要求从政治高度认识节约工作的重要性，将思想与行动统一到中央部署上来，增强了干部职工节约资源的责任感和使命感。</w:t>
      </w:r>
      <w:r>
        <w:rPr>
          <w:rFonts w:hint="eastAsia" w:ascii="仿宋" w:hAnsi="仿宋" w:eastAsia="仿宋" w:cs="仿宋"/>
          <w:sz w:val="32"/>
          <w:szCs w:val="32"/>
          <w:lang w:val="en-US" w:eastAsia="zh-CN"/>
        </w:rPr>
        <w:t>同时，</w:t>
      </w:r>
      <w:r>
        <w:rPr>
          <w:rFonts w:hint="eastAsia" w:ascii="仿宋" w:hAnsi="仿宋" w:eastAsia="仿宋" w:cs="仿宋"/>
          <w:sz w:val="32"/>
          <w:szCs w:val="32"/>
        </w:rPr>
        <w:t>通过在办公区域张贴节约标识、发放节能倡议书、内部工作群推送提醒等方式，营造随处可见、时刻提醒的节约氛围。结合全国节能宣传周、世界水日、地球日等重要节点，组织开展形式多样的主题宣传活动，推广节能节水知识，倡导绿色办公理念。</w:t>
      </w:r>
      <w:r>
        <w:rPr>
          <w:rFonts w:hint="eastAsia" w:ascii="仿宋" w:hAnsi="仿宋" w:eastAsia="仿宋" w:cs="仿宋"/>
          <w:sz w:val="32"/>
          <w:szCs w:val="32"/>
          <w:lang w:val="en-US" w:eastAsia="zh-CN"/>
        </w:rPr>
        <w:t>在</w:t>
      </w:r>
      <w:r>
        <w:rPr>
          <w:rFonts w:hint="eastAsia" w:ascii="仿宋" w:hAnsi="仿宋" w:eastAsia="仿宋" w:cs="仿宋"/>
          <w:sz w:val="32"/>
          <w:szCs w:val="32"/>
        </w:rPr>
        <w:t>文化培育</w:t>
      </w:r>
      <w:r>
        <w:rPr>
          <w:rFonts w:hint="eastAsia" w:ascii="仿宋" w:hAnsi="仿宋" w:eastAsia="仿宋" w:cs="仿宋"/>
          <w:sz w:val="32"/>
          <w:szCs w:val="32"/>
          <w:lang w:val="en-US" w:eastAsia="zh-CN"/>
        </w:rPr>
        <w:t>方面，</w:t>
      </w:r>
      <w:r>
        <w:rPr>
          <w:rFonts w:hint="eastAsia" w:ascii="仿宋" w:hAnsi="仿宋" w:eastAsia="仿宋" w:cs="仿宋"/>
          <w:sz w:val="32"/>
          <w:szCs w:val="32"/>
        </w:rPr>
        <w:t>引导干部职工养成简约适度、绿色低碳的生活和工作方式。鼓励无纸化办公、双面打印；提倡使用环保袋、减少一次性用品使用；培养随手关灯、关水的习惯，让节约意识内化于心、外化于行，形成全员参与、共同践行的良好局面。</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规范资源管理，降低机关能耗</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区人大</w:t>
      </w:r>
      <w:r>
        <w:rPr>
          <w:rFonts w:hint="eastAsia" w:ascii="仿宋" w:hAnsi="仿宋" w:eastAsia="仿宋" w:cs="仿宋"/>
          <w:sz w:val="32"/>
          <w:szCs w:val="32"/>
        </w:rPr>
        <w:t>从制度建设入手，严格管理能源资源使用，切实降低机关运行成本，提升资源利用效率。完善管理制度：健全节约能源资源管理制度，提高能源资源利用效率，降低机关运行成本。制定并严格执行用水、用电、用纸等相关要求，明确节能目标和措施，落实管理责任。建立资源消耗台账，按月统计分析，及时发现和纠正浪费现象。文印管理：推行无纸化办公，减少纸质文件印发，严格控制文件印刷数量和复印次数。必需打印的文件一律采用双面打印，单面使用过的纸张重复利用于草稿纸，大幅减少纸张消耗。</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严格经费控制，压减公务支出</w:t>
      </w:r>
      <w:r>
        <w:rPr>
          <w:rFonts w:hint="eastAsia" w:ascii="仿宋" w:hAnsi="仿宋" w:eastAsia="仿宋" w:cs="仿宋"/>
          <w:b/>
          <w:bCs/>
          <w:sz w:val="32"/>
          <w:szCs w:val="32"/>
          <w:lang w:eastAsia="zh-CN"/>
        </w:rPr>
        <w:t>。</w:t>
      </w:r>
    </w:p>
    <w:p w14:paraId="5647FFC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仿宋" w:hAnsi="仿宋" w:eastAsia="仿宋" w:cs="仿宋"/>
          <w:sz w:val="32"/>
          <w:szCs w:val="32"/>
          <w:lang w:val="en-US" w:eastAsia="zh-CN"/>
        </w:rPr>
        <w:t>区人大</w:t>
      </w:r>
      <w:r>
        <w:rPr>
          <w:rFonts w:hint="eastAsia" w:ascii="仿宋" w:hAnsi="仿宋" w:eastAsia="仿宋" w:cs="仿宋"/>
          <w:sz w:val="32"/>
          <w:szCs w:val="32"/>
        </w:rPr>
        <w:t>坚持</w:t>
      </w:r>
      <w:r>
        <w:rPr>
          <w:rFonts w:hint="eastAsia" w:ascii="仿宋" w:hAnsi="仿宋" w:eastAsia="仿宋" w:cs="仿宋"/>
          <w:sz w:val="32"/>
          <w:szCs w:val="32"/>
          <w:lang w:eastAsia="zh-CN"/>
        </w:rPr>
        <w:t>“</w:t>
      </w:r>
      <w:r>
        <w:rPr>
          <w:rFonts w:hint="eastAsia" w:ascii="仿宋" w:hAnsi="仿宋" w:eastAsia="仿宋" w:cs="仿宋"/>
          <w:sz w:val="32"/>
          <w:szCs w:val="32"/>
        </w:rPr>
        <w:t>先预算、后支出</w:t>
      </w:r>
      <w:r>
        <w:rPr>
          <w:rFonts w:hint="eastAsia" w:ascii="仿宋" w:hAnsi="仿宋" w:eastAsia="仿宋" w:cs="仿宋"/>
          <w:sz w:val="32"/>
          <w:szCs w:val="32"/>
          <w:lang w:eastAsia="zh-CN"/>
        </w:rPr>
        <w:t>”</w:t>
      </w:r>
      <w:r>
        <w:rPr>
          <w:rFonts w:hint="eastAsia" w:ascii="仿宋" w:hAnsi="仿宋" w:eastAsia="仿宋" w:cs="仿宋"/>
          <w:sz w:val="32"/>
          <w:szCs w:val="32"/>
        </w:rPr>
        <w:t>的原则，加强经费审批和使用管理，严控</w:t>
      </w:r>
      <w:r>
        <w:rPr>
          <w:rFonts w:hint="eastAsia" w:ascii="仿宋" w:hAnsi="仿宋" w:eastAsia="仿宋" w:cs="仿宋"/>
          <w:sz w:val="32"/>
          <w:szCs w:val="32"/>
          <w:lang w:eastAsia="zh-CN"/>
        </w:rPr>
        <w:t>“</w:t>
      </w:r>
      <w:r>
        <w:rPr>
          <w:rFonts w:hint="eastAsia" w:ascii="仿宋" w:hAnsi="仿宋" w:eastAsia="仿宋" w:cs="仿宋"/>
          <w:sz w:val="32"/>
          <w:szCs w:val="32"/>
        </w:rPr>
        <w:t>三公</w:t>
      </w:r>
      <w:r>
        <w:rPr>
          <w:rFonts w:hint="eastAsia" w:ascii="仿宋" w:hAnsi="仿宋" w:eastAsia="仿宋" w:cs="仿宋"/>
          <w:sz w:val="32"/>
          <w:szCs w:val="32"/>
          <w:lang w:eastAsia="zh-CN"/>
        </w:rPr>
        <w:t>”</w:t>
      </w:r>
      <w:r>
        <w:rPr>
          <w:rFonts w:hint="eastAsia" w:ascii="仿宋" w:hAnsi="仿宋" w:eastAsia="仿宋" w:cs="仿宋"/>
          <w:sz w:val="32"/>
          <w:szCs w:val="32"/>
        </w:rPr>
        <w:t>经费和其他公务支出。认真贯彻落实中央八项规定精神和厉行节约要求，从严控制公务接待开支。严格执行公务接待审批制度，控制接待标准和陪餐人数，简化接待。通过一系列有力措施，取得了显著成效。我们坚持创建</w:t>
      </w:r>
      <w:r>
        <w:rPr>
          <w:rFonts w:hint="eastAsia" w:ascii="仿宋" w:hAnsi="仿宋" w:eastAsia="仿宋" w:cs="仿宋"/>
          <w:sz w:val="32"/>
          <w:szCs w:val="32"/>
          <w:lang w:eastAsia="zh-CN"/>
        </w:rPr>
        <w:t>“</w:t>
      </w:r>
      <w:r>
        <w:rPr>
          <w:rFonts w:hint="eastAsia" w:ascii="仿宋" w:hAnsi="仿宋" w:eastAsia="仿宋" w:cs="仿宋"/>
          <w:sz w:val="32"/>
          <w:szCs w:val="32"/>
        </w:rPr>
        <w:t>节约型机关</w:t>
      </w:r>
      <w:r>
        <w:rPr>
          <w:rFonts w:hint="eastAsia" w:ascii="仿宋" w:hAnsi="仿宋" w:eastAsia="仿宋" w:cs="仿宋"/>
          <w:sz w:val="32"/>
          <w:szCs w:val="32"/>
          <w:lang w:eastAsia="zh-CN"/>
        </w:rPr>
        <w:t>”</w:t>
      </w:r>
      <w:r>
        <w:rPr>
          <w:rFonts w:hint="eastAsia" w:ascii="仿宋" w:hAnsi="仿宋" w:eastAsia="仿宋" w:cs="仿宋"/>
          <w:sz w:val="32"/>
          <w:szCs w:val="32"/>
        </w:rPr>
        <w:t>，把节约理念贯穿于机关运行各环节。通过建立健全能源资源管理制度，推行绿色办公模式，引导干部职工养成简约适度、绿色低碳的生活和工作方式</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四是</w:t>
      </w:r>
      <w:r>
        <w:rPr>
          <w:rFonts w:hint="eastAsia" w:ascii="仿宋" w:hAnsi="仿宋" w:eastAsia="仿宋" w:cs="仿宋"/>
          <w:b/>
          <w:bCs/>
          <w:sz w:val="32"/>
          <w:szCs w:val="32"/>
        </w:rPr>
        <w:t>下一步工作计划</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区人大</w:t>
      </w:r>
      <w:r>
        <w:rPr>
          <w:rFonts w:hint="eastAsia" w:ascii="仿宋" w:hAnsi="仿宋" w:eastAsia="仿宋" w:cs="仿宋"/>
          <w:sz w:val="32"/>
          <w:szCs w:val="32"/>
        </w:rPr>
        <w:t>将在2025年进一步深化厉行节约工作，重点抓好以</w:t>
      </w:r>
      <w:r>
        <w:rPr>
          <w:rFonts w:hint="eastAsia" w:ascii="仿宋" w:hAnsi="仿宋" w:eastAsia="仿宋" w:cs="仿宋"/>
          <w:sz w:val="32"/>
          <w:szCs w:val="32"/>
          <w:lang w:val="en-US" w:eastAsia="zh-CN"/>
        </w:rPr>
        <w:t>下</w:t>
      </w:r>
      <w:r>
        <w:rPr>
          <w:rFonts w:hint="eastAsia" w:ascii="仿宋" w:hAnsi="仿宋" w:eastAsia="仿宋" w:cs="仿宋"/>
          <w:sz w:val="32"/>
          <w:szCs w:val="32"/>
        </w:rPr>
        <w:t>方面工作</w:t>
      </w:r>
      <w:r>
        <w:rPr>
          <w:rFonts w:hint="eastAsia" w:ascii="仿宋" w:hAnsi="仿宋" w:eastAsia="仿宋" w:cs="仿宋"/>
          <w:sz w:val="32"/>
          <w:szCs w:val="32"/>
          <w:lang w:eastAsia="zh-CN"/>
        </w:rPr>
        <w:t>。</w:t>
      </w:r>
      <w:r>
        <w:rPr>
          <w:rFonts w:hint="eastAsia" w:ascii="仿宋" w:hAnsi="仿宋" w:eastAsia="仿宋" w:cs="仿宋"/>
          <w:b/>
          <w:bCs/>
          <w:sz w:val="32"/>
          <w:szCs w:val="32"/>
        </w:rPr>
        <w:t>完善长效机制建设</w:t>
      </w:r>
      <w:r>
        <w:rPr>
          <w:rFonts w:hint="eastAsia" w:ascii="仿宋" w:hAnsi="仿宋" w:eastAsia="仿宋" w:cs="仿宋"/>
          <w:b/>
          <w:bCs/>
          <w:sz w:val="32"/>
          <w:szCs w:val="32"/>
          <w:lang w:eastAsia="zh-CN"/>
        </w:rPr>
        <w:t>，</w:t>
      </w:r>
      <w:r>
        <w:rPr>
          <w:rFonts w:hint="eastAsia" w:ascii="仿宋" w:hAnsi="仿宋" w:eastAsia="仿宋" w:cs="仿宋"/>
          <w:sz w:val="32"/>
          <w:szCs w:val="32"/>
        </w:rPr>
        <w:t>健全节约能源资源管理制度体系，及时发现和解决存在的问题。推动节约工作与</w:t>
      </w:r>
      <w:r>
        <w:rPr>
          <w:rFonts w:hint="eastAsia" w:ascii="仿宋" w:hAnsi="仿宋" w:eastAsia="仿宋" w:cs="仿宋"/>
          <w:sz w:val="32"/>
          <w:szCs w:val="32"/>
          <w:lang w:val="en-US" w:eastAsia="zh-CN"/>
        </w:rPr>
        <w:t>相关</w:t>
      </w:r>
      <w:r>
        <w:rPr>
          <w:rFonts w:hint="eastAsia" w:ascii="仿宋" w:hAnsi="仿宋" w:eastAsia="仿宋" w:cs="仿宋"/>
          <w:sz w:val="32"/>
          <w:szCs w:val="32"/>
        </w:rPr>
        <w:t>业务工作更紧密结合，实现节约常态化、规范化、长效化管理。</w:t>
      </w:r>
      <w:r>
        <w:rPr>
          <w:rFonts w:hint="eastAsia" w:ascii="仿宋" w:hAnsi="仿宋" w:eastAsia="仿宋" w:cs="仿宋"/>
          <w:b/>
          <w:bCs/>
          <w:sz w:val="32"/>
          <w:szCs w:val="32"/>
        </w:rPr>
        <w:t>探索更为科学的工作流程和方法，平衡节约与效率的关系。</w:t>
      </w:r>
      <w:r>
        <w:rPr>
          <w:rFonts w:hint="eastAsia" w:ascii="仿宋" w:hAnsi="仿宋" w:eastAsia="仿宋" w:cs="仿宋"/>
          <w:sz w:val="32"/>
          <w:szCs w:val="32"/>
        </w:rPr>
        <w:t>推进信息化建设，扩大无纸化办公覆盖范围，优化电子公文流程，减少纸质文件流转。改进业务工作模式，科学统筹公务活动，合理安排车辆使用，在节约资源的同时保障工作效率。</w:t>
      </w:r>
    </w:p>
    <w:p w14:paraId="7E5B6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b/>
          <w:bCs/>
          <w:sz w:val="32"/>
          <w:szCs w:val="32"/>
          <w:highlight w:val="none"/>
          <w:lang w:eastAsia="zh-CN"/>
        </w:rPr>
      </w:pPr>
      <w:bookmarkStart w:id="37" w:name="_Toc3526"/>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bookmarkEnd w:id="37"/>
    </w:p>
    <w:p w14:paraId="5A6DA2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eastAsia="zh-CN"/>
        </w:rPr>
      </w:pPr>
      <w:bookmarkStart w:id="38" w:name="_Toc28992"/>
      <w:r>
        <w:rPr>
          <w:rFonts w:hint="eastAsia" w:ascii="楷体" w:hAnsi="楷体" w:eastAsia="楷体" w:cs="楷体"/>
          <w:b/>
          <w:bCs/>
          <w:sz w:val="32"/>
          <w:szCs w:val="32"/>
          <w:lang w:eastAsia="zh-CN"/>
        </w:rPr>
        <w:t>（一）总体目标</w:t>
      </w:r>
      <w:bookmarkEnd w:id="38"/>
    </w:p>
    <w:p w14:paraId="4F8CA32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以高效能履职服务高质量发展，</w:t>
      </w:r>
      <w:r>
        <w:rPr>
          <w:rFonts w:hint="eastAsia" w:ascii="仿宋" w:hAnsi="仿宋" w:eastAsia="仿宋" w:cs="仿宋"/>
          <w:b w:val="0"/>
          <w:bCs w:val="0"/>
          <w:sz w:val="32"/>
          <w:szCs w:val="32"/>
          <w:lang w:eastAsia="zh-CN"/>
        </w:rPr>
        <w:t>为加快建设中国式现代化新雁峰贡献人大力量。</w:t>
      </w:r>
      <w:r>
        <w:rPr>
          <w:rFonts w:hint="eastAsia" w:ascii="仿宋" w:hAnsi="仿宋" w:eastAsia="仿宋" w:cs="仿宋"/>
          <w:b/>
          <w:bCs/>
          <w:sz w:val="32"/>
          <w:szCs w:val="32"/>
          <w:lang w:eastAsia="zh-CN"/>
        </w:rPr>
        <w:t>监督实效更强。</w:t>
      </w:r>
      <w:r>
        <w:rPr>
          <w:rFonts w:hint="eastAsia" w:ascii="仿宋" w:hAnsi="仿宋" w:eastAsia="仿宋" w:cs="仿宋"/>
          <w:b w:val="0"/>
          <w:bCs w:val="0"/>
          <w:sz w:val="32"/>
          <w:szCs w:val="32"/>
          <w:lang w:eastAsia="zh-CN"/>
        </w:rPr>
        <w:t>听取审议、执法检查、视察调研等监督活动数量足、靶向准、成效实。</w:t>
      </w:r>
      <w:r>
        <w:rPr>
          <w:rFonts w:hint="eastAsia" w:ascii="仿宋" w:hAnsi="仿宋" w:eastAsia="仿宋" w:cs="仿宋"/>
          <w:b/>
          <w:bCs/>
          <w:sz w:val="32"/>
          <w:szCs w:val="32"/>
          <w:lang w:eastAsia="zh-CN"/>
        </w:rPr>
        <w:t>决定任免更优。</w:t>
      </w:r>
      <w:r>
        <w:rPr>
          <w:rFonts w:hint="eastAsia" w:ascii="仿宋" w:hAnsi="仿宋" w:eastAsia="仿宋" w:cs="仿宋"/>
          <w:b w:val="0"/>
          <w:bCs w:val="0"/>
          <w:sz w:val="32"/>
          <w:szCs w:val="32"/>
          <w:lang w:eastAsia="zh-CN"/>
        </w:rPr>
        <w:t>重大事项决定科学民主，人事任免程序规范，圆满实现组织意图。</w:t>
      </w:r>
      <w:r>
        <w:rPr>
          <w:rFonts w:hint="eastAsia" w:ascii="仿宋" w:hAnsi="仿宋" w:eastAsia="仿宋" w:cs="仿宋"/>
          <w:b/>
          <w:bCs/>
          <w:sz w:val="32"/>
          <w:szCs w:val="32"/>
          <w:lang w:eastAsia="zh-CN"/>
        </w:rPr>
        <w:t>代表活力更足。</w:t>
      </w:r>
      <w:r>
        <w:rPr>
          <w:rFonts w:hint="eastAsia" w:ascii="仿宋" w:hAnsi="仿宋" w:eastAsia="仿宋" w:cs="仿宋"/>
          <w:b w:val="0"/>
          <w:bCs w:val="0"/>
          <w:sz w:val="32"/>
          <w:szCs w:val="32"/>
          <w:lang w:eastAsia="zh-CN"/>
        </w:rPr>
        <w:t>代表履职平台提质增效，建议办理“三率”达100%，代表作用充分发挥。</w:t>
      </w:r>
      <w:r>
        <w:rPr>
          <w:rFonts w:hint="eastAsia" w:ascii="仿宋" w:hAnsi="仿宋" w:eastAsia="仿宋" w:cs="仿宋"/>
          <w:b/>
          <w:bCs/>
          <w:sz w:val="32"/>
          <w:szCs w:val="32"/>
          <w:lang w:eastAsia="zh-CN"/>
        </w:rPr>
        <w:t>民主根基更牢。</w:t>
      </w:r>
      <w:r>
        <w:rPr>
          <w:rFonts w:hint="eastAsia" w:ascii="仿宋" w:hAnsi="仿宋" w:eastAsia="仿宋" w:cs="仿宋"/>
          <w:b w:val="0"/>
          <w:bCs w:val="0"/>
          <w:sz w:val="32"/>
          <w:szCs w:val="32"/>
          <w:lang w:eastAsia="zh-CN"/>
        </w:rPr>
        <w:t>全过程人民民主实践创新深化，民意表达渠道畅通，民主品牌响亮。</w:t>
      </w:r>
      <w:r>
        <w:rPr>
          <w:rFonts w:hint="eastAsia" w:ascii="仿宋" w:hAnsi="仿宋" w:eastAsia="仿宋" w:cs="仿宋"/>
          <w:b/>
          <w:bCs/>
          <w:sz w:val="32"/>
          <w:szCs w:val="32"/>
          <w:lang w:eastAsia="zh-CN"/>
        </w:rPr>
        <w:t>自身建设更严。</w:t>
      </w:r>
      <w:r>
        <w:rPr>
          <w:rFonts w:hint="eastAsia" w:ascii="仿宋" w:hAnsi="仿宋" w:eastAsia="仿宋" w:cs="仿宋"/>
          <w:b w:val="0"/>
          <w:bCs w:val="0"/>
          <w:sz w:val="32"/>
          <w:szCs w:val="32"/>
          <w:lang w:eastAsia="zh-CN"/>
        </w:rPr>
        <w:t>制度建设完善，作风持续改进，履职能力全面提升。</w:t>
      </w:r>
    </w:p>
    <w:p w14:paraId="2E97E8B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9" w:name="_Toc29261"/>
      <w:r>
        <w:rPr>
          <w:rFonts w:hint="eastAsia" w:ascii="楷体" w:hAnsi="楷体" w:eastAsia="楷体" w:cs="楷体"/>
          <w:b/>
          <w:bCs/>
          <w:sz w:val="32"/>
          <w:szCs w:val="32"/>
          <w:lang w:eastAsia="zh-CN"/>
        </w:rPr>
        <w:t>（二）分类目标</w:t>
      </w:r>
      <w:bookmarkEnd w:id="39"/>
    </w:p>
    <w:p w14:paraId="126DA58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以下目标按核心职能模块进行划分，并设定具体的量化指标与预期效果。</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lang w:eastAsia="zh-CN"/>
        </w:rPr>
        <w:t>在政治引领，忠诚履职方面。理论学习指标：</w:t>
      </w:r>
      <w:r>
        <w:rPr>
          <w:rFonts w:hint="eastAsia" w:ascii="仿宋" w:hAnsi="仿宋" w:eastAsia="仿宋" w:cs="仿宋"/>
          <w:b w:val="0"/>
          <w:bCs w:val="0"/>
          <w:sz w:val="32"/>
          <w:szCs w:val="32"/>
          <w:lang w:eastAsia="zh-CN"/>
        </w:rPr>
        <w:t>组织党组理论学习中心组学习≥16次，机关干部集中学习≥33次。</w:t>
      </w:r>
      <w:r>
        <w:rPr>
          <w:rFonts w:hint="eastAsia" w:ascii="仿宋" w:hAnsi="仿宋" w:eastAsia="仿宋" w:cs="仿宋"/>
          <w:b/>
          <w:bCs/>
          <w:sz w:val="32"/>
          <w:szCs w:val="32"/>
          <w:lang w:eastAsia="zh-CN"/>
        </w:rPr>
        <w:t>请示报告指标：</w:t>
      </w:r>
      <w:r>
        <w:rPr>
          <w:rFonts w:hint="eastAsia" w:ascii="仿宋" w:hAnsi="仿宋" w:eastAsia="仿宋" w:cs="仿宋"/>
          <w:b w:val="0"/>
          <w:bCs w:val="0"/>
          <w:sz w:val="32"/>
          <w:szCs w:val="32"/>
          <w:lang w:eastAsia="zh-CN"/>
        </w:rPr>
        <w:t>严格执行请示报告制度，全年向区委请示报告≥25次。</w:t>
      </w:r>
      <w:r>
        <w:rPr>
          <w:rFonts w:hint="eastAsia" w:ascii="仿宋" w:hAnsi="仿宋" w:eastAsia="仿宋" w:cs="仿宋"/>
          <w:b/>
          <w:bCs/>
          <w:sz w:val="32"/>
          <w:szCs w:val="32"/>
          <w:lang w:eastAsia="zh-CN"/>
        </w:rPr>
        <w:t>中心参与指标：</w:t>
      </w:r>
      <w:r>
        <w:rPr>
          <w:rFonts w:hint="eastAsia" w:ascii="仿宋" w:hAnsi="仿宋" w:eastAsia="仿宋" w:cs="仿宋"/>
          <w:b w:val="0"/>
          <w:bCs w:val="0"/>
          <w:sz w:val="32"/>
          <w:szCs w:val="32"/>
          <w:lang w:eastAsia="zh-CN"/>
        </w:rPr>
        <w:t>领导班子成员深入一线调研重点产业链、文旅项目等覆盖核心发展领域，确保人大工作与区委中心工作同频共振。</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lang w:eastAsia="zh-CN"/>
        </w:rPr>
        <w:t>在服务大局，强化监督方面。会议审议指标：</w:t>
      </w:r>
      <w:r>
        <w:rPr>
          <w:rFonts w:hint="eastAsia" w:ascii="仿宋" w:hAnsi="仿宋" w:eastAsia="仿宋" w:cs="仿宋"/>
          <w:b w:val="0"/>
          <w:bCs w:val="0"/>
          <w:sz w:val="32"/>
          <w:szCs w:val="32"/>
          <w:lang w:eastAsia="zh-CN"/>
        </w:rPr>
        <w:t>召开人大常委会7次、主任会8次；听取审议专项工作报告14个；依法决定重大事项9项。</w:t>
      </w:r>
      <w:r>
        <w:rPr>
          <w:rFonts w:hint="eastAsia" w:ascii="仿宋" w:hAnsi="仿宋" w:eastAsia="仿宋" w:cs="仿宋"/>
          <w:b/>
          <w:bCs/>
          <w:sz w:val="32"/>
          <w:szCs w:val="32"/>
          <w:lang w:eastAsia="zh-CN"/>
        </w:rPr>
        <w:t>执法检查指标：</w:t>
      </w:r>
      <w:r>
        <w:rPr>
          <w:rFonts w:hint="eastAsia" w:ascii="仿宋" w:hAnsi="仿宋" w:eastAsia="仿宋" w:cs="仿宋"/>
          <w:b w:val="0"/>
          <w:bCs w:val="0"/>
          <w:sz w:val="32"/>
          <w:szCs w:val="32"/>
          <w:lang w:eastAsia="zh-CN"/>
        </w:rPr>
        <w:t>开展执法检查7次（涵盖中小企业促进、大气污染防治、安全生产等多领域）。</w:t>
      </w:r>
      <w:r>
        <w:rPr>
          <w:rFonts w:hint="eastAsia" w:ascii="仿宋" w:hAnsi="仿宋" w:eastAsia="仿宋" w:cs="仿宋"/>
          <w:b/>
          <w:bCs/>
          <w:sz w:val="32"/>
          <w:szCs w:val="32"/>
          <w:lang w:eastAsia="zh-CN"/>
        </w:rPr>
        <w:t>视察调研指标：</w:t>
      </w:r>
      <w:r>
        <w:rPr>
          <w:rFonts w:hint="eastAsia" w:ascii="仿宋" w:hAnsi="仿宋" w:eastAsia="仿宋" w:cs="仿宋"/>
          <w:b w:val="0"/>
          <w:bCs w:val="0"/>
          <w:sz w:val="32"/>
          <w:szCs w:val="32"/>
          <w:lang w:eastAsia="zh-CN"/>
        </w:rPr>
        <w:t>开展视察调研14次（聚焦经济、民生、环保、司法等）。</w:t>
      </w:r>
      <w:r>
        <w:rPr>
          <w:rFonts w:hint="eastAsia" w:ascii="仿宋" w:hAnsi="仿宋" w:eastAsia="仿宋" w:cs="仿宋"/>
          <w:b/>
          <w:bCs/>
          <w:sz w:val="32"/>
          <w:szCs w:val="32"/>
          <w:lang w:eastAsia="zh-CN"/>
        </w:rPr>
        <w:t>计划预算监督指标：</w:t>
      </w:r>
      <w:r>
        <w:rPr>
          <w:rFonts w:hint="eastAsia" w:ascii="仿宋" w:hAnsi="仿宋" w:eastAsia="仿宋" w:cs="仿宋"/>
          <w:b w:val="0"/>
          <w:bCs w:val="0"/>
          <w:sz w:val="32"/>
          <w:szCs w:val="32"/>
          <w:lang w:eastAsia="zh-CN"/>
        </w:rPr>
        <w:t>听取审议计划、预算、决算、国资、债务等报告，完成预算联网监督系统二期建设，实现动态数据联通和实时监督。</w:t>
      </w:r>
      <w:r>
        <w:rPr>
          <w:rFonts w:hint="eastAsia" w:ascii="仿宋" w:hAnsi="仿宋" w:eastAsia="仿宋" w:cs="仿宋"/>
          <w:b/>
          <w:bCs/>
          <w:sz w:val="32"/>
          <w:szCs w:val="32"/>
          <w:lang w:eastAsia="zh-CN"/>
        </w:rPr>
        <w:t>司法人事监督指标：</w:t>
      </w:r>
      <w:r>
        <w:rPr>
          <w:rFonts w:hint="eastAsia" w:ascii="仿宋" w:hAnsi="仿宋" w:eastAsia="仿宋" w:cs="仿宋"/>
          <w:b w:val="0"/>
          <w:bCs w:val="0"/>
          <w:sz w:val="32"/>
          <w:szCs w:val="32"/>
          <w:lang w:eastAsia="zh-CN"/>
        </w:rPr>
        <w:t>任免国家机关工作人员95人次；对3名副区长、8名局长、4名法官、4名检察官开展履职评议。</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lang w:eastAsia="zh-CN"/>
        </w:rPr>
        <w:t>在代表为本，激发活力方面。平台建设指标：</w:t>
      </w:r>
      <w:r>
        <w:rPr>
          <w:rFonts w:hint="eastAsia" w:ascii="仿宋" w:hAnsi="仿宋" w:eastAsia="仿宋" w:cs="仿宋"/>
          <w:b w:val="0"/>
          <w:bCs w:val="0"/>
          <w:sz w:val="32"/>
          <w:szCs w:val="32"/>
          <w:lang w:eastAsia="zh-CN"/>
        </w:rPr>
        <w:t>代表联络站达到“六有”标准，打造“商圈议事汇”“逢四说事”等7个民主议事品牌。</w:t>
      </w:r>
      <w:r>
        <w:rPr>
          <w:rFonts w:hint="eastAsia" w:ascii="仿宋" w:hAnsi="仿宋" w:eastAsia="仿宋" w:cs="仿宋"/>
          <w:b/>
          <w:bCs/>
          <w:sz w:val="32"/>
          <w:szCs w:val="32"/>
          <w:lang w:eastAsia="zh-CN"/>
        </w:rPr>
        <w:t>建议办理指标：</w:t>
      </w:r>
      <w:r>
        <w:rPr>
          <w:rFonts w:hint="eastAsia" w:ascii="仿宋" w:hAnsi="仿宋" w:eastAsia="仿宋" w:cs="仿宋"/>
          <w:b w:val="0"/>
          <w:bCs w:val="0"/>
          <w:sz w:val="32"/>
          <w:szCs w:val="32"/>
          <w:lang w:eastAsia="zh-CN"/>
        </w:rPr>
        <w:t>代表提出建议64件，办理答复见面率、回复率、满意率实现三个100%；跟踪督办重点建议5件。</w:t>
      </w:r>
      <w:r>
        <w:rPr>
          <w:rFonts w:hint="eastAsia" w:ascii="仿宋" w:hAnsi="仿宋" w:eastAsia="仿宋" w:cs="仿宋"/>
          <w:b/>
          <w:bCs/>
          <w:sz w:val="32"/>
          <w:szCs w:val="32"/>
          <w:lang w:eastAsia="zh-CN"/>
        </w:rPr>
        <w:t>代表参与指标：</w:t>
      </w:r>
      <w:r>
        <w:rPr>
          <w:rFonts w:hint="eastAsia" w:ascii="仿宋" w:hAnsi="仿宋" w:eastAsia="仿宋" w:cs="仿宋"/>
          <w:b w:val="0"/>
          <w:bCs w:val="0"/>
          <w:sz w:val="32"/>
          <w:szCs w:val="32"/>
          <w:lang w:eastAsia="zh-CN"/>
        </w:rPr>
        <w:t>邀请35名代表列席常委会会议，组织267人次代表参与常委会活动；五级人大代表进站接待选民780余人次，收集社情民意310余条。</w:t>
      </w:r>
      <w:r>
        <w:rPr>
          <w:rFonts w:hint="eastAsia" w:ascii="仿宋" w:hAnsi="仿宋" w:eastAsia="仿宋" w:cs="仿宋"/>
          <w:b/>
          <w:bCs/>
          <w:sz w:val="32"/>
          <w:szCs w:val="32"/>
          <w:lang w:eastAsia="zh-CN"/>
        </w:rPr>
        <w:t>活动开展指标：</w:t>
      </w:r>
      <w:r>
        <w:rPr>
          <w:rFonts w:hint="eastAsia" w:ascii="仿宋" w:hAnsi="仿宋" w:eastAsia="仿宋" w:cs="仿宋"/>
          <w:b w:val="0"/>
          <w:bCs w:val="0"/>
          <w:sz w:val="32"/>
          <w:szCs w:val="32"/>
          <w:lang w:eastAsia="zh-CN"/>
        </w:rPr>
        <w:t>组织开展代表“六进”活动42次；开展“6.25为民服务日”等主题活动，服务群众数千人次。</w:t>
      </w:r>
      <w:r>
        <w:rPr>
          <w:rFonts w:hint="eastAsia" w:ascii="仿宋" w:hAnsi="仿宋" w:eastAsia="仿宋" w:cs="仿宋"/>
          <w:b/>
          <w:bCs/>
          <w:sz w:val="32"/>
          <w:szCs w:val="32"/>
          <w:lang w:val="en-US" w:eastAsia="zh-CN"/>
        </w:rPr>
        <w:t>四是</w:t>
      </w:r>
      <w:r>
        <w:rPr>
          <w:rFonts w:hint="eastAsia" w:ascii="仿宋" w:hAnsi="仿宋" w:eastAsia="仿宋" w:cs="仿宋"/>
          <w:b/>
          <w:bCs/>
          <w:sz w:val="32"/>
          <w:szCs w:val="32"/>
          <w:lang w:eastAsia="zh-CN"/>
        </w:rPr>
        <w:t>在守正创新，弘扬实干方面。制度规范指标：</w:t>
      </w:r>
      <w:r>
        <w:rPr>
          <w:rFonts w:hint="eastAsia" w:ascii="仿宋" w:hAnsi="仿宋" w:eastAsia="仿宋" w:cs="仿宋"/>
          <w:b w:val="0"/>
          <w:bCs w:val="0"/>
          <w:sz w:val="32"/>
          <w:szCs w:val="32"/>
          <w:lang w:eastAsia="zh-CN"/>
        </w:rPr>
        <w:t>连续三年修订完善制度汇编，实现按制度办事、管人管事全覆盖。</w:t>
      </w:r>
      <w:r>
        <w:rPr>
          <w:rFonts w:hint="eastAsia" w:ascii="仿宋" w:hAnsi="仿宋" w:eastAsia="仿宋" w:cs="仿宋"/>
          <w:b/>
          <w:bCs/>
          <w:sz w:val="32"/>
          <w:szCs w:val="32"/>
          <w:lang w:eastAsia="zh-CN"/>
        </w:rPr>
        <w:t>工作创新指标：</w:t>
      </w:r>
      <w:r>
        <w:rPr>
          <w:rFonts w:hint="eastAsia" w:ascii="仿宋" w:hAnsi="仿宋" w:eastAsia="仿宋" w:cs="仿宋"/>
          <w:b w:val="0"/>
          <w:bCs w:val="0"/>
          <w:sz w:val="32"/>
          <w:szCs w:val="32"/>
          <w:lang w:eastAsia="zh-CN"/>
        </w:rPr>
        <w:t>全面探索“一委（室）一特色”，各专委会均打造至少1项特色工作品牌；各镇街人大打造“一镇街一品牌”。</w:t>
      </w:r>
      <w:r>
        <w:rPr>
          <w:rFonts w:hint="eastAsia" w:ascii="仿宋" w:hAnsi="仿宋" w:eastAsia="仿宋" w:cs="仿宋"/>
          <w:b/>
          <w:bCs/>
          <w:sz w:val="32"/>
          <w:szCs w:val="32"/>
          <w:lang w:eastAsia="zh-CN"/>
        </w:rPr>
        <w:t>宣传引导指标：</w:t>
      </w:r>
      <w:r>
        <w:rPr>
          <w:rFonts w:hint="eastAsia" w:ascii="仿宋" w:hAnsi="仿宋" w:eastAsia="仿宋" w:cs="仿宋"/>
          <w:b w:val="0"/>
          <w:bCs w:val="0"/>
          <w:sz w:val="32"/>
          <w:szCs w:val="32"/>
          <w:lang w:eastAsia="zh-CN"/>
        </w:rPr>
        <w:t>发布原创稿件100余篇，转发各级文章400余篇，深入宣传人大制度与实践创新。</w:t>
      </w:r>
      <w:r>
        <w:rPr>
          <w:rFonts w:hint="eastAsia" w:ascii="仿宋" w:hAnsi="仿宋" w:eastAsia="仿宋" w:cs="仿宋"/>
          <w:b/>
          <w:bCs/>
          <w:sz w:val="32"/>
          <w:szCs w:val="32"/>
          <w:lang w:eastAsia="zh-CN"/>
        </w:rPr>
        <w:t>减负增效指标：</w:t>
      </w:r>
      <w:r>
        <w:rPr>
          <w:rFonts w:hint="eastAsia" w:ascii="仿宋" w:hAnsi="仿宋" w:eastAsia="仿宋" w:cs="仿宋"/>
          <w:b w:val="0"/>
          <w:bCs w:val="0"/>
          <w:sz w:val="32"/>
          <w:szCs w:val="32"/>
          <w:lang w:eastAsia="zh-CN"/>
        </w:rPr>
        <w:t>贯彻落实基层减负要求，减少会议、精简议程、控制发文，提升工作实效。</w:t>
      </w:r>
    </w:p>
    <w:p w14:paraId="308B02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0" w:name="_Toc31720"/>
      <w:bookmarkStart w:id="41" w:name="_Toc6424"/>
      <w:bookmarkStart w:id="42" w:name="_Toc29770"/>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40"/>
      <w:bookmarkEnd w:id="41"/>
      <w:bookmarkEnd w:id="42"/>
    </w:p>
    <w:p w14:paraId="1FC593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3" w:name="_Toc10865"/>
      <w:bookmarkStart w:id="44" w:name="_Toc8508"/>
      <w:bookmarkStart w:id="45" w:name="_Toc19267"/>
      <w:r>
        <w:rPr>
          <w:rFonts w:hint="eastAsia" w:ascii="楷体" w:hAnsi="楷体" w:eastAsia="楷体" w:cs="楷体"/>
          <w:b/>
          <w:bCs/>
          <w:sz w:val="32"/>
          <w:szCs w:val="32"/>
          <w:lang w:val="en-US" w:eastAsia="zh-CN"/>
        </w:rPr>
        <w:t>（一）评价框架</w:t>
      </w:r>
      <w:bookmarkEnd w:id="43"/>
      <w:bookmarkEnd w:id="44"/>
      <w:bookmarkEnd w:id="45"/>
    </w:p>
    <w:p w14:paraId="46EE98AD">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1040E7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4BAF2F52">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7EF6695F">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0E6B86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561A01A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46FE2DB3">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6" w:name="_Toc8545"/>
      <w:bookmarkStart w:id="47" w:name="_Toc25462"/>
      <w:bookmarkStart w:id="48" w:name="_Toc7412"/>
      <w:r>
        <w:rPr>
          <w:rFonts w:hint="eastAsia" w:ascii="楷体" w:hAnsi="楷体" w:eastAsia="楷体" w:cs="楷体"/>
          <w:b/>
          <w:bCs/>
          <w:sz w:val="32"/>
          <w:szCs w:val="32"/>
          <w:highlight w:val="none"/>
          <w:lang w:val="en-US" w:eastAsia="zh-CN"/>
        </w:rPr>
        <w:t>（二）评价分析</w:t>
      </w:r>
      <w:bookmarkEnd w:id="46"/>
      <w:bookmarkEnd w:id="47"/>
      <w:bookmarkEnd w:id="48"/>
    </w:p>
    <w:p w14:paraId="01580A3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1.总分100分，得分82分，扣分18分，详见后述绩效评价得分扣分表</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6"/>
        <w:gridCol w:w="825"/>
        <w:gridCol w:w="1275"/>
        <w:gridCol w:w="843"/>
        <w:gridCol w:w="807"/>
        <w:gridCol w:w="862"/>
        <w:gridCol w:w="3867"/>
        <w:gridCol w:w="4165"/>
      </w:tblGrid>
      <w:tr w14:paraId="13AA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7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9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4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4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9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5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F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扣分说明</w:t>
            </w: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C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评价要点</w:t>
            </w:r>
          </w:p>
        </w:tc>
      </w:tr>
      <w:tr w14:paraId="28F1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7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投入（20分）</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D6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目标设定（10分）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5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5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A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F2EA">
            <w:pPr>
              <w:jc w:val="center"/>
              <w:rPr>
                <w:rFonts w:hint="eastAsia" w:ascii="宋体" w:hAnsi="宋体" w:eastAsia="宋体" w:cs="宋体"/>
                <w:i w:val="0"/>
                <w:iCs w:val="0"/>
                <w:color w:val="000000"/>
                <w:sz w:val="22"/>
                <w:szCs w:val="22"/>
                <w:u w:val="none"/>
              </w:rPr>
            </w:pP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9E73">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A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是否符合国家法律法规、国民经济和社会发展总体规划；②是否符合部门“三定”方案确定的职责；③是否符合部门制定的发展实施规划和年度主要工作计划；④所属部门（单位）编报预算时是否按要求编制绩效目标。</w:t>
            </w:r>
          </w:p>
        </w:tc>
      </w:tr>
      <w:tr w14:paraId="3FFF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5B5E">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C76B">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5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2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4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6FD9">
            <w:pPr>
              <w:jc w:val="center"/>
              <w:rPr>
                <w:rFonts w:hint="eastAsia" w:ascii="宋体" w:hAnsi="宋体" w:eastAsia="宋体" w:cs="宋体"/>
                <w:i w:val="0"/>
                <w:iCs w:val="0"/>
                <w:color w:val="000000"/>
                <w:sz w:val="22"/>
                <w:szCs w:val="22"/>
                <w:u w:val="none"/>
              </w:rPr>
            </w:pP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A82B">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C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是否将部门整体的绩效目标细化分解为具体的工作任务；②是否通过清晰、可衡量的指标值予以体现；③是否将项目绩效目标与部门年度的任务数或计划数相对应：④是否与本年度部门预算资金相匹配，是否对下属部门（单位）预算编报的绩效目标进行审核。</w:t>
            </w:r>
          </w:p>
        </w:tc>
      </w:tr>
      <w:tr w14:paraId="3670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EB86">
            <w:pPr>
              <w:jc w:val="center"/>
              <w:rPr>
                <w:rFonts w:hint="eastAsia" w:ascii="宋体" w:hAnsi="宋体" w:eastAsia="宋体" w:cs="宋体"/>
                <w:i w:val="0"/>
                <w:iCs w:val="0"/>
                <w:color w:val="000000"/>
                <w:sz w:val="22"/>
                <w:szCs w:val="22"/>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48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预算编制与配置（10分）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0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在职人员控制率</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9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A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3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AE77">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A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在职人员控制率=（在职人员数/编制数）×100%。聘用人员控制率</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人社和编办共同批复的人数；在职人员数：部门（单位）实际在职人数，以财政部门确定的部门决算编制口径为准。编制数：机构编制部门核定批复的部门（单位）的人员编制数。</w:t>
            </w:r>
          </w:p>
        </w:tc>
      </w:tr>
      <w:tr w14:paraId="05D4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CB17">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A7BA">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5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预算编制科学性与配置合理性</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F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2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4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3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年初预算经过调整，未提供预算调整批复</w:t>
            </w: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C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预算编制科学性，预算与政策目标的匹配度与预算标准合理性。</w:t>
            </w:r>
          </w:p>
        </w:tc>
      </w:tr>
      <w:tr w14:paraId="6524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6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过程（30分）</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E4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预算执行（10分）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F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预算约束合规性</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F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3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2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9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1.存在支付跨期费用情况。</w:t>
            </w: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9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预算约束： 支出是否严格遵循人大批准的预算，有无超预算、无预算开支的现象。</w:t>
            </w:r>
          </w:p>
        </w:tc>
      </w:tr>
      <w:tr w14:paraId="52CB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E8DF">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849A">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F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用途合规性</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B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8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2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5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1.存在人员经费挤占公用经费的情况。</w:t>
            </w: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1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用途合规： 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40A5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FFB5">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9B59">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F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程序合规性</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D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C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2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1.存在政采合同与验收为同一天，业务活动不可能一天完成，属于程序违规。2.业务发生时间早于合同签订时间。</w:t>
            </w: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5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程序合规： 政府采购、国库集中支付、资产管理等环节是否符合法律法规和制度规定。</w:t>
            </w:r>
          </w:p>
        </w:tc>
      </w:tr>
      <w:tr w14:paraId="7BD4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740A">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8ED1F">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D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进度匹配度</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E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6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93F1">
            <w:pPr>
              <w:jc w:val="center"/>
              <w:rPr>
                <w:rFonts w:hint="eastAsia" w:ascii="宋体" w:hAnsi="宋体" w:eastAsia="宋体" w:cs="宋体"/>
                <w:i w:val="0"/>
                <w:iCs w:val="0"/>
                <w:color w:val="000000"/>
                <w:sz w:val="22"/>
                <w:szCs w:val="22"/>
                <w:u w:val="none"/>
              </w:rPr>
            </w:pP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7F54">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F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支出总量进度： 部门总支出完成了年度预算的百分之多少？是否与时间进度相匹配？是否存在“前期慢、后期突击花钱”或“支出进度严重滞后”的问题。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分项支出进度： 基本支出（人员工资、办公经费）和项目支出（专项业务、事业发展项目）各自的执行进度如何。</w:t>
            </w:r>
          </w:p>
        </w:tc>
      </w:tr>
      <w:tr w14:paraId="7420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2EA6">
            <w:pPr>
              <w:jc w:val="center"/>
              <w:rPr>
                <w:rFonts w:hint="eastAsia" w:ascii="宋体" w:hAnsi="宋体" w:eastAsia="宋体" w:cs="宋体"/>
                <w:i w:val="0"/>
                <w:iCs w:val="0"/>
                <w:color w:val="000000"/>
                <w:sz w:val="22"/>
                <w:szCs w:val="22"/>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32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部门管理（15分）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2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5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9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6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A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未提供其他管理制度。如：预算管理制度，内部控制制度，政府采购管理制度，合同管理制度，专项资金管理办法，绩效管理制度，信息化管理制度，决算与财务报告制度，监督与审计制度等。2.花名册列示个人联系电话，未列示制发责任主体，未反映本年度本部门在编人员的增减变动情况。</w:t>
            </w: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1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①部门（单位）内控制度、内部财务管理制度和会计核算制度是否健全；②相关管理制度是否合法、合规、完整、有效；</w:t>
            </w:r>
          </w:p>
        </w:tc>
      </w:tr>
      <w:tr w14:paraId="095F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EB53">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24DE">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F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制度执行有效性</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D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5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6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8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1.设置工会组织，三八过节费及八一慰问费未从工会经费中支出，从国库支出.。2.加班餐费超出限额标准。3.文明创建经费后附国库支付单，单笔支出2万元，未见会议纪要及文件，未见项目工作总结及效果。</w:t>
            </w: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0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①相关管理制度是否得到有效执行；②是否存在整改情况；</w:t>
            </w:r>
          </w:p>
        </w:tc>
      </w:tr>
      <w:tr w14:paraId="56CC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4C5F">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93F3">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B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预决算信息公开化</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C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EA7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96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D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B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①无涉密情况的预算单位按规定及时、准确、完整地公开预决算和绩效管理信息；②基础数据信息和会计信息资料真实、准确、完整；</w:t>
            </w:r>
          </w:p>
        </w:tc>
      </w:tr>
      <w:tr w14:paraId="43F3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5D33">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FD5E">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8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报销凭证的合规性与时效性</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D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353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34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8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发放工资的依据缺少经审批的工资明细表，缺少银行代发明细回单。2.支付医疗保险、工伤保险、职业年金后仅附国库支付单，银行端查询缴税凭证，未附人员名单、缴费基数确认表、明确的计算依据、审批流程、银行付款回单等。3.发放人员经费性质的交通补贴缺乏人力资源或组织部门的审核盖章。4.借调人员的过节费用由借调单位（非工资发放单位）直接发放。5.支付食堂餐费无计算依据（如用餐人数、餐标、天数等）。6.装修费后附国库支付单、发票、双方盖章的说明（对活动中心墙面进行整修105*32=3360元），未拍照留证。7.发放退休人员补贴由本单位领导签字，无人力资源审核。8.人大代表活动经费、联络站工作经费及民主工作经费未附项目活动效果说明。9.存在验收单未盖公章，未签字，未标明验收意见的情况。</w:t>
            </w: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0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资金分配及时性（转移支付下达时效，资金保障有效性；是否接受检查，受过处罚或上缴财政资金情况</w:t>
            </w:r>
          </w:p>
        </w:tc>
      </w:tr>
      <w:tr w14:paraId="5935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758C">
            <w:pPr>
              <w:jc w:val="center"/>
              <w:rPr>
                <w:rFonts w:hint="eastAsia" w:ascii="宋体" w:hAnsi="宋体" w:eastAsia="宋体" w:cs="宋体"/>
                <w:i w:val="0"/>
                <w:iCs w:val="0"/>
                <w:color w:val="000000"/>
                <w:sz w:val="22"/>
                <w:szCs w:val="22"/>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FB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资产管理（5分）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80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资产管理有效性</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0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C0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DABC9">
            <w:pPr>
              <w:jc w:val="center"/>
              <w:rPr>
                <w:rFonts w:hint="eastAsia" w:ascii="宋体" w:hAnsi="宋体" w:eastAsia="宋体" w:cs="宋体"/>
                <w:i w:val="0"/>
                <w:iCs w:val="0"/>
                <w:color w:val="000000"/>
                <w:sz w:val="22"/>
                <w:szCs w:val="22"/>
                <w:u w:val="none"/>
              </w:rPr>
            </w:pPr>
          </w:p>
        </w:tc>
        <w:tc>
          <w:tcPr>
            <w:tcW w:w="3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DF467">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0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①资产保存是否完整并有台账；</w:t>
            </w:r>
          </w:p>
        </w:tc>
      </w:tr>
      <w:tr w14:paraId="2C93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5F42">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55F57">
            <w:pPr>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F2758">
            <w:pPr>
              <w:jc w:val="left"/>
              <w:rPr>
                <w:rFonts w:hint="eastAsia" w:ascii="宋体" w:hAnsi="宋体" w:eastAsia="宋体" w:cs="宋体"/>
                <w:i w:val="0"/>
                <w:iCs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BD8C">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AA99">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57C42">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0E35">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B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②资产配置是否合理，是否有闲置现象；</w:t>
            </w:r>
          </w:p>
        </w:tc>
      </w:tr>
      <w:tr w14:paraId="5A3C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FC85">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245DA">
            <w:pPr>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1125">
            <w:pPr>
              <w:jc w:val="left"/>
              <w:rPr>
                <w:rFonts w:hint="eastAsia" w:ascii="宋体" w:hAnsi="宋体" w:eastAsia="宋体" w:cs="宋体"/>
                <w:i w:val="0"/>
                <w:iCs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3922">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2115">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624D7">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CE49">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③资产处置是否规范；</w:t>
            </w:r>
          </w:p>
        </w:tc>
      </w:tr>
      <w:tr w14:paraId="07C2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74D9">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33F3">
            <w:pPr>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0E89">
            <w:pPr>
              <w:jc w:val="left"/>
              <w:rPr>
                <w:rFonts w:hint="eastAsia" w:ascii="宋体" w:hAnsi="宋体" w:eastAsia="宋体" w:cs="宋体"/>
                <w:i w:val="0"/>
                <w:iCs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D019">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86533">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5F840">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3C68D">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F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④资产账务管理是否合规，是否账实相符；</w:t>
            </w:r>
          </w:p>
        </w:tc>
      </w:tr>
      <w:tr w14:paraId="6694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23AB">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B146">
            <w:pPr>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95001">
            <w:pPr>
              <w:jc w:val="left"/>
              <w:rPr>
                <w:rFonts w:hint="eastAsia" w:ascii="宋体" w:hAnsi="宋体" w:eastAsia="宋体" w:cs="宋体"/>
                <w:i w:val="0"/>
                <w:iCs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B29D">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2E4D2">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455F">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DACA">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5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⑤是否完成国有“三资”盘活工作，资产是否有偿使用或处置收入及时足额上缴；</w:t>
            </w:r>
          </w:p>
        </w:tc>
      </w:tr>
      <w:tr w14:paraId="2706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3C69">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1BC8">
            <w:pPr>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2708">
            <w:pPr>
              <w:jc w:val="left"/>
              <w:rPr>
                <w:rFonts w:hint="eastAsia" w:ascii="宋体" w:hAnsi="宋体" w:eastAsia="宋体" w:cs="宋体"/>
                <w:i w:val="0"/>
                <w:iCs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A460">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820BE">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9643D">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92F5C">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2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⑥相关资产购置是否履行政府采购手续，外租资产是否走合规程序；</w:t>
            </w:r>
          </w:p>
        </w:tc>
      </w:tr>
      <w:tr w14:paraId="1001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BBFE">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9A64">
            <w:pPr>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E76F">
            <w:pPr>
              <w:jc w:val="left"/>
              <w:rPr>
                <w:rFonts w:hint="eastAsia" w:ascii="宋体" w:hAnsi="宋体" w:eastAsia="宋体" w:cs="宋体"/>
                <w:i w:val="0"/>
                <w:iCs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3501">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E4B01">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D832C">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09DD">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E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⑦资产是否定期进行盘点并有记录。</w:t>
            </w:r>
          </w:p>
        </w:tc>
      </w:tr>
      <w:tr w14:paraId="7A4D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A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产出（20分）</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66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职能工作完成率（10分）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A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监督工作计划完成率</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4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66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68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8E622">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C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数量：本年度计划开展的执法检查、专题调研、视察活动的实际完成比例。例如，计划开展5项执法检查，实际完成5项，则完成率为100%。完成时效：各项监督活动是否按照年初制定的工作计划和时间节点如期启动并完成。程序规范性：监督活动的组织实施过程是否符合《监督法》等法律法规的要求，包括方案制定、人员组成、调查深入程度、报告撰写、审议意见的形成与交办等环节是否规范、到位。成果质量与转化：形成的执法检查报告、调研报告等质量如何，提出的审议意见是否具有针对性和可操作性；“一府一委两院”对审议意见的研究处理情况以及人大对处理情况的跟踪督办效果。</w:t>
            </w:r>
          </w:p>
        </w:tc>
      </w:tr>
      <w:tr w14:paraId="32D4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2F14">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7738">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C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代表服务与议案建议督办工作完成率</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9C00">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A051">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226E2">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8AFEC">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3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活动组织：计划组织的代表培训、集中视察、专题调研、小组活动等是否按计划完成，代表参与度和满意度如何。议案建议办理督办：对人大代表提出的议案、建议、批评和意见，是否按规定时限和程序完成交办、催办和答复工作。重点评价建议办结率、代表对办理态度和结果的满意率。联系代表机制落实：常委会组成人员联系人大代表、代表联系人民群众的“双联系”制度是否有效落实，相关活动记录和意见反馈渠道是否畅通。服务保障水平：为代表履职提供的信息、经费、组织等保障是否及时、到位，是否有效支持和保障了代表依法履职。</w:t>
            </w:r>
          </w:p>
        </w:tc>
      </w:tr>
      <w:tr w14:paraId="7647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D1CC">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5146">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F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会议组织与服务保障工作完成率</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195C">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18A27">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17BB">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E9F0">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2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会议筹备与召开：负责服务保障的人民代表大会会议、常委会会议、主任会议等各类法定会议是否按计划、按规定程序顺利召开。文件材料质量与时效： 会议所需的各项报告、议案、名单、决议决定草案等文件材料是否准备齐全、内容准确、格式规范，并按时送达与会人员。会务组织水平：会议通知、会场布置、议程执行、记录简报、后勤服务等各环节是否组织周密、运行顺畅，确保了会议的严肃性和高效性。</w:t>
            </w:r>
          </w:p>
        </w:tc>
      </w:tr>
      <w:tr w14:paraId="267B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9A12">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6D31F">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A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法治建设与规范性文件备案审查工作完成率</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7915">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17C9">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74E23">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CF0E4">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3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案审查覆盖度：对“一府一委两院”报送的规范性文件，是否做到了“有件必备”，备案登记工作是否全面、及时。审查任务完成度：对纳入审查范围的规范性文件，是否按计划和法定标准完成了主动审查或依申请审查，审查程序是否规范。审查意见处理：对审查中发现的不合法、不适当问题，是否依法提出了审查意见，并督促制定机关及时纠正或妥善处理，相关纠错机制是否有效运行。能力建设与制度完善：是否开展了相关的学习培训以提升备案审查能力，是否不断完善了备案审查的工作制度和机制。</w:t>
            </w:r>
          </w:p>
        </w:tc>
      </w:tr>
      <w:tr w14:paraId="693B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0B22">
            <w:pPr>
              <w:jc w:val="center"/>
              <w:rPr>
                <w:rFonts w:hint="eastAsia" w:ascii="宋体" w:hAnsi="宋体" w:eastAsia="宋体" w:cs="宋体"/>
                <w:i w:val="0"/>
                <w:iCs w:val="0"/>
                <w:color w:val="000000"/>
                <w:sz w:val="22"/>
                <w:szCs w:val="22"/>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70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重点工作办结率（10分）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C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重大决策部署监督落实完成率</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C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56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0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3938E">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5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年度计划内围绕区委区政府中心工作（如营商环境、城市更新）开展的专项视察、执法检查等监督活动的实际完成比例。计算公式：（实际完成监督项数 / 计划安排监督项数）× 100%。</w:t>
            </w:r>
          </w:p>
        </w:tc>
      </w:tr>
      <w:tr w14:paraId="5B29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CBCA">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8460A">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3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审议意见督办率</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655B">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36F0">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A914">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C4050">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C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对“一府一委两院”就监督活动所作出的审议意见的研究处理情况，进行跟踪督办的比例。计算公式：（已反馈并落实的审议意见数 / 发出的审议意见总数）× 100%。</w:t>
            </w:r>
          </w:p>
        </w:tc>
      </w:tr>
      <w:tr w14:paraId="65C8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5D54">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E3BD">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D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代表重点建议督办办结率</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1D9C">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9CE7">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CCFA">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A87A1">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A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当年度纳入人大常委会重点督办的代表建议、议案的办结比例。计算公式：（已办结的重点建议数 / 确定督办的重点建议总数）× 100%。</w:t>
            </w:r>
          </w:p>
        </w:tc>
      </w:tr>
      <w:tr w14:paraId="7BF0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3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效益（30分）</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40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社会效益（20分）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1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民意诉求回应率</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89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4E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5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DFFE7">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5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年度内代表建议、议案中涉及的民生热点问题（如教育、医疗、交通）被采纳并纳入政府工作计划或得到解决的比例。计算公式：（得到实质性采纳或解决的建议数 / 相关领域建议总数）× 100%。</w:t>
            </w:r>
          </w:p>
        </w:tc>
      </w:tr>
      <w:tr w14:paraId="6E9A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0054">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FE5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1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法治环境改善度</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1857D">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453B">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E96E">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2008">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0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备案审查发现并纠正本级政府发布的与上位法相抵触或不适当的规范性文件数量。可考察“提出审查意见数”和“被采纳的纠错文件数”。通过执法检查推动“一府一委两院”建立或完善相关制度、解决突出问题的案例数量。计算公式：（已完成整改的问题数 / 执法检查指出的重大问题数）× 100%。</w:t>
            </w:r>
          </w:p>
        </w:tc>
      </w:tr>
      <w:tr w14:paraId="1D45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7529">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03D4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C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决策影响力</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A1F59">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BD1A6">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7FAD">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320DA">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E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人大作出的重大决议、决定转化为具体政策或项目并取得阶段性成果的数量占年度决议决定总数的比例。</w:t>
            </w:r>
          </w:p>
        </w:tc>
      </w:tr>
      <w:tr w14:paraId="4775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18D8">
            <w:pPr>
              <w:jc w:val="center"/>
              <w:rPr>
                <w:rFonts w:hint="eastAsia" w:ascii="宋体" w:hAnsi="宋体" w:eastAsia="宋体" w:cs="宋体"/>
                <w:i w:val="0"/>
                <w:iCs w:val="0"/>
                <w:color w:val="000000"/>
                <w:sz w:val="22"/>
                <w:szCs w:val="22"/>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80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相关人员满意度（10分）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4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人大代表满意度</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7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17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99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B9B59">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C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通过问卷调查，统计代表对人大机关提供的履职培训、信息资料、活动组织等服务保障工作表示“满意”和“基本满意”的比例。目标值通常设定为≥90%。</w:t>
            </w:r>
          </w:p>
        </w:tc>
      </w:tr>
      <w:tr w14:paraId="3787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5D6C">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B156">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C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“一府一委两院”满意度</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BBDE">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BB947">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E7CF4">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4DD3B">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0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通过定向访谈或问卷调查，了解政府相关部门、监委、法院、检察院对人大监督工作的程序规范性、问题精准性和建议建设性的正面评价比例。考察“一府一委两院”认为与人大在会议组织、信息报送、工作衔接等日常沟通协调中“顺畅高效”的比例。</w:t>
            </w:r>
          </w:p>
        </w:tc>
      </w:tr>
      <w:tr w14:paraId="085B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2461">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06FC9">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D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D684">
            <w:pPr>
              <w:jc w:val="center"/>
              <w:rPr>
                <w:rFonts w:hint="eastAsia" w:ascii="宋体" w:hAnsi="宋体" w:eastAsia="宋体" w:cs="宋体"/>
                <w:i w:val="0"/>
                <w:iCs w:val="0"/>
                <w:color w:val="000000"/>
                <w:sz w:val="22"/>
                <w:szCs w:val="22"/>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2A5E0">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E5DC">
            <w:pPr>
              <w:jc w:val="center"/>
              <w:rPr>
                <w:rFonts w:hint="eastAsia" w:ascii="宋体" w:hAnsi="宋体" w:eastAsia="宋体" w:cs="宋体"/>
                <w:i w:val="0"/>
                <w:iCs w:val="0"/>
                <w:color w:val="000000"/>
                <w:sz w:val="22"/>
                <w:szCs w:val="22"/>
                <w:u w:val="none"/>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3DC96">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E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通过第三方社会民意调查，统计辖区公众对人大推动解决民生热点问题（如交通、教育、环境等）的成效表示“满意”和“基本满意”的比例。统计通过人大官网、联络站等渠道参与过立法意见征集、监督活动的公众，对其过程便利性和反馈有效性的满意度。</w:t>
            </w:r>
          </w:p>
        </w:tc>
      </w:tr>
      <w:tr w14:paraId="2BF4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D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9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7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F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012B">
            <w:pPr>
              <w:jc w:val="left"/>
              <w:rPr>
                <w:rFonts w:hint="eastAsia" w:ascii="宋体" w:hAnsi="宋体" w:eastAsia="宋体" w:cs="宋体"/>
                <w:i w:val="0"/>
                <w:iCs w:val="0"/>
                <w:color w:val="000000"/>
                <w:sz w:val="22"/>
                <w:szCs w:val="22"/>
                <w:u w:val="none"/>
              </w:rPr>
            </w:pPr>
          </w:p>
        </w:tc>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7422">
            <w:pPr>
              <w:rPr>
                <w:rFonts w:hint="eastAsia" w:ascii="宋体" w:hAnsi="宋体" w:eastAsia="宋体" w:cs="宋体"/>
                <w:i w:val="0"/>
                <w:iCs w:val="0"/>
                <w:color w:val="000000"/>
                <w:sz w:val="22"/>
                <w:szCs w:val="22"/>
                <w:u w:val="none"/>
              </w:rPr>
            </w:pPr>
          </w:p>
        </w:tc>
      </w:tr>
    </w:tbl>
    <w:p w14:paraId="45515A4A">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jc w:val="left"/>
        <w:rPr>
          <w:rFonts w:hint="eastAsia" w:ascii="仿宋" w:hAnsi="仿宋" w:eastAsia="仿宋" w:cs="仿宋"/>
          <w:b w:val="0"/>
          <w:bCs w:val="0"/>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9EEA4F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9" w:name="_Toc26985"/>
      <w:bookmarkStart w:id="50" w:name="_Toc30820"/>
      <w:bookmarkStart w:id="51" w:name="_Toc31438"/>
      <w:bookmarkStart w:id="57" w:name="_GoBack"/>
      <w:bookmarkEnd w:id="57"/>
      <w:r>
        <w:rPr>
          <w:rFonts w:hint="eastAsia" w:ascii="楷体" w:hAnsi="楷体" w:eastAsia="楷体" w:cs="楷体"/>
          <w:b/>
          <w:bCs/>
          <w:sz w:val="32"/>
          <w:szCs w:val="32"/>
          <w:lang w:val="en-US" w:eastAsia="zh-CN"/>
        </w:rPr>
        <w:t>（三）评价结果</w:t>
      </w:r>
      <w:bookmarkEnd w:id="49"/>
      <w:bookmarkEnd w:id="50"/>
      <w:bookmarkEnd w:id="51"/>
    </w:p>
    <w:p w14:paraId="59C16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27D5FB03">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本次绩效评价结果采用综合评分定级的方法，根据项目收集相关资料、项目访谈以及相关的规定与标准，总分值为100分，评价等级分优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；得分在</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6B46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64D50FEB">
      <w:pPr>
        <w:pStyle w:val="7"/>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部门整体支出绩效评价综合得分</w:t>
      </w: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82</w:t>
      </w:r>
      <w:r>
        <w:rPr>
          <w:rFonts w:hint="eastAsia" w:ascii="仿宋" w:hAnsi="仿宋" w:eastAsia="仿宋" w:cs="仿宋"/>
          <w:b w:val="0"/>
          <w:bCs w:val="0"/>
          <w:i w:val="0"/>
          <w:iCs w:val="0"/>
          <w:caps w:val="0"/>
          <w:color w:val="000000"/>
          <w:spacing w:val="0"/>
          <w:sz w:val="32"/>
          <w:szCs w:val="32"/>
          <w:u w:val="none"/>
          <w:shd w:val="clear" w:fill="FFFFFF"/>
          <w:lang w:val="en-US" w:eastAsia="zh-CN"/>
        </w:rPr>
        <w:t>分，等级为“良好”。2024年区人大</w:t>
      </w:r>
      <w:r>
        <w:rPr>
          <w:rFonts w:hint="eastAsia" w:ascii="仿宋" w:hAnsi="仿宋" w:eastAsia="仿宋" w:cs="仿宋"/>
          <w:b/>
          <w:bCs/>
          <w:i w:val="0"/>
          <w:iCs w:val="0"/>
          <w:caps w:val="0"/>
          <w:color w:val="000000"/>
          <w:spacing w:val="0"/>
          <w:sz w:val="32"/>
          <w:szCs w:val="32"/>
          <w:u w:val="none"/>
          <w:shd w:val="clear" w:fill="FFFFFF"/>
          <w:lang w:val="en-US" w:eastAsia="zh-CN"/>
        </w:rPr>
        <w:t>预算调整率为25.39%，预算整体执行率为</w:t>
      </w:r>
      <w:r>
        <w:rPr>
          <w:rFonts w:hint="eastAsia" w:ascii="仿宋" w:hAnsi="仿宋" w:eastAsia="仿宋" w:cs="仿宋"/>
          <w:b/>
          <w:bCs/>
          <w:sz w:val="32"/>
          <w:szCs w:val="32"/>
          <w:highlight w:val="none"/>
          <w:lang w:val="en-US" w:eastAsia="zh-CN"/>
        </w:rPr>
        <w:t>98.88%</w:t>
      </w:r>
      <w:r>
        <w:rPr>
          <w:rFonts w:hint="eastAsia" w:ascii="仿宋" w:hAnsi="仿宋" w:eastAsia="仿宋" w:cs="仿宋"/>
          <w:b/>
          <w:bCs/>
          <w:i w:val="0"/>
          <w:iCs w:val="0"/>
          <w:caps w:val="0"/>
          <w:color w:val="000000"/>
          <w:spacing w:val="0"/>
          <w:sz w:val="32"/>
          <w:szCs w:val="32"/>
          <w:u w:val="none"/>
          <w:shd w:val="clear" w:fill="FFFFFF"/>
          <w:lang w:val="en-US" w:eastAsia="zh-CN"/>
        </w:rPr>
        <w:t>，结转结余率为5.20%，人员控制率为97.14%。</w:t>
      </w:r>
      <w:r>
        <w:rPr>
          <w:rFonts w:hint="eastAsia" w:ascii="仿宋" w:hAnsi="仿宋" w:eastAsia="仿宋" w:cs="仿宋"/>
          <w:b w:val="0"/>
          <w:bCs w:val="0"/>
          <w:i w:val="0"/>
          <w:iCs w:val="0"/>
          <w:caps w:val="0"/>
          <w:color w:val="000000"/>
          <w:spacing w:val="0"/>
          <w:sz w:val="32"/>
          <w:szCs w:val="32"/>
          <w:u w:val="none"/>
          <w:shd w:val="clear" w:fill="FFFFFF"/>
          <w:lang w:val="en-US" w:eastAsia="zh-CN"/>
        </w:rPr>
        <w:t>2024年区人大在</w:t>
      </w:r>
      <w:r>
        <w:rPr>
          <w:rFonts w:hint="eastAsia" w:ascii="仿宋" w:hAnsi="仿宋" w:eastAsia="仿宋" w:cs="仿宋"/>
          <w:b w:val="0"/>
          <w:bCs w:val="0"/>
          <w:sz w:val="32"/>
          <w:szCs w:val="32"/>
          <w:lang w:val="en-US" w:eastAsia="zh-CN"/>
        </w:rPr>
        <w:t>政治引领中把准方向，铸就了忠诚履职的坚定之魂。在服务大局中精准监督，贡献了护航发展的法治之力。在为民代言中激发活力，夯实了全过程人民民主之基。在守正创新中提质增效，展现了务实担当的实干之风。区人大以高效能履职，实现了服务大局有力、监督工作有效、代表活动有为、自身建设有进，为推动区域高质量发展注入了强劲的人大动能。</w:t>
      </w:r>
      <w:r>
        <w:rPr>
          <w:rFonts w:hint="eastAsia" w:ascii="仿宋" w:hAnsi="仿宋" w:eastAsia="仿宋" w:cs="仿宋"/>
          <w:b w:val="0"/>
          <w:bCs w:val="0"/>
          <w:i w:val="0"/>
          <w:iCs w:val="0"/>
          <w:caps w:val="0"/>
          <w:color w:val="000000"/>
          <w:spacing w:val="0"/>
          <w:sz w:val="32"/>
          <w:szCs w:val="32"/>
          <w:u w:val="none"/>
          <w:shd w:val="clear" w:fill="FFFFFF"/>
          <w:lang w:val="en-US" w:eastAsia="zh-CN"/>
        </w:rPr>
        <w:t>但在预算配置与执行方面、管理程序方面及人员经费管理方面存在不足，在预算精准化、程序规范化、管理精细化和效益长效化方面仍有提升空间。建议补短板、强弱项，推动区人大工作绩效管理水平再上新台阶。</w:t>
      </w:r>
    </w:p>
    <w:p w14:paraId="5F9D58C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52" w:name="_Toc13682"/>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bookmarkEnd w:id="52"/>
    </w:p>
    <w:p w14:paraId="7BB23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3" w:name="_Toc3445"/>
      <w:r>
        <w:rPr>
          <w:rFonts w:hint="eastAsia" w:ascii="楷体" w:hAnsi="楷体" w:eastAsia="楷体" w:cs="楷体"/>
          <w:b/>
          <w:bCs/>
          <w:sz w:val="32"/>
          <w:szCs w:val="32"/>
          <w:lang w:val="en-US" w:eastAsia="zh-CN"/>
        </w:rPr>
        <w:t>（一）预算配置与执行方面存在的问题及建议</w:t>
      </w:r>
      <w:bookmarkEnd w:id="53"/>
    </w:p>
    <w:p w14:paraId="1834DC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1.存在人员经费挤占公用经费的情况。</w:t>
      </w:r>
    </w:p>
    <w:p w14:paraId="2D6C8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的“专款专用”原则。核心精神之一是强调预算的约束力和严肃性。经同级人民代表大会批准的预算，是刚性指标，非经法定程序不得调整。人员经费和公用经费是两类性质完全不同的预算科目。人员经费是为了保障“人”的支出（如工资、津贴补贴、社保等）；公用经费是为了保障“事”的支出，即维持单位正常运转（如办公费、水电费、差旅费、车辆运行维护费等）。将用于“人”的支出，挤占用于“事”的经费，直接破坏了预算的严肃性，属于改变预算支出用途的违规行为。</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违反政府收支分类科目核算规定。财政部制定的政府收支分类科目，对每项支出的经济分类代码和用途都有明确规定。人员经费和公用经费分属不同的“款”“项”级科目。挤占行为导致会计账务核算不真实，无法准确反映各类支出的实际状况，造成会计信息失真，影响了决算报告和财务报告的质量。</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违反财经纪律和廉政规定。可能掩盖了单位在人员编制、薪酬福利管理等方面存在的问题。例如，可能是超编进人、滥发津贴补贴所致。这直接触碰了财经纪律的“红线”。上级财政、审计和纪检监察部门在检查中，会将此类问题作为重点审查内容。存在四类风险。</w:t>
      </w:r>
      <w:r>
        <w:rPr>
          <w:rFonts w:hint="eastAsia" w:ascii="仿宋" w:hAnsi="仿宋" w:eastAsia="仿宋" w:cs="仿宋"/>
          <w:b/>
          <w:bCs/>
          <w:sz w:val="32"/>
          <w:szCs w:val="32"/>
          <w:lang w:val="en-US" w:eastAsia="zh-CN"/>
        </w:rPr>
        <w:t>一是影响单位正常运转。</w:t>
      </w:r>
      <w:r>
        <w:rPr>
          <w:rFonts w:hint="eastAsia" w:ascii="仿宋" w:hAnsi="仿宋" w:eastAsia="仿宋" w:cs="仿宋"/>
          <w:b w:val="0"/>
          <w:bCs w:val="0"/>
          <w:sz w:val="32"/>
          <w:szCs w:val="32"/>
          <w:lang w:val="en-US" w:eastAsia="zh-CN"/>
        </w:rPr>
        <w:t>公用经费被挤占，必然导致单位办公、水电、差旅、设备维护等日常运转开支不足，轻则影响工作效率，重则可能导致单位无法正常履行职责。</w:t>
      </w:r>
      <w:r>
        <w:rPr>
          <w:rFonts w:hint="eastAsia" w:ascii="仿宋" w:hAnsi="仿宋" w:eastAsia="仿宋" w:cs="仿宋"/>
          <w:b/>
          <w:bCs/>
          <w:sz w:val="32"/>
          <w:szCs w:val="32"/>
          <w:lang w:val="en-US" w:eastAsia="zh-CN"/>
        </w:rPr>
        <w:t>二是引发连锁违规。</w:t>
      </w:r>
      <w:r>
        <w:rPr>
          <w:rFonts w:hint="eastAsia" w:ascii="仿宋" w:hAnsi="仿宋" w:eastAsia="仿宋" w:cs="仿宋"/>
          <w:b w:val="0"/>
          <w:bCs w:val="0"/>
          <w:sz w:val="32"/>
          <w:szCs w:val="32"/>
          <w:lang w:val="en-US" w:eastAsia="zh-CN"/>
        </w:rPr>
        <w:t>为了弥补公用经费的不足，单位可能会采取其他违规方式获取资金，如乱收费、挤占其他项目资金等，形成恶性循环。</w:t>
      </w:r>
      <w:r>
        <w:rPr>
          <w:rFonts w:hint="eastAsia" w:ascii="仿宋" w:hAnsi="仿宋" w:eastAsia="仿宋" w:cs="仿宋"/>
          <w:b/>
          <w:bCs/>
          <w:sz w:val="32"/>
          <w:szCs w:val="32"/>
          <w:lang w:val="en-US" w:eastAsia="zh-CN"/>
        </w:rPr>
        <w:t>三是面临审计和纪检风险。</w:t>
      </w:r>
      <w:r>
        <w:rPr>
          <w:rFonts w:hint="eastAsia" w:ascii="仿宋" w:hAnsi="仿宋" w:eastAsia="仿宋" w:cs="仿宋"/>
          <w:b w:val="0"/>
          <w:bCs w:val="0"/>
          <w:sz w:val="32"/>
          <w:szCs w:val="32"/>
          <w:lang w:val="en-US" w:eastAsia="zh-CN"/>
        </w:rPr>
        <w:t>在审计和巡视巡察中，此类问题极易被发现，并会要求整改。单位及相关负责人可能面临通报批评、责令归还资金、调整账目等处理，情节严重的还会被追责问责。</w:t>
      </w:r>
      <w:r>
        <w:rPr>
          <w:rFonts w:hint="eastAsia" w:ascii="仿宋" w:hAnsi="仿宋" w:eastAsia="仿宋" w:cs="仿宋"/>
          <w:b/>
          <w:bCs/>
          <w:sz w:val="32"/>
          <w:szCs w:val="32"/>
          <w:lang w:val="en-US" w:eastAsia="zh-CN"/>
        </w:rPr>
        <w:t>四是影响下年度预算编制。</w:t>
      </w:r>
      <w:r>
        <w:rPr>
          <w:rFonts w:hint="eastAsia" w:ascii="仿宋" w:hAnsi="仿宋" w:eastAsia="仿宋" w:cs="仿宋"/>
          <w:b w:val="0"/>
          <w:bCs w:val="0"/>
          <w:sz w:val="32"/>
          <w:szCs w:val="32"/>
          <w:lang w:val="en-US" w:eastAsia="zh-CN"/>
        </w:rPr>
        <w:t>失真的决算数据会误导下一年度的预算安排，财政部门可能会因为该单位公用经费“有结余”的假象而核减其预算，导致问题逐年加剧。</w:t>
      </w:r>
    </w:p>
    <w:p w14:paraId="5C45B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建议：一是及时清查，查明原因（针对已发生问题）。全面自查。</w:t>
      </w:r>
      <w:r>
        <w:rPr>
          <w:rFonts w:hint="eastAsia" w:ascii="仿宋" w:hAnsi="仿宋" w:eastAsia="仿宋" w:cs="仿宋"/>
          <w:b w:val="0"/>
          <w:bCs w:val="0"/>
          <w:sz w:val="32"/>
          <w:szCs w:val="32"/>
          <w:lang w:val="en-US" w:eastAsia="zh-CN"/>
        </w:rPr>
        <w:t>对近年来所有“公用经费”科目下的支出进行清理，准确统计被挤占用于人员支出的总额。</w:t>
      </w:r>
      <w:r>
        <w:rPr>
          <w:rFonts w:hint="eastAsia" w:ascii="仿宋" w:hAnsi="仿宋" w:eastAsia="仿宋" w:cs="仿宋"/>
          <w:b/>
          <w:bCs/>
          <w:sz w:val="32"/>
          <w:szCs w:val="32"/>
          <w:lang w:val="en-US" w:eastAsia="zh-CN"/>
        </w:rPr>
        <w:t>账务调整。</w:t>
      </w:r>
      <w:r>
        <w:rPr>
          <w:rFonts w:hint="eastAsia" w:ascii="仿宋" w:hAnsi="仿宋" w:eastAsia="仿宋" w:cs="仿宋"/>
          <w:b w:val="0"/>
          <w:bCs w:val="0"/>
          <w:sz w:val="32"/>
          <w:szCs w:val="32"/>
          <w:lang w:val="en-US" w:eastAsia="zh-CN"/>
        </w:rPr>
        <w:t>在财务账目上，将挤占的资金从公用经费调整回相应的人员经费科目。如果涉及滥发津贴补贴，应按规定予以清退。</w:t>
      </w:r>
      <w:r>
        <w:rPr>
          <w:rFonts w:hint="eastAsia" w:ascii="仿宋" w:hAnsi="仿宋" w:eastAsia="仿宋" w:cs="仿宋"/>
          <w:b/>
          <w:bCs/>
          <w:sz w:val="32"/>
          <w:szCs w:val="32"/>
          <w:lang w:val="en-US" w:eastAsia="zh-CN"/>
        </w:rPr>
        <w:t>资金归位。</w:t>
      </w:r>
      <w:r>
        <w:rPr>
          <w:rFonts w:hint="eastAsia" w:ascii="仿宋" w:hAnsi="仿宋" w:eastAsia="仿宋" w:cs="仿宋"/>
          <w:b w:val="0"/>
          <w:bCs w:val="0"/>
          <w:sz w:val="32"/>
          <w:szCs w:val="32"/>
          <w:lang w:val="en-US" w:eastAsia="zh-CN"/>
        </w:rPr>
        <w:t>如果</w:t>
      </w:r>
      <w:r>
        <w:rPr>
          <w:rFonts w:hint="eastAsia" w:ascii="仿宋" w:hAnsi="仿宋" w:eastAsia="仿宋" w:cs="仿宋"/>
          <w:b/>
          <w:bCs/>
          <w:sz w:val="32"/>
          <w:szCs w:val="32"/>
          <w:lang w:val="en-US" w:eastAsia="zh-CN"/>
        </w:rPr>
        <w:t>人员经费预算总额不足，应首先通过调整单位内部支出结构解决；若确实无法解决，应正式向财政部门提交预算调整申请，说明情况，履行法定程序后增加人员经费预算额度。</w:t>
      </w:r>
      <w:r>
        <w:rPr>
          <w:rFonts w:hint="eastAsia" w:ascii="仿宋" w:hAnsi="仿宋" w:eastAsia="仿宋" w:cs="仿宋"/>
          <w:b w:val="0"/>
          <w:bCs w:val="0"/>
          <w:sz w:val="32"/>
          <w:szCs w:val="32"/>
          <w:lang w:val="en-US" w:eastAsia="zh-CN"/>
        </w:rPr>
        <w:t>绝不能“先斩后奏”或隐匿问题。</w:t>
      </w:r>
      <w:r>
        <w:rPr>
          <w:rFonts w:hint="eastAsia" w:ascii="仿宋" w:hAnsi="仿宋" w:eastAsia="仿宋" w:cs="仿宋"/>
          <w:b/>
          <w:bCs/>
          <w:sz w:val="32"/>
          <w:szCs w:val="32"/>
          <w:lang w:val="en-US" w:eastAsia="zh-CN"/>
        </w:rPr>
        <w:t>二是强化预算约束，严格支出审核（长效机制）。硬化预算约束。</w:t>
      </w:r>
      <w:r>
        <w:rPr>
          <w:rFonts w:hint="eastAsia" w:ascii="仿宋" w:hAnsi="仿宋" w:eastAsia="仿宋" w:cs="仿宋"/>
          <w:b w:val="0"/>
          <w:bCs w:val="0"/>
          <w:sz w:val="32"/>
          <w:szCs w:val="32"/>
          <w:lang w:val="en-US" w:eastAsia="zh-CN"/>
        </w:rPr>
        <w:t>牢固树立“先有预算、后有支出”的理念，严格按预算规定的用途和科目开支，严禁相互挤占。</w:t>
      </w:r>
      <w:r>
        <w:rPr>
          <w:rFonts w:hint="eastAsia" w:ascii="仿宋" w:hAnsi="仿宋" w:eastAsia="仿宋" w:cs="仿宋"/>
          <w:b/>
          <w:bCs/>
          <w:sz w:val="32"/>
          <w:szCs w:val="32"/>
          <w:lang w:val="en-US" w:eastAsia="zh-CN"/>
        </w:rPr>
        <w:t>加强财务审核。</w:t>
      </w:r>
      <w:r>
        <w:rPr>
          <w:rFonts w:hint="eastAsia" w:ascii="仿宋" w:hAnsi="仿宋" w:eastAsia="仿宋" w:cs="仿宋"/>
          <w:b w:val="0"/>
          <w:bCs w:val="0"/>
          <w:sz w:val="32"/>
          <w:szCs w:val="32"/>
          <w:lang w:val="en-US" w:eastAsia="zh-CN"/>
        </w:rPr>
        <w:t>单位财务部门要严格把关，对于将人员支出（如津贴、酬金等）在公用经费科目中列支的报销单据，应坚决退回，从源头上杜绝挤占行为。</w:t>
      </w:r>
      <w:r>
        <w:rPr>
          <w:rFonts w:hint="eastAsia" w:ascii="仿宋" w:hAnsi="仿宋" w:eastAsia="仿宋" w:cs="仿宋"/>
          <w:b/>
          <w:bCs/>
          <w:sz w:val="32"/>
          <w:szCs w:val="32"/>
          <w:lang w:val="en-US" w:eastAsia="zh-CN"/>
        </w:rPr>
        <w:t>规范人员经费管理。</w:t>
      </w:r>
      <w:r>
        <w:rPr>
          <w:rFonts w:hint="eastAsia" w:ascii="仿宋" w:hAnsi="仿宋" w:eastAsia="仿宋" w:cs="仿宋"/>
          <w:b w:val="0"/>
          <w:bCs w:val="0"/>
          <w:sz w:val="32"/>
          <w:szCs w:val="32"/>
          <w:lang w:val="en-US" w:eastAsia="zh-CN"/>
        </w:rPr>
        <w:t>严格在核定的编制和人事计划内进人，严格执行国家和地方统一的工资、津贴补贴政策，杜绝超标准、超范围发放。</w:t>
      </w:r>
      <w:r>
        <w:rPr>
          <w:rFonts w:hint="eastAsia" w:ascii="仿宋" w:hAnsi="仿宋" w:eastAsia="仿宋" w:cs="仿宋"/>
          <w:b/>
          <w:bCs/>
          <w:sz w:val="32"/>
          <w:szCs w:val="32"/>
          <w:lang w:val="en-US" w:eastAsia="zh-CN"/>
        </w:rPr>
        <w:t>三是科学编制预算，争取足额保障。</w:t>
      </w:r>
      <w:r>
        <w:rPr>
          <w:rFonts w:hint="eastAsia" w:ascii="仿宋" w:hAnsi="仿宋" w:eastAsia="仿宋" w:cs="仿宋"/>
          <w:b w:val="0"/>
          <w:bCs w:val="0"/>
          <w:sz w:val="32"/>
          <w:szCs w:val="32"/>
          <w:lang w:val="en-US" w:eastAsia="zh-CN"/>
        </w:rPr>
        <w:t>在年初编制预算时，应本着实事求是的原则，根据单位实有在职人员和政策性标准，足额编制人员经费预算，从源头上避免因预算不足而导致的挤占问题。主动与财政部门沟通，准确反映单位的人员情况和经费需求。</w:t>
      </w:r>
    </w:p>
    <w:p w14:paraId="498F7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2.未提供以下管理制度。如预算管理制度，内部控制制度，政府采购管理制度，合同管理制度，专项资金管理办法，绩效管理制度，信息化管理制度，决算与财务报告制度，监督与审计制度，工会管理制度等。</w:t>
      </w:r>
    </w:p>
    <w:p w14:paraId="0AF387C4">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预算法要求各级政府、各部门、各单位必须编制预算，并严格执行预算。预算管理制度、决算与财务报告制度的缺失，直接导致预算编制无章可循、执行过程失控、决算信息失真，无法满足预算法对预算管理全流程的法定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财政部《行政事业单位内部控制规范（试行）》（财会〔2012〕21号）。这是最直接、最全面的违规依据。该规范强制要求单位建立并实施内部控制制度，以防范经济业务风险。上述清单中的绝大多数制度（如预算、采购、资产、合同、专项资金等管理制度）正是内部控制体系的核心组成部分。内部控制制度本身的缺失，更是直接违反了该规范的强制性要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上述违反了中华人民共和国政府采购法》及其实施条例。</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上述违反了《中华人民共和国民法典》关于合同订立、履行、管理的基本原则，使单位面临巨大的法律和财务风险。</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关于全面实施预算绩效管理的意见》。该意见要求将绩效管理融入预算编制、执行、监督全过程。绩效管理制度的缺失，直接与“全面实施预算绩效管理”的国策相悖，导致资金使用不计效果、不讲效益。</w:t>
      </w:r>
      <w:r>
        <w:rPr>
          <w:rFonts w:hint="eastAsia" w:ascii="仿宋" w:hAnsi="仿宋" w:eastAsia="仿宋" w:cs="仿宋"/>
          <w:b/>
          <w:bCs/>
          <w:sz w:val="32"/>
          <w:szCs w:val="32"/>
          <w:lang w:val="en-US" w:eastAsia="zh-CN"/>
        </w:rPr>
        <w:t>相关政策6：</w:t>
      </w:r>
      <w:r>
        <w:rPr>
          <w:rFonts w:hint="eastAsia" w:ascii="仿宋" w:hAnsi="仿宋" w:eastAsia="仿宋" w:cs="仿宋"/>
          <w:b w:val="0"/>
          <w:bCs w:val="0"/>
          <w:sz w:val="32"/>
          <w:szCs w:val="32"/>
          <w:lang w:val="en-US" w:eastAsia="zh-CN"/>
        </w:rPr>
        <w:t>上述违反了《中华人民共和国审计法》。监督与审计制度的缺失，使得单位内部缺乏自我监督和问题预警机制，无法主动发现问题、纠正偏差，无法满足审计机关对单位建立健全内部审计制度的要求。</w:t>
      </w:r>
    </w:p>
    <w:p w14:paraId="22BE2A86">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建议：一是提高认识，明确责任。</w:t>
      </w:r>
      <w:r>
        <w:rPr>
          <w:rFonts w:hint="eastAsia" w:ascii="仿宋" w:hAnsi="仿宋" w:eastAsia="仿宋" w:cs="仿宋"/>
          <w:b w:val="0"/>
          <w:bCs w:val="0"/>
          <w:sz w:val="32"/>
          <w:szCs w:val="32"/>
          <w:lang w:val="en-US" w:eastAsia="zh-CN"/>
        </w:rPr>
        <w:t>单位主要负责人（“一把手”）必须高度重视，认识到建立健全管理制度是履行法定职责、保护干部、提高资金效益的根本要求。应成立由单位主要领导牵头，财务、资产、办公室、业务部门等共同参与的制度建设工作专班，明确分工和时限。</w:t>
      </w:r>
      <w:r>
        <w:rPr>
          <w:rFonts w:hint="eastAsia" w:ascii="仿宋" w:hAnsi="仿宋" w:eastAsia="仿宋" w:cs="仿宋"/>
          <w:b/>
          <w:bCs/>
          <w:sz w:val="32"/>
          <w:szCs w:val="32"/>
          <w:lang w:val="en-US" w:eastAsia="zh-CN"/>
        </w:rPr>
        <w:t>二是系统规划，分批建立。</w:t>
      </w:r>
      <w:r>
        <w:rPr>
          <w:rFonts w:hint="eastAsia" w:ascii="仿宋" w:hAnsi="仿宋" w:eastAsia="仿宋" w:cs="仿宋"/>
          <w:b w:val="0"/>
          <w:bCs w:val="0"/>
          <w:sz w:val="32"/>
          <w:szCs w:val="32"/>
          <w:lang w:val="en-US" w:eastAsia="zh-CN"/>
        </w:rPr>
        <w:t>优先级1（立即建立）：内部控制制度（总纲性文件）、预算管理制度、国有资产管理制度、财务报销与审批制度。这些是保障资金安全和资产安全的底线。优先级2（快速跟进）：政府采购管理制度、合同管理制度、专项资金管理办法。这些是规范具体经济业务的关键。优先级3（完善提升）：绩效管理制度、信息化管理制度、决算与财务报告制度、监督与审计制度。这些是提升管理现代化水平的重要工具。</w:t>
      </w:r>
      <w:r>
        <w:rPr>
          <w:rFonts w:hint="eastAsia" w:ascii="仿宋" w:hAnsi="仿宋" w:eastAsia="仿宋" w:cs="仿宋"/>
          <w:b/>
          <w:bCs/>
          <w:sz w:val="32"/>
          <w:szCs w:val="32"/>
          <w:lang w:val="en-US" w:eastAsia="zh-CN"/>
        </w:rPr>
        <w:t>三是结合实际，注重实效。</w:t>
      </w:r>
      <w:r>
        <w:rPr>
          <w:rFonts w:hint="eastAsia" w:ascii="仿宋" w:hAnsi="仿宋" w:eastAsia="仿宋" w:cs="仿宋"/>
          <w:b w:val="0"/>
          <w:bCs w:val="0"/>
          <w:sz w:val="32"/>
          <w:szCs w:val="32"/>
          <w:lang w:val="en-US" w:eastAsia="zh-CN"/>
        </w:rPr>
        <w:t>制度的制定不能简单照搬照抄，必须结合单位的业务特点、规模大小和管理现状。条款要具体、清晰、具有可操作性，明确各项业务的流程、审批权限和责任部门。例如，合同管理制度应明确不同金额合同的审批流程。</w:t>
      </w:r>
      <w:r>
        <w:rPr>
          <w:rFonts w:hint="eastAsia" w:ascii="仿宋" w:hAnsi="仿宋" w:eastAsia="仿宋" w:cs="仿宋"/>
          <w:b/>
          <w:bCs/>
          <w:sz w:val="32"/>
          <w:szCs w:val="32"/>
          <w:lang w:val="en-US" w:eastAsia="zh-CN"/>
        </w:rPr>
        <w:t>四是加强培训，严格执行。五是动态优化，持续改进。</w:t>
      </w:r>
      <w:r>
        <w:rPr>
          <w:rFonts w:hint="eastAsia" w:ascii="仿宋" w:hAnsi="仿宋" w:eastAsia="仿宋" w:cs="仿宋"/>
          <w:b w:val="0"/>
          <w:bCs w:val="0"/>
          <w:sz w:val="32"/>
          <w:szCs w:val="32"/>
          <w:lang w:val="en-US" w:eastAsia="zh-CN"/>
        </w:rPr>
        <w:t>管理制度不是一成不变的。应建立制度的定期评估和修订机制（例如每2-3年一次），根据国家新出台的政策、审计检查发现的问题以及单位内部管理需求的变化，及时对制度进行更新和完善。</w:t>
      </w:r>
    </w:p>
    <w:p w14:paraId="0725FE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3.食堂餐费支付凭证后仅附国库支付单与往来收据，无具体计算依据说明（如用餐人数、餐标、天数等）。</w:t>
      </w:r>
    </w:p>
    <w:p w14:paraId="0DCD95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政府会计制度——行政事业单位会计科目和报表》。该制度要求行政事业单位的会计核算必须以真实、完整的原始凭证为依据。原始凭证应能清晰反映经济业务的内容、金额、时间、经办人员等信息。食堂餐费支付后仅凭国库支付单和往来收据，无法证明该笔支出的具体用途（如用餐人员、事由、标准等），不符合对原始凭证“完整性”的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该规范要求单位建立并实施内部控制，确保经济活动合法合规、资产安全和使用有效、财务信息真实完整。其中，对支出业务的控制要求包括：确保业务真实、手续完备、附件齐全。附件不全的支付行为，暴露出单位在支出审批、单据审核等环节的内部控制存在缺陷。</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该法强调各级政府的全部收入和支出都应当纳入预算，并要求预算执行严格、透明。财政资金的支付必须符合预算规定的用途，且需要有明确的支出依据。附件不全的支付行为，可能导致资金脱离预算监管，违反预算法关于预算执行和财政管理的规定。四大风险分析：</w:t>
      </w:r>
      <w:r>
        <w:rPr>
          <w:rFonts w:hint="eastAsia" w:ascii="仿宋" w:hAnsi="仿宋" w:eastAsia="仿宋" w:cs="仿宋"/>
          <w:b/>
          <w:bCs/>
          <w:sz w:val="32"/>
          <w:szCs w:val="32"/>
          <w:lang w:val="en-US" w:eastAsia="zh-CN"/>
        </w:rPr>
        <w:t>一是合规性风险。</w:t>
      </w:r>
      <w:r>
        <w:rPr>
          <w:rFonts w:hint="eastAsia" w:ascii="仿宋" w:hAnsi="仿宋" w:eastAsia="仿宋" w:cs="仿宋"/>
          <w:b w:val="0"/>
          <w:bCs w:val="0"/>
          <w:sz w:val="32"/>
          <w:szCs w:val="32"/>
          <w:lang w:val="en-US" w:eastAsia="zh-CN"/>
        </w:rPr>
        <w:t>支付附件不完整，直接违反了上述关于会计凭证和内部控制的规定，属于不合规的财务操作。</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在审计（包括内部审计和外部审计）中，此类支付行为极易被认定为“支出依据不充分”或“原始凭证不完整”，可能导致审计调整或负面评价。</w:t>
      </w:r>
      <w:r>
        <w:rPr>
          <w:rFonts w:hint="eastAsia" w:ascii="仿宋" w:hAnsi="仿宋" w:eastAsia="仿宋" w:cs="仿宋"/>
          <w:b/>
          <w:bCs/>
          <w:sz w:val="32"/>
          <w:szCs w:val="32"/>
          <w:lang w:val="en-US" w:eastAsia="zh-CN"/>
        </w:rPr>
        <w:t>三是廉政风险。</w:t>
      </w:r>
      <w:r>
        <w:rPr>
          <w:rFonts w:hint="eastAsia" w:ascii="仿宋" w:hAnsi="仿宋" w:eastAsia="仿宋" w:cs="仿宋"/>
          <w:b w:val="0"/>
          <w:bCs w:val="0"/>
          <w:sz w:val="32"/>
          <w:szCs w:val="32"/>
          <w:lang w:val="en-US" w:eastAsia="zh-CN"/>
        </w:rPr>
        <w:t>附件不全使得资金流向不透明，为虚报、套取、挪用财政资金等行为提供了空间，存在较高的廉政风险。</w:t>
      </w:r>
    </w:p>
    <w:p w14:paraId="33B050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建议：一是及时整改。</w:t>
      </w:r>
      <w:r>
        <w:rPr>
          <w:rFonts w:hint="eastAsia" w:ascii="仿宋" w:hAnsi="仿宋" w:eastAsia="仿宋" w:cs="仿宋"/>
          <w:b w:val="0"/>
          <w:bCs w:val="0"/>
          <w:sz w:val="32"/>
          <w:szCs w:val="32"/>
          <w:lang w:val="en-US" w:eastAsia="zh-CN"/>
        </w:rPr>
        <w:t>相关单位立即对类似支出进行自查自纠，补充完整附件。</w:t>
      </w:r>
      <w:r>
        <w:rPr>
          <w:rFonts w:hint="eastAsia" w:ascii="仿宋" w:hAnsi="仿宋" w:eastAsia="仿宋" w:cs="仿宋"/>
          <w:b/>
          <w:bCs/>
          <w:sz w:val="32"/>
          <w:szCs w:val="32"/>
          <w:lang w:val="en-US" w:eastAsia="zh-CN"/>
        </w:rPr>
        <w:t>用餐情况统计表</w:t>
      </w:r>
      <w:r>
        <w:rPr>
          <w:rFonts w:hint="eastAsia" w:ascii="仿宋" w:hAnsi="仿宋" w:eastAsia="仿宋" w:cs="仿宋"/>
          <w:b w:val="0"/>
          <w:bCs w:val="0"/>
          <w:sz w:val="32"/>
          <w:szCs w:val="32"/>
          <w:lang w:val="en-US" w:eastAsia="zh-CN"/>
        </w:rPr>
        <w:t>反映当期用餐人次和消耗总量的内部凭证。</w:t>
      </w:r>
      <w:r>
        <w:rPr>
          <w:rFonts w:hint="eastAsia" w:ascii="仿宋" w:hAnsi="仿宋" w:eastAsia="仿宋" w:cs="仿宋"/>
          <w:b/>
          <w:bCs/>
          <w:sz w:val="32"/>
          <w:szCs w:val="32"/>
          <w:lang w:val="en-US" w:eastAsia="zh-CN"/>
        </w:rPr>
        <w:t>费用结算审批单</w:t>
      </w:r>
      <w:r>
        <w:rPr>
          <w:rFonts w:hint="eastAsia" w:ascii="仿宋" w:hAnsi="仿宋" w:eastAsia="仿宋" w:cs="仿宋"/>
          <w:b w:val="0"/>
          <w:bCs w:val="0"/>
          <w:sz w:val="32"/>
          <w:szCs w:val="32"/>
          <w:lang w:val="en-US" w:eastAsia="zh-CN"/>
        </w:rPr>
        <w:t>由食堂管理员、部门负责人、财务审核人、单位领导逐级审批。例如，要求提供用餐明细清单（包括用餐时间、事由、人员、菜单及金额等）、内部审批单、消费清单等能证明业务真实性的材料内部说明，由经办人撰写《情况说明》（附负责人签字），解释无明细原因并承诺整改。</w:t>
      </w:r>
      <w:r>
        <w:rPr>
          <w:rFonts w:hint="eastAsia" w:ascii="仿宋" w:hAnsi="仿宋" w:eastAsia="仿宋" w:cs="仿宋"/>
          <w:b/>
          <w:bCs/>
          <w:sz w:val="32"/>
          <w:szCs w:val="32"/>
          <w:lang w:val="en-US" w:eastAsia="zh-CN"/>
        </w:rPr>
        <w:t>二是完善制度。</w:t>
      </w:r>
      <w:r>
        <w:rPr>
          <w:rFonts w:hint="eastAsia" w:ascii="仿宋" w:hAnsi="仿宋" w:eastAsia="仿宋" w:cs="仿宋"/>
          <w:b w:val="0"/>
          <w:bCs w:val="0"/>
          <w:sz w:val="32"/>
          <w:szCs w:val="32"/>
          <w:lang w:val="en-US" w:eastAsia="zh-CN"/>
        </w:rPr>
        <w:t>建议单位修订或完善内部财务管理制度和食堂管理办法，明确各类支出的附件要求，特别是对食堂餐费等高频、小额支出，应制定详细的报销细则。</w:t>
      </w:r>
      <w:r>
        <w:rPr>
          <w:rFonts w:hint="eastAsia" w:ascii="仿宋" w:hAnsi="仿宋" w:eastAsia="仿宋" w:cs="仿宋"/>
          <w:b/>
          <w:bCs/>
          <w:sz w:val="32"/>
          <w:szCs w:val="32"/>
          <w:lang w:val="en-US" w:eastAsia="zh-CN"/>
        </w:rPr>
        <w:t>三是加强审核。</w:t>
      </w:r>
      <w:r>
        <w:rPr>
          <w:rFonts w:hint="eastAsia" w:ascii="仿宋" w:hAnsi="仿宋" w:eastAsia="仿宋" w:cs="仿宋"/>
          <w:b w:val="0"/>
          <w:bCs w:val="0"/>
          <w:sz w:val="32"/>
          <w:szCs w:val="32"/>
          <w:lang w:val="en-US" w:eastAsia="zh-CN"/>
        </w:rPr>
        <w:t>强化财务审核环节，对附件不齐全、不规范的支付申请，坚决予以退回，不予报销。确保所有支出均有充分、合法的依据。财务部门必须严格审核，</w:t>
      </w:r>
      <w:r>
        <w:rPr>
          <w:rFonts w:hint="eastAsia" w:ascii="仿宋" w:hAnsi="仿宋" w:eastAsia="仿宋" w:cs="仿宋"/>
          <w:b/>
          <w:bCs/>
          <w:sz w:val="32"/>
          <w:szCs w:val="32"/>
          <w:lang w:val="en-US" w:eastAsia="zh-CN"/>
        </w:rPr>
        <w:t>“无依据不支付、无明细不报销”</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四是强化监督。</w:t>
      </w:r>
      <w:r>
        <w:rPr>
          <w:rFonts w:hint="eastAsia" w:ascii="仿宋" w:hAnsi="仿宋" w:eastAsia="仿宋" w:cs="仿宋"/>
          <w:b w:val="0"/>
          <w:bCs w:val="0"/>
          <w:sz w:val="32"/>
          <w:szCs w:val="32"/>
          <w:lang w:val="en-US" w:eastAsia="zh-CN"/>
        </w:rPr>
        <w:t>内部审计、纪检监察等部门应加强对食堂等敏感领域支出的监督检查，对发现的违规问题严肃处理，形成有效震慑。</w:t>
      </w:r>
    </w:p>
    <w:p w14:paraId="5900852D">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w:t>
      </w:r>
      <w:r>
        <w:rPr>
          <w:rFonts w:hint="eastAsia" w:ascii="仿宋" w:hAnsi="仿宋" w:eastAsia="仿宋" w:cs="仿宋"/>
          <w:sz w:val="32"/>
          <w:szCs w:val="32"/>
          <w:highlight w:val="none"/>
          <w:lang w:val="en-US" w:eastAsia="zh-CN"/>
        </w:rPr>
        <w:t>设置工会组织，三八过节费及八一慰问</w:t>
      </w:r>
      <w:r>
        <w:rPr>
          <w:rFonts w:hint="eastAsia" w:ascii="仿宋" w:hAnsi="仿宋" w:eastAsia="仿宋" w:cs="仿宋"/>
          <w:b w:val="0"/>
          <w:bCs w:val="0"/>
          <w:sz w:val="32"/>
          <w:szCs w:val="32"/>
          <w:highlight w:val="none"/>
          <w:lang w:val="en-US" w:eastAsia="zh-CN"/>
        </w:rPr>
        <w:t>费</w:t>
      </w:r>
      <w:r>
        <w:rPr>
          <w:rFonts w:hint="eastAsia" w:ascii="仿宋" w:hAnsi="仿宋" w:eastAsia="仿宋" w:cs="仿宋"/>
          <w:b/>
          <w:bCs/>
          <w:sz w:val="32"/>
          <w:szCs w:val="32"/>
          <w:highlight w:val="none"/>
          <w:lang w:val="en-US" w:eastAsia="zh-CN"/>
        </w:rPr>
        <w:t>未从工会经费中支出，从国库支出。</w:t>
      </w:r>
      <w:r>
        <w:rPr>
          <w:rFonts w:hint="eastAsia" w:ascii="仿宋" w:hAnsi="仿宋" w:eastAsia="仿宋" w:cs="仿宋"/>
          <w:b/>
          <w:bCs/>
          <w:sz w:val="32"/>
          <w:szCs w:val="32"/>
          <w:lang w:val="en-US" w:eastAsia="zh-CN"/>
        </w:rPr>
        <w:t>混淆了行政支出与工会支出的界限，支付主体与支出目的不匹配。</w:t>
      </w:r>
      <w:r>
        <w:rPr>
          <w:rFonts w:hint="eastAsia" w:ascii="仿宋" w:hAnsi="仿宋" w:eastAsia="仿宋" w:cs="仿宋"/>
          <w:sz w:val="32"/>
          <w:szCs w:val="32"/>
          <w:highlight w:val="none"/>
          <w:lang w:val="en-US" w:eastAsia="zh-CN"/>
        </w:rPr>
        <w:t>见2024年3月21号凭证5,294.00元。见2024年7月6号凭证900.00元。</w:t>
      </w:r>
    </w:p>
    <w:p w14:paraId="4CD8C030">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工会法》第四十四条规定。工会应当根据经费独立原则，建立预算、决算和经费审查监督制度。工会经费（包括会员会费、行政拨缴经费等）应独立核算，专款专用。三八妇女节福利、八一建军节慰问（针对单位复转军人）是典型的工会活动支出，其费用来源应为工会经费。从国库（即单位行政经费）列支，实质上是将应由工会承担的成本转嫁给了行政，违反了工会经费独立核算的原则。</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上述违反了《基层工会经费收支管理办法》的具体规定。</w:t>
      </w:r>
      <w:r>
        <w:rPr>
          <w:rFonts w:hint="eastAsia" w:ascii="仿宋" w:hAnsi="仿宋" w:eastAsia="仿宋" w:cs="仿宋"/>
          <w:b/>
          <w:bCs/>
          <w:sz w:val="32"/>
          <w:szCs w:val="32"/>
          <w:highlight w:val="none"/>
          <w:lang w:val="en-US" w:eastAsia="zh-CN"/>
        </w:rPr>
        <w:t>“职工集体福利支出”</w:t>
      </w:r>
      <w:r>
        <w:rPr>
          <w:rFonts w:hint="eastAsia" w:ascii="仿宋" w:hAnsi="仿宋" w:eastAsia="仿宋" w:cs="仿宋"/>
          <w:b w:val="0"/>
          <w:bCs w:val="0"/>
          <w:sz w:val="32"/>
          <w:szCs w:val="32"/>
          <w:highlight w:val="none"/>
          <w:lang w:val="en-US" w:eastAsia="zh-CN"/>
        </w:rPr>
        <w:t>包括逢年过节和会员生日、婚丧嫁娶、退休离岗的慰问支出等。三八节慰问女职工的福利属于此范畴。</w:t>
      </w:r>
      <w:r>
        <w:rPr>
          <w:rFonts w:hint="eastAsia" w:ascii="仿宋" w:hAnsi="仿宋" w:eastAsia="仿宋" w:cs="仿宋"/>
          <w:b/>
          <w:bCs/>
          <w:sz w:val="32"/>
          <w:szCs w:val="32"/>
          <w:highlight w:val="none"/>
          <w:lang w:val="en-US" w:eastAsia="zh-CN"/>
        </w:rPr>
        <w:t>“其他活动支出”</w:t>
      </w:r>
      <w:r>
        <w:rPr>
          <w:rFonts w:hint="eastAsia" w:ascii="仿宋" w:hAnsi="仿宋" w:eastAsia="仿宋" w:cs="仿宋"/>
          <w:b w:val="0"/>
          <w:bCs w:val="0"/>
          <w:sz w:val="32"/>
          <w:szCs w:val="32"/>
          <w:highlight w:val="none"/>
          <w:lang w:val="en-US" w:eastAsia="zh-CN"/>
        </w:rPr>
        <w:t>包括工会开展的劳动模范和先进职工疗休养补贴等其他活动的各项支出。对特定群体（如复转军人）的慰问活动也属于工会活动的延伸。</w:t>
      </w:r>
      <w:r>
        <w:rPr>
          <w:rFonts w:hint="eastAsia" w:ascii="仿宋" w:hAnsi="仿宋" w:eastAsia="仿宋" w:cs="仿宋"/>
          <w:b/>
          <w:bCs/>
          <w:sz w:val="32"/>
          <w:szCs w:val="32"/>
          <w:highlight w:val="none"/>
          <w:lang w:val="en-US" w:eastAsia="zh-CN"/>
        </w:rPr>
        <w:t>该办法明确规定了这些支出的资金来源是“工会经费”，而非行政经费。导致三类结果。一是行政经费虚增，</w:t>
      </w:r>
      <w:r>
        <w:rPr>
          <w:rFonts w:hint="eastAsia" w:ascii="仿宋" w:hAnsi="仿宋" w:eastAsia="仿宋" w:cs="仿宋"/>
          <w:b w:val="0"/>
          <w:bCs w:val="0"/>
          <w:sz w:val="32"/>
          <w:szCs w:val="32"/>
          <w:highlight w:val="none"/>
          <w:lang w:val="en-US" w:eastAsia="zh-CN"/>
        </w:rPr>
        <w:t>单位行政账列支了不应由行政承担的费用。</w:t>
      </w:r>
      <w:r>
        <w:rPr>
          <w:rFonts w:hint="eastAsia" w:ascii="仿宋" w:hAnsi="仿宋" w:eastAsia="仿宋" w:cs="仿宋"/>
          <w:b/>
          <w:bCs/>
          <w:sz w:val="32"/>
          <w:szCs w:val="32"/>
          <w:highlight w:val="none"/>
          <w:lang w:val="en-US" w:eastAsia="zh-CN"/>
        </w:rPr>
        <w:t>二是工会经费结余不实，</w:t>
      </w:r>
      <w:r>
        <w:rPr>
          <w:rFonts w:hint="eastAsia" w:ascii="仿宋" w:hAnsi="仿宋" w:eastAsia="仿宋" w:cs="仿宋"/>
          <w:b w:val="0"/>
          <w:bCs w:val="0"/>
          <w:sz w:val="32"/>
          <w:szCs w:val="32"/>
          <w:highlight w:val="none"/>
          <w:lang w:val="en-US" w:eastAsia="zh-CN"/>
        </w:rPr>
        <w:t>工会经费本应使用的部分没有使用，造成工会经费“闲置”或结余虚高，未能真正用于服务职工。</w:t>
      </w:r>
      <w:r>
        <w:rPr>
          <w:rFonts w:hint="eastAsia" w:ascii="仿宋" w:hAnsi="仿宋" w:eastAsia="仿宋" w:cs="仿宋"/>
          <w:b/>
          <w:bCs/>
          <w:sz w:val="32"/>
          <w:szCs w:val="32"/>
          <w:highlight w:val="none"/>
          <w:lang w:val="en-US" w:eastAsia="zh-CN"/>
        </w:rPr>
        <w:t>三是会计信息失真，</w:t>
      </w:r>
      <w:r>
        <w:rPr>
          <w:rFonts w:hint="eastAsia" w:ascii="仿宋" w:hAnsi="仿宋" w:eastAsia="仿宋" w:cs="仿宋"/>
          <w:b w:val="0"/>
          <w:bCs w:val="0"/>
          <w:sz w:val="32"/>
          <w:szCs w:val="32"/>
          <w:highlight w:val="none"/>
          <w:lang w:val="en-US" w:eastAsia="zh-CN"/>
        </w:rPr>
        <w:t>无法真实反映行政成本和工会活动的实际情况，影响决算报告的准确性和严肃性。</w:t>
      </w:r>
    </w:p>
    <w:p w14:paraId="4E66EFE5">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建议：一是及时纠正，调整账务（针对已发生问题）。最佳路径（资金归还）。</w:t>
      </w:r>
      <w:r>
        <w:rPr>
          <w:rFonts w:hint="eastAsia" w:ascii="仿宋" w:hAnsi="仿宋" w:eastAsia="仿宋" w:cs="仿宋"/>
          <w:b w:val="0"/>
          <w:bCs w:val="0"/>
          <w:sz w:val="32"/>
          <w:szCs w:val="32"/>
          <w:highlight w:val="none"/>
          <w:lang w:val="en-US" w:eastAsia="zh-CN"/>
        </w:rPr>
        <w:t>建议由单位工会根据这两笔费用的实际受益对象和标准，向单位行政归还这两笔资金（共计6,194.00元）。单位行政收到款项后作冲销支出或收款处理，同时工会方依据合法票据和发放记录，从工会经费账户中列支这两笔费用。</w:t>
      </w:r>
      <w:r>
        <w:rPr>
          <w:rFonts w:hint="eastAsia" w:ascii="仿宋" w:hAnsi="仿宋" w:eastAsia="仿宋" w:cs="仿宋"/>
          <w:b/>
          <w:bCs/>
          <w:sz w:val="32"/>
          <w:szCs w:val="32"/>
          <w:highlight w:val="none"/>
          <w:lang w:val="en-US" w:eastAsia="zh-CN"/>
        </w:rPr>
        <w:t>替代路径（账务调整）。</w:t>
      </w:r>
      <w:r>
        <w:rPr>
          <w:rFonts w:hint="eastAsia" w:ascii="仿宋" w:hAnsi="仿宋" w:eastAsia="仿宋" w:cs="仿宋"/>
          <w:b w:val="0"/>
          <w:bCs w:val="0"/>
          <w:sz w:val="32"/>
          <w:szCs w:val="32"/>
          <w:highlight w:val="none"/>
          <w:lang w:val="en-US" w:eastAsia="zh-CN"/>
        </w:rPr>
        <w:t>如果资金归还不便操作，应在后续的“行政拨缴工会经费”中予以扣减，并在财务说明中清晰备注，确保在全年总量上不侵占行政利益。但此方法不如第一种规范。</w:t>
      </w:r>
      <w:r>
        <w:rPr>
          <w:rFonts w:hint="eastAsia" w:ascii="仿宋" w:hAnsi="仿宋" w:eastAsia="仿宋" w:cs="仿宋"/>
          <w:b/>
          <w:bCs/>
          <w:sz w:val="32"/>
          <w:szCs w:val="32"/>
          <w:highlight w:val="none"/>
          <w:lang w:val="en-US" w:eastAsia="zh-CN"/>
        </w:rPr>
        <w:t>二是建章立制，明确边界（长效机制）。</w:t>
      </w:r>
      <w:r>
        <w:rPr>
          <w:rFonts w:hint="eastAsia" w:ascii="仿宋" w:hAnsi="仿宋" w:eastAsia="仿宋" w:cs="仿宋"/>
          <w:b w:val="0"/>
          <w:bCs w:val="0"/>
          <w:sz w:val="32"/>
          <w:szCs w:val="32"/>
          <w:highlight w:val="none"/>
          <w:lang w:val="en-US" w:eastAsia="zh-CN"/>
        </w:rPr>
        <w:t>单位应组织财务部门、工会负责人共同学习《工会法》、《基层工会经费收支管理办法》及地方财政/上级主管部门的相关规定。内部制定或修订《工会经费使用管理实施细则》，以“正面清单”的形式明确列出必须由工会经费列支的项目（如：各类节日慰问、文体活动、职工困难补助、会员生日结婚生育退休慰问等）。同时明确行政经费与工会经费的边界，杜绝相互挤占。</w:t>
      </w:r>
      <w:r>
        <w:rPr>
          <w:rFonts w:hint="eastAsia" w:ascii="仿宋" w:hAnsi="仿宋" w:eastAsia="仿宋" w:cs="仿宋"/>
          <w:b/>
          <w:bCs/>
          <w:sz w:val="32"/>
          <w:szCs w:val="32"/>
          <w:highlight w:val="none"/>
          <w:lang w:val="en-US" w:eastAsia="zh-CN"/>
        </w:rPr>
        <w:t>三是加强审核，落实责任。</w:t>
      </w:r>
      <w:r>
        <w:rPr>
          <w:rFonts w:hint="eastAsia" w:ascii="仿宋" w:hAnsi="仿宋" w:eastAsia="仿宋" w:cs="仿宋"/>
          <w:b w:val="0"/>
          <w:bCs w:val="0"/>
          <w:sz w:val="32"/>
          <w:szCs w:val="32"/>
          <w:highlight w:val="none"/>
          <w:lang w:val="en-US" w:eastAsia="zh-CN"/>
        </w:rPr>
        <w:t>财务人员在审核报销凭证时，应严格区分支出事项的性质。对于明显属于工会活动的支出，应要求提供工会经费报销单据，从工会账户列支，坚决退回从行政经费列支的申请。单位领导和工会负责人应强化责任意识，带头遵守财经法规，确保各项支出合法、合规、来源清晰。</w:t>
      </w:r>
    </w:p>
    <w:p w14:paraId="1D8AC1BF">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5.加班餐费超出限额标准。核心问题在于配送费的处理方式，构成了变相的超标报销。详见2024年6月18号凭证，7月6号凭证。</w:t>
      </w:r>
    </w:p>
    <w:p w14:paraId="7DF2C1A6">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上述违反了《党政机关厉行节约反对浪费条例》。该条例确立了公务活动节俭、高效的原则，要求加强公务开支审核，严格预算约束。任何形式的变相提高支出标准的行为都与该条例精神相悖。</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地方财政部门制定的相关公务支出管理办法（核心依据）。各级政府（如省、市财政部门）通常会发布具体的《机关工作人员加班（值班）伙食补助管理办法》或类似文件。报销配送费，实质上是将人均成本从40元提高到了约44.17元（265元 / 6人），突破了40元的标准上限。此类情况很可能被认定为“超标准、超范围列支费用”或“虚报冒领”。40元的标准已经考虑了食物的基本成本，额外报销配送费缺乏正当理由。</w:t>
      </w:r>
    </w:p>
    <w:p w14:paraId="23736219">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建议：一是及时纠正，拒绝违规报销。</w:t>
      </w:r>
      <w:r>
        <w:rPr>
          <w:rFonts w:hint="eastAsia" w:ascii="仿宋" w:hAnsi="仿宋" w:eastAsia="仿宋" w:cs="仿宋"/>
          <w:b w:val="0"/>
          <w:bCs w:val="0"/>
          <w:sz w:val="32"/>
          <w:szCs w:val="32"/>
          <w:highlight w:val="none"/>
          <w:lang w:val="en-US" w:eastAsia="zh-CN"/>
        </w:rPr>
        <w:t>财务人员应拒绝按此方式报销该笔265元的费用。根据规定，加班餐费实行定额标准管理，配送费不得单独报销。寻求合规的解决方案。方案一（最优）：选择不收取配送费的餐厅订餐，或者由单位人员自行取餐，确保总费用严格控制在240元以内。方案二（变通）：如果无法避免配送费，应在订餐时与餐厅协商，将“餐费+配送费”的总成本，通过开具发票时合并为“餐费”一项，且总额不得超过240元（即实际餐费为215元，加上25元配送费后，发票开具总额为240元的“餐费”）。但此操作需谨慎，必须确保业务真实、票据合规，且不改变人均标准。</w:t>
      </w:r>
      <w:r>
        <w:rPr>
          <w:rFonts w:hint="eastAsia" w:ascii="仿宋" w:hAnsi="仿宋" w:eastAsia="仿宋" w:cs="仿宋"/>
          <w:b/>
          <w:bCs/>
          <w:sz w:val="32"/>
          <w:szCs w:val="32"/>
          <w:highlight w:val="none"/>
          <w:lang w:val="en-US" w:eastAsia="zh-CN"/>
        </w:rPr>
        <w:t>二是加强制度学习与宣传。</w:t>
      </w:r>
      <w:r>
        <w:rPr>
          <w:rFonts w:hint="eastAsia" w:ascii="仿宋" w:hAnsi="仿宋" w:eastAsia="仿宋" w:cs="仿宋"/>
          <w:b w:val="0"/>
          <w:bCs w:val="0"/>
          <w:sz w:val="32"/>
          <w:szCs w:val="32"/>
          <w:highlight w:val="none"/>
          <w:lang w:val="en-US" w:eastAsia="zh-CN"/>
        </w:rPr>
        <w:t>组织相关人员进行公务接待、加班餐费等常用财务制度的学习，明确开支范围、标准和报销流程。重点强调“不得变通、不得拆分、不得超标”的原则。</w:t>
      </w:r>
      <w:r>
        <w:rPr>
          <w:rFonts w:hint="eastAsia" w:ascii="仿宋" w:hAnsi="仿宋" w:eastAsia="仿宋" w:cs="仿宋"/>
          <w:b/>
          <w:bCs/>
          <w:sz w:val="32"/>
          <w:szCs w:val="32"/>
          <w:highlight w:val="none"/>
          <w:lang w:val="en-US" w:eastAsia="zh-CN"/>
        </w:rPr>
        <w:t>三是完善内部管理。</w:t>
      </w:r>
      <w:r>
        <w:rPr>
          <w:rFonts w:hint="eastAsia" w:ascii="仿宋" w:hAnsi="仿宋" w:eastAsia="仿宋" w:cs="仿宋"/>
          <w:b w:val="0"/>
          <w:bCs w:val="0"/>
          <w:sz w:val="32"/>
          <w:szCs w:val="32"/>
          <w:highlight w:val="none"/>
          <w:lang w:val="en-US" w:eastAsia="zh-CN"/>
        </w:rPr>
        <w:t>建议单位内部出台更细致的操作指南，例如推荐一批符合标准、可提供工作餐的协议餐厅名单，从源头上避免此类问题。</w:t>
      </w:r>
    </w:p>
    <w:p w14:paraId="0B9D07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6.装修费</w:t>
      </w:r>
      <w:r>
        <w:rPr>
          <w:rFonts w:hint="eastAsia" w:ascii="仿宋" w:hAnsi="仿宋" w:eastAsia="仿宋" w:cs="仿宋"/>
          <w:sz w:val="32"/>
          <w:szCs w:val="32"/>
          <w:highlight w:val="none"/>
          <w:lang w:val="en-US" w:eastAsia="zh-CN"/>
        </w:rPr>
        <w:t>后附国库支付单、发票、双方盖章的说明（对活动中心墙面进行整修105*32=3360元），</w:t>
      </w:r>
      <w:r>
        <w:rPr>
          <w:rFonts w:hint="eastAsia" w:ascii="仿宋" w:hAnsi="仿宋" w:eastAsia="仿宋" w:cs="仿宋"/>
          <w:b/>
          <w:bCs/>
          <w:sz w:val="32"/>
          <w:szCs w:val="32"/>
          <w:highlight w:val="none"/>
          <w:lang w:val="en-US" w:eastAsia="zh-CN"/>
        </w:rPr>
        <w:t>未附合同，未拍照留证。详见2024年5月5号凭证。</w:t>
      </w:r>
    </w:p>
    <w:p w14:paraId="3999F9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政府会计准则——基本准则》强调的会计信息的可靠性和真实性。要求单位应当以实际发生的经济业务或者事项为依据进行会计核算，如实反映各项会计要素的情况和结果，保证会计信息真实可靠、内容完整。“未拍照留证”可能影响对装修事项真实性的验证。</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行政事业单位内部控制规范（试行）》。要求单位建立并实施有效的内部控制，确保经济活动合法合规、资产安全和使用有效、财务信息真实完整。其中，对支出业务的控制要求包括：单据审核、事后监督等环节。装修费用的报销需要完整的单据链来证明经济业务的真实性与合规性。</w:t>
      </w:r>
      <w:r>
        <w:rPr>
          <w:rFonts w:hint="eastAsia" w:ascii="仿宋" w:hAnsi="仿宋" w:eastAsia="仿宋" w:cs="仿宋"/>
          <w:b/>
          <w:bCs/>
          <w:sz w:val="32"/>
          <w:szCs w:val="32"/>
          <w:highlight w:val="none"/>
          <w:lang w:val="en-US" w:eastAsia="zh-CN"/>
        </w:rPr>
        <w:t>“未拍照留证”是关键瑕疵</w:t>
      </w:r>
      <w:r>
        <w:rPr>
          <w:rFonts w:hint="eastAsia" w:ascii="仿宋" w:hAnsi="仿宋" w:eastAsia="仿宋" w:cs="仿宋"/>
          <w:b w:val="0"/>
          <w:bCs w:val="0"/>
          <w:sz w:val="32"/>
          <w:szCs w:val="32"/>
          <w:highlight w:val="none"/>
          <w:lang w:val="en-US" w:eastAsia="zh-CN"/>
        </w:rPr>
        <w:t>。在财务审计或检查中，对于装修等涉及实物资产或工程的支出，影像资料（如照片） 是证明工程实际完成情况、验收情况的重要辅助证据。缺少此类证据，可能导致三类问题。</w:t>
      </w:r>
      <w:r>
        <w:rPr>
          <w:rFonts w:hint="eastAsia" w:ascii="仿宋" w:hAnsi="仿宋" w:eastAsia="仿宋" w:cs="仿宋"/>
          <w:b/>
          <w:bCs/>
          <w:sz w:val="32"/>
          <w:szCs w:val="32"/>
          <w:highlight w:val="none"/>
          <w:lang w:val="en-US" w:eastAsia="zh-CN"/>
        </w:rPr>
        <w:t>一是真实性存疑。</w:t>
      </w:r>
      <w:r>
        <w:rPr>
          <w:rFonts w:hint="eastAsia" w:ascii="仿宋" w:hAnsi="仿宋" w:eastAsia="仿宋" w:cs="仿宋"/>
          <w:b w:val="0"/>
          <w:bCs w:val="0"/>
          <w:sz w:val="32"/>
          <w:szCs w:val="32"/>
          <w:highlight w:val="none"/>
          <w:lang w:val="en-US" w:eastAsia="zh-CN"/>
        </w:rPr>
        <w:t>无法直观证明装修工程是否按约定完成，是否存在虚报、冒领的风险。</w:t>
      </w:r>
      <w:r>
        <w:rPr>
          <w:rFonts w:hint="eastAsia" w:ascii="仿宋" w:hAnsi="仿宋" w:eastAsia="仿宋" w:cs="仿宋"/>
          <w:b/>
          <w:bCs/>
          <w:sz w:val="32"/>
          <w:szCs w:val="32"/>
          <w:highlight w:val="none"/>
          <w:lang w:val="en-US" w:eastAsia="zh-CN"/>
        </w:rPr>
        <w:t>二是内部控制的缺陷。</w:t>
      </w:r>
      <w:r>
        <w:rPr>
          <w:rFonts w:hint="eastAsia" w:ascii="仿宋" w:hAnsi="仿宋" w:eastAsia="仿宋" w:cs="仿宋"/>
          <w:b w:val="0"/>
          <w:bCs w:val="0"/>
          <w:sz w:val="32"/>
          <w:szCs w:val="32"/>
          <w:highlight w:val="none"/>
          <w:lang w:val="en-US" w:eastAsia="zh-CN"/>
        </w:rPr>
        <w:t>表明单位在支出审核环节可能存在疏忽，未能确保所有必要的证明资料齐全。</w:t>
      </w:r>
      <w:r>
        <w:rPr>
          <w:rFonts w:hint="eastAsia" w:ascii="仿宋" w:hAnsi="仿宋" w:eastAsia="仿宋" w:cs="仿宋"/>
          <w:b/>
          <w:bCs/>
          <w:sz w:val="32"/>
          <w:szCs w:val="32"/>
          <w:highlight w:val="none"/>
          <w:lang w:val="en-US" w:eastAsia="zh-CN"/>
        </w:rPr>
        <w:t>三是审计风险。</w:t>
      </w:r>
      <w:r>
        <w:rPr>
          <w:rFonts w:hint="eastAsia" w:ascii="仿宋" w:hAnsi="仿宋" w:eastAsia="仿宋" w:cs="仿宋"/>
          <w:b w:val="0"/>
          <w:bCs w:val="0"/>
          <w:sz w:val="32"/>
          <w:szCs w:val="32"/>
          <w:highlight w:val="none"/>
          <w:lang w:val="en-US" w:eastAsia="zh-CN"/>
        </w:rPr>
        <w:t>在外部审计或上级检查时，可能因无法提供完整的证据链而被认定为不合规支出，导致相关责任人被追责。</w:t>
      </w:r>
    </w:p>
    <w:p w14:paraId="1C3A8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color w:val="auto"/>
          <w:sz w:val="32"/>
          <w:szCs w:val="32"/>
          <w:highlight w:val="none"/>
          <w:lang w:val="en-US" w:eastAsia="zh-CN"/>
        </w:rPr>
      </w:pPr>
      <w:r>
        <w:rPr>
          <w:rFonts w:hint="eastAsia" w:ascii="仿宋" w:hAnsi="仿宋" w:eastAsia="仿宋" w:cs="仿宋"/>
          <w:b/>
          <w:bCs/>
          <w:sz w:val="32"/>
          <w:szCs w:val="32"/>
          <w:highlight w:val="none"/>
          <w:lang w:val="en-US" w:eastAsia="zh-CN"/>
        </w:rPr>
        <w:t>建议：一是及时补救。</w:t>
      </w:r>
      <w:r>
        <w:rPr>
          <w:rFonts w:hint="eastAsia" w:ascii="仿宋" w:hAnsi="仿宋" w:eastAsia="仿宋" w:cs="仿宋"/>
          <w:b w:val="0"/>
          <w:bCs w:val="0"/>
          <w:sz w:val="32"/>
          <w:szCs w:val="32"/>
          <w:highlight w:val="none"/>
          <w:lang w:val="en-US" w:eastAsia="zh-CN"/>
        </w:rPr>
        <w:t>尽快补拍活动中心墙面整修后的照片，作为证明工程已完成的补充材料。如果无法补拍，应书面说明情况，并由相关负责人签字确认。</w:t>
      </w:r>
      <w:r>
        <w:rPr>
          <w:rFonts w:hint="eastAsia" w:ascii="仿宋" w:hAnsi="仿宋" w:eastAsia="仿宋" w:cs="仿宋"/>
          <w:b/>
          <w:bCs/>
          <w:sz w:val="32"/>
          <w:szCs w:val="32"/>
          <w:highlight w:val="none"/>
          <w:lang w:val="en-US" w:eastAsia="zh-CN"/>
        </w:rPr>
        <w:t>二是完善制度。</w:t>
      </w:r>
      <w:r>
        <w:rPr>
          <w:rFonts w:hint="eastAsia" w:ascii="仿宋" w:hAnsi="仿宋" w:eastAsia="仿宋" w:cs="仿宋"/>
          <w:b w:val="0"/>
          <w:bCs w:val="0"/>
          <w:sz w:val="32"/>
          <w:szCs w:val="32"/>
          <w:highlight w:val="none"/>
          <w:lang w:val="en-US" w:eastAsia="zh-CN"/>
        </w:rPr>
        <w:t>建议单位内部明确要求，对于工程类、维修类等涉及实物状态的支出，必须附有施工前、中、后的影像资料作为报销的必要附件。</w:t>
      </w:r>
      <w:r>
        <w:rPr>
          <w:rFonts w:hint="eastAsia" w:ascii="仿宋" w:hAnsi="仿宋" w:eastAsia="仿宋" w:cs="仿宋"/>
          <w:b/>
          <w:bCs/>
          <w:sz w:val="32"/>
          <w:szCs w:val="32"/>
          <w:highlight w:val="none"/>
          <w:lang w:val="en-US" w:eastAsia="zh-CN"/>
        </w:rPr>
        <w:t>三是加强审核。</w:t>
      </w:r>
      <w:r>
        <w:rPr>
          <w:rFonts w:hint="eastAsia" w:ascii="仿宋" w:hAnsi="仿宋" w:eastAsia="仿宋" w:cs="仿宋"/>
          <w:b w:val="0"/>
          <w:bCs w:val="0"/>
          <w:sz w:val="32"/>
          <w:szCs w:val="32"/>
          <w:highlight w:val="none"/>
          <w:lang w:val="en-US" w:eastAsia="zh-CN"/>
        </w:rPr>
        <w:t>财务人员在审核类似支出时，应严格执行内部控制要求，确保所有凭证齐全、合规，对缺少关键证据（如照片）的报销单不予受理。</w:t>
      </w:r>
      <w:r>
        <w:rPr>
          <w:rFonts w:hint="eastAsia" w:ascii="仿宋" w:hAnsi="仿宋" w:eastAsia="仿宋" w:cs="仿宋"/>
          <w:b/>
          <w:bCs/>
          <w:sz w:val="32"/>
          <w:szCs w:val="32"/>
          <w:highlight w:val="none"/>
          <w:lang w:val="en-US" w:eastAsia="zh-CN"/>
        </w:rPr>
        <w:t>四是规范流程。</w:t>
      </w:r>
      <w:r>
        <w:rPr>
          <w:rFonts w:hint="eastAsia" w:ascii="仿宋" w:hAnsi="仿宋" w:eastAsia="仿宋" w:cs="仿宋"/>
          <w:b w:val="0"/>
          <w:bCs w:val="0"/>
          <w:sz w:val="32"/>
          <w:szCs w:val="32"/>
          <w:highlight w:val="none"/>
          <w:lang w:val="en-US" w:eastAsia="zh-CN"/>
        </w:rPr>
        <w:t>对于此类支出，应建立规范的验收流程，由相关部门（如后勤、使用部门等）共同验收并签字确认，确保支出的真实性与合规性。</w:t>
      </w:r>
    </w:p>
    <w:p w14:paraId="12F038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7.跨期支付费用。一是</w:t>
      </w:r>
      <w:r>
        <w:rPr>
          <w:rFonts w:hint="default" w:ascii="仿宋" w:hAnsi="仿宋" w:eastAsia="仿宋" w:cs="仿宋"/>
          <w:b/>
          <w:bCs/>
          <w:sz w:val="32"/>
          <w:szCs w:val="32"/>
          <w:highlight w:val="none"/>
          <w:lang w:val="en-US" w:eastAsia="zh-CN"/>
        </w:rPr>
        <w:t>出车补助</w:t>
      </w:r>
      <w:r>
        <w:rPr>
          <w:rFonts w:hint="eastAsia" w:ascii="仿宋" w:hAnsi="仿宋" w:eastAsia="仿宋" w:cs="仿宋"/>
          <w:b/>
          <w:bCs/>
          <w:sz w:val="32"/>
          <w:szCs w:val="32"/>
          <w:highlight w:val="none"/>
          <w:lang w:val="en-US" w:eastAsia="zh-CN"/>
        </w:rPr>
        <w:t>发放时间段</w:t>
      </w:r>
      <w:r>
        <w:rPr>
          <w:rFonts w:hint="default" w:ascii="仿宋" w:hAnsi="仿宋" w:eastAsia="仿宋" w:cs="仿宋"/>
          <w:b/>
          <w:bCs/>
          <w:sz w:val="32"/>
          <w:szCs w:val="32"/>
          <w:highlight w:val="none"/>
          <w:lang w:val="en-US" w:eastAsia="zh-CN"/>
        </w:rPr>
        <w:t>从2020.11至2023.12月，跨期近三年。</w:t>
      </w:r>
      <w:r>
        <w:rPr>
          <w:rFonts w:hint="eastAsia" w:ascii="仿宋" w:hAnsi="仿宋" w:eastAsia="仿宋" w:cs="仿宋"/>
          <w:b/>
          <w:bCs/>
          <w:sz w:val="32"/>
          <w:szCs w:val="32"/>
          <w:highlight w:val="none"/>
          <w:lang w:val="en-US" w:eastAsia="zh-CN"/>
        </w:rPr>
        <w:t>询问原因以前年度未明确是否发放，2024明确可以并已发放。详见2024年1月11号凭证。后口头回复2025年已退回国库。二是</w:t>
      </w:r>
      <w:r>
        <w:rPr>
          <w:rFonts w:hint="default" w:ascii="仿宋" w:hAnsi="仿宋" w:eastAsia="仿宋" w:cs="仿宋"/>
          <w:b/>
          <w:bCs/>
          <w:sz w:val="32"/>
          <w:szCs w:val="32"/>
          <w:highlight w:val="none"/>
          <w:lang w:val="en-US" w:eastAsia="zh-CN"/>
        </w:rPr>
        <w:t>公车费</w:t>
      </w:r>
      <w:r>
        <w:rPr>
          <w:rFonts w:hint="eastAsia" w:ascii="仿宋" w:hAnsi="仿宋" w:eastAsia="仿宋" w:cs="仿宋"/>
          <w:b/>
          <w:bCs/>
          <w:sz w:val="32"/>
          <w:szCs w:val="32"/>
          <w:highlight w:val="none"/>
          <w:lang w:val="en-US" w:eastAsia="zh-CN"/>
        </w:rPr>
        <w:t>的</w:t>
      </w:r>
      <w:r>
        <w:rPr>
          <w:rFonts w:hint="default" w:ascii="仿宋" w:hAnsi="仿宋" w:eastAsia="仿宋" w:cs="仿宋"/>
          <w:b/>
          <w:bCs/>
          <w:sz w:val="32"/>
          <w:szCs w:val="32"/>
          <w:highlight w:val="none"/>
          <w:lang w:val="en-US" w:eastAsia="zh-CN"/>
        </w:rPr>
        <w:t>2023跨期维修费</w:t>
      </w:r>
      <w:r>
        <w:rPr>
          <w:rFonts w:hint="default" w:ascii="仿宋" w:hAnsi="仿宋" w:eastAsia="仿宋" w:cs="仿宋"/>
          <w:b w:val="0"/>
          <w:bCs w:val="0"/>
          <w:sz w:val="32"/>
          <w:szCs w:val="32"/>
          <w:highlight w:val="none"/>
          <w:lang w:val="en-US" w:eastAsia="zh-CN"/>
        </w:rPr>
        <w:t>。2023年公务车维修费</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申请日为2023年3月至12月</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2024</w:t>
      </w:r>
      <w:r>
        <w:rPr>
          <w:rFonts w:hint="eastAsia" w:ascii="仿宋" w:hAnsi="仿宋" w:eastAsia="仿宋" w:cs="仿宋"/>
          <w:b w:val="0"/>
          <w:bCs w:val="0"/>
          <w:sz w:val="32"/>
          <w:szCs w:val="32"/>
          <w:highlight w:val="none"/>
          <w:lang w:val="en-US" w:eastAsia="zh-CN"/>
        </w:rPr>
        <w:t>年</w:t>
      </w:r>
      <w:r>
        <w:rPr>
          <w:rFonts w:hint="default"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lang w:val="en-US" w:eastAsia="zh-CN"/>
        </w:rPr>
        <w:t>月</w:t>
      </w:r>
      <w:r>
        <w:rPr>
          <w:rFonts w:hint="default" w:ascii="仿宋" w:hAnsi="仿宋" w:eastAsia="仿宋" w:cs="仿宋"/>
          <w:b w:val="0"/>
          <w:bCs w:val="0"/>
          <w:sz w:val="32"/>
          <w:szCs w:val="32"/>
          <w:highlight w:val="none"/>
          <w:lang w:val="en-US" w:eastAsia="zh-CN"/>
        </w:rPr>
        <w:t>28</w:t>
      </w:r>
      <w:r>
        <w:rPr>
          <w:rFonts w:hint="eastAsia" w:ascii="仿宋" w:hAnsi="仿宋" w:eastAsia="仿宋" w:cs="仿宋"/>
          <w:b w:val="0"/>
          <w:bCs w:val="0"/>
          <w:sz w:val="32"/>
          <w:szCs w:val="32"/>
          <w:highlight w:val="none"/>
          <w:lang w:val="en-US" w:eastAsia="zh-CN"/>
        </w:rPr>
        <w:t>日签订</w:t>
      </w:r>
      <w:r>
        <w:rPr>
          <w:rFonts w:hint="default" w:ascii="仿宋" w:hAnsi="仿宋" w:eastAsia="仿宋" w:cs="仿宋"/>
          <w:b w:val="0"/>
          <w:bCs w:val="0"/>
          <w:sz w:val="32"/>
          <w:szCs w:val="32"/>
          <w:highlight w:val="none"/>
          <w:lang w:val="en-US" w:eastAsia="zh-CN"/>
        </w:rPr>
        <w:t>合同。</w:t>
      </w:r>
      <w:r>
        <w:rPr>
          <w:rFonts w:hint="eastAsia" w:ascii="仿宋" w:hAnsi="仿宋" w:eastAsia="仿宋" w:cs="仿宋"/>
          <w:b w:val="0"/>
          <w:bCs w:val="0"/>
          <w:sz w:val="32"/>
          <w:szCs w:val="32"/>
          <w:highlight w:val="none"/>
          <w:lang w:val="en-US" w:eastAsia="zh-CN"/>
        </w:rPr>
        <w:t>详见2024年11月3号凭证。</w:t>
      </w:r>
      <w:r>
        <w:rPr>
          <w:rFonts w:hint="eastAsia" w:ascii="仿宋" w:hAnsi="仿宋" w:eastAsia="仿宋" w:cs="仿宋"/>
          <w:b/>
          <w:bCs/>
          <w:sz w:val="32"/>
          <w:szCs w:val="32"/>
          <w:highlight w:val="none"/>
          <w:lang w:val="en-US" w:eastAsia="zh-CN"/>
        </w:rPr>
        <w:t>三是2023跨期办公费</w:t>
      </w:r>
      <w:r>
        <w:rPr>
          <w:rFonts w:hint="eastAsia" w:ascii="仿宋" w:hAnsi="仿宋" w:eastAsia="仿宋" w:cs="仿宋"/>
          <w:sz w:val="32"/>
          <w:szCs w:val="32"/>
          <w:highlight w:val="none"/>
          <w:lang w:val="en-US" w:eastAsia="zh-CN"/>
        </w:rPr>
        <w:t>。合同日2024年8月13日，国库支付单标注区人大2023年办公及会议用茶。询问原因为结账时间推至2024年，故跨期。四</w:t>
      </w:r>
      <w:r>
        <w:rPr>
          <w:rFonts w:hint="eastAsia" w:ascii="仿宋" w:hAnsi="仿宋" w:eastAsia="仿宋" w:cs="仿宋"/>
          <w:b/>
          <w:bCs/>
          <w:sz w:val="32"/>
          <w:szCs w:val="32"/>
          <w:highlight w:val="none"/>
          <w:lang w:val="en-US" w:eastAsia="zh-CN"/>
        </w:rPr>
        <w:t>是2023跨期办公经费-网络运营费。</w:t>
      </w:r>
      <w:r>
        <w:rPr>
          <w:rFonts w:hint="eastAsia" w:ascii="仿宋" w:hAnsi="仿宋" w:eastAsia="仿宋" w:cs="仿宋"/>
          <w:sz w:val="32"/>
          <w:szCs w:val="32"/>
          <w:highlight w:val="none"/>
          <w:lang w:val="en-US" w:eastAsia="zh-CN"/>
        </w:rPr>
        <w:t>公众号运营，后附2022年合同及说明。五</w:t>
      </w:r>
      <w:r>
        <w:rPr>
          <w:rFonts w:hint="eastAsia" w:ascii="仿宋" w:hAnsi="仿宋" w:eastAsia="仿宋" w:cs="仿宋"/>
          <w:b/>
          <w:bCs/>
          <w:sz w:val="32"/>
          <w:szCs w:val="32"/>
          <w:highlight w:val="none"/>
          <w:lang w:val="en-US" w:eastAsia="zh-CN"/>
        </w:rPr>
        <w:t>是2025跨期云软件年费，</w:t>
      </w:r>
      <w:r>
        <w:rPr>
          <w:rFonts w:hint="eastAsia" w:ascii="仿宋" w:hAnsi="仿宋" w:eastAsia="仿宋" w:cs="仿宋"/>
          <w:sz w:val="32"/>
          <w:szCs w:val="32"/>
          <w:highlight w:val="none"/>
          <w:lang w:val="en-US" w:eastAsia="zh-CN"/>
        </w:rPr>
        <w:t>有合同，无公章及签合同人，无验收。详见2024年12月42号凭证。</w:t>
      </w:r>
      <w:r>
        <w:rPr>
          <w:rFonts w:hint="eastAsia" w:ascii="仿宋" w:hAnsi="仿宋" w:eastAsia="仿宋" w:cs="仿宋"/>
          <w:b/>
          <w:bCs/>
          <w:sz w:val="32"/>
          <w:szCs w:val="32"/>
          <w:highlight w:val="none"/>
          <w:lang w:val="en-US" w:eastAsia="zh-CN"/>
        </w:rPr>
        <w:t>六是跨期办公经费-网络租赁费</w:t>
      </w:r>
      <w:r>
        <w:rPr>
          <w:rFonts w:hint="eastAsia" w:ascii="仿宋" w:hAnsi="仿宋" w:eastAsia="仿宋" w:cs="仿宋"/>
          <w:sz w:val="32"/>
          <w:szCs w:val="32"/>
          <w:highlight w:val="none"/>
          <w:lang w:val="en-US" w:eastAsia="zh-CN"/>
        </w:rPr>
        <w:t>为2021.7.8-2024.7.7，三年网络租赁费</w:t>
      </w:r>
      <w:r>
        <w:rPr>
          <w:rFonts w:hint="eastAsia" w:ascii="仿宋" w:hAnsi="仿宋" w:eastAsia="仿宋" w:cs="仿宋"/>
          <w:b/>
          <w:bCs/>
          <w:sz w:val="32"/>
          <w:szCs w:val="32"/>
          <w:highlight w:val="none"/>
          <w:lang w:val="en-US" w:eastAsia="zh-CN"/>
        </w:rPr>
        <w:t>，</w:t>
      </w:r>
      <w:r>
        <w:rPr>
          <w:rFonts w:hint="eastAsia" w:ascii="仿宋" w:hAnsi="仿宋" w:eastAsia="仿宋" w:cs="仿宋"/>
          <w:b w:val="0"/>
          <w:bCs w:val="0"/>
          <w:sz w:val="32"/>
          <w:szCs w:val="32"/>
          <w:highlight w:val="none"/>
          <w:lang w:val="en-US" w:eastAsia="zh-CN"/>
        </w:rPr>
        <w:t>且业</w:t>
      </w:r>
      <w:r>
        <w:rPr>
          <w:rFonts w:hint="eastAsia" w:ascii="仿宋" w:hAnsi="仿宋" w:eastAsia="仿宋" w:cs="仿宋"/>
          <w:sz w:val="32"/>
          <w:szCs w:val="32"/>
          <w:highlight w:val="none"/>
          <w:lang w:val="en-US" w:eastAsia="zh-CN"/>
        </w:rPr>
        <w:t>务执行在前。详见2024年12月56号凭证。</w:t>
      </w:r>
      <w:r>
        <w:rPr>
          <w:rFonts w:hint="eastAsia" w:ascii="仿宋" w:hAnsi="仿宋" w:eastAsia="仿宋" w:cs="仿宋"/>
          <w:b/>
          <w:bCs/>
          <w:sz w:val="32"/>
          <w:szCs w:val="32"/>
          <w:highlight w:val="none"/>
          <w:lang w:val="en-US" w:eastAsia="zh-CN"/>
        </w:rPr>
        <w:t>七是2024.5-2026.5跨期人事系统年费。</w:t>
      </w:r>
      <w:r>
        <w:rPr>
          <w:rFonts w:hint="eastAsia" w:ascii="仿宋" w:hAnsi="仿宋" w:eastAsia="仿宋" w:cs="仿宋"/>
          <w:sz w:val="32"/>
          <w:szCs w:val="32"/>
          <w:highlight w:val="none"/>
          <w:lang w:val="en-US" w:eastAsia="zh-CN"/>
        </w:rPr>
        <w:t>后未附合同及验收单，支付2024.5.12-2026.5.12两年的服务费。详见2024年5月13号凭证1,800.00元。</w:t>
      </w:r>
      <w:r>
        <w:rPr>
          <w:rFonts w:hint="eastAsia" w:ascii="仿宋" w:hAnsi="仿宋" w:eastAsia="仿宋" w:cs="仿宋"/>
          <w:b w:val="0"/>
          <w:bCs w:val="0"/>
          <w:sz w:val="32"/>
          <w:szCs w:val="32"/>
          <w:highlight w:val="none"/>
          <w:lang w:val="en-US" w:eastAsia="zh-CN"/>
        </w:rPr>
        <w:t>以上七项业务跨期业务均存在不同程度的合规性缺陷，主要集中体现在</w:t>
      </w:r>
      <w:r>
        <w:rPr>
          <w:rFonts w:hint="eastAsia" w:ascii="仿宋" w:hAnsi="仿宋" w:eastAsia="仿宋" w:cs="仿宋"/>
          <w:b/>
          <w:bCs/>
          <w:sz w:val="32"/>
          <w:szCs w:val="32"/>
          <w:highlight w:val="none"/>
          <w:lang w:val="en-US" w:eastAsia="zh-CN"/>
        </w:rPr>
        <w:t>预算管理、支出真实性、合同管理及会计核算</w:t>
      </w:r>
      <w:r>
        <w:rPr>
          <w:rFonts w:hint="eastAsia" w:ascii="仿宋" w:hAnsi="仿宋" w:eastAsia="仿宋" w:cs="仿宋"/>
          <w:b w:val="0"/>
          <w:bCs w:val="0"/>
          <w:sz w:val="32"/>
          <w:szCs w:val="32"/>
          <w:highlight w:val="none"/>
          <w:lang w:val="en-US" w:eastAsia="zh-CN"/>
        </w:rPr>
        <w:t>等方面，违反了行政事业单位财务管理的基本要求。分项分析与建议如下。</w:t>
      </w:r>
      <w:r>
        <w:rPr>
          <w:rFonts w:hint="eastAsia" w:ascii="仿宋" w:hAnsi="仿宋" w:eastAsia="仿宋" w:cs="仿宋"/>
          <w:b/>
          <w:bCs/>
          <w:sz w:val="32"/>
          <w:szCs w:val="32"/>
          <w:highlight w:val="none"/>
          <w:lang w:val="en-US" w:eastAsia="zh-CN"/>
        </w:rPr>
        <w:t>一是出车补助发放</w:t>
      </w:r>
      <w:r>
        <w:rPr>
          <w:rFonts w:hint="eastAsia" w:ascii="仿宋" w:hAnsi="仿宋" w:eastAsia="仿宋" w:cs="仿宋"/>
          <w:b w:val="0"/>
          <w:bCs w:val="0"/>
          <w:sz w:val="32"/>
          <w:szCs w:val="32"/>
          <w:highlight w:val="none"/>
          <w:lang w:val="en-US" w:eastAsia="zh-CN"/>
        </w:rPr>
        <w:t>（2020.11-2023.12，于2024年1月支付）</w:t>
      </w: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上述违反了违背权责发生制/收付实现制原则。费用所属期与支付期严重脱节，跨越近三年，无法真实反映各年度的费用成本，导致年度决算数据失真。</w:t>
      </w:r>
      <w:r>
        <w:rPr>
          <w:rFonts w:hint="eastAsia" w:ascii="仿宋" w:hAnsi="仿宋" w:eastAsia="仿宋" w:cs="仿宋"/>
          <w:b/>
          <w:bCs/>
          <w:sz w:val="32"/>
          <w:szCs w:val="32"/>
          <w:highlight w:val="none"/>
          <w:lang w:val="en-US" w:eastAsia="zh-CN"/>
        </w:rPr>
        <w:t>预算管理缺失。</w:t>
      </w:r>
      <w:r>
        <w:rPr>
          <w:rFonts w:hint="eastAsia" w:ascii="仿宋" w:hAnsi="仿宋" w:eastAsia="仿宋" w:cs="仿宋"/>
          <w:b w:val="0"/>
          <w:bCs w:val="0"/>
          <w:sz w:val="32"/>
          <w:szCs w:val="32"/>
          <w:highlight w:val="none"/>
          <w:lang w:val="en-US" w:eastAsia="zh-CN"/>
        </w:rPr>
        <w:t>未在费用发生的相应年度编制预算并执行，属于典型的“先发生、后补预算”或“无预算支出”。</w:t>
      </w:r>
      <w:r>
        <w:rPr>
          <w:rFonts w:hint="eastAsia" w:ascii="仿宋" w:hAnsi="仿宋" w:eastAsia="仿宋" w:cs="仿宋"/>
          <w:b/>
          <w:bCs/>
          <w:sz w:val="32"/>
          <w:szCs w:val="32"/>
          <w:highlight w:val="none"/>
          <w:lang w:val="en-US" w:eastAsia="zh-CN"/>
        </w:rPr>
        <w:t>资金占用风险。</w:t>
      </w:r>
      <w:r>
        <w:rPr>
          <w:rFonts w:hint="eastAsia" w:ascii="仿宋" w:hAnsi="仿宋" w:eastAsia="仿宋" w:cs="仿宋"/>
          <w:b w:val="0"/>
          <w:bCs w:val="0"/>
          <w:sz w:val="32"/>
          <w:szCs w:val="32"/>
          <w:highlight w:val="none"/>
          <w:lang w:val="en-US" w:eastAsia="zh-CN"/>
        </w:rPr>
        <w:t>长期挂账未支付，占用了后续年度的预算资金，可能影响当年预算的正常执行。</w:t>
      </w:r>
      <w:r>
        <w:rPr>
          <w:rFonts w:hint="eastAsia" w:ascii="仿宋" w:hAnsi="仿宋" w:eastAsia="仿宋" w:cs="仿宋"/>
          <w:b/>
          <w:bCs/>
          <w:sz w:val="32"/>
          <w:szCs w:val="32"/>
          <w:highlight w:val="none"/>
          <w:lang w:val="en-US" w:eastAsia="zh-CN"/>
        </w:rPr>
        <w:t>建议：建立清欠机制。</w:t>
      </w:r>
      <w:r>
        <w:rPr>
          <w:rFonts w:hint="eastAsia" w:ascii="仿宋" w:hAnsi="仿宋" w:eastAsia="仿宋" w:cs="仿宋"/>
          <w:b w:val="0"/>
          <w:bCs w:val="0"/>
          <w:sz w:val="32"/>
          <w:szCs w:val="32"/>
          <w:highlight w:val="none"/>
          <w:lang w:val="en-US" w:eastAsia="zh-CN"/>
        </w:rPr>
        <w:t>全面清理此类历史遗留的应付未付款项，查明原因，并在后续预算中优先安排解决。</w:t>
      </w:r>
      <w:r>
        <w:rPr>
          <w:rFonts w:hint="eastAsia" w:ascii="仿宋" w:hAnsi="仿宋" w:eastAsia="仿宋" w:cs="仿宋"/>
          <w:b/>
          <w:bCs/>
          <w:sz w:val="32"/>
          <w:szCs w:val="32"/>
          <w:highlight w:val="none"/>
          <w:lang w:val="en-US" w:eastAsia="zh-CN"/>
        </w:rPr>
        <w:t>强化预算刚性。</w:t>
      </w:r>
      <w:r>
        <w:rPr>
          <w:rFonts w:hint="eastAsia" w:ascii="仿宋" w:hAnsi="仿宋" w:eastAsia="仿宋" w:cs="仿宋"/>
          <w:b w:val="0"/>
          <w:bCs w:val="0"/>
          <w:sz w:val="32"/>
          <w:szCs w:val="32"/>
          <w:highlight w:val="none"/>
          <w:lang w:val="en-US" w:eastAsia="zh-CN"/>
        </w:rPr>
        <w:t>严格执行“先有预算、后有支出”的原则，严禁超预算或无预算安排支出。</w:t>
      </w:r>
      <w:r>
        <w:rPr>
          <w:rFonts w:hint="eastAsia" w:ascii="仿宋" w:hAnsi="仿宋" w:eastAsia="仿宋" w:cs="仿宋"/>
          <w:b/>
          <w:bCs/>
          <w:sz w:val="32"/>
          <w:szCs w:val="32"/>
          <w:highlight w:val="none"/>
          <w:lang w:val="en-US" w:eastAsia="zh-CN"/>
        </w:rPr>
        <w:t>二是公车维修费</w:t>
      </w:r>
      <w:r>
        <w:rPr>
          <w:rFonts w:hint="eastAsia" w:ascii="仿宋" w:hAnsi="仿宋" w:eastAsia="仿宋" w:cs="仿宋"/>
          <w:b w:val="0"/>
          <w:bCs w:val="0"/>
          <w:sz w:val="32"/>
          <w:szCs w:val="32"/>
          <w:highlight w:val="none"/>
          <w:lang w:val="en-US" w:eastAsia="zh-CN"/>
        </w:rPr>
        <w:t>（2023年服务，2024年10月签合同），</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上述违反了合同管理的基本流程。程序倒置，内控失效。“先服务、后签约”使合同失去了事前约定权利义务、控制风险的作用。无法确保维修服务的价格、质量等经过事前审核和竞争性程序。</w:t>
      </w:r>
      <w:r>
        <w:rPr>
          <w:rFonts w:hint="eastAsia" w:ascii="仿宋" w:hAnsi="仿宋" w:eastAsia="仿宋" w:cs="仿宋"/>
          <w:b/>
          <w:bCs/>
          <w:sz w:val="32"/>
          <w:szCs w:val="32"/>
          <w:highlight w:val="none"/>
          <w:lang w:val="en-US" w:eastAsia="zh-CN"/>
        </w:rPr>
        <w:t>建议</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规范流程。</w:t>
      </w:r>
      <w:r>
        <w:rPr>
          <w:rFonts w:hint="eastAsia" w:ascii="仿宋" w:hAnsi="仿宋" w:eastAsia="仿宋" w:cs="仿宋"/>
          <w:b w:val="0"/>
          <w:bCs w:val="0"/>
          <w:sz w:val="32"/>
          <w:szCs w:val="32"/>
          <w:highlight w:val="none"/>
          <w:lang w:val="en-US" w:eastAsia="zh-CN"/>
        </w:rPr>
        <w:t>所有采购和服务必须坚持“先审批、后实施，先签约、后执行”的原则。</w:t>
      </w:r>
      <w:r>
        <w:rPr>
          <w:rFonts w:hint="eastAsia" w:ascii="仿宋" w:hAnsi="仿宋" w:eastAsia="仿宋" w:cs="仿宋"/>
          <w:b/>
          <w:bCs/>
          <w:sz w:val="32"/>
          <w:szCs w:val="32"/>
          <w:highlight w:val="none"/>
          <w:lang w:val="en-US" w:eastAsia="zh-CN"/>
        </w:rPr>
        <w:t>三是办公及会议用茶</w:t>
      </w:r>
      <w:r>
        <w:rPr>
          <w:rFonts w:hint="eastAsia" w:ascii="仿宋" w:hAnsi="仿宋" w:eastAsia="仿宋" w:cs="仿宋"/>
          <w:b w:val="0"/>
          <w:bCs w:val="0"/>
          <w:sz w:val="32"/>
          <w:szCs w:val="32"/>
          <w:highlight w:val="none"/>
          <w:lang w:val="en-US" w:eastAsia="zh-CN"/>
        </w:rPr>
        <w:t>（合同日2024年，标注为2023年费用）。</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上述违反了会计核算的会计分期的基本原则。将属于2023年的费用在2024年列支，导致两个年度的成本费用核算不实。且属于无预算或超预算支出。</w:t>
      </w:r>
      <w:r>
        <w:rPr>
          <w:rFonts w:hint="eastAsia" w:ascii="仿宋" w:hAnsi="仿宋" w:eastAsia="仿宋" w:cs="仿宋"/>
          <w:b/>
          <w:bCs/>
          <w:sz w:val="32"/>
          <w:szCs w:val="32"/>
          <w:highlight w:val="none"/>
          <w:lang w:val="en-US" w:eastAsia="zh-CN"/>
        </w:rPr>
        <w:t>建议：调整账务。</w:t>
      </w:r>
      <w:r>
        <w:rPr>
          <w:rFonts w:hint="eastAsia" w:ascii="仿宋" w:hAnsi="仿宋" w:eastAsia="仿宋" w:cs="仿宋"/>
          <w:b w:val="0"/>
          <w:bCs w:val="0"/>
          <w:sz w:val="32"/>
          <w:szCs w:val="32"/>
          <w:highlight w:val="none"/>
          <w:lang w:val="en-US" w:eastAsia="zh-CN"/>
        </w:rPr>
        <w:t>如金额重大，应进行以前年度损益调整（适用于企业）或向财政部门申请调整相关账目（适用于行政事业单位）。如金额不大，也应在报销时作出详细说明。</w:t>
      </w:r>
      <w:r>
        <w:rPr>
          <w:rFonts w:hint="eastAsia" w:ascii="仿宋" w:hAnsi="仿宋" w:eastAsia="仿宋" w:cs="仿宋"/>
          <w:b/>
          <w:bCs/>
          <w:sz w:val="32"/>
          <w:szCs w:val="32"/>
          <w:highlight w:val="none"/>
          <w:lang w:val="en-US" w:eastAsia="zh-CN"/>
        </w:rPr>
        <w:t>加强审核。</w:t>
      </w:r>
      <w:r>
        <w:rPr>
          <w:rFonts w:hint="eastAsia" w:ascii="仿宋" w:hAnsi="仿宋" w:eastAsia="仿宋" w:cs="仿宋"/>
          <w:b w:val="0"/>
          <w:bCs w:val="0"/>
          <w:sz w:val="32"/>
          <w:szCs w:val="32"/>
          <w:highlight w:val="none"/>
          <w:lang w:val="en-US" w:eastAsia="zh-CN"/>
        </w:rPr>
        <w:t>财务人员在审核时，应重点关注发票日期、合同日期与费用所属期是否匹配。</w:t>
      </w:r>
      <w:r>
        <w:rPr>
          <w:rFonts w:hint="eastAsia" w:ascii="仿宋" w:hAnsi="仿宋" w:eastAsia="仿宋" w:cs="仿宋"/>
          <w:b/>
          <w:bCs/>
          <w:sz w:val="32"/>
          <w:szCs w:val="32"/>
          <w:highlight w:val="none"/>
          <w:lang w:val="en-US" w:eastAsia="zh-CN"/>
        </w:rPr>
        <w:t>四是公众号运营费</w:t>
      </w:r>
      <w:r>
        <w:rPr>
          <w:rFonts w:hint="eastAsia" w:ascii="仿宋" w:hAnsi="仿宋" w:eastAsia="仿宋" w:cs="仿宋"/>
          <w:b w:val="0"/>
          <w:bCs w:val="0"/>
          <w:sz w:val="32"/>
          <w:szCs w:val="32"/>
          <w:highlight w:val="none"/>
          <w:lang w:val="en-US" w:eastAsia="zh-CN"/>
        </w:rPr>
        <w:t>（后附2022年合同）。</w:t>
      </w:r>
      <w:r>
        <w:rPr>
          <w:rFonts w:hint="eastAsia" w:ascii="仿宋" w:hAnsi="仿宋" w:eastAsia="仿宋" w:cs="仿宋"/>
          <w:b/>
          <w:bCs/>
          <w:sz w:val="32"/>
          <w:szCs w:val="32"/>
          <w:highlight w:val="none"/>
          <w:lang w:val="en-US" w:eastAsia="zh-CN"/>
        </w:rPr>
        <w:t>相关政策4：</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b/>
          <w:bCs/>
          <w:sz w:val="32"/>
          <w:szCs w:val="32"/>
          <w:highlight w:val="none"/>
          <w:lang w:val="en-US" w:eastAsia="zh-CN"/>
        </w:rPr>
        <w:t>合同法中关于合同逾期履行的规定。</w:t>
      </w:r>
      <w:r>
        <w:rPr>
          <w:rFonts w:hint="eastAsia" w:ascii="仿宋" w:hAnsi="仿宋" w:eastAsia="仿宋" w:cs="仿宋"/>
          <w:b w:val="0"/>
          <w:bCs w:val="0"/>
          <w:sz w:val="32"/>
          <w:szCs w:val="32"/>
          <w:highlight w:val="none"/>
          <w:lang w:val="en-US" w:eastAsia="zh-CN"/>
        </w:rPr>
        <w:t>支付2023或2024年的费用，却使用2022年的合同，表明合同已过期，其法律效力和对当期服务的约束力存疑。</w:t>
      </w:r>
      <w:r>
        <w:rPr>
          <w:rFonts w:hint="eastAsia" w:ascii="仿宋" w:hAnsi="仿宋" w:eastAsia="仿宋" w:cs="仿宋"/>
          <w:b/>
          <w:bCs/>
          <w:sz w:val="32"/>
          <w:szCs w:val="32"/>
          <w:highlight w:val="none"/>
          <w:lang w:val="en-US" w:eastAsia="zh-CN"/>
        </w:rPr>
        <w:t>缺乏当期依据。</w:t>
      </w:r>
      <w:r>
        <w:rPr>
          <w:rFonts w:hint="eastAsia" w:ascii="仿宋" w:hAnsi="仿宋" w:eastAsia="仿宋" w:cs="仿宋"/>
          <w:b w:val="0"/>
          <w:bCs w:val="0"/>
          <w:sz w:val="32"/>
          <w:szCs w:val="32"/>
          <w:highlight w:val="none"/>
          <w:lang w:val="en-US" w:eastAsia="zh-CN"/>
        </w:rPr>
        <w:t>服务期限、服务标准、价格等可能已发生变化，仅凭旧合同无法证明当期支出的合理性。</w:t>
      </w:r>
      <w:r>
        <w:rPr>
          <w:rFonts w:hint="eastAsia" w:ascii="仿宋" w:hAnsi="仿宋" w:eastAsia="仿宋" w:cs="仿宋"/>
          <w:b/>
          <w:bCs/>
          <w:sz w:val="32"/>
          <w:szCs w:val="32"/>
          <w:highlight w:val="none"/>
          <w:lang w:val="en-US" w:eastAsia="zh-CN"/>
        </w:rPr>
        <w:t>建议：续签或新签合同。</w:t>
      </w:r>
      <w:r>
        <w:rPr>
          <w:rFonts w:hint="eastAsia" w:ascii="仿宋" w:hAnsi="仿宋" w:eastAsia="仿宋" w:cs="仿宋"/>
          <w:b w:val="0"/>
          <w:bCs w:val="0"/>
          <w:sz w:val="32"/>
          <w:szCs w:val="32"/>
          <w:highlight w:val="none"/>
          <w:lang w:val="en-US" w:eastAsia="zh-CN"/>
        </w:rPr>
        <w:t>对于持续性的服务，应在旧合同到期前及时续签或重新招标、谈判，签订新的合同。</w:t>
      </w:r>
      <w:r>
        <w:rPr>
          <w:rFonts w:hint="eastAsia" w:ascii="仿宋" w:hAnsi="仿宋" w:eastAsia="仿宋" w:cs="仿宋"/>
          <w:b/>
          <w:bCs/>
          <w:sz w:val="32"/>
          <w:szCs w:val="32"/>
          <w:highlight w:val="none"/>
          <w:lang w:val="en-US" w:eastAsia="zh-CN"/>
        </w:rPr>
        <w:t>附当期证明。</w:t>
      </w:r>
      <w:r>
        <w:rPr>
          <w:rFonts w:hint="eastAsia" w:ascii="仿宋" w:hAnsi="仿宋" w:eastAsia="仿宋" w:cs="仿宋"/>
          <w:b w:val="0"/>
          <w:bCs w:val="0"/>
          <w:sz w:val="32"/>
          <w:szCs w:val="32"/>
          <w:highlight w:val="none"/>
          <w:lang w:val="en-US" w:eastAsia="zh-CN"/>
        </w:rPr>
        <w:t>如服务是依据旧合同的延续条款，应附上双方确认的延续说明或当期服务验收合格证明。</w:t>
      </w:r>
      <w:r>
        <w:rPr>
          <w:rFonts w:hint="eastAsia" w:ascii="仿宋" w:hAnsi="仿宋" w:eastAsia="仿宋" w:cs="仿宋"/>
          <w:b/>
          <w:bCs/>
          <w:sz w:val="32"/>
          <w:szCs w:val="32"/>
          <w:highlight w:val="none"/>
          <w:lang w:val="en-US" w:eastAsia="zh-CN"/>
        </w:rPr>
        <w:t>五是云软件年费</w:t>
      </w:r>
      <w:r>
        <w:rPr>
          <w:rFonts w:hint="eastAsia" w:ascii="仿宋" w:hAnsi="仿宋" w:eastAsia="仿宋" w:cs="仿宋"/>
          <w:b w:val="0"/>
          <w:bCs w:val="0"/>
          <w:sz w:val="32"/>
          <w:szCs w:val="32"/>
          <w:highlight w:val="none"/>
          <w:lang w:val="en-US" w:eastAsia="zh-CN"/>
        </w:rPr>
        <w:t>（2025年费用，2024年支付；合同无公章及签章人，无验收）。</w:t>
      </w:r>
      <w:r>
        <w:rPr>
          <w:rFonts w:hint="eastAsia" w:ascii="仿宋" w:hAnsi="仿宋" w:eastAsia="仿宋" w:cs="仿宋"/>
          <w:b/>
          <w:bCs/>
          <w:sz w:val="32"/>
          <w:szCs w:val="32"/>
          <w:highlight w:val="none"/>
          <w:lang w:val="en-US" w:eastAsia="zh-CN"/>
        </w:rPr>
        <w:t>相关政策5：</w:t>
      </w:r>
      <w:r>
        <w:rPr>
          <w:rFonts w:hint="eastAsia" w:ascii="仿宋" w:hAnsi="仿宋" w:eastAsia="仿宋" w:cs="仿宋"/>
          <w:b w:val="0"/>
          <w:bCs w:val="0"/>
          <w:sz w:val="32"/>
          <w:szCs w:val="32"/>
          <w:highlight w:val="none"/>
          <w:lang w:val="en-US" w:eastAsia="zh-CN"/>
        </w:rPr>
        <w:t>上述违反了预算资金的使用规定。提前支付未来年度的费用，挤占了当期预算，且存在资金风险（如服务商无法履约）。</w:t>
      </w:r>
      <w:r>
        <w:rPr>
          <w:rFonts w:hint="eastAsia" w:ascii="仿宋" w:hAnsi="仿宋" w:eastAsia="仿宋" w:cs="仿宋"/>
          <w:b/>
          <w:bCs/>
          <w:sz w:val="32"/>
          <w:szCs w:val="32"/>
          <w:highlight w:val="none"/>
          <w:lang w:val="en-US" w:eastAsia="zh-CN"/>
        </w:rPr>
        <w:t>合同无效，</w:t>
      </w:r>
      <w:r>
        <w:rPr>
          <w:rFonts w:hint="eastAsia" w:ascii="仿宋" w:hAnsi="仿宋" w:eastAsia="仿宋" w:cs="仿宋"/>
          <w:b w:val="0"/>
          <w:bCs w:val="0"/>
          <w:sz w:val="32"/>
          <w:szCs w:val="32"/>
          <w:highlight w:val="none"/>
          <w:lang w:val="en-US" w:eastAsia="zh-CN"/>
        </w:rPr>
        <w:t>合同无公章及签章人，不具备法律效力，属于无效凭证。</w:t>
      </w:r>
      <w:r>
        <w:rPr>
          <w:rFonts w:hint="eastAsia" w:ascii="仿宋" w:hAnsi="仿宋" w:eastAsia="仿宋" w:cs="仿宋"/>
          <w:b/>
          <w:bCs/>
          <w:sz w:val="32"/>
          <w:szCs w:val="32"/>
          <w:highlight w:val="none"/>
          <w:lang w:val="en-US" w:eastAsia="zh-CN"/>
        </w:rPr>
        <w:t>验收缺失，</w:t>
      </w:r>
      <w:r>
        <w:rPr>
          <w:rFonts w:hint="eastAsia" w:ascii="仿宋" w:hAnsi="仿宋" w:eastAsia="仿宋" w:cs="仿宋"/>
          <w:b w:val="0"/>
          <w:bCs w:val="0"/>
          <w:sz w:val="32"/>
          <w:szCs w:val="32"/>
          <w:highlight w:val="none"/>
          <w:lang w:val="en-US" w:eastAsia="zh-CN"/>
        </w:rPr>
        <w:t>支付时未进行验收，无法证明软件已交付且符合要求，内控关键环节缺失。</w:t>
      </w:r>
      <w:r>
        <w:rPr>
          <w:rFonts w:hint="eastAsia" w:ascii="仿宋" w:hAnsi="仿宋" w:eastAsia="仿宋" w:cs="仿宋"/>
          <w:b/>
          <w:bCs/>
          <w:sz w:val="32"/>
          <w:szCs w:val="32"/>
          <w:highlight w:val="none"/>
          <w:lang w:val="en-US" w:eastAsia="zh-CN"/>
        </w:rPr>
        <w:t>建议：一是及时整改。</w:t>
      </w:r>
      <w:r>
        <w:rPr>
          <w:rFonts w:hint="eastAsia" w:ascii="仿宋" w:hAnsi="仿宋" w:eastAsia="仿宋" w:cs="仿宋"/>
          <w:b w:val="0"/>
          <w:bCs w:val="0"/>
          <w:sz w:val="32"/>
          <w:szCs w:val="32"/>
          <w:highlight w:val="none"/>
          <w:lang w:val="en-US" w:eastAsia="zh-CN"/>
        </w:rPr>
        <w:t>此笔支付应予以纠正。应追回资金或与供应商协商调整服务期和付款方式。</w:t>
      </w:r>
      <w:r>
        <w:rPr>
          <w:rFonts w:hint="eastAsia" w:ascii="仿宋" w:hAnsi="仿宋" w:eastAsia="仿宋" w:cs="仿宋"/>
          <w:b/>
          <w:bCs/>
          <w:sz w:val="32"/>
          <w:szCs w:val="32"/>
          <w:highlight w:val="none"/>
          <w:lang w:val="en-US" w:eastAsia="zh-CN"/>
        </w:rPr>
        <w:t>二是规范合同管理。</w:t>
      </w:r>
      <w:r>
        <w:rPr>
          <w:rFonts w:hint="eastAsia" w:ascii="仿宋" w:hAnsi="仿宋" w:eastAsia="仿宋" w:cs="仿宋"/>
          <w:b w:val="0"/>
          <w:bCs w:val="0"/>
          <w:sz w:val="32"/>
          <w:szCs w:val="32"/>
          <w:highlight w:val="none"/>
          <w:lang w:val="en-US" w:eastAsia="zh-CN"/>
        </w:rPr>
        <w:t>所有合同必须要素齐全、签字盖章完整。</w:t>
      </w:r>
      <w:r>
        <w:rPr>
          <w:rFonts w:hint="eastAsia" w:ascii="仿宋" w:hAnsi="仿宋" w:eastAsia="仿宋" w:cs="仿宋"/>
          <w:b/>
          <w:bCs/>
          <w:sz w:val="32"/>
          <w:szCs w:val="32"/>
          <w:highlight w:val="none"/>
          <w:lang w:val="en-US" w:eastAsia="zh-CN"/>
        </w:rPr>
        <w:t>三是严格执行验收。</w:t>
      </w:r>
      <w:r>
        <w:rPr>
          <w:rFonts w:hint="eastAsia" w:ascii="仿宋" w:hAnsi="仿宋" w:eastAsia="仿宋" w:cs="仿宋"/>
          <w:b w:val="0"/>
          <w:bCs w:val="0"/>
          <w:sz w:val="32"/>
          <w:szCs w:val="32"/>
          <w:highlight w:val="none"/>
          <w:lang w:val="en-US" w:eastAsia="zh-CN"/>
        </w:rPr>
        <w:t>服务类、软件类采购必须经过使用部门或技术部门的验收，并出具验收报告后方可支付。</w:t>
      </w:r>
      <w:r>
        <w:rPr>
          <w:rFonts w:hint="eastAsia" w:ascii="仿宋" w:hAnsi="仿宋" w:eastAsia="仿宋" w:cs="仿宋"/>
          <w:b/>
          <w:bCs/>
          <w:sz w:val="32"/>
          <w:szCs w:val="32"/>
          <w:highlight w:val="none"/>
          <w:lang w:val="en-US" w:eastAsia="zh-CN"/>
        </w:rPr>
        <w:t>六是网络租赁费</w:t>
      </w:r>
      <w:r>
        <w:rPr>
          <w:rFonts w:hint="eastAsia" w:ascii="仿宋" w:hAnsi="仿宋" w:eastAsia="仿宋" w:cs="仿宋"/>
          <w:b w:val="0"/>
          <w:bCs w:val="0"/>
          <w:sz w:val="32"/>
          <w:szCs w:val="32"/>
          <w:highlight w:val="none"/>
          <w:lang w:val="en-US" w:eastAsia="zh-CN"/>
        </w:rPr>
        <w:t>（支付三年费用，业务执行在前）。</w:t>
      </w:r>
      <w:r>
        <w:rPr>
          <w:rFonts w:hint="eastAsia" w:ascii="仿宋" w:hAnsi="仿宋" w:eastAsia="仿宋" w:cs="仿宋"/>
          <w:b/>
          <w:bCs/>
          <w:sz w:val="32"/>
          <w:szCs w:val="32"/>
          <w:highlight w:val="none"/>
          <w:lang w:val="en-US" w:eastAsia="zh-CN"/>
        </w:rPr>
        <w:t>相关政策6：</w:t>
      </w:r>
      <w:r>
        <w:rPr>
          <w:rFonts w:hint="eastAsia" w:ascii="仿宋" w:hAnsi="仿宋" w:eastAsia="仿宋" w:cs="仿宋"/>
          <w:b w:val="0"/>
          <w:bCs w:val="0"/>
          <w:sz w:val="32"/>
          <w:szCs w:val="32"/>
          <w:highlight w:val="none"/>
          <w:lang w:val="en-US" w:eastAsia="zh-CN"/>
        </w:rPr>
        <w:t>上述违反了违反了预算管理和资金使用效益原则。将未来多年的支出在一年内列支，虚增了当年费用，且丧失了资金的时间价值。“业务执行在前”同样属于内控缺陷。</w:t>
      </w:r>
      <w:r>
        <w:rPr>
          <w:rFonts w:hint="eastAsia" w:ascii="仿宋" w:hAnsi="仿宋" w:eastAsia="仿宋" w:cs="仿宋"/>
          <w:b/>
          <w:bCs/>
          <w:sz w:val="32"/>
          <w:szCs w:val="32"/>
          <w:highlight w:val="none"/>
          <w:lang w:val="en-US" w:eastAsia="zh-CN"/>
        </w:rPr>
        <w:t>建议：按年支付。</w:t>
      </w:r>
      <w:r>
        <w:rPr>
          <w:rFonts w:hint="eastAsia" w:ascii="仿宋" w:hAnsi="仿宋" w:eastAsia="仿宋" w:cs="仿宋"/>
          <w:b w:val="0"/>
          <w:bCs w:val="0"/>
          <w:sz w:val="32"/>
          <w:szCs w:val="32"/>
          <w:highlight w:val="none"/>
          <w:lang w:val="en-US" w:eastAsia="zh-CN"/>
        </w:rPr>
        <w:t>对于持续性费用，原则上应按年签订合同、按年支付。</w:t>
      </w:r>
      <w:r>
        <w:rPr>
          <w:rFonts w:hint="eastAsia" w:ascii="仿宋" w:hAnsi="仿宋" w:eastAsia="仿宋" w:cs="仿宋"/>
          <w:b/>
          <w:bCs/>
          <w:sz w:val="32"/>
          <w:szCs w:val="32"/>
          <w:highlight w:val="none"/>
          <w:lang w:val="en-US" w:eastAsia="zh-CN"/>
        </w:rPr>
        <w:t>特殊情形。</w:t>
      </w:r>
      <w:r>
        <w:rPr>
          <w:rFonts w:hint="eastAsia" w:ascii="仿宋" w:hAnsi="仿宋" w:eastAsia="仿宋" w:cs="仿宋"/>
          <w:b w:val="0"/>
          <w:bCs w:val="0"/>
          <w:sz w:val="32"/>
          <w:szCs w:val="32"/>
          <w:highlight w:val="none"/>
          <w:lang w:val="en-US" w:eastAsia="zh-CN"/>
        </w:rPr>
        <w:t>如确有特殊原因需一次性支付，必须经过严格的审批程序，并在会计核算上作为“待摊费用”处理，在受益期间内分期摊销，不得一次性计入当期费用。</w:t>
      </w:r>
      <w:r>
        <w:rPr>
          <w:rFonts w:hint="eastAsia" w:ascii="仿宋" w:hAnsi="仿宋" w:eastAsia="仿宋" w:cs="仿宋"/>
          <w:b/>
          <w:bCs/>
          <w:sz w:val="32"/>
          <w:szCs w:val="32"/>
          <w:highlight w:val="none"/>
          <w:lang w:val="en-US" w:eastAsia="zh-CN"/>
        </w:rPr>
        <w:t>七是人事系统年费</w:t>
      </w:r>
      <w:r>
        <w:rPr>
          <w:rFonts w:hint="eastAsia" w:ascii="仿宋" w:hAnsi="仿宋" w:eastAsia="仿宋" w:cs="仿宋"/>
          <w:b w:val="0"/>
          <w:bCs w:val="0"/>
          <w:sz w:val="32"/>
          <w:szCs w:val="32"/>
          <w:highlight w:val="none"/>
          <w:lang w:val="en-US" w:eastAsia="zh-CN"/>
        </w:rPr>
        <w:t>（支付两年费用，无合同及验收单）。</w:t>
      </w:r>
      <w:r>
        <w:rPr>
          <w:rFonts w:hint="eastAsia" w:ascii="仿宋" w:hAnsi="仿宋" w:eastAsia="仿宋" w:cs="仿宋"/>
          <w:b/>
          <w:bCs/>
          <w:sz w:val="32"/>
          <w:szCs w:val="32"/>
          <w:highlight w:val="none"/>
          <w:lang w:val="en-US" w:eastAsia="zh-CN"/>
        </w:rPr>
        <w:t>相关政策7：</w:t>
      </w:r>
      <w:r>
        <w:rPr>
          <w:rFonts w:hint="eastAsia" w:ascii="仿宋" w:hAnsi="仿宋" w:eastAsia="仿宋" w:cs="仿宋"/>
          <w:b w:val="0"/>
          <w:bCs w:val="0"/>
          <w:sz w:val="32"/>
          <w:szCs w:val="32"/>
          <w:highlight w:val="none"/>
          <w:lang w:val="en-US" w:eastAsia="zh-CN"/>
        </w:rPr>
        <w:t>上述违反了违反了预算管理和资金使用效益原则。提前支付未来服务费。无合同依据。无验收手续。</w:t>
      </w:r>
      <w:r>
        <w:rPr>
          <w:rFonts w:hint="eastAsia" w:ascii="仿宋" w:hAnsi="仿宋" w:eastAsia="仿宋" w:cs="仿宋"/>
          <w:b/>
          <w:bCs/>
          <w:sz w:val="32"/>
          <w:szCs w:val="32"/>
          <w:highlight w:val="none"/>
          <w:lang w:val="en-US" w:eastAsia="zh-CN"/>
        </w:rPr>
        <w:t>建议：</w:t>
      </w:r>
      <w:r>
        <w:rPr>
          <w:rFonts w:hint="eastAsia" w:ascii="仿宋" w:hAnsi="仿宋" w:eastAsia="仿宋" w:cs="仿宋"/>
          <w:b w:val="0"/>
          <w:bCs w:val="0"/>
          <w:sz w:val="32"/>
          <w:szCs w:val="32"/>
          <w:highlight w:val="none"/>
          <w:lang w:val="en-US" w:eastAsia="zh-CN"/>
        </w:rPr>
        <w:t>及时补办合同和验收手续，并对支付方式进行评估，未来应避免一次性支付多年费用。</w:t>
      </w:r>
    </w:p>
    <w:p w14:paraId="645DE42D">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总结与系统性建议：一是强化预算刚性约束。</w:t>
      </w:r>
      <w:r>
        <w:rPr>
          <w:rFonts w:hint="eastAsia" w:ascii="仿宋" w:hAnsi="仿宋" w:eastAsia="仿宋" w:cs="仿宋"/>
          <w:b w:val="0"/>
          <w:bCs w:val="0"/>
          <w:sz w:val="32"/>
          <w:szCs w:val="32"/>
          <w:highlight w:val="none"/>
          <w:lang w:val="en-US" w:eastAsia="zh-CN"/>
        </w:rPr>
        <w:t>树立“无预算不支出”的理念，严禁超期、超预算、无预算的支出行为。</w:t>
      </w:r>
      <w:r>
        <w:rPr>
          <w:rFonts w:hint="eastAsia" w:ascii="仿宋" w:hAnsi="仿宋" w:eastAsia="仿宋" w:cs="仿宋"/>
          <w:b/>
          <w:bCs/>
          <w:sz w:val="32"/>
          <w:szCs w:val="32"/>
          <w:highlight w:val="none"/>
          <w:lang w:val="en-US" w:eastAsia="zh-CN"/>
        </w:rPr>
        <w:t>二是完善合同管理制度。</w:t>
      </w:r>
      <w:r>
        <w:rPr>
          <w:rFonts w:hint="eastAsia" w:ascii="仿宋" w:hAnsi="仿宋" w:eastAsia="仿宋" w:cs="仿宋"/>
          <w:b w:val="0"/>
          <w:bCs w:val="0"/>
          <w:sz w:val="32"/>
          <w:szCs w:val="32"/>
          <w:highlight w:val="none"/>
          <w:lang w:val="en-US" w:eastAsia="zh-CN"/>
        </w:rPr>
        <w:t>建立从谈判、审核、签订到归档的全流程管理，确保合同先行、要素齐全、权责清晰。</w:t>
      </w:r>
      <w:r>
        <w:rPr>
          <w:rFonts w:hint="eastAsia" w:ascii="仿宋" w:hAnsi="仿宋" w:eastAsia="仿宋" w:cs="仿宋"/>
          <w:b/>
          <w:bCs/>
          <w:sz w:val="32"/>
          <w:szCs w:val="32"/>
          <w:highlight w:val="none"/>
          <w:lang w:val="en-US" w:eastAsia="zh-CN"/>
        </w:rPr>
        <w:t>三是规范支出审批流程。</w:t>
      </w:r>
      <w:r>
        <w:rPr>
          <w:rFonts w:hint="eastAsia" w:ascii="仿宋" w:hAnsi="仿宋" w:eastAsia="仿宋" w:cs="仿宋"/>
          <w:b w:val="0"/>
          <w:bCs w:val="0"/>
          <w:sz w:val="32"/>
          <w:szCs w:val="32"/>
          <w:highlight w:val="none"/>
          <w:lang w:val="en-US" w:eastAsia="zh-CN"/>
        </w:rPr>
        <w:t>财务审核岗要严格把关，对凭证不全、程序不符、跨期异常的支出坚决退回。明确支出凭证的标准清单（如发票、合同、验收单、审批单等）。</w:t>
      </w:r>
      <w:r>
        <w:rPr>
          <w:rFonts w:hint="eastAsia" w:ascii="仿宋" w:hAnsi="仿宋" w:eastAsia="仿宋" w:cs="仿宋"/>
          <w:b/>
          <w:bCs/>
          <w:sz w:val="32"/>
          <w:szCs w:val="32"/>
          <w:highlight w:val="none"/>
          <w:lang w:val="en-US" w:eastAsia="zh-CN"/>
        </w:rPr>
        <w:t>四是加强财务人员培训。</w:t>
      </w:r>
      <w:r>
        <w:rPr>
          <w:rFonts w:hint="eastAsia" w:ascii="仿宋" w:hAnsi="仿宋" w:eastAsia="仿宋" w:cs="仿宋"/>
          <w:b w:val="0"/>
          <w:bCs w:val="0"/>
          <w:sz w:val="32"/>
          <w:szCs w:val="32"/>
          <w:highlight w:val="none"/>
          <w:lang w:val="en-US" w:eastAsia="zh-CN"/>
        </w:rPr>
        <w:t>提升财务人员对法规政策的理解和风险识别能力，使其成为内控的有效“守门员”。</w:t>
      </w:r>
      <w:r>
        <w:rPr>
          <w:rFonts w:hint="eastAsia" w:ascii="仿宋" w:hAnsi="仿宋" w:eastAsia="仿宋" w:cs="仿宋"/>
          <w:b/>
          <w:bCs/>
          <w:sz w:val="32"/>
          <w:szCs w:val="32"/>
          <w:highlight w:val="none"/>
          <w:lang w:val="en-US" w:eastAsia="zh-CN"/>
        </w:rPr>
        <w:t>五是建立责任追究机制。</w:t>
      </w:r>
      <w:r>
        <w:rPr>
          <w:rFonts w:hint="eastAsia" w:ascii="仿宋" w:hAnsi="仿宋" w:eastAsia="仿宋" w:cs="仿宋"/>
          <w:b w:val="0"/>
          <w:bCs w:val="0"/>
          <w:sz w:val="32"/>
          <w:szCs w:val="32"/>
          <w:highlight w:val="none"/>
          <w:lang w:val="en-US" w:eastAsia="zh-CN"/>
        </w:rPr>
        <w:t>对屡次出现类似不合规支出的部门和责任人，应予以通报并追究责任。</w:t>
      </w:r>
    </w:p>
    <w:p w14:paraId="0A294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kern w:val="0"/>
          <w:sz w:val="32"/>
          <w:szCs w:val="32"/>
          <w:lang w:val="en-US" w:eastAsia="zh-CN" w:bidi="ar"/>
        </w:rPr>
      </w:pPr>
      <w:bookmarkStart w:id="54" w:name="_Toc6039"/>
      <w:r>
        <w:rPr>
          <w:rFonts w:hint="eastAsia" w:ascii="楷体" w:hAnsi="楷体" w:eastAsia="楷体" w:cs="楷体"/>
          <w:b/>
          <w:bCs/>
          <w:sz w:val="32"/>
          <w:szCs w:val="32"/>
          <w:lang w:val="en-US" w:eastAsia="zh-CN"/>
        </w:rPr>
        <w:t>（二）管理程序方面存在的问题及建议</w:t>
      </w:r>
      <w:bookmarkEnd w:id="54"/>
    </w:p>
    <w:p w14:paraId="03310DE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kern w:val="0"/>
          <w:sz w:val="32"/>
          <w:szCs w:val="32"/>
          <w:lang w:val="en-US" w:eastAsia="zh-CN" w:bidi="ar"/>
        </w:rPr>
        <w:t>1.</w:t>
      </w:r>
      <w:r>
        <w:rPr>
          <w:rFonts w:hint="eastAsia" w:ascii="仿宋" w:hAnsi="仿宋" w:eastAsia="仿宋" w:cs="仿宋"/>
          <w:b/>
          <w:bCs/>
          <w:sz w:val="32"/>
          <w:szCs w:val="32"/>
          <w:lang w:val="en-US" w:eastAsia="zh-CN"/>
        </w:rPr>
        <w:t>业务发生时间早于政府采购协议签订时间。</w:t>
      </w:r>
    </w:p>
    <w:p w14:paraId="3A42837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w:t>
      </w:r>
    </w:p>
    <w:p w14:paraId="1CC7B9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第四十三条：“政府采购合同适用合同法。采购人和供应商之间的权利和义务，应当按照平等、自愿的原则以合同方式约定。”第四十四条：“</w:t>
      </w:r>
      <w:r>
        <w:rPr>
          <w:rFonts w:hint="eastAsia" w:ascii="仿宋" w:hAnsi="仿宋" w:eastAsia="仿宋" w:cs="仿宋"/>
          <w:b/>
          <w:bCs/>
          <w:sz w:val="32"/>
          <w:szCs w:val="32"/>
          <w:lang w:val="en-US" w:eastAsia="zh-CN"/>
        </w:rPr>
        <w:t>政府采购合同应当采用书面形式</w:t>
      </w:r>
      <w:r>
        <w:rPr>
          <w:rFonts w:hint="eastAsia" w:ascii="仿宋" w:hAnsi="仿宋" w:eastAsia="仿宋" w:cs="仿宋"/>
          <w:b w:val="0"/>
          <w:bCs w:val="0"/>
          <w:sz w:val="32"/>
          <w:szCs w:val="32"/>
          <w:lang w:val="en-US" w:eastAsia="zh-CN"/>
        </w:rPr>
        <w:t>。”</w:t>
      </w:r>
    </w:p>
    <w:p w14:paraId="1B2B427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核心解读：</w:t>
      </w:r>
      <w:r>
        <w:rPr>
          <w:rFonts w:hint="eastAsia" w:ascii="仿宋" w:hAnsi="仿宋" w:eastAsia="仿宋" w:cs="仿宋"/>
          <w:b w:val="0"/>
          <w:bCs w:val="0"/>
          <w:sz w:val="32"/>
          <w:szCs w:val="32"/>
          <w:lang w:val="en-US" w:eastAsia="zh-CN"/>
        </w:rPr>
        <w:t>法律明确规定，采购人与供应商的权利义务必须通过书面合同来约定。在合同签订之前，双方的法律关系并未正式确立。提前开展业务，意味着在没有任何法律文件约束的情况下进行了采购活动，完全违背了政府采购</w:t>
      </w:r>
      <w:r>
        <w:rPr>
          <w:rFonts w:hint="eastAsia" w:ascii="仿宋" w:hAnsi="仿宋" w:eastAsia="仿宋" w:cs="仿宋"/>
          <w:b/>
          <w:bCs/>
          <w:sz w:val="32"/>
          <w:szCs w:val="32"/>
          <w:lang w:val="en-US" w:eastAsia="zh-CN"/>
        </w:rPr>
        <w:t>“按合同办事”</w:t>
      </w:r>
      <w:r>
        <w:rPr>
          <w:rFonts w:hint="eastAsia" w:ascii="仿宋" w:hAnsi="仿宋" w:eastAsia="仿宋" w:cs="仿宋"/>
          <w:b w:val="0"/>
          <w:bCs w:val="0"/>
          <w:sz w:val="32"/>
          <w:szCs w:val="32"/>
          <w:lang w:val="en-US" w:eastAsia="zh-CN"/>
        </w:rPr>
        <w:t>的基本原则。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上述违反了《中华人民共和国政府采购法实施条例》第六十七条。详细列举了未按照政府采购法和本条例规定执行的各种违法情形。虽然未直接提及</w:t>
      </w:r>
      <w:r>
        <w:rPr>
          <w:rFonts w:hint="eastAsia" w:ascii="仿宋" w:hAnsi="仿宋" w:eastAsia="仿宋" w:cs="仿宋"/>
          <w:b/>
          <w:bCs/>
          <w:sz w:val="32"/>
          <w:szCs w:val="32"/>
          <w:lang w:val="en-US" w:eastAsia="zh-CN"/>
        </w:rPr>
        <w:t>“合同倒签”</w:t>
      </w:r>
      <w:r>
        <w:rPr>
          <w:rFonts w:hint="eastAsia" w:ascii="仿宋" w:hAnsi="仿宋" w:eastAsia="仿宋" w:cs="仿宋"/>
          <w:b w:val="0"/>
          <w:bCs w:val="0"/>
          <w:sz w:val="32"/>
          <w:szCs w:val="32"/>
          <w:lang w:val="en-US" w:eastAsia="zh-CN"/>
        </w:rPr>
        <w:t>，但</w:t>
      </w:r>
      <w:r>
        <w:rPr>
          <w:rFonts w:hint="eastAsia" w:ascii="仿宋" w:hAnsi="仿宋" w:eastAsia="仿宋" w:cs="仿宋"/>
          <w:b/>
          <w:bCs/>
          <w:sz w:val="32"/>
          <w:szCs w:val="32"/>
          <w:lang w:val="en-US" w:eastAsia="zh-CN"/>
        </w:rPr>
        <w:t>“先干活后补合同”</w:t>
      </w:r>
      <w:r>
        <w:rPr>
          <w:rFonts w:hint="eastAsia" w:ascii="仿宋" w:hAnsi="仿宋" w:eastAsia="仿宋" w:cs="仿宋"/>
          <w:b w:val="0"/>
          <w:bCs w:val="0"/>
          <w:sz w:val="32"/>
          <w:szCs w:val="32"/>
          <w:lang w:val="en-US" w:eastAsia="zh-CN"/>
        </w:rPr>
        <w:t>本质上属于规避政府采购法定程序的行为，属于广义的违法违规行为。</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《政府采购需求管理办法》（财库〔2021〕22号）。</w:t>
      </w:r>
      <w:r>
        <w:rPr>
          <w:rFonts w:hint="eastAsia" w:ascii="仿宋" w:hAnsi="仿宋" w:eastAsia="仿宋" w:cs="仿宋"/>
          <w:b w:val="0"/>
          <w:bCs w:val="0"/>
          <w:sz w:val="32"/>
          <w:szCs w:val="32"/>
          <w:lang w:val="en-US" w:eastAsia="zh-CN"/>
        </w:rPr>
        <w:t>该办法强调，采购需求管理是政府采购管理的起点，合同是落实采购需求的终点。所有采购活动都应在确定的采购需求框架下，通过规范的采购程序，最终以合同形式固化。业务先于合同，导致整个采购流程本末倒置。</w:t>
      </w:r>
      <w:r>
        <w:rPr>
          <w:rFonts w:hint="eastAsia" w:ascii="仿宋" w:hAnsi="仿宋" w:eastAsia="仿宋" w:cs="仿宋"/>
          <w:b/>
          <w:bCs/>
          <w:sz w:val="32"/>
          <w:szCs w:val="32"/>
          <w:lang w:val="en-US" w:eastAsia="zh-CN"/>
        </w:rPr>
        <w:t>三类风险分析。</w:t>
      </w:r>
    </w:p>
    <w:p w14:paraId="5EDE83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一是程序违法风险。</w:t>
      </w:r>
      <w:r>
        <w:rPr>
          <w:rFonts w:hint="eastAsia" w:ascii="仿宋" w:hAnsi="仿宋" w:eastAsia="仿宋" w:cs="仿宋"/>
          <w:b w:val="0"/>
          <w:bCs w:val="0"/>
          <w:sz w:val="32"/>
          <w:szCs w:val="32"/>
          <w:lang w:val="en-US" w:eastAsia="zh-CN"/>
        </w:rPr>
        <w:t>这是最根本的风险。它使得整个政府采购程序（公开招标、竞争性谈判、询价等）形同虚设，因为实际执行已经提前发生，采购结果在程序完成前就已内定，严重损害了政府采购的公开、公平、公正原则。</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中，此类合同是重点审查对象。审计人员会通过比对发票日期、验收日期和合同签订日期来发现此类问题。一旦发现，该笔支出很可能被认定为不合规支出，要求整改甚至追回资金，并在审计报告中作为重大问题披露</w:t>
      </w:r>
      <w:r>
        <w:rPr>
          <w:rFonts w:hint="eastAsia" w:ascii="仿宋" w:hAnsi="仿宋" w:eastAsia="仿宋" w:cs="仿宋"/>
          <w:b/>
          <w:bCs/>
          <w:sz w:val="32"/>
          <w:szCs w:val="32"/>
          <w:lang w:val="en-US" w:eastAsia="zh-CN"/>
        </w:rPr>
        <w:t>。三是合同效力与资金安全风险。</w:t>
      </w:r>
      <w:r>
        <w:rPr>
          <w:rFonts w:hint="eastAsia" w:ascii="仿宋" w:hAnsi="仿宋" w:eastAsia="仿宋" w:cs="仿宋"/>
          <w:b w:val="0"/>
          <w:bCs w:val="0"/>
          <w:sz w:val="32"/>
          <w:szCs w:val="32"/>
          <w:lang w:val="en-US" w:eastAsia="zh-CN"/>
        </w:rPr>
        <w:t>合同效力存疑，由于合同签订前的业务行为缺乏法律依据，一旦发生纠纷（如服务质量、价格争议），合同双方的权利义务难以界定，合同本身的效力可能受到挑战。资金支付无依据，财政资金支付必须以有效的合同为依据。合同签订前的业务，其费用支付缺乏合同支持，属于无依据支付，违反了财政资金管理的规定。</w:t>
      </w:r>
    </w:p>
    <w:p w14:paraId="4B8116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建议：应着重于从源头和流程上杜绝此类现象，推动采购活动回归“程序优先、合同为据”的法治轨道。</w:t>
      </w:r>
      <w:r>
        <w:rPr>
          <w:rFonts w:hint="eastAsia" w:ascii="仿宋" w:hAnsi="仿宋" w:eastAsia="仿宋" w:cs="仿宋"/>
          <w:b w:val="0"/>
          <w:bCs w:val="0"/>
          <w:sz w:val="32"/>
          <w:szCs w:val="32"/>
          <w:highlight w:val="none"/>
          <w:lang w:val="en-US" w:eastAsia="zh-CN"/>
        </w:rPr>
        <w:t>若已发生2024年先使用后补合同的情况，</w:t>
      </w:r>
      <w:r>
        <w:rPr>
          <w:rFonts w:hint="eastAsia" w:ascii="仿宋" w:hAnsi="仿宋" w:eastAsia="仿宋" w:cs="仿宋"/>
          <w:b/>
          <w:bCs/>
          <w:sz w:val="32"/>
          <w:szCs w:val="32"/>
          <w:highlight w:val="none"/>
          <w:lang w:val="en-US" w:eastAsia="zh-CN"/>
        </w:rPr>
        <w:t>一是补充书面说明</w:t>
      </w:r>
      <w:r>
        <w:rPr>
          <w:rFonts w:hint="eastAsia" w:ascii="仿宋" w:hAnsi="仿宋" w:eastAsia="仿宋" w:cs="仿宋"/>
          <w:b w:val="0"/>
          <w:bCs w:val="0"/>
          <w:sz w:val="32"/>
          <w:szCs w:val="32"/>
          <w:highlight w:val="none"/>
          <w:lang w:val="en-US" w:eastAsia="zh-CN"/>
        </w:rPr>
        <w:t>，向上级部门说明原因，完善内部审批记录。</w:t>
      </w:r>
      <w:r>
        <w:rPr>
          <w:rFonts w:hint="eastAsia" w:ascii="仿宋" w:hAnsi="仿宋" w:eastAsia="仿宋" w:cs="仿宋"/>
          <w:b/>
          <w:bCs/>
          <w:sz w:val="32"/>
          <w:szCs w:val="32"/>
          <w:highlight w:val="none"/>
          <w:lang w:val="en-US" w:eastAsia="zh-CN"/>
        </w:rPr>
        <w:t>二是建立框架协议或定点采购机制，避免再次出现程序倒置，既能满足零星采购灵活性，又能确保程序合规。</w:t>
      </w:r>
      <w:r>
        <w:rPr>
          <w:rFonts w:hint="eastAsia" w:ascii="仿宋" w:hAnsi="仿宋" w:eastAsia="仿宋" w:cs="仿宋"/>
          <w:b w:val="0"/>
          <w:bCs w:val="0"/>
          <w:sz w:val="32"/>
          <w:szCs w:val="32"/>
          <w:highlight w:val="none"/>
          <w:lang w:val="en-US" w:eastAsia="zh-CN"/>
        </w:rPr>
        <w:t>具体操作需结合当地财政部门实施细则。</w:t>
      </w:r>
      <w:r>
        <w:rPr>
          <w:rFonts w:hint="eastAsia" w:ascii="仿宋" w:hAnsi="仿宋" w:eastAsia="仿宋" w:cs="仿宋"/>
          <w:b/>
          <w:bCs/>
          <w:sz w:val="32"/>
          <w:szCs w:val="32"/>
          <w:highlight w:val="none"/>
          <w:lang w:val="en-US" w:eastAsia="zh-CN"/>
        </w:rPr>
        <w:t>方案1：采用“框架协议+订单”模式。适用场景：</w:t>
      </w:r>
      <w:r>
        <w:rPr>
          <w:rFonts w:hint="eastAsia" w:ascii="仿宋" w:hAnsi="仿宋" w:eastAsia="仿宋" w:cs="仿宋"/>
          <w:b w:val="0"/>
          <w:bCs w:val="0"/>
          <w:sz w:val="32"/>
          <w:szCs w:val="32"/>
          <w:highlight w:val="none"/>
          <w:lang w:val="en-US" w:eastAsia="zh-CN"/>
        </w:rPr>
        <w:t>需求数量不确定，但采购频次较高。</w:t>
      </w:r>
      <w:r>
        <w:rPr>
          <w:rFonts w:hint="eastAsia" w:ascii="仿宋" w:hAnsi="仿宋" w:eastAsia="仿宋" w:cs="仿宋"/>
          <w:b/>
          <w:bCs/>
          <w:sz w:val="32"/>
          <w:szCs w:val="32"/>
          <w:highlight w:val="none"/>
          <w:lang w:val="en-US" w:eastAsia="zh-CN"/>
        </w:rPr>
        <w:t>操作步骤：</w:t>
      </w:r>
      <w:r>
        <w:rPr>
          <w:rFonts w:hint="eastAsia" w:ascii="仿宋" w:hAnsi="仿宋" w:eastAsia="仿宋" w:cs="仿宋"/>
          <w:b w:val="0"/>
          <w:bCs w:val="0"/>
          <w:sz w:val="32"/>
          <w:szCs w:val="32"/>
          <w:highlight w:val="none"/>
          <w:lang w:val="en-US" w:eastAsia="zh-CN"/>
        </w:rPr>
        <w:t>提前签订框架协议（2024年初），通过公开竞争程序确定供应商，约定商品目录、单价、服务条款等，协议有效期1年。</w:t>
      </w:r>
      <w:r>
        <w:rPr>
          <w:rFonts w:hint="eastAsia" w:ascii="仿宋" w:hAnsi="仿宋" w:eastAsia="仿宋" w:cs="仿宋"/>
          <w:b/>
          <w:bCs/>
          <w:sz w:val="32"/>
          <w:szCs w:val="32"/>
          <w:highlight w:val="none"/>
          <w:lang w:val="en-US" w:eastAsia="zh-CN"/>
        </w:rPr>
        <w:t>法律依据：</w:t>
      </w:r>
      <w:r>
        <w:rPr>
          <w:rFonts w:hint="eastAsia" w:ascii="仿宋" w:hAnsi="仿宋" w:eastAsia="仿宋" w:cs="仿宋"/>
          <w:b w:val="0"/>
          <w:bCs w:val="0"/>
          <w:sz w:val="32"/>
          <w:szCs w:val="32"/>
          <w:highlight w:val="none"/>
          <w:lang w:val="en-US" w:eastAsia="zh-CN"/>
        </w:rPr>
        <w:t>《政府采购框架协议采购方式管理暂行办法》（财政部令第110号）。</w:t>
      </w:r>
      <w:r>
        <w:rPr>
          <w:rFonts w:hint="eastAsia" w:ascii="仿宋" w:hAnsi="仿宋" w:eastAsia="仿宋" w:cs="仿宋"/>
          <w:b/>
          <w:bCs/>
          <w:sz w:val="32"/>
          <w:szCs w:val="32"/>
          <w:highlight w:val="none"/>
          <w:lang w:val="en-US" w:eastAsia="zh-CN"/>
        </w:rPr>
        <w:t>按需下发订单：</w:t>
      </w:r>
      <w:r>
        <w:rPr>
          <w:rFonts w:hint="eastAsia" w:ascii="仿宋" w:hAnsi="仿宋" w:eastAsia="仿宋" w:cs="仿宋"/>
          <w:b w:val="0"/>
          <w:bCs w:val="0"/>
          <w:sz w:val="32"/>
          <w:szCs w:val="32"/>
          <w:highlight w:val="none"/>
          <w:lang w:val="en-US" w:eastAsia="zh-CN"/>
        </w:rPr>
        <w:t>在实际需要时，根据框架协议下达订单，无需重复签订合同。</w:t>
      </w:r>
      <w:r>
        <w:rPr>
          <w:rFonts w:hint="eastAsia" w:ascii="仿宋" w:hAnsi="仿宋" w:eastAsia="仿宋" w:cs="仿宋"/>
          <w:b/>
          <w:bCs/>
          <w:sz w:val="32"/>
          <w:szCs w:val="32"/>
          <w:highlight w:val="none"/>
          <w:lang w:val="en-US" w:eastAsia="zh-CN"/>
        </w:rPr>
        <w:t>验收与付款：</w:t>
      </w:r>
      <w:r>
        <w:rPr>
          <w:rFonts w:hint="eastAsia" w:ascii="仿宋" w:hAnsi="仿宋" w:eastAsia="仿宋" w:cs="仿宋"/>
          <w:b w:val="0"/>
          <w:bCs w:val="0"/>
          <w:sz w:val="32"/>
          <w:szCs w:val="32"/>
          <w:highlight w:val="none"/>
          <w:lang w:val="en-US" w:eastAsia="zh-CN"/>
        </w:rPr>
        <w:t>每笔订单单独验收，按协议约定周期（如季度）集中付款。</w:t>
      </w:r>
      <w:r>
        <w:rPr>
          <w:rFonts w:hint="eastAsia" w:ascii="仿宋" w:hAnsi="仿宋" w:eastAsia="仿宋" w:cs="仿宋"/>
          <w:b/>
          <w:bCs/>
          <w:sz w:val="32"/>
          <w:szCs w:val="32"/>
          <w:highlight w:val="none"/>
          <w:lang w:val="en-US" w:eastAsia="zh-CN"/>
        </w:rPr>
        <w:t>方案2：小额零星采购简化程序。适用场景：</w:t>
      </w:r>
      <w:r>
        <w:rPr>
          <w:rFonts w:hint="eastAsia" w:ascii="仿宋" w:hAnsi="仿宋" w:eastAsia="仿宋" w:cs="仿宋"/>
          <w:b w:val="0"/>
          <w:bCs w:val="0"/>
          <w:sz w:val="32"/>
          <w:szCs w:val="32"/>
          <w:highlight w:val="none"/>
          <w:lang w:val="en-US" w:eastAsia="zh-CN"/>
        </w:rPr>
        <w:t>单次采购金额极低（如低于当地分散采购限额，通常为30万元以下）。</w:t>
      </w:r>
      <w:r>
        <w:rPr>
          <w:rFonts w:hint="eastAsia" w:ascii="仿宋" w:hAnsi="仿宋" w:eastAsia="仿宋" w:cs="仿宋"/>
          <w:b/>
          <w:bCs/>
          <w:sz w:val="32"/>
          <w:szCs w:val="32"/>
          <w:highlight w:val="none"/>
          <w:lang w:val="en-US" w:eastAsia="zh-CN"/>
        </w:rPr>
        <w:t>操作步骤：提前备案采购计划，</w:t>
      </w:r>
      <w:r>
        <w:rPr>
          <w:rFonts w:hint="eastAsia" w:ascii="仿宋" w:hAnsi="仿宋" w:eastAsia="仿宋" w:cs="仿宋"/>
          <w:b w:val="0"/>
          <w:bCs w:val="0"/>
          <w:sz w:val="32"/>
          <w:szCs w:val="32"/>
          <w:highlight w:val="none"/>
          <w:lang w:val="en-US" w:eastAsia="zh-CN"/>
        </w:rPr>
        <w:t>在财政部门备案年度零星采购预算及标准。</w:t>
      </w:r>
    </w:p>
    <w:p w14:paraId="41B86D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通过定点供应商采购，</w:t>
      </w:r>
      <w:r>
        <w:rPr>
          <w:rFonts w:hint="eastAsia" w:ascii="仿宋" w:hAnsi="仿宋" w:eastAsia="仿宋" w:cs="仿宋"/>
          <w:b w:val="0"/>
          <w:bCs w:val="0"/>
          <w:sz w:val="32"/>
          <w:szCs w:val="32"/>
          <w:highlight w:val="none"/>
          <w:lang w:val="en-US" w:eastAsia="zh-CN"/>
        </w:rPr>
        <w:t>选择政府采购定点供应商，直接按定点价格采购。</w:t>
      </w:r>
      <w:r>
        <w:rPr>
          <w:rFonts w:hint="eastAsia" w:ascii="仿宋" w:hAnsi="仿宋" w:eastAsia="仿宋" w:cs="仿宋"/>
          <w:b/>
          <w:bCs/>
          <w:sz w:val="32"/>
          <w:szCs w:val="32"/>
          <w:highlight w:val="none"/>
          <w:lang w:val="en-US" w:eastAsia="zh-CN"/>
        </w:rPr>
        <w:t>即时验收并留存记录，</w:t>
      </w:r>
      <w:r>
        <w:rPr>
          <w:rFonts w:hint="eastAsia" w:ascii="仿宋" w:hAnsi="仿宋" w:eastAsia="仿宋" w:cs="仿宋"/>
          <w:b w:val="0"/>
          <w:bCs w:val="0"/>
          <w:sz w:val="32"/>
          <w:szCs w:val="32"/>
          <w:highlight w:val="none"/>
          <w:lang w:val="en-US" w:eastAsia="zh-CN"/>
        </w:rPr>
        <w:t>每笔采购需有验收单，定期（如按月）汇总签订结算合同并付款。</w:t>
      </w:r>
      <w:r>
        <w:rPr>
          <w:rFonts w:hint="eastAsia" w:ascii="仿宋" w:hAnsi="仿宋" w:eastAsia="仿宋" w:cs="仿宋"/>
          <w:b/>
          <w:bCs/>
          <w:sz w:val="32"/>
          <w:szCs w:val="32"/>
          <w:highlight w:val="none"/>
          <w:lang w:val="en-US" w:eastAsia="zh-CN"/>
        </w:rPr>
        <w:t>方案3：预估需求+分批履行。</w:t>
      </w:r>
      <w:r>
        <w:rPr>
          <w:rFonts w:hint="eastAsia" w:ascii="仿宋" w:hAnsi="仿宋" w:eastAsia="仿宋" w:cs="仿宋"/>
          <w:b w:val="0"/>
          <w:bCs w:val="0"/>
          <w:sz w:val="32"/>
          <w:szCs w:val="32"/>
          <w:highlight w:val="none"/>
          <w:lang w:val="en-US" w:eastAsia="zh-CN"/>
        </w:rPr>
        <w:t>若需求可部分预估，签订合同时明确“预估总量+允许浮动比例”（如±20%），实际采购量按需分批下达，但总额不超过合同上限。</w:t>
      </w:r>
    </w:p>
    <w:p w14:paraId="0E3AFB73">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楷体" w:hAnsi="楷体" w:eastAsia="楷体" w:cs="楷体"/>
          <w:b/>
          <w:bCs/>
          <w:sz w:val="32"/>
          <w:szCs w:val="32"/>
          <w:lang w:val="en-US" w:eastAsia="zh-CN"/>
        </w:rPr>
        <w:t>2.</w:t>
      </w:r>
      <w:r>
        <w:rPr>
          <w:rFonts w:hint="eastAsia" w:ascii="仿宋" w:hAnsi="仿宋" w:eastAsia="仿宋" w:cs="仿宋"/>
          <w:b/>
          <w:bCs/>
          <w:sz w:val="32"/>
          <w:szCs w:val="32"/>
          <w:lang w:val="en-US" w:eastAsia="zh-CN"/>
        </w:rPr>
        <w:t>采购合同与验收合同同一天签订。</w:t>
      </w:r>
    </w:p>
    <w:p w14:paraId="44F74DC0">
      <w:pPr>
        <w:pStyle w:val="4"/>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第四十一条。采购人或者其委托的采购代理机构应当组织对供应商履约的验收。验收的前提是“履约”，即合同已经进入执行阶段。合同签订与验收同日，在逻辑上无法体现“履约”过程。任何采购项目，尤其是货物、工程或服务，从合同签订到履行完毕（包括生产、交付、安装、调试、试运行等）必然需要一个时间周期。同一天完成意味着没有实际的履行过程。没有履行过程，验收就失去了对象和意义，沦为</w:t>
      </w:r>
      <w:r>
        <w:rPr>
          <w:rFonts w:hint="eastAsia" w:ascii="仿宋" w:hAnsi="仿宋" w:eastAsia="仿宋" w:cs="仿宋"/>
          <w:b/>
          <w:bCs/>
          <w:sz w:val="32"/>
          <w:szCs w:val="32"/>
          <w:lang w:val="en-US" w:eastAsia="zh-CN"/>
        </w:rPr>
        <w:t>“纸上验收”，</w:t>
      </w:r>
      <w:r>
        <w:rPr>
          <w:rFonts w:hint="eastAsia" w:ascii="仿宋" w:hAnsi="仿宋" w:eastAsia="仿宋" w:cs="仿宋"/>
          <w:b w:val="0"/>
          <w:bCs w:val="0"/>
          <w:sz w:val="32"/>
          <w:szCs w:val="32"/>
          <w:lang w:val="en-US" w:eastAsia="zh-CN"/>
        </w:rPr>
        <w:t>是典型的形式主义，无法保证财政资金的使用效益和采购质量。</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第四十六条。采购人与中标、成交供应商应当在成交通知书发出之日起三十日内，按照采购文件确定的事项签订政府采购合同。合同签订是项目履行的起点，而非终点。将验收与起点放在同一天，</w:t>
      </w:r>
      <w:r>
        <w:rPr>
          <w:rFonts w:hint="eastAsia" w:ascii="仿宋" w:hAnsi="仿宋" w:eastAsia="仿宋" w:cs="仿宋"/>
          <w:b/>
          <w:bCs/>
          <w:sz w:val="32"/>
          <w:szCs w:val="32"/>
          <w:lang w:val="en-US" w:eastAsia="zh-CN"/>
        </w:rPr>
        <w:t>颠倒了法定程序</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政府采购需求管理办法》（财库〔2021〕22号）。该办法强调了对采购需求和合同履行的管理。其中第二十条规定，采购人应当负责组织对供应商履约情况进行验收。一个没有时间跨度的“履约”是无法被有效组织和验收的。该办法旨在确保采购项目实现绩效目标，而</w:t>
      </w:r>
      <w:r>
        <w:rPr>
          <w:rFonts w:hint="eastAsia" w:ascii="仿宋" w:hAnsi="仿宋" w:eastAsia="仿宋" w:cs="仿宋"/>
          <w:b/>
          <w:bCs/>
          <w:sz w:val="32"/>
          <w:szCs w:val="32"/>
          <w:lang w:val="en-US" w:eastAsia="zh-CN"/>
        </w:rPr>
        <w:t>“同日签验”</w:t>
      </w:r>
      <w:r>
        <w:rPr>
          <w:rFonts w:hint="eastAsia" w:ascii="仿宋" w:hAnsi="仿宋" w:eastAsia="仿宋" w:cs="仿宋"/>
          <w:b w:val="0"/>
          <w:bCs w:val="0"/>
          <w:sz w:val="32"/>
          <w:szCs w:val="32"/>
          <w:lang w:val="en-US" w:eastAsia="zh-CN"/>
        </w:rPr>
        <w:t>的做法使得绩效目标在合同签订的那一刻就被</w:t>
      </w:r>
      <w:r>
        <w:rPr>
          <w:rFonts w:hint="eastAsia" w:ascii="仿宋" w:hAnsi="仿宋" w:eastAsia="仿宋" w:cs="仿宋"/>
          <w:b/>
          <w:bCs/>
          <w:sz w:val="32"/>
          <w:szCs w:val="32"/>
          <w:lang w:val="en-US" w:eastAsia="zh-CN"/>
        </w:rPr>
        <w:t>“预设”</w:t>
      </w:r>
      <w:r>
        <w:rPr>
          <w:rFonts w:hint="eastAsia" w:ascii="仿宋" w:hAnsi="仿宋" w:eastAsia="仿宋" w:cs="仿宋"/>
          <w:b w:val="0"/>
          <w:bCs w:val="0"/>
          <w:sz w:val="32"/>
          <w:szCs w:val="32"/>
          <w:lang w:val="en-US" w:eastAsia="zh-CN"/>
        </w:rPr>
        <w:t>为达成，这与</w:t>
      </w:r>
      <w:r>
        <w:rPr>
          <w:rFonts w:hint="eastAsia" w:ascii="仿宋" w:hAnsi="仿宋" w:eastAsia="仿宋" w:cs="仿宋"/>
          <w:b/>
          <w:bCs/>
          <w:sz w:val="32"/>
          <w:szCs w:val="32"/>
          <w:lang w:val="en-US" w:eastAsia="zh-CN"/>
        </w:rPr>
        <w:t>绩效管理的初衷</w:t>
      </w:r>
      <w:r>
        <w:rPr>
          <w:rFonts w:hint="eastAsia" w:ascii="仿宋" w:hAnsi="仿宋" w:eastAsia="仿宋" w:cs="仿宋"/>
          <w:b w:val="0"/>
          <w:bCs w:val="0"/>
          <w:sz w:val="32"/>
          <w:szCs w:val="32"/>
          <w:lang w:val="en-US" w:eastAsia="zh-CN"/>
        </w:rPr>
        <w:t>背道而驰。</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上述违反了《中华人民共和国预算法》及全面实施预算绩效管理的要求。财政资金的使用必须讲求效益。“同日签验”使得资金支付失去了基于实际成果的审核环节，</w:t>
      </w:r>
      <w:r>
        <w:rPr>
          <w:rFonts w:hint="eastAsia" w:ascii="仿宋" w:hAnsi="仿宋" w:eastAsia="仿宋" w:cs="仿宋"/>
          <w:b/>
          <w:bCs/>
          <w:sz w:val="32"/>
          <w:szCs w:val="32"/>
          <w:lang w:val="en-US" w:eastAsia="zh-CN"/>
        </w:rPr>
        <w:t>无法体现“花钱问效”的原则，</w:t>
      </w:r>
      <w:r>
        <w:rPr>
          <w:rFonts w:hint="eastAsia" w:ascii="仿宋" w:hAnsi="仿宋" w:eastAsia="仿宋" w:cs="仿宋"/>
          <w:b w:val="0"/>
          <w:bCs w:val="0"/>
          <w:sz w:val="32"/>
          <w:szCs w:val="32"/>
          <w:lang w:val="en-US" w:eastAsia="zh-CN"/>
        </w:rPr>
        <w:t>易导致资金浪费和滥用，是绩效评价中应被“一票否决”的负面典型。</w:t>
      </w:r>
    </w:p>
    <w:p w14:paraId="3342EC21">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lang w:val="en-US" w:eastAsia="zh-CN"/>
        </w:rPr>
      </w:pPr>
      <w:r>
        <w:rPr>
          <w:rFonts w:hint="eastAsia" w:ascii="仿宋" w:hAnsi="仿宋" w:eastAsia="仿宋" w:cs="仿宋"/>
          <w:b/>
          <w:bCs/>
          <w:sz w:val="32"/>
          <w:szCs w:val="32"/>
          <w:lang w:val="en-US" w:eastAsia="zh-CN"/>
        </w:rPr>
        <w:t>建议：一是及时整改。</w:t>
      </w:r>
      <w:r>
        <w:rPr>
          <w:rFonts w:hint="eastAsia" w:ascii="仿宋" w:hAnsi="仿宋" w:eastAsia="仿宋" w:cs="仿宋"/>
          <w:b w:val="0"/>
          <w:bCs w:val="0"/>
          <w:sz w:val="32"/>
          <w:szCs w:val="32"/>
          <w:lang w:val="en-US" w:eastAsia="zh-CN"/>
        </w:rPr>
        <w:t>责令采购单位重新组织规范的履约验收，并追究相关人员的责任。</w:t>
      </w:r>
      <w:r>
        <w:rPr>
          <w:rFonts w:hint="eastAsia" w:ascii="仿宋" w:hAnsi="仿宋" w:eastAsia="仿宋" w:cs="仿宋"/>
          <w:b/>
          <w:bCs/>
          <w:sz w:val="32"/>
          <w:szCs w:val="32"/>
          <w:lang w:val="en-US" w:eastAsia="zh-CN"/>
        </w:rPr>
        <w:t>二是完善内控。</w:t>
      </w:r>
      <w:r>
        <w:rPr>
          <w:rFonts w:hint="eastAsia" w:ascii="仿宋" w:hAnsi="仿宋" w:eastAsia="仿宋" w:cs="仿宋"/>
          <w:b w:val="0"/>
          <w:bCs w:val="0"/>
          <w:sz w:val="32"/>
          <w:szCs w:val="32"/>
          <w:lang w:val="en-US" w:eastAsia="zh-CN"/>
        </w:rPr>
        <w:t>要求采购单位建立健全内部政府采购管理制度和流程，明确合同签订、履约管理、项目验收等环节的职责分工和时间要求，严防类似事件再次发生。</w:t>
      </w:r>
      <w:r>
        <w:rPr>
          <w:rFonts w:hint="eastAsia" w:ascii="仿宋" w:hAnsi="仿宋" w:eastAsia="仿宋" w:cs="仿宋"/>
          <w:b/>
          <w:bCs/>
          <w:sz w:val="32"/>
          <w:szCs w:val="32"/>
          <w:lang w:val="en-US" w:eastAsia="zh-CN"/>
        </w:rPr>
        <w:t>三是加强监督。</w:t>
      </w:r>
      <w:r>
        <w:rPr>
          <w:rFonts w:hint="eastAsia" w:ascii="仿宋" w:hAnsi="仿宋" w:eastAsia="仿宋" w:cs="仿宋"/>
          <w:b w:val="0"/>
          <w:bCs w:val="0"/>
          <w:sz w:val="32"/>
          <w:szCs w:val="32"/>
          <w:lang w:val="en-US" w:eastAsia="zh-CN"/>
        </w:rPr>
        <w:t>建议财政部门将该单位列入重点监督对象，加大对其今后采购项目的监督检查力度。</w:t>
      </w:r>
      <w:r>
        <w:rPr>
          <w:rFonts w:hint="eastAsia" w:ascii="仿宋" w:hAnsi="仿宋" w:eastAsia="仿宋" w:cs="仿宋"/>
          <w:b/>
          <w:bCs/>
          <w:sz w:val="32"/>
          <w:szCs w:val="32"/>
          <w:lang w:val="en-US" w:eastAsia="zh-CN"/>
        </w:rPr>
        <w:t>四是追责问效。</w:t>
      </w:r>
      <w:r>
        <w:rPr>
          <w:rFonts w:hint="eastAsia" w:ascii="仿宋" w:hAnsi="仿宋" w:eastAsia="仿宋" w:cs="仿宋"/>
          <w:b w:val="0"/>
          <w:bCs w:val="0"/>
          <w:sz w:val="32"/>
          <w:szCs w:val="32"/>
          <w:lang w:val="en-US" w:eastAsia="zh-CN"/>
        </w:rPr>
        <w:t>如查实存在虚假采购、套取财政资金等违法违纪行为，应按规定移交纪检监察或司法机关处理。维护政府采购的严肃性和财政资金的安全有效性。</w:t>
      </w:r>
    </w:p>
    <w:p w14:paraId="7A1D5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5" w:name="_Toc17311"/>
      <w:r>
        <w:rPr>
          <w:rFonts w:hint="eastAsia" w:ascii="楷体" w:hAnsi="楷体" w:eastAsia="楷体" w:cs="楷体"/>
          <w:b/>
          <w:bCs/>
          <w:sz w:val="32"/>
          <w:szCs w:val="32"/>
          <w:lang w:val="en-US" w:eastAsia="zh-CN"/>
        </w:rPr>
        <w:t>（三）人员经费管理方面存在的问题及建议</w:t>
      </w:r>
      <w:bookmarkEnd w:id="55"/>
    </w:p>
    <w:p w14:paraId="52423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在机构编制和工资管理上，对内部人员绩效的考核与部门整体绩效目标的联动不足，建议推动内部绩效管理精细化，将部门整体绩效目标科学分解到内设机构和岗位，实现个人绩效与组织绩效的有机统一。</w:t>
      </w:r>
    </w:p>
    <w:p w14:paraId="481F7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1.发放统发工资后附件有国库支付单，无工资发放明细表，无审批人签字及审核意见且无银行回单。</w:t>
      </w:r>
    </w:p>
    <w:p w14:paraId="3B40C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强调各级政府对财政资金的使用和管理负责，必须提高财政资金使用效益。这种粗放式的管理显然无法体现“有效管理”。仅有国库支付凭证，不符合财务管理和内部控制的规范性要求。这套资料在证据链上是残缺的，无法构成一个完整、可信的工资发放证明。工资发放表无审批人签字及审核意见，是</w:t>
      </w:r>
      <w:r>
        <w:rPr>
          <w:rFonts w:hint="eastAsia" w:ascii="仿宋" w:hAnsi="仿宋" w:eastAsia="仿宋" w:cs="仿宋"/>
          <w:b/>
          <w:bCs/>
          <w:sz w:val="32"/>
          <w:szCs w:val="32"/>
          <w:lang w:val="en-US" w:eastAsia="zh-CN"/>
        </w:rPr>
        <w:t>内部控制缺失</w:t>
      </w:r>
      <w:r>
        <w:rPr>
          <w:rFonts w:hint="eastAsia" w:ascii="仿宋" w:hAnsi="仿宋" w:eastAsia="仿宋" w:cs="仿宋"/>
          <w:b w:val="0"/>
          <w:bCs w:val="0"/>
          <w:sz w:val="32"/>
          <w:szCs w:val="32"/>
          <w:lang w:val="en-US" w:eastAsia="zh-CN"/>
        </w:rPr>
        <w:t>的核心体现。缺少审批环节，意味着无法证明工资表的数据（人员、级别、金额、扣款等）的</w:t>
      </w:r>
      <w:r>
        <w:rPr>
          <w:rFonts w:hint="eastAsia" w:ascii="仿宋" w:hAnsi="仿宋" w:eastAsia="仿宋" w:cs="仿宋"/>
          <w:b/>
          <w:bCs/>
          <w:sz w:val="32"/>
          <w:szCs w:val="32"/>
          <w:lang w:val="en-US" w:eastAsia="zh-CN"/>
        </w:rPr>
        <w:t>真实性。</w:t>
      </w:r>
      <w:r>
        <w:rPr>
          <w:rFonts w:hint="eastAsia" w:ascii="仿宋" w:hAnsi="仿宋" w:eastAsia="仿宋" w:cs="仿宋"/>
          <w:b w:val="0"/>
          <w:bCs w:val="0"/>
          <w:sz w:val="32"/>
          <w:szCs w:val="32"/>
          <w:lang w:val="en-US" w:eastAsia="zh-CN"/>
        </w:rPr>
        <w:t>无法证明经过</w:t>
      </w:r>
      <w:r>
        <w:rPr>
          <w:rFonts w:hint="eastAsia" w:ascii="仿宋" w:hAnsi="仿宋" w:eastAsia="仿宋" w:cs="仿宋"/>
          <w:b/>
          <w:bCs/>
          <w:sz w:val="32"/>
          <w:szCs w:val="32"/>
          <w:lang w:val="en-US" w:eastAsia="zh-CN"/>
        </w:rPr>
        <w:t>授权人员</w:t>
      </w:r>
      <w:r>
        <w:rPr>
          <w:rFonts w:hint="eastAsia" w:ascii="仿宋" w:hAnsi="仿宋" w:eastAsia="仿宋" w:cs="仿宋"/>
          <w:b w:val="0"/>
          <w:bCs w:val="0"/>
          <w:sz w:val="32"/>
          <w:szCs w:val="32"/>
          <w:lang w:val="en-US" w:eastAsia="zh-CN"/>
        </w:rPr>
        <w:t>确认其真实准确。无法证明工资发放标准和计算是否符合</w:t>
      </w:r>
      <w:r>
        <w:rPr>
          <w:rFonts w:hint="eastAsia" w:ascii="仿宋" w:hAnsi="仿宋" w:eastAsia="仿宋" w:cs="仿宋"/>
          <w:b/>
          <w:bCs/>
          <w:sz w:val="32"/>
          <w:szCs w:val="32"/>
          <w:lang w:val="en-US" w:eastAsia="zh-CN"/>
        </w:rPr>
        <w:t>相关政策规定</w:t>
      </w:r>
      <w:r>
        <w:rPr>
          <w:rFonts w:hint="eastAsia" w:ascii="仿宋" w:hAnsi="仿宋" w:eastAsia="仿宋" w:cs="仿宋"/>
          <w:b w:val="0"/>
          <w:bCs w:val="0"/>
          <w:sz w:val="32"/>
          <w:szCs w:val="32"/>
          <w:lang w:val="en-US" w:eastAsia="zh-CN"/>
        </w:rPr>
        <w:t>（如人事部门的批复文件）。</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财会〔2012〕21号）第十六条：“单位内部控制方法包括不相容岗位相互分离、内部授权审批控制、归口管理等。”工资发放没有审批签字，严重违反了“内部授权审批控制”原则。违反了“经办、审核、审批”相分离的内控基本原则，容易产生错误和舞弊风险。例如，财务人员可能擅自修改数据而无人复核。</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上述违反了《会计基础工作规范》（财会字〔1996〕19号）。强调原始凭证的完整性和真实性。未经审批的工资表不能作为合法、有效的记账原始凭证附件。要求各单位应当建立内部的稽核和审批制度。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地方政府和财政部门的具体规定。各地财政局通常会有更细化的财政资金支付管理办法、工资统发实施细则等，其中必然会明确要求工资发放必须经过单位人事、财务负责人乃至单位领导的审批，并要求附上银行回单作为做账依据。</w:t>
      </w:r>
    </w:p>
    <w:p w14:paraId="10E58A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建议：规范管理、防范风险、提升效能。短期建议，及时整改。A补全审批手续。</w:t>
      </w:r>
      <w:r>
        <w:rPr>
          <w:rFonts w:hint="eastAsia" w:ascii="仿宋" w:hAnsi="仿宋" w:eastAsia="仿宋" w:cs="仿宋"/>
          <w:b w:val="0"/>
          <w:bCs w:val="0"/>
          <w:sz w:val="32"/>
          <w:szCs w:val="32"/>
          <w:lang w:val="en-US" w:eastAsia="zh-CN"/>
        </w:rPr>
        <w:t>及时对当期的工资发放明细表进行补审批。由制表人、审核人、审批人（通常为单位分管财务的领导或财务主管）补签姓名和日期，并可根据情况补充“已核，数据无误”等简要审核意见。</w:t>
      </w:r>
      <w:r>
        <w:rPr>
          <w:rFonts w:hint="eastAsia" w:ascii="仿宋" w:hAnsi="仿宋" w:eastAsia="仿宋" w:cs="仿宋"/>
          <w:b/>
          <w:bCs/>
          <w:sz w:val="32"/>
          <w:szCs w:val="32"/>
          <w:lang w:val="en-US" w:eastAsia="zh-CN"/>
        </w:rPr>
        <w:t>B获取银行回单。</w:t>
      </w:r>
      <w:r>
        <w:rPr>
          <w:rFonts w:hint="eastAsia" w:ascii="仿宋" w:hAnsi="仿宋" w:eastAsia="仿宋" w:cs="仿宋"/>
          <w:b w:val="0"/>
          <w:bCs w:val="0"/>
          <w:sz w:val="32"/>
          <w:szCs w:val="32"/>
          <w:lang w:val="en-US" w:eastAsia="zh-CN"/>
        </w:rPr>
        <w:t>立即联系代理银行，获取历史月份的工资发放成功回单（电子版或纸质版），作为原始凭证附件装入会计档案。</w:t>
      </w:r>
      <w:r>
        <w:rPr>
          <w:rFonts w:hint="eastAsia" w:ascii="仿宋" w:hAnsi="仿宋" w:eastAsia="仿宋" w:cs="仿宋"/>
          <w:b/>
          <w:bCs/>
          <w:sz w:val="32"/>
          <w:szCs w:val="32"/>
          <w:lang w:val="en-US" w:eastAsia="zh-CN"/>
        </w:rPr>
        <w:t>长期建议，加强制度建设，完善内控制度。A制定或修订本单位《工资发放管理内部控制实施细则》。B明确以下流程。一是编制管理。</w:t>
      </w:r>
      <w:r>
        <w:rPr>
          <w:rFonts w:hint="eastAsia" w:ascii="仿宋" w:hAnsi="仿宋" w:eastAsia="仿宋" w:cs="仿宋"/>
          <w:b w:val="0"/>
          <w:bCs w:val="0"/>
          <w:sz w:val="32"/>
          <w:szCs w:val="32"/>
          <w:lang w:val="en-US" w:eastAsia="zh-CN"/>
        </w:rPr>
        <w:t>由人事部门或指定人员根据政策编制工资变动表和应发数据。</w:t>
      </w:r>
      <w:r>
        <w:rPr>
          <w:rFonts w:hint="eastAsia" w:ascii="仿宋" w:hAnsi="仿宋" w:eastAsia="仿宋" w:cs="仿宋"/>
          <w:b/>
          <w:bCs/>
          <w:sz w:val="32"/>
          <w:szCs w:val="32"/>
          <w:lang w:val="en-US" w:eastAsia="zh-CN"/>
        </w:rPr>
        <w:t>二是审核。</w:t>
      </w:r>
      <w:r>
        <w:rPr>
          <w:rFonts w:hint="eastAsia" w:ascii="仿宋" w:hAnsi="仿宋" w:eastAsia="仿宋" w:cs="仿宋"/>
          <w:b w:val="0"/>
          <w:bCs w:val="0"/>
          <w:sz w:val="32"/>
          <w:szCs w:val="32"/>
          <w:lang w:val="en-US" w:eastAsia="zh-CN"/>
        </w:rPr>
        <w:t>财务部门根据人事通知审核数据准确性。</w:t>
      </w:r>
    </w:p>
    <w:p w14:paraId="503E35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三是审批。</w:t>
      </w:r>
      <w:r>
        <w:rPr>
          <w:rFonts w:hint="eastAsia" w:ascii="仿宋" w:hAnsi="仿宋" w:eastAsia="仿宋" w:cs="仿宋"/>
          <w:b w:val="0"/>
          <w:bCs w:val="0"/>
          <w:sz w:val="32"/>
          <w:szCs w:val="32"/>
          <w:lang w:val="en-US" w:eastAsia="zh-CN"/>
        </w:rPr>
        <w:t>规定明确的审批权限和流程，例如：财务负责人审核后，必须报单位主要领导或分管财务领导审批签字，方可进入支付程序。审批签字必须是纸质或具有同等法律效力的电子签批流程。</w:t>
      </w:r>
      <w:r>
        <w:rPr>
          <w:rFonts w:hint="eastAsia" w:ascii="仿宋" w:hAnsi="仿宋" w:eastAsia="仿宋" w:cs="仿宋"/>
          <w:b/>
          <w:bCs/>
          <w:sz w:val="32"/>
          <w:szCs w:val="32"/>
          <w:lang w:val="en-US" w:eastAsia="zh-CN"/>
        </w:rPr>
        <w:t>四是支付与归档。</w:t>
      </w:r>
      <w:r>
        <w:rPr>
          <w:rFonts w:hint="eastAsia" w:ascii="仿宋" w:hAnsi="仿宋" w:eastAsia="仿宋" w:cs="仿宋"/>
          <w:b w:val="0"/>
          <w:bCs w:val="0"/>
          <w:sz w:val="32"/>
          <w:szCs w:val="32"/>
          <w:lang w:val="en-US" w:eastAsia="zh-CN"/>
        </w:rPr>
        <w:t>财务人员凭审批完毕的工资表提交国库支付申请，支付完成后，必须及时将经审批的工资表、国库支付凭证、银行发放成功回单三者一并作为记账凭证的附件，妥善保管。</w:t>
      </w:r>
      <w:r>
        <w:rPr>
          <w:rFonts w:hint="eastAsia" w:ascii="仿宋" w:hAnsi="仿宋" w:eastAsia="仿宋" w:cs="仿宋"/>
          <w:b/>
          <w:bCs/>
          <w:sz w:val="32"/>
          <w:szCs w:val="32"/>
          <w:lang w:val="en-US" w:eastAsia="zh-CN"/>
        </w:rPr>
        <w:t>C推行电子审批。</w:t>
      </w:r>
      <w:r>
        <w:rPr>
          <w:rFonts w:hint="eastAsia" w:ascii="仿宋" w:hAnsi="仿宋" w:eastAsia="仿宋" w:cs="仿宋"/>
          <w:b w:val="0"/>
          <w:bCs w:val="0"/>
          <w:sz w:val="32"/>
          <w:szCs w:val="32"/>
          <w:lang w:val="en-US" w:eastAsia="zh-CN"/>
        </w:rPr>
        <w:t>如有条件，建议在OA系统或财政一体化平台上实现工资发放的线上审批流程，使审批环节留痕、不可篡改，提高效率和规范性。</w:t>
      </w:r>
    </w:p>
    <w:p w14:paraId="0DA698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D加强人员培训。</w:t>
      </w:r>
      <w:r>
        <w:rPr>
          <w:rFonts w:hint="eastAsia" w:ascii="仿宋" w:hAnsi="仿宋" w:eastAsia="仿宋" w:cs="仿宋"/>
          <w:b w:val="0"/>
          <w:bCs w:val="0"/>
          <w:sz w:val="32"/>
          <w:szCs w:val="32"/>
          <w:lang w:val="en-US" w:eastAsia="zh-CN"/>
        </w:rPr>
        <w:t>对财务人员和相关审批负责人进行内控规范和财务知识的定期培训，强化其风险意识和责任意识。</w:t>
      </w:r>
    </w:p>
    <w:p w14:paraId="485FB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2.支付医疗保险、工伤保险、职业年金后仅附国库支付单，银行端查询缴税凭证，附人员名单、缴费基数确认表、明确的计算依据、银行付款回单，但无人力资源部审批意见及盖章等。</w:t>
      </w:r>
    </w:p>
    <w:p w14:paraId="01EEA2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上述违反了内部控制的基本原则即不相容岗位分离原则。社保的计提（计算） 与审核（审批） 属于不相容岗位。人力资源部门负责提供准确的人员、工资数据（计算），部门负责根据审核后的数据记账和支付。如果无人力资源部门的审核，就相当于部门计算与支付，失去了关键的内部监督和制约，极易导致错误和舞弊。</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审核与审批控制原则。任何重要的经济事项，必须经过适当的授权和审核。人力资源部门的盖章审批，正是这一控制环节的关键书面证据。缺少它，意味着整个业务流程缺少了至关重要的“刹车”和“校验”环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上述违反了《中华人民共和国预算法》。社保支出是单位预算的重要组成部分。无人力资源部门审核，编制的社保支出预算和决算就缺乏可靠的数据来源和核对依据，影响预算编制的准确性和预算执行的严肃性。</w:t>
      </w:r>
      <w:r>
        <w:rPr>
          <w:rFonts w:hint="eastAsia" w:ascii="仿宋" w:hAnsi="仿宋" w:eastAsia="仿宋" w:cs="仿宋"/>
          <w:b/>
          <w:bCs/>
          <w:sz w:val="32"/>
          <w:szCs w:val="32"/>
          <w:lang w:val="en-US" w:eastAsia="zh-CN"/>
        </w:rPr>
        <w:t>存在三类风险。一是数据不准确风险。</w:t>
      </w:r>
      <w:r>
        <w:rPr>
          <w:rFonts w:hint="eastAsia" w:ascii="仿宋" w:hAnsi="仿宋" w:eastAsia="仿宋" w:cs="仿宋"/>
          <w:b w:val="0"/>
          <w:bCs w:val="0"/>
          <w:sz w:val="32"/>
          <w:szCs w:val="32"/>
          <w:lang w:val="en-US" w:eastAsia="zh-CN"/>
        </w:rPr>
        <w:t>人员调入、调出、离职、工资变动等信息未能及时、准确地传递给财务部门，导致多缴、少缴或为已离职人员缴费，造成财政资金损失。</w:t>
      </w:r>
      <w:r>
        <w:rPr>
          <w:rFonts w:hint="eastAsia" w:ascii="仿宋" w:hAnsi="仿宋" w:eastAsia="仿宋" w:cs="仿宋"/>
          <w:b/>
          <w:bCs/>
          <w:sz w:val="32"/>
          <w:szCs w:val="32"/>
          <w:lang w:val="en-US" w:eastAsia="zh-CN"/>
        </w:rPr>
        <w:t>二是舞弊风险。</w:t>
      </w:r>
      <w:r>
        <w:rPr>
          <w:rFonts w:hint="eastAsia" w:ascii="仿宋" w:hAnsi="仿宋" w:eastAsia="仿宋" w:cs="仿宋"/>
          <w:b w:val="0"/>
          <w:bCs w:val="0"/>
          <w:sz w:val="32"/>
          <w:szCs w:val="32"/>
          <w:lang w:val="en-US" w:eastAsia="zh-CN"/>
        </w:rPr>
        <w:t>在缺乏监督的情况下，存在虚报人数、虚增工资基数从而套取资金的风险。</w:t>
      </w:r>
      <w:r>
        <w:rPr>
          <w:rFonts w:hint="eastAsia" w:ascii="仿宋" w:hAnsi="仿宋" w:eastAsia="仿宋" w:cs="仿宋"/>
          <w:b/>
          <w:bCs/>
          <w:sz w:val="32"/>
          <w:szCs w:val="32"/>
          <w:lang w:val="en-US" w:eastAsia="zh-CN"/>
        </w:rPr>
        <w:t>三是合规性风险。</w:t>
      </w:r>
      <w:r>
        <w:rPr>
          <w:rFonts w:hint="eastAsia" w:ascii="仿宋" w:hAnsi="仿宋" w:eastAsia="仿宋" w:cs="仿宋"/>
          <w:b w:val="0"/>
          <w:bCs w:val="0"/>
          <w:sz w:val="32"/>
          <w:szCs w:val="32"/>
          <w:lang w:val="en-US" w:eastAsia="zh-CN"/>
        </w:rPr>
        <w:t>可能导致社保缴费不符合《社会保险法》及相关规定，面临社保稽查部门的处罚。</w:t>
      </w:r>
    </w:p>
    <w:p w14:paraId="039E2D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应从</w:t>
      </w:r>
      <w:r>
        <w:rPr>
          <w:rFonts w:hint="eastAsia" w:ascii="仿宋" w:hAnsi="仿宋" w:eastAsia="仿宋" w:cs="仿宋"/>
          <w:b/>
          <w:bCs/>
          <w:sz w:val="32"/>
          <w:szCs w:val="32"/>
          <w:lang w:val="en-US" w:eastAsia="zh-CN"/>
        </w:rPr>
        <w:t>“及时整改”</w:t>
      </w:r>
      <w:r>
        <w:rPr>
          <w:rFonts w:hint="eastAsia" w:ascii="仿宋" w:hAnsi="仿宋" w:eastAsia="仿宋" w:cs="仿宋"/>
          <w:b w:val="0"/>
          <w:bCs w:val="0"/>
          <w:sz w:val="32"/>
          <w:szCs w:val="32"/>
          <w:lang w:val="en-US" w:eastAsia="zh-CN"/>
        </w:rPr>
        <w:t>和</w:t>
      </w:r>
      <w:r>
        <w:rPr>
          <w:rFonts w:hint="eastAsia" w:ascii="仿宋" w:hAnsi="仿宋" w:eastAsia="仿宋" w:cs="仿宋"/>
          <w:b/>
          <w:bCs/>
          <w:sz w:val="32"/>
          <w:szCs w:val="32"/>
          <w:lang w:val="en-US" w:eastAsia="zh-CN"/>
        </w:rPr>
        <w:t>“长效机制”</w:t>
      </w:r>
      <w:r>
        <w:rPr>
          <w:rFonts w:hint="eastAsia" w:ascii="仿宋" w:hAnsi="仿宋" w:eastAsia="仿宋" w:cs="仿宋"/>
          <w:b w:val="0"/>
          <w:bCs w:val="0"/>
          <w:sz w:val="32"/>
          <w:szCs w:val="32"/>
          <w:lang w:val="en-US" w:eastAsia="zh-CN"/>
        </w:rPr>
        <w:t>两个层面提出建议。</w:t>
      </w:r>
      <w:r>
        <w:rPr>
          <w:rFonts w:hint="eastAsia" w:ascii="仿宋" w:hAnsi="仿宋" w:eastAsia="仿宋" w:cs="仿宋"/>
          <w:b/>
          <w:bCs/>
          <w:sz w:val="32"/>
          <w:szCs w:val="32"/>
          <w:lang w:val="en-US" w:eastAsia="zh-CN"/>
        </w:rPr>
        <w:t>一是及时整改措施（针对已发现的问题）。A补充审批程序，</w:t>
      </w:r>
      <w:r>
        <w:rPr>
          <w:rFonts w:hint="eastAsia" w:ascii="仿宋" w:hAnsi="仿宋" w:eastAsia="仿宋" w:cs="仿宋"/>
          <w:b w:val="0"/>
          <w:bCs w:val="0"/>
          <w:sz w:val="32"/>
          <w:szCs w:val="32"/>
          <w:lang w:val="en-US" w:eastAsia="zh-CN"/>
        </w:rPr>
        <w:t>要求该预算单位立即对评价期内所有的社保计提与缴费业务，补充人力资源部门的审核确认手续。对于缺失的审批单，应限期补办，由人力资源部门负责人签字并加盖部门公章。</w:t>
      </w:r>
      <w:r>
        <w:rPr>
          <w:rFonts w:hint="eastAsia" w:ascii="仿宋" w:hAnsi="仿宋" w:eastAsia="仿宋" w:cs="仿宋"/>
          <w:b/>
          <w:bCs/>
          <w:sz w:val="32"/>
          <w:szCs w:val="32"/>
          <w:lang w:val="en-US" w:eastAsia="zh-CN"/>
        </w:rPr>
        <w:t>B书面说明情况，</w:t>
      </w:r>
      <w:r>
        <w:rPr>
          <w:rFonts w:hint="eastAsia" w:ascii="仿宋" w:hAnsi="仿宋" w:eastAsia="仿宋" w:cs="仿宋"/>
          <w:b w:val="0"/>
          <w:bCs w:val="0"/>
          <w:sz w:val="32"/>
          <w:szCs w:val="32"/>
          <w:lang w:val="en-US" w:eastAsia="zh-CN"/>
        </w:rPr>
        <w:t>要求该单位就此次内控缺失问题提交书面说明，解释原因并承诺整改，由单位主要负责人签字，以表明单位领导对此问题的重视。</w:t>
      </w:r>
      <w:r>
        <w:rPr>
          <w:rFonts w:hint="eastAsia" w:ascii="仿宋" w:hAnsi="仿宋" w:eastAsia="仿宋" w:cs="仿宋"/>
          <w:b/>
          <w:bCs/>
          <w:sz w:val="32"/>
          <w:szCs w:val="32"/>
          <w:lang w:val="en-US" w:eastAsia="zh-CN"/>
        </w:rPr>
        <w:t>二是长效机制建设建议（从根本上解决问题）。A完善制度建设，明确责任分工。</w:t>
      </w:r>
      <w:r>
        <w:rPr>
          <w:rFonts w:hint="eastAsia" w:ascii="仿宋" w:hAnsi="仿宋" w:eastAsia="仿宋" w:cs="仿宋"/>
          <w:b w:val="0"/>
          <w:bCs w:val="0"/>
          <w:sz w:val="32"/>
          <w:szCs w:val="32"/>
          <w:lang w:val="en-US" w:eastAsia="zh-CN"/>
        </w:rPr>
        <w:t>修订其内部财务管理制度和人力资源</w:t>
      </w:r>
      <w:r>
        <w:rPr>
          <w:rFonts w:hint="eastAsia" w:ascii="仿宋" w:hAnsi="仿宋" w:eastAsia="仿宋" w:cs="仿宋"/>
          <w:b/>
          <w:bCs/>
          <w:sz w:val="32"/>
          <w:szCs w:val="32"/>
          <w:lang w:val="en-US" w:eastAsia="zh-CN"/>
        </w:rPr>
        <w:t>管理流程。</w:t>
      </w:r>
      <w:r>
        <w:rPr>
          <w:rFonts w:hint="eastAsia" w:ascii="仿宋" w:hAnsi="仿宋" w:eastAsia="仿宋" w:cs="仿宋"/>
          <w:b w:val="0"/>
          <w:bCs w:val="0"/>
          <w:sz w:val="32"/>
          <w:szCs w:val="32"/>
          <w:lang w:val="en-US" w:eastAsia="zh-CN"/>
        </w:rPr>
        <w:t>明文规定，社保的计提必须以经人力资源部门审核、盖章（或负责人签字）的《人员及工资变动汇总表》或《社保缴费核定表》作为</w:t>
      </w:r>
      <w:r>
        <w:rPr>
          <w:rFonts w:hint="eastAsia" w:ascii="仿宋" w:hAnsi="仿宋" w:eastAsia="仿宋" w:cs="仿宋"/>
          <w:b/>
          <w:bCs/>
          <w:sz w:val="32"/>
          <w:szCs w:val="32"/>
          <w:lang w:val="en-US" w:eastAsia="zh-CN"/>
        </w:rPr>
        <w:t>唯一依据。</w:t>
      </w:r>
      <w:r>
        <w:rPr>
          <w:rFonts w:hint="eastAsia" w:ascii="仿宋" w:hAnsi="仿宋" w:eastAsia="仿宋" w:cs="仿宋"/>
          <w:b w:val="0"/>
          <w:bCs w:val="0"/>
          <w:sz w:val="32"/>
          <w:szCs w:val="32"/>
          <w:lang w:val="en-US" w:eastAsia="zh-CN"/>
        </w:rPr>
        <w:t>部门必须见到合规的审批单后方可进行账务处理和办理缴费。</w:t>
      </w:r>
      <w:r>
        <w:rPr>
          <w:rFonts w:hint="eastAsia" w:ascii="仿宋" w:hAnsi="仿宋" w:eastAsia="仿宋" w:cs="仿宋"/>
          <w:b/>
          <w:bCs/>
          <w:sz w:val="32"/>
          <w:szCs w:val="32"/>
          <w:lang w:val="en-US" w:eastAsia="zh-CN"/>
        </w:rPr>
        <w:t>B优化业务流程，固化审批环节。设计标准化的审批表单，</w:t>
      </w:r>
      <w:r>
        <w:rPr>
          <w:rFonts w:hint="eastAsia" w:ascii="仿宋" w:hAnsi="仿宋" w:eastAsia="仿宋" w:cs="仿宋"/>
          <w:b w:val="0"/>
          <w:bCs w:val="0"/>
          <w:sz w:val="32"/>
          <w:szCs w:val="32"/>
          <w:lang w:val="en-US" w:eastAsia="zh-CN"/>
        </w:rPr>
        <w:t>表单应包含人员姓名、身份证号、缴费基数、单位应缴额、个人应缴额、合计金额等核心信息，并设置“制表人”、“人力资源部门审核人”、“财务部门复核人”等签章栏位。</w:t>
      </w:r>
      <w:r>
        <w:rPr>
          <w:rFonts w:hint="eastAsia" w:ascii="仿宋" w:hAnsi="仿宋" w:eastAsia="仿宋" w:cs="仿宋"/>
          <w:b/>
          <w:bCs/>
          <w:sz w:val="32"/>
          <w:szCs w:val="32"/>
          <w:lang w:val="en-US" w:eastAsia="zh-CN"/>
        </w:rPr>
        <w:t>固化流程，</w:t>
      </w:r>
      <w:r>
        <w:rPr>
          <w:rFonts w:hint="eastAsia" w:ascii="仿宋" w:hAnsi="仿宋" w:eastAsia="仿宋" w:cs="仿宋"/>
          <w:b w:val="0"/>
          <w:bCs w:val="0"/>
          <w:sz w:val="32"/>
          <w:szCs w:val="32"/>
          <w:lang w:val="en-US" w:eastAsia="zh-CN"/>
        </w:rPr>
        <w:t>每月（或每季度）初，人力资源部门制作表单并审核签章 -&gt; 提交至财务部门 -&gt; 财务部门复核无误后 -&gt; 进行计提和缴费 -&gt; 将审批单作为重要原始凭证附于记账凭证之后。</w:t>
      </w:r>
      <w:r>
        <w:rPr>
          <w:rFonts w:hint="eastAsia" w:ascii="仿宋" w:hAnsi="仿宋" w:eastAsia="仿宋" w:cs="仿宋"/>
          <w:b/>
          <w:bCs/>
          <w:sz w:val="32"/>
          <w:szCs w:val="32"/>
          <w:lang w:val="en-US" w:eastAsia="zh-CN"/>
        </w:rPr>
        <w:t>加强信息化建设，实现数据联动，</w:t>
      </w:r>
      <w:r>
        <w:rPr>
          <w:rFonts w:hint="eastAsia" w:ascii="仿宋" w:hAnsi="仿宋" w:eastAsia="仿宋" w:cs="仿宋"/>
          <w:b w:val="0"/>
          <w:bCs w:val="0"/>
          <w:sz w:val="32"/>
          <w:szCs w:val="32"/>
          <w:lang w:val="en-US" w:eastAsia="zh-CN"/>
        </w:rPr>
        <w:t>长远来看，建议推动单位使用集成的财务与人力资源管理系统。通过系统设置，实现人力资源数据变动后，社保数据自动生成，并通过线上流程推送给相关负责人审批，审批完成后数据自动传递至财务系统。这样可以减少人为干预，提高效率和准确性。</w:t>
      </w:r>
    </w:p>
    <w:p w14:paraId="56679F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3.住房公积及交通补贴津贴的计提缺乏人力资源或组织部门的审核盖章。</w:t>
      </w:r>
    </w:p>
    <w:p w14:paraId="33EA3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上述违反了《预算法》关于“支出必须以经批准的预算为依据</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的规定。如果人力资源部门未审核盖章，预算部门发放补贴，可能构成无预算、超预算支出，或向不符合预算规定的人员发放补贴。人力资源或组织部门的盖章，核心目的在于审核确认补贴发放人员的名单、资格及标准是否准确合规。缺少这一环节，就缺失了重要的内部监督。</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发票管理办法》。不符合规定的发票不得作为财务报销凭证。类推到补贴发放，表单不全同样会影响财务核算的合规性。缺少必要的签章，会使交通补贴发放表作为财务报销凭证的完整性、合规性存在瑕疵。在审计或检查时可能被要求整改甚至追回资金。</w:t>
      </w:r>
    </w:p>
    <w:p w14:paraId="5DE7B2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建议：一是补全审核签章流程。</w:t>
      </w:r>
      <w:r>
        <w:rPr>
          <w:rFonts w:hint="eastAsia" w:ascii="仿宋" w:hAnsi="仿宋" w:eastAsia="仿宋" w:cs="仿宋"/>
          <w:b w:val="0"/>
          <w:bCs w:val="0"/>
          <w:sz w:val="32"/>
          <w:szCs w:val="32"/>
          <w:lang w:val="en-US" w:eastAsia="zh-CN"/>
        </w:rPr>
        <w:t>及时补办，对于已发放但缺少签章的补贴，应尽快联系人力资源或组织部门，对发放名单和金额进行事后审核与追认，并在发放表上补盖部门公章。</w:t>
      </w:r>
      <w:r>
        <w:rPr>
          <w:rFonts w:hint="eastAsia" w:ascii="仿宋" w:hAnsi="仿宋" w:eastAsia="仿宋" w:cs="仿宋"/>
          <w:b/>
          <w:bCs/>
          <w:sz w:val="32"/>
          <w:szCs w:val="32"/>
          <w:lang w:val="en-US" w:eastAsia="zh-CN"/>
        </w:rPr>
        <w:t>二是规范未来操作。</w:t>
      </w:r>
      <w:r>
        <w:rPr>
          <w:rFonts w:hint="eastAsia" w:ascii="仿宋" w:hAnsi="仿宋" w:eastAsia="仿宋" w:cs="仿宋"/>
          <w:b w:val="0"/>
          <w:bCs w:val="0"/>
          <w:sz w:val="32"/>
          <w:szCs w:val="32"/>
          <w:lang w:val="en-US" w:eastAsia="zh-CN"/>
        </w:rPr>
        <w:t>严格执行“制表、审核、审批、盖章”的流程。在造表上至少确保有制表人、单位主要负责人签字，并加盖单位和人力资源/组织部门的公章。</w:t>
      </w:r>
      <w:r>
        <w:rPr>
          <w:rFonts w:hint="eastAsia" w:ascii="仿宋" w:hAnsi="仿宋" w:eastAsia="仿宋" w:cs="仿宋"/>
          <w:b/>
          <w:bCs/>
          <w:sz w:val="32"/>
          <w:szCs w:val="32"/>
          <w:lang w:val="en-US" w:eastAsia="zh-CN"/>
        </w:rPr>
        <w:t>三是明确部门职责。</w:t>
      </w:r>
      <w:r>
        <w:rPr>
          <w:rFonts w:hint="eastAsia" w:ascii="仿宋" w:hAnsi="仿宋" w:eastAsia="仿宋" w:cs="仿宋"/>
          <w:b w:val="0"/>
          <w:bCs w:val="0"/>
          <w:sz w:val="32"/>
          <w:szCs w:val="32"/>
          <w:lang w:val="en-US" w:eastAsia="zh-CN"/>
        </w:rPr>
        <w:t>人力资源或组织部门负责前置审核补贴发放人员的资格、级别、标准，并提供必要的依据（如组织任命文件复印件）。按规定进行内部公示。预算或财务部门依据已经审核盖章的明细表，主要负责资金调度和办理支付。</w:t>
      </w:r>
      <w:r>
        <w:rPr>
          <w:rFonts w:hint="eastAsia" w:ascii="仿宋" w:hAnsi="仿宋" w:eastAsia="仿宋" w:cs="仿宋"/>
          <w:b/>
          <w:bCs/>
          <w:sz w:val="32"/>
          <w:szCs w:val="32"/>
          <w:lang w:val="en-US" w:eastAsia="zh-CN"/>
        </w:rPr>
        <w:t>四是加强内部控制和沟通。</w:t>
      </w:r>
      <w:r>
        <w:rPr>
          <w:rFonts w:hint="eastAsia" w:ascii="仿宋" w:hAnsi="仿宋" w:eastAsia="仿宋" w:cs="仿宋"/>
          <w:b w:val="0"/>
          <w:bCs w:val="0"/>
          <w:sz w:val="32"/>
          <w:szCs w:val="32"/>
          <w:lang w:val="en-US" w:eastAsia="zh-CN"/>
        </w:rPr>
        <w:t>单位应建立健全内部审批制度，将人力资源或组织部门的审核盖章明确为交通补贴发放的必备前置环节。财务人员在办理支付时，须严格审核发放附件的完整性和合规性，对缺少必要签章的申请有权拒绝办理。主动与本单位的人力资源部门、上级主管部门及财政部门沟通，确保遵循本地、本层级的最新具体规定。</w:t>
      </w:r>
    </w:p>
    <w:p w14:paraId="183EB3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4.发放退休人员补贴由本单位领导签字，无人力资源审核。跨期支付2023年退休人员独生子女费，报退休人员名单9人，该笔支出退休人员14人，询问原因为其余4人为处级干部，仅独生子女费在区人大发放，其他工资及福利在其他部门发放。详见2024年1月10号凭证。</w:t>
      </w:r>
    </w:p>
    <w:p w14:paraId="46EAED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试行）》（财会〔2012〕21号）核心原则。不相容岗位相互分离。该规范明确要求，单位经济活动的决策、执行、监督应相互分离、相互制约。退休人员补贴的发放，涉及两个关键的不相容环节。业务审核（人力资源部门），负责核实补贴发放人员的身份、资格、标准、政策依据是否真实、准确、合规。例如，确认该人员是否确为本单位退休人员、补贴项目是否符合政策、发放金额计算是否正确等。审批支付（单位领导/财务部门），在业务审核无误的基础上，负责对支付申请的合规性、资金预算等进行审批，并办理支付。直接跳过业务审核，由领导直接签字审批，破坏了内部控制的“防火墙”，使得审批流程形同虚设，极易发生冒领、错发、超标准发放等风险。</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上述违反了单位内部财务管理制度。任何规范的预算单位都应有明确的经费支出审批流程。此做法必然违反了单位内部关于人员经费支出必须经过业务主管部门（人力资源部门）前置审核的规定。</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中华人民共和国预算法》及其实施条例核心原则即预算的约束力和真实性。预算法要求预算支出必须以经批准的预算为依据，未列入预算的不得支出。费用属于2023年的支出义务，应在2023年度的预算中安排并支付。在2024年支付，属于“无预算支出”或“挤占下年度预算”，违反了预算的年度性原则，影响了预算执行的严肃性和准确性。</w:t>
      </w:r>
      <w:r>
        <w:rPr>
          <w:rFonts w:hint="eastAsia" w:ascii="仿宋" w:hAnsi="仿宋" w:eastAsia="仿宋" w:cs="仿宋"/>
          <w:b/>
          <w:bCs/>
          <w:sz w:val="32"/>
          <w:szCs w:val="32"/>
          <w:highlight w:val="none"/>
          <w:lang w:val="en-US" w:eastAsia="zh-CN"/>
        </w:rPr>
        <w:t>相关政策4：</w:t>
      </w:r>
      <w:r>
        <w:rPr>
          <w:rFonts w:hint="eastAsia" w:ascii="仿宋" w:hAnsi="仿宋" w:eastAsia="仿宋" w:cs="仿宋"/>
          <w:b w:val="0"/>
          <w:bCs w:val="0"/>
          <w:sz w:val="32"/>
          <w:szCs w:val="32"/>
          <w:highlight w:val="none"/>
          <w:lang w:val="en-US" w:eastAsia="zh-CN"/>
        </w:rPr>
        <w:t>上述违反了《政府会计制度——行政事业单位会计科目和报表》核心原则即会计核算的准确性。要求费用应计入其实际发生的会计期间。对于2023年已经发生、但未及时支付的费用，应在年末进行“应付账款”或“其他应付款”的计提，确保收支匹配。直接在下一年度列支，会导致两个年度的费用核算都不准确。</w:t>
      </w:r>
    </w:p>
    <w:p w14:paraId="4BB66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建议：一是及时整改，完善内部控制流程。明确流程。</w:t>
      </w:r>
      <w:r>
        <w:rPr>
          <w:rFonts w:hint="eastAsia" w:ascii="仿宋" w:hAnsi="仿宋" w:eastAsia="仿宋" w:cs="仿宋"/>
          <w:b w:val="0"/>
          <w:bCs w:val="0"/>
          <w:sz w:val="32"/>
          <w:szCs w:val="32"/>
          <w:highlight w:val="none"/>
          <w:lang w:val="en-US" w:eastAsia="zh-CN"/>
        </w:rPr>
        <w:t>修订单位内部财务报销和人员经费支出管理办法，明确规定所有人员经费（包括在职和退休）的发放，必须首先由人力资源部门进行业务审核。</w:t>
      </w:r>
      <w:r>
        <w:rPr>
          <w:rFonts w:hint="eastAsia" w:ascii="仿宋" w:hAnsi="仿宋" w:eastAsia="仿宋" w:cs="仿宋"/>
          <w:b/>
          <w:bCs/>
          <w:sz w:val="32"/>
          <w:szCs w:val="32"/>
          <w:highlight w:val="none"/>
          <w:lang w:val="en-US" w:eastAsia="zh-CN"/>
        </w:rPr>
        <w:t>固化表单。</w:t>
      </w:r>
      <w:r>
        <w:rPr>
          <w:rFonts w:hint="eastAsia" w:ascii="仿宋" w:hAnsi="仿宋" w:eastAsia="仿宋" w:cs="仿宋"/>
          <w:b w:val="0"/>
          <w:bCs w:val="0"/>
          <w:sz w:val="32"/>
          <w:szCs w:val="32"/>
          <w:highlight w:val="none"/>
          <w:lang w:val="en-US" w:eastAsia="zh-CN"/>
        </w:rPr>
        <w:t>设计标准化的《退休人员补贴发放审批表》，必须包含“人力资源部门审核意见”栏，由经办人、负责人签字并加盖部门公章，作为财务付款的必备附件。</w:t>
      </w:r>
      <w:r>
        <w:rPr>
          <w:rFonts w:hint="eastAsia" w:ascii="仿宋" w:hAnsi="仿宋" w:eastAsia="仿宋" w:cs="仿宋"/>
          <w:b/>
          <w:bCs/>
          <w:sz w:val="32"/>
          <w:szCs w:val="32"/>
          <w:highlight w:val="none"/>
          <w:lang w:val="en-US" w:eastAsia="zh-CN"/>
        </w:rPr>
        <w:t>职责分离。</w:t>
      </w:r>
      <w:r>
        <w:rPr>
          <w:rFonts w:hint="eastAsia" w:ascii="仿宋" w:hAnsi="仿宋" w:eastAsia="仿宋" w:cs="仿宋"/>
          <w:b w:val="0"/>
          <w:bCs w:val="0"/>
          <w:sz w:val="32"/>
          <w:szCs w:val="32"/>
          <w:highlight w:val="none"/>
          <w:lang w:val="en-US" w:eastAsia="zh-CN"/>
        </w:rPr>
        <w:t>在制度中重申并严格落实“经办、审核、审批”三分离的原则，单位领导的审批必须建立在业务部门审核完备的基础之上。</w:t>
      </w:r>
      <w:r>
        <w:rPr>
          <w:rFonts w:hint="eastAsia" w:ascii="仿宋" w:hAnsi="仿宋" w:eastAsia="仿宋" w:cs="仿宋"/>
          <w:b/>
          <w:bCs/>
          <w:sz w:val="32"/>
          <w:szCs w:val="32"/>
          <w:highlight w:val="none"/>
          <w:lang w:val="en-US" w:eastAsia="zh-CN"/>
        </w:rPr>
        <w:t>二是强化预算管理，确保精准执行。全面清查。</w:t>
      </w:r>
      <w:r>
        <w:rPr>
          <w:rFonts w:hint="eastAsia" w:ascii="仿宋" w:hAnsi="仿宋" w:eastAsia="仿宋" w:cs="仿宋"/>
          <w:b w:val="0"/>
          <w:bCs w:val="0"/>
          <w:sz w:val="32"/>
          <w:szCs w:val="32"/>
          <w:highlight w:val="none"/>
          <w:lang w:val="en-US" w:eastAsia="zh-CN"/>
        </w:rPr>
        <w:t>对全体退休人员享受各类补贴（如独生子女费、生活补贴等）的情况进行一次全面、细致的摸底清查，建立动态管理台账。</w:t>
      </w:r>
      <w:r>
        <w:rPr>
          <w:rFonts w:hint="eastAsia" w:ascii="仿宋" w:hAnsi="仿宋" w:eastAsia="仿宋" w:cs="仿宋"/>
          <w:b/>
          <w:bCs/>
          <w:sz w:val="32"/>
          <w:szCs w:val="32"/>
          <w:highlight w:val="none"/>
          <w:lang w:val="en-US" w:eastAsia="zh-CN"/>
        </w:rPr>
        <w:t>精准编制预算。</w:t>
      </w:r>
      <w:r>
        <w:rPr>
          <w:rFonts w:hint="eastAsia" w:ascii="仿宋" w:hAnsi="仿宋" w:eastAsia="仿宋" w:cs="仿宋"/>
          <w:b w:val="0"/>
          <w:bCs w:val="0"/>
          <w:sz w:val="32"/>
          <w:szCs w:val="32"/>
          <w:highlight w:val="none"/>
          <w:lang w:val="en-US" w:eastAsia="zh-CN"/>
        </w:rPr>
        <w:t>以上述台账为基础，严格按照“应编尽编、准确无误”的原则编制下一年度的人员经费预算，杜绝估算、漏报。</w:t>
      </w:r>
      <w:r>
        <w:rPr>
          <w:rFonts w:hint="eastAsia" w:ascii="仿宋" w:hAnsi="仿宋" w:eastAsia="仿宋" w:cs="仿宋"/>
          <w:b/>
          <w:bCs/>
          <w:sz w:val="32"/>
          <w:szCs w:val="32"/>
          <w:highlight w:val="none"/>
          <w:lang w:val="en-US" w:eastAsia="zh-CN"/>
        </w:rPr>
        <w:t>规范跨期处理。</w:t>
      </w:r>
      <w:r>
        <w:rPr>
          <w:rFonts w:hint="eastAsia" w:ascii="仿宋" w:hAnsi="仿宋" w:eastAsia="仿宋" w:cs="仿宋"/>
          <w:b w:val="0"/>
          <w:bCs w:val="0"/>
          <w:sz w:val="32"/>
          <w:szCs w:val="32"/>
          <w:highlight w:val="none"/>
          <w:lang w:val="en-US" w:eastAsia="zh-CN"/>
        </w:rPr>
        <w:t>对于年度内确已发生但因故未支付的费用，财务部门应在年末按规定进行账务处理（计提负债），并在下一年度初申请预算时予以说明，确保支付时有预算来源。三</w:t>
      </w:r>
      <w:r>
        <w:rPr>
          <w:rFonts w:hint="eastAsia" w:ascii="仿宋" w:hAnsi="仿宋" w:eastAsia="仿宋" w:cs="仿宋"/>
          <w:b/>
          <w:bCs/>
          <w:sz w:val="32"/>
          <w:szCs w:val="32"/>
          <w:highlight w:val="none"/>
          <w:lang w:val="en-US" w:eastAsia="zh-CN"/>
        </w:rPr>
        <w:t>是建立长效机制。定期培训。</w:t>
      </w:r>
      <w:r>
        <w:rPr>
          <w:rFonts w:hint="eastAsia" w:ascii="仿宋" w:hAnsi="仿宋" w:eastAsia="仿宋" w:cs="仿宋"/>
          <w:b w:val="0"/>
          <w:bCs w:val="0"/>
          <w:sz w:val="32"/>
          <w:szCs w:val="32"/>
          <w:highlight w:val="none"/>
          <w:lang w:val="en-US" w:eastAsia="zh-CN"/>
        </w:rPr>
        <w:t>对单位领导、人力资源部门和财务部门人员定期开展内控和预算管理培训，提升全员规范意识和业务能力。</w:t>
      </w:r>
      <w:r>
        <w:rPr>
          <w:rFonts w:hint="eastAsia" w:ascii="仿宋" w:hAnsi="仿宋" w:eastAsia="仿宋" w:cs="仿宋"/>
          <w:b/>
          <w:bCs/>
          <w:sz w:val="32"/>
          <w:szCs w:val="32"/>
          <w:highlight w:val="none"/>
          <w:lang w:val="en-US" w:eastAsia="zh-CN"/>
        </w:rPr>
        <w:t>加强内部审计。</w:t>
      </w:r>
      <w:r>
        <w:rPr>
          <w:rFonts w:hint="eastAsia" w:ascii="仿宋" w:hAnsi="仿宋" w:eastAsia="仿宋" w:cs="仿宋"/>
          <w:b w:val="0"/>
          <w:bCs w:val="0"/>
          <w:sz w:val="32"/>
          <w:szCs w:val="32"/>
          <w:highlight w:val="none"/>
          <w:lang w:val="en-US" w:eastAsia="zh-CN"/>
        </w:rPr>
        <w:t>单位内部审计或纪检部门应定期对人员经费、专项补贴等敏感支出进行专项检查，及时发现和纠正问题。</w:t>
      </w:r>
    </w:p>
    <w:p w14:paraId="10583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5.工资管理“四张表、两家发”的模式是一种碎片化的管理方式，虽然可能源于历史习惯或特定管理需求，但其弊端明显，体现在以下九个方面：一是维权成本高。</w:t>
      </w:r>
      <w:r>
        <w:rPr>
          <w:rFonts w:hint="eastAsia" w:ascii="仿宋" w:hAnsi="仿宋" w:eastAsia="仿宋" w:cs="仿宋"/>
          <w:b w:val="0"/>
          <w:bCs w:val="0"/>
          <w:sz w:val="32"/>
          <w:szCs w:val="32"/>
          <w:highlight w:val="none"/>
          <w:lang w:val="en-US" w:eastAsia="zh-CN"/>
        </w:rPr>
        <w:t>如果对某一笔收入有疑问，员工需要分别向财政局和单位办公室咨询，沟通成本高，问题处理链条长。</w:t>
      </w:r>
      <w:r>
        <w:rPr>
          <w:rFonts w:hint="eastAsia" w:ascii="仿宋" w:hAnsi="仿宋" w:eastAsia="仿宋" w:cs="仿宋"/>
          <w:b/>
          <w:bCs/>
          <w:sz w:val="32"/>
          <w:szCs w:val="32"/>
          <w:highlight w:val="none"/>
          <w:lang w:val="en-US" w:eastAsia="zh-CN"/>
        </w:rPr>
        <w:t>二是数据一致性风险高。</w:t>
      </w:r>
      <w:r>
        <w:rPr>
          <w:rFonts w:hint="eastAsia" w:ascii="仿宋" w:hAnsi="仿宋" w:eastAsia="仿宋" w:cs="仿宋"/>
          <w:b w:val="0"/>
          <w:bCs w:val="0"/>
          <w:sz w:val="32"/>
          <w:szCs w:val="32"/>
          <w:highlight w:val="none"/>
          <w:lang w:val="en-US" w:eastAsia="zh-CN"/>
        </w:rPr>
        <w:t>财政统发部分和单位发放部分的基础数据（如基本工资、职级、扣款基数等）需要高度同步。任何一方的数据变动（如职级晋升、公积金调整）若未及时通知另一方，就会导致发放错误，后续纠错流程繁琐。</w:t>
      </w:r>
      <w:r>
        <w:rPr>
          <w:rFonts w:hint="eastAsia" w:ascii="仿宋" w:hAnsi="仿宋" w:eastAsia="仿宋" w:cs="仿宋"/>
          <w:b/>
          <w:bCs/>
          <w:sz w:val="32"/>
          <w:szCs w:val="32"/>
          <w:highlight w:val="none"/>
          <w:lang w:val="en-US" w:eastAsia="zh-CN"/>
        </w:rPr>
        <w:t>三是资金安全风险。</w:t>
      </w:r>
      <w:r>
        <w:rPr>
          <w:rFonts w:hint="eastAsia" w:ascii="仿宋" w:hAnsi="仿宋" w:eastAsia="仿宋" w:cs="仿宋"/>
          <w:b w:val="0"/>
          <w:bCs w:val="0"/>
          <w:sz w:val="32"/>
          <w:szCs w:val="32"/>
          <w:highlight w:val="none"/>
          <w:lang w:val="en-US" w:eastAsia="zh-CN"/>
        </w:rPr>
        <w:t>单位通常通过自有账户发放补贴，涉及资金的请款、保管、支付等环节，内部控制若不到位，存在资金安全风险。</w:t>
      </w:r>
      <w:r>
        <w:rPr>
          <w:rFonts w:hint="eastAsia" w:ascii="仿宋" w:hAnsi="仿宋" w:eastAsia="仿宋" w:cs="仿宋"/>
          <w:b/>
          <w:bCs/>
          <w:sz w:val="32"/>
          <w:szCs w:val="32"/>
          <w:highlight w:val="none"/>
          <w:lang w:val="en-US" w:eastAsia="zh-CN"/>
        </w:rPr>
        <w:t>四是人事变动同步延迟。</w:t>
      </w:r>
      <w:r>
        <w:rPr>
          <w:rFonts w:hint="eastAsia" w:ascii="仿宋" w:hAnsi="仿宋" w:eastAsia="仿宋" w:cs="仿宋"/>
          <w:b w:val="0"/>
          <w:bCs w:val="0"/>
          <w:sz w:val="32"/>
          <w:szCs w:val="32"/>
          <w:highlight w:val="none"/>
          <w:lang w:val="en-US" w:eastAsia="zh-CN"/>
        </w:rPr>
        <w:t>对于人员调入、调出、离职、退休等情况，财政局和单位办公室之间的信息传递可能存在时间差，导致多发、少发或漏发工资。</w:t>
      </w:r>
      <w:r>
        <w:rPr>
          <w:rFonts w:hint="eastAsia" w:ascii="仿宋" w:hAnsi="仿宋" w:eastAsia="仿宋" w:cs="仿宋"/>
          <w:b/>
          <w:bCs/>
          <w:sz w:val="32"/>
          <w:szCs w:val="32"/>
          <w:highlight w:val="none"/>
          <w:lang w:val="en-US" w:eastAsia="zh-CN"/>
        </w:rPr>
        <w:t>五是核算与对账复杂。</w:t>
      </w:r>
      <w:r>
        <w:rPr>
          <w:rFonts w:hint="eastAsia" w:ascii="仿宋" w:hAnsi="仿宋" w:eastAsia="仿宋" w:cs="仿宋"/>
          <w:b w:val="0"/>
          <w:bCs w:val="0"/>
          <w:sz w:val="32"/>
          <w:szCs w:val="32"/>
          <w:highlight w:val="none"/>
          <w:lang w:val="en-US" w:eastAsia="zh-CN"/>
        </w:rPr>
        <w:t>单位财务人员需要将财政发放和单位发放的两部分金额在账务上进行合并处理，期末与财政局、银行等多方对账工作量翻倍，容易出错。</w:t>
      </w:r>
      <w:r>
        <w:rPr>
          <w:rFonts w:hint="eastAsia" w:ascii="仿宋" w:hAnsi="仿宋" w:eastAsia="仿宋" w:cs="仿宋"/>
          <w:b/>
          <w:bCs/>
          <w:sz w:val="32"/>
          <w:szCs w:val="32"/>
          <w:highlight w:val="none"/>
          <w:lang w:val="en-US" w:eastAsia="zh-CN"/>
        </w:rPr>
        <w:t>六是预算编制和执行困难。</w:t>
      </w:r>
      <w:r>
        <w:rPr>
          <w:rFonts w:hint="eastAsia" w:ascii="仿宋" w:hAnsi="仿宋" w:eastAsia="仿宋" w:cs="仿宋"/>
          <w:b w:val="0"/>
          <w:bCs w:val="0"/>
          <w:sz w:val="32"/>
          <w:szCs w:val="32"/>
          <w:highlight w:val="none"/>
          <w:lang w:val="en-US" w:eastAsia="zh-CN"/>
        </w:rPr>
        <w:t>工资福利支出被分割成两块，不利于单位财务进行准确的全年人员经费预算编制，也不利于对预算执行情况进行整体把控和分析。</w:t>
      </w:r>
      <w:r>
        <w:rPr>
          <w:rFonts w:hint="eastAsia" w:ascii="仿宋" w:hAnsi="仿宋" w:eastAsia="仿宋" w:cs="仿宋"/>
          <w:b/>
          <w:bCs/>
          <w:sz w:val="32"/>
          <w:szCs w:val="32"/>
          <w:highlight w:val="none"/>
          <w:lang w:val="en-US" w:eastAsia="zh-CN"/>
        </w:rPr>
        <w:t>七是审计风险高。</w:t>
      </w:r>
      <w:r>
        <w:rPr>
          <w:rFonts w:hint="eastAsia" w:ascii="仿宋" w:hAnsi="仿宋" w:eastAsia="仿宋" w:cs="仿宋"/>
          <w:b w:val="0"/>
          <w:bCs w:val="0"/>
          <w:sz w:val="32"/>
          <w:szCs w:val="32"/>
          <w:highlight w:val="none"/>
          <w:lang w:val="en-US" w:eastAsia="zh-CN"/>
        </w:rPr>
        <w:t>这种模式在审计时会被重点关注。审计人员会审查发放依据、标准、内部控制的完整性，任何环节的疏漏都可能被提出审计质疑。津补贴的发放是否符合政策规定是审计的重中之重。</w:t>
      </w:r>
    </w:p>
    <w:p w14:paraId="6B940F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八是信息孤岛。</w:t>
      </w:r>
      <w:r>
        <w:rPr>
          <w:rFonts w:hint="eastAsia" w:ascii="仿宋" w:hAnsi="仿宋" w:eastAsia="仿宋" w:cs="仿宋"/>
          <w:b w:val="0"/>
          <w:bCs w:val="0"/>
          <w:sz w:val="32"/>
          <w:szCs w:val="32"/>
          <w:highlight w:val="none"/>
          <w:lang w:val="en-US" w:eastAsia="zh-CN"/>
        </w:rPr>
        <w:t>薪资数据分散在两套甚至多套系统中，无法形成完整、统一的人员薪酬数据库，难以进行有效的薪酬数据分析和决策支持。</w:t>
      </w:r>
      <w:r>
        <w:rPr>
          <w:rFonts w:hint="eastAsia" w:ascii="仿宋" w:hAnsi="仿宋" w:eastAsia="仿宋" w:cs="仿宋"/>
          <w:b/>
          <w:bCs/>
          <w:sz w:val="32"/>
          <w:szCs w:val="32"/>
          <w:highlight w:val="none"/>
          <w:lang w:val="en-US" w:eastAsia="zh-CN"/>
        </w:rPr>
        <w:t>九是统计报表困难。</w:t>
      </w:r>
      <w:r>
        <w:rPr>
          <w:rFonts w:hint="eastAsia" w:ascii="仿宋" w:hAnsi="仿宋" w:eastAsia="仿宋" w:cs="仿宋"/>
          <w:b w:val="0"/>
          <w:bCs w:val="0"/>
          <w:sz w:val="32"/>
          <w:szCs w:val="32"/>
          <w:highlight w:val="none"/>
          <w:lang w:val="en-US" w:eastAsia="zh-CN"/>
        </w:rPr>
        <w:t>每当需要向上级部门报送人事、工资统计报表时，需要人工从不同来源汇总数据，费时费力，且数据准确性难以保证。</w:t>
      </w:r>
    </w:p>
    <w:p w14:paraId="0C1912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 xml:space="preserve">上述违反了《中华人民共和国预算法》及其实施条例 - </w:t>
      </w:r>
      <w:r>
        <w:rPr>
          <w:rFonts w:hint="eastAsia" w:ascii="仿宋" w:hAnsi="仿宋" w:eastAsia="仿宋" w:cs="仿宋"/>
          <w:b/>
          <w:bCs/>
          <w:sz w:val="32"/>
          <w:szCs w:val="32"/>
          <w:highlight w:val="none"/>
          <w:lang w:val="en-US" w:eastAsia="zh-CN"/>
        </w:rPr>
        <w:t>全口径预算与支出管理</w:t>
      </w:r>
      <w:r>
        <w:rPr>
          <w:rFonts w:hint="eastAsia" w:ascii="仿宋" w:hAnsi="仿宋" w:eastAsia="仿宋" w:cs="仿宋"/>
          <w:b w:val="0"/>
          <w:bCs w:val="0"/>
          <w:sz w:val="32"/>
          <w:szCs w:val="32"/>
          <w:highlight w:val="none"/>
          <w:lang w:val="en-US" w:eastAsia="zh-CN"/>
        </w:rPr>
        <w:t>。核心要求：政府的全部收入和支出都应当纳入预算。所有工资性支出作为单位预算的重要组成部分，必须接受严格的预算管理和控制。将工资拆分发放，尤其是使用单位“小金库”、未纳入预算的收支或其他非财政渠道的资金，规避了预算的统筹管理和监督，使得部分人员支出脱离了人大和财政的监管视野，属于典型的“预算管理碎片化”。</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 xml:space="preserve">上述违反了《政府会计制度》 - </w:t>
      </w:r>
      <w:r>
        <w:rPr>
          <w:rFonts w:hint="eastAsia" w:ascii="仿宋" w:hAnsi="仿宋" w:eastAsia="仿宋" w:cs="仿宋"/>
          <w:b/>
          <w:bCs/>
          <w:sz w:val="32"/>
          <w:szCs w:val="32"/>
          <w:highlight w:val="none"/>
          <w:lang w:val="en-US" w:eastAsia="zh-CN"/>
        </w:rPr>
        <w:t>核算的完整性与准确性。</w:t>
      </w:r>
      <w:r>
        <w:rPr>
          <w:rFonts w:hint="eastAsia" w:ascii="仿宋" w:hAnsi="仿宋" w:eastAsia="仿宋" w:cs="仿宋"/>
          <w:b w:val="0"/>
          <w:bCs w:val="0"/>
          <w:sz w:val="32"/>
          <w:szCs w:val="32"/>
          <w:highlight w:val="none"/>
          <w:lang w:val="en-US" w:eastAsia="zh-CN"/>
        </w:rPr>
        <w:t>核心要求：会计核算应当以实际发生的经济业务为依据，</w:t>
      </w:r>
      <w:r>
        <w:rPr>
          <w:rFonts w:hint="eastAsia" w:ascii="仿宋" w:hAnsi="仿宋" w:eastAsia="仿宋" w:cs="仿宋"/>
          <w:b/>
          <w:bCs/>
          <w:sz w:val="32"/>
          <w:szCs w:val="32"/>
          <w:highlight w:val="none"/>
          <w:lang w:val="en-US" w:eastAsia="zh-CN"/>
        </w:rPr>
        <w:t>真实、完整</w:t>
      </w:r>
      <w:r>
        <w:rPr>
          <w:rFonts w:hint="eastAsia" w:ascii="仿宋" w:hAnsi="仿宋" w:eastAsia="仿宋" w:cs="仿宋"/>
          <w:b w:val="0"/>
          <w:bCs w:val="0"/>
          <w:sz w:val="32"/>
          <w:szCs w:val="32"/>
          <w:highlight w:val="none"/>
          <w:lang w:val="en-US" w:eastAsia="zh-CN"/>
        </w:rPr>
        <w:t>地反映单位的财务状况和运行情况。人为将同一笔经济业务（支付职工薪酬）拆分，导致单位的“人员支出”总额在账面上无法真实、完整地体现。这扭曲了成本信息，影响了会计信息的质量，使得报表使用者无法准确了解单位真实的人工成本。</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 xml:space="preserve">上述违反了《行政事业单位内部控制规范（试行）》 - </w:t>
      </w:r>
      <w:r>
        <w:rPr>
          <w:rFonts w:hint="eastAsia" w:ascii="仿宋" w:hAnsi="仿宋" w:eastAsia="仿宋" w:cs="仿宋"/>
          <w:b/>
          <w:bCs/>
          <w:sz w:val="32"/>
          <w:szCs w:val="32"/>
          <w:highlight w:val="none"/>
          <w:lang w:val="en-US" w:eastAsia="zh-CN"/>
        </w:rPr>
        <w:t>业务归口管理与控制。</w:t>
      </w:r>
      <w:r>
        <w:rPr>
          <w:rFonts w:hint="eastAsia" w:ascii="仿宋" w:hAnsi="仿宋" w:eastAsia="仿宋" w:cs="仿宋"/>
          <w:b w:val="0"/>
          <w:bCs w:val="0"/>
          <w:sz w:val="32"/>
          <w:szCs w:val="32"/>
          <w:highlight w:val="none"/>
          <w:lang w:val="en-US" w:eastAsia="zh-CN"/>
        </w:rPr>
        <w:t>核心要求：单位应当建立健全内部控制体系，对经济活动实行归口管理。工资薪金发放作为一个完整的经济活动，应由人事部门和财务部门统一审核、统一支付。“四张表、两家发”的模式破坏了业务的完整性和归口管理原则。导致审核控制弱化，人事部门可能无法全面掌握职工的总收入，无法进行有效的总量控制和合规性审核。支付控制分散，财务部门无法对人员经费进行统一的支付控制和账务处理，内控环节出现断点。</w:t>
      </w:r>
    </w:p>
    <w:p w14:paraId="1EA520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建议：推动整合与规范化，利用信息化手段，明确责任分工，强化内部控制，实现工资性收入的“一个标准、归口管理、统一核算、统一发放”</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一是确定终极目标，推动“工资一体化发放”。</w:t>
      </w:r>
      <w:r>
        <w:rPr>
          <w:rFonts w:hint="eastAsia" w:ascii="仿宋" w:hAnsi="仿宋" w:eastAsia="仿宋" w:cs="仿宋"/>
          <w:b w:val="0"/>
          <w:bCs w:val="0"/>
          <w:sz w:val="32"/>
          <w:szCs w:val="32"/>
          <w:highlight w:val="none"/>
          <w:lang w:val="en-US" w:eastAsia="zh-CN"/>
        </w:rPr>
        <w:t>积极与上级财政部门沟通，争取将所有合规的津补贴、绩效工资等项目全部纳入财政统发系统。由单位提供完整、准确的发放数据和依据，由财政局通过一个渠道统一发放。这是最彻底、最规范的解决方案，能从根本上解决上述所有问题。</w:t>
      </w:r>
      <w:r>
        <w:rPr>
          <w:rFonts w:hint="eastAsia" w:ascii="仿宋" w:hAnsi="仿宋" w:eastAsia="仿宋" w:cs="仿宋"/>
          <w:b/>
          <w:bCs/>
          <w:sz w:val="32"/>
          <w:szCs w:val="32"/>
          <w:highlight w:val="none"/>
          <w:lang w:val="en-US" w:eastAsia="zh-CN"/>
        </w:rPr>
        <w:t>二是优化流程与加强管理，实施现阶段过渡方案。</w:t>
      </w:r>
      <w:r>
        <w:rPr>
          <w:rFonts w:hint="eastAsia" w:ascii="仿宋" w:hAnsi="仿宋" w:eastAsia="仿宋" w:cs="仿宋"/>
          <w:b w:val="0"/>
          <w:bCs w:val="0"/>
          <w:sz w:val="32"/>
          <w:szCs w:val="32"/>
          <w:highlight w:val="none"/>
          <w:lang w:val="en-US" w:eastAsia="zh-CN"/>
        </w:rPr>
        <w:t>如果短期内无法实现全部财政统发，应采取以下措施进行优化：</w:t>
      </w:r>
      <w:r>
        <w:rPr>
          <w:rFonts w:hint="eastAsia" w:ascii="仿宋" w:hAnsi="仿宋" w:eastAsia="仿宋" w:cs="仿宋"/>
          <w:b/>
          <w:bCs/>
          <w:sz w:val="32"/>
          <w:szCs w:val="32"/>
          <w:highlight w:val="none"/>
          <w:lang w:val="en-US" w:eastAsia="zh-CN"/>
        </w:rPr>
        <w:t>①流程优化。</w:t>
      </w:r>
      <w:r>
        <w:rPr>
          <w:rFonts w:hint="eastAsia" w:ascii="仿宋" w:hAnsi="仿宋" w:eastAsia="仿宋" w:cs="仿宋"/>
          <w:b w:val="0"/>
          <w:bCs w:val="0"/>
          <w:sz w:val="32"/>
          <w:szCs w:val="32"/>
          <w:highlight w:val="none"/>
          <w:lang w:val="en-US" w:eastAsia="zh-CN"/>
        </w:rPr>
        <w:t>明确发放项目和标准，制定内部的《薪酬发放管理办法》，以书面形式明确财政统发哪些、单位发哪些，每个项目的计算标准、发放时间、责任部门，并向全体员工公示，减少误解。</w:t>
      </w:r>
      <w:r>
        <w:rPr>
          <w:rFonts w:hint="eastAsia" w:ascii="仿宋" w:hAnsi="仿宋" w:eastAsia="仿宋" w:cs="仿宋"/>
          <w:b/>
          <w:bCs/>
          <w:sz w:val="32"/>
          <w:szCs w:val="32"/>
          <w:highlight w:val="none"/>
          <w:lang w:val="en-US" w:eastAsia="zh-CN"/>
        </w:rPr>
        <w:t>②建立数据同步机制。</w:t>
      </w:r>
      <w:r>
        <w:rPr>
          <w:rFonts w:hint="eastAsia" w:ascii="仿宋" w:hAnsi="仿宋" w:eastAsia="仿宋" w:cs="仿宋"/>
          <w:b w:val="0"/>
          <w:bCs w:val="0"/>
          <w:sz w:val="32"/>
          <w:szCs w:val="32"/>
          <w:highlight w:val="none"/>
          <w:lang w:val="en-US" w:eastAsia="zh-CN"/>
        </w:rPr>
        <w:t>建立“人事-财务-办公室”联动机制。任何人员信息、薪资标准的变动，由人力资源岗统一发起，同时通知财政局对接人和单位办公室发放负责人，确保两边数据源一致</w:t>
      </w:r>
      <w:r>
        <w:rPr>
          <w:rFonts w:hint="eastAsia" w:ascii="仿宋" w:hAnsi="仿宋" w:eastAsia="仿宋" w:cs="仿宋"/>
          <w:b/>
          <w:bCs/>
          <w:sz w:val="32"/>
          <w:szCs w:val="32"/>
          <w:highlight w:val="none"/>
          <w:lang w:val="en-US" w:eastAsia="zh-CN"/>
        </w:rPr>
        <w:t>。③合并发放时间。</w:t>
      </w:r>
      <w:r>
        <w:rPr>
          <w:rFonts w:hint="eastAsia" w:ascii="仿宋" w:hAnsi="仿宋" w:eastAsia="仿宋" w:cs="仿宋"/>
          <w:b w:val="0"/>
          <w:bCs w:val="0"/>
          <w:sz w:val="32"/>
          <w:szCs w:val="32"/>
          <w:highlight w:val="none"/>
          <w:lang w:val="en-US" w:eastAsia="zh-CN"/>
        </w:rPr>
        <w:t>尽量将单位发放的补贴与财政统发工资的到账时间安排在相近的日期，减轻员工的核算困惑。</w:t>
      </w:r>
      <w:r>
        <w:rPr>
          <w:rFonts w:hint="eastAsia" w:ascii="仿宋" w:hAnsi="仿宋" w:eastAsia="仿宋" w:cs="仿宋"/>
          <w:b/>
          <w:bCs/>
          <w:sz w:val="32"/>
          <w:szCs w:val="32"/>
          <w:highlight w:val="none"/>
          <w:lang w:val="en-US" w:eastAsia="zh-CN"/>
        </w:rPr>
        <w:t>④技术赋能。</w:t>
      </w:r>
      <w:r>
        <w:rPr>
          <w:rFonts w:hint="eastAsia" w:ascii="仿宋" w:hAnsi="仿宋" w:eastAsia="仿宋" w:cs="仿宋"/>
          <w:b w:val="0"/>
          <w:bCs w:val="0"/>
          <w:sz w:val="32"/>
          <w:szCs w:val="32"/>
          <w:highlight w:val="none"/>
          <w:lang w:val="en-US" w:eastAsia="zh-CN"/>
        </w:rPr>
        <w:t>引入或优化薪资管理系统，即使发放渠道不同，也应使用一套统一的软件或Excel模板进行所有工资项目的计算和汇总。系统应能自动生成财政统发表和单位发放表，并能合并生成一张完整的、给员工看的综合工资条（详细列出所有收入项目和扣除项目）。</w:t>
      </w:r>
      <w:r>
        <w:rPr>
          <w:rFonts w:hint="eastAsia" w:ascii="仿宋" w:hAnsi="仿宋" w:eastAsia="仿宋" w:cs="仿宋"/>
          <w:b/>
          <w:bCs/>
          <w:sz w:val="32"/>
          <w:szCs w:val="32"/>
          <w:highlight w:val="none"/>
          <w:lang w:val="en-US" w:eastAsia="zh-CN"/>
        </w:rPr>
        <w:t>⑤推广电子工资条。</w:t>
      </w:r>
      <w:r>
        <w:rPr>
          <w:rFonts w:hint="eastAsia" w:ascii="仿宋" w:hAnsi="仿宋" w:eastAsia="仿宋" w:cs="仿宋"/>
          <w:b w:val="0"/>
          <w:bCs w:val="0"/>
          <w:sz w:val="32"/>
          <w:szCs w:val="32"/>
          <w:highlight w:val="none"/>
          <w:lang w:val="en-US" w:eastAsia="zh-CN"/>
        </w:rPr>
        <w:t>通过短信、邮件或内部OA系统推送完整的电子工资条，方便员工查询、保存和核对。</w:t>
      </w:r>
    </w:p>
    <w:p w14:paraId="0343AA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⑥强化审核与监督。</w:t>
      </w:r>
      <w:r>
        <w:rPr>
          <w:rFonts w:hint="eastAsia" w:ascii="仿宋" w:hAnsi="仿宋" w:eastAsia="仿宋" w:cs="仿宋"/>
          <w:b w:val="0"/>
          <w:bCs w:val="0"/>
          <w:sz w:val="32"/>
          <w:szCs w:val="32"/>
          <w:highlight w:val="none"/>
          <w:lang w:val="en-US" w:eastAsia="zh-CN"/>
        </w:rPr>
        <w:t>单位办公室制作补贴发放表时，必须经过制表人、审核人（财务负责人）、审批人（单位分管领导）三级审核签字确认，确保数据准确、合规。</w:t>
      </w:r>
      <w:r>
        <w:rPr>
          <w:rFonts w:hint="eastAsia" w:ascii="仿宋" w:hAnsi="仿宋" w:eastAsia="仿宋" w:cs="仿宋"/>
          <w:b/>
          <w:bCs/>
          <w:sz w:val="32"/>
          <w:szCs w:val="32"/>
          <w:highlight w:val="none"/>
          <w:lang w:val="en-US" w:eastAsia="zh-CN"/>
        </w:rPr>
        <w:t>⑦定期对账与审计。</w:t>
      </w:r>
      <w:r>
        <w:rPr>
          <w:rFonts w:hint="eastAsia" w:ascii="仿宋" w:hAnsi="仿宋" w:eastAsia="仿宋" w:cs="仿宋"/>
          <w:b w:val="0"/>
          <w:bCs w:val="0"/>
          <w:sz w:val="32"/>
          <w:szCs w:val="32"/>
          <w:highlight w:val="none"/>
          <w:lang w:val="en-US" w:eastAsia="zh-CN"/>
        </w:rPr>
        <w:t>财务部门每月、每季度都要对财政发放和单位发放的记录进行核对，确保账实相符。定期邀请内审或上级审计部门进行抽查，提前发现问题。</w:t>
      </w:r>
      <w:r>
        <w:rPr>
          <w:rFonts w:hint="eastAsia" w:ascii="仿宋" w:hAnsi="仿宋" w:eastAsia="仿宋" w:cs="仿宋"/>
          <w:b/>
          <w:bCs/>
          <w:sz w:val="32"/>
          <w:szCs w:val="32"/>
          <w:highlight w:val="none"/>
          <w:lang w:val="en-US" w:eastAsia="zh-CN"/>
        </w:rPr>
        <w:t>⑧专款专用与账户管理。</w:t>
      </w:r>
      <w:r>
        <w:rPr>
          <w:rFonts w:hint="eastAsia" w:ascii="仿宋" w:hAnsi="仿宋" w:eastAsia="仿宋" w:cs="仿宋"/>
          <w:b w:val="0"/>
          <w:bCs w:val="0"/>
          <w:sz w:val="32"/>
          <w:szCs w:val="32"/>
          <w:highlight w:val="none"/>
          <w:lang w:val="en-US" w:eastAsia="zh-CN"/>
        </w:rPr>
        <w:t>对用于发放补贴的账户进行严格管理，收支清晰，杜绝与其他经费混用。</w:t>
      </w:r>
      <w:r>
        <w:rPr>
          <w:rFonts w:hint="eastAsia" w:ascii="仿宋" w:hAnsi="仿宋" w:eastAsia="仿宋" w:cs="仿宋"/>
          <w:b/>
          <w:bCs/>
          <w:sz w:val="32"/>
          <w:szCs w:val="32"/>
          <w:highlight w:val="none"/>
          <w:lang w:val="en-US" w:eastAsia="zh-CN"/>
        </w:rPr>
        <w:t>三是加强沟通与培训。对员工，</w:t>
      </w:r>
      <w:r>
        <w:rPr>
          <w:rFonts w:hint="eastAsia" w:ascii="仿宋" w:hAnsi="仿宋" w:eastAsia="仿宋" w:cs="仿宋"/>
          <w:b w:val="0"/>
          <w:bCs w:val="0"/>
          <w:sz w:val="32"/>
          <w:szCs w:val="32"/>
          <w:highlight w:val="none"/>
          <w:lang w:val="en-US" w:eastAsia="zh-CN"/>
        </w:rPr>
        <w:t>定期召开说明会或印发通知，解释工资构成和发放方式，公布咨询渠道，减少因信息不对称带来的误会。</w:t>
      </w:r>
      <w:r>
        <w:rPr>
          <w:rFonts w:hint="eastAsia" w:ascii="仿宋" w:hAnsi="仿宋" w:eastAsia="仿宋" w:cs="仿宋"/>
          <w:b/>
          <w:bCs/>
          <w:sz w:val="32"/>
          <w:szCs w:val="32"/>
          <w:highlight w:val="none"/>
          <w:lang w:val="en-US" w:eastAsia="zh-CN"/>
        </w:rPr>
        <w:t>对相关经办人员，</w:t>
      </w:r>
      <w:r>
        <w:rPr>
          <w:rFonts w:hint="eastAsia" w:ascii="仿宋" w:hAnsi="仿宋" w:eastAsia="仿宋" w:cs="仿宋"/>
          <w:b w:val="0"/>
          <w:bCs w:val="0"/>
          <w:sz w:val="32"/>
          <w:szCs w:val="32"/>
          <w:highlight w:val="none"/>
          <w:lang w:val="en-US" w:eastAsia="zh-CN"/>
        </w:rPr>
        <w:t>组织办公室、财务室人员进行业务培训，确保他们熟悉政策、精通流程、熟练操作软件，减少人为差错。</w:t>
      </w:r>
    </w:p>
    <w:p w14:paraId="5A52DD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6.花名册列示个人联系电话，未列示制发责任主体，未反映本年度本部门在编人员的增减变动情况。</w:t>
      </w:r>
    </w:p>
    <w:p w14:paraId="482E7A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个人信息保护法》第五条、第六条规定。处理个人信息应当遵循合法、正当、必要和诚信原则，采取对个人权益影响最小的方式，实现处理目的。在内部花名册中公开全体人员的手机号码，超出了实现人事管理目的的必要性原则。上述违反了第五十一条规定。个人信息处理者采取必要的措施确保个人信息安全。将敏感个人信息以明文形式列于表格中，且可能在部门内较广流传，存在安全隐患。</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干部人事档案工作条例》及相关配套规定。机关单位内部控制和文档管理规范，任何重要的内部管理文档，尤其是涉及人员核心信息的，都必须有明确的制发责任主体，以确保信息的权威性和在发生争议时可追溯。</w:t>
      </w:r>
    </w:p>
    <w:p w14:paraId="53A18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建议：一是处理敏感信息，严守安全底线。</w:t>
      </w:r>
      <w:r>
        <w:rPr>
          <w:rFonts w:hint="eastAsia" w:ascii="仿宋" w:hAnsi="仿宋" w:eastAsia="仿宋" w:cs="仿宋"/>
          <w:b w:val="0"/>
          <w:bCs w:val="0"/>
          <w:sz w:val="32"/>
          <w:szCs w:val="32"/>
          <w:highlight w:val="none"/>
          <w:lang w:val="en-US" w:eastAsia="zh-CN"/>
        </w:rPr>
        <w:t>从花名册中彻底删除“联系电话”一栏。员工的个人手机号码属于受法律保护的敏感信息，在通用花名册中公开存储和传阅存在严重泄露风险。</w:t>
      </w:r>
      <w:r>
        <w:rPr>
          <w:rFonts w:hint="eastAsia" w:ascii="仿宋" w:hAnsi="仿宋" w:eastAsia="仿宋" w:cs="仿宋"/>
          <w:b/>
          <w:bCs/>
          <w:sz w:val="32"/>
          <w:szCs w:val="32"/>
          <w:highlight w:val="none"/>
          <w:lang w:val="en-US" w:eastAsia="zh-CN"/>
        </w:rPr>
        <w:t>替代方案，</w:t>
      </w:r>
      <w:r>
        <w:rPr>
          <w:rFonts w:hint="eastAsia" w:ascii="仿宋" w:hAnsi="仿宋" w:eastAsia="仿宋" w:cs="仿宋"/>
          <w:b w:val="0"/>
          <w:bCs w:val="0"/>
          <w:sz w:val="32"/>
          <w:szCs w:val="32"/>
          <w:highlight w:val="none"/>
          <w:lang w:val="en-US" w:eastAsia="zh-CN"/>
        </w:rPr>
        <w:t>内部通讯需求应通过权限受控的独立通讯录（建议仅保留办公室座机）来满足，并与花名册分开管理。</w:t>
      </w:r>
      <w:r>
        <w:rPr>
          <w:rFonts w:hint="eastAsia" w:ascii="仿宋" w:hAnsi="仿宋" w:eastAsia="仿宋" w:cs="仿宋"/>
          <w:b/>
          <w:bCs/>
          <w:sz w:val="32"/>
          <w:szCs w:val="32"/>
          <w:highlight w:val="none"/>
          <w:lang w:val="en-US" w:eastAsia="zh-CN"/>
        </w:rPr>
        <w:t>二是补全管理责任要素，明确权威来源。</w:t>
      </w:r>
      <w:r>
        <w:rPr>
          <w:rFonts w:hint="eastAsia" w:ascii="仿宋" w:hAnsi="仿宋" w:eastAsia="仿宋" w:cs="仿宋"/>
          <w:b w:val="0"/>
          <w:bCs w:val="0"/>
          <w:sz w:val="32"/>
          <w:szCs w:val="32"/>
          <w:highlight w:val="none"/>
          <w:lang w:val="en-US" w:eastAsia="zh-CN"/>
        </w:rPr>
        <w:t>在表格末尾或页眉处添加，制表部门（如：办公室）、制表人、审核人、批准领导，并预留盖章位置。最终定稿的版本应由审核人签字并加盖单位公章后，方可作为正式文件存档或在一定权限范围内使用。</w:t>
      </w:r>
      <w:r>
        <w:rPr>
          <w:rFonts w:hint="eastAsia" w:ascii="仿宋" w:hAnsi="仿宋" w:eastAsia="仿宋" w:cs="仿宋"/>
          <w:b/>
          <w:bCs/>
          <w:sz w:val="32"/>
          <w:szCs w:val="32"/>
          <w:highlight w:val="none"/>
          <w:lang w:val="en-US" w:eastAsia="zh-CN"/>
        </w:rPr>
        <w:t>三是建立花名册动态更新机制，确保信息实时准确。明确更新触发条件。</w:t>
      </w:r>
      <w:r>
        <w:rPr>
          <w:rFonts w:hint="eastAsia" w:ascii="仿宋" w:hAnsi="仿宋" w:eastAsia="仿宋" w:cs="仿宋"/>
          <w:b w:val="0"/>
          <w:bCs w:val="0"/>
          <w:sz w:val="32"/>
          <w:szCs w:val="32"/>
          <w:highlight w:val="none"/>
          <w:lang w:val="en-US" w:eastAsia="zh-CN"/>
        </w:rPr>
        <w:t>规定在发生新员工入职、人员调离/退休、职务/职级变动、学历/学位取得、政治面貌变化、联系方式变更等情况时，必须启动花名册更新流程。</w:t>
      </w:r>
      <w:r>
        <w:rPr>
          <w:rFonts w:hint="eastAsia" w:ascii="仿宋" w:hAnsi="仿宋" w:eastAsia="仿宋" w:cs="仿宋"/>
          <w:b/>
          <w:bCs/>
          <w:sz w:val="32"/>
          <w:szCs w:val="32"/>
          <w:highlight w:val="none"/>
          <w:lang w:val="en-US" w:eastAsia="zh-CN"/>
        </w:rPr>
        <w:t>明确责任人与时限。</w:t>
      </w:r>
      <w:r>
        <w:rPr>
          <w:rFonts w:hint="eastAsia" w:ascii="仿宋" w:hAnsi="仿宋" w:eastAsia="仿宋" w:cs="仿宋"/>
          <w:b w:val="0"/>
          <w:bCs w:val="0"/>
          <w:sz w:val="32"/>
          <w:szCs w:val="32"/>
          <w:highlight w:val="none"/>
          <w:lang w:val="en-US" w:eastAsia="zh-CN"/>
        </w:rPr>
        <w:t>指定专人（如组织人事干部或办公室文秘）负责花名册的维护，并规定相关信息变动发生后，必须在多少个工作日内完成花名册的更新。</w:t>
      </w:r>
      <w:r>
        <w:rPr>
          <w:rFonts w:hint="eastAsia" w:ascii="仿宋" w:hAnsi="仿宋" w:eastAsia="仿宋" w:cs="仿宋"/>
          <w:b/>
          <w:bCs/>
          <w:sz w:val="32"/>
          <w:szCs w:val="32"/>
          <w:highlight w:val="none"/>
          <w:lang w:val="en-US" w:eastAsia="zh-CN"/>
        </w:rPr>
        <w:t>建立联动核查机制。</w:t>
      </w:r>
      <w:r>
        <w:rPr>
          <w:rFonts w:hint="eastAsia" w:ascii="仿宋" w:hAnsi="仿宋" w:eastAsia="仿宋" w:cs="仿宋"/>
          <w:b w:val="0"/>
          <w:bCs w:val="0"/>
          <w:sz w:val="32"/>
          <w:szCs w:val="32"/>
          <w:highlight w:val="none"/>
          <w:lang w:val="en-US" w:eastAsia="zh-CN"/>
        </w:rPr>
        <w:t>将花名册的定期审核（如每季度或每半年）与干部人事档案核查、年度考核等工作相结合，形成制度性安排，确保花名册信息与档案记录、实际情况“三统一”。</w:t>
      </w:r>
      <w:r>
        <w:rPr>
          <w:rFonts w:hint="eastAsia" w:ascii="仿宋" w:hAnsi="仿宋" w:eastAsia="仿宋" w:cs="仿宋"/>
          <w:b/>
          <w:bCs/>
          <w:sz w:val="32"/>
          <w:szCs w:val="32"/>
          <w:highlight w:val="none"/>
          <w:lang w:val="en-US" w:eastAsia="zh-CN"/>
        </w:rPr>
        <w:t>版本管理。</w:t>
      </w:r>
      <w:r>
        <w:rPr>
          <w:rFonts w:hint="eastAsia" w:ascii="仿宋" w:hAnsi="仿宋" w:eastAsia="仿宋" w:cs="仿宋"/>
          <w:b w:val="0"/>
          <w:bCs w:val="0"/>
          <w:sz w:val="32"/>
          <w:szCs w:val="32"/>
          <w:highlight w:val="none"/>
          <w:lang w:val="en-US" w:eastAsia="zh-CN"/>
        </w:rPr>
        <w:t>对每次重大更新后形成的花名册进行版本标注和存档，明确其统计截止日期，避免新旧版本混淆。整改的核心在于从</w:t>
      </w:r>
      <w:r>
        <w:rPr>
          <w:rFonts w:hint="eastAsia" w:ascii="仿宋" w:hAnsi="仿宋" w:eastAsia="仿宋" w:cs="仿宋"/>
          <w:b/>
          <w:bCs/>
          <w:sz w:val="32"/>
          <w:szCs w:val="32"/>
          <w:highlight w:val="none"/>
          <w:lang w:val="en-US" w:eastAsia="zh-CN"/>
        </w:rPr>
        <w:t>“形式合规”</w:t>
      </w:r>
      <w:r>
        <w:rPr>
          <w:rFonts w:hint="eastAsia" w:ascii="仿宋" w:hAnsi="仿宋" w:eastAsia="仿宋" w:cs="仿宋"/>
          <w:b w:val="0"/>
          <w:bCs w:val="0"/>
          <w:sz w:val="32"/>
          <w:szCs w:val="32"/>
          <w:highlight w:val="none"/>
          <w:lang w:val="en-US" w:eastAsia="zh-CN"/>
        </w:rPr>
        <w:t>迈向</w:t>
      </w:r>
      <w:r>
        <w:rPr>
          <w:rFonts w:hint="eastAsia" w:ascii="仿宋" w:hAnsi="仿宋" w:eastAsia="仿宋" w:cs="仿宋"/>
          <w:b/>
          <w:bCs/>
          <w:sz w:val="32"/>
          <w:szCs w:val="32"/>
          <w:highlight w:val="none"/>
          <w:lang w:val="en-US" w:eastAsia="zh-CN"/>
        </w:rPr>
        <w:t>“实质合规”</w:t>
      </w:r>
      <w:r>
        <w:rPr>
          <w:rFonts w:hint="eastAsia" w:ascii="仿宋" w:hAnsi="仿宋" w:eastAsia="仿宋" w:cs="仿宋"/>
          <w:b w:val="0"/>
          <w:bCs w:val="0"/>
          <w:sz w:val="32"/>
          <w:szCs w:val="32"/>
          <w:highlight w:val="none"/>
          <w:lang w:val="en-US" w:eastAsia="zh-CN"/>
        </w:rPr>
        <w:t>和</w:t>
      </w:r>
      <w:r>
        <w:rPr>
          <w:rFonts w:hint="eastAsia" w:ascii="仿宋" w:hAnsi="仿宋" w:eastAsia="仿宋" w:cs="仿宋"/>
          <w:b/>
          <w:bCs/>
          <w:sz w:val="32"/>
          <w:szCs w:val="32"/>
          <w:highlight w:val="none"/>
          <w:lang w:val="en-US" w:eastAsia="zh-CN"/>
        </w:rPr>
        <w:t>“动态合规”</w:t>
      </w:r>
      <w:r>
        <w:rPr>
          <w:rFonts w:hint="eastAsia" w:ascii="仿宋" w:hAnsi="仿宋" w:eastAsia="仿宋" w:cs="仿宋"/>
          <w:b w:val="0"/>
          <w:bCs w:val="0"/>
          <w:sz w:val="32"/>
          <w:szCs w:val="32"/>
          <w:highlight w:val="none"/>
          <w:lang w:val="en-US" w:eastAsia="zh-CN"/>
        </w:rPr>
        <w:t>。通过删除敏感信息来规避法律风险，通过规范填写来提升数据质量，通过明确责任来加强内部控制，最后通过建立动态更新机制来确保这份基础管理工具能够持续、真实、有效地反映组织人事状况，为各项管理工作提供可靠依据。</w:t>
      </w:r>
    </w:p>
    <w:p w14:paraId="39EE2A53">
      <w:pPr>
        <w:pStyle w:val="7"/>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1"/>
        <w:rPr>
          <w:rFonts w:hint="default"/>
          <w:lang w:val="en-US" w:eastAsia="zh-CN"/>
        </w:rPr>
      </w:pPr>
      <w:bookmarkStart w:id="56" w:name="_Toc7534"/>
      <w:r>
        <w:rPr>
          <w:rFonts w:hint="eastAsia" w:ascii="楷体" w:hAnsi="楷体" w:eastAsia="楷体" w:cs="楷体"/>
          <w:b/>
          <w:bCs/>
          <w:sz w:val="32"/>
          <w:szCs w:val="32"/>
          <w:lang w:val="en-US" w:eastAsia="zh-CN"/>
        </w:rPr>
        <w:t>（四）项目管理方面存在的问题及建议</w:t>
      </w:r>
      <w:bookmarkEnd w:id="56"/>
    </w:p>
    <w:p w14:paraId="59070AB2">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1.人大代表活动经费、联络站工作经费及民主工作经费的凭证后附通知、国库支付单、与街道（或单位）往来收据，未提供经费使用情况及效果。</w:t>
      </w:r>
    </w:p>
    <w:p w14:paraId="46F2278A">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sz w:val="32"/>
          <w:szCs w:val="32"/>
          <w:lang w:val="en-US" w:eastAsia="zh-CN"/>
        </w:rPr>
        <w:t>上述违反了《中华人民共和国预算法》及其实施条例第五十七条明确规定：“各级政府、各部门、各单位应当对预算支出情况开展绩效评价。”通知、支付单、收据只反映了“预算执行”，但没有进行“绩效评价”。没有使用情况和效果，无法开展任何实质性的绩效评价。</w:t>
      </w:r>
      <w:r>
        <w:rPr>
          <w:rFonts w:hint="eastAsia" w:ascii="仿宋" w:hAnsi="仿宋" w:eastAsia="仿宋" w:cs="仿宋"/>
          <w:b/>
          <w:bCs/>
          <w:sz w:val="32"/>
          <w:szCs w:val="32"/>
          <w:lang w:val="en-US" w:eastAsia="zh-CN"/>
        </w:rPr>
        <w:t>相关政策2：</w:t>
      </w:r>
      <w:r>
        <w:rPr>
          <w:rFonts w:hint="eastAsia" w:ascii="仿宋" w:hAnsi="仿宋" w:eastAsia="仿宋" w:cs="仿宋"/>
          <w:sz w:val="32"/>
          <w:szCs w:val="32"/>
          <w:lang w:val="en-US" w:eastAsia="zh-CN"/>
        </w:rPr>
        <w:t>上述违反了《关于全面实施预算绩效管理的意见》（中发〔2018〕34号）。要求构建“全方位、全过程、全覆盖”的预算绩效管理体系。其中 “全过程” 指的就是要建立“事前评估、事中监控、事后评价”的闭环。缺失“事中监控”： 不知道经费在使用过程中是否符合规定（例如，是否用于了与人大代表履职相关的正当开支，有无挪用、滥用）。缺失“事后评价”：不知道这笔钱花出去后产生了什么效果（例如，代表活动是否顺利开展，代表履职能力是否提升，推动了哪些民生问题的解决）。</w:t>
      </w:r>
      <w:r>
        <w:rPr>
          <w:rFonts w:hint="eastAsia" w:ascii="仿宋" w:hAnsi="仿宋" w:eastAsia="仿宋" w:cs="仿宋"/>
          <w:b/>
          <w:bCs/>
          <w:sz w:val="32"/>
          <w:szCs w:val="32"/>
          <w:lang w:val="en-US" w:eastAsia="zh-CN"/>
        </w:rPr>
        <w:t>相关政策3：</w:t>
      </w:r>
      <w:r>
        <w:rPr>
          <w:rFonts w:hint="eastAsia" w:ascii="仿宋" w:hAnsi="仿宋" w:eastAsia="仿宋" w:cs="仿宋"/>
          <w:sz w:val="32"/>
          <w:szCs w:val="32"/>
          <w:lang w:val="en-US" w:eastAsia="zh-CN"/>
        </w:rPr>
        <w:t>上述违反了“专款专用”和“支出责任”原则。人大代表活动经费是专项经费，必须用于保障人大代表履职。仅凭往来收据，无法证明资金的最终用途符合规定。这在审计中会被视为内控缺失，存在资金被挤占、挪用的风险。</w:t>
      </w:r>
      <w:r>
        <w:rPr>
          <w:rFonts w:hint="eastAsia" w:ascii="仿宋" w:hAnsi="仿宋" w:eastAsia="仿宋" w:cs="仿宋"/>
          <w:b/>
          <w:bCs/>
          <w:sz w:val="32"/>
          <w:szCs w:val="32"/>
          <w:lang w:val="en-US" w:eastAsia="zh-CN"/>
        </w:rPr>
        <w:t>相关政策4：</w:t>
      </w:r>
      <w:r>
        <w:rPr>
          <w:rFonts w:hint="eastAsia" w:ascii="仿宋" w:hAnsi="仿宋" w:eastAsia="仿宋" w:cs="仿宋"/>
          <w:sz w:val="32"/>
          <w:szCs w:val="32"/>
          <w:lang w:val="en-US" w:eastAsia="zh-CN"/>
        </w:rPr>
        <w:t>上述违反了违背了资金使用的根本目的。拨付这笔钱的最终目的不是为了“把钱花掉”，而是为了“通过花钱让代表更好地履职，践行全过程人民民主”。不关注效果，本末倒置。</w:t>
      </w:r>
      <w:r>
        <w:rPr>
          <w:rFonts w:hint="eastAsia" w:ascii="仿宋" w:hAnsi="仿宋" w:eastAsia="仿宋" w:cs="仿宋"/>
          <w:b/>
          <w:bCs/>
          <w:sz w:val="32"/>
          <w:szCs w:val="32"/>
          <w:lang w:val="en-US" w:eastAsia="zh-CN"/>
        </w:rPr>
        <w:t>存在三类风险。一是审计风险。</w:t>
      </w:r>
      <w:r>
        <w:rPr>
          <w:rFonts w:hint="eastAsia" w:ascii="仿宋" w:hAnsi="仿宋" w:eastAsia="仿宋" w:cs="仿宋"/>
          <w:sz w:val="32"/>
          <w:szCs w:val="32"/>
          <w:lang w:val="en-US" w:eastAsia="zh-CN"/>
        </w:rPr>
        <w:t>在财政审计或专项资金审计中，这绝对是一个会被指出来的“管理不规范”问题，审计报告会要求整改。</w:t>
      </w:r>
      <w:r>
        <w:rPr>
          <w:rFonts w:hint="eastAsia" w:ascii="仿宋" w:hAnsi="仿宋" w:eastAsia="仿宋" w:cs="仿宋"/>
          <w:b/>
          <w:bCs/>
          <w:sz w:val="32"/>
          <w:szCs w:val="32"/>
          <w:lang w:val="en-US" w:eastAsia="zh-CN"/>
        </w:rPr>
        <w:t>二是形式主义风险。</w:t>
      </w:r>
      <w:r>
        <w:rPr>
          <w:rFonts w:hint="eastAsia" w:ascii="仿宋" w:hAnsi="仿宋" w:eastAsia="仿宋" w:cs="仿宋"/>
          <w:sz w:val="32"/>
          <w:szCs w:val="32"/>
          <w:lang w:val="en-US" w:eastAsia="zh-CN"/>
        </w:rPr>
        <w:t>容易导致“为活动而活动”，只要把钱花了，活动搞了（甚至没搞），就算完成任务，不管实际效果。</w:t>
      </w:r>
      <w:r>
        <w:rPr>
          <w:rFonts w:hint="eastAsia" w:ascii="仿宋" w:hAnsi="仿宋" w:eastAsia="仿宋" w:cs="仿宋"/>
          <w:b/>
          <w:bCs/>
          <w:sz w:val="32"/>
          <w:szCs w:val="32"/>
          <w:lang w:val="en-US" w:eastAsia="zh-CN"/>
        </w:rPr>
        <w:t>三是廉政风险。</w:t>
      </w:r>
      <w:r>
        <w:rPr>
          <w:rFonts w:hint="eastAsia" w:ascii="仿宋" w:hAnsi="仿宋" w:eastAsia="仿宋" w:cs="仿宋"/>
          <w:sz w:val="32"/>
          <w:szCs w:val="32"/>
          <w:lang w:val="en-US" w:eastAsia="zh-CN"/>
        </w:rPr>
        <w:t>缺乏对资金使用末端（具体是怎么花的）的监督，为违规使用资金留下了空间。</w:t>
      </w:r>
    </w:p>
    <w:p w14:paraId="37883191">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一是下发补充通知，限期报送材料</w:t>
      </w:r>
      <w:r>
        <w:rPr>
          <w:rFonts w:hint="eastAsia" w:ascii="仿宋" w:hAnsi="仿宋" w:eastAsia="仿宋" w:cs="仿宋"/>
          <w:sz w:val="32"/>
          <w:szCs w:val="32"/>
          <w:lang w:val="en-US" w:eastAsia="zh-CN"/>
        </w:rPr>
        <w:t>（针对本次已拨付的资金）。向各接收资金的街道等单位下发《关于补充报送人大代表活动经费使用情况及绩效成果的通知》。</w:t>
      </w:r>
      <w:r>
        <w:rPr>
          <w:rFonts w:hint="eastAsia" w:ascii="仿宋" w:hAnsi="仿宋" w:eastAsia="仿宋" w:cs="仿宋"/>
          <w:b/>
          <w:bCs/>
          <w:sz w:val="32"/>
          <w:szCs w:val="32"/>
          <w:lang w:val="en-US" w:eastAsia="zh-CN"/>
        </w:rPr>
        <w:t>明确要求提供以下佐证材料。经费使用明细与凭证。活动方案/计划。支出明细清单</w:t>
      </w:r>
      <w:r>
        <w:rPr>
          <w:rFonts w:hint="eastAsia" w:ascii="仿宋" w:hAnsi="仿宋" w:eastAsia="仿宋" w:cs="仿宋"/>
          <w:sz w:val="32"/>
          <w:szCs w:val="32"/>
          <w:lang w:val="en-US" w:eastAsia="zh-CN"/>
        </w:rPr>
        <w:t>（详细列明每笔钱用于何处，如场地费、交通费、资料印刷费、专家劳务费等）。</w:t>
      </w:r>
      <w:r>
        <w:rPr>
          <w:rFonts w:hint="eastAsia" w:ascii="仿宋" w:hAnsi="仿宋" w:eastAsia="仿宋" w:cs="仿宋"/>
          <w:b/>
          <w:bCs/>
          <w:sz w:val="32"/>
          <w:szCs w:val="32"/>
          <w:lang w:val="en-US" w:eastAsia="zh-CN"/>
        </w:rPr>
        <w:t>相关票据、合同、协议复印件</w:t>
      </w:r>
      <w:r>
        <w:rPr>
          <w:rFonts w:hint="eastAsia" w:ascii="仿宋" w:hAnsi="仿宋" w:eastAsia="仿宋" w:cs="仿宋"/>
          <w:sz w:val="32"/>
          <w:szCs w:val="32"/>
          <w:lang w:val="en-US" w:eastAsia="zh-CN"/>
        </w:rPr>
        <w:t>（如租车合同、场地租赁发票、印刷品清单等）。</w:t>
      </w:r>
      <w:r>
        <w:rPr>
          <w:rFonts w:hint="eastAsia" w:ascii="仿宋" w:hAnsi="仿宋" w:eastAsia="仿宋" w:cs="仿宋"/>
          <w:b/>
          <w:bCs/>
          <w:sz w:val="32"/>
          <w:szCs w:val="32"/>
          <w:lang w:val="en-US" w:eastAsia="zh-CN"/>
        </w:rPr>
        <w:t>活动签到表</w:t>
      </w:r>
      <w:r>
        <w:rPr>
          <w:rFonts w:hint="eastAsia" w:ascii="仿宋" w:hAnsi="仿宋" w:eastAsia="仿宋" w:cs="仿宋"/>
          <w:sz w:val="32"/>
          <w:szCs w:val="32"/>
          <w:lang w:val="en-US" w:eastAsia="zh-CN"/>
        </w:rPr>
        <w:t>（证明代表参与了）。</w:t>
      </w:r>
      <w:r>
        <w:rPr>
          <w:rFonts w:hint="eastAsia" w:ascii="仿宋" w:hAnsi="仿宋" w:eastAsia="仿宋" w:cs="仿宋"/>
          <w:b/>
          <w:bCs/>
          <w:sz w:val="32"/>
          <w:szCs w:val="32"/>
          <w:lang w:val="en-US" w:eastAsia="zh-CN"/>
        </w:rPr>
        <w:t>活动效果佐证材料：</w:t>
      </w:r>
      <w:r>
        <w:rPr>
          <w:rFonts w:hint="eastAsia" w:ascii="仿宋" w:hAnsi="仿宋" w:eastAsia="仿宋" w:cs="仿宋"/>
          <w:sz w:val="32"/>
          <w:szCs w:val="32"/>
          <w:lang w:val="en-US" w:eastAsia="zh-CN"/>
        </w:rPr>
        <w:t>活动总结报告（内容包括：活动主题、时间、地点、参与代表名单、活动过程、达成的效果、收集到的意见建议等）。</w:t>
      </w:r>
      <w:r>
        <w:rPr>
          <w:rFonts w:hint="eastAsia" w:ascii="仿宋" w:hAnsi="仿宋" w:eastAsia="仿宋" w:cs="仿宋"/>
          <w:b/>
          <w:bCs/>
          <w:sz w:val="32"/>
          <w:szCs w:val="32"/>
          <w:lang w:val="en-US" w:eastAsia="zh-CN"/>
        </w:rPr>
        <w:t>活动照片、新闻报道。成果转化证明</w:t>
      </w:r>
      <w:r>
        <w:rPr>
          <w:rFonts w:hint="eastAsia" w:ascii="仿宋" w:hAnsi="仿宋" w:eastAsia="仿宋" w:cs="仿宋"/>
          <w:sz w:val="32"/>
          <w:szCs w:val="32"/>
          <w:lang w:val="en-US" w:eastAsia="zh-CN"/>
        </w:rPr>
        <w:t>（例如：活动中代表提出的意见建议被整理成提案或社情民意信息，并得到相关部门回复或采纳的记录）。</w:t>
      </w:r>
      <w:r>
        <w:rPr>
          <w:rFonts w:hint="eastAsia" w:ascii="仿宋" w:hAnsi="仿宋" w:eastAsia="仿宋" w:cs="仿宋"/>
          <w:b/>
          <w:bCs/>
          <w:sz w:val="32"/>
          <w:szCs w:val="32"/>
          <w:lang w:val="en-US" w:eastAsia="zh-CN"/>
        </w:rPr>
        <w:t>二是长效机制建设建议（为未来规范管理）。修订管理办法。</w:t>
      </w:r>
      <w:r>
        <w:rPr>
          <w:rFonts w:hint="eastAsia" w:ascii="仿宋" w:hAnsi="仿宋" w:eastAsia="仿宋" w:cs="仿宋"/>
          <w:sz w:val="32"/>
          <w:szCs w:val="32"/>
          <w:lang w:val="en-US" w:eastAsia="zh-CN"/>
        </w:rPr>
        <w:t>建议区人大常委会办公室制定或修订《人大代表活动经费使用管理办法》。在办法中强制规定：</w:t>
      </w:r>
      <w:r>
        <w:rPr>
          <w:rFonts w:hint="eastAsia" w:ascii="仿宋" w:hAnsi="仿宋" w:eastAsia="仿宋" w:cs="仿宋"/>
          <w:b/>
          <w:bCs/>
          <w:sz w:val="32"/>
          <w:szCs w:val="32"/>
          <w:lang w:val="en-US" w:eastAsia="zh-CN"/>
        </w:rPr>
        <w:t>报销流程。</w:t>
      </w:r>
      <w:r>
        <w:rPr>
          <w:rFonts w:hint="eastAsia" w:ascii="仿宋" w:hAnsi="仿宋" w:eastAsia="仿宋" w:cs="仿宋"/>
          <w:sz w:val="32"/>
          <w:szCs w:val="32"/>
          <w:lang w:val="en-US" w:eastAsia="zh-CN"/>
        </w:rPr>
        <w:t>必须“先活动、后报销”，报销时需提供上述所有的活动方案、预算、总结、票据等全套材料。</w:t>
      </w:r>
      <w:r>
        <w:rPr>
          <w:rFonts w:hint="eastAsia" w:ascii="仿宋" w:hAnsi="仿宋" w:eastAsia="仿宋" w:cs="仿宋"/>
          <w:b/>
          <w:bCs/>
          <w:sz w:val="32"/>
          <w:szCs w:val="32"/>
          <w:lang w:val="en-US" w:eastAsia="zh-CN"/>
        </w:rPr>
        <w:t>绩效承诺。</w:t>
      </w:r>
      <w:r>
        <w:rPr>
          <w:rFonts w:hint="eastAsia" w:ascii="仿宋" w:hAnsi="仿宋" w:eastAsia="仿宋" w:cs="仿宋"/>
          <w:sz w:val="32"/>
          <w:szCs w:val="32"/>
          <w:lang w:val="en-US" w:eastAsia="zh-CN"/>
        </w:rPr>
        <w:t>在申请经费时可要求填报《绩效目标表》。</w:t>
      </w:r>
      <w:r>
        <w:rPr>
          <w:rFonts w:hint="eastAsia" w:ascii="仿宋" w:hAnsi="仿宋" w:eastAsia="仿宋" w:cs="仿宋"/>
          <w:b/>
          <w:bCs/>
          <w:sz w:val="32"/>
          <w:szCs w:val="32"/>
          <w:lang w:val="en-US" w:eastAsia="zh-CN"/>
        </w:rPr>
        <w:t>绩效评价。</w:t>
      </w:r>
      <w:r>
        <w:rPr>
          <w:rFonts w:hint="eastAsia" w:ascii="仿宋" w:hAnsi="仿宋" w:eastAsia="仿宋" w:cs="仿宋"/>
          <w:sz w:val="32"/>
          <w:szCs w:val="32"/>
          <w:lang w:val="en-US" w:eastAsia="zh-CN"/>
        </w:rPr>
        <w:t>年度终了，各单位需报送经费使用绩效自评报告。</w:t>
      </w:r>
      <w:r>
        <w:rPr>
          <w:rFonts w:hint="eastAsia" w:ascii="仿宋" w:hAnsi="仿宋" w:eastAsia="仿宋" w:cs="仿宋"/>
          <w:b/>
          <w:bCs/>
          <w:sz w:val="32"/>
          <w:szCs w:val="32"/>
          <w:lang w:val="en-US" w:eastAsia="zh-CN"/>
        </w:rPr>
        <w:t>实行“负面清单”管理。</w:t>
      </w:r>
      <w:r>
        <w:rPr>
          <w:rFonts w:hint="eastAsia" w:ascii="仿宋" w:hAnsi="仿宋" w:eastAsia="仿宋" w:cs="仿宋"/>
          <w:sz w:val="32"/>
          <w:szCs w:val="32"/>
          <w:lang w:val="en-US" w:eastAsia="zh-CN"/>
        </w:rPr>
        <w:t>明确列出经费不得用于的领域（如：发放福利、公款吃喝、购买与履职无关的物品等）。</w:t>
      </w:r>
      <w:r>
        <w:rPr>
          <w:rFonts w:hint="eastAsia" w:ascii="仿宋" w:hAnsi="仿宋" w:eastAsia="仿宋" w:cs="仿宋"/>
          <w:b/>
          <w:bCs/>
          <w:sz w:val="32"/>
          <w:szCs w:val="32"/>
          <w:lang w:val="en-US" w:eastAsia="zh-CN"/>
        </w:rPr>
        <w:t>强化结果运用。</w:t>
      </w:r>
      <w:r>
        <w:rPr>
          <w:rFonts w:hint="eastAsia" w:ascii="仿宋" w:hAnsi="仿宋" w:eastAsia="仿宋" w:cs="仿宋"/>
          <w:sz w:val="32"/>
          <w:szCs w:val="32"/>
          <w:lang w:val="en-US" w:eastAsia="zh-CN"/>
        </w:rPr>
        <w:t>将上一年度各单位的经费使用绩效评价结果，作为下一年度预算安排的重要参考。对使用规范、效果好的单位予以倾斜；对管理混乱、效果不明的单位核减预算。例如：“为确保人大代表活动经费的规范、安全和有效使用，真正保障代表履职、践行全过程人民民主，我们建议立即建立‘使用-报备-评价’的闭环管理机制。对于已下拨的资金，应限期要求使用单位补充提供详细的使用明细、活动凭证及效果总结。长远看，应尽快出台经费管理办法，将绩效管理贯穿始终，做到‘花钱必问效、无效必问责’，让宝贵的财政资金每一分都用在刀刃上，切实提升代表履职的实效。”</w:t>
      </w:r>
    </w:p>
    <w:p w14:paraId="388850D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2.人大五届四次会议</w:t>
      </w:r>
      <w:r>
        <w:rPr>
          <w:rFonts w:hint="eastAsia" w:ascii="仿宋" w:hAnsi="仿宋" w:eastAsia="仿宋" w:cs="仿宋"/>
          <w:b w:val="0"/>
          <w:bCs w:val="0"/>
          <w:sz w:val="32"/>
          <w:szCs w:val="32"/>
          <w:lang w:val="en-US" w:eastAsia="zh-CN"/>
        </w:rPr>
        <w:t>后附合同及验收单，验收单盖了办公章，</w:t>
      </w:r>
      <w:r>
        <w:rPr>
          <w:rFonts w:hint="eastAsia" w:ascii="仿宋" w:hAnsi="仿宋" w:eastAsia="仿宋" w:cs="仿宋"/>
          <w:b/>
          <w:bCs/>
          <w:sz w:val="32"/>
          <w:szCs w:val="32"/>
          <w:lang w:val="en-US" w:eastAsia="zh-CN"/>
        </w:rPr>
        <w:t>但无验收人签字</w:t>
      </w:r>
      <w:r>
        <w:rPr>
          <w:rFonts w:hint="eastAsia" w:ascii="仿宋" w:hAnsi="仿宋" w:eastAsia="仿宋" w:cs="仿宋"/>
          <w:b w:val="0"/>
          <w:bCs w:val="0"/>
          <w:sz w:val="32"/>
          <w:szCs w:val="32"/>
          <w:lang w:val="en-US" w:eastAsia="zh-CN"/>
        </w:rPr>
        <w:t>，后附清单数量及品种，但无签字盖章。详见2024年1月3号凭证。人大五届四次会议2024年1月24日合同，验收单仅公章与验收人签字，</w:t>
      </w:r>
      <w:r>
        <w:rPr>
          <w:rFonts w:hint="eastAsia" w:ascii="仿宋" w:hAnsi="仿宋" w:eastAsia="仿宋" w:cs="仿宋"/>
          <w:b/>
          <w:bCs/>
          <w:sz w:val="32"/>
          <w:szCs w:val="32"/>
          <w:lang w:val="en-US" w:eastAsia="zh-CN"/>
        </w:rPr>
        <w:t>无验收意见。</w:t>
      </w:r>
      <w:r>
        <w:rPr>
          <w:rFonts w:hint="eastAsia" w:ascii="仿宋" w:hAnsi="仿宋" w:eastAsia="仿宋" w:cs="仿宋"/>
          <w:b w:val="0"/>
          <w:bCs w:val="0"/>
          <w:sz w:val="32"/>
          <w:szCs w:val="32"/>
          <w:lang w:val="en-US" w:eastAsia="zh-CN"/>
        </w:rPr>
        <w:t>详见2024年2月5号凭证。人大五届四次会议后附验收单仅供应商盖单，</w:t>
      </w:r>
      <w:r>
        <w:rPr>
          <w:rFonts w:hint="eastAsia" w:ascii="仿宋" w:hAnsi="仿宋" w:eastAsia="仿宋" w:cs="仿宋"/>
          <w:b/>
          <w:bCs/>
          <w:sz w:val="32"/>
          <w:szCs w:val="32"/>
          <w:lang w:val="en-US" w:eastAsia="zh-CN"/>
        </w:rPr>
        <w:t>无区人大盖章及验收人签字及无验收意见。</w:t>
      </w:r>
      <w:r>
        <w:rPr>
          <w:rFonts w:hint="eastAsia" w:ascii="仿宋" w:hAnsi="仿宋" w:eastAsia="仿宋" w:cs="仿宋"/>
          <w:b w:val="0"/>
          <w:bCs w:val="0"/>
          <w:sz w:val="32"/>
          <w:szCs w:val="32"/>
          <w:lang w:val="en-US" w:eastAsia="zh-CN"/>
        </w:rPr>
        <w:t>详见2024年3月14号凭证。机关宣传费验收单无人签字签收，无公章，无日期，详见2024年12月29号凭证。</w:t>
      </w:r>
    </w:p>
    <w:p w14:paraId="7842D2D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上述违反了《中华人民共和国会计法》第十四条要求。会计凭证包括原始凭证和记帐凭证。原始凭证记载的各项内容均不得涂改。不完整的验收单属于内容不全的原始凭证。</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内部控制和财务管理制度的核心要求。</w:t>
      </w:r>
      <w:r>
        <w:rPr>
          <w:rFonts w:hint="eastAsia" w:ascii="仿宋" w:hAnsi="仿宋" w:eastAsia="仿宋" w:cs="仿宋"/>
          <w:b w:val="0"/>
          <w:bCs w:val="0"/>
          <w:sz w:val="32"/>
          <w:szCs w:val="32"/>
          <w:lang w:val="en-US" w:eastAsia="zh-CN"/>
        </w:rPr>
        <w:t>采购与支付流程都必须遵循“事权、财权、监督权”三分离的原则。规范的验收环节是履行“监督权”的关键，旨在确保所采购的货物或服务在数量、质量、规格等方面与合同约定一致。缺少关键要素的验收单，使得这个监督环节形同虚设，无法证明资金支付的合理性，存在虚列支出、套取资金或资产流失的重大风险。2024年1月3号凭证（无验收人签字，清单无签字盖章），验收责任无法落实，实物管理缺位。仅有公章无法追溯至具体的验收责任人，</w:t>
      </w:r>
      <w:r>
        <w:rPr>
          <w:rFonts w:hint="eastAsia" w:ascii="仿宋" w:hAnsi="仿宋" w:eastAsia="仿宋" w:cs="仿宋"/>
          <w:b/>
          <w:bCs/>
          <w:sz w:val="32"/>
          <w:szCs w:val="32"/>
          <w:lang w:val="en-US" w:eastAsia="zh-CN"/>
        </w:rPr>
        <w:t>违反了“谁验收、谁负责”的原则。</w:t>
      </w:r>
      <w:r>
        <w:rPr>
          <w:rFonts w:hint="eastAsia" w:ascii="仿宋" w:hAnsi="仿宋" w:eastAsia="仿宋" w:cs="仿宋"/>
          <w:b w:val="0"/>
          <w:bCs w:val="0"/>
          <w:i w:val="0"/>
          <w:iCs w:val="0"/>
          <w:sz w:val="32"/>
          <w:szCs w:val="32"/>
          <w:lang w:val="en-US" w:eastAsia="zh-CN"/>
        </w:rPr>
        <w:t>后附清单作为验收结果的直接体现，无任何签字或盖章，其真实性和有效性存疑，无法证明实际收到的品种和数量与合同、发票一致。不符合单位内部资产管理和财务报销制度中关于“实物验收必须有明确责任人签字确认”的基本规定。2024年2月5号凭证（无验收意见），验收结论缺失，质量把关环节缺失。验收的核心是确认标的物是否符合要求。“验收意见”栏是记录货物/服务是否存在问题、是否同意接收的关键结论性证据。仅有签名和公章而无意见，只能证明“有人去了现场”，但无法证明“验收是否通过”、“物品是否合格”。如果后续发现质量问题，将无从追责。2024年3月14号凭证（仅供</w:t>
      </w:r>
      <w:r>
        <w:rPr>
          <w:rFonts w:hint="eastAsia" w:ascii="仿宋" w:hAnsi="仿宋" w:eastAsia="仿宋" w:cs="仿宋"/>
          <w:b w:val="0"/>
          <w:bCs w:val="0"/>
          <w:sz w:val="32"/>
          <w:szCs w:val="32"/>
          <w:lang w:val="en-US" w:eastAsia="zh-CN"/>
        </w:rPr>
        <w:t>应商盖章，无采购方任何确认）</w:t>
      </w:r>
      <w:r>
        <w:rPr>
          <w:rFonts w:hint="eastAsia" w:ascii="仿宋" w:hAnsi="仿宋" w:eastAsia="仿宋" w:cs="仿宋"/>
          <w:b/>
          <w:bCs/>
          <w:sz w:val="32"/>
          <w:szCs w:val="32"/>
          <w:lang w:val="en-US" w:eastAsia="zh-CN"/>
        </w:rPr>
        <w:t>验收程序完全倒置，</w:t>
      </w:r>
      <w:r>
        <w:rPr>
          <w:rFonts w:hint="eastAsia" w:ascii="仿宋" w:hAnsi="仿宋" w:eastAsia="仿宋" w:cs="仿宋"/>
          <w:b w:val="0"/>
          <w:bCs w:val="0"/>
          <w:sz w:val="32"/>
          <w:szCs w:val="32"/>
          <w:lang w:val="en-US" w:eastAsia="zh-CN"/>
        </w:rPr>
        <w:t>单据无效。验收单是采购方用于确认履约情况的凭证，其主体必须是采购方。仅有供应商单方面盖章，而无采购方（区人大）的验收人签字或单位盖章，</w:t>
      </w:r>
      <w:r>
        <w:rPr>
          <w:rFonts w:hint="eastAsia" w:ascii="仿宋" w:hAnsi="仿宋" w:eastAsia="仿宋" w:cs="仿宋"/>
          <w:b/>
          <w:bCs/>
          <w:sz w:val="32"/>
          <w:szCs w:val="32"/>
          <w:lang w:val="en-US" w:eastAsia="zh-CN"/>
        </w:rPr>
        <w:t>这份单据在法律和事实上都不具备验收效力，相当于供应商自己证明自己履约完毕，严重违背内部控制的基本原则。</w:t>
      </w:r>
      <w:r>
        <w:rPr>
          <w:rFonts w:hint="eastAsia" w:ascii="仿宋" w:hAnsi="仿宋" w:eastAsia="仿宋" w:cs="仿宋"/>
          <w:b w:val="0"/>
          <w:bCs w:val="0"/>
          <w:sz w:val="32"/>
          <w:szCs w:val="32"/>
          <w:lang w:val="en-US" w:eastAsia="zh-CN"/>
        </w:rPr>
        <w:t>2024年12月29号凭证（机关宣传费验收单无人签字、无公章、无日期），原始凭证严重缺失要素，属于无效单据。“无人签字”导致责任无法认定。“无公章”导致无法代表单位行为。“无日期”导致无法确定业务发生和验收的具体时间，难以进行账务核算和后期审计追溯。</w:t>
      </w:r>
      <w:r>
        <w:rPr>
          <w:rFonts w:hint="eastAsia" w:ascii="仿宋" w:hAnsi="仿宋" w:eastAsia="仿宋" w:cs="仿宋"/>
          <w:b/>
          <w:bCs/>
          <w:sz w:val="32"/>
          <w:szCs w:val="32"/>
          <w:lang w:val="en-US" w:eastAsia="zh-CN"/>
        </w:rPr>
        <w:t>可能引发四类风险。资金安全风险，</w:t>
      </w:r>
      <w:r>
        <w:rPr>
          <w:rFonts w:hint="eastAsia" w:ascii="仿宋" w:hAnsi="仿宋" w:eastAsia="仿宋" w:cs="仿宋"/>
          <w:b w:val="0"/>
          <w:bCs w:val="0"/>
          <w:sz w:val="32"/>
          <w:szCs w:val="32"/>
          <w:lang w:val="en-US" w:eastAsia="zh-CN"/>
        </w:rPr>
        <w:t>为虚报、冒领财政资金提供了可能。</w:t>
      </w:r>
      <w:r>
        <w:rPr>
          <w:rFonts w:hint="eastAsia" w:ascii="仿宋" w:hAnsi="仿宋" w:eastAsia="仿宋" w:cs="仿宋"/>
          <w:b/>
          <w:bCs/>
          <w:sz w:val="32"/>
          <w:szCs w:val="32"/>
          <w:lang w:val="en-US" w:eastAsia="zh-CN"/>
        </w:rPr>
        <w:t>资产流失风险，</w:t>
      </w:r>
      <w:r>
        <w:rPr>
          <w:rFonts w:hint="eastAsia" w:ascii="仿宋" w:hAnsi="仿宋" w:eastAsia="仿宋" w:cs="仿宋"/>
          <w:b w:val="0"/>
          <w:bCs w:val="0"/>
          <w:sz w:val="32"/>
          <w:szCs w:val="32"/>
          <w:lang w:val="en-US" w:eastAsia="zh-CN"/>
        </w:rPr>
        <w:t>无法确保采购的物资真正入库或被妥善使用。</w:t>
      </w:r>
      <w:r>
        <w:rPr>
          <w:rFonts w:hint="eastAsia" w:ascii="仿宋" w:hAnsi="仿宋" w:eastAsia="仿宋" w:cs="仿宋"/>
          <w:b/>
          <w:bCs/>
          <w:sz w:val="32"/>
          <w:szCs w:val="32"/>
          <w:lang w:val="en-US" w:eastAsia="zh-CN"/>
        </w:rPr>
        <w:t>审计风险，</w:t>
      </w:r>
      <w:r>
        <w:rPr>
          <w:rFonts w:hint="eastAsia" w:ascii="仿宋" w:hAnsi="仿宋" w:eastAsia="仿宋" w:cs="仿宋"/>
          <w:b w:val="0"/>
          <w:bCs w:val="0"/>
          <w:sz w:val="32"/>
          <w:szCs w:val="32"/>
          <w:lang w:val="en-US" w:eastAsia="zh-CN"/>
        </w:rPr>
        <w:t>在审计检查中，此类凭证将被认定为不合规，要求整改，并可能追究相关人员的责任。</w:t>
      </w:r>
      <w:r>
        <w:rPr>
          <w:rFonts w:hint="eastAsia" w:ascii="仿宋" w:hAnsi="仿宋" w:eastAsia="仿宋" w:cs="仿宋"/>
          <w:b/>
          <w:bCs/>
          <w:sz w:val="32"/>
          <w:szCs w:val="32"/>
          <w:lang w:val="en-US" w:eastAsia="zh-CN"/>
        </w:rPr>
        <w:t>廉政风险，</w:t>
      </w:r>
      <w:r>
        <w:rPr>
          <w:rFonts w:hint="eastAsia" w:ascii="仿宋" w:hAnsi="仿宋" w:eastAsia="仿宋" w:cs="仿宋"/>
          <w:b w:val="0"/>
          <w:bCs w:val="0"/>
          <w:sz w:val="32"/>
          <w:szCs w:val="32"/>
          <w:lang w:val="en-US" w:eastAsia="zh-CN"/>
        </w:rPr>
        <w:t>不规范的流程容易滋生腐败。</w:t>
      </w:r>
    </w:p>
    <w:p w14:paraId="1226227F">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建议：一是及时整改，完善手续（针对已发现问题）。及时进行追溯。</w:t>
      </w:r>
      <w:r>
        <w:rPr>
          <w:rFonts w:hint="eastAsia" w:ascii="仿宋" w:hAnsi="仿宋" w:eastAsia="仿宋" w:cs="仿宋"/>
          <w:b w:val="0"/>
          <w:bCs w:val="0"/>
          <w:sz w:val="32"/>
          <w:szCs w:val="32"/>
          <w:lang w:val="en-US" w:eastAsia="zh-CN"/>
        </w:rPr>
        <w:t>要求当时的经办部门、使用部门根据实际收货和服务情况，补办规范的验收手续。</w:t>
      </w:r>
      <w:r>
        <w:rPr>
          <w:rFonts w:hint="eastAsia" w:ascii="仿宋" w:hAnsi="仿宋" w:eastAsia="仿宋" w:cs="仿宋"/>
          <w:b/>
          <w:bCs/>
          <w:sz w:val="32"/>
          <w:szCs w:val="32"/>
          <w:lang w:val="en-US" w:eastAsia="zh-CN"/>
        </w:rPr>
        <w:t>补办的验收单必须包含。</w:t>
      </w:r>
      <w:r>
        <w:rPr>
          <w:rFonts w:hint="eastAsia" w:ascii="仿宋" w:hAnsi="仿宋" w:eastAsia="仿宋" w:cs="仿宋"/>
          <w:b w:val="0"/>
          <w:bCs w:val="0"/>
          <w:sz w:val="32"/>
          <w:szCs w:val="32"/>
          <w:lang w:val="en-US" w:eastAsia="zh-CN"/>
        </w:rPr>
        <w:t>明确的验收意见（如“数量无误，质量合格，同意接收”）、至少两名验收人员的亲笔签字、验收日期，并加盖单位公章或内部验收专用章。</w:t>
      </w:r>
      <w:r>
        <w:rPr>
          <w:rFonts w:hint="eastAsia" w:ascii="仿宋" w:hAnsi="仿宋" w:eastAsia="仿宋" w:cs="仿宋"/>
          <w:b/>
          <w:bCs/>
          <w:sz w:val="32"/>
          <w:szCs w:val="32"/>
          <w:lang w:val="en-US" w:eastAsia="zh-CN"/>
        </w:rPr>
        <w:t>财务部门应将补办的规范验收单作为重要附件，替换或补充至原记账凭证之后。二是建章立制，规范流程（长效机制）。明确验收标准、责任和流程。</w:t>
      </w:r>
      <w:r>
        <w:rPr>
          <w:rFonts w:hint="eastAsia" w:ascii="仿宋" w:hAnsi="仿宋" w:eastAsia="仿宋" w:cs="仿宋"/>
          <w:b w:val="0"/>
          <w:bCs w:val="0"/>
          <w:sz w:val="32"/>
          <w:szCs w:val="32"/>
          <w:lang w:val="en-US" w:eastAsia="zh-CN"/>
        </w:rPr>
        <w:t>在单位内部管理制度中明确规定，所有采购项目必须有验收环节。验收标准不能格式化，简单化，应具像化。</w:t>
      </w:r>
      <w:r>
        <w:rPr>
          <w:rFonts w:hint="eastAsia" w:ascii="仿宋" w:hAnsi="仿宋" w:eastAsia="仿宋" w:cs="仿宋"/>
          <w:b/>
          <w:bCs/>
          <w:sz w:val="32"/>
          <w:szCs w:val="32"/>
          <w:lang w:val="en-US" w:eastAsia="zh-CN"/>
        </w:rPr>
        <w:t>财务部门在报销审核时，必须将要素齐全、签字盖章完整的验收单作为付款的必要前置条件，对不符合规定的单据一律退回。三是加强培训，提升意识。</w:t>
      </w:r>
      <w:r>
        <w:rPr>
          <w:rFonts w:hint="eastAsia" w:ascii="仿宋" w:hAnsi="仿宋" w:eastAsia="仿宋" w:cs="仿宋"/>
          <w:b w:val="0"/>
          <w:bCs w:val="0"/>
          <w:sz w:val="32"/>
          <w:szCs w:val="32"/>
          <w:lang w:val="en-US" w:eastAsia="zh-CN"/>
        </w:rPr>
        <w:t>对单位负责人、业务经办人员、财务人员开展内控和财务知识培训，让其充分认识到规范验收程序的重要性，明确自身在内部控制链条中的责任。</w:t>
      </w:r>
    </w:p>
    <w:p w14:paraId="3CD2D29B">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3.文明创建经费</w:t>
      </w:r>
      <w:r>
        <w:rPr>
          <w:rFonts w:hint="eastAsia" w:ascii="仿宋" w:hAnsi="仿宋" w:eastAsia="仿宋" w:cs="仿宋"/>
          <w:b w:val="0"/>
          <w:bCs w:val="0"/>
          <w:sz w:val="32"/>
          <w:szCs w:val="32"/>
          <w:lang w:val="en-US" w:eastAsia="zh-CN"/>
        </w:rPr>
        <w:t>后附国库支付单，单笔支出2万元，</w:t>
      </w:r>
      <w:r>
        <w:rPr>
          <w:rFonts w:hint="eastAsia" w:ascii="仿宋" w:hAnsi="仿宋" w:eastAsia="仿宋" w:cs="仿宋"/>
          <w:b/>
          <w:bCs/>
          <w:sz w:val="32"/>
          <w:szCs w:val="32"/>
          <w:lang w:val="en-US" w:eastAsia="zh-CN"/>
        </w:rPr>
        <w:t>未见会议纪要及文件，未见项目工作总结及效果。</w:t>
      </w:r>
      <w:r>
        <w:rPr>
          <w:rFonts w:hint="eastAsia" w:ascii="仿宋" w:hAnsi="仿宋" w:eastAsia="仿宋" w:cs="仿宋"/>
          <w:b w:val="0"/>
          <w:bCs w:val="0"/>
          <w:sz w:val="32"/>
          <w:szCs w:val="32"/>
          <w:lang w:val="en-US" w:eastAsia="zh-CN"/>
        </w:rPr>
        <w:t>详见2024年1月9号凭证。</w:t>
      </w:r>
    </w:p>
    <w:p w14:paraId="46DE7D52">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sz w:val="32"/>
          <w:szCs w:val="32"/>
          <w:lang w:val="en-US" w:eastAsia="zh-CN"/>
        </w:rPr>
        <w:t>《中华人民共和国预算法》及预算绩效管理要求。强调要“讲求绩效”，国家全面推行预算绩效管理，要求“花钱必问效、无效必问责”。未见项目工作总结及效果，意味着无法证明这2万元资金是否达到了预期的文明创建效果，违反了预算绩效管理的基本原则。审计或财政检查时，完全有理由质疑这笔资金的使用效益，甚至认定为低效或无效支出。</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sz w:val="32"/>
          <w:szCs w:val="32"/>
          <w:lang w:val="en-US" w:eastAsia="zh-CN"/>
        </w:rPr>
        <w:t>违反单位内部控制和“三重一大”决策制度。单笔支出2万元属于大额资金使用（具体金额标准依单位内部规定，但2万元通常已达到标准）。对于大额资金使用，必须经过集体决策程序。未见会议纪要及文件，无法证明该笔支出是经过领导班子或相关委员会集体研究、民主决策的结果，而是可能由个人或少数人决定，违反了“三重一大”（重大事项决策、重要干部任免、重大项目安排和大额资金使用）制度，存在内部控制和廉政风险。</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sz w:val="32"/>
          <w:szCs w:val="32"/>
          <w:lang w:val="en-US" w:eastAsia="zh-CN"/>
        </w:rPr>
        <w:t>违反专项资金管理办法。“文明创建经费”是一项有特定用途的专项资金。使用应当有相应的规划、实施方案和明确的支出标准。缺乏相关文件支撑，使得支付像一项“无因支出”，无法清晰地与某个具体的、被批准的文明创建项目相对应，容易与日常经费混淆，违反了“专款专用”原则。存在三类风险。</w:t>
      </w:r>
      <w:r>
        <w:rPr>
          <w:rFonts w:hint="eastAsia" w:ascii="仿宋" w:hAnsi="仿宋" w:eastAsia="仿宋" w:cs="仿宋"/>
          <w:b/>
          <w:bCs/>
          <w:sz w:val="32"/>
          <w:szCs w:val="32"/>
          <w:lang w:val="en-US" w:eastAsia="zh-CN"/>
        </w:rPr>
        <w:t>一是审计风险。</w:t>
      </w:r>
      <w:r>
        <w:rPr>
          <w:rFonts w:hint="eastAsia" w:ascii="仿宋" w:hAnsi="仿宋" w:eastAsia="仿宋" w:cs="仿宋"/>
          <w:sz w:val="32"/>
          <w:szCs w:val="32"/>
          <w:lang w:val="en-US" w:eastAsia="zh-CN"/>
        </w:rPr>
        <w:t>在审计中，此类支出极易被认定为“支出依据不充分”或“项目管理不规范”，要求单位提供补充说明或进行整改，严重的可能被要求追回资金。</w:t>
      </w:r>
      <w:r>
        <w:rPr>
          <w:rFonts w:hint="eastAsia" w:ascii="仿宋" w:hAnsi="仿宋" w:eastAsia="仿宋" w:cs="仿宋"/>
          <w:b/>
          <w:bCs/>
          <w:sz w:val="32"/>
          <w:szCs w:val="32"/>
          <w:lang w:val="en-US" w:eastAsia="zh-CN"/>
        </w:rPr>
        <w:t>二是问责风险。</w:t>
      </w:r>
      <w:r>
        <w:rPr>
          <w:rFonts w:hint="eastAsia" w:ascii="仿宋" w:hAnsi="仿宋" w:eastAsia="仿宋" w:cs="仿宋"/>
          <w:sz w:val="32"/>
          <w:szCs w:val="32"/>
          <w:lang w:val="en-US" w:eastAsia="zh-CN"/>
        </w:rPr>
        <w:t>缺乏集体决策记录，一旦资金使用出现问题，相关责任人将难以免责。</w:t>
      </w:r>
      <w:r>
        <w:rPr>
          <w:rFonts w:hint="eastAsia" w:ascii="仿宋" w:hAnsi="仿宋" w:eastAsia="仿宋" w:cs="仿宋"/>
          <w:b/>
          <w:bCs/>
          <w:sz w:val="32"/>
          <w:szCs w:val="32"/>
          <w:lang w:val="en-US" w:eastAsia="zh-CN"/>
        </w:rPr>
        <w:t>三是管理风险。</w:t>
      </w:r>
      <w:r>
        <w:rPr>
          <w:rFonts w:hint="eastAsia" w:ascii="仿宋" w:hAnsi="仿宋" w:eastAsia="仿宋" w:cs="仿宋"/>
          <w:sz w:val="32"/>
          <w:szCs w:val="32"/>
          <w:lang w:val="en-US" w:eastAsia="zh-CN"/>
        </w:rPr>
        <w:t>“只管花钱、不问效果”的模式，会导致财政资金使用效益低下，也无法为后续的预算编制和项目优化提供参考。</w:t>
      </w:r>
    </w:p>
    <w:p w14:paraId="0205B77F">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lang w:val="en-US" w:eastAsia="zh-CN"/>
        </w:rPr>
      </w:pPr>
      <w:r>
        <w:rPr>
          <w:rFonts w:hint="eastAsia" w:ascii="仿宋" w:hAnsi="仿宋" w:eastAsia="仿宋" w:cs="仿宋"/>
          <w:b/>
          <w:bCs/>
          <w:sz w:val="32"/>
          <w:szCs w:val="32"/>
          <w:lang w:val="en-US" w:eastAsia="zh-CN"/>
        </w:rPr>
        <w:t>建议：一是立即追溯，补充材料（针对已发生问题）。补充决策依据。</w:t>
      </w:r>
      <w:r>
        <w:rPr>
          <w:rFonts w:hint="eastAsia" w:ascii="仿宋" w:hAnsi="仿宋" w:eastAsia="仿宋" w:cs="仿宋"/>
          <w:sz w:val="32"/>
          <w:szCs w:val="32"/>
          <w:lang w:val="en-US" w:eastAsia="zh-CN"/>
        </w:rPr>
        <w:t>组织相关人员，就该笔2万元文明创建经费的使用事项，补开会议进行说明和确认，形成补充会议纪要。纪要中应明确支出事项、金额、决策过程和预期目标。</w:t>
      </w:r>
      <w:r>
        <w:rPr>
          <w:rFonts w:hint="eastAsia" w:ascii="仿宋" w:hAnsi="仿宋" w:eastAsia="仿宋" w:cs="仿宋"/>
          <w:b/>
          <w:bCs/>
          <w:sz w:val="32"/>
          <w:szCs w:val="32"/>
          <w:lang w:val="en-US" w:eastAsia="zh-CN"/>
        </w:rPr>
        <w:t>补报绩效证明。</w:t>
      </w:r>
      <w:r>
        <w:rPr>
          <w:rFonts w:hint="eastAsia" w:ascii="仿宋" w:hAnsi="仿宋" w:eastAsia="仿宋" w:cs="仿宋"/>
          <w:sz w:val="32"/>
          <w:szCs w:val="32"/>
          <w:lang w:val="en-US" w:eastAsia="zh-CN"/>
        </w:rPr>
        <w:t>由经办部门或项目负责人出具一份 《关于XX文明创建项目经费使用情况的说明》，详细阐述该资金的具体用途（如用于购买具体物资、支付某项服务等）、实施过程、取得的效果（如提升了哪些具体的环境指标、开展了什么活动、服务了多少群众等），并附上相关活动现场照片、宣传报道等作为佐证。</w:t>
      </w:r>
      <w:r>
        <w:rPr>
          <w:rFonts w:hint="eastAsia" w:ascii="仿宋" w:hAnsi="仿宋" w:eastAsia="仿宋" w:cs="仿宋"/>
          <w:b/>
          <w:bCs/>
          <w:sz w:val="32"/>
          <w:szCs w:val="32"/>
          <w:lang w:val="en-US" w:eastAsia="zh-CN"/>
        </w:rPr>
        <w:t>将补充的会议纪要和情况说明作为重要附件，</w:t>
      </w:r>
      <w:r>
        <w:rPr>
          <w:rFonts w:hint="eastAsia" w:ascii="仿宋" w:hAnsi="仿宋" w:eastAsia="仿宋" w:cs="仿宋"/>
          <w:sz w:val="32"/>
          <w:szCs w:val="32"/>
          <w:lang w:val="en-US" w:eastAsia="zh-CN"/>
        </w:rPr>
        <w:t>归档到原记账凭证中，以备核查。</w:t>
      </w:r>
      <w:r>
        <w:rPr>
          <w:rFonts w:hint="eastAsia" w:ascii="仿宋" w:hAnsi="仿宋" w:eastAsia="仿宋" w:cs="仿宋"/>
          <w:b/>
          <w:bCs/>
          <w:sz w:val="32"/>
          <w:szCs w:val="32"/>
          <w:lang w:val="en-US" w:eastAsia="zh-CN"/>
        </w:rPr>
        <w:t>二是建章立制，规范流程（长效机制）。明确决策权限</w:t>
      </w:r>
      <w:r>
        <w:rPr>
          <w:rFonts w:hint="eastAsia" w:ascii="仿宋" w:hAnsi="仿宋" w:eastAsia="仿宋" w:cs="仿宋"/>
          <w:sz w:val="32"/>
          <w:szCs w:val="32"/>
          <w:lang w:val="en-US" w:eastAsia="zh-CN"/>
        </w:rPr>
        <w:t>。在单位内部管理制度中，清晰界定不同金额资金的审批权限。明确规定达到2万元的专项支出，必须提交党组会、主任办公会或专项工作小组会议集体研究，并形成书面纪要。</w:t>
      </w:r>
      <w:r>
        <w:rPr>
          <w:rFonts w:hint="eastAsia" w:ascii="仿宋" w:hAnsi="仿宋" w:eastAsia="仿宋" w:cs="仿宋"/>
          <w:b/>
          <w:bCs/>
          <w:sz w:val="32"/>
          <w:szCs w:val="32"/>
          <w:lang w:val="en-US" w:eastAsia="zh-CN"/>
        </w:rPr>
        <w:t>建立“一事一档”项目管理制度。</w:t>
      </w:r>
      <w:r>
        <w:rPr>
          <w:rFonts w:hint="eastAsia" w:ascii="仿宋" w:hAnsi="仿宋" w:eastAsia="仿宋" w:cs="仿宋"/>
          <w:sz w:val="32"/>
          <w:szCs w:val="32"/>
          <w:lang w:val="en-US" w:eastAsia="zh-CN"/>
        </w:rPr>
        <w:t>对于每一项专项经费支出，尤其是金额较大的，都应建立一个</w:t>
      </w:r>
      <w:r>
        <w:rPr>
          <w:rFonts w:hint="eastAsia" w:ascii="仿宋" w:hAnsi="仿宋" w:eastAsia="仿宋" w:cs="仿宋"/>
          <w:b/>
          <w:bCs/>
          <w:sz w:val="32"/>
          <w:szCs w:val="32"/>
          <w:lang w:val="en-US" w:eastAsia="zh-CN"/>
        </w:rPr>
        <w:t>独立的项目档案。</w:t>
      </w:r>
      <w:r>
        <w:rPr>
          <w:rFonts w:hint="eastAsia" w:ascii="仿宋" w:hAnsi="仿宋" w:eastAsia="仿宋" w:cs="仿宋"/>
          <w:sz w:val="32"/>
          <w:szCs w:val="32"/>
          <w:lang w:val="en-US" w:eastAsia="zh-CN"/>
        </w:rPr>
        <w:t>档案内应包括：项目立项申请或实施方案，集体决策的会议纪要，采购合同或协议（如有），规范的费用报销单据和验收手续，项目完成后的绩效自评报告或工作总结</w:t>
      </w:r>
      <w:r>
        <w:rPr>
          <w:rFonts w:hint="eastAsia" w:ascii="仿宋" w:hAnsi="仿宋" w:eastAsia="仿宋" w:cs="仿宋"/>
          <w:b/>
          <w:bCs/>
          <w:sz w:val="32"/>
          <w:szCs w:val="32"/>
          <w:lang w:val="en-US" w:eastAsia="zh-CN"/>
        </w:rPr>
        <w:t>强化财务审核把关。</w:t>
      </w:r>
      <w:r>
        <w:rPr>
          <w:rFonts w:hint="eastAsia" w:ascii="仿宋" w:hAnsi="仿宋" w:eastAsia="仿宋" w:cs="仿宋"/>
          <w:sz w:val="32"/>
          <w:szCs w:val="32"/>
          <w:lang w:val="en-US" w:eastAsia="zh-CN"/>
        </w:rPr>
        <w:t>财务人员在审核专项经费支出时，必须将“集体决策记录（会议纪要）”和“项目绩效证明材料（总结报告）”作为付款的必要前置条件，形成刚性约束。财政资金的使用，绝不能止于“钱付出去了”。必须做到</w:t>
      </w:r>
      <w:r>
        <w:rPr>
          <w:rFonts w:hint="eastAsia" w:ascii="仿宋" w:hAnsi="仿宋" w:eastAsia="仿宋" w:cs="仿宋"/>
          <w:b/>
          <w:bCs/>
          <w:sz w:val="32"/>
          <w:szCs w:val="32"/>
          <w:lang w:val="en-US" w:eastAsia="zh-CN"/>
        </w:rPr>
        <w:t>“决策有据、过程留痕、结果可评”。</w:t>
      </w:r>
    </w:p>
    <w:p w14:paraId="218DC304">
      <w:pPr>
        <w:rPr>
          <w:rFonts w:hint="default"/>
          <w:lang w:val="en-US" w:eastAsia="zh-CN"/>
        </w:rPr>
      </w:pPr>
    </w:p>
    <w:p w14:paraId="43573771">
      <w:pPr>
        <w:rPr>
          <w:rFonts w:hint="default"/>
          <w:lang w:val="en-US" w:eastAsia="zh-CN"/>
        </w:rPr>
      </w:pPr>
    </w:p>
    <w:p w14:paraId="6EB1FF4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（此页无正文）</w:t>
      </w:r>
    </w:p>
    <w:p w14:paraId="1AD47A8D">
      <w:pPr>
        <w:rPr>
          <w:rFonts w:hint="default"/>
          <w:lang w:val="en-US" w:eastAsia="zh-CN"/>
        </w:rPr>
      </w:pPr>
    </w:p>
    <w:p w14:paraId="19FC26A1">
      <w:pPr>
        <w:rPr>
          <w:rFonts w:hint="default"/>
          <w:lang w:val="en-US" w:eastAsia="zh-CN"/>
        </w:rPr>
      </w:pPr>
    </w:p>
    <w:p w14:paraId="48127732">
      <w:pPr>
        <w:rPr>
          <w:rFonts w:hint="default"/>
          <w:lang w:val="en-US" w:eastAsia="zh-CN"/>
        </w:rPr>
      </w:pPr>
    </w:p>
    <w:p w14:paraId="55A2EF99">
      <w:pPr>
        <w:rPr>
          <w:rFonts w:hint="default"/>
          <w:lang w:val="en-US" w:eastAsia="zh-CN"/>
        </w:rPr>
      </w:pPr>
    </w:p>
    <w:p w14:paraId="6A64E558">
      <w:pPr>
        <w:rPr>
          <w:rFonts w:hint="default"/>
          <w:lang w:val="en-US" w:eastAsia="zh-CN"/>
        </w:rPr>
      </w:pPr>
    </w:p>
    <w:p w14:paraId="1B72C8DF">
      <w:pPr>
        <w:rPr>
          <w:rFonts w:hint="default"/>
          <w:lang w:val="en-US" w:eastAsia="zh-CN"/>
        </w:rPr>
      </w:pPr>
    </w:p>
    <w:p w14:paraId="67686BBC">
      <w:pPr>
        <w:rPr>
          <w:rFonts w:hint="default"/>
          <w:lang w:val="en-US" w:eastAsia="zh-CN"/>
        </w:rPr>
      </w:pPr>
    </w:p>
    <w:tbl>
      <w:tblPr>
        <w:tblStyle w:val="14"/>
        <w:tblpPr w:leftFromText="180" w:rightFromText="180" w:vertAnchor="text" w:horzAnchor="page" w:tblpXSpec="center" w:tblpY="952"/>
        <w:tblOverlap w:val="never"/>
        <w:tblW w:w="8799" w:type="dxa"/>
        <w:jc w:val="center"/>
        <w:tblLayout w:type="fixed"/>
        <w:tblCellMar>
          <w:top w:w="0" w:type="dxa"/>
          <w:left w:w="108" w:type="dxa"/>
          <w:bottom w:w="0" w:type="dxa"/>
          <w:right w:w="108" w:type="dxa"/>
        </w:tblCellMar>
      </w:tblPr>
      <w:tblGrid>
        <w:gridCol w:w="4525"/>
        <w:gridCol w:w="4274"/>
      </w:tblGrid>
      <w:tr w14:paraId="76CBCD93">
        <w:tblPrEx>
          <w:tblCellMar>
            <w:top w:w="0" w:type="dxa"/>
            <w:left w:w="108" w:type="dxa"/>
            <w:bottom w:w="0" w:type="dxa"/>
            <w:right w:w="108" w:type="dxa"/>
          </w:tblCellMar>
        </w:tblPrEx>
        <w:trPr>
          <w:trHeight w:val="623" w:hRule="atLeast"/>
          <w:jc w:val="center"/>
        </w:trPr>
        <w:tc>
          <w:tcPr>
            <w:tcW w:w="4525" w:type="dxa"/>
            <w:noWrap w:val="0"/>
            <w:vAlign w:val="top"/>
          </w:tcPr>
          <w:p w14:paraId="27B7AEC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0746C02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7FD693C9">
        <w:tblPrEx>
          <w:tblCellMar>
            <w:top w:w="0" w:type="dxa"/>
            <w:left w:w="108" w:type="dxa"/>
            <w:bottom w:w="0" w:type="dxa"/>
            <w:right w:w="108" w:type="dxa"/>
          </w:tblCellMar>
        </w:tblPrEx>
        <w:trPr>
          <w:trHeight w:val="1267" w:hRule="atLeast"/>
          <w:jc w:val="center"/>
        </w:trPr>
        <w:tc>
          <w:tcPr>
            <w:tcW w:w="4525" w:type="dxa"/>
            <w:noWrap w:val="0"/>
            <w:vAlign w:val="top"/>
          </w:tcPr>
          <w:p w14:paraId="5C9DE52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6FC64BD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BCD2100">
        <w:tblPrEx>
          <w:tblCellMar>
            <w:top w:w="0" w:type="dxa"/>
            <w:left w:w="108" w:type="dxa"/>
            <w:bottom w:w="0" w:type="dxa"/>
            <w:right w:w="108" w:type="dxa"/>
          </w:tblCellMar>
        </w:tblPrEx>
        <w:trPr>
          <w:trHeight w:val="1247" w:hRule="atLeast"/>
          <w:jc w:val="center"/>
        </w:trPr>
        <w:tc>
          <w:tcPr>
            <w:tcW w:w="4525" w:type="dxa"/>
            <w:noWrap w:val="0"/>
            <w:vAlign w:val="top"/>
          </w:tcPr>
          <w:p w14:paraId="5DDE739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67F3844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6FA1FA4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E160BFB">
        <w:tblPrEx>
          <w:tblCellMar>
            <w:top w:w="0" w:type="dxa"/>
            <w:left w:w="108" w:type="dxa"/>
            <w:bottom w:w="0" w:type="dxa"/>
            <w:right w:w="108" w:type="dxa"/>
          </w:tblCellMar>
        </w:tblPrEx>
        <w:trPr>
          <w:trHeight w:val="623" w:hRule="atLeast"/>
          <w:jc w:val="center"/>
        </w:trPr>
        <w:tc>
          <w:tcPr>
            <w:tcW w:w="4525" w:type="dxa"/>
            <w:noWrap w:val="0"/>
            <w:vAlign w:val="top"/>
          </w:tcPr>
          <w:p w14:paraId="51A7DD8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34AC23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2025年10月21日</w:t>
            </w:r>
          </w:p>
        </w:tc>
      </w:tr>
    </w:tbl>
    <w:p w14:paraId="324490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55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0B68">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2759">
    <w:pPr>
      <w:pStyle w:val="9"/>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2024年雁峰区人民代表大会常务委员会整体支出绩效评价报告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b/>
        <w:bCs/>
      </w:rPr>
    </w:lvl>
  </w:abstractNum>
  <w:abstractNum w:abstractNumId="1">
    <w:nsid w:val="993ED9D6"/>
    <w:multiLevelType w:val="singleLevel"/>
    <w:tmpl w:val="993ED9D6"/>
    <w:lvl w:ilvl="0" w:tentative="0">
      <w:start w:val="1"/>
      <w:numFmt w:val="decimal"/>
      <w:suff w:val="nothing"/>
      <w:lvlText w:val="（%1）"/>
      <w:lvlJc w:val="left"/>
    </w:lvl>
  </w:abstractNum>
  <w:abstractNum w:abstractNumId="2">
    <w:nsid w:val="AFCFB45B"/>
    <w:multiLevelType w:val="singleLevel"/>
    <w:tmpl w:val="AFCFB45B"/>
    <w:lvl w:ilvl="0" w:tentative="0">
      <w:start w:val="2"/>
      <w:numFmt w:val="chineseCounting"/>
      <w:suff w:val="nothing"/>
      <w:lvlText w:val="%1、"/>
      <w:lvlJc w:val="left"/>
      <w:rPr>
        <w:rFonts w:hint="eastAsia"/>
      </w:rPr>
    </w:lvl>
  </w:abstractNum>
  <w:abstractNum w:abstractNumId="3">
    <w:nsid w:val="C86B9F76"/>
    <w:multiLevelType w:val="singleLevel"/>
    <w:tmpl w:val="C86B9F76"/>
    <w:lvl w:ilvl="0" w:tentative="0">
      <w:start w:val="6"/>
      <w:numFmt w:val="chineseCounting"/>
      <w:suff w:val="nothing"/>
      <w:lvlText w:val="%1、"/>
      <w:lvlJc w:val="left"/>
      <w:rPr>
        <w:rFonts w:hint="eastAsia"/>
      </w:rPr>
    </w:lvl>
  </w:abstractNum>
  <w:abstractNum w:abstractNumId="4">
    <w:nsid w:val="D84C4568"/>
    <w:multiLevelType w:val="singleLevel"/>
    <w:tmpl w:val="D84C4568"/>
    <w:lvl w:ilvl="0" w:tentative="0">
      <w:start w:val="1"/>
      <w:numFmt w:val="chineseCounting"/>
      <w:suff w:val="nothing"/>
      <w:lvlText w:val="（%1）"/>
      <w:lvlJc w:val="left"/>
      <w:rPr>
        <w:rFonts w:hint="eastAsia"/>
      </w:rPr>
    </w:lvl>
  </w:abstractNum>
  <w:abstractNum w:abstractNumId="5">
    <w:nsid w:val="EBF7B6E1"/>
    <w:multiLevelType w:val="singleLevel"/>
    <w:tmpl w:val="EBF7B6E1"/>
    <w:lvl w:ilvl="0" w:tentative="0">
      <w:start w:val="1"/>
      <w:numFmt w:val="chineseCounting"/>
      <w:suff w:val="nothing"/>
      <w:lvlText w:val="（%1）"/>
      <w:lvlJc w:val="left"/>
      <w:rPr>
        <w:rFonts w:hint="eastAsia"/>
      </w:rPr>
    </w:lvl>
  </w:abstractNum>
  <w:abstractNum w:abstractNumId="6">
    <w:nsid w:val="22845DC4"/>
    <w:multiLevelType w:val="singleLevel"/>
    <w:tmpl w:val="22845DC4"/>
    <w:lvl w:ilvl="0" w:tentative="0">
      <w:start w:val="4"/>
      <w:numFmt w:val="chineseCounting"/>
      <w:suff w:val="nothing"/>
      <w:lvlText w:val="（%1）"/>
      <w:lvlJc w:val="left"/>
      <w:rPr>
        <w:rFonts w:hint="eastAsia"/>
      </w:rPr>
    </w:lvl>
  </w:abstractNum>
  <w:abstractNum w:abstractNumId="7">
    <w:nsid w:val="5E7FED8E"/>
    <w:multiLevelType w:val="singleLevel"/>
    <w:tmpl w:val="5E7FED8E"/>
    <w:lvl w:ilvl="0" w:tentative="0">
      <w:start w:val="3"/>
      <w:numFmt w:val="decimal"/>
      <w:lvlText w:val="%1."/>
      <w:lvlJc w:val="left"/>
      <w:pPr>
        <w:tabs>
          <w:tab w:val="left" w:pos="312"/>
        </w:tabs>
      </w:pPr>
    </w:lvl>
  </w:abstractNum>
  <w:num w:numId="1">
    <w:abstractNumId w:val="2"/>
  </w:num>
  <w:num w:numId="2">
    <w:abstractNumId w:val="4"/>
  </w:num>
  <w:num w:numId="3">
    <w:abstractNumId w:val="6"/>
  </w:num>
  <w:num w:numId="4">
    <w:abstractNumId w:val="5"/>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3440E5"/>
    <w:rsid w:val="00347465"/>
    <w:rsid w:val="003675EE"/>
    <w:rsid w:val="00392EA7"/>
    <w:rsid w:val="00396CDA"/>
    <w:rsid w:val="00441793"/>
    <w:rsid w:val="0046375D"/>
    <w:rsid w:val="004E616D"/>
    <w:rsid w:val="00543B5B"/>
    <w:rsid w:val="0075235C"/>
    <w:rsid w:val="00AC7437"/>
    <w:rsid w:val="00CE50BF"/>
    <w:rsid w:val="00DC574A"/>
    <w:rsid w:val="00ED1E2A"/>
    <w:rsid w:val="00F114F5"/>
    <w:rsid w:val="00F96DAA"/>
    <w:rsid w:val="00FE0086"/>
    <w:rsid w:val="010D6479"/>
    <w:rsid w:val="01142B69"/>
    <w:rsid w:val="011655D4"/>
    <w:rsid w:val="01211959"/>
    <w:rsid w:val="013F2781"/>
    <w:rsid w:val="014F34AC"/>
    <w:rsid w:val="018A7679"/>
    <w:rsid w:val="0196601E"/>
    <w:rsid w:val="01967D5E"/>
    <w:rsid w:val="019755DD"/>
    <w:rsid w:val="019D115B"/>
    <w:rsid w:val="019F1377"/>
    <w:rsid w:val="01CB7507"/>
    <w:rsid w:val="01D846CD"/>
    <w:rsid w:val="021E5540"/>
    <w:rsid w:val="023A109F"/>
    <w:rsid w:val="023F2351"/>
    <w:rsid w:val="024C492F"/>
    <w:rsid w:val="025739FF"/>
    <w:rsid w:val="0263637C"/>
    <w:rsid w:val="02811C50"/>
    <w:rsid w:val="028D5673"/>
    <w:rsid w:val="029D18A6"/>
    <w:rsid w:val="02A1111E"/>
    <w:rsid w:val="02AE478C"/>
    <w:rsid w:val="02B50726"/>
    <w:rsid w:val="02B726F0"/>
    <w:rsid w:val="02BA21E0"/>
    <w:rsid w:val="02C443E7"/>
    <w:rsid w:val="02F94384"/>
    <w:rsid w:val="03103BAE"/>
    <w:rsid w:val="03105CDF"/>
    <w:rsid w:val="031713E0"/>
    <w:rsid w:val="031D6EFB"/>
    <w:rsid w:val="03267F2A"/>
    <w:rsid w:val="03295034"/>
    <w:rsid w:val="03303491"/>
    <w:rsid w:val="034A1211"/>
    <w:rsid w:val="03754F19"/>
    <w:rsid w:val="03764359"/>
    <w:rsid w:val="03773C2D"/>
    <w:rsid w:val="0391431A"/>
    <w:rsid w:val="03A3304A"/>
    <w:rsid w:val="03A47774"/>
    <w:rsid w:val="03A5079A"/>
    <w:rsid w:val="03C3438E"/>
    <w:rsid w:val="03C47923"/>
    <w:rsid w:val="03CE545F"/>
    <w:rsid w:val="03D25723"/>
    <w:rsid w:val="03E64831"/>
    <w:rsid w:val="04125FCD"/>
    <w:rsid w:val="04160862"/>
    <w:rsid w:val="04220309"/>
    <w:rsid w:val="04245B63"/>
    <w:rsid w:val="042E3A1F"/>
    <w:rsid w:val="043229AE"/>
    <w:rsid w:val="043E5100"/>
    <w:rsid w:val="04421B33"/>
    <w:rsid w:val="04460AFF"/>
    <w:rsid w:val="047C774D"/>
    <w:rsid w:val="047F1C73"/>
    <w:rsid w:val="04986613"/>
    <w:rsid w:val="04B62533"/>
    <w:rsid w:val="04B70785"/>
    <w:rsid w:val="04C133B2"/>
    <w:rsid w:val="04C1427B"/>
    <w:rsid w:val="04C6380B"/>
    <w:rsid w:val="04CD774D"/>
    <w:rsid w:val="05183F1A"/>
    <w:rsid w:val="05353DA0"/>
    <w:rsid w:val="053B68BC"/>
    <w:rsid w:val="05620FEB"/>
    <w:rsid w:val="0571031E"/>
    <w:rsid w:val="057714C1"/>
    <w:rsid w:val="057768FC"/>
    <w:rsid w:val="05791A70"/>
    <w:rsid w:val="058C131C"/>
    <w:rsid w:val="058C1C12"/>
    <w:rsid w:val="059E7B97"/>
    <w:rsid w:val="05A11BAC"/>
    <w:rsid w:val="05A50F26"/>
    <w:rsid w:val="05BA0D70"/>
    <w:rsid w:val="05DB66F5"/>
    <w:rsid w:val="05DE1D42"/>
    <w:rsid w:val="05E0766C"/>
    <w:rsid w:val="05F45A09"/>
    <w:rsid w:val="05FA2A1A"/>
    <w:rsid w:val="05FF0279"/>
    <w:rsid w:val="06062574"/>
    <w:rsid w:val="06093E43"/>
    <w:rsid w:val="06106186"/>
    <w:rsid w:val="061B656D"/>
    <w:rsid w:val="06222576"/>
    <w:rsid w:val="062865D7"/>
    <w:rsid w:val="06322AAB"/>
    <w:rsid w:val="06341813"/>
    <w:rsid w:val="06345BBB"/>
    <w:rsid w:val="064514DA"/>
    <w:rsid w:val="0646151C"/>
    <w:rsid w:val="064A35D0"/>
    <w:rsid w:val="065D6663"/>
    <w:rsid w:val="0660046B"/>
    <w:rsid w:val="066A1F1E"/>
    <w:rsid w:val="067369FB"/>
    <w:rsid w:val="06875F36"/>
    <w:rsid w:val="068D0A84"/>
    <w:rsid w:val="069112CA"/>
    <w:rsid w:val="06930D7E"/>
    <w:rsid w:val="06C57799"/>
    <w:rsid w:val="06C92D5A"/>
    <w:rsid w:val="06CC0578"/>
    <w:rsid w:val="06D86978"/>
    <w:rsid w:val="06DF5D71"/>
    <w:rsid w:val="070337A4"/>
    <w:rsid w:val="07097643"/>
    <w:rsid w:val="07143785"/>
    <w:rsid w:val="071E67C4"/>
    <w:rsid w:val="072639A0"/>
    <w:rsid w:val="073F4A62"/>
    <w:rsid w:val="074D53D1"/>
    <w:rsid w:val="0756191C"/>
    <w:rsid w:val="076A180B"/>
    <w:rsid w:val="076C47A9"/>
    <w:rsid w:val="078D3874"/>
    <w:rsid w:val="079468F0"/>
    <w:rsid w:val="079B120C"/>
    <w:rsid w:val="07A7684E"/>
    <w:rsid w:val="07AC013B"/>
    <w:rsid w:val="07BA10F5"/>
    <w:rsid w:val="07BB67DE"/>
    <w:rsid w:val="07BE4341"/>
    <w:rsid w:val="07C801FE"/>
    <w:rsid w:val="07D442F0"/>
    <w:rsid w:val="07E00C9C"/>
    <w:rsid w:val="07E22674"/>
    <w:rsid w:val="07ED2710"/>
    <w:rsid w:val="07F9321E"/>
    <w:rsid w:val="07FF1CDD"/>
    <w:rsid w:val="08313B80"/>
    <w:rsid w:val="083E11BD"/>
    <w:rsid w:val="084542FA"/>
    <w:rsid w:val="085821DB"/>
    <w:rsid w:val="085B544F"/>
    <w:rsid w:val="085E70A3"/>
    <w:rsid w:val="086A6018"/>
    <w:rsid w:val="087921F6"/>
    <w:rsid w:val="08C12927"/>
    <w:rsid w:val="08C8551C"/>
    <w:rsid w:val="08CD7790"/>
    <w:rsid w:val="091E489D"/>
    <w:rsid w:val="09322AD0"/>
    <w:rsid w:val="0949606C"/>
    <w:rsid w:val="096B15C8"/>
    <w:rsid w:val="097F0956"/>
    <w:rsid w:val="098026A7"/>
    <w:rsid w:val="098244A7"/>
    <w:rsid w:val="098368C3"/>
    <w:rsid w:val="099A08B5"/>
    <w:rsid w:val="09A5179F"/>
    <w:rsid w:val="09B90AFC"/>
    <w:rsid w:val="09BF1E8A"/>
    <w:rsid w:val="09D70DA6"/>
    <w:rsid w:val="0A0F3905"/>
    <w:rsid w:val="0A355EA0"/>
    <w:rsid w:val="0A3D472E"/>
    <w:rsid w:val="0A5F7F8F"/>
    <w:rsid w:val="0A653918"/>
    <w:rsid w:val="0A6E2124"/>
    <w:rsid w:val="0A8777EC"/>
    <w:rsid w:val="0A891C20"/>
    <w:rsid w:val="0AA364AD"/>
    <w:rsid w:val="0AAC0F25"/>
    <w:rsid w:val="0ABB08A3"/>
    <w:rsid w:val="0ADF27E4"/>
    <w:rsid w:val="0B1A34E5"/>
    <w:rsid w:val="0B42710B"/>
    <w:rsid w:val="0B553428"/>
    <w:rsid w:val="0B6131F9"/>
    <w:rsid w:val="0B7E1DF4"/>
    <w:rsid w:val="0BAB2B32"/>
    <w:rsid w:val="0BC419DA"/>
    <w:rsid w:val="0BD452F2"/>
    <w:rsid w:val="0BE45812"/>
    <w:rsid w:val="0BE71C3D"/>
    <w:rsid w:val="0C254F7A"/>
    <w:rsid w:val="0C3A7178"/>
    <w:rsid w:val="0C5556CA"/>
    <w:rsid w:val="0C5965C6"/>
    <w:rsid w:val="0C925AC4"/>
    <w:rsid w:val="0C9E401A"/>
    <w:rsid w:val="0CA350DD"/>
    <w:rsid w:val="0CAC044E"/>
    <w:rsid w:val="0CAF0502"/>
    <w:rsid w:val="0CB841CC"/>
    <w:rsid w:val="0CBC3E25"/>
    <w:rsid w:val="0CBF0132"/>
    <w:rsid w:val="0CC06645"/>
    <w:rsid w:val="0CC852E6"/>
    <w:rsid w:val="0CCF6888"/>
    <w:rsid w:val="0CDB0A03"/>
    <w:rsid w:val="0CE25880"/>
    <w:rsid w:val="0CE27DCE"/>
    <w:rsid w:val="0CE5798A"/>
    <w:rsid w:val="0CF462EF"/>
    <w:rsid w:val="0D0201EA"/>
    <w:rsid w:val="0D02609B"/>
    <w:rsid w:val="0D0332A3"/>
    <w:rsid w:val="0D22141A"/>
    <w:rsid w:val="0D483858"/>
    <w:rsid w:val="0D81478E"/>
    <w:rsid w:val="0D862FC8"/>
    <w:rsid w:val="0D8A2FED"/>
    <w:rsid w:val="0D940C01"/>
    <w:rsid w:val="0D9E6986"/>
    <w:rsid w:val="0DA4187D"/>
    <w:rsid w:val="0DAB4CA3"/>
    <w:rsid w:val="0DAC2D80"/>
    <w:rsid w:val="0DBA6115"/>
    <w:rsid w:val="0DBB7938"/>
    <w:rsid w:val="0DC01F09"/>
    <w:rsid w:val="0DC24E06"/>
    <w:rsid w:val="0DCA29A0"/>
    <w:rsid w:val="0DD208F0"/>
    <w:rsid w:val="0DDC7AB4"/>
    <w:rsid w:val="0DE73F9D"/>
    <w:rsid w:val="0E0E0ABB"/>
    <w:rsid w:val="0E156855"/>
    <w:rsid w:val="0E180AFA"/>
    <w:rsid w:val="0E1E1689"/>
    <w:rsid w:val="0E434CA2"/>
    <w:rsid w:val="0E452056"/>
    <w:rsid w:val="0E90419B"/>
    <w:rsid w:val="0EAA7A46"/>
    <w:rsid w:val="0EB151DA"/>
    <w:rsid w:val="0EBA1FBA"/>
    <w:rsid w:val="0EBD5965"/>
    <w:rsid w:val="0EC40B28"/>
    <w:rsid w:val="0ED270CE"/>
    <w:rsid w:val="0EE30765"/>
    <w:rsid w:val="0EE875CA"/>
    <w:rsid w:val="0EEF3211"/>
    <w:rsid w:val="0F033BBE"/>
    <w:rsid w:val="0F0B71C2"/>
    <w:rsid w:val="0F16254C"/>
    <w:rsid w:val="0F2904D1"/>
    <w:rsid w:val="0F2E527C"/>
    <w:rsid w:val="0F333973"/>
    <w:rsid w:val="0F36499C"/>
    <w:rsid w:val="0F6C03BE"/>
    <w:rsid w:val="0F775D3E"/>
    <w:rsid w:val="0F7811AE"/>
    <w:rsid w:val="0F8B17F6"/>
    <w:rsid w:val="0FA270B4"/>
    <w:rsid w:val="0FAB006A"/>
    <w:rsid w:val="0FB10A42"/>
    <w:rsid w:val="0FDA17CC"/>
    <w:rsid w:val="0FE53F92"/>
    <w:rsid w:val="0FE90290"/>
    <w:rsid w:val="0FFC7697"/>
    <w:rsid w:val="100F5919"/>
    <w:rsid w:val="101E7BF6"/>
    <w:rsid w:val="10246EEB"/>
    <w:rsid w:val="10362DC0"/>
    <w:rsid w:val="103750DB"/>
    <w:rsid w:val="103A6D61"/>
    <w:rsid w:val="105B5D71"/>
    <w:rsid w:val="106612B1"/>
    <w:rsid w:val="107069BA"/>
    <w:rsid w:val="10762B40"/>
    <w:rsid w:val="10845D04"/>
    <w:rsid w:val="1099323E"/>
    <w:rsid w:val="109B53FF"/>
    <w:rsid w:val="10AA3894"/>
    <w:rsid w:val="10AD4E1F"/>
    <w:rsid w:val="10C8771B"/>
    <w:rsid w:val="10E2584A"/>
    <w:rsid w:val="10F770B9"/>
    <w:rsid w:val="10F9096F"/>
    <w:rsid w:val="11045EE1"/>
    <w:rsid w:val="110C12EC"/>
    <w:rsid w:val="11186A50"/>
    <w:rsid w:val="11275806"/>
    <w:rsid w:val="1152799A"/>
    <w:rsid w:val="11553800"/>
    <w:rsid w:val="115820C3"/>
    <w:rsid w:val="116339D1"/>
    <w:rsid w:val="116972AB"/>
    <w:rsid w:val="1170063A"/>
    <w:rsid w:val="118C5C0E"/>
    <w:rsid w:val="11910B2A"/>
    <w:rsid w:val="11B60016"/>
    <w:rsid w:val="11BD1BAD"/>
    <w:rsid w:val="11C22644"/>
    <w:rsid w:val="11C73FD2"/>
    <w:rsid w:val="11C90F52"/>
    <w:rsid w:val="11D53180"/>
    <w:rsid w:val="11DB182B"/>
    <w:rsid w:val="11EA5F58"/>
    <w:rsid w:val="11F84BB9"/>
    <w:rsid w:val="12144AEB"/>
    <w:rsid w:val="12185560"/>
    <w:rsid w:val="121B783C"/>
    <w:rsid w:val="12213A4B"/>
    <w:rsid w:val="12266F4A"/>
    <w:rsid w:val="122E4051"/>
    <w:rsid w:val="1246013E"/>
    <w:rsid w:val="125A4E46"/>
    <w:rsid w:val="125B775D"/>
    <w:rsid w:val="12656690"/>
    <w:rsid w:val="126D4B79"/>
    <w:rsid w:val="126F08F1"/>
    <w:rsid w:val="12712954"/>
    <w:rsid w:val="127D5172"/>
    <w:rsid w:val="12843C71"/>
    <w:rsid w:val="12872C68"/>
    <w:rsid w:val="1288550F"/>
    <w:rsid w:val="129C457B"/>
    <w:rsid w:val="12A01767"/>
    <w:rsid w:val="12A41E2E"/>
    <w:rsid w:val="12C5502F"/>
    <w:rsid w:val="12CE0BB5"/>
    <w:rsid w:val="12D47F8E"/>
    <w:rsid w:val="12DE2F04"/>
    <w:rsid w:val="12E6250F"/>
    <w:rsid w:val="12EF1689"/>
    <w:rsid w:val="12F80CC7"/>
    <w:rsid w:val="13001549"/>
    <w:rsid w:val="130A1D43"/>
    <w:rsid w:val="1311486C"/>
    <w:rsid w:val="13134ACB"/>
    <w:rsid w:val="13257202"/>
    <w:rsid w:val="132C67E2"/>
    <w:rsid w:val="133308DE"/>
    <w:rsid w:val="13367661"/>
    <w:rsid w:val="133B6A25"/>
    <w:rsid w:val="133E24DD"/>
    <w:rsid w:val="133E63BF"/>
    <w:rsid w:val="135E5661"/>
    <w:rsid w:val="136C36A0"/>
    <w:rsid w:val="13853604"/>
    <w:rsid w:val="138949F9"/>
    <w:rsid w:val="139F4E30"/>
    <w:rsid w:val="139F5206"/>
    <w:rsid w:val="13AC7923"/>
    <w:rsid w:val="140275A9"/>
    <w:rsid w:val="140C37B9"/>
    <w:rsid w:val="14182A2A"/>
    <w:rsid w:val="141F1EA3"/>
    <w:rsid w:val="142E6F34"/>
    <w:rsid w:val="143F0CC5"/>
    <w:rsid w:val="145558C5"/>
    <w:rsid w:val="145E6E6F"/>
    <w:rsid w:val="147D4F92"/>
    <w:rsid w:val="14897C91"/>
    <w:rsid w:val="148A2C9A"/>
    <w:rsid w:val="14AB450A"/>
    <w:rsid w:val="14BA1BA8"/>
    <w:rsid w:val="14BC1DE8"/>
    <w:rsid w:val="14BF2D3F"/>
    <w:rsid w:val="14C21E3B"/>
    <w:rsid w:val="14D7452C"/>
    <w:rsid w:val="14E530ED"/>
    <w:rsid w:val="14ED5843"/>
    <w:rsid w:val="15032920"/>
    <w:rsid w:val="151439D2"/>
    <w:rsid w:val="151A411A"/>
    <w:rsid w:val="151B65FC"/>
    <w:rsid w:val="152A4FA3"/>
    <w:rsid w:val="152E409F"/>
    <w:rsid w:val="153328BD"/>
    <w:rsid w:val="153E5E21"/>
    <w:rsid w:val="153F568C"/>
    <w:rsid w:val="15542020"/>
    <w:rsid w:val="15712BD2"/>
    <w:rsid w:val="1582093B"/>
    <w:rsid w:val="158703BA"/>
    <w:rsid w:val="15894CE1"/>
    <w:rsid w:val="158E5532"/>
    <w:rsid w:val="158F3058"/>
    <w:rsid w:val="159D39C7"/>
    <w:rsid w:val="15CB1E48"/>
    <w:rsid w:val="15D95D65"/>
    <w:rsid w:val="15F66544"/>
    <w:rsid w:val="160C46A9"/>
    <w:rsid w:val="16296B24"/>
    <w:rsid w:val="162E461F"/>
    <w:rsid w:val="16314110"/>
    <w:rsid w:val="163C4C29"/>
    <w:rsid w:val="16465E0D"/>
    <w:rsid w:val="164E6A70"/>
    <w:rsid w:val="165764A9"/>
    <w:rsid w:val="165A3F0C"/>
    <w:rsid w:val="165D428C"/>
    <w:rsid w:val="1674502D"/>
    <w:rsid w:val="1682657E"/>
    <w:rsid w:val="16827510"/>
    <w:rsid w:val="16931292"/>
    <w:rsid w:val="169C0F78"/>
    <w:rsid w:val="16BB3429"/>
    <w:rsid w:val="16D725CF"/>
    <w:rsid w:val="16D74A36"/>
    <w:rsid w:val="16E573D4"/>
    <w:rsid w:val="16EF70D4"/>
    <w:rsid w:val="16F13FCB"/>
    <w:rsid w:val="16F97785"/>
    <w:rsid w:val="1700420E"/>
    <w:rsid w:val="170A3ED8"/>
    <w:rsid w:val="170D5CC4"/>
    <w:rsid w:val="17215F32"/>
    <w:rsid w:val="172D2B29"/>
    <w:rsid w:val="175761FF"/>
    <w:rsid w:val="175A569D"/>
    <w:rsid w:val="175C045F"/>
    <w:rsid w:val="177C42CE"/>
    <w:rsid w:val="17956A47"/>
    <w:rsid w:val="17B62B1E"/>
    <w:rsid w:val="17C52AFB"/>
    <w:rsid w:val="17CC0594"/>
    <w:rsid w:val="17EC02EE"/>
    <w:rsid w:val="17FB2C27"/>
    <w:rsid w:val="18145A0D"/>
    <w:rsid w:val="18185587"/>
    <w:rsid w:val="1862727E"/>
    <w:rsid w:val="18930AC2"/>
    <w:rsid w:val="18B232E6"/>
    <w:rsid w:val="18B31317"/>
    <w:rsid w:val="18CA2B7F"/>
    <w:rsid w:val="18D05E62"/>
    <w:rsid w:val="18D33CA4"/>
    <w:rsid w:val="19000E9A"/>
    <w:rsid w:val="19103042"/>
    <w:rsid w:val="19173A91"/>
    <w:rsid w:val="192166BD"/>
    <w:rsid w:val="192E3215"/>
    <w:rsid w:val="193F3921"/>
    <w:rsid w:val="1960649E"/>
    <w:rsid w:val="196A3BC0"/>
    <w:rsid w:val="196B6713"/>
    <w:rsid w:val="196C5B8A"/>
    <w:rsid w:val="19831DCC"/>
    <w:rsid w:val="198A065A"/>
    <w:rsid w:val="199B6790"/>
    <w:rsid w:val="19A364CF"/>
    <w:rsid w:val="19B4308D"/>
    <w:rsid w:val="19C31523"/>
    <w:rsid w:val="19C33487"/>
    <w:rsid w:val="19C94420"/>
    <w:rsid w:val="19DA2BE1"/>
    <w:rsid w:val="19E05346"/>
    <w:rsid w:val="19FD105D"/>
    <w:rsid w:val="1A02204B"/>
    <w:rsid w:val="1A0C111B"/>
    <w:rsid w:val="1A1136AE"/>
    <w:rsid w:val="1A1520AE"/>
    <w:rsid w:val="1A275223"/>
    <w:rsid w:val="1A2771D6"/>
    <w:rsid w:val="1A331C30"/>
    <w:rsid w:val="1A336C1E"/>
    <w:rsid w:val="1A367F46"/>
    <w:rsid w:val="1A4E5A90"/>
    <w:rsid w:val="1A570B02"/>
    <w:rsid w:val="1A5C123E"/>
    <w:rsid w:val="1A607DD7"/>
    <w:rsid w:val="1A6D284D"/>
    <w:rsid w:val="1A8667BD"/>
    <w:rsid w:val="1A8B200C"/>
    <w:rsid w:val="1A956CF1"/>
    <w:rsid w:val="1A9E31DD"/>
    <w:rsid w:val="1A9E44A3"/>
    <w:rsid w:val="1AA141FF"/>
    <w:rsid w:val="1AA17AB6"/>
    <w:rsid w:val="1AA42D85"/>
    <w:rsid w:val="1AAC69B5"/>
    <w:rsid w:val="1AAE7B07"/>
    <w:rsid w:val="1AAF7C6D"/>
    <w:rsid w:val="1ABE0417"/>
    <w:rsid w:val="1AC436A6"/>
    <w:rsid w:val="1ACC581E"/>
    <w:rsid w:val="1AD3193F"/>
    <w:rsid w:val="1AD627EF"/>
    <w:rsid w:val="1AE479A2"/>
    <w:rsid w:val="1AF5570C"/>
    <w:rsid w:val="1AFA6A9C"/>
    <w:rsid w:val="1AFD2812"/>
    <w:rsid w:val="1B131612"/>
    <w:rsid w:val="1B707488"/>
    <w:rsid w:val="1B7A0AA9"/>
    <w:rsid w:val="1B8F4A8D"/>
    <w:rsid w:val="1BAA299A"/>
    <w:rsid w:val="1BAD2058"/>
    <w:rsid w:val="1BB65A6F"/>
    <w:rsid w:val="1BE83F4F"/>
    <w:rsid w:val="1C0302FC"/>
    <w:rsid w:val="1C142509"/>
    <w:rsid w:val="1C1F16EE"/>
    <w:rsid w:val="1C1F6B10"/>
    <w:rsid w:val="1C221F2A"/>
    <w:rsid w:val="1C2344FA"/>
    <w:rsid w:val="1C286643"/>
    <w:rsid w:val="1C69492B"/>
    <w:rsid w:val="1C7A7B16"/>
    <w:rsid w:val="1C7B644A"/>
    <w:rsid w:val="1C7F10E3"/>
    <w:rsid w:val="1C837694"/>
    <w:rsid w:val="1C927A29"/>
    <w:rsid w:val="1C9F39A1"/>
    <w:rsid w:val="1C9F475A"/>
    <w:rsid w:val="1CA308FE"/>
    <w:rsid w:val="1CAC44F0"/>
    <w:rsid w:val="1CCD27DE"/>
    <w:rsid w:val="1CD25DDB"/>
    <w:rsid w:val="1CD81161"/>
    <w:rsid w:val="1CDD0B4D"/>
    <w:rsid w:val="1CE855C9"/>
    <w:rsid w:val="1CE974F2"/>
    <w:rsid w:val="1D061B33"/>
    <w:rsid w:val="1D0924B1"/>
    <w:rsid w:val="1D0B425E"/>
    <w:rsid w:val="1D3A5FA0"/>
    <w:rsid w:val="1D444728"/>
    <w:rsid w:val="1D4A3A19"/>
    <w:rsid w:val="1D4A5B59"/>
    <w:rsid w:val="1D50131F"/>
    <w:rsid w:val="1D6645D6"/>
    <w:rsid w:val="1D7023BC"/>
    <w:rsid w:val="1D7F2BF3"/>
    <w:rsid w:val="1D845CE8"/>
    <w:rsid w:val="1D89551A"/>
    <w:rsid w:val="1D8B67FB"/>
    <w:rsid w:val="1DA23326"/>
    <w:rsid w:val="1DAB37E2"/>
    <w:rsid w:val="1DBB1717"/>
    <w:rsid w:val="1DCB2F5B"/>
    <w:rsid w:val="1DDC7057"/>
    <w:rsid w:val="1E0565AE"/>
    <w:rsid w:val="1E1124CF"/>
    <w:rsid w:val="1E192DF2"/>
    <w:rsid w:val="1E1C5753"/>
    <w:rsid w:val="1E1E31CB"/>
    <w:rsid w:val="1E221057"/>
    <w:rsid w:val="1E23318F"/>
    <w:rsid w:val="1E3C6829"/>
    <w:rsid w:val="1E3F1E9B"/>
    <w:rsid w:val="1E450758"/>
    <w:rsid w:val="1E4918BD"/>
    <w:rsid w:val="1E5D5BA1"/>
    <w:rsid w:val="1E606CD7"/>
    <w:rsid w:val="1E635A1F"/>
    <w:rsid w:val="1E6B7566"/>
    <w:rsid w:val="1E783EF3"/>
    <w:rsid w:val="1E82375A"/>
    <w:rsid w:val="1E8528CF"/>
    <w:rsid w:val="1E8A0C48"/>
    <w:rsid w:val="1E903CEC"/>
    <w:rsid w:val="1E91399D"/>
    <w:rsid w:val="1E957931"/>
    <w:rsid w:val="1ECE699F"/>
    <w:rsid w:val="1ECE79DD"/>
    <w:rsid w:val="1EE77A61"/>
    <w:rsid w:val="1EFD2393"/>
    <w:rsid w:val="1F02489B"/>
    <w:rsid w:val="1F110314"/>
    <w:rsid w:val="1F2C36C6"/>
    <w:rsid w:val="1F2E64B0"/>
    <w:rsid w:val="1F331BA6"/>
    <w:rsid w:val="1F3360E0"/>
    <w:rsid w:val="1F38206B"/>
    <w:rsid w:val="1F3B1407"/>
    <w:rsid w:val="1F404DD2"/>
    <w:rsid w:val="1F500E1F"/>
    <w:rsid w:val="1F5C21FD"/>
    <w:rsid w:val="1F6F3700"/>
    <w:rsid w:val="1F78274B"/>
    <w:rsid w:val="1F7D3F22"/>
    <w:rsid w:val="1F937D4E"/>
    <w:rsid w:val="1FC72E8E"/>
    <w:rsid w:val="1FD03E69"/>
    <w:rsid w:val="1FD06EA3"/>
    <w:rsid w:val="1FEE56C8"/>
    <w:rsid w:val="1FF044EA"/>
    <w:rsid w:val="1FF74D8F"/>
    <w:rsid w:val="2011123A"/>
    <w:rsid w:val="20142AD8"/>
    <w:rsid w:val="202B4E35"/>
    <w:rsid w:val="2043516B"/>
    <w:rsid w:val="204F1D62"/>
    <w:rsid w:val="204F50E3"/>
    <w:rsid w:val="20740615"/>
    <w:rsid w:val="20791657"/>
    <w:rsid w:val="208C3A33"/>
    <w:rsid w:val="20B028B9"/>
    <w:rsid w:val="20B82C45"/>
    <w:rsid w:val="20B83463"/>
    <w:rsid w:val="20CC30EE"/>
    <w:rsid w:val="20D47DCE"/>
    <w:rsid w:val="20D51E07"/>
    <w:rsid w:val="20D9164A"/>
    <w:rsid w:val="20DA5073"/>
    <w:rsid w:val="20DA5ACF"/>
    <w:rsid w:val="20E22BD6"/>
    <w:rsid w:val="20F82C6C"/>
    <w:rsid w:val="20FA0A99"/>
    <w:rsid w:val="20FE18B0"/>
    <w:rsid w:val="2107361C"/>
    <w:rsid w:val="210E6EDF"/>
    <w:rsid w:val="211C60E8"/>
    <w:rsid w:val="212925B3"/>
    <w:rsid w:val="212A1E87"/>
    <w:rsid w:val="212E1977"/>
    <w:rsid w:val="213673FE"/>
    <w:rsid w:val="214E5B76"/>
    <w:rsid w:val="215B0293"/>
    <w:rsid w:val="21676E41"/>
    <w:rsid w:val="216D0BA0"/>
    <w:rsid w:val="217537B9"/>
    <w:rsid w:val="2188552B"/>
    <w:rsid w:val="21924322"/>
    <w:rsid w:val="219E4D4F"/>
    <w:rsid w:val="21A13B19"/>
    <w:rsid w:val="21AF0D0A"/>
    <w:rsid w:val="21CC6CC6"/>
    <w:rsid w:val="21D0786F"/>
    <w:rsid w:val="21E408A9"/>
    <w:rsid w:val="21EC1864"/>
    <w:rsid w:val="21EF3EC7"/>
    <w:rsid w:val="21F204F5"/>
    <w:rsid w:val="21FF50C2"/>
    <w:rsid w:val="220041D9"/>
    <w:rsid w:val="220A5F40"/>
    <w:rsid w:val="220B3CA8"/>
    <w:rsid w:val="22123047"/>
    <w:rsid w:val="22361059"/>
    <w:rsid w:val="2238523E"/>
    <w:rsid w:val="22435553"/>
    <w:rsid w:val="227331B1"/>
    <w:rsid w:val="227D2BB6"/>
    <w:rsid w:val="22A53EBB"/>
    <w:rsid w:val="22B57049"/>
    <w:rsid w:val="230633CA"/>
    <w:rsid w:val="230C1041"/>
    <w:rsid w:val="230F0CBA"/>
    <w:rsid w:val="23163D80"/>
    <w:rsid w:val="231D7E1D"/>
    <w:rsid w:val="232667AF"/>
    <w:rsid w:val="232C1EE7"/>
    <w:rsid w:val="23494ECF"/>
    <w:rsid w:val="234E4979"/>
    <w:rsid w:val="23542AC1"/>
    <w:rsid w:val="236203FB"/>
    <w:rsid w:val="23645B24"/>
    <w:rsid w:val="236D42CA"/>
    <w:rsid w:val="237613B4"/>
    <w:rsid w:val="238910E7"/>
    <w:rsid w:val="239A1546"/>
    <w:rsid w:val="23B1211E"/>
    <w:rsid w:val="23D039F6"/>
    <w:rsid w:val="23D20CE0"/>
    <w:rsid w:val="23D51059"/>
    <w:rsid w:val="23DB4530"/>
    <w:rsid w:val="23EB7FF4"/>
    <w:rsid w:val="23F43032"/>
    <w:rsid w:val="23FA133C"/>
    <w:rsid w:val="240B5FA0"/>
    <w:rsid w:val="24100849"/>
    <w:rsid w:val="24116CB2"/>
    <w:rsid w:val="24122984"/>
    <w:rsid w:val="24194B61"/>
    <w:rsid w:val="242F6132"/>
    <w:rsid w:val="24336E73"/>
    <w:rsid w:val="243B6690"/>
    <w:rsid w:val="244C4E24"/>
    <w:rsid w:val="245C4A4D"/>
    <w:rsid w:val="24635A19"/>
    <w:rsid w:val="2480073C"/>
    <w:rsid w:val="24850BE6"/>
    <w:rsid w:val="24B16B47"/>
    <w:rsid w:val="24D25EE9"/>
    <w:rsid w:val="24D32F62"/>
    <w:rsid w:val="24D61CD0"/>
    <w:rsid w:val="24DC16EA"/>
    <w:rsid w:val="24E64719"/>
    <w:rsid w:val="24EE3D24"/>
    <w:rsid w:val="250467D9"/>
    <w:rsid w:val="250A44A9"/>
    <w:rsid w:val="250A5253"/>
    <w:rsid w:val="251D3FC0"/>
    <w:rsid w:val="25254322"/>
    <w:rsid w:val="25261647"/>
    <w:rsid w:val="25275183"/>
    <w:rsid w:val="25381CE0"/>
    <w:rsid w:val="253B0B07"/>
    <w:rsid w:val="253D2630"/>
    <w:rsid w:val="25467197"/>
    <w:rsid w:val="254774AC"/>
    <w:rsid w:val="2563762C"/>
    <w:rsid w:val="257007B0"/>
    <w:rsid w:val="257D2ECD"/>
    <w:rsid w:val="25821466"/>
    <w:rsid w:val="25842805"/>
    <w:rsid w:val="25965391"/>
    <w:rsid w:val="25A53853"/>
    <w:rsid w:val="25A6572B"/>
    <w:rsid w:val="25AE3087"/>
    <w:rsid w:val="25BC6855"/>
    <w:rsid w:val="25C52C92"/>
    <w:rsid w:val="25EC2454"/>
    <w:rsid w:val="25EE5B79"/>
    <w:rsid w:val="261E6BA2"/>
    <w:rsid w:val="263712CE"/>
    <w:rsid w:val="26385E8A"/>
    <w:rsid w:val="263E265D"/>
    <w:rsid w:val="26607A60"/>
    <w:rsid w:val="266D4CF0"/>
    <w:rsid w:val="26773DC1"/>
    <w:rsid w:val="268931AA"/>
    <w:rsid w:val="269F41B3"/>
    <w:rsid w:val="26C443E1"/>
    <w:rsid w:val="26CD1C32"/>
    <w:rsid w:val="26CD578F"/>
    <w:rsid w:val="26D0702D"/>
    <w:rsid w:val="26DD00C8"/>
    <w:rsid w:val="26DF742E"/>
    <w:rsid w:val="270A253F"/>
    <w:rsid w:val="270C4FC5"/>
    <w:rsid w:val="27127645"/>
    <w:rsid w:val="272301A4"/>
    <w:rsid w:val="27244E5A"/>
    <w:rsid w:val="273121F9"/>
    <w:rsid w:val="27354EC1"/>
    <w:rsid w:val="273B34AE"/>
    <w:rsid w:val="274E0EEF"/>
    <w:rsid w:val="2755492F"/>
    <w:rsid w:val="276F5D75"/>
    <w:rsid w:val="276F6846"/>
    <w:rsid w:val="278D3D61"/>
    <w:rsid w:val="2791112C"/>
    <w:rsid w:val="279679E3"/>
    <w:rsid w:val="27BD1CA7"/>
    <w:rsid w:val="27C313CD"/>
    <w:rsid w:val="27C61578"/>
    <w:rsid w:val="27CB7F20"/>
    <w:rsid w:val="27DB6949"/>
    <w:rsid w:val="27DD762A"/>
    <w:rsid w:val="27ED7B74"/>
    <w:rsid w:val="27FB46DA"/>
    <w:rsid w:val="283D6944"/>
    <w:rsid w:val="28427C92"/>
    <w:rsid w:val="284F17D4"/>
    <w:rsid w:val="28575047"/>
    <w:rsid w:val="288307FB"/>
    <w:rsid w:val="288376B0"/>
    <w:rsid w:val="288E20B9"/>
    <w:rsid w:val="28B62261"/>
    <w:rsid w:val="28E61013"/>
    <w:rsid w:val="28F12CF2"/>
    <w:rsid w:val="28F827CB"/>
    <w:rsid w:val="28F90ABD"/>
    <w:rsid w:val="28FB2A87"/>
    <w:rsid w:val="29143B49"/>
    <w:rsid w:val="292B0388"/>
    <w:rsid w:val="292E2EDE"/>
    <w:rsid w:val="293F5790"/>
    <w:rsid w:val="29512576"/>
    <w:rsid w:val="29514455"/>
    <w:rsid w:val="29593727"/>
    <w:rsid w:val="296070AC"/>
    <w:rsid w:val="29696464"/>
    <w:rsid w:val="297445E7"/>
    <w:rsid w:val="297F67EF"/>
    <w:rsid w:val="298C36DF"/>
    <w:rsid w:val="299010C2"/>
    <w:rsid w:val="29997556"/>
    <w:rsid w:val="29AD4EDD"/>
    <w:rsid w:val="29CC761E"/>
    <w:rsid w:val="29DE0E87"/>
    <w:rsid w:val="29E05449"/>
    <w:rsid w:val="29EE3795"/>
    <w:rsid w:val="29F13DA9"/>
    <w:rsid w:val="2A056A4F"/>
    <w:rsid w:val="2A502FEB"/>
    <w:rsid w:val="2A596352"/>
    <w:rsid w:val="2A8B37C2"/>
    <w:rsid w:val="2AB71864"/>
    <w:rsid w:val="2ABA427C"/>
    <w:rsid w:val="2AD551AF"/>
    <w:rsid w:val="2AD9612A"/>
    <w:rsid w:val="2AE24705"/>
    <w:rsid w:val="2AF23A16"/>
    <w:rsid w:val="2AF75AE0"/>
    <w:rsid w:val="2AF91248"/>
    <w:rsid w:val="2B081734"/>
    <w:rsid w:val="2B09317D"/>
    <w:rsid w:val="2B116592"/>
    <w:rsid w:val="2B181536"/>
    <w:rsid w:val="2B2C6BA2"/>
    <w:rsid w:val="2B341EF0"/>
    <w:rsid w:val="2B3D4992"/>
    <w:rsid w:val="2B3D7387"/>
    <w:rsid w:val="2B4C19EF"/>
    <w:rsid w:val="2B5B15BB"/>
    <w:rsid w:val="2B634FBD"/>
    <w:rsid w:val="2B764647"/>
    <w:rsid w:val="2B830CED"/>
    <w:rsid w:val="2B842DE8"/>
    <w:rsid w:val="2B8815F9"/>
    <w:rsid w:val="2B8F1669"/>
    <w:rsid w:val="2B960AC3"/>
    <w:rsid w:val="2B9C3BC7"/>
    <w:rsid w:val="2BA75E7D"/>
    <w:rsid w:val="2BAE2033"/>
    <w:rsid w:val="2BBD4024"/>
    <w:rsid w:val="2BCA6741"/>
    <w:rsid w:val="2BDD1F05"/>
    <w:rsid w:val="2BDF043E"/>
    <w:rsid w:val="2BEE68D3"/>
    <w:rsid w:val="2C091017"/>
    <w:rsid w:val="2C1520B2"/>
    <w:rsid w:val="2C181352"/>
    <w:rsid w:val="2C210A56"/>
    <w:rsid w:val="2C22657D"/>
    <w:rsid w:val="2C2E0D4E"/>
    <w:rsid w:val="2C2E1BA9"/>
    <w:rsid w:val="2C31056E"/>
    <w:rsid w:val="2C493B09"/>
    <w:rsid w:val="2C5A7AC4"/>
    <w:rsid w:val="2C66290D"/>
    <w:rsid w:val="2C703257"/>
    <w:rsid w:val="2C710EE2"/>
    <w:rsid w:val="2C797E8C"/>
    <w:rsid w:val="2C895EB5"/>
    <w:rsid w:val="2C981092"/>
    <w:rsid w:val="2C9D3A89"/>
    <w:rsid w:val="2CB2345D"/>
    <w:rsid w:val="2CB92402"/>
    <w:rsid w:val="2CEC5E40"/>
    <w:rsid w:val="2D0B6A5D"/>
    <w:rsid w:val="2D123224"/>
    <w:rsid w:val="2D2D1B91"/>
    <w:rsid w:val="2D455999"/>
    <w:rsid w:val="2D4C0AA8"/>
    <w:rsid w:val="2D560DCD"/>
    <w:rsid w:val="2D8A7EAC"/>
    <w:rsid w:val="2DA326E8"/>
    <w:rsid w:val="2DBB27E5"/>
    <w:rsid w:val="2DC1265E"/>
    <w:rsid w:val="2DCC46A5"/>
    <w:rsid w:val="2DEA3ADD"/>
    <w:rsid w:val="2DEC6E42"/>
    <w:rsid w:val="2E060D0E"/>
    <w:rsid w:val="2E07797D"/>
    <w:rsid w:val="2E0C4DEE"/>
    <w:rsid w:val="2E144526"/>
    <w:rsid w:val="2E1562CD"/>
    <w:rsid w:val="2E230AA6"/>
    <w:rsid w:val="2E262354"/>
    <w:rsid w:val="2E2843FB"/>
    <w:rsid w:val="2E294772"/>
    <w:rsid w:val="2E2E799A"/>
    <w:rsid w:val="2E3063D5"/>
    <w:rsid w:val="2E336C50"/>
    <w:rsid w:val="2E400F3C"/>
    <w:rsid w:val="2E4B2482"/>
    <w:rsid w:val="2E5B0E2E"/>
    <w:rsid w:val="2E6279C6"/>
    <w:rsid w:val="2E635A59"/>
    <w:rsid w:val="2EAA5F11"/>
    <w:rsid w:val="2EB72AA3"/>
    <w:rsid w:val="2ECB4CA9"/>
    <w:rsid w:val="2EE45D6B"/>
    <w:rsid w:val="2EEE2BA1"/>
    <w:rsid w:val="2EFE507F"/>
    <w:rsid w:val="2EFF2BA5"/>
    <w:rsid w:val="2F1C5505"/>
    <w:rsid w:val="2F3B0811"/>
    <w:rsid w:val="2F594288"/>
    <w:rsid w:val="2F6110DD"/>
    <w:rsid w:val="2F6856D6"/>
    <w:rsid w:val="2F856F8B"/>
    <w:rsid w:val="2F987F32"/>
    <w:rsid w:val="2FAD5F0B"/>
    <w:rsid w:val="2FB120F1"/>
    <w:rsid w:val="2FBE78D3"/>
    <w:rsid w:val="2FC736C3"/>
    <w:rsid w:val="2FCD3757"/>
    <w:rsid w:val="2FDB0F1C"/>
    <w:rsid w:val="2FDE27BA"/>
    <w:rsid w:val="2FE74BAE"/>
    <w:rsid w:val="2FF540FA"/>
    <w:rsid w:val="2FF54C06"/>
    <w:rsid w:val="2FFE2E5D"/>
    <w:rsid w:val="30003A4C"/>
    <w:rsid w:val="30030473"/>
    <w:rsid w:val="30146793"/>
    <w:rsid w:val="30147BBD"/>
    <w:rsid w:val="301B7CA8"/>
    <w:rsid w:val="30466CDD"/>
    <w:rsid w:val="305731A1"/>
    <w:rsid w:val="306F0A59"/>
    <w:rsid w:val="3082680F"/>
    <w:rsid w:val="309243C0"/>
    <w:rsid w:val="309E140D"/>
    <w:rsid w:val="30A457B2"/>
    <w:rsid w:val="30AD45FE"/>
    <w:rsid w:val="30B52A83"/>
    <w:rsid w:val="30C9346B"/>
    <w:rsid w:val="30C95EA8"/>
    <w:rsid w:val="30E7256B"/>
    <w:rsid w:val="31012C04"/>
    <w:rsid w:val="310E70CF"/>
    <w:rsid w:val="31327262"/>
    <w:rsid w:val="31375948"/>
    <w:rsid w:val="313F4FFA"/>
    <w:rsid w:val="314760EE"/>
    <w:rsid w:val="315076E8"/>
    <w:rsid w:val="315A745C"/>
    <w:rsid w:val="31634B42"/>
    <w:rsid w:val="317319DE"/>
    <w:rsid w:val="319A665C"/>
    <w:rsid w:val="31A72A29"/>
    <w:rsid w:val="31AD2471"/>
    <w:rsid w:val="31AD7BE9"/>
    <w:rsid w:val="31C75008"/>
    <w:rsid w:val="31D50D66"/>
    <w:rsid w:val="31DA4405"/>
    <w:rsid w:val="31DB16A7"/>
    <w:rsid w:val="31F2450F"/>
    <w:rsid w:val="32087FC3"/>
    <w:rsid w:val="32143204"/>
    <w:rsid w:val="32186458"/>
    <w:rsid w:val="321E77E6"/>
    <w:rsid w:val="321F3CD8"/>
    <w:rsid w:val="32236288"/>
    <w:rsid w:val="322D1335"/>
    <w:rsid w:val="3260443B"/>
    <w:rsid w:val="32672F3B"/>
    <w:rsid w:val="32676A97"/>
    <w:rsid w:val="327A1535"/>
    <w:rsid w:val="327F76D8"/>
    <w:rsid w:val="32851613"/>
    <w:rsid w:val="3288246C"/>
    <w:rsid w:val="32926B0B"/>
    <w:rsid w:val="32A63A63"/>
    <w:rsid w:val="32A95302"/>
    <w:rsid w:val="32AF0265"/>
    <w:rsid w:val="32BE5501"/>
    <w:rsid w:val="32D47F84"/>
    <w:rsid w:val="32D87995"/>
    <w:rsid w:val="32D92CDB"/>
    <w:rsid w:val="32DB1C5F"/>
    <w:rsid w:val="32EA681C"/>
    <w:rsid w:val="32EC5C70"/>
    <w:rsid w:val="32EE1841"/>
    <w:rsid w:val="32FF4F22"/>
    <w:rsid w:val="33014A95"/>
    <w:rsid w:val="33022C64"/>
    <w:rsid w:val="33095DA0"/>
    <w:rsid w:val="331462D9"/>
    <w:rsid w:val="331A61FF"/>
    <w:rsid w:val="332B3F69"/>
    <w:rsid w:val="332C69B5"/>
    <w:rsid w:val="3341340F"/>
    <w:rsid w:val="33460345"/>
    <w:rsid w:val="33514C1C"/>
    <w:rsid w:val="33580FD6"/>
    <w:rsid w:val="335C57D6"/>
    <w:rsid w:val="33812D41"/>
    <w:rsid w:val="33941B0E"/>
    <w:rsid w:val="33B51A84"/>
    <w:rsid w:val="33B55D30"/>
    <w:rsid w:val="33C42EFC"/>
    <w:rsid w:val="33C61EE3"/>
    <w:rsid w:val="33CC5059"/>
    <w:rsid w:val="33D72BA4"/>
    <w:rsid w:val="33E915F3"/>
    <w:rsid w:val="33F14E3F"/>
    <w:rsid w:val="33F43719"/>
    <w:rsid w:val="33FE6037"/>
    <w:rsid w:val="34002C60"/>
    <w:rsid w:val="343017E0"/>
    <w:rsid w:val="344057F2"/>
    <w:rsid w:val="34470F4D"/>
    <w:rsid w:val="344D7F0F"/>
    <w:rsid w:val="3458039D"/>
    <w:rsid w:val="34593FB8"/>
    <w:rsid w:val="34757B91"/>
    <w:rsid w:val="34790259"/>
    <w:rsid w:val="347D07F4"/>
    <w:rsid w:val="347E1FD2"/>
    <w:rsid w:val="34833825"/>
    <w:rsid w:val="348558FB"/>
    <w:rsid w:val="34A246FE"/>
    <w:rsid w:val="34AE2A73"/>
    <w:rsid w:val="34BD32E6"/>
    <w:rsid w:val="34C40D15"/>
    <w:rsid w:val="34CD748C"/>
    <w:rsid w:val="34DB5183"/>
    <w:rsid w:val="34E24AFB"/>
    <w:rsid w:val="350902DA"/>
    <w:rsid w:val="35132F06"/>
    <w:rsid w:val="35144DC0"/>
    <w:rsid w:val="3518051D"/>
    <w:rsid w:val="352132DA"/>
    <w:rsid w:val="354D5B85"/>
    <w:rsid w:val="35707279"/>
    <w:rsid w:val="3578720D"/>
    <w:rsid w:val="357D4824"/>
    <w:rsid w:val="358160C2"/>
    <w:rsid w:val="35A27F45"/>
    <w:rsid w:val="35AD1CD3"/>
    <w:rsid w:val="35AF0108"/>
    <w:rsid w:val="35B12CA3"/>
    <w:rsid w:val="35D346B8"/>
    <w:rsid w:val="35F13CF7"/>
    <w:rsid w:val="36120683"/>
    <w:rsid w:val="361909F0"/>
    <w:rsid w:val="36294A38"/>
    <w:rsid w:val="362A49AB"/>
    <w:rsid w:val="362B3081"/>
    <w:rsid w:val="36326BC5"/>
    <w:rsid w:val="36402219"/>
    <w:rsid w:val="36407D2B"/>
    <w:rsid w:val="3649562D"/>
    <w:rsid w:val="36631BE4"/>
    <w:rsid w:val="36747A1D"/>
    <w:rsid w:val="36792EB9"/>
    <w:rsid w:val="367D0F7F"/>
    <w:rsid w:val="368A5F83"/>
    <w:rsid w:val="368D6C58"/>
    <w:rsid w:val="36D64360"/>
    <w:rsid w:val="36E515F1"/>
    <w:rsid w:val="36E82F71"/>
    <w:rsid w:val="36E903C3"/>
    <w:rsid w:val="370C7B03"/>
    <w:rsid w:val="37214898"/>
    <w:rsid w:val="37255FFD"/>
    <w:rsid w:val="37323B03"/>
    <w:rsid w:val="374019EB"/>
    <w:rsid w:val="3747333B"/>
    <w:rsid w:val="374A4436"/>
    <w:rsid w:val="374A6F7B"/>
    <w:rsid w:val="374C6AA7"/>
    <w:rsid w:val="374E2388"/>
    <w:rsid w:val="375430B6"/>
    <w:rsid w:val="379540A7"/>
    <w:rsid w:val="379C34DB"/>
    <w:rsid w:val="37A662B4"/>
    <w:rsid w:val="37AC319E"/>
    <w:rsid w:val="37C96CE5"/>
    <w:rsid w:val="37CA566B"/>
    <w:rsid w:val="37D2672A"/>
    <w:rsid w:val="37D3697D"/>
    <w:rsid w:val="37E623B5"/>
    <w:rsid w:val="37E82428"/>
    <w:rsid w:val="37E87724"/>
    <w:rsid w:val="37FA50C2"/>
    <w:rsid w:val="38003798"/>
    <w:rsid w:val="380803DD"/>
    <w:rsid w:val="380D40C9"/>
    <w:rsid w:val="380E46BF"/>
    <w:rsid w:val="38170F5F"/>
    <w:rsid w:val="38194CD8"/>
    <w:rsid w:val="38292433"/>
    <w:rsid w:val="38313807"/>
    <w:rsid w:val="383832E4"/>
    <w:rsid w:val="38412DA1"/>
    <w:rsid w:val="384A512D"/>
    <w:rsid w:val="3853724F"/>
    <w:rsid w:val="386341A5"/>
    <w:rsid w:val="387A2D4D"/>
    <w:rsid w:val="389A08FE"/>
    <w:rsid w:val="38A241A6"/>
    <w:rsid w:val="38A528A2"/>
    <w:rsid w:val="38A677FE"/>
    <w:rsid w:val="38B14F10"/>
    <w:rsid w:val="38D4441C"/>
    <w:rsid w:val="38E52E0C"/>
    <w:rsid w:val="38FA30DF"/>
    <w:rsid w:val="39046EC4"/>
    <w:rsid w:val="390908A8"/>
    <w:rsid w:val="391060DB"/>
    <w:rsid w:val="391B25BA"/>
    <w:rsid w:val="393B2A2C"/>
    <w:rsid w:val="39462F2A"/>
    <w:rsid w:val="394F0285"/>
    <w:rsid w:val="39564958"/>
    <w:rsid w:val="395A201B"/>
    <w:rsid w:val="395D6E46"/>
    <w:rsid w:val="396C150B"/>
    <w:rsid w:val="39730417"/>
    <w:rsid w:val="399D7242"/>
    <w:rsid w:val="39A15CD6"/>
    <w:rsid w:val="39B17496"/>
    <w:rsid w:val="39B506F2"/>
    <w:rsid w:val="39C66799"/>
    <w:rsid w:val="39E03482"/>
    <w:rsid w:val="3A234D7B"/>
    <w:rsid w:val="3A3A1AE8"/>
    <w:rsid w:val="3A3B7187"/>
    <w:rsid w:val="3A4A73CA"/>
    <w:rsid w:val="3A667F7C"/>
    <w:rsid w:val="3A726921"/>
    <w:rsid w:val="3A7D53E1"/>
    <w:rsid w:val="3A87079F"/>
    <w:rsid w:val="3A8E29D3"/>
    <w:rsid w:val="3A903883"/>
    <w:rsid w:val="3A9E3272"/>
    <w:rsid w:val="3AA50161"/>
    <w:rsid w:val="3AC0143A"/>
    <w:rsid w:val="3AD249E7"/>
    <w:rsid w:val="3AE11DE1"/>
    <w:rsid w:val="3AE16E49"/>
    <w:rsid w:val="3AFA0DF0"/>
    <w:rsid w:val="3B0F5F1E"/>
    <w:rsid w:val="3B217306"/>
    <w:rsid w:val="3B293484"/>
    <w:rsid w:val="3B2F1426"/>
    <w:rsid w:val="3B433CCB"/>
    <w:rsid w:val="3B4A3779"/>
    <w:rsid w:val="3B5953EB"/>
    <w:rsid w:val="3B7874E6"/>
    <w:rsid w:val="3B7B4311"/>
    <w:rsid w:val="3B92543E"/>
    <w:rsid w:val="3B936C5F"/>
    <w:rsid w:val="3B997AE8"/>
    <w:rsid w:val="3B9D79CE"/>
    <w:rsid w:val="3BAB20EB"/>
    <w:rsid w:val="3BAC1821"/>
    <w:rsid w:val="3BAC5E63"/>
    <w:rsid w:val="3BAC628D"/>
    <w:rsid w:val="3BB60E8E"/>
    <w:rsid w:val="3BC60A9D"/>
    <w:rsid w:val="3BD11DBB"/>
    <w:rsid w:val="3BD81646"/>
    <w:rsid w:val="3BE81FCD"/>
    <w:rsid w:val="3BEA0701"/>
    <w:rsid w:val="3BEE28FF"/>
    <w:rsid w:val="3BF61B6B"/>
    <w:rsid w:val="3BFC64A2"/>
    <w:rsid w:val="3C0B0DDB"/>
    <w:rsid w:val="3C4877ED"/>
    <w:rsid w:val="3C547B47"/>
    <w:rsid w:val="3C5A58BF"/>
    <w:rsid w:val="3C5B37E7"/>
    <w:rsid w:val="3C6127A9"/>
    <w:rsid w:val="3C636171"/>
    <w:rsid w:val="3C664263"/>
    <w:rsid w:val="3C706B34"/>
    <w:rsid w:val="3C8674DF"/>
    <w:rsid w:val="3C911248"/>
    <w:rsid w:val="3CA479E0"/>
    <w:rsid w:val="3CBD3289"/>
    <w:rsid w:val="3CC243E3"/>
    <w:rsid w:val="3CCC214C"/>
    <w:rsid w:val="3CD147A4"/>
    <w:rsid w:val="3CD66855"/>
    <w:rsid w:val="3CDA6FAE"/>
    <w:rsid w:val="3CDF60CE"/>
    <w:rsid w:val="3CF93E6F"/>
    <w:rsid w:val="3D0329CE"/>
    <w:rsid w:val="3D3A30E3"/>
    <w:rsid w:val="3D424389"/>
    <w:rsid w:val="3D504798"/>
    <w:rsid w:val="3D5C0760"/>
    <w:rsid w:val="3D5E3B4D"/>
    <w:rsid w:val="3D63018E"/>
    <w:rsid w:val="3D6407A3"/>
    <w:rsid w:val="3DAE5EC2"/>
    <w:rsid w:val="3DB95AEB"/>
    <w:rsid w:val="3DBC024A"/>
    <w:rsid w:val="3DCF659A"/>
    <w:rsid w:val="3DD96D0B"/>
    <w:rsid w:val="3DEC0798"/>
    <w:rsid w:val="3DEC564C"/>
    <w:rsid w:val="3DEE5BAB"/>
    <w:rsid w:val="3DFD4AF1"/>
    <w:rsid w:val="3E1D4AF4"/>
    <w:rsid w:val="3E276F6E"/>
    <w:rsid w:val="3E4B4094"/>
    <w:rsid w:val="3E636451"/>
    <w:rsid w:val="3E6F5651"/>
    <w:rsid w:val="3E8D3D29"/>
    <w:rsid w:val="3E95498C"/>
    <w:rsid w:val="3EBA2645"/>
    <w:rsid w:val="3ED63527"/>
    <w:rsid w:val="3ED67B55"/>
    <w:rsid w:val="3EE70C7C"/>
    <w:rsid w:val="3EEF6C51"/>
    <w:rsid w:val="3EF74D33"/>
    <w:rsid w:val="3F057D64"/>
    <w:rsid w:val="3F075CC4"/>
    <w:rsid w:val="3F0D6C18"/>
    <w:rsid w:val="3F21712E"/>
    <w:rsid w:val="3F275F2C"/>
    <w:rsid w:val="3F285DF0"/>
    <w:rsid w:val="3F2C29E1"/>
    <w:rsid w:val="3F384C10"/>
    <w:rsid w:val="3F5A28C3"/>
    <w:rsid w:val="3F740A45"/>
    <w:rsid w:val="3FA4757D"/>
    <w:rsid w:val="3FA5067B"/>
    <w:rsid w:val="3FAA3C10"/>
    <w:rsid w:val="3FB43DF9"/>
    <w:rsid w:val="3FD3204B"/>
    <w:rsid w:val="3FDB4706"/>
    <w:rsid w:val="3FF51B86"/>
    <w:rsid w:val="3FFD6C8D"/>
    <w:rsid w:val="4010076E"/>
    <w:rsid w:val="40193A36"/>
    <w:rsid w:val="40204729"/>
    <w:rsid w:val="404011A2"/>
    <w:rsid w:val="40402FA6"/>
    <w:rsid w:val="40584539"/>
    <w:rsid w:val="405D1A2A"/>
    <w:rsid w:val="40612D9E"/>
    <w:rsid w:val="40782251"/>
    <w:rsid w:val="40A23968"/>
    <w:rsid w:val="40B445FE"/>
    <w:rsid w:val="40BA4B7E"/>
    <w:rsid w:val="40C55EA8"/>
    <w:rsid w:val="40C61775"/>
    <w:rsid w:val="40CF687B"/>
    <w:rsid w:val="40DB409D"/>
    <w:rsid w:val="40E35B04"/>
    <w:rsid w:val="40E972DF"/>
    <w:rsid w:val="40ED136E"/>
    <w:rsid w:val="40F24F08"/>
    <w:rsid w:val="41126768"/>
    <w:rsid w:val="411E6EBB"/>
    <w:rsid w:val="41250249"/>
    <w:rsid w:val="412D5718"/>
    <w:rsid w:val="41480E16"/>
    <w:rsid w:val="414B08D8"/>
    <w:rsid w:val="414C2E08"/>
    <w:rsid w:val="414F3F68"/>
    <w:rsid w:val="41582082"/>
    <w:rsid w:val="41872CB2"/>
    <w:rsid w:val="41874A60"/>
    <w:rsid w:val="41AE1418"/>
    <w:rsid w:val="41BA6D64"/>
    <w:rsid w:val="41BE544A"/>
    <w:rsid w:val="41C4132E"/>
    <w:rsid w:val="41D35EF7"/>
    <w:rsid w:val="41DA7286"/>
    <w:rsid w:val="42063A3A"/>
    <w:rsid w:val="4214405D"/>
    <w:rsid w:val="42171D70"/>
    <w:rsid w:val="42183589"/>
    <w:rsid w:val="42341E97"/>
    <w:rsid w:val="42376E3B"/>
    <w:rsid w:val="42613503"/>
    <w:rsid w:val="42755200"/>
    <w:rsid w:val="427721CF"/>
    <w:rsid w:val="428627B5"/>
    <w:rsid w:val="429A0F55"/>
    <w:rsid w:val="42A31D6D"/>
    <w:rsid w:val="42AC6B19"/>
    <w:rsid w:val="42B20202"/>
    <w:rsid w:val="42B67CE3"/>
    <w:rsid w:val="42BB7663"/>
    <w:rsid w:val="42C700D1"/>
    <w:rsid w:val="42CB0D1B"/>
    <w:rsid w:val="42CB7EE2"/>
    <w:rsid w:val="42F779C3"/>
    <w:rsid w:val="430D368B"/>
    <w:rsid w:val="431E02ED"/>
    <w:rsid w:val="433E55F2"/>
    <w:rsid w:val="4355293C"/>
    <w:rsid w:val="43827BD5"/>
    <w:rsid w:val="438356FB"/>
    <w:rsid w:val="438374A9"/>
    <w:rsid w:val="43994DD7"/>
    <w:rsid w:val="439B2D87"/>
    <w:rsid w:val="43AC3ED1"/>
    <w:rsid w:val="43BE41CB"/>
    <w:rsid w:val="43F16B09"/>
    <w:rsid w:val="43F202D8"/>
    <w:rsid w:val="43F45BD0"/>
    <w:rsid w:val="43FB478E"/>
    <w:rsid w:val="43FC6D22"/>
    <w:rsid w:val="44026B2D"/>
    <w:rsid w:val="440873F8"/>
    <w:rsid w:val="4411001F"/>
    <w:rsid w:val="44112439"/>
    <w:rsid w:val="44142073"/>
    <w:rsid w:val="44204C51"/>
    <w:rsid w:val="44301B45"/>
    <w:rsid w:val="443C78D0"/>
    <w:rsid w:val="443F3F3E"/>
    <w:rsid w:val="44555450"/>
    <w:rsid w:val="445D7297"/>
    <w:rsid w:val="446A1915"/>
    <w:rsid w:val="44790B63"/>
    <w:rsid w:val="449C1238"/>
    <w:rsid w:val="449F0024"/>
    <w:rsid w:val="449F5E85"/>
    <w:rsid w:val="44A1052F"/>
    <w:rsid w:val="44B10EA1"/>
    <w:rsid w:val="44B53FC2"/>
    <w:rsid w:val="44B546FA"/>
    <w:rsid w:val="44BF2CE3"/>
    <w:rsid w:val="44C13F54"/>
    <w:rsid w:val="44D83825"/>
    <w:rsid w:val="44E14D9A"/>
    <w:rsid w:val="44E16B7D"/>
    <w:rsid w:val="44EC452F"/>
    <w:rsid w:val="44FC597B"/>
    <w:rsid w:val="451707F1"/>
    <w:rsid w:val="451A1577"/>
    <w:rsid w:val="452901CE"/>
    <w:rsid w:val="453E08E3"/>
    <w:rsid w:val="456078ED"/>
    <w:rsid w:val="456F753C"/>
    <w:rsid w:val="45AA3413"/>
    <w:rsid w:val="45C30031"/>
    <w:rsid w:val="45C53E45"/>
    <w:rsid w:val="45D43FEC"/>
    <w:rsid w:val="45D60368"/>
    <w:rsid w:val="46001285"/>
    <w:rsid w:val="46050649"/>
    <w:rsid w:val="462211FB"/>
    <w:rsid w:val="462417D4"/>
    <w:rsid w:val="462E5DF2"/>
    <w:rsid w:val="463A4797"/>
    <w:rsid w:val="463C5F52"/>
    <w:rsid w:val="46431172"/>
    <w:rsid w:val="464521E7"/>
    <w:rsid w:val="46455732"/>
    <w:rsid w:val="46495120"/>
    <w:rsid w:val="466B19C4"/>
    <w:rsid w:val="467D4684"/>
    <w:rsid w:val="46AB281B"/>
    <w:rsid w:val="46B67B95"/>
    <w:rsid w:val="46C329DE"/>
    <w:rsid w:val="46C97C75"/>
    <w:rsid w:val="46D00C57"/>
    <w:rsid w:val="46D6477E"/>
    <w:rsid w:val="46E94D27"/>
    <w:rsid w:val="46EC3316"/>
    <w:rsid w:val="46EF27ED"/>
    <w:rsid w:val="46EF355C"/>
    <w:rsid w:val="471274C2"/>
    <w:rsid w:val="47233BB3"/>
    <w:rsid w:val="472657A6"/>
    <w:rsid w:val="47304C90"/>
    <w:rsid w:val="473F3908"/>
    <w:rsid w:val="47406A95"/>
    <w:rsid w:val="474C71FC"/>
    <w:rsid w:val="474D6260"/>
    <w:rsid w:val="4754581B"/>
    <w:rsid w:val="47625A6E"/>
    <w:rsid w:val="4779309D"/>
    <w:rsid w:val="477F442B"/>
    <w:rsid w:val="478A7058"/>
    <w:rsid w:val="47925F0D"/>
    <w:rsid w:val="47946129"/>
    <w:rsid w:val="47963FF7"/>
    <w:rsid w:val="47A3636C"/>
    <w:rsid w:val="47A85096"/>
    <w:rsid w:val="47AD0D2F"/>
    <w:rsid w:val="47AF44AD"/>
    <w:rsid w:val="47AF4D11"/>
    <w:rsid w:val="47C75C4C"/>
    <w:rsid w:val="47CD0DEC"/>
    <w:rsid w:val="47CD5197"/>
    <w:rsid w:val="47D112E0"/>
    <w:rsid w:val="47F00E85"/>
    <w:rsid w:val="48041AAC"/>
    <w:rsid w:val="480D3A23"/>
    <w:rsid w:val="483A0C1F"/>
    <w:rsid w:val="4846741F"/>
    <w:rsid w:val="484D0086"/>
    <w:rsid w:val="484E4529"/>
    <w:rsid w:val="485C55E7"/>
    <w:rsid w:val="485C7379"/>
    <w:rsid w:val="487D4E0F"/>
    <w:rsid w:val="48954542"/>
    <w:rsid w:val="489C48EF"/>
    <w:rsid w:val="48AB372A"/>
    <w:rsid w:val="48B06F92"/>
    <w:rsid w:val="48DA7B6B"/>
    <w:rsid w:val="48F01FB9"/>
    <w:rsid w:val="49175151"/>
    <w:rsid w:val="492872E4"/>
    <w:rsid w:val="493A64EB"/>
    <w:rsid w:val="4941669C"/>
    <w:rsid w:val="4949284A"/>
    <w:rsid w:val="494B6C4D"/>
    <w:rsid w:val="4958156F"/>
    <w:rsid w:val="496C2214"/>
    <w:rsid w:val="496D5E51"/>
    <w:rsid w:val="496D7ED3"/>
    <w:rsid w:val="49790663"/>
    <w:rsid w:val="49861160"/>
    <w:rsid w:val="49883A05"/>
    <w:rsid w:val="49933A5A"/>
    <w:rsid w:val="49A14359"/>
    <w:rsid w:val="49AF10F0"/>
    <w:rsid w:val="49B74940"/>
    <w:rsid w:val="49C03205"/>
    <w:rsid w:val="49C11CF5"/>
    <w:rsid w:val="49C2084A"/>
    <w:rsid w:val="49C660D4"/>
    <w:rsid w:val="49D16BE6"/>
    <w:rsid w:val="49FD12F9"/>
    <w:rsid w:val="49FE5F91"/>
    <w:rsid w:val="4A026F25"/>
    <w:rsid w:val="4A0E4BFD"/>
    <w:rsid w:val="4A1A5506"/>
    <w:rsid w:val="4A1C041F"/>
    <w:rsid w:val="4A372155"/>
    <w:rsid w:val="4A3749D0"/>
    <w:rsid w:val="4A3D7280"/>
    <w:rsid w:val="4A553B36"/>
    <w:rsid w:val="4A6726BA"/>
    <w:rsid w:val="4A783AE0"/>
    <w:rsid w:val="4A8A6B0D"/>
    <w:rsid w:val="4A8F7AF1"/>
    <w:rsid w:val="4AA448D5"/>
    <w:rsid w:val="4ACC7988"/>
    <w:rsid w:val="4AD877C8"/>
    <w:rsid w:val="4AE271AB"/>
    <w:rsid w:val="4AEA67B3"/>
    <w:rsid w:val="4B2E0642"/>
    <w:rsid w:val="4B4900AE"/>
    <w:rsid w:val="4B6021EA"/>
    <w:rsid w:val="4B6B0F4E"/>
    <w:rsid w:val="4B6F679E"/>
    <w:rsid w:val="4B83273C"/>
    <w:rsid w:val="4BB5666E"/>
    <w:rsid w:val="4BEB6533"/>
    <w:rsid w:val="4BFF74B1"/>
    <w:rsid w:val="4C0263CE"/>
    <w:rsid w:val="4C0473C6"/>
    <w:rsid w:val="4C2537F3"/>
    <w:rsid w:val="4C2555A1"/>
    <w:rsid w:val="4C266086"/>
    <w:rsid w:val="4C3618DB"/>
    <w:rsid w:val="4C4F0AB3"/>
    <w:rsid w:val="4C531C47"/>
    <w:rsid w:val="4C586FC6"/>
    <w:rsid w:val="4C5D0796"/>
    <w:rsid w:val="4C6360FE"/>
    <w:rsid w:val="4C72455F"/>
    <w:rsid w:val="4C793B3F"/>
    <w:rsid w:val="4C8E75EA"/>
    <w:rsid w:val="4C9C194B"/>
    <w:rsid w:val="4CC15AE1"/>
    <w:rsid w:val="4CC35BEB"/>
    <w:rsid w:val="4CCC6485"/>
    <w:rsid w:val="4CCF60BD"/>
    <w:rsid w:val="4CD02929"/>
    <w:rsid w:val="4CD370C7"/>
    <w:rsid w:val="4CDE5035"/>
    <w:rsid w:val="4CE41265"/>
    <w:rsid w:val="4D103667"/>
    <w:rsid w:val="4D185106"/>
    <w:rsid w:val="4D1A59F9"/>
    <w:rsid w:val="4D363E53"/>
    <w:rsid w:val="4D3701CB"/>
    <w:rsid w:val="4D386DDA"/>
    <w:rsid w:val="4D4B7AFC"/>
    <w:rsid w:val="4D715F84"/>
    <w:rsid w:val="4D7851EB"/>
    <w:rsid w:val="4D9229C5"/>
    <w:rsid w:val="4D953FDE"/>
    <w:rsid w:val="4D9C7AE5"/>
    <w:rsid w:val="4D9E1AAF"/>
    <w:rsid w:val="4DA501AA"/>
    <w:rsid w:val="4DAA3EA7"/>
    <w:rsid w:val="4DB4344C"/>
    <w:rsid w:val="4DB51455"/>
    <w:rsid w:val="4DC62FE4"/>
    <w:rsid w:val="4DC8250B"/>
    <w:rsid w:val="4DED4BFE"/>
    <w:rsid w:val="4DEE61D1"/>
    <w:rsid w:val="4E0005F3"/>
    <w:rsid w:val="4E0E6509"/>
    <w:rsid w:val="4E186966"/>
    <w:rsid w:val="4E3F2CAA"/>
    <w:rsid w:val="4E4854B2"/>
    <w:rsid w:val="4E5263F6"/>
    <w:rsid w:val="4E6951D8"/>
    <w:rsid w:val="4E74636C"/>
    <w:rsid w:val="4E78439B"/>
    <w:rsid w:val="4E7B1363"/>
    <w:rsid w:val="4E8A3DE2"/>
    <w:rsid w:val="4ED65CB0"/>
    <w:rsid w:val="4EE84443"/>
    <w:rsid w:val="4F0352F3"/>
    <w:rsid w:val="4F135B85"/>
    <w:rsid w:val="4F2D30F6"/>
    <w:rsid w:val="4F2D4EEE"/>
    <w:rsid w:val="4F3F2683"/>
    <w:rsid w:val="4F58517B"/>
    <w:rsid w:val="4F5E5D57"/>
    <w:rsid w:val="4F5F526E"/>
    <w:rsid w:val="4F664600"/>
    <w:rsid w:val="4F6C109F"/>
    <w:rsid w:val="4F7A20A8"/>
    <w:rsid w:val="4F846A83"/>
    <w:rsid w:val="4F8847C5"/>
    <w:rsid w:val="4F90367A"/>
    <w:rsid w:val="4F98252E"/>
    <w:rsid w:val="4F993C1F"/>
    <w:rsid w:val="4F9A241D"/>
    <w:rsid w:val="4FA52839"/>
    <w:rsid w:val="4FA60096"/>
    <w:rsid w:val="4FA831D2"/>
    <w:rsid w:val="4FB6798D"/>
    <w:rsid w:val="4FBC575D"/>
    <w:rsid w:val="4FC1120E"/>
    <w:rsid w:val="4FCF5F48"/>
    <w:rsid w:val="4FD77F76"/>
    <w:rsid w:val="4FDC68BF"/>
    <w:rsid w:val="50165391"/>
    <w:rsid w:val="501A73E7"/>
    <w:rsid w:val="501D4EFB"/>
    <w:rsid w:val="502D711A"/>
    <w:rsid w:val="503469BD"/>
    <w:rsid w:val="503844DC"/>
    <w:rsid w:val="504E0E81"/>
    <w:rsid w:val="5057648D"/>
    <w:rsid w:val="505B18D4"/>
    <w:rsid w:val="50621059"/>
    <w:rsid w:val="508A5DF4"/>
    <w:rsid w:val="50940F47"/>
    <w:rsid w:val="50970A38"/>
    <w:rsid w:val="509C1BAA"/>
    <w:rsid w:val="50A8054F"/>
    <w:rsid w:val="50A820D4"/>
    <w:rsid w:val="50AD422D"/>
    <w:rsid w:val="50AD4A4F"/>
    <w:rsid w:val="50D37CC2"/>
    <w:rsid w:val="50D57015"/>
    <w:rsid w:val="50DA00DC"/>
    <w:rsid w:val="50E84DEF"/>
    <w:rsid w:val="50F56EA0"/>
    <w:rsid w:val="5107796B"/>
    <w:rsid w:val="5108607B"/>
    <w:rsid w:val="51171918"/>
    <w:rsid w:val="511B41EA"/>
    <w:rsid w:val="512C73D2"/>
    <w:rsid w:val="512C7ED2"/>
    <w:rsid w:val="51450494"/>
    <w:rsid w:val="5148134E"/>
    <w:rsid w:val="51510BE7"/>
    <w:rsid w:val="5164091A"/>
    <w:rsid w:val="51677F27"/>
    <w:rsid w:val="518F170F"/>
    <w:rsid w:val="51A056CA"/>
    <w:rsid w:val="51A451BA"/>
    <w:rsid w:val="51A60F32"/>
    <w:rsid w:val="51B80BAA"/>
    <w:rsid w:val="51BF28E4"/>
    <w:rsid w:val="51C1288B"/>
    <w:rsid w:val="51DC2283"/>
    <w:rsid w:val="51E657D3"/>
    <w:rsid w:val="51EA1F0C"/>
    <w:rsid w:val="51FB798D"/>
    <w:rsid w:val="51FC4FF6"/>
    <w:rsid w:val="52081B54"/>
    <w:rsid w:val="520B6FE7"/>
    <w:rsid w:val="522B58DB"/>
    <w:rsid w:val="52477F24"/>
    <w:rsid w:val="524B7D2C"/>
    <w:rsid w:val="52501DAB"/>
    <w:rsid w:val="5256651E"/>
    <w:rsid w:val="52691BE6"/>
    <w:rsid w:val="526B23B2"/>
    <w:rsid w:val="52730B44"/>
    <w:rsid w:val="52733A71"/>
    <w:rsid w:val="5277467D"/>
    <w:rsid w:val="529C0587"/>
    <w:rsid w:val="52A5743C"/>
    <w:rsid w:val="52AE4870"/>
    <w:rsid w:val="52B66E3F"/>
    <w:rsid w:val="52BD5936"/>
    <w:rsid w:val="52C378C2"/>
    <w:rsid w:val="52C7501B"/>
    <w:rsid w:val="52C8137C"/>
    <w:rsid w:val="52C86D86"/>
    <w:rsid w:val="52D27B05"/>
    <w:rsid w:val="52E53CDC"/>
    <w:rsid w:val="52E73435"/>
    <w:rsid w:val="52EF6909"/>
    <w:rsid w:val="52F56F98"/>
    <w:rsid w:val="531E2D4A"/>
    <w:rsid w:val="533802B0"/>
    <w:rsid w:val="5349426B"/>
    <w:rsid w:val="53570DD0"/>
    <w:rsid w:val="535C7948"/>
    <w:rsid w:val="53605111"/>
    <w:rsid w:val="53626210"/>
    <w:rsid w:val="536C61AC"/>
    <w:rsid w:val="53764934"/>
    <w:rsid w:val="5376752B"/>
    <w:rsid w:val="537979E1"/>
    <w:rsid w:val="53861A20"/>
    <w:rsid w:val="538816E0"/>
    <w:rsid w:val="53BD18F1"/>
    <w:rsid w:val="53D8114B"/>
    <w:rsid w:val="53E04DBD"/>
    <w:rsid w:val="53EF674A"/>
    <w:rsid w:val="53F669EB"/>
    <w:rsid w:val="54041F40"/>
    <w:rsid w:val="541A68A8"/>
    <w:rsid w:val="5420228D"/>
    <w:rsid w:val="54322F51"/>
    <w:rsid w:val="543D1818"/>
    <w:rsid w:val="544B3EE9"/>
    <w:rsid w:val="546538BA"/>
    <w:rsid w:val="5468108F"/>
    <w:rsid w:val="54756AF5"/>
    <w:rsid w:val="5483555B"/>
    <w:rsid w:val="548A4B3B"/>
    <w:rsid w:val="548B71EB"/>
    <w:rsid w:val="549A6186"/>
    <w:rsid w:val="549F69EF"/>
    <w:rsid w:val="54E0475B"/>
    <w:rsid w:val="54EA6C0E"/>
    <w:rsid w:val="5503044A"/>
    <w:rsid w:val="55201C9C"/>
    <w:rsid w:val="5523208A"/>
    <w:rsid w:val="552F56E3"/>
    <w:rsid w:val="5549554B"/>
    <w:rsid w:val="554D1A31"/>
    <w:rsid w:val="55782BA3"/>
    <w:rsid w:val="5592206E"/>
    <w:rsid w:val="55A27C63"/>
    <w:rsid w:val="55BB0D24"/>
    <w:rsid w:val="55C776C9"/>
    <w:rsid w:val="55DB2EFA"/>
    <w:rsid w:val="55DD6540"/>
    <w:rsid w:val="55E93AE3"/>
    <w:rsid w:val="55EB238D"/>
    <w:rsid w:val="55F87E98"/>
    <w:rsid w:val="561B1CE0"/>
    <w:rsid w:val="562B4FD7"/>
    <w:rsid w:val="563A7E9B"/>
    <w:rsid w:val="56725887"/>
    <w:rsid w:val="568B419B"/>
    <w:rsid w:val="569752EE"/>
    <w:rsid w:val="569F23F4"/>
    <w:rsid w:val="56AA5F28"/>
    <w:rsid w:val="56B506F1"/>
    <w:rsid w:val="56B7303F"/>
    <w:rsid w:val="56B934B6"/>
    <w:rsid w:val="56BC09FD"/>
    <w:rsid w:val="56D02B61"/>
    <w:rsid w:val="56D71B8E"/>
    <w:rsid w:val="56DF6C95"/>
    <w:rsid w:val="57165E73"/>
    <w:rsid w:val="57305C46"/>
    <w:rsid w:val="57394A4D"/>
    <w:rsid w:val="57547004"/>
    <w:rsid w:val="575C2093"/>
    <w:rsid w:val="57631EDC"/>
    <w:rsid w:val="576F0018"/>
    <w:rsid w:val="57725AAD"/>
    <w:rsid w:val="5774562F"/>
    <w:rsid w:val="578F06BB"/>
    <w:rsid w:val="579857A6"/>
    <w:rsid w:val="579F74A6"/>
    <w:rsid w:val="57A36349"/>
    <w:rsid w:val="57A70D03"/>
    <w:rsid w:val="57AC4DC9"/>
    <w:rsid w:val="57B44CCE"/>
    <w:rsid w:val="57C514C8"/>
    <w:rsid w:val="57C71C02"/>
    <w:rsid w:val="57D45CF1"/>
    <w:rsid w:val="57E74DAE"/>
    <w:rsid w:val="57F13854"/>
    <w:rsid w:val="580520C8"/>
    <w:rsid w:val="580B3421"/>
    <w:rsid w:val="58187D01"/>
    <w:rsid w:val="584315C4"/>
    <w:rsid w:val="586E207E"/>
    <w:rsid w:val="586E3461"/>
    <w:rsid w:val="586E7274"/>
    <w:rsid w:val="588A02D8"/>
    <w:rsid w:val="5891087F"/>
    <w:rsid w:val="589D0BB5"/>
    <w:rsid w:val="58BA45A1"/>
    <w:rsid w:val="58C12EE1"/>
    <w:rsid w:val="58D864B6"/>
    <w:rsid w:val="58DA784C"/>
    <w:rsid w:val="58DE5456"/>
    <w:rsid w:val="58EB2245"/>
    <w:rsid w:val="59161F59"/>
    <w:rsid w:val="591744C4"/>
    <w:rsid w:val="594204CF"/>
    <w:rsid w:val="594A2AEB"/>
    <w:rsid w:val="5951357A"/>
    <w:rsid w:val="59544BDF"/>
    <w:rsid w:val="597B2CA5"/>
    <w:rsid w:val="59854011"/>
    <w:rsid w:val="599223FD"/>
    <w:rsid w:val="59941601"/>
    <w:rsid w:val="59965D30"/>
    <w:rsid w:val="59A117BD"/>
    <w:rsid w:val="59B03041"/>
    <w:rsid w:val="59BA45FA"/>
    <w:rsid w:val="59C33F06"/>
    <w:rsid w:val="59C962AE"/>
    <w:rsid w:val="59D10B16"/>
    <w:rsid w:val="59D625D1"/>
    <w:rsid w:val="5A0738B3"/>
    <w:rsid w:val="5A126AC9"/>
    <w:rsid w:val="5A20479B"/>
    <w:rsid w:val="5A47527D"/>
    <w:rsid w:val="5A594B8D"/>
    <w:rsid w:val="5A690A9C"/>
    <w:rsid w:val="5A7B0A82"/>
    <w:rsid w:val="5A8E36CC"/>
    <w:rsid w:val="5AAC3332"/>
    <w:rsid w:val="5ABF5916"/>
    <w:rsid w:val="5AC3781F"/>
    <w:rsid w:val="5AD71A00"/>
    <w:rsid w:val="5ADF1BC9"/>
    <w:rsid w:val="5ADF63AA"/>
    <w:rsid w:val="5AE76118"/>
    <w:rsid w:val="5B1B1714"/>
    <w:rsid w:val="5B242EC8"/>
    <w:rsid w:val="5B280C0A"/>
    <w:rsid w:val="5B3E6680"/>
    <w:rsid w:val="5B413A7A"/>
    <w:rsid w:val="5B4325A2"/>
    <w:rsid w:val="5B4672E2"/>
    <w:rsid w:val="5B4E481E"/>
    <w:rsid w:val="5B601CC1"/>
    <w:rsid w:val="5B6234AA"/>
    <w:rsid w:val="5B6854AA"/>
    <w:rsid w:val="5B813346"/>
    <w:rsid w:val="5B871DD5"/>
    <w:rsid w:val="5BA265DE"/>
    <w:rsid w:val="5BA46CE2"/>
    <w:rsid w:val="5BCE7981"/>
    <w:rsid w:val="5BD41136"/>
    <w:rsid w:val="5BD54692"/>
    <w:rsid w:val="5BD7618C"/>
    <w:rsid w:val="5BD92F2A"/>
    <w:rsid w:val="5BE32D83"/>
    <w:rsid w:val="5BEA4FCD"/>
    <w:rsid w:val="5BEC1C38"/>
    <w:rsid w:val="5BF84A80"/>
    <w:rsid w:val="5BFA4B6A"/>
    <w:rsid w:val="5C003935"/>
    <w:rsid w:val="5C043425"/>
    <w:rsid w:val="5C124BEB"/>
    <w:rsid w:val="5C1F498A"/>
    <w:rsid w:val="5C25339C"/>
    <w:rsid w:val="5C380531"/>
    <w:rsid w:val="5C4B3416"/>
    <w:rsid w:val="5C4D0F4D"/>
    <w:rsid w:val="5C4F21C6"/>
    <w:rsid w:val="5C504241"/>
    <w:rsid w:val="5C6550CC"/>
    <w:rsid w:val="5C7731D7"/>
    <w:rsid w:val="5C826B51"/>
    <w:rsid w:val="5C957AE8"/>
    <w:rsid w:val="5CA61CCA"/>
    <w:rsid w:val="5CA61FE4"/>
    <w:rsid w:val="5CA67A5D"/>
    <w:rsid w:val="5CAA564F"/>
    <w:rsid w:val="5CAC7619"/>
    <w:rsid w:val="5CB526EE"/>
    <w:rsid w:val="5CC67A06"/>
    <w:rsid w:val="5CD718AB"/>
    <w:rsid w:val="5CDD125B"/>
    <w:rsid w:val="5CF039A9"/>
    <w:rsid w:val="5D131446"/>
    <w:rsid w:val="5D1551BE"/>
    <w:rsid w:val="5D213E13"/>
    <w:rsid w:val="5D301FF8"/>
    <w:rsid w:val="5D3A69D3"/>
    <w:rsid w:val="5D3D7B55"/>
    <w:rsid w:val="5D4D4B67"/>
    <w:rsid w:val="5D692B4A"/>
    <w:rsid w:val="5D760DFE"/>
    <w:rsid w:val="5D972077"/>
    <w:rsid w:val="5DA87DE0"/>
    <w:rsid w:val="5DAB1143"/>
    <w:rsid w:val="5DB17D02"/>
    <w:rsid w:val="5DC0337C"/>
    <w:rsid w:val="5DCF2503"/>
    <w:rsid w:val="5DD43000"/>
    <w:rsid w:val="5DD619A0"/>
    <w:rsid w:val="5DD97B2E"/>
    <w:rsid w:val="5DE33377"/>
    <w:rsid w:val="5DE52DE2"/>
    <w:rsid w:val="5E183CFF"/>
    <w:rsid w:val="5E1E394A"/>
    <w:rsid w:val="5E2B7EEF"/>
    <w:rsid w:val="5E2C0A11"/>
    <w:rsid w:val="5E416216"/>
    <w:rsid w:val="5E4C10B3"/>
    <w:rsid w:val="5E50072C"/>
    <w:rsid w:val="5E52616B"/>
    <w:rsid w:val="5E6623EB"/>
    <w:rsid w:val="5E67417C"/>
    <w:rsid w:val="5E6B1C04"/>
    <w:rsid w:val="5E6C3504"/>
    <w:rsid w:val="5E8048B9"/>
    <w:rsid w:val="5E912F6A"/>
    <w:rsid w:val="5E914D18"/>
    <w:rsid w:val="5E9345EC"/>
    <w:rsid w:val="5E946DA5"/>
    <w:rsid w:val="5E961741"/>
    <w:rsid w:val="5E9B254F"/>
    <w:rsid w:val="5EA05BE0"/>
    <w:rsid w:val="5EAE7678"/>
    <w:rsid w:val="5EBA601D"/>
    <w:rsid w:val="5EE673AD"/>
    <w:rsid w:val="5EF05EE3"/>
    <w:rsid w:val="5F0B4ACB"/>
    <w:rsid w:val="5F100333"/>
    <w:rsid w:val="5F5046EA"/>
    <w:rsid w:val="5F5F0972"/>
    <w:rsid w:val="5F6441ED"/>
    <w:rsid w:val="5F6661A5"/>
    <w:rsid w:val="5F6A6AC8"/>
    <w:rsid w:val="5F6F6A29"/>
    <w:rsid w:val="5F84250C"/>
    <w:rsid w:val="5F866EC2"/>
    <w:rsid w:val="5F875EC9"/>
    <w:rsid w:val="5F920EC8"/>
    <w:rsid w:val="5F9A5E4E"/>
    <w:rsid w:val="5F9E1348"/>
    <w:rsid w:val="5FA12D39"/>
    <w:rsid w:val="5FAA42E4"/>
    <w:rsid w:val="5FAC4886"/>
    <w:rsid w:val="5FB66D02"/>
    <w:rsid w:val="5FC058B5"/>
    <w:rsid w:val="5FC41398"/>
    <w:rsid w:val="5FE311ED"/>
    <w:rsid w:val="5FE42E7C"/>
    <w:rsid w:val="5FF2749D"/>
    <w:rsid w:val="5FF87C5D"/>
    <w:rsid w:val="600315B6"/>
    <w:rsid w:val="600E3B45"/>
    <w:rsid w:val="60273055"/>
    <w:rsid w:val="603242D9"/>
    <w:rsid w:val="60522285"/>
    <w:rsid w:val="605C5A30"/>
    <w:rsid w:val="607D63DF"/>
    <w:rsid w:val="60AE7E03"/>
    <w:rsid w:val="60B149D0"/>
    <w:rsid w:val="60B70030"/>
    <w:rsid w:val="60C90799"/>
    <w:rsid w:val="60D443A1"/>
    <w:rsid w:val="60DC2CC3"/>
    <w:rsid w:val="60E21853"/>
    <w:rsid w:val="61366D54"/>
    <w:rsid w:val="613720DD"/>
    <w:rsid w:val="613979C7"/>
    <w:rsid w:val="614E6EF1"/>
    <w:rsid w:val="615755BD"/>
    <w:rsid w:val="615D2A65"/>
    <w:rsid w:val="61613BEB"/>
    <w:rsid w:val="61693D2A"/>
    <w:rsid w:val="61796574"/>
    <w:rsid w:val="61880654"/>
    <w:rsid w:val="6189617B"/>
    <w:rsid w:val="619E4563"/>
    <w:rsid w:val="619F63A8"/>
    <w:rsid w:val="61CD6067"/>
    <w:rsid w:val="61DD059C"/>
    <w:rsid w:val="61E06BEB"/>
    <w:rsid w:val="61FB44F2"/>
    <w:rsid w:val="62026A91"/>
    <w:rsid w:val="625941A1"/>
    <w:rsid w:val="625C0D21"/>
    <w:rsid w:val="62671448"/>
    <w:rsid w:val="62726C0F"/>
    <w:rsid w:val="62875A90"/>
    <w:rsid w:val="629047BC"/>
    <w:rsid w:val="629762BF"/>
    <w:rsid w:val="62B13E15"/>
    <w:rsid w:val="62B56ACB"/>
    <w:rsid w:val="62C30852"/>
    <w:rsid w:val="62E61DA2"/>
    <w:rsid w:val="62EC0759"/>
    <w:rsid w:val="62FA0C93"/>
    <w:rsid w:val="62FD472A"/>
    <w:rsid w:val="63065CD5"/>
    <w:rsid w:val="631421D2"/>
    <w:rsid w:val="633012F7"/>
    <w:rsid w:val="6333416A"/>
    <w:rsid w:val="63414F5F"/>
    <w:rsid w:val="636C0637"/>
    <w:rsid w:val="63AA7892"/>
    <w:rsid w:val="63AB062A"/>
    <w:rsid w:val="63C65464"/>
    <w:rsid w:val="63D11CD0"/>
    <w:rsid w:val="63D60D6D"/>
    <w:rsid w:val="63DA0F0F"/>
    <w:rsid w:val="63DC4C88"/>
    <w:rsid w:val="63EB4B5E"/>
    <w:rsid w:val="63FE1B1D"/>
    <w:rsid w:val="64083EBA"/>
    <w:rsid w:val="640A6B8A"/>
    <w:rsid w:val="64243F39"/>
    <w:rsid w:val="64262637"/>
    <w:rsid w:val="643423CE"/>
    <w:rsid w:val="64430863"/>
    <w:rsid w:val="64441708"/>
    <w:rsid w:val="644B2E9F"/>
    <w:rsid w:val="6469042C"/>
    <w:rsid w:val="647944D1"/>
    <w:rsid w:val="647D7FBC"/>
    <w:rsid w:val="64802D6E"/>
    <w:rsid w:val="64805613"/>
    <w:rsid w:val="648A0240"/>
    <w:rsid w:val="64B11C70"/>
    <w:rsid w:val="64BD5DA3"/>
    <w:rsid w:val="64C67161"/>
    <w:rsid w:val="64E42046"/>
    <w:rsid w:val="64EA5182"/>
    <w:rsid w:val="64EC297E"/>
    <w:rsid w:val="64F102BF"/>
    <w:rsid w:val="64FE364A"/>
    <w:rsid w:val="650D2C1F"/>
    <w:rsid w:val="65337EC4"/>
    <w:rsid w:val="654B7228"/>
    <w:rsid w:val="654D7C2E"/>
    <w:rsid w:val="65505F7C"/>
    <w:rsid w:val="6593581A"/>
    <w:rsid w:val="65C200D8"/>
    <w:rsid w:val="65C41297"/>
    <w:rsid w:val="65CF5000"/>
    <w:rsid w:val="65D969F1"/>
    <w:rsid w:val="65F468C3"/>
    <w:rsid w:val="66081D64"/>
    <w:rsid w:val="660B53B0"/>
    <w:rsid w:val="661669E2"/>
    <w:rsid w:val="661B76D3"/>
    <w:rsid w:val="662B74D0"/>
    <w:rsid w:val="662D3578"/>
    <w:rsid w:val="663533F6"/>
    <w:rsid w:val="663F14FE"/>
    <w:rsid w:val="663F7253"/>
    <w:rsid w:val="66415147"/>
    <w:rsid w:val="664D7777"/>
    <w:rsid w:val="667529CC"/>
    <w:rsid w:val="66763171"/>
    <w:rsid w:val="667D51BE"/>
    <w:rsid w:val="667E6793"/>
    <w:rsid w:val="66860EDB"/>
    <w:rsid w:val="669C0748"/>
    <w:rsid w:val="66A51361"/>
    <w:rsid w:val="66A80E51"/>
    <w:rsid w:val="66A8260B"/>
    <w:rsid w:val="66AB3962"/>
    <w:rsid w:val="66C12C09"/>
    <w:rsid w:val="66C15989"/>
    <w:rsid w:val="66C739CD"/>
    <w:rsid w:val="66C814F3"/>
    <w:rsid w:val="66DE6A20"/>
    <w:rsid w:val="66E6060C"/>
    <w:rsid w:val="66EB050D"/>
    <w:rsid w:val="67055E1B"/>
    <w:rsid w:val="672277D6"/>
    <w:rsid w:val="67290209"/>
    <w:rsid w:val="67290ACE"/>
    <w:rsid w:val="672F50CE"/>
    <w:rsid w:val="67307EB3"/>
    <w:rsid w:val="67355406"/>
    <w:rsid w:val="6739040E"/>
    <w:rsid w:val="674E60A1"/>
    <w:rsid w:val="675D60DF"/>
    <w:rsid w:val="676129D2"/>
    <w:rsid w:val="67644C59"/>
    <w:rsid w:val="677B490E"/>
    <w:rsid w:val="677B7C35"/>
    <w:rsid w:val="6785559A"/>
    <w:rsid w:val="678673E4"/>
    <w:rsid w:val="678A6C8A"/>
    <w:rsid w:val="67955879"/>
    <w:rsid w:val="67B5271A"/>
    <w:rsid w:val="67B57CC9"/>
    <w:rsid w:val="67C021CA"/>
    <w:rsid w:val="67E916C6"/>
    <w:rsid w:val="67E934CF"/>
    <w:rsid w:val="67EC408F"/>
    <w:rsid w:val="67FE19E3"/>
    <w:rsid w:val="68071BA7"/>
    <w:rsid w:val="68125890"/>
    <w:rsid w:val="682E5386"/>
    <w:rsid w:val="683B4874"/>
    <w:rsid w:val="683F7593"/>
    <w:rsid w:val="684352D5"/>
    <w:rsid w:val="684A6664"/>
    <w:rsid w:val="684F3C7A"/>
    <w:rsid w:val="68A67612"/>
    <w:rsid w:val="68AE414D"/>
    <w:rsid w:val="68C6767F"/>
    <w:rsid w:val="68E424F2"/>
    <w:rsid w:val="68EB171F"/>
    <w:rsid w:val="68F12C01"/>
    <w:rsid w:val="68FA6539"/>
    <w:rsid w:val="69045669"/>
    <w:rsid w:val="69061428"/>
    <w:rsid w:val="690F3409"/>
    <w:rsid w:val="6927078B"/>
    <w:rsid w:val="69286279"/>
    <w:rsid w:val="693F5EA4"/>
    <w:rsid w:val="69460607"/>
    <w:rsid w:val="694858F0"/>
    <w:rsid w:val="69550BFB"/>
    <w:rsid w:val="696A6B29"/>
    <w:rsid w:val="696E0A9A"/>
    <w:rsid w:val="69715E72"/>
    <w:rsid w:val="69750E21"/>
    <w:rsid w:val="6985687C"/>
    <w:rsid w:val="699851AD"/>
    <w:rsid w:val="69A048BD"/>
    <w:rsid w:val="69A71034"/>
    <w:rsid w:val="69A83492"/>
    <w:rsid w:val="69A9560C"/>
    <w:rsid w:val="69C27B02"/>
    <w:rsid w:val="69E623BC"/>
    <w:rsid w:val="69ED6F02"/>
    <w:rsid w:val="69EE7223"/>
    <w:rsid w:val="69FD14B4"/>
    <w:rsid w:val="6A056DDC"/>
    <w:rsid w:val="6A057393"/>
    <w:rsid w:val="6A0E1913"/>
    <w:rsid w:val="6A143694"/>
    <w:rsid w:val="6A1C0949"/>
    <w:rsid w:val="6A1E0A41"/>
    <w:rsid w:val="6A2E3F76"/>
    <w:rsid w:val="6A2E73C3"/>
    <w:rsid w:val="6A472B4C"/>
    <w:rsid w:val="6A63210D"/>
    <w:rsid w:val="6A8120E5"/>
    <w:rsid w:val="6A987C6F"/>
    <w:rsid w:val="6AAA1DFE"/>
    <w:rsid w:val="6AAF79FF"/>
    <w:rsid w:val="6AC00E5F"/>
    <w:rsid w:val="6AC306AA"/>
    <w:rsid w:val="6AC33F7B"/>
    <w:rsid w:val="6AC60616"/>
    <w:rsid w:val="6AC87871"/>
    <w:rsid w:val="6AD26369"/>
    <w:rsid w:val="6AEB19C5"/>
    <w:rsid w:val="6AF40B09"/>
    <w:rsid w:val="6B193F82"/>
    <w:rsid w:val="6B3453A9"/>
    <w:rsid w:val="6B39476E"/>
    <w:rsid w:val="6B450D39"/>
    <w:rsid w:val="6B4A1FF9"/>
    <w:rsid w:val="6B592AF9"/>
    <w:rsid w:val="6B633598"/>
    <w:rsid w:val="6B7E44A8"/>
    <w:rsid w:val="6B802B7B"/>
    <w:rsid w:val="6B851761"/>
    <w:rsid w:val="6B9D2F4E"/>
    <w:rsid w:val="6BA22313"/>
    <w:rsid w:val="6BAF67DE"/>
    <w:rsid w:val="6BB32772"/>
    <w:rsid w:val="6BB641D1"/>
    <w:rsid w:val="6BDD77EF"/>
    <w:rsid w:val="6BE75F78"/>
    <w:rsid w:val="6BFB26B9"/>
    <w:rsid w:val="6C003F58"/>
    <w:rsid w:val="6C0510AF"/>
    <w:rsid w:val="6C0A12A0"/>
    <w:rsid w:val="6C1E27FB"/>
    <w:rsid w:val="6C2125B9"/>
    <w:rsid w:val="6C45127D"/>
    <w:rsid w:val="6C465394"/>
    <w:rsid w:val="6C477A48"/>
    <w:rsid w:val="6C497C2B"/>
    <w:rsid w:val="6C4D6279"/>
    <w:rsid w:val="6C691929"/>
    <w:rsid w:val="6C6B4DFB"/>
    <w:rsid w:val="6C80161C"/>
    <w:rsid w:val="6C8346BA"/>
    <w:rsid w:val="6C8C7A1A"/>
    <w:rsid w:val="6C8E07EB"/>
    <w:rsid w:val="6C922387"/>
    <w:rsid w:val="6CAA1C24"/>
    <w:rsid w:val="6CC5763D"/>
    <w:rsid w:val="6CD7449F"/>
    <w:rsid w:val="6CEF50C6"/>
    <w:rsid w:val="6CF43A7A"/>
    <w:rsid w:val="6CF803B7"/>
    <w:rsid w:val="6CFD633E"/>
    <w:rsid w:val="6D1A3AF6"/>
    <w:rsid w:val="6D281E21"/>
    <w:rsid w:val="6D295F60"/>
    <w:rsid w:val="6D347596"/>
    <w:rsid w:val="6D596E90"/>
    <w:rsid w:val="6D68758C"/>
    <w:rsid w:val="6D82064E"/>
    <w:rsid w:val="6D860032"/>
    <w:rsid w:val="6D8D73E3"/>
    <w:rsid w:val="6DA07862"/>
    <w:rsid w:val="6DAB5AB0"/>
    <w:rsid w:val="6DAE7C8E"/>
    <w:rsid w:val="6DD864C0"/>
    <w:rsid w:val="6DE33684"/>
    <w:rsid w:val="6DE60B88"/>
    <w:rsid w:val="6DEB5D49"/>
    <w:rsid w:val="6DF33D76"/>
    <w:rsid w:val="6DF40A60"/>
    <w:rsid w:val="6DFD3487"/>
    <w:rsid w:val="6DFF1AAA"/>
    <w:rsid w:val="6E015BBB"/>
    <w:rsid w:val="6E061D25"/>
    <w:rsid w:val="6E0F7A08"/>
    <w:rsid w:val="6E2B7977"/>
    <w:rsid w:val="6E2E4063"/>
    <w:rsid w:val="6E3C285F"/>
    <w:rsid w:val="6E562AD8"/>
    <w:rsid w:val="6E5E6D9D"/>
    <w:rsid w:val="6E772037"/>
    <w:rsid w:val="6E786804"/>
    <w:rsid w:val="6E8250F1"/>
    <w:rsid w:val="6E846A90"/>
    <w:rsid w:val="6E9D5013"/>
    <w:rsid w:val="6EAD16FA"/>
    <w:rsid w:val="6ECB4CD8"/>
    <w:rsid w:val="6ECE1BA8"/>
    <w:rsid w:val="6ECF5D6D"/>
    <w:rsid w:val="6EDC418C"/>
    <w:rsid w:val="6EE67590"/>
    <w:rsid w:val="6EEA69AD"/>
    <w:rsid w:val="6EEE6498"/>
    <w:rsid w:val="6EFD1D73"/>
    <w:rsid w:val="6EFD5AB2"/>
    <w:rsid w:val="6F053C43"/>
    <w:rsid w:val="6F075837"/>
    <w:rsid w:val="6F1B6067"/>
    <w:rsid w:val="6F256125"/>
    <w:rsid w:val="6F2620DC"/>
    <w:rsid w:val="6F28453E"/>
    <w:rsid w:val="6F4656AB"/>
    <w:rsid w:val="6F49551F"/>
    <w:rsid w:val="6F540B15"/>
    <w:rsid w:val="6F54601A"/>
    <w:rsid w:val="6F597080"/>
    <w:rsid w:val="6F626E48"/>
    <w:rsid w:val="6F812184"/>
    <w:rsid w:val="6F845B2B"/>
    <w:rsid w:val="6F8D5088"/>
    <w:rsid w:val="6F970471"/>
    <w:rsid w:val="6F974654"/>
    <w:rsid w:val="6FC51A41"/>
    <w:rsid w:val="6FC532F8"/>
    <w:rsid w:val="6FE32EFA"/>
    <w:rsid w:val="6FEC1DAE"/>
    <w:rsid w:val="6FF8441E"/>
    <w:rsid w:val="70300C7F"/>
    <w:rsid w:val="70385739"/>
    <w:rsid w:val="704020FA"/>
    <w:rsid w:val="70457711"/>
    <w:rsid w:val="704A5564"/>
    <w:rsid w:val="70751679"/>
    <w:rsid w:val="708B47AA"/>
    <w:rsid w:val="70981E9C"/>
    <w:rsid w:val="709F2104"/>
    <w:rsid w:val="70A47E6A"/>
    <w:rsid w:val="70B52D25"/>
    <w:rsid w:val="70C36F04"/>
    <w:rsid w:val="70C740E1"/>
    <w:rsid w:val="70D319E7"/>
    <w:rsid w:val="70D75F53"/>
    <w:rsid w:val="70D80585"/>
    <w:rsid w:val="70EC468E"/>
    <w:rsid w:val="70EE7DA8"/>
    <w:rsid w:val="70FD71A6"/>
    <w:rsid w:val="71082AAC"/>
    <w:rsid w:val="71202DBA"/>
    <w:rsid w:val="71614A1E"/>
    <w:rsid w:val="71902BFF"/>
    <w:rsid w:val="719A5DCE"/>
    <w:rsid w:val="71A74762"/>
    <w:rsid w:val="71BA28B0"/>
    <w:rsid w:val="71BD203C"/>
    <w:rsid w:val="71D76943"/>
    <w:rsid w:val="72035AD5"/>
    <w:rsid w:val="72127AC6"/>
    <w:rsid w:val="72135D18"/>
    <w:rsid w:val="72172DD6"/>
    <w:rsid w:val="72190E55"/>
    <w:rsid w:val="723E4170"/>
    <w:rsid w:val="724759C2"/>
    <w:rsid w:val="72516841"/>
    <w:rsid w:val="726A16B0"/>
    <w:rsid w:val="726F7761"/>
    <w:rsid w:val="72780225"/>
    <w:rsid w:val="727C5F33"/>
    <w:rsid w:val="727F77F5"/>
    <w:rsid w:val="72816D82"/>
    <w:rsid w:val="729C3F60"/>
    <w:rsid w:val="72B70089"/>
    <w:rsid w:val="72B73C27"/>
    <w:rsid w:val="72C7009D"/>
    <w:rsid w:val="72DB0E40"/>
    <w:rsid w:val="72FD42D3"/>
    <w:rsid w:val="72FF004B"/>
    <w:rsid w:val="731F249B"/>
    <w:rsid w:val="73253671"/>
    <w:rsid w:val="73306456"/>
    <w:rsid w:val="73317A27"/>
    <w:rsid w:val="73357E69"/>
    <w:rsid w:val="733817AF"/>
    <w:rsid w:val="735B6DB7"/>
    <w:rsid w:val="735C2691"/>
    <w:rsid w:val="737353DE"/>
    <w:rsid w:val="73767F05"/>
    <w:rsid w:val="7379604F"/>
    <w:rsid w:val="73886292"/>
    <w:rsid w:val="73935567"/>
    <w:rsid w:val="73A62438"/>
    <w:rsid w:val="73BA21C4"/>
    <w:rsid w:val="73BA3CC2"/>
    <w:rsid w:val="73BE02D8"/>
    <w:rsid w:val="73D50144"/>
    <w:rsid w:val="73E060CE"/>
    <w:rsid w:val="73F46EFB"/>
    <w:rsid w:val="73F602AE"/>
    <w:rsid w:val="740D1EA9"/>
    <w:rsid w:val="741E5489"/>
    <w:rsid w:val="741F7825"/>
    <w:rsid w:val="742F7A23"/>
    <w:rsid w:val="74325266"/>
    <w:rsid w:val="7452064E"/>
    <w:rsid w:val="745443C6"/>
    <w:rsid w:val="74685677"/>
    <w:rsid w:val="74895730"/>
    <w:rsid w:val="74943E9C"/>
    <w:rsid w:val="749A50E1"/>
    <w:rsid w:val="749B1FF5"/>
    <w:rsid w:val="749F1AE5"/>
    <w:rsid w:val="74A0551B"/>
    <w:rsid w:val="74A30713"/>
    <w:rsid w:val="74B6122E"/>
    <w:rsid w:val="74BD640F"/>
    <w:rsid w:val="74CA6436"/>
    <w:rsid w:val="74EE481B"/>
    <w:rsid w:val="750F7705"/>
    <w:rsid w:val="75241FEA"/>
    <w:rsid w:val="75275B9B"/>
    <w:rsid w:val="75275C40"/>
    <w:rsid w:val="752D0D38"/>
    <w:rsid w:val="753560F9"/>
    <w:rsid w:val="758A424E"/>
    <w:rsid w:val="758E3C4E"/>
    <w:rsid w:val="75947170"/>
    <w:rsid w:val="75A44310"/>
    <w:rsid w:val="75A83AFD"/>
    <w:rsid w:val="75B52BD6"/>
    <w:rsid w:val="75B72D40"/>
    <w:rsid w:val="75BB6DDA"/>
    <w:rsid w:val="75BC0475"/>
    <w:rsid w:val="75C84C1B"/>
    <w:rsid w:val="75E85141"/>
    <w:rsid w:val="760A3051"/>
    <w:rsid w:val="760B6D06"/>
    <w:rsid w:val="761262E7"/>
    <w:rsid w:val="76155DFB"/>
    <w:rsid w:val="76230272"/>
    <w:rsid w:val="76263B40"/>
    <w:rsid w:val="76360227"/>
    <w:rsid w:val="76371C9A"/>
    <w:rsid w:val="763E40F3"/>
    <w:rsid w:val="764D35D7"/>
    <w:rsid w:val="76581B86"/>
    <w:rsid w:val="765A1DB4"/>
    <w:rsid w:val="765A68B9"/>
    <w:rsid w:val="7662023E"/>
    <w:rsid w:val="76643AE7"/>
    <w:rsid w:val="767A306F"/>
    <w:rsid w:val="7684793E"/>
    <w:rsid w:val="769767EC"/>
    <w:rsid w:val="76983734"/>
    <w:rsid w:val="76A235BC"/>
    <w:rsid w:val="76C02622"/>
    <w:rsid w:val="76F62536"/>
    <w:rsid w:val="76F63F8E"/>
    <w:rsid w:val="7705394C"/>
    <w:rsid w:val="77541DD9"/>
    <w:rsid w:val="775B3563"/>
    <w:rsid w:val="77737259"/>
    <w:rsid w:val="77750B1E"/>
    <w:rsid w:val="77785FC0"/>
    <w:rsid w:val="777C69F4"/>
    <w:rsid w:val="7782124A"/>
    <w:rsid w:val="779D6D1F"/>
    <w:rsid w:val="77B37656"/>
    <w:rsid w:val="77C3377A"/>
    <w:rsid w:val="77C35AEB"/>
    <w:rsid w:val="77C655DB"/>
    <w:rsid w:val="77C74EAF"/>
    <w:rsid w:val="77DE46D3"/>
    <w:rsid w:val="77E617D9"/>
    <w:rsid w:val="77EB6DF0"/>
    <w:rsid w:val="77F43EF6"/>
    <w:rsid w:val="78024049"/>
    <w:rsid w:val="780802FA"/>
    <w:rsid w:val="78177082"/>
    <w:rsid w:val="78212811"/>
    <w:rsid w:val="785051F3"/>
    <w:rsid w:val="78632E2A"/>
    <w:rsid w:val="7864586A"/>
    <w:rsid w:val="78646F86"/>
    <w:rsid w:val="787057C4"/>
    <w:rsid w:val="78727E4E"/>
    <w:rsid w:val="7873289B"/>
    <w:rsid w:val="787B63C5"/>
    <w:rsid w:val="78880AE2"/>
    <w:rsid w:val="78886D34"/>
    <w:rsid w:val="78A23952"/>
    <w:rsid w:val="78AE072B"/>
    <w:rsid w:val="78AE0DB3"/>
    <w:rsid w:val="78B638A1"/>
    <w:rsid w:val="78C7160B"/>
    <w:rsid w:val="78CE6947"/>
    <w:rsid w:val="790E6259"/>
    <w:rsid w:val="791D122B"/>
    <w:rsid w:val="79294073"/>
    <w:rsid w:val="792B34EF"/>
    <w:rsid w:val="792B7DEB"/>
    <w:rsid w:val="79325BEF"/>
    <w:rsid w:val="793B3DA7"/>
    <w:rsid w:val="79420C91"/>
    <w:rsid w:val="797445F1"/>
    <w:rsid w:val="79821A9D"/>
    <w:rsid w:val="79A75DED"/>
    <w:rsid w:val="79BB0B66"/>
    <w:rsid w:val="79BC3EB0"/>
    <w:rsid w:val="79D02741"/>
    <w:rsid w:val="79F20909"/>
    <w:rsid w:val="7A0648A7"/>
    <w:rsid w:val="7A096D9E"/>
    <w:rsid w:val="7A0E5017"/>
    <w:rsid w:val="7A116EA2"/>
    <w:rsid w:val="7A1350B3"/>
    <w:rsid w:val="7A2041A1"/>
    <w:rsid w:val="7A2E7B6A"/>
    <w:rsid w:val="7A3D378A"/>
    <w:rsid w:val="7A4A42A1"/>
    <w:rsid w:val="7A4D2AE1"/>
    <w:rsid w:val="7A886B78"/>
    <w:rsid w:val="7A8D0632"/>
    <w:rsid w:val="7A940CEF"/>
    <w:rsid w:val="7AA42D9E"/>
    <w:rsid w:val="7AB908C6"/>
    <w:rsid w:val="7AC06311"/>
    <w:rsid w:val="7AEF6BF7"/>
    <w:rsid w:val="7AF97A75"/>
    <w:rsid w:val="7B5353D8"/>
    <w:rsid w:val="7B53600E"/>
    <w:rsid w:val="7B660B9C"/>
    <w:rsid w:val="7B7E43E3"/>
    <w:rsid w:val="7B864A64"/>
    <w:rsid w:val="7B973491"/>
    <w:rsid w:val="7BB43953"/>
    <w:rsid w:val="7BB87930"/>
    <w:rsid w:val="7BD15117"/>
    <w:rsid w:val="7BD27A5D"/>
    <w:rsid w:val="7BDF0A19"/>
    <w:rsid w:val="7BE1477E"/>
    <w:rsid w:val="7BED5740"/>
    <w:rsid w:val="7C010D1F"/>
    <w:rsid w:val="7C085991"/>
    <w:rsid w:val="7C2B29AB"/>
    <w:rsid w:val="7C37476C"/>
    <w:rsid w:val="7C445F6B"/>
    <w:rsid w:val="7C465062"/>
    <w:rsid w:val="7C4A252D"/>
    <w:rsid w:val="7C4A67DB"/>
    <w:rsid w:val="7C4F3EB5"/>
    <w:rsid w:val="7C550AA2"/>
    <w:rsid w:val="7C5D397B"/>
    <w:rsid w:val="7C6B1D2B"/>
    <w:rsid w:val="7C75137E"/>
    <w:rsid w:val="7C923CDE"/>
    <w:rsid w:val="7C9C1750"/>
    <w:rsid w:val="7C9F18C8"/>
    <w:rsid w:val="7CA0289E"/>
    <w:rsid w:val="7CC72DC3"/>
    <w:rsid w:val="7CE81B50"/>
    <w:rsid w:val="7D1564DB"/>
    <w:rsid w:val="7D1A3036"/>
    <w:rsid w:val="7D212011"/>
    <w:rsid w:val="7D2A660C"/>
    <w:rsid w:val="7D366731"/>
    <w:rsid w:val="7D3D1E9B"/>
    <w:rsid w:val="7D513B99"/>
    <w:rsid w:val="7D5353F5"/>
    <w:rsid w:val="7D552799"/>
    <w:rsid w:val="7D6F7660"/>
    <w:rsid w:val="7D7B1F42"/>
    <w:rsid w:val="7D8B6E4D"/>
    <w:rsid w:val="7D8E1243"/>
    <w:rsid w:val="7D935F5F"/>
    <w:rsid w:val="7DA95783"/>
    <w:rsid w:val="7DAA70EE"/>
    <w:rsid w:val="7DD32800"/>
    <w:rsid w:val="7DD52BE0"/>
    <w:rsid w:val="7DE467BB"/>
    <w:rsid w:val="7DFA7D8C"/>
    <w:rsid w:val="7E012B5A"/>
    <w:rsid w:val="7E09289C"/>
    <w:rsid w:val="7E133C92"/>
    <w:rsid w:val="7E150010"/>
    <w:rsid w:val="7E176C01"/>
    <w:rsid w:val="7E1A4D7A"/>
    <w:rsid w:val="7E2D63B4"/>
    <w:rsid w:val="7E35461F"/>
    <w:rsid w:val="7E361EBB"/>
    <w:rsid w:val="7E525835"/>
    <w:rsid w:val="7E5E47BF"/>
    <w:rsid w:val="7E5F4018"/>
    <w:rsid w:val="7E6943E0"/>
    <w:rsid w:val="7E7E10FB"/>
    <w:rsid w:val="7E843835"/>
    <w:rsid w:val="7E8C712F"/>
    <w:rsid w:val="7E993502"/>
    <w:rsid w:val="7EA0044B"/>
    <w:rsid w:val="7EA87DB4"/>
    <w:rsid w:val="7ECA3E11"/>
    <w:rsid w:val="7ED405DD"/>
    <w:rsid w:val="7ED62316"/>
    <w:rsid w:val="7EE36A72"/>
    <w:rsid w:val="7EF4608E"/>
    <w:rsid w:val="7EFE1AFE"/>
    <w:rsid w:val="7F0A3FFF"/>
    <w:rsid w:val="7F196938"/>
    <w:rsid w:val="7F2210EE"/>
    <w:rsid w:val="7F46773E"/>
    <w:rsid w:val="7F4B6252"/>
    <w:rsid w:val="7F547970"/>
    <w:rsid w:val="7F5E2CF2"/>
    <w:rsid w:val="7F7B4EFD"/>
    <w:rsid w:val="7FAE0E2E"/>
    <w:rsid w:val="7FBA59C5"/>
    <w:rsid w:val="7FCC4CBB"/>
    <w:rsid w:val="7FE14118"/>
    <w:rsid w:val="7FEE1B7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1"/>
    <w:rPr>
      <w:sz w:val="28"/>
      <w:szCs w:val="28"/>
    </w:rPr>
  </w:style>
  <w:style w:type="paragraph" w:styleId="5">
    <w:name w:val="toc 5"/>
    <w:basedOn w:val="1"/>
    <w:next w:val="1"/>
    <w:qFormat/>
    <w:uiPriority w:val="0"/>
    <w:pPr>
      <w:ind w:left="1680" w:leftChars="800"/>
    </w:pPr>
    <w:rPr>
      <w:rFonts w:ascii="Times New Roman" w:hAnsi="Times New Roman" w:eastAsia="宋体" w:cs="Times New Roman"/>
      <w:szCs w:val="24"/>
    </w:rPr>
  </w:style>
  <w:style w:type="paragraph" w:styleId="6">
    <w:name w:val="Body Text Indent"/>
    <w:basedOn w:val="1"/>
    <w:qFormat/>
    <w:uiPriority w:val="0"/>
    <w:pPr>
      <w:ind w:firstLine="720" w:firstLineChars="257"/>
    </w:pPr>
    <w:rPr>
      <w:rFonts w:ascii="Calibri" w:hAnsi="Calibri" w:cs="Times New Roman"/>
      <w:kern w:val="0"/>
      <w:sz w:val="20"/>
    </w:rPr>
  </w:style>
  <w:style w:type="paragraph" w:styleId="7">
    <w:name w:val="Body Text Indent 2"/>
    <w:basedOn w:val="1"/>
    <w:qFormat/>
    <w:uiPriority w:val="0"/>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autoRedefine/>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paragraph" w:customStyle="1" w:styleId="18">
    <w:name w:val="Table Text"/>
    <w:basedOn w:val="1"/>
    <w:autoRedefine/>
    <w:semiHidden/>
    <w:qFormat/>
    <w:uiPriority w:val="0"/>
    <w:rPr>
      <w:rFonts w:ascii="宋体" w:hAnsi="宋体" w:eastAsia="宋体" w:cs="宋体"/>
      <w:sz w:val="18"/>
      <w:szCs w:val="18"/>
      <w:lang w:val="en-US" w:eastAsia="en-US" w:bidi="ar-SA"/>
    </w:rPr>
  </w:style>
  <w:style w:type="character" w:customStyle="1" w:styleId="19">
    <w:name w:val="font41"/>
    <w:basedOn w:val="16"/>
    <w:autoRedefine/>
    <w:qFormat/>
    <w:uiPriority w:val="0"/>
    <w:rPr>
      <w:rFonts w:hint="eastAsia" w:ascii="宋体" w:hAnsi="宋体" w:eastAsia="宋体" w:cs="宋体"/>
      <w:color w:val="000000"/>
      <w:sz w:val="18"/>
      <w:szCs w:val="18"/>
      <w:u w:val="none"/>
    </w:rPr>
  </w:style>
  <w:style w:type="character" w:customStyle="1" w:styleId="20">
    <w:name w:val="font51"/>
    <w:basedOn w:val="16"/>
    <w:autoRedefine/>
    <w:qFormat/>
    <w:uiPriority w:val="0"/>
    <w:rPr>
      <w:rFonts w:hint="eastAsia" w:ascii="宋体" w:hAnsi="宋体" w:eastAsia="宋体" w:cs="宋体"/>
      <w:color w:val="000000"/>
      <w:sz w:val="18"/>
      <w:szCs w:val="18"/>
      <w:u w:val="none"/>
    </w:rPr>
  </w:style>
  <w:style w:type="character" w:customStyle="1" w:styleId="21">
    <w:name w:val="font11"/>
    <w:basedOn w:val="16"/>
    <w:qFormat/>
    <w:uiPriority w:val="0"/>
    <w:rPr>
      <w:rFonts w:hint="eastAsia" w:ascii="宋体" w:hAnsi="宋体" w:eastAsia="宋体" w:cs="宋体"/>
      <w:color w:val="000000"/>
      <w:sz w:val="22"/>
      <w:szCs w:val="22"/>
      <w:u w:val="none"/>
    </w:rPr>
  </w:style>
  <w:style w:type="character" w:customStyle="1" w:styleId="22">
    <w:name w:val="font21"/>
    <w:basedOn w:val="16"/>
    <w:qFormat/>
    <w:uiPriority w:val="0"/>
    <w:rPr>
      <w:rFonts w:hint="eastAsia" w:ascii="宋体" w:hAnsi="宋体" w:eastAsia="宋体" w:cs="宋体"/>
      <w:color w:val="000000"/>
      <w:sz w:val="21"/>
      <w:szCs w:val="21"/>
      <w:u w:val="none"/>
    </w:rPr>
  </w:style>
  <w:style w:type="character" w:customStyle="1" w:styleId="23">
    <w:name w:val="font01"/>
    <w:basedOn w:val="16"/>
    <w:qFormat/>
    <w:uiPriority w:val="0"/>
    <w:rPr>
      <w:rFonts w:hint="eastAsia" w:ascii="宋体" w:hAnsi="宋体" w:eastAsia="宋体" w:cs="宋体"/>
      <w:color w:val="000000"/>
      <w:sz w:val="22"/>
      <w:szCs w:val="22"/>
      <w:u w:val="none"/>
    </w:rPr>
  </w:style>
  <w:style w:type="character" w:customStyle="1" w:styleId="24">
    <w:name w:val="font31"/>
    <w:basedOn w:val="16"/>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7.emf"/><Relationship Id="rId26" Type="http://schemas.openxmlformats.org/officeDocument/2006/relationships/image" Target="media/image16.emf"/><Relationship Id="rId25" Type="http://schemas.openxmlformats.org/officeDocument/2006/relationships/image" Target="media/image15.emf"/><Relationship Id="rId24" Type="http://schemas.openxmlformats.org/officeDocument/2006/relationships/chart" Target="charts/chart4.xml"/><Relationship Id="rId23" Type="http://schemas.openxmlformats.org/officeDocument/2006/relationships/image" Target="media/image14.emf"/><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chart" Target="charts/chart3.xml"/><Relationship Id="rId17" Type="http://schemas.openxmlformats.org/officeDocument/2006/relationships/image" Target="media/image9.emf"/><Relationship Id="rId16" Type="http://schemas.openxmlformats.org/officeDocument/2006/relationships/image" Target="media/image8.emf"/><Relationship Id="rId15" Type="http://schemas.openxmlformats.org/officeDocument/2006/relationships/image" Target="media/image7.emf"/><Relationship Id="rId14" Type="http://schemas.openxmlformats.org/officeDocument/2006/relationships/chart" Target="charts/chart2.xml"/><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8&#21495;&#21306;&#20154;&#22823;\&#21306;&#20154;&#22823;\&#25903;&#20184;&#30003;&#35831;&#26126;&#32454;&#25253;&#34920;&#26597;&#35810;%20(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8&#21495;&#21306;&#20154;&#22823;\&#21306;&#20154;&#22823;\&#21333;&#20301;&#25351;&#26631;&#26597;&#35810;&#34920;%20(16).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8&#21495;&#21306;&#20154;&#22823;\&#21306;&#20154;&#22823;2024&#24180;&#24213;&#312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8&#21495;&#21306;&#20154;&#22823;\&#21306;&#20154;&#22823;2024&#24180;&#24213;&#312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财政授权支付与财政直接支付对比图（金额：元）</a:t>
            </a:r>
          </a:p>
        </c:rich>
      </c:tx>
      <c:layout/>
      <c:overlay val="0"/>
      <c:spPr>
        <a:noFill/>
        <a:ln>
          <a:noFill/>
        </a:ln>
        <a:effectLst/>
      </c:spPr>
    </c:title>
    <c:autoTitleDeleted val="0"/>
    <c:plotArea>
      <c:layout/>
      <c:pieChart>
        <c:varyColors val="1"/>
        <c:ser>
          <c:idx val="0"/>
          <c:order val="0"/>
          <c:tx>
            <c:strRef>
              <c:f>'[支付申请明细报表查询 (8).xlsx]Sheet3'!$D$42</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'[支付申请明细报表查询 (8).xlsx]Sheet3'!$C$43:$C$45</c:f>
              <c:strCache>
                <c:ptCount val="2"/>
                <c:pt idx="0">
                  <c:v>单位零余额支付</c:v>
                </c:pt>
                <c:pt idx="1">
                  <c:v>财政零余额支付</c:v>
                </c:pt>
              </c:strCache>
            </c:strRef>
          </c:cat>
          <c:val>
            <c:numRef>
              <c:f>'[支付申请明细报表查询 (8).xlsx]Sheet3'!$D$43:$D$45</c:f>
              <c:numCache>
                <c:formatCode>_ * #,##0.00_ ;_ * \-#,##0.00_ ;_ * "-"??_ ;_ @_ </c:formatCode>
                <c:ptCount val="2"/>
                <c:pt idx="0">
                  <c:v>6862276.26</c:v>
                </c:pt>
                <c:pt idx="1">
                  <c:v>2857159</c:v>
                </c:pt>
              </c:numCache>
            </c:numRef>
          </c:val>
          <c:extLst>
            <c:ext xmlns:c15="http://schemas.microsoft.com/office/drawing/2012/chart" uri="{02D57815-91ED-43cb-92C2-25804820EDAC}">
              <c15:datalabelsRange>
                <c15:f>Sheet3!$C$43:$C$44</c15:f>
                <c15:dlblRangeCache>
                  <c:ptCount val="2"/>
                  <c:pt idx="0">
                    <c:v>单位零余额支付</c:v>
                  </c:pt>
                  <c:pt idx="1">
                    <c:v>财政零余额支付</c:v>
                  </c:pt>
                </c15:dlblRangeCache>
              </c15:datalabelsRange>
            </c:ext>
          </c:extLst>
        </c:ser>
        <c:ser>
          <c:idx val="1"/>
          <c:order val="1"/>
          <c:tx>
            <c:strRef>
              <c:f>'[支付申请明细报表查询 (8).xlsx]Sheet3'!$E$42</c:f>
              <c:strCache>
                <c:ptCount val="1"/>
                <c:pt idx="0">
                  <c:v>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'[支付申请明细报表查询 (8).xlsx]Sheet3'!$C$43:$C$45</c:f>
              <c:strCache>
                <c:ptCount val="2"/>
                <c:pt idx="0">
                  <c:v>单位零余额支付</c:v>
                </c:pt>
                <c:pt idx="1">
                  <c:v>财政零余额支付</c:v>
                </c:pt>
              </c:strCache>
            </c:strRef>
          </c:cat>
          <c:val>
            <c:numRef>
              <c:f>'[支付申请明细报表查询 (8).xlsx]Sheet3'!$E$43:$E$45</c:f>
              <c:numCache>
                <c:formatCode>0.00%</c:formatCode>
                <c:ptCount val="2"/>
                <c:pt idx="0">
                  <c:v>0.706036521302988</c:v>
                </c:pt>
                <c:pt idx="1">
                  <c:v>0.293963478697012</c:v>
                </c:pt>
              </c:numCache>
            </c:numRef>
          </c:val>
        </c:ser>
        <c:dLbls>
          <c:showLegendKey val="0"/>
          <c:showVal val="1"/>
          <c:showCatName val="0"/>
          <c:showSerName val="0"/>
          <c:showPercent val="0"/>
          <c:showBubbleSize val="0"/>
          <c:showLeaderLines val="1"/>
        </c:dLbls>
        <c:firstSliceAng val="144"/>
      </c:pieChart>
      <c:spPr>
        <a:noFill/>
        <a:ln>
          <a:noFill/>
        </a:ln>
        <a:effectLst/>
      </c:spPr>
    </c:plotArea>
    <c:plotVisOnly val="1"/>
    <c:dispBlanksAs val="gap"/>
    <c:showDLblsOverMax val="0"/>
    <c:extLst>
      <c:ext uri="{0b15fc19-7d7d-44ad-8c2d-2c3a37ce22c3}">
        <chartProps xmlns="https://web.wps.cn/et/2018/main" chartId="{895af60b-f3d8-4950-8e67-1608c5b99e2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指标下达数与指标使用数对比图（单位：元）</a:t>
            </a:r>
          </a:p>
        </c:rich>
      </c:tx>
      <c:layout>
        <c:manualLayout>
          <c:xMode val="edge"/>
          <c:yMode val="edge"/>
          <c:x val="0.208731910718666"/>
          <c:y val="0.0387180038718004"/>
        </c:manualLayout>
      </c:layout>
      <c:overlay val="0"/>
      <c:spPr>
        <a:noFill/>
        <a:ln>
          <a:noFill/>
        </a:ln>
        <a:effectLst/>
      </c:spPr>
    </c:title>
    <c:autoTitleDeleted val="0"/>
    <c:plotArea>
      <c:layout/>
      <c:barChart>
        <c:barDir val="col"/>
        <c:grouping val="clustered"/>
        <c:varyColors val="0"/>
        <c:ser>
          <c:idx val="0"/>
          <c:order val="0"/>
          <c:tx>
            <c:strRef>
              <c:f>'[单位指标查询表 (16).xlsx]Sheet2'!$D$18</c:f>
              <c:strCache>
                <c:ptCount val="1"/>
                <c:pt idx="0">
                  <c:v>指标下达数</c:v>
                </c:pt>
              </c:strCache>
            </c:strRef>
          </c:tx>
          <c:spPr>
            <a:solidFill>
              <a:schemeClr val="accent1"/>
            </a:solidFill>
            <a:ln>
              <a:noFill/>
            </a:ln>
            <a:effectLst/>
          </c:spPr>
          <c:invertIfNegative val="0"/>
          <c:dLbls>
            <c:delete val="1"/>
          </c:dLbls>
          <c:cat>
            <c:strRef>
              <c:f>'[单位指标查询表 (16).xlsx]Sheet2'!$C$19:$C$30</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'[单位指标查询表 (16).xlsx]Sheet2'!$D$19:$D$30</c:f>
              <c:numCache>
                <c:formatCode>_ * #,##0.00_ ;_ * \-#,##0.00_ ;_ * "-"??_ ;_ @_ </c:formatCode>
                <c:ptCount val="12"/>
                <c:pt idx="0">
                  <c:v>8204851.61</c:v>
                </c:pt>
                <c:pt idx="1">
                  <c:v>240100</c:v>
                </c:pt>
                <c:pt idx="3">
                  <c:v>118000</c:v>
                </c:pt>
                <c:pt idx="4">
                  <c:v>100000</c:v>
                </c:pt>
                <c:pt idx="6">
                  <c:v>68577.6</c:v>
                </c:pt>
                <c:pt idx="8">
                  <c:v>230000</c:v>
                </c:pt>
                <c:pt idx="10">
                  <c:v>939600</c:v>
                </c:pt>
                <c:pt idx="11">
                  <c:v>329630.48</c:v>
                </c:pt>
              </c:numCache>
            </c:numRef>
          </c:val>
        </c:ser>
        <c:ser>
          <c:idx val="1"/>
          <c:order val="1"/>
          <c:tx>
            <c:strRef>
              <c:f>'[单位指标查询表 (16).xlsx]Sheet2'!$E$18</c:f>
              <c:strCache>
                <c:ptCount val="1"/>
                <c:pt idx="0">
                  <c:v>占比</c:v>
                </c:pt>
              </c:strCache>
            </c:strRef>
          </c:tx>
          <c:spPr>
            <a:solidFill>
              <a:schemeClr val="accent2"/>
            </a:solidFill>
            <a:ln>
              <a:noFill/>
            </a:ln>
            <a:effectLst/>
          </c:spPr>
          <c:invertIfNegative val="0"/>
          <c:dLbls>
            <c:delete val="1"/>
          </c:dLbls>
          <c:cat>
            <c:strRef>
              <c:f>'[单位指标查询表 (16).xlsx]Sheet2'!$C$19:$C$30</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'[单位指标查询表 (16).xlsx]Sheet2'!$E$19:$E$30</c:f>
              <c:numCache>
                <c:formatCode>0.00%</c:formatCode>
                <c:ptCount val="12"/>
                <c:pt idx="0">
                  <c:v>0.801978724807679</c:v>
                </c:pt>
                <c:pt idx="1">
                  <c:v>0.023468442938278</c:v>
                </c:pt>
                <c:pt idx="3">
                  <c:v>0.0115338453424274</c:v>
                </c:pt>
                <c:pt idx="4">
                  <c:v>0.00977444520544691</c:v>
                </c:pt>
                <c:pt idx="6">
                  <c:v>0.00670307993521056</c:v>
                </c:pt>
                <c:pt idx="8">
                  <c:v>0.0224812239725279</c:v>
                </c:pt>
                <c:pt idx="10">
                  <c:v>0.0918406871503792</c:v>
                </c:pt>
                <c:pt idx="11">
                  <c:v>0.0322195506480516</c:v>
                </c:pt>
              </c:numCache>
            </c:numRef>
          </c:val>
        </c:ser>
        <c:ser>
          <c:idx val="2"/>
          <c:order val="2"/>
          <c:tx>
            <c:strRef>
              <c:f>'[单位指标查询表 (16).xlsx]Sheet2'!$F$18</c:f>
              <c:strCache>
                <c:ptCount val="1"/>
                <c:pt idx="0">
                  <c:v>指标使用金额</c:v>
                </c:pt>
              </c:strCache>
            </c:strRef>
          </c:tx>
          <c:spPr>
            <a:solidFill>
              <a:schemeClr val="accent2"/>
            </a:solidFill>
            <a:ln>
              <a:noFill/>
            </a:ln>
            <a:effectLst/>
          </c:spPr>
          <c:invertIfNegative val="0"/>
          <c:dLbls>
            <c:delete val="1"/>
          </c:dLbls>
          <c:cat>
            <c:strRef>
              <c:f>'[单位指标查询表 (16).xlsx]Sheet2'!$C$19:$C$30</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'[单位指标查询表 (16).xlsx]Sheet2'!$F$19:$F$30</c:f>
              <c:numCache>
                <c:formatCode>_ * #,##0.00_ ;_ * \-#,##0.00_ ;_ * "-"??_ ;_ @_ </c:formatCode>
                <c:ptCount val="12"/>
                <c:pt idx="0">
                  <c:v>1445766.76</c:v>
                </c:pt>
                <c:pt idx="1">
                  <c:v>622318.18</c:v>
                </c:pt>
                <c:pt idx="2">
                  <c:v>598844.99</c:v>
                </c:pt>
                <c:pt idx="3">
                  <c:v>552846.07</c:v>
                </c:pt>
                <c:pt idx="4">
                  <c:v>529047.29</c:v>
                </c:pt>
                <c:pt idx="5">
                  <c:v>951313.19</c:v>
                </c:pt>
                <c:pt idx="6">
                  <c:v>305448.16</c:v>
                </c:pt>
                <c:pt idx="7">
                  <c:v>721196.5</c:v>
                </c:pt>
                <c:pt idx="8">
                  <c:v>977764.83</c:v>
                </c:pt>
                <c:pt idx="9">
                  <c:v>274752.07</c:v>
                </c:pt>
                <c:pt idx="10">
                  <c:v>912654.58</c:v>
                </c:pt>
                <c:pt idx="11">
                  <c:v>1827482.64</c:v>
                </c:pt>
              </c:numCache>
            </c:numRef>
          </c:val>
        </c:ser>
        <c:ser>
          <c:idx val="3"/>
          <c:order val="3"/>
          <c:tx>
            <c:strRef>
              <c:f>'[单位指标查询表 (16).xlsx]Sheet2'!$G$18</c:f>
              <c:strCache>
                <c:ptCount val="1"/>
                <c:pt idx="0">
                  <c:v>占比</c:v>
                </c:pt>
              </c:strCache>
            </c:strRef>
          </c:tx>
          <c:spPr>
            <a:solidFill>
              <a:schemeClr val="accent4"/>
            </a:solidFill>
            <a:ln>
              <a:noFill/>
            </a:ln>
            <a:effectLst/>
          </c:spPr>
          <c:invertIfNegative val="0"/>
          <c:dLbls>
            <c:delete val="1"/>
          </c:dLbls>
          <c:cat>
            <c:strRef>
              <c:f>'[单位指标查询表 (16).xlsx]Sheet2'!$C$19:$C$30</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'[单位指标查询表 (16).xlsx]Sheet2'!$G$19:$G$30</c:f>
              <c:numCache>
                <c:formatCode>0.00%</c:formatCode>
                <c:ptCount val="12"/>
                <c:pt idx="0">
                  <c:v>0.148750078715993</c:v>
                </c:pt>
                <c:pt idx="1">
                  <c:v>0.0640282242077509</c:v>
                </c:pt>
                <c:pt idx="2">
                  <c:v>0.0616131466469586</c:v>
                </c:pt>
                <c:pt idx="3">
                  <c:v>0.0568804724977406</c:v>
                </c:pt>
                <c:pt idx="4">
                  <c:v>0.0544318960770566</c:v>
                </c:pt>
                <c:pt idx="5">
                  <c:v>0.0978774141245733</c:v>
                </c:pt>
                <c:pt idx="6">
                  <c:v>0.031426533726405</c:v>
                </c:pt>
                <c:pt idx="7">
                  <c:v>0.0742014819490654</c:v>
                </c:pt>
                <c:pt idx="8">
                  <c:v>0.100598934387058</c:v>
                </c:pt>
                <c:pt idx="9">
                  <c:v>0.0282683162807548</c:v>
                </c:pt>
                <c:pt idx="10">
                  <c:v>0.0938999597801735</c:v>
                </c:pt>
                <c:pt idx="11">
                  <c:v>0.18802354160647</c:v>
                </c:pt>
              </c:numCache>
            </c:numRef>
          </c:val>
        </c:ser>
        <c:dLbls>
          <c:showLegendKey val="0"/>
          <c:showVal val="0"/>
          <c:showCatName val="0"/>
          <c:showSerName val="0"/>
          <c:showPercent val="0"/>
          <c:showBubbleSize val="0"/>
        </c:dLbls>
        <c:gapWidth val="0"/>
        <c:overlap val="50"/>
        <c:axId val="252296524"/>
        <c:axId val="147086549"/>
      </c:barChart>
      <c:catAx>
        <c:axId val="2522965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86549"/>
        <c:crosses val="autoZero"/>
        <c:auto val="1"/>
        <c:lblAlgn val="ctr"/>
        <c:lblOffset val="100"/>
        <c:noMultiLvlLbl val="0"/>
      </c:catAx>
      <c:valAx>
        <c:axId val="147086549"/>
        <c:scaling>
          <c:orientation val="minMax"/>
        </c:scaling>
        <c:delete val="0"/>
        <c:axPos val="l"/>
        <c:majorGridlines>
          <c:spPr>
            <a:ln w="9525" cap="flat" cmpd="sng" algn="ctr">
              <a:solidFill>
                <a:schemeClr val="lt1">
                  <a:lumMod val="902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296524"/>
        <c:crosses val="autoZero"/>
        <c:crossBetween val="between"/>
      </c:valAx>
      <c:spPr>
        <a:noFill/>
        <a:ln>
          <a:noFill/>
        </a:ln>
        <a:effectLst/>
      </c:spPr>
    </c:plotArea>
    <c:legend>
      <c:legendPos val="b"/>
      <c:legendEntry>
        <c:idx val="1"/>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1e13155-02bb-4963-98d2-8da0faafaa4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四数占比趋势对比图</a:t>
            </a:r>
          </a:p>
        </c:rich>
      </c:tx>
      <c:layout/>
      <c:overlay val="0"/>
      <c:spPr>
        <a:noFill/>
        <a:ln>
          <a:noFill/>
        </a:ln>
        <a:effectLst/>
      </c:spPr>
    </c:title>
    <c:autoTitleDeleted val="0"/>
    <c:plotArea>
      <c:layout/>
      <c:barChart>
        <c:barDir val="col"/>
        <c:grouping val="stacked"/>
        <c:varyColors val="0"/>
        <c:ser>
          <c:idx val="0"/>
          <c:order val="0"/>
          <c:tx>
            <c:strRef>
              <c:f>[区人大2024年底稿.xlsx]汇总1!$C$100</c:f>
              <c:strCache>
                <c:ptCount val="1"/>
                <c:pt idx="0">
                  <c:v>人员经费</c:v>
                </c:pt>
              </c:strCache>
            </c:strRef>
          </c:tx>
          <c:spPr>
            <a:solidFill>
              <a:schemeClr val="accent1"/>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[区人大2024年底稿.xlsx]汇总1!$D$99:$G$99</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[区人大2024年底稿.xlsx]汇总1!$D$100:$G$100</c:f>
              <c:numCache>
                <c:formatCode>0.00%</c:formatCode>
                <c:ptCount val="4"/>
                <c:pt idx="0">
                  <c:v>0.683825663694999</c:v>
                </c:pt>
                <c:pt idx="1">
                  <c:v>0.694251897158576</c:v>
                </c:pt>
                <c:pt idx="2">
                  <c:v>0.688552419042503</c:v>
                </c:pt>
                <c:pt idx="3">
                  <c:v>0.733705459115402</c:v>
                </c:pt>
              </c:numCache>
            </c:numRef>
          </c:val>
        </c:ser>
        <c:ser>
          <c:idx val="1"/>
          <c:order val="1"/>
          <c:tx>
            <c:strRef>
              <c:f>[区人大2024年底稿.xlsx]汇总1!$C$101</c:f>
              <c:strCache>
                <c:ptCount val="1"/>
                <c:pt idx="0">
                  <c:v>公用经费</c:v>
                </c:pt>
              </c:strCache>
            </c:strRef>
          </c:tx>
          <c:spPr>
            <a:solidFill>
              <a:schemeClr val="accent2"/>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[区人大2024年底稿.xlsx]汇总1!$D$99:$G$99</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[区人大2024年底稿.xlsx]汇总1!$D$101:$G$101</c:f>
              <c:numCache>
                <c:formatCode>0.00%</c:formatCode>
                <c:ptCount val="4"/>
                <c:pt idx="0">
                  <c:v>0.125652630881545</c:v>
                </c:pt>
                <c:pt idx="1">
                  <c:v>0.135513532325921</c:v>
                </c:pt>
                <c:pt idx="2">
                  <c:v>0.118799803600935</c:v>
                </c:pt>
                <c:pt idx="3">
                  <c:v>0.0760840898578595</c:v>
                </c:pt>
              </c:numCache>
            </c:numRef>
          </c:val>
        </c:ser>
        <c:ser>
          <c:idx val="2"/>
          <c:order val="2"/>
          <c:tx>
            <c:strRef>
              <c:f>[区人大2024年底稿.xlsx]汇总1!$C$102</c:f>
              <c:strCache>
                <c:ptCount val="1"/>
                <c:pt idx="0">
                  <c:v>项目支出</c:v>
                </c:pt>
              </c:strCache>
            </c:strRef>
          </c:tx>
          <c:spPr>
            <a:solidFill>
              <a:schemeClr val="accent3"/>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[区人大2024年底稿.xlsx]汇总1!$D$99:$G$99</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[区人大2024年底稿.xlsx]汇总1!$D$102:$G$102</c:f>
              <c:numCache>
                <c:formatCode>0.00%</c:formatCode>
                <c:ptCount val="4"/>
                <c:pt idx="0">
                  <c:v>0.190521705423456</c:v>
                </c:pt>
                <c:pt idx="1">
                  <c:v>0.170234570515503</c:v>
                </c:pt>
                <c:pt idx="2">
                  <c:v>0.192647777356562</c:v>
                </c:pt>
                <c:pt idx="3">
                  <c:v>0.190210451026739</c:v>
                </c:pt>
              </c:numCache>
            </c:numRef>
          </c:val>
        </c:ser>
        <c:dLbls>
          <c:showLegendKey val="0"/>
          <c:showVal val="1"/>
          <c:showCatName val="0"/>
          <c:showSerName val="0"/>
          <c:showPercent val="0"/>
          <c:showBubbleSize val="0"/>
        </c:dLbls>
        <c:gapWidth val="54"/>
        <c:overlap val="100"/>
        <c:serLines>
          <c:spPr>
            <a:ln w="9525" cap="flat" cmpd="sng" algn="ctr">
              <a:solidFill>
                <a:schemeClr val="tx1"/>
              </a:solidFill>
              <a:round/>
              <a:headEnd type="triangle"/>
            </a:ln>
            <a:effectLst/>
          </c:spPr>
        </c:serLines>
        <c:axId val="120748147"/>
        <c:axId val="955186820"/>
      </c:barChart>
      <c:catAx>
        <c:axId val="1207481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186820"/>
        <c:crosses val="autoZero"/>
        <c:auto val="1"/>
        <c:lblAlgn val="ctr"/>
        <c:lblOffset val="100"/>
        <c:noMultiLvlLbl val="0"/>
      </c:catAx>
      <c:valAx>
        <c:axId val="955186820"/>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74814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73780b0d-5386-473a-b0f6-fb67d5d0c1f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人员</a:t>
            </a:r>
            <a:r>
              <a:rPr lang="en-US" altLang="zh-CN"/>
              <a:t> </a:t>
            </a:r>
            <a:r>
              <a:rPr altLang="en-US"/>
              <a:t>经费</a:t>
            </a:r>
            <a:r>
              <a:t>重分类数占比图（金额：元）</a:t>
            </a:r>
          </a:p>
        </c:rich>
      </c:tx>
      <c:layout/>
      <c:overlay val="0"/>
      <c:spPr>
        <a:noFill/>
        <a:ln>
          <a:noFill/>
        </a:ln>
        <a:effectLst/>
      </c:spPr>
    </c:title>
    <c:autoTitleDeleted val="0"/>
    <c:plotArea>
      <c:layout/>
      <c:barChart>
        <c:barDir val="col"/>
        <c:grouping val="clustered"/>
        <c:varyColors val="0"/>
        <c:ser>
          <c:idx val="0"/>
          <c:order val="0"/>
          <c:tx>
            <c:strRef>
              <c:f>[区人大2024年底稿.xlsx]人员经费!$D$233</c:f>
              <c:strCache>
                <c:ptCount val="1"/>
                <c:pt idx="0">
                  <c:v>重分类数</c:v>
                </c:pt>
              </c:strCache>
            </c:strRef>
          </c:tx>
          <c:spPr>
            <a:solidFill>
              <a:schemeClr val="accent1"/>
            </a:solidFill>
            <a:ln>
              <a:noFill/>
            </a:ln>
            <a:effectLst/>
          </c:spPr>
          <c:invertIfNegative val="0"/>
          <c:dLbls>
            <c:delete val="1"/>
          </c:dLbls>
          <c:cat>
            <c:strRef>
              <c:f>[区人大2024年底稿.xlsx]人员经费!$C$234:$C$240</c:f>
              <c:strCache>
                <c:ptCount val="7"/>
                <c:pt idx="0" c:formatCode="_ * #,##0.00_ ;_ * \-#,##0.00_ ;_ * &quot;-&quot;??_ ;_ @_ ">
                  <c:v>基本支出-人员经费-基本工资</c:v>
                </c:pt>
                <c:pt idx="1" c:formatCode="_ * #,##0.00_ ;_ * \-#,##0.00_ ;_ * &quot;-&quot;??_ ;_ @_ ">
                  <c:v>基本支出-人员经费-机关事业单位养老医疗保险缴费</c:v>
                </c:pt>
                <c:pt idx="2" c:formatCode="_ * #,##0.00_ ;_ * \-#,##0.00_ ;_ * &quot;-&quot;??_ ;_ @_ ">
                  <c:v>基本支出-人员经费-住房公积金</c:v>
                </c:pt>
                <c:pt idx="3" c:formatCode="_ * #,##0.00_ ;_ * \-#,##0.00_ ;_ * &quot;-&quot;??_ ;_ @_ ">
                  <c:v>基本支出-人员经费-对家庭和个人的补助</c:v>
                </c:pt>
                <c:pt idx="4" c:formatCode="_ * #,##0.00_ ;_ * \-#,##0.00_ ;_ * &quot;-&quot;??_ ;_ @_ ">
                  <c:v>基本支出-人员经费-津贴补贴</c:v>
                </c:pt>
                <c:pt idx="5" c:formatCode="_ * #,##0.00_ ;_ * \-#,##0.00_ ;_ * &quot;-&quot;??_ ;_ @_ ">
                  <c:v>基本支出-人员经费-奖金</c:v>
                </c:pt>
                <c:pt idx="6" c:formatCode="_ * #,##0.00_ ;_ * \-#,##0.00_ ;_ * &quot;-&quot;??_ ;_ @_ ">
                  <c:v>基本支出-人员经费-其他保障</c:v>
                </c:pt>
              </c:strCache>
            </c:strRef>
          </c:cat>
          <c:val>
            <c:numRef>
              <c:f>[区人大2024年底稿.xlsx]人员经费!$D$234:$D$240</c:f>
              <c:numCache>
                <c:formatCode>_ * #,##0.00_ ;_ * \-#,##0.00_ ;_ * "-"??_ ;_ @_ </c:formatCode>
                <c:ptCount val="7"/>
                <c:pt idx="0">
                  <c:v>3020164.76</c:v>
                </c:pt>
                <c:pt idx="1">
                  <c:v>1423767.44</c:v>
                </c:pt>
                <c:pt idx="2">
                  <c:v>1036458</c:v>
                </c:pt>
                <c:pt idx="3">
                  <c:v>737705.36</c:v>
                </c:pt>
                <c:pt idx="4">
                  <c:v>440458.1</c:v>
                </c:pt>
                <c:pt idx="5">
                  <c:v>255349</c:v>
                </c:pt>
                <c:pt idx="6">
                  <c:v>216308.08</c:v>
                </c:pt>
              </c:numCache>
            </c:numRef>
          </c:val>
        </c:ser>
        <c:dLbls>
          <c:showLegendKey val="0"/>
          <c:showVal val="0"/>
          <c:showCatName val="0"/>
          <c:showSerName val="0"/>
          <c:showPercent val="0"/>
          <c:showBubbleSize val="0"/>
        </c:dLbls>
        <c:gapWidth val="150"/>
        <c:overlap val="0"/>
        <c:axId val="311817775"/>
        <c:axId val="465142010"/>
      </c:barChart>
      <c:catAx>
        <c:axId val="3118177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142010"/>
        <c:crosses val="autoZero"/>
        <c:auto val="1"/>
        <c:lblAlgn val="ctr"/>
        <c:lblOffset val="100"/>
        <c:noMultiLvlLbl val="0"/>
      </c:catAx>
      <c:valAx>
        <c:axId val="465142010"/>
        <c:scaling>
          <c:orientation val="minMax"/>
        </c:scaling>
        <c:delete val="0"/>
        <c:axPos val="l"/>
        <c:majorGridlines>
          <c:spPr>
            <a:ln w="9525" cap="flat" cmpd="sng" algn="ctr">
              <a:solidFill>
                <a:schemeClr val="lt1">
                  <a:lumMod val="902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81777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75e2aa38-5c12-4f88-9995-d1174c4e018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1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9646</Words>
  <Characters>10010</Characters>
  <Lines>0</Lines>
  <Paragraphs>0</Paragraphs>
  <TotalTime>2</TotalTime>
  <ScaleCrop>false</ScaleCrop>
  <LinksUpToDate>false</LinksUpToDate>
  <CharactersWithSpaces>10055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【JXY】</cp:lastModifiedBy>
  <cp:lastPrinted>2025-11-03T02:48:00Z</cp:lastPrinted>
  <dcterms:modified xsi:type="dcterms:W3CDTF">2025-12-15T09:25:17Z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79224C720F06428CA3CC04C92A854D1A_13</vt:lpwstr>
  </property>
  <property fmtid="{D5CDD505-2E9C-101B-9397-08002B2CF9AE}" pid="4" name="KSOTemplateDocerSaveRecord">
    <vt:lpwstr>eyJoZGlkIjoiYTU1ZDEwZTk0MTQ5Yzc0MGYxMWRkMmUyNzBiYmUzMGUiLCJ1c2VySWQiOiIyNzQ3NjA5MzgifQ==</vt:lpwstr>
  </property>
</Properties>
</file>