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C5</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C5</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2024年雁峰区红十字会</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2214E4F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项目单位：雁峰区红十字会</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：2025年10月21日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4782435D">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_Toc24359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_Toc24359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3F7333F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_Toc25771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_Toc25771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2008BEA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_Toc3772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_Toc3772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762603F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_Toc31391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_Toc31391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4438315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_Toc27361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_Toc27361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2EAFBF8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_Toc26570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_Toc26570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1ED8F4B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_Toc2999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_Toc2999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33C211C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_Toc1255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_Toc1255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0C7550B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_Toc2979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_Toc2979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30D7F4C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_Toc31993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_Toc31993 \h </w:instrText>
      </w:r>
      <w:r>
        <w:rPr>
          <w:sz w:val="32"/>
          <w:szCs w:val="32"/>
        </w:rPr>
        <w:fldChar w:fldCharType="separate"/>
      </w:r>
      <w:r>
        <w:rPr>
          <w:sz w:val="32"/>
          <w:szCs w:val="32"/>
        </w:rPr>
        <w:t>9</w:t>
      </w:r>
      <w:r>
        <w:rPr>
          <w:sz w:val="32"/>
          <w:szCs w:val="32"/>
        </w:rPr>
        <w:fldChar w:fldCharType="end"/>
      </w:r>
      <w:r>
        <w:rPr>
          <w:rFonts w:hint="default"/>
          <w:sz w:val="32"/>
          <w:szCs w:val="32"/>
          <w:lang w:val="en-US" w:eastAsia="zh-CN"/>
        </w:rPr>
        <w:fldChar w:fldCharType="end"/>
      </w:r>
    </w:p>
    <w:p w14:paraId="427278C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_Toc17157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_Toc17157 \h </w:instrText>
      </w:r>
      <w:r>
        <w:rPr>
          <w:sz w:val="32"/>
          <w:szCs w:val="32"/>
        </w:rPr>
        <w:fldChar w:fldCharType="separate"/>
      </w:r>
      <w:r>
        <w:rPr>
          <w:sz w:val="32"/>
          <w:szCs w:val="32"/>
        </w:rPr>
        <w:t>9</w:t>
      </w:r>
      <w:r>
        <w:rPr>
          <w:sz w:val="32"/>
          <w:szCs w:val="32"/>
        </w:rPr>
        <w:fldChar w:fldCharType="end"/>
      </w:r>
      <w:r>
        <w:rPr>
          <w:rFonts w:hint="default"/>
          <w:sz w:val="32"/>
          <w:szCs w:val="32"/>
          <w:lang w:val="en-US" w:eastAsia="zh-CN"/>
        </w:rPr>
        <w:fldChar w:fldCharType="end"/>
      </w:r>
    </w:p>
    <w:p w14:paraId="4448477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_Toc25251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_Toc25251 \h </w:instrText>
      </w:r>
      <w:r>
        <w:rPr>
          <w:sz w:val="32"/>
          <w:szCs w:val="32"/>
        </w:rPr>
        <w:fldChar w:fldCharType="separate"/>
      </w:r>
      <w:r>
        <w:rPr>
          <w:sz w:val="32"/>
          <w:szCs w:val="32"/>
        </w:rPr>
        <w:t>9</w:t>
      </w:r>
      <w:r>
        <w:rPr>
          <w:sz w:val="32"/>
          <w:szCs w:val="32"/>
        </w:rPr>
        <w:fldChar w:fldCharType="end"/>
      </w:r>
      <w:r>
        <w:rPr>
          <w:rFonts w:hint="default"/>
          <w:sz w:val="32"/>
          <w:szCs w:val="32"/>
          <w:lang w:val="en-US" w:eastAsia="zh-CN"/>
        </w:rPr>
        <w:fldChar w:fldCharType="end"/>
      </w:r>
    </w:p>
    <w:p w14:paraId="52B652E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_Toc11954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w:t>
      </w:r>
      <w:r>
        <w:rPr>
          <w:rFonts w:hint="eastAsia" w:ascii="楷体" w:hAnsi="楷体" w:eastAsia="楷体" w:cs="楷体"/>
          <w:bCs/>
          <w:sz w:val="32"/>
          <w:szCs w:val="32"/>
          <w:lang w:val="en-US" w:eastAsia="zh-CN"/>
        </w:rPr>
        <w:t>整体支出汇总及分析</w:t>
      </w:r>
      <w:r>
        <w:rPr>
          <w:sz w:val="32"/>
          <w:szCs w:val="32"/>
        </w:rPr>
        <w:tab/>
      </w:r>
      <w:r>
        <w:rPr>
          <w:sz w:val="32"/>
          <w:szCs w:val="32"/>
        </w:rPr>
        <w:fldChar w:fldCharType="begin"/>
      </w:r>
      <w:r>
        <w:rPr>
          <w:sz w:val="32"/>
          <w:szCs w:val="32"/>
        </w:rPr>
        <w:instrText xml:space="preserve"> PAGEREF _Toc11954 \h </w:instrText>
      </w:r>
      <w:r>
        <w:rPr>
          <w:sz w:val="32"/>
          <w:szCs w:val="32"/>
        </w:rPr>
        <w:fldChar w:fldCharType="separate"/>
      </w:r>
      <w:r>
        <w:rPr>
          <w:sz w:val="32"/>
          <w:szCs w:val="32"/>
        </w:rPr>
        <w:t>13</w:t>
      </w:r>
      <w:r>
        <w:rPr>
          <w:sz w:val="32"/>
          <w:szCs w:val="32"/>
        </w:rPr>
        <w:fldChar w:fldCharType="end"/>
      </w:r>
      <w:r>
        <w:rPr>
          <w:rFonts w:hint="default"/>
          <w:sz w:val="32"/>
          <w:szCs w:val="32"/>
          <w:lang w:val="en-US" w:eastAsia="zh-CN"/>
        </w:rPr>
        <w:fldChar w:fldCharType="end"/>
      </w:r>
    </w:p>
    <w:p w14:paraId="26DB315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_Toc2362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_Toc2362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14C3685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_Toc16181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_Toc16181 \h </w:instrText>
      </w:r>
      <w:r>
        <w:rPr>
          <w:sz w:val="32"/>
          <w:szCs w:val="32"/>
        </w:rPr>
        <w:fldChar w:fldCharType="separate"/>
      </w:r>
      <w:r>
        <w:rPr>
          <w:sz w:val="32"/>
          <w:szCs w:val="32"/>
        </w:rPr>
        <w:t>18</w:t>
      </w:r>
      <w:r>
        <w:rPr>
          <w:sz w:val="32"/>
          <w:szCs w:val="32"/>
        </w:rPr>
        <w:fldChar w:fldCharType="end"/>
      </w:r>
      <w:r>
        <w:rPr>
          <w:rFonts w:hint="default"/>
          <w:sz w:val="32"/>
          <w:szCs w:val="32"/>
          <w:lang w:val="en-US" w:eastAsia="zh-CN"/>
        </w:rPr>
        <w:fldChar w:fldCharType="end"/>
      </w:r>
    </w:p>
    <w:p w14:paraId="1B52067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_Toc1920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w:t>
      </w:r>
      <w:r>
        <w:rPr>
          <w:rFonts w:hint="eastAsia" w:ascii="楷体" w:hAnsi="楷体" w:eastAsia="楷体" w:cs="楷体"/>
          <w:bCs/>
          <w:sz w:val="32"/>
          <w:szCs w:val="32"/>
          <w:lang w:val="en-US" w:eastAsia="zh-CN"/>
        </w:rPr>
        <w:t>项目支出管理情况及分析</w:t>
      </w:r>
      <w:r>
        <w:rPr>
          <w:sz w:val="32"/>
          <w:szCs w:val="32"/>
        </w:rPr>
        <w:tab/>
      </w:r>
      <w:r>
        <w:rPr>
          <w:sz w:val="32"/>
          <w:szCs w:val="32"/>
        </w:rPr>
        <w:fldChar w:fldCharType="begin"/>
      </w:r>
      <w:r>
        <w:rPr>
          <w:sz w:val="32"/>
          <w:szCs w:val="32"/>
        </w:rPr>
        <w:instrText xml:space="preserve"> PAGEREF _Toc1920 \h </w:instrText>
      </w:r>
      <w:r>
        <w:rPr>
          <w:sz w:val="32"/>
          <w:szCs w:val="32"/>
        </w:rPr>
        <w:fldChar w:fldCharType="separate"/>
      </w:r>
      <w:r>
        <w:rPr>
          <w:sz w:val="32"/>
          <w:szCs w:val="32"/>
        </w:rPr>
        <w:t>19</w:t>
      </w:r>
      <w:r>
        <w:rPr>
          <w:sz w:val="32"/>
          <w:szCs w:val="32"/>
        </w:rPr>
        <w:fldChar w:fldCharType="end"/>
      </w:r>
      <w:r>
        <w:rPr>
          <w:rFonts w:hint="default"/>
          <w:sz w:val="32"/>
          <w:szCs w:val="32"/>
          <w:lang w:val="en-US" w:eastAsia="zh-CN"/>
        </w:rPr>
        <w:fldChar w:fldCharType="end"/>
      </w:r>
    </w:p>
    <w:p w14:paraId="5485713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_Toc32544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_Toc32544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61E89F1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_Toc14633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_Toc14633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66976F35">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_Toc12543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_Toc12543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1DA51A9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_Toc32155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_Toc32155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3873177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_Toc18846 </w:instrText>
      </w:r>
      <w:r>
        <w:rPr>
          <w:rFonts w:hint="default"/>
          <w:sz w:val="32"/>
          <w:szCs w:val="32"/>
          <w:lang w:val="en-US" w:eastAsia="zh-CN"/>
        </w:rPr>
        <w:fldChar w:fldCharType="separate"/>
      </w:r>
      <w:r>
        <w:rPr>
          <w:rFonts w:hint="eastAsia" w:ascii="楷体" w:hAnsi="楷体" w:eastAsia="楷体" w:cs="楷体"/>
          <w:bCs/>
          <w:sz w:val="32"/>
          <w:szCs w:val="32"/>
          <w:lang w:eastAsia="zh-CN"/>
        </w:rPr>
        <w:t>（二）分类目标</w:t>
      </w:r>
      <w:r>
        <w:rPr>
          <w:sz w:val="32"/>
          <w:szCs w:val="32"/>
        </w:rPr>
        <w:tab/>
      </w:r>
      <w:r>
        <w:rPr>
          <w:sz w:val="32"/>
          <w:szCs w:val="32"/>
        </w:rPr>
        <w:fldChar w:fldCharType="begin"/>
      </w:r>
      <w:r>
        <w:rPr>
          <w:sz w:val="32"/>
          <w:szCs w:val="32"/>
        </w:rPr>
        <w:instrText xml:space="preserve"> PAGEREF _Toc18846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2801072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_Toc9601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_Toc9601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042B634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_Toc4546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_Toc4546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1C1238A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_Toc20014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_Toc20014 \h </w:instrText>
      </w:r>
      <w:r>
        <w:rPr>
          <w:sz w:val="32"/>
          <w:szCs w:val="32"/>
        </w:rPr>
        <w:fldChar w:fldCharType="separate"/>
      </w:r>
      <w:r>
        <w:rPr>
          <w:sz w:val="32"/>
          <w:szCs w:val="32"/>
        </w:rPr>
        <w:t>26</w:t>
      </w:r>
      <w:r>
        <w:rPr>
          <w:sz w:val="32"/>
          <w:szCs w:val="32"/>
        </w:rPr>
        <w:fldChar w:fldCharType="end"/>
      </w:r>
      <w:r>
        <w:rPr>
          <w:rFonts w:hint="default"/>
          <w:sz w:val="32"/>
          <w:szCs w:val="32"/>
          <w:lang w:val="en-US" w:eastAsia="zh-CN"/>
        </w:rPr>
        <w:fldChar w:fldCharType="end"/>
      </w:r>
    </w:p>
    <w:p w14:paraId="3234392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_Toc21137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_Toc21137 \h </w:instrText>
      </w:r>
      <w:r>
        <w:rPr>
          <w:sz w:val="32"/>
          <w:szCs w:val="32"/>
        </w:rPr>
        <w:fldChar w:fldCharType="separate"/>
      </w:r>
      <w:r>
        <w:rPr>
          <w:sz w:val="32"/>
          <w:szCs w:val="32"/>
        </w:rPr>
        <w:t>38</w:t>
      </w:r>
      <w:r>
        <w:rPr>
          <w:sz w:val="32"/>
          <w:szCs w:val="32"/>
        </w:rPr>
        <w:fldChar w:fldCharType="end"/>
      </w:r>
      <w:r>
        <w:rPr>
          <w:rFonts w:hint="default"/>
          <w:sz w:val="32"/>
          <w:szCs w:val="32"/>
          <w:lang w:val="en-US" w:eastAsia="zh-CN"/>
        </w:rPr>
        <w:fldChar w:fldCharType="end"/>
      </w:r>
    </w:p>
    <w:p w14:paraId="5E0D5ED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_Toc8418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_Toc8418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13628B2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_Toc18993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_Toc18993 \h </w:instrText>
      </w:r>
      <w:r>
        <w:rPr>
          <w:sz w:val="32"/>
          <w:szCs w:val="32"/>
        </w:rPr>
        <w:fldChar w:fldCharType="separate"/>
      </w:r>
      <w:r>
        <w:rPr>
          <w:sz w:val="32"/>
          <w:szCs w:val="32"/>
        </w:rPr>
        <w:t>39</w:t>
      </w:r>
      <w:r>
        <w:rPr>
          <w:sz w:val="32"/>
          <w:szCs w:val="32"/>
        </w:rPr>
        <w:fldChar w:fldCharType="end"/>
      </w:r>
      <w:r>
        <w:rPr>
          <w:rFonts w:hint="default"/>
          <w:sz w:val="32"/>
          <w:szCs w:val="32"/>
          <w:lang w:val="en-US" w:eastAsia="zh-CN"/>
        </w:rPr>
        <w:fldChar w:fldCharType="end"/>
      </w:r>
    </w:p>
    <w:p w14:paraId="58302C6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_Toc23919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_Toc23919 \h </w:instrText>
      </w:r>
      <w:r>
        <w:rPr>
          <w:sz w:val="32"/>
          <w:szCs w:val="32"/>
        </w:rPr>
        <w:fldChar w:fldCharType="separate"/>
      </w:r>
      <w:r>
        <w:rPr>
          <w:sz w:val="32"/>
          <w:szCs w:val="32"/>
        </w:rPr>
        <w:t>48</w:t>
      </w:r>
      <w:r>
        <w:rPr>
          <w:sz w:val="32"/>
          <w:szCs w:val="32"/>
        </w:rPr>
        <w:fldChar w:fldCharType="end"/>
      </w:r>
      <w:r>
        <w:rPr>
          <w:rFonts w:hint="default"/>
          <w:sz w:val="32"/>
          <w:szCs w:val="32"/>
          <w:lang w:val="en-US" w:eastAsia="zh-CN"/>
        </w:rPr>
        <w:fldChar w:fldCharType="end"/>
      </w:r>
    </w:p>
    <w:p w14:paraId="29C2A54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_Toc21096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_Toc21096 \h </w:instrText>
      </w:r>
      <w:r>
        <w:rPr>
          <w:sz w:val="32"/>
          <w:szCs w:val="32"/>
        </w:rPr>
        <w:fldChar w:fldCharType="separate"/>
      </w:r>
      <w:r>
        <w:rPr>
          <w:sz w:val="32"/>
          <w:szCs w:val="32"/>
        </w:rPr>
        <w:t>50</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ind w:left="0" w:leftChars="0"/>
        <w:textAlignment w:val="auto"/>
        <w:rPr>
          <w:rFonts w:hint="default"/>
          <w:sz w:val="28"/>
          <w:szCs w:val="28"/>
          <w:lang w:val="en-US" w:eastAsia="zh-CN"/>
        </w:rPr>
      </w:pPr>
      <w:r>
        <w:rPr>
          <w:rFonts w:hint="default"/>
          <w:sz w:val="32"/>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FA2B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2024年雁峰区红十字会</w:t>
      </w: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077C0F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红十字会（以下简称“区红十字会”）的部门整体支出进行了绩效评价。建立健全内部控制制度，保护资金与资产的安全和完整，保证会计资料和其他绩效评价的相关资料的真实性、合法性和完整性，是区红十字会的责任。我们的责任是在区红十字会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18591"/>
      <w:bookmarkStart w:id="3" w:name="_Toc9891"/>
      <w:bookmarkStart w:id="4" w:name="_Toc24359"/>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13350"/>
      <w:bookmarkStart w:id="6" w:name="_Toc26464"/>
      <w:bookmarkStart w:id="7" w:name="_Toc3257"/>
      <w:bookmarkStart w:id="8" w:name="_Toc2812"/>
      <w:bookmarkStart w:id="9" w:name="_Toc25771"/>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29635"/>
      <w:bookmarkStart w:id="11" w:name="_Toc7691"/>
      <w:bookmarkStart w:id="12" w:name="_Toc8069"/>
      <w:r>
        <w:rPr>
          <w:rFonts w:hint="eastAsia" w:ascii="仿宋" w:hAnsi="仿宋" w:eastAsia="仿宋" w:cs="仿宋"/>
          <w:sz w:val="32"/>
          <w:szCs w:val="32"/>
          <w:lang w:val="en-US" w:eastAsia="zh-CN"/>
        </w:rPr>
        <w:t>评价对象为2024年雁峰区红十字会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3772"/>
      <w:bookmarkStart w:id="15" w:name="_Toc24072"/>
      <w:bookmarkStart w:id="16" w:name="_Toc7231"/>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31391"/>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听取情况介绍、进行实地核查、发放调查问卷、对照复核及分析等方式，对区红十字会提供的相关资料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32697"/>
      <w:bookmarkStart w:id="23" w:name="_Toc27361"/>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26570"/>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统一社会信用代码13430403MB0W97331R</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2999"/>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482432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宣传、贯彻、执行《中华人民共和国红十字会法》《中国红十字会章程》《中华人民共和国红十字标志使用办法》等法规、条例；依法指导区域街道、乡镇、机关、团体、企业、事业、学校等基层红十字会开展工作；协助政府对红十字标志的使用实施日常监督管理；组织落实中国红十字会工作的方针、政策。</w:t>
      </w:r>
    </w:p>
    <w:p w14:paraId="3CCFD04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开展救灾的准备工作，筹措储备救灾救助款物;对自然灾害和突发事件中的伤病人员和其他受害者进行救助;依法开展募捐，设立用于救灾救助的物资募集接收点，设立红十字备灾救助资金，在自然灾害和突发事件中，协助政府实施赈灾救援。</w:t>
      </w:r>
    </w:p>
    <w:p w14:paraId="2CE75D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组织开展群众性卫生救护培训，普及自救互救知识和防病知识，提高群众自救能力，组织群众参加现场救护，对容易发生意外伤害的行业的有关人员进行现场救护培训;组织红十字志愿工作者参与社区服务。</w:t>
      </w:r>
    </w:p>
    <w:p w14:paraId="5BEF851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开展造血干细胞的宣传、发动、组织工作;依法参与、推动无偿献血工作;开展自愿、无偿捐献遗体宣传、组织工作;参与艾滋病防治的宣传、教育和关怀艾滋病患者和感染者的工作。</w:t>
      </w:r>
    </w:p>
    <w:p w14:paraId="5F49AC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指导学校建立红十字会组织，开展红十字青少年活动。</w:t>
      </w:r>
    </w:p>
    <w:p w14:paraId="2BD825D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开展社区服务，大力发展红十字志愿工作者队伍，为社区中的困难群体等提供人道主义服务。推动红十字会募捐救助，卫生救护培训，红十字青少年、志愿服务工作进社区。</w:t>
      </w:r>
    </w:p>
    <w:p w14:paraId="561A202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兴办与红十字会宗旨相符合的社会福利事业。</w:t>
      </w:r>
    </w:p>
    <w:p w14:paraId="538F41F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承担区委、区人民政府和上级红十字会交办的其他事项。</w:t>
      </w:r>
    </w:p>
    <w:p w14:paraId="40CF435B">
      <w:pPr>
        <w:keepNext w:val="0"/>
        <w:keepLines w:val="0"/>
        <w:pageBreakBefore w:val="0"/>
        <w:widowControl w:val="0"/>
        <w:kinsoku/>
        <w:wordWrap/>
        <w:overflowPunct/>
        <w:topLinePunct w:val="0"/>
        <w:autoSpaceDE/>
        <w:autoSpaceDN/>
        <w:bidi w:val="0"/>
        <w:adjustRightInd/>
        <w:snapToGrid/>
        <w:spacing w:line="480" w:lineRule="auto"/>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1255"/>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25AE2CB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bCs/>
          <w:kern w:val="0"/>
          <w:sz w:val="32"/>
          <w:szCs w:val="32"/>
          <w:highlight w:val="none"/>
          <w:lang w:val="en-US" w:eastAsia="zh-CN"/>
        </w:rPr>
      </w:pPr>
      <w:r>
        <w:rPr>
          <w:rFonts w:hint="eastAsia" w:ascii="仿宋" w:hAnsi="仿宋" w:eastAsia="仿宋"/>
          <w:bCs/>
          <w:kern w:val="0"/>
          <w:sz w:val="32"/>
          <w:szCs w:val="32"/>
          <w:highlight w:val="none"/>
          <w:lang w:eastAsia="zh-CN"/>
        </w:rPr>
        <w:t>雁峰区红十字会</w:t>
      </w:r>
      <w:r>
        <w:rPr>
          <w:rFonts w:hint="eastAsia" w:ascii="仿宋" w:hAnsi="仿宋" w:eastAsia="仿宋"/>
          <w:bCs/>
          <w:kern w:val="0"/>
          <w:sz w:val="32"/>
          <w:szCs w:val="32"/>
          <w:highlight w:val="none"/>
        </w:rPr>
        <w:t>单位内设机构包括：内设机构</w:t>
      </w:r>
      <w:r>
        <w:rPr>
          <w:rFonts w:hint="eastAsia" w:ascii="仿宋" w:hAnsi="仿宋" w:eastAsia="仿宋"/>
          <w:bCs/>
          <w:kern w:val="0"/>
          <w:sz w:val="32"/>
          <w:szCs w:val="32"/>
          <w:highlight w:val="none"/>
          <w:lang w:val="en-US" w:eastAsia="zh-CN"/>
        </w:rPr>
        <w:t>2</w:t>
      </w:r>
      <w:r>
        <w:rPr>
          <w:rFonts w:hint="eastAsia" w:ascii="仿宋" w:hAnsi="仿宋" w:eastAsia="仿宋"/>
          <w:bCs/>
          <w:kern w:val="0"/>
          <w:sz w:val="32"/>
          <w:szCs w:val="32"/>
          <w:highlight w:val="none"/>
        </w:rPr>
        <w:t>个，</w:t>
      </w:r>
      <w:r>
        <w:rPr>
          <w:rFonts w:hint="eastAsia" w:ascii="仿宋" w:hAnsi="仿宋" w:eastAsia="仿宋"/>
          <w:bCs/>
          <w:kern w:val="0"/>
          <w:sz w:val="32"/>
          <w:szCs w:val="32"/>
          <w:highlight w:val="none"/>
          <w:lang w:val="en-US" w:eastAsia="zh-CN"/>
        </w:rPr>
        <w:t>即</w:t>
      </w:r>
      <w:r>
        <w:rPr>
          <w:rFonts w:hint="eastAsia" w:ascii="仿宋" w:hAnsi="仿宋" w:eastAsia="仿宋"/>
          <w:bCs/>
          <w:kern w:val="0"/>
          <w:sz w:val="32"/>
          <w:szCs w:val="32"/>
          <w:highlight w:val="none"/>
        </w:rPr>
        <w:t>办公室</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业务部。</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1D868E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截至2024年12月31日，区红十字会退休人员0人。编制5个，在编在岗职工2人，其中：</w:t>
      </w:r>
      <w:r>
        <w:rPr>
          <w:rFonts w:hint="eastAsia" w:ascii="仿宋" w:hAnsi="仿宋" w:eastAsia="仿宋" w:cs="仿宋"/>
          <w:sz w:val="32"/>
          <w:szCs w:val="32"/>
          <w:highlight w:val="none"/>
          <w:lang w:val="en-US" w:eastAsia="zh-CN"/>
        </w:rPr>
        <w:t>公务员2人，</w:t>
      </w:r>
      <w:r>
        <w:rPr>
          <w:rFonts w:hint="eastAsia" w:ascii="仿宋" w:hAnsi="仿宋" w:eastAsia="仿宋" w:cs="仿宋"/>
          <w:b/>
          <w:bCs/>
          <w:sz w:val="32"/>
          <w:szCs w:val="32"/>
          <w:highlight w:val="none"/>
          <w:lang w:val="en-US" w:eastAsia="zh-CN"/>
        </w:rPr>
        <w:t>人员控制率40.00%。</w:t>
      </w:r>
      <w:r>
        <w:rPr>
          <w:rFonts w:hint="eastAsia" w:ascii="仿宋" w:hAnsi="仿宋" w:eastAsia="仿宋" w:cs="仿宋"/>
          <w:b w:val="0"/>
          <w:bCs w:val="0"/>
          <w:sz w:val="32"/>
          <w:szCs w:val="32"/>
          <w:lang w:val="en-US" w:eastAsia="zh-CN"/>
        </w:rPr>
        <w:t>借调残联部门</w:t>
      </w:r>
      <w:r>
        <w:rPr>
          <w:rFonts w:hint="eastAsia" w:ascii="仿宋" w:hAnsi="仿宋" w:eastAsia="仿宋" w:cs="仿宋"/>
          <w:b w:val="0"/>
          <w:bCs w:val="0"/>
          <w:sz w:val="32"/>
          <w:szCs w:val="32"/>
          <w:lang w:eastAsia="zh-CN"/>
        </w:rPr>
        <w:t>人员1人。</w:t>
      </w:r>
    </w:p>
    <w:p w14:paraId="5F8F430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2979"/>
      <w:r>
        <w:rPr>
          <w:rFonts w:hint="eastAsia" w:ascii="楷体" w:hAnsi="楷体" w:eastAsia="楷体" w:cs="楷体"/>
          <w:b/>
          <w:bCs/>
          <w:sz w:val="32"/>
          <w:szCs w:val="32"/>
          <w:lang w:val="en-US" w:eastAsia="zh-CN"/>
        </w:rPr>
        <w:t>（四）部门2024年度职责履行及履职效益</w:t>
      </w:r>
      <w:bookmarkEnd w:id="27"/>
    </w:p>
    <w:p w14:paraId="15807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在区党委和政府的坚强领导和关怀下，在上级红会的指导和同行的帮助下，区红会各项工作严格有序地开展，新建的项目得到了领导的高度肯定，还被市红十字会评为造血干细胞宣传先进。</w:t>
      </w:r>
      <w:r>
        <w:rPr>
          <w:rFonts w:hint="eastAsia" w:ascii="仿宋" w:hAnsi="仿宋" w:eastAsia="仿宋" w:cs="仿宋"/>
          <w:b/>
          <w:bCs/>
          <w:sz w:val="32"/>
          <w:szCs w:val="32"/>
          <w:lang w:val="en-US" w:eastAsia="zh-CN"/>
        </w:rPr>
        <w:t>一是组织建设方面，实现了党组织的规范化管理与运作，确保了政治引领与核心方向；同时，完成了区红十字会理事会、监事会换届的前期组织与制度准备，为未来依法治理、规范运行奠定了坚实基础</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党组织情况：</w:t>
      </w:r>
      <w:r>
        <w:rPr>
          <w:rFonts w:hint="eastAsia" w:ascii="仿宋" w:hAnsi="仿宋" w:eastAsia="仿宋" w:cs="仿宋"/>
          <w:b w:val="0"/>
          <w:bCs w:val="0"/>
          <w:sz w:val="32"/>
          <w:szCs w:val="32"/>
          <w:lang w:val="en-US" w:eastAsia="zh-CN"/>
        </w:rPr>
        <w:t>由于区红会于2024年1月与区计生协会成立联合支部，按照区直工委要求扎实开展好党委学习教育，依托“一月一课一片一实践”主题党日活动，严格落实一会一课要求，推动党组织规范建设。</w:t>
      </w:r>
      <w:r>
        <w:rPr>
          <w:rFonts w:hint="eastAsia" w:ascii="仿宋" w:hAnsi="仿宋" w:eastAsia="仿宋" w:cs="仿宋"/>
          <w:b/>
          <w:bCs/>
          <w:sz w:val="32"/>
          <w:szCs w:val="32"/>
          <w:lang w:val="en-US" w:eastAsia="zh-CN"/>
        </w:rPr>
        <w:t>红会组织情况：</w:t>
      </w:r>
      <w:r>
        <w:rPr>
          <w:rFonts w:hint="eastAsia" w:ascii="仿宋" w:hAnsi="仿宋" w:eastAsia="仿宋" w:cs="仿宋"/>
          <w:b w:val="0"/>
          <w:bCs w:val="0"/>
          <w:sz w:val="32"/>
          <w:szCs w:val="32"/>
          <w:lang w:val="en-US" w:eastAsia="zh-CN"/>
        </w:rPr>
        <w:t>通过向兄弟单位请教交流，对区红会组织建设做好了准备工作，为下一步区红会补充工作人员后进行换届选举，健全区红会理事会、监事会打下了基础。</w:t>
      </w:r>
      <w:r>
        <w:rPr>
          <w:rFonts w:hint="eastAsia" w:ascii="仿宋" w:hAnsi="仿宋" w:eastAsia="仿宋" w:cs="仿宋"/>
          <w:b/>
          <w:bCs/>
          <w:sz w:val="32"/>
          <w:szCs w:val="32"/>
          <w:lang w:val="en-US" w:eastAsia="zh-CN"/>
        </w:rPr>
        <w:t>二是救助工作，实现了对4名白血病儿童（本年新增2名）的直接生命救助，确保了救助流程（评审、手术）的有效执行；同时，完成了11万元救助资金的精准、全额发放与后续跟踪，历史救助的3名儿童已基本康复，救助成功率达100%，显著体现了人道救助的即时性与有效性。</w:t>
      </w:r>
      <w:r>
        <w:rPr>
          <w:rFonts w:hint="eastAsia" w:ascii="仿宋" w:hAnsi="仿宋" w:eastAsia="仿宋" w:cs="仿宋"/>
          <w:b w:val="0"/>
          <w:bCs w:val="0"/>
          <w:sz w:val="32"/>
          <w:szCs w:val="32"/>
          <w:lang w:val="en-US" w:eastAsia="zh-CN"/>
        </w:rPr>
        <w:t>今年区红会新增救助白血病儿童2人，已通过专家组评审，并通知做手术治疗。积极协助在我辖区生活的白血病儿童救助2人（石鼓区1人，邵阳洞口1人），帮助联系户籍地红会组织完成申报。2023年救助的3例，救助资金11万元已全部到救助对象帐户，进行了慰问回访，3人手术都非常成功，现基本康复。目前已完成一期救护员培训员取证工作30人，选送2人员到省红会参加救护师资格培训取证工作。</w:t>
      </w:r>
      <w:r>
        <w:rPr>
          <w:rFonts w:hint="eastAsia" w:ascii="仿宋" w:hAnsi="仿宋" w:eastAsia="仿宋" w:cs="仿宋"/>
          <w:b/>
          <w:bCs/>
          <w:sz w:val="32"/>
          <w:szCs w:val="32"/>
          <w:lang w:val="en-US" w:eastAsia="zh-CN"/>
        </w:rPr>
        <w:t>三是宣传活动，通过多形式、多渠道的宣传活动，显著提升了红十字精神与社会应急知识在公众中的覆盖面与影响力（发放宣传资料数万份）；特别是首次众筹活动成功动员百余群众参与，实现了公众募资从零到一的突破，为配置公共AED积累了社会力量和资金。</w:t>
      </w:r>
      <w:r>
        <w:rPr>
          <w:rFonts w:hint="eastAsia" w:ascii="仿宋" w:hAnsi="仿宋" w:eastAsia="仿宋" w:cs="仿宋"/>
          <w:b w:val="0"/>
          <w:bCs w:val="0"/>
          <w:sz w:val="32"/>
          <w:szCs w:val="32"/>
          <w:lang w:val="en-US" w:eastAsia="zh-CN"/>
        </w:rPr>
        <w:t>认真抓好湘红办[2023]22号文件学习、贯彻落实：湖南省红十字会办公室关于印发《湖南省实施中华人民共和国红十字会法办法学习宣传贯彻实施方案》的通知精神，积极协调，利用各种机会开展进社区、居民小区、广场以及辖区学校、企业宣传红会精神，开展防溺水宣传教育和应急防灾处突演练。协调辖区卫生院、爱尔眼科、牙科医生进小区开展义诊活动，设计制作宣传扇子，发放宣传资料数万份，2024年5.8活动是我们区第一次开展众筹活动，得到了广大干部群众积极响应，百余人参与筹集了1千多元善款用于集采AED机配置到公共场所。</w:t>
      </w:r>
      <w:r>
        <w:rPr>
          <w:rFonts w:hint="eastAsia" w:ascii="仿宋" w:hAnsi="仿宋" w:eastAsia="仿宋" w:cs="仿宋"/>
          <w:b/>
          <w:bCs/>
          <w:sz w:val="32"/>
          <w:szCs w:val="32"/>
          <w:lang w:val="en-US" w:eastAsia="zh-CN"/>
        </w:rPr>
        <w:t>四是三献工作，在生命接力领域取得了实质性进展，成功储备了35份潜在的人体器官捐献资源和5份造血干细胞捐献资源，为挽救更多垂危生命创造了可能，体现了在“三献”这一核心人道使命上的有效推动。</w:t>
      </w:r>
      <w:r>
        <w:rPr>
          <w:rFonts w:hint="eastAsia" w:ascii="仿宋" w:hAnsi="仿宋" w:eastAsia="仿宋" w:cs="仿宋"/>
          <w:b w:val="0"/>
          <w:bCs w:val="0"/>
          <w:sz w:val="32"/>
          <w:szCs w:val="32"/>
          <w:lang w:val="en-US" w:eastAsia="zh-CN"/>
        </w:rPr>
        <w:t>目前我区目前完成35例人体器官捐献志愿者登记工作，造血干细胞捐献志愿者取样入库工作5例，献血工作正在推进当中。</w:t>
      </w:r>
      <w:r>
        <w:rPr>
          <w:rFonts w:hint="eastAsia" w:ascii="仿宋" w:hAnsi="仿宋" w:eastAsia="仿宋" w:cs="仿宋"/>
          <w:b/>
          <w:bCs/>
          <w:sz w:val="32"/>
          <w:szCs w:val="32"/>
          <w:lang w:val="en-US" w:eastAsia="zh-CN"/>
        </w:rPr>
        <w:t>五是完成“博爱家园”项目建设，高标准建成了集应急培训、扶贫帮困、解决就业于一体的综合性人道服务阵地（到位资金15万元），项目获得省、市红十字会高度认可，形成了可复制、可推广的标杆项目模式，实现了资金效益与社会效益的最大化。</w:t>
      </w:r>
      <w:r>
        <w:rPr>
          <w:rFonts w:hint="eastAsia" w:ascii="仿宋" w:hAnsi="仿宋" w:eastAsia="仿宋" w:cs="仿宋"/>
          <w:b w:val="0"/>
          <w:bCs w:val="0"/>
          <w:sz w:val="32"/>
          <w:szCs w:val="32"/>
          <w:lang w:val="en-US" w:eastAsia="zh-CN"/>
        </w:rPr>
        <w:t>在市红会的精心指导下、爱心企业星乐农业科技有限公司大力配合下，高标准完成“博爱家园”项目建设。到位资金15万元，开展了救护员资格取证培训工作和应急防灾处突演练，积极开展扶贫帮困救助活动，协调解决贫困户就业，取得了较好的成效。8月13日在市红会秘书长的指导下完成验收，9月14日省红会秘书长和专家视察后高度肯定了项目建设。</w:t>
      </w:r>
      <w:r>
        <w:rPr>
          <w:rFonts w:hint="eastAsia" w:ascii="仿宋" w:hAnsi="仿宋" w:eastAsia="仿宋" w:cs="仿宋"/>
          <w:b/>
          <w:bCs/>
          <w:sz w:val="32"/>
          <w:szCs w:val="32"/>
          <w:lang w:val="en-US" w:eastAsia="zh-CN"/>
        </w:rPr>
        <w:t>六是积极协调推进辖区院校完成应急救护智能化培训基地建设，成功构建了规模化、常态化的应急救护培训平台，两所基地已直接培训超2920人；更关键的是，推动了应急救护培训正式纳入党校核心课程与区委理论中心组学习计划，实现了从技能培训到政策影响力提升的重大突破。</w:t>
      </w:r>
      <w:r>
        <w:rPr>
          <w:rFonts w:hint="eastAsia" w:ascii="仿宋" w:hAnsi="仿宋" w:eastAsia="仿宋" w:cs="仿宋"/>
          <w:b w:val="0"/>
          <w:bCs w:val="0"/>
          <w:sz w:val="32"/>
          <w:szCs w:val="32"/>
          <w:lang w:val="en-US" w:eastAsia="zh-CN"/>
        </w:rPr>
        <w:t>今年我辖区衡阳市委党校和衡阳市幼儿师范高等专科学校争取到“红十字应急救护智能化培训基地”建设名额，目前，衡阳市幼儿师范高等专科学校、衡阳市委党校均已完成建设，并开展培训工作，其中幼儿师范高等专科学校已完成培训2920人，市委党校建成后及时将应急救护培训增加到培训班课程，取得非常好的效果，区委常委课后讲将在2025年把应急救护培训纳入区委理论中心组学习。</w:t>
      </w:r>
      <w:r>
        <w:rPr>
          <w:rFonts w:hint="eastAsia" w:ascii="仿宋" w:hAnsi="仿宋" w:eastAsia="仿宋" w:cs="仿宋"/>
          <w:b/>
          <w:bCs/>
          <w:sz w:val="32"/>
          <w:szCs w:val="32"/>
          <w:lang w:val="en-US" w:eastAsia="zh-CN"/>
        </w:rPr>
        <w:t>七是应急救护站建设，尽管由市会承建，但区红十字会高效完成了关键的前期协调、规划设计与进度督促工作，确保了东洲岛景区应急救护站在市旅发大会前高标准投用，以极低的行政成本（资金少）显著提升了核心景区的公共安全保障能力，贡献了关键的属地协调价值。</w:t>
      </w:r>
      <w:r>
        <w:rPr>
          <w:rFonts w:hint="eastAsia" w:ascii="仿宋" w:hAnsi="仿宋" w:eastAsia="仿宋" w:cs="仿宋"/>
          <w:b w:val="0"/>
          <w:bCs w:val="0"/>
          <w:sz w:val="32"/>
          <w:szCs w:val="32"/>
          <w:lang w:val="en-US" w:eastAsia="zh-CN"/>
        </w:rPr>
        <w:t>在8月份接到市红十字会安排任务，区红十字会积极行动，向区领导汇报，先后五次上岛与东洲岛景区方负责人协调场地建设事宜，并带辖区卫生服务中心到已建设好的单位参观见学，严格按标准要求完成建设方案和效果图，得到上级红会的高度肯定（资金少，效果标准高），由于财务手续问题，虽最后由市红十字会承建，区红十字会配合（前期场地协调、规划设计、效果图、施工进度督促等均是区红十字会承担），确保了应急救护站在衡阳市旅发会召开前高标准建成并投入使用。</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31993"/>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17157"/>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w:t>
      </w:r>
      <w:r>
        <w:rPr>
          <w:rFonts w:hint="eastAsia" w:ascii="仿宋" w:hAnsi="仿宋" w:eastAsia="仿宋" w:cs="仿宋"/>
          <w:b w:val="0"/>
          <w:bCs w:val="0"/>
          <w:sz w:val="32"/>
          <w:szCs w:val="32"/>
          <w:highlight w:val="none"/>
          <w:lang w:val="en-US" w:eastAsia="zh-CN"/>
        </w:rPr>
        <w:t>426,200.00</w:t>
      </w:r>
      <w:r>
        <w:rPr>
          <w:rFonts w:hint="eastAsia" w:ascii="仿宋" w:hAnsi="仿宋" w:eastAsia="仿宋" w:cs="仿宋"/>
          <w:b w:val="0"/>
          <w:bCs w:val="0"/>
          <w:sz w:val="32"/>
          <w:szCs w:val="32"/>
          <w:highlight w:val="none"/>
          <w:lang w:eastAsia="zh-CN"/>
        </w:rPr>
        <w:t>元，</w:t>
      </w:r>
      <w:r>
        <w:rPr>
          <w:rFonts w:hint="eastAsia" w:ascii="仿宋" w:hAnsi="仿宋" w:eastAsia="仿宋" w:cs="仿宋"/>
          <w:b w:val="0"/>
          <w:bCs w:val="0"/>
          <w:sz w:val="32"/>
          <w:szCs w:val="32"/>
          <w:highlight w:val="none"/>
          <w:lang w:val="en-US" w:eastAsia="zh-CN"/>
        </w:rPr>
        <w:t>预算调整后额度624,022.88元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404E7584">
      <w:pPr>
        <w:pStyle w:val="4"/>
        <w:numPr>
          <w:ilvl w:val="0"/>
          <w:numId w:val="0"/>
        </w:numPr>
        <w:jc w:val="center"/>
      </w:pPr>
      <w:r>
        <w:drawing>
          <wp:inline distT="0" distB="0" distL="114300" distR="114300">
            <wp:extent cx="3402330" cy="771525"/>
            <wp:effectExtent l="9525" t="9525" r="17145" b="19050"/>
            <wp:docPr id="16" name="图片 3"/>
            <wp:cNvGraphicFramePr/>
            <a:graphic xmlns:a="http://schemas.openxmlformats.org/drawingml/2006/main">
              <a:graphicData uri="http://schemas.openxmlformats.org/drawingml/2006/picture">
                <pic:pic xmlns:pic="http://schemas.openxmlformats.org/drawingml/2006/picture">
                  <pic:nvPicPr>
                    <pic:cNvPr id="16" name="图片 3"/>
                    <pic:cNvPicPr/>
                  </pic:nvPicPr>
                  <pic:blipFill>
                    <a:blip r:embed="rId7"/>
                  </pic:blipFill>
                  <pic:spPr>
                    <a:xfrm>
                      <a:off x="0" y="0"/>
                      <a:ext cx="3402330" cy="771525"/>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预算调整率为56.85%，其中：项目支出的调整率为173.10%，调整明细如下：</w:t>
      </w:r>
    </w:p>
    <w:p w14:paraId="2C68A766">
      <w:pPr>
        <w:pStyle w:val="4"/>
        <w:numPr>
          <w:ilvl w:val="0"/>
          <w:numId w:val="0"/>
        </w:numPr>
        <w:jc w:val="center"/>
        <w:rPr>
          <w:rFonts w:hint="eastAsia" w:ascii="楷体" w:hAnsi="楷体" w:eastAsia="楷体" w:cs="楷体"/>
          <w:b/>
          <w:bCs/>
          <w:sz w:val="32"/>
          <w:szCs w:val="32"/>
          <w:lang w:eastAsia="zh-CN"/>
        </w:rPr>
      </w:pPr>
      <w:r>
        <w:drawing>
          <wp:inline distT="0" distB="0" distL="114300" distR="114300">
            <wp:extent cx="5600700" cy="952500"/>
            <wp:effectExtent l="9525" t="9525" r="9525" b="9525"/>
            <wp:docPr id="18" name="图片 4"/>
            <wp:cNvGraphicFramePr/>
            <a:graphic xmlns:a="http://schemas.openxmlformats.org/drawingml/2006/main">
              <a:graphicData uri="http://schemas.openxmlformats.org/drawingml/2006/picture">
                <pic:pic xmlns:pic="http://schemas.openxmlformats.org/drawingml/2006/picture">
                  <pic:nvPicPr>
                    <pic:cNvPr id="18" name="图片 4"/>
                    <pic:cNvPicPr/>
                  </pic:nvPicPr>
                  <pic:blipFill>
                    <a:blip r:embed="rId8"/>
                  </pic:blipFill>
                  <pic:spPr>
                    <a:xfrm>
                      <a:off x="0" y="0"/>
                      <a:ext cx="5600700" cy="952500"/>
                    </a:xfrm>
                    <a:prstGeom prst="rect">
                      <a:avLst/>
                    </a:prstGeom>
                    <a:solidFill>
                      <a:srgbClr val="FFFFFF"/>
                    </a:solidFill>
                    <a:ln w="9525">
                      <a:solidFill>
                        <a:srgbClr val="000000"/>
                      </a:solidFill>
                    </a:ln>
                  </pic:spPr>
                </pic:pic>
              </a:graphicData>
            </a:graphic>
          </wp:inline>
        </w:drawing>
      </w:r>
    </w:p>
    <w:p w14:paraId="72D9FC1C">
      <w:pPr>
        <w:jc w:val="center"/>
        <w:rPr>
          <w:rFonts w:hint="eastAsia" w:ascii="楷体" w:hAnsi="楷体" w:eastAsia="楷体" w:cs="楷体"/>
          <w:b/>
          <w:bCs/>
          <w:sz w:val="32"/>
          <w:szCs w:val="32"/>
          <w:lang w:eastAsia="zh-CN"/>
        </w:rPr>
      </w:pPr>
      <w:r>
        <w:drawing>
          <wp:inline distT="0" distB="0" distL="114300" distR="114300">
            <wp:extent cx="5600700" cy="952500"/>
            <wp:effectExtent l="9525" t="9525" r="9525" b="952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9"/>
                  </pic:blipFill>
                  <pic:spPr>
                    <a:xfrm>
                      <a:off x="0" y="0"/>
                      <a:ext cx="5600700" cy="95250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25251"/>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200" w:firstLine="640" w:firstLineChars="200"/>
        <w:jc w:val="both"/>
        <w:textAlignment w:val="auto"/>
        <w:outlineLvl w:val="9"/>
        <w:rPr>
          <w:rFonts w:hint="default"/>
          <w:lang w:val="en-US" w:eastAsia="zh-CN"/>
        </w:rPr>
      </w:pPr>
      <w:r>
        <w:rPr>
          <w:rFonts w:hint="eastAsia" w:ascii="仿宋" w:hAnsi="仿宋" w:eastAsia="仿宋" w:cs="仿宋"/>
          <w:b w:val="0"/>
          <w:bCs w:val="0"/>
          <w:sz w:val="32"/>
          <w:szCs w:val="32"/>
          <w:highlight w:val="none"/>
          <w:lang w:val="en-US" w:eastAsia="zh-CN"/>
        </w:rPr>
        <w:t>收入来源总计624,022.88元，其中一般公共预算财政拨款624,022.88元。</w:t>
      </w:r>
    </w:p>
    <w:p w14:paraId="3A0FCAD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80" w:leftChars="20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预算资金指标支付汇总</w:t>
      </w:r>
    </w:p>
    <w:p w14:paraId="009D2509">
      <w:pPr>
        <w:pStyle w:val="4"/>
        <w:numPr>
          <w:ilvl w:val="0"/>
          <w:numId w:val="0"/>
        </w:numPr>
        <w:jc w:val="center"/>
        <w:rPr>
          <w:rFonts w:hint="default"/>
          <w:lang w:val="en-US" w:eastAsia="zh-CN"/>
        </w:rPr>
      </w:pPr>
      <w:r>
        <w:drawing>
          <wp:inline distT="0" distB="0" distL="114300" distR="114300">
            <wp:extent cx="4067175" cy="733425"/>
            <wp:effectExtent l="9525" t="9525" r="19050" b="19050"/>
            <wp:docPr id="19" name="图片 2"/>
            <wp:cNvGraphicFramePr/>
            <a:graphic xmlns:a="http://schemas.openxmlformats.org/drawingml/2006/main">
              <a:graphicData uri="http://schemas.openxmlformats.org/drawingml/2006/picture">
                <pic:pic xmlns:pic="http://schemas.openxmlformats.org/drawingml/2006/picture">
                  <pic:nvPicPr>
                    <pic:cNvPr id="19" name="图片 2"/>
                    <pic:cNvPicPr/>
                  </pic:nvPicPr>
                  <pic:blipFill>
                    <a:blip r:embed="rId10"/>
                  </pic:blipFill>
                  <pic:spPr>
                    <a:xfrm>
                      <a:off x="0" y="0"/>
                      <a:ext cx="4067175" cy="733425"/>
                    </a:xfrm>
                    <a:prstGeom prst="rect">
                      <a:avLst/>
                    </a:prstGeom>
                    <a:solidFill>
                      <a:srgbClr val="FFFFFF"/>
                    </a:solidFill>
                    <a:ln w="9525">
                      <a:solidFill>
                        <a:srgbClr val="000000"/>
                      </a:solidFill>
                    </a:ln>
                  </pic:spPr>
                </pic:pic>
              </a:graphicData>
            </a:graphic>
          </wp:inline>
        </w:drawing>
      </w:r>
    </w:p>
    <w:p w14:paraId="2825EB9E">
      <w:pPr>
        <w:pStyle w:val="4"/>
        <w:jc w:val="center"/>
        <w:rPr>
          <w:rFonts w:hint="eastAsia" w:ascii="仿宋" w:hAnsi="仿宋" w:eastAsia="仿宋" w:cs="仿宋"/>
          <w:b w:val="0"/>
          <w:bCs w:val="0"/>
          <w:sz w:val="32"/>
          <w:szCs w:val="32"/>
          <w:highlight w:val="none"/>
          <w:lang w:val="en-US" w:eastAsia="zh-CN"/>
        </w:rPr>
      </w:pPr>
      <w:r>
        <w:drawing>
          <wp:inline distT="0" distB="0" distL="114300" distR="114300">
            <wp:extent cx="4568825" cy="2752725"/>
            <wp:effectExtent l="4445" t="4445" r="17780" b="508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预算执行率为100.00%。详情如下：</w:t>
      </w:r>
    </w:p>
    <w:p w14:paraId="2B138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default" w:ascii="仿宋" w:hAnsi="仿宋" w:eastAsia="仿宋" w:cs="仿宋"/>
          <w:b/>
          <w:bCs/>
          <w:sz w:val="32"/>
          <w:szCs w:val="32"/>
          <w:lang w:val="en-US" w:eastAsia="zh-CN"/>
        </w:rPr>
      </w:pPr>
      <w:r>
        <w:drawing>
          <wp:inline distT="0" distB="0" distL="114300" distR="114300">
            <wp:extent cx="5000625" cy="904875"/>
            <wp:effectExtent l="9525" t="9525" r="19050" b="19050"/>
            <wp:docPr id="29" name="图片 2"/>
            <wp:cNvGraphicFramePr/>
            <a:graphic xmlns:a="http://schemas.openxmlformats.org/drawingml/2006/main">
              <a:graphicData uri="http://schemas.openxmlformats.org/drawingml/2006/picture">
                <pic:pic xmlns:pic="http://schemas.openxmlformats.org/drawingml/2006/picture">
                  <pic:nvPicPr>
                    <pic:cNvPr id="29" name="图片 2"/>
                    <pic:cNvPicPr/>
                  </pic:nvPicPr>
                  <pic:blipFill>
                    <a:blip r:embed="rId12"/>
                  </pic:blipFill>
                  <pic:spPr>
                    <a:xfrm>
                      <a:off x="0" y="0"/>
                      <a:ext cx="5000625" cy="904875"/>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资金支付及时，不存在项目等钱情况。2024年11月资金指标使用数占比31.07%，高于其他月份。指标下达数与指标使用数对比详情列示如下：</w:t>
      </w:r>
    </w:p>
    <w:p w14:paraId="2E073AE1">
      <w:pPr>
        <w:pStyle w:val="4"/>
        <w:jc w:val="center"/>
        <w:rPr>
          <w:rFonts w:hint="eastAsia" w:ascii="仿宋" w:hAnsi="仿宋" w:eastAsia="仿宋" w:cs="仿宋"/>
          <w:b w:val="0"/>
          <w:bCs w:val="0"/>
          <w:sz w:val="32"/>
          <w:szCs w:val="32"/>
          <w:lang w:val="en-US" w:eastAsia="zh-CN"/>
        </w:rPr>
      </w:pPr>
      <w:r>
        <w:drawing>
          <wp:inline distT="0" distB="0" distL="114300" distR="114300">
            <wp:extent cx="4210050" cy="2447925"/>
            <wp:effectExtent l="9525" t="9525" r="9525" b="1905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3"/>
                  </pic:blipFill>
                  <pic:spPr>
                    <a:xfrm>
                      <a:off x="0" y="0"/>
                      <a:ext cx="4210050" cy="2447925"/>
                    </a:xfrm>
                    <a:prstGeom prst="rect">
                      <a:avLst/>
                    </a:prstGeom>
                    <a:solidFill>
                      <a:srgbClr val="FFFFFF"/>
                    </a:solidFill>
                    <a:ln w="9525">
                      <a:solidFill>
                        <a:srgbClr val="000000"/>
                      </a:solidFill>
                    </a:ln>
                  </pic:spPr>
                </pic:pic>
              </a:graphicData>
            </a:graphic>
          </wp:inline>
        </w:drawing>
      </w:r>
    </w:p>
    <w:p w14:paraId="2180082C">
      <w:pPr>
        <w:pStyle w:val="4"/>
        <w:jc w:val="center"/>
        <w:rPr>
          <w:rFonts w:hint="eastAsia" w:ascii="仿宋" w:hAnsi="仿宋" w:eastAsia="仿宋" w:cs="仿宋"/>
          <w:b/>
          <w:bCs/>
          <w:sz w:val="32"/>
          <w:szCs w:val="32"/>
          <w:lang w:val="en-US" w:eastAsia="zh-CN"/>
        </w:rPr>
      </w:pPr>
      <w:r>
        <w:drawing>
          <wp:inline distT="0" distB="0" distL="114300" distR="114300">
            <wp:extent cx="4826000" cy="2743200"/>
            <wp:effectExtent l="4445" t="4445" r="8255" b="1460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跨期支付情况，存在基本支出和项目支出之间挤占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1936043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本年度决算数与上年度决算数对比，增加率7.69%。</w:t>
      </w:r>
      <w:r>
        <w:drawing>
          <wp:inline distT="0" distB="0" distL="114300" distR="114300">
            <wp:extent cx="5640070" cy="1823085"/>
            <wp:effectExtent l="9525" t="9525" r="27305" b="15240"/>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5"/>
                  </pic:blipFill>
                  <pic:spPr>
                    <a:xfrm>
                      <a:off x="0" y="0"/>
                      <a:ext cx="5640070" cy="1823085"/>
                    </a:xfrm>
                    <a:prstGeom prst="rect">
                      <a:avLst/>
                    </a:prstGeom>
                    <a:solidFill>
                      <a:srgbClr val="FFFFFF"/>
                    </a:solidFill>
                    <a:ln w="9525">
                      <a:solidFill>
                        <a:srgbClr val="000000"/>
                      </a:solidFill>
                    </a:ln>
                  </pic:spPr>
                </pic:pic>
              </a:graphicData>
            </a:graphic>
          </wp:inline>
        </w:drawing>
      </w:r>
    </w:p>
    <w:p w14:paraId="7FE879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pP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2" w:leftChars="0" w:firstLine="643" w:firstLineChars="200"/>
        <w:jc w:val="both"/>
        <w:textAlignment w:val="auto"/>
        <w:outlineLvl w:val="9"/>
      </w:pPr>
      <w:r>
        <w:rPr>
          <w:rFonts w:hint="eastAsia" w:ascii="仿宋" w:hAnsi="仿宋" w:eastAsia="仿宋" w:cs="仿宋"/>
          <w:b/>
          <w:bCs/>
          <w:sz w:val="32"/>
          <w:szCs w:val="32"/>
          <w:lang w:val="en-US" w:eastAsia="zh-CN"/>
        </w:rPr>
        <w:t>（6）本年度全年预算数、账套数、决算数、重分类决算数汇总对比表列示如下：</w:t>
      </w:r>
    </w:p>
    <w:p w14:paraId="505EE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p>
    <w:p w14:paraId="3E481C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981700" cy="952500"/>
            <wp:effectExtent l="9525" t="9525" r="9525" b="9525"/>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6"/>
                  </pic:blipFill>
                  <pic:spPr>
                    <a:xfrm>
                      <a:off x="0" y="0"/>
                      <a:ext cx="5981700" cy="952500"/>
                    </a:xfrm>
                    <a:prstGeom prst="rect">
                      <a:avLst/>
                    </a:prstGeom>
                    <a:solidFill>
                      <a:srgbClr val="FFFFFF"/>
                    </a:solidFill>
                    <a:ln w="9525">
                      <a:solidFill>
                        <a:srgbClr val="000000"/>
                      </a:solidFill>
                    </a:ln>
                  </pic:spPr>
                </pic:pic>
              </a:graphicData>
            </a:graphic>
          </wp:inline>
        </w:drawing>
      </w: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pPr>
      <w:r>
        <w:drawing>
          <wp:inline distT="0" distB="0" distL="114300" distR="114300">
            <wp:extent cx="5981700" cy="952500"/>
            <wp:effectExtent l="9525" t="9525" r="9525" b="9525"/>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17"/>
                  </pic:blipFill>
                  <pic:spPr>
                    <a:xfrm>
                      <a:off x="0" y="0"/>
                      <a:ext cx="5981700" cy="952500"/>
                    </a:xfrm>
                    <a:prstGeom prst="rect">
                      <a:avLst/>
                    </a:prstGeom>
                    <a:solidFill>
                      <a:srgbClr val="FFFFFF"/>
                    </a:solidFill>
                    <a:ln w="9525">
                      <a:solidFill>
                        <a:srgbClr val="000000"/>
                      </a:solidFill>
                    </a:ln>
                  </pic:spPr>
                </pic:pic>
              </a:graphicData>
            </a:graphic>
          </wp:inline>
        </w:drawing>
      </w:r>
    </w:p>
    <w:p w14:paraId="2E8EAE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eastAsia" w:ascii="仿宋" w:hAnsi="仿宋" w:eastAsia="仿宋" w:cs="仿宋"/>
          <w:b w:val="0"/>
          <w:bCs w:val="0"/>
          <w:sz w:val="32"/>
          <w:szCs w:val="32"/>
          <w:lang w:val="en-US" w:eastAsia="zh-CN"/>
        </w:rPr>
      </w:pPr>
      <w:r>
        <w:drawing>
          <wp:inline distT="0" distB="0" distL="114300" distR="114300">
            <wp:extent cx="4826000" cy="4476115"/>
            <wp:effectExtent l="5080" t="4445" r="7620" b="15240"/>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DABC4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11954"/>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7CA2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区红十字会的整体支出分为三大类，分别为基本支出-人员经费、基本支出-公用经费（一般性支出）与项目支出。</w:t>
      </w:r>
    </w:p>
    <w:p w14:paraId="252AC2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包括基本工资、津贴补贴、社会保障缴费、住房公积金、工资福利支出等。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包括食堂餐费、咨询报告与工会经费、办公经费。</w:t>
      </w:r>
      <w:r>
        <w:rPr>
          <w:rFonts w:hint="eastAsia" w:ascii="仿宋" w:hAnsi="仿宋" w:eastAsia="仿宋" w:cs="仿宋"/>
          <w:b/>
          <w:bCs/>
          <w:sz w:val="32"/>
          <w:szCs w:val="32"/>
          <w:lang w:val="en-US" w:eastAsia="zh-CN"/>
        </w:rPr>
        <w:t>三是项目支出</w:t>
      </w:r>
      <w:r>
        <w:rPr>
          <w:rFonts w:hint="eastAsia" w:ascii="仿宋" w:hAnsi="仿宋" w:eastAsia="仿宋" w:cs="仿宋"/>
          <w:b w:val="0"/>
          <w:bCs w:val="0"/>
          <w:sz w:val="32"/>
          <w:szCs w:val="32"/>
          <w:lang w:val="en-US" w:eastAsia="zh-CN"/>
        </w:rPr>
        <w:t>包括奖补资金、培训费与宣传费等。</w:t>
      </w:r>
    </w:p>
    <w:p w14:paraId="08147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（2）各类支出从账套数到重分类数的调整过程</w:t>
      </w:r>
    </w:p>
    <w:p w14:paraId="5EC708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sz w:val="32"/>
          <w:szCs w:val="32"/>
          <w:lang w:val="en-US" w:eastAsia="zh-CN"/>
        </w:rPr>
      </w:pPr>
      <w:r>
        <w:drawing>
          <wp:inline distT="0" distB="0" distL="114300" distR="114300">
            <wp:extent cx="6110605" cy="1331595"/>
            <wp:effectExtent l="9525" t="9525" r="13970" b="11430"/>
            <wp:docPr id="22" name="图片 1"/>
            <wp:cNvGraphicFramePr/>
            <a:graphic xmlns:a="http://schemas.openxmlformats.org/drawingml/2006/main">
              <a:graphicData uri="http://schemas.openxmlformats.org/drawingml/2006/picture">
                <pic:pic xmlns:pic="http://schemas.openxmlformats.org/drawingml/2006/picture">
                  <pic:nvPicPr>
                    <pic:cNvPr id="22" name="图片 1"/>
                    <pic:cNvPicPr/>
                  </pic:nvPicPr>
                  <pic:blipFill>
                    <a:blip r:embed="rId19"/>
                  </pic:blipFill>
                  <pic:spPr>
                    <a:xfrm>
                      <a:off x="0" y="0"/>
                      <a:ext cx="6110605" cy="1331595"/>
                    </a:xfrm>
                    <a:prstGeom prst="rect">
                      <a:avLst/>
                    </a:prstGeom>
                    <a:solidFill>
                      <a:srgbClr val="FFFFFF"/>
                    </a:solidFill>
                    <a:ln w="9525">
                      <a:solidFill>
                        <a:srgbClr val="000000"/>
                      </a:solidFill>
                    </a:ln>
                  </pic:spPr>
                </pic:pic>
              </a:graphicData>
            </a:graphic>
          </wp:inline>
        </w:drawing>
      </w:r>
    </w:p>
    <w:p w14:paraId="2EBD6989">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80" w:firstLineChars="200"/>
        <w:jc w:val="left"/>
        <w:textAlignment w:val="auto"/>
        <w:outlineLvl w:val="9"/>
        <w:rPr>
          <w:rFonts w:hint="eastAsia" w:ascii="仿宋" w:hAnsi="仿宋" w:eastAsia="仿宋" w:cs="仿宋"/>
          <w:b/>
          <w:bCs/>
          <w:sz w:val="32"/>
          <w:szCs w:val="32"/>
          <w:lang w:val="en-US" w:eastAsia="zh-CN"/>
        </w:rPr>
      </w:pPr>
      <w:r>
        <w:drawing>
          <wp:inline distT="0" distB="0" distL="114300" distR="114300">
            <wp:extent cx="5586730" cy="2197735"/>
            <wp:effectExtent l="9525" t="9525" r="23495" b="21590"/>
            <wp:docPr id="23" name="图片 1"/>
            <wp:cNvGraphicFramePr/>
            <a:graphic xmlns:a="http://schemas.openxmlformats.org/drawingml/2006/main">
              <a:graphicData uri="http://schemas.openxmlformats.org/drawingml/2006/picture">
                <pic:pic xmlns:pic="http://schemas.openxmlformats.org/drawingml/2006/picture">
                  <pic:nvPicPr>
                    <pic:cNvPr id="23" name="图片 1"/>
                    <pic:cNvPicPr/>
                  </pic:nvPicPr>
                  <pic:blipFill>
                    <a:blip r:embed="rId20"/>
                  </pic:blipFill>
                  <pic:spPr>
                    <a:xfrm>
                      <a:off x="0" y="0"/>
                      <a:ext cx="5586730" cy="2197735"/>
                    </a:xfrm>
                    <a:prstGeom prst="rect">
                      <a:avLst/>
                    </a:prstGeom>
                    <a:solidFill>
                      <a:srgbClr val="FFFFFF"/>
                    </a:solidFill>
                    <a:ln w="9525">
                      <a:solidFill>
                        <a:srgbClr val="000000"/>
                      </a:solidFill>
                    </a:ln>
                  </pic:spPr>
                </pic:pic>
              </a:graphicData>
            </a:graphic>
          </wp:inline>
        </w:drawing>
      </w:r>
    </w:p>
    <w:p w14:paraId="7372923D">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572760" cy="2365375"/>
            <wp:effectExtent l="9525" t="9525" r="18415" b="25400"/>
            <wp:docPr id="24" name="图片 2"/>
            <wp:cNvGraphicFramePr/>
            <a:graphic xmlns:a="http://schemas.openxmlformats.org/drawingml/2006/main">
              <a:graphicData uri="http://schemas.openxmlformats.org/drawingml/2006/picture">
                <pic:pic xmlns:pic="http://schemas.openxmlformats.org/drawingml/2006/picture">
                  <pic:nvPicPr>
                    <pic:cNvPr id="24" name="图片 2"/>
                    <pic:cNvPicPr/>
                  </pic:nvPicPr>
                  <pic:blipFill>
                    <a:blip r:embed="rId21"/>
                  </pic:blipFill>
                  <pic:spPr>
                    <a:xfrm>
                      <a:off x="0" y="0"/>
                      <a:ext cx="5572760" cy="2365375"/>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42816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项目支出减少80,634.98元，人员经费增加29,452.26元，人员经费增长率8.55%。公用经费增加51，182.72元，公用经费增长率779.27%。原因为人员经费与公用经费的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5305425" cy="952500"/>
            <wp:effectExtent l="9525" t="9525" r="19050" b="9525"/>
            <wp:docPr id="28" name="图片 10"/>
            <wp:cNvGraphicFramePr/>
            <a:graphic xmlns:a="http://schemas.openxmlformats.org/drawingml/2006/main">
              <a:graphicData uri="http://schemas.openxmlformats.org/drawingml/2006/picture">
                <pic:pic xmlns:pic="http://schemas.openxmlformats.org/drawingml/2006/picture">
                  <pic:nvPicPr>
                    <pic:cNvPr id="28" name="图片 10"/>
                    <pic:cNvPicPr/>
                  </pic:nvPicPr>
                  <pic:blipFill>
                    <a:blip r:embed="rId22"/>
                  </pic:blipFill>
                  <pic:spPr>
                    <a:xfrm>
                      <a:off x="0" y="0"/>
                      <a:ext cx="5305425" cy="952500"/>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3B87B5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514975" cy="1314450"/>
            <wp:effectExtent l="9525" t="9525" r="19050" b="9525"/>
            <wp:docPr id="32" name="图片 3"/>
            <wp:cNvGraphicFramePr/>
            <a:graphic xmlns:a="http://schemas.openxmlformats.org/drawingml/2006/main">
              <a:graphicData uri="http://schemas.openxmlformats.org/drawingml/2006/picture">
                <pic:pic xmlns:pic="http://schemas.openxmlformats.org/drawingml/2006/picture">
                  <pic:nvPicPr>
                    <pic:cNvPr id="32" name="图片 3"/>
                    <pic:cNvPicPr/>
                  </pic:nvPicPr>
                  <pic:blipFill>
                    <a:blip r:embed="rId23"/>
                  </pic:blipFill>
                  <pic:spPr>
                    <a:xfrm>
                      <a:off x="0" y="0"/>
                      <a:ext cx="5514975" cy="1314450"/>
                    </a:xfrm>
                    <a:prstGeom prst="rect">
                      <a:avLst/>
                    </a:prstGeom>
                    <a:solidFill>
                      <a:srgbClr val="FFFFFF"/>
                    </a:solidFill>
                    <a:ln w="9525">
                      <a:solidFill>
                        <a:srgbClr val="000000"/>
                      </a:solidFill>
                    </a:ln>
                  </pic:spPr>
                </pic:pic>
              </a:graphicData>
            </a:graphic>
          </wp:inline>
        </w:drawing>
      </w:r>
    </w:p>
    <w:p w14:paraId="523018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826000" cy="2743200"/>
            <wp:effectExtent l="4445" t="4445" r="8255" b="14605"/>
            <wp:docPr id="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4A526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基本支出-公用经费重分类数汇总及分析</w:t>
      </w:r>
    </w:p>
    <w:p w14:paraId="0C1774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drawing>
          <wp:inline distT="0" distB="0" distL="114300" distR="114300">
            <wp:extent cx="5936615" cy="1209040"/>
            <wp:effectExtent l="9525" t="9525" r="16510" b="19685"/>
            <wp:docPr id="33" name="图片 2"/>
            <wp:cNvGraphicFramePr/>
            <a:graphic xmlns:a="http://schemas.openxmlformats.org/drawingml/2006/main">
              <a:graphicData uri="http://schemas.openxmlformats.org/drawingml/2006/picture">
                <pic:pic xmlns:pic="http://schemas.openxmlformats.org/drawingml/2006/picture">
                  <pic:nvPicPr>
                    <pic:cNvPr id="33" name="图片 2"/>
                    <pic:cNvPicPr/>
                  </pic:nvPicPr>
                  <pic:blipFill>
                    <a:blip r:embed="rId25"/>
                  </pic:blipFill>
                  <pic:spPr>
                    <a:xfrm>
                      <a:off x="0" y="0"/>
                      <a:ext cx="5936615" cy="1209040"/>
                    </a:xfrm>
                    <a:prstGeom prst="rect">
                      <a:avLst/>
                    </a:prstGeom>
                    <a:solidFill>
                      <a:srgbClr val="FFFFFF"/>
                    </a:solidFill>
                    <a:ln w="9525">
                      <a:solidFill>
                        <a:srgbClr val="000000"/>
                      </a:solidFill>
                    </a:ln>
                  </pic:spPr>
                </pic:pic>
              </a:graphicData>
            </a:graphic>
          </wp:inline>
        </w:drawing>
      </w:r>
    </w:p>
    <w:p w14:paraId="25DAA17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pPr>
      <w:r>
        <w:drawing>
          <wp:inline distT="0" distB="0" distL="114300" distR="114300">
            <wp:extent cx="4826000" cy="2743200"/>
            <wp:effectExtent l="4445" t="4445" r="8255" b="14605"/>
            <wp:docPr id="3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CD98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检查凭证存在以下情况：</w:t>
      </w:r>
    </w:p>
    <w:p w14:paraId="2D39DE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lang w:val="en-US" w:eastAsia="zh-CN"/>
        </w:rPr>
      </w:pPr>
      <w:r>
        <w:rPr>
          <w:rFonts w:hint="eastAsia" w:ascii="仿宋" w:hAnsi="仿宋" w:eastAsia="仿宋" w:cs="仿宋"/>
          <w:b/>
          <w:bCs/>
          <w:sz w:val="32"/>
          <w:szCs w:val="32"/>
        </w:rPr>
        <w:t>一是</w:t>
      </w:r>
      <w:r>
        <w:rPr>
          <w:rFonts w:hint="eastAsia" w:ascii="仿宋" w:hAnsi="仿宋" w:eastAsia="仿宋" w:cs="仿宋"/>
          <w:sz w:val="32"/>
          <w:szCs w:val="32"/>
        </w:rPr>
        <w:t>存在2024年支付2025年工会行政支出的跨期费用支付情况。详见2024年12月12号凭证，支付2025年工会行政支出10,255.00元。</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支付</w:t>
      </w:r>
      <w:r>
        <w:rPr>
          <w:rFonts w:hint="eastAsia" w:ascii="仿宋" w:hAnsi="仿宋" w:eastAsia="仿宋" w:cs="仿宋"/>
          <w:sz w:val="32"/>
          <w:szCs w:val="32"/>
          <w:lang w:val="en-US" w:eastAsia="zh-CN"/>
        </w:rPr>
        <w:t>食堂餐费</w:t>
      </w:r>
      <w:r>
        <w:rPr>
          <w:rFonts w:hint="eastAsia" w:ascii="仿宋" w:hAnsi="仿宋" w:eastAsia="仿宋" w:cs="仿宋"/>
          <w:sz w:val="32"/>
          <w:szCs w:val="32"/>
        </w:rPr>
        <w:t>无计算依据（如用餐人数、餐标、天数等），支付周期混乱，支付不及时，跨期核算的情况。</w:t>
      </w:r>
      <w:r>
        <w:rPr>
          <w:rFonts w:hint="eastAsia" w:ascii="仿宋" w:hAnsi="仿宋" w:eastAsia="仿宋" w:cs="仿宋"/>
          <w:sz w:val="32"/>
          <w:szCs w:val="32"/>
          <w:lang w:val="en-US" w:eastAsia="zh-CN"/>
        </w:rPr>
        <w:t>详情见下表：</w:t>
      </w:r>
    </w:p>
    <w:p w14:paraId="4632B16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sz w:val="32"/>
          <w:szCs w:val="32"/>
          <w:highlight w:val="none"/>
          <w:lang w:val="en-US" w:eastAsia="zh-CN"/>
        </w:rPr>
      </w:pPr>
      <w:r>
        <w:drawing>
          <wp:inline distT="0" distB="0" distL="114300" distR="114300">
            <wp:extent cx="5868670" cy="2280920"/>
            <wp:effectExtent l="9525" t="9525" r="27305" b="14605"/>
            <wp:docPr id="37" name="图片 1"/>
            <wp:cNvGraphicFramePr/>
            <a:graphic xmlns:a="http://schemas.openxmlformats.org/drawingml/2006/main">
              <a:graphicData uri="http://schemas.openxmlformats.org/drawingml/2006/picture">
                <pic:pic xmlns:pic="http://schemas.openxmlformats.org/drawingml/2006/picture">
                  <pic:nvPicPr>
                    <pic:cNvPr id="37" name="图片 1"/>
                    <pic:cNvPicPr/>
                  </pic:nvPicPr>
                  <pic:blipFill>
                    <a:blip r:embed="rId27"/>
                  </pic:blipFill>
                  <pic:spPr>
                    <a:xfrm>
                      <a:off x="0" y="0"/>
                      <a:ext cx="5868670" cy="2280920"/>
                    </a:xfrm>
                    <a:prstGeom prst="rect">
                      <a:avLst/>
                    </a:prstGeom>
                    <a:solidFill>
                      <a:srgbClr val="FFFFFF"/>
                    </a:solidFill>
                    <a:ln w="9525">
                      <a:solidFill>
                        <a:srgbClr val="000000"/>
                      </a:solidFill>
                    </a:ln>
                  </pic:spPr>
                </pic:pic>
              </a:graphicData>
            </a:graphic>
          </wp:inline>
        </w:drawing>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224BF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（1）区红十字会2024年度无因公出国（境）费。</w:t>
      </w:r>
    </w:p>
    <w:p w14:paraId="21D6F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（2）区红十字会2024年度无公务用车购置及运行费。单位资产无公务车，日常无公车维护运行费。</w:t>
      </w:r>
    </w:p>
    <w:p w14:paraId="1E120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存在交通补贴造表发放，发放表未见人力资源部或组织部审批盖章。</w:t>
      </w:r>
    </w:p>
    <w:p w14:paraId="733A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（3）2024年无公务接待费。</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无会议费支出。</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01717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基本支出-公用经费-办公经费重分类数16,575.72元，详情如下表：</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sz w:val="32"/>
          <w:szCs w:val="32"/>
          <w:highlight w:val="yellow"/>
          <w:lang w:val="en-US" w:eastAsia="zh-CN"/>
        </w:rPr>
      </w:pPr>
      <w:r>
        <w:drawing>
          <wp:inline distT="0" distB="0" distL="114300" distR="114300">
            <wp:extent cx="5173980" cy="1212215"/>
            <wp:effectExtent l="9525" t="9525" r="17145" b="16510"/>
            <wp:docPr id="36" name="图片 3"/>
            <wp:cNvGraphicFramePr/>
            <a:graphic xmlns:a="http://schemas.openxmlformats.org/drawingml/2006/main">
              <a:graphicData uri="http://schemas.openxmlformats.org/drawingml/2006/picture">
                <pic:pic xmlns:pic="http://schemas.openxmlformats.org/drawingml/2006/picture">
                  <pic:nvPicPr>
                    <pic:cNvPr id="36" name="图片 3"/>
                    <pic:cNvPicPr/>
                  </pic:nvPicPr>
                  <pic:blipFill>
                    <a:blip r:embed="rId28"/>
                  </pic:blipFill>
                  <pic:spPr>
                    <a:xfrm>
                      <a:off x="0" y="0"/>
                      <a:ext cx="5173980" cy="1212215"/>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2362"/>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（1）部门在预算管理方面建立的制度：雁峰区红十字会三重一大议事规则，雁峰区红十字会党风廉政建设工作制度，雁峰区红十字会</w:t>
      </w:r>
      <w:r>
        <w:rPr>
          <w:rFonts w:hint="eastAsia" w:ascii="仿宋" w:hAnsi="仿宋" w:eastAsia="仿宋" w:cs="仿宋"/>
          <w:b/>
          <w:bCs/>
          <w:sz w:val="32"/>
          <w:szCs w:val="32"/>
          <w:highlight w:val="none"/>
          <w:lang w:val="en-US" w:eastAsia="zh-CN"/>
        </w:rPr>
        <w:t>财务管理相关规定。</w:t>
      </w:r>
      <w:r>
        <w:rPr>
          <w:rFonts w:hint="eastAsia" w:ascii="仿宋" w:hAnsi="仿宋" w:eastAsia="仿宋" w:cs="仿宋"/>
          <w:sz w:val="32"/>
          <w:szCs w:val="32"/>
          <w:highlight w:val="none"/>
          <w:lang w:val="en-US" w:eastAsia="zh-CN"/>
        </w:rPr>
        <w:t>未提供其他管理制度，如：预算管理制度，内部控制制度，政府采购管理制度，国有资产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衡阳雁峰区政府网上可以查到2024年区红十字会的预算公开信息。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16181"/>
      <w:r>
        <w:rPr>
          <w:rFonts w:hint="eastAsia" w:ascii="楷体" w:hAnsi="楷体" w:eastAsia="楷体" w:cs="楷体"/>
          <w:b/>
          <w:bCs/>
          <w:sz w:val="32"/>
          <w:szCs w:val="32"/>
          <w:lang w:val="en-US" w:eastAsia="zh-CN"/>
        </w:rPr>
        <w:t>工资管理情况及分析</w:t>
      </w:r>
      <w:bookmarkEnd w:id="33"/>
    </w:p>
    <w:p w14:paraId="13D18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1.未提供相关文件：</w:t>
      </w:r>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199A1F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2.检查凭证过程，发现存在以下情况：</w:t>
      </w:r>
    </w:p>
    <w:p w14:paraId="7D01D02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发放工资的依据缺少经审批的工资明细表，缺少银行代发明细回单，仅凭国库支付凭证，工资发放业务在财务核算和内部控制上是不完整、不合规的。它使得资金支付的“最后一公里”脱离了监督。</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支付医疗保险、工伤保险、职业年金后仅附国库支付单，银行端查询缴税凭证，未附人员名单、缴费基数确认表、明确的计算依据、审批流程、银行付款回单等。</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借调人员的过节费用由借调单位（非工资发放单位）直接发放，是不合规行为，易构成较高的财务风险和管理缺陷。详见2024年8月2号凭证，发放借调人员王雷500元八一过节费。</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发放人员经费性质的交通补贴缺乏人力资源或组织部门的审核盖章。</w:t>
      </w:r>
    </w:p>
    <w:p w14:paraId="11FF4B9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1920"/>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区红十字会未提供项目管理制度，未提供政府采购管理制度。</w:t>
      </w:r>
    </w:p>
    <w:p w14:paraId="7DBF44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包括奖补资金、培训费及宣传费。详情见下表：</w:t>
      </w:r>
    </w:p>
    <w:p w14:paraId="61F8820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default" w:ascii="仿宋" w:hAnsi="仿宋" w:eastAsia="仿宋" w:cs="仿宋"/>
          <w:sz w:val="32"/>
          <w:szCs w:val="32"/>
          <w:lang w:val="en-US" w:eastAsia="zh-CN"/>
        </w:rPr>
      </w:pPr>
      <w:r>
        <w:drawing>
          <wp:inline distT="0" distB="0" distL="114300" distR="114300">
            <wp:extent cx="4171950" cy="952500"/>
            <wp:effectExtent l="9525" t="9525" r="9525" b="9525"/>
            <wp:docPr id="34" name="图片 3"/>
            <wp:cNvGraphicFramePr/>
            <a:graphic xmlns:a="http://schemas.openxmlformats.org/drawingml/2006/main">
              <a:graphicData uri="http://schemas.openxmlformats.org/drawingml/2006/picture">
                <pic:pic xmlns:pic="http://schemas.openxmlformats.org/drawingml/2006/picture">
                  <pic:nvPicPr>
                    <pic:cNvPr id="34" name="图片 3"/>
                    <pic:cNvPicPr/>
                  </pic:nvPicPr>
                  <pic:blipFill>
                    <a:blip r:embed="rId29"/>
                  </pic:blipFill>
                  <pic:spPr>
                    <a:xfrm>
                      <a:off x="0" y="0"/>
                      <a:ext cx="4171950" cy="952500"/>
                    </a:xfrm>
                    <a:prstGeom prst="rect">
                      <a:avLst/>
                    </a:prstGeom>
                    <a:solidFill>
                      <a:srgbClr val="FFFFFF"/>
                    </a:solidFill>
                    <a:ln w="9525">
                      <a:solidFill>
                        <a:srgbClr val="000000"/>
                      </a:solidFill>
                    </a:ln>
                  </pic:spPr>
                </pic:pic>
              </a:graphicData>
            </a:graphic>
          </wp:inline>
        </w:drawing>
      </w:r>
    </w:p>
    <w:p w14:paraId="4ABCD25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default" w:ascii="仿宋" w:hAnsi="仿宋" w:eastAsia="仿宋" w:cs="仿宋"/>
          <w:sz w:val="32"/>
          <w:szCs w:val="32"/>
          <w:lang w:val="en-US" w:eastAsia="zh-CN"/>
        </w:rPr>
      </w:pPr>
      <w:r>
        <w:drawing>
          <wp:inline distT="0" distB="0" distL="114300" distR="114300">
            <wp:extent cx="4826000" cy="2743200"/>
            <wp:effectExtent l="4445" t="4445" r="8255" b="14605"/>
            <wp:docPr id="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D28B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2.检查凭证信息，存在以下情况：</w:t>
      </w:r>
    </w:p>
    <w:p w14:paraId="6EAC8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存在政采合同与验收为同一天，业务活动不可能一天完成，属于程序违规。详见2024年12月6号，制作红色马甲费4,800.00元。</w:t>
      </w:r>
    </w:p>
    <w:p w14:paraId="6A931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4.项目支出取得效益</w:t>
      </w:r>
    </w:p>
    <w:p w14:paraId="18ADF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一是救助工作。</w:t>
      </w:r>
      <w:r>
        <w:rPr>
          <w:rFonts w:hint="eastAsia" w:ascii="仿宋" w:hAnsi="仿宋" w:eastAsia="仿宋" w:cs="仿宋"/>
          <w:b w:val="0"/>
          <w:bCs w:val="0"/>
          <w:sz w:val="32"/>
          <w:szCs w:val="32"/>
          <w:lang w:val="en-US" w:eastAsia="zh-CN"/>
        </w:rPr>
        <w:t>完成了对一名白血病儿童和两名先心病儿童救助（本年新增2名白血病儿童，已完成救助申请流程，等待小天使基金打款），确保了救助流程（评审、手术）的有效执行；同时，完成了11万元救助资金的精准、全额发放与后续跟踪，历史救助的3名儿童已基本康复，救助成功率达100%，</w:t>
      </w:r>
      <w:r>
        <w:rPr>
          <w:rFonts w:hint="eastAsia" w:ascii="仿宋" w:hAnsi="仿宋" w:eastAsia="仿宋" w:cs="仿宋"/>
          <w:b/>
          <w:bCs/>
          <w:sz w:val="32"/>
          <w:szCs w:val="32"/>
          <w:lang w:val="en-US" w:eastAsia="zh-CN"/>
        </w:rPr>
        <w:t>显著体现了人道救助的即时性与有效性，</w:t>
      </w:r>
      <w:r>
        <w:rPr>
          <w:rFonts w:hint="eastAsia" w:ascii="仿宋" w:hAnsi="仿宋" w:eastAsia="仿宋" w:cs="仿宋"/>
          <w:b w:val="0"/>
          <w:bCs w:val="0"/>
          <w:sz w:val="32"/>
          <w:szCs w:val="32"/>
          <w:lang w:val="en-US" w:eastAsia="zh-CN"/>
        </w:rPr>
        <w:t>协调上级红会和爱心企业走访慰问困难群众55户。</w:t>
      </w:r>
      <w:r>
        <w:rPr>
          <w:rFonts w:hint="eastAsia" w:ascii="仿宋" w:hAnsi="仿宋" w:eastAsia="仿宋" w:cs="仿宋"/>
          <w:b/>
          <w:bCs/>
          <w:sz w:val="32"/>
          <w:szCs w:val="32"/>
          <w:lang w:val="en-US" w:eastAsia="zh-CN"/>
        </w:rPr>
        <w:t>二是应急救护培训工作。</w:t>
      </w:r>
      <w:r>
        <w:rPr>
          <w:rFonts w:hint="eastAsia" w:ascii="仿宋" w:hAnsi="仿宋" w:eastAsia="仿宋" w:cs="仿宋"/>
          <w:b w:val="0"/>
          <w:bCs w:val="0"/>
          <w:sz w:val="32"/>
          <w:szCs w:val="32"/>
          <w:lang w:val="en-US" w:eastAsia="zh-CN"/>
        </w:rPr>
        <w:t>组织到辖区社区（村）、广场、学校开展应急救护培训宣传12场次，受益人员达数千人，新增持证救护员52人。</w:t>
      </w:r>
      <w:r>
        <w:rPr>
          <w:rFonts w:hint="eastAsia" w:ascii="仿宋" w:hAnsi="仿宋" w:eastAsia="仿宋" w:cs="仿宋"/>
          <w:b/>
          <w:bCs/>
          <w:sz w:val="32"/>
          <w:szCs w:val="32"/>
          <w:lang w:val="en-US" w:eastAsia="zh-CN"/>
        </w:rPr>
        <w:t>三是宣传活动。</w:t>
      </w:r>
      <w:r>
        <w:rPr>
          <w:rFonts w:hint="eastAsia" w:ascii="仿宋" w:hAnsi="仿宋" w:eastAsia="仿宋" w:cs="仿宋"/>
          <w:b w:val="0"/>
          <w:bCs w:val="0"/>
          <w:sz w:val="32"/>
          <w:szCs w:val="32"/>
          <w:lang w:val="en-US" w:eastAsia="zh-CN"/>
        </w:rPr>
        <w:t>通过多形式、多渠道的宣传活动，显著提升了红十字精神与社会应急知识在公众中的覆盖面与影响力（发放宣传资料数万份）；特别是首次众筹活动成功动员百余群众参与，实现了公众募资从零到一的突破，</w:t>
      </w:r>
      <w:r>
        <w:rPr>
          <w:rFonts w:hint="eastAsia" w:ascii="仿宋" w:hAnsi="仿宋" w:eastAsia="仿宋" w:cs="仿宋"/>
          <w:b/>
          <w:bCs/>
          <w:sz w:val="32"/>
          <w:szCs w:val="32"/>
          <w:lang w:val="en-US" w:eastAsia="zh-CN"/>
        </w:rPr>
        <w:t>为配置公共AED积累了社会力量和资金。四是三献工作。</w:t>
      </w:r>
      <w:r>
        <w:rPr>
          <w:rFonts w:hint="eastAsia" w:ascii="仿宋" w:hAnsi="仿宋" w:eastAsia="仿宋" w:cs="仿宋"/>
          <w:b w:val="0"/>
          <w:bCs w:val="0"/>
          <w:sz w:val="32"/>
          <w:szCs w:val="32"/>
          <w:lang w:val="en-US" w:eastAsia="zh-CN"/>
        </w:rPr>
        <w:t>在生命接力领域取得了实质性进展，成功储备了35份潜在的人体器官捐献资源和5份造血干细胞捐献资源，</w:t>
      </w:r>
      <w:r>
        <w:rPr>
          <w:rFonts w:hint="eastAsia" w:ascii="仿宋" w:hAnsi="仿宋" w:eastAsia="仿宋" w:cs="仿宋"/>
          <w:b/>
          <w:bCs/>
          <w:sz w:val="32"/>
          <w:szCs w:val="32"/>
          <w:lang w:val="en-US" w:eastAsia="zh-CN"/>
        </w:rPr>
        <w:t>为挽救更多垂危生命创造了可能，体现了在“三献”这一核心人道使命上的有效推动。五是完成“博爱家园”项目建设。</w:t>
      </w:r>
      <w:r>
        <w:rPr>
          <w:rFonts w:hint="eastAsia" w:ascii="仿宋" w:hAnsi="仿宋" w:eastAsia="仿宋" w:cs="仿宋"/>
          <w:b w:val="0"/>
          <w:bCs w:val="0"/>
          <w:sz w:val="32"/>
          <w:szCs w:val="32"/>
          <w:lang w:val="en-US" w:eastAsia="zh-CN"/>
        </w:rPr>
        <w:t>高标准建成了集应急培训、扶贫帮困、解决就业于一体的综合性人道服务阵地（到位资金15万元），项目获得省、市红十字会高度认可，形成了可复制、可推广的标杆项目模式，完成东洲岛应急救护站申请、建设，确保在旅发会前投入使用；完成衡阳幼师和衡阳市委党校应急救护培训基地申报及建设，开展培训受益人群数万人。</w:t>
      </w:r>
      <w:r>
        <w:rPr>
          <w:rFonts w:hint="eastAsia" w:ascii="仿宋" w:hAnsi="仿宋" w:eastAsia="仿宋" w:cs="仿宋"/>
          <w:b/>
          <w:bCs/>
          <w:sz w:val="32"/>
          <w:szCs w:val="32"/>
          <w:lang w:val="en-US" w:eastAsia="zh-CN"/>
        </w:rPr>
        <w:t>实现了资金效益与社会效益的最大化。</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楷体" w:hAnsi="楷体" w:eastAsia="楷体" w:cs="楷体"/>
          <w:b/>
          <w:bCs/>
          <w:sz w:val="32"/>
          <w:szCs w:val="32"/>
          <w:highlight w:val="none"/>
          <w:lang w:val="en-US" w:eastAsia="zh-CN"/>
        </w:rPr>
      </w:pPr>
      <w:bookmarkStart w:id="35" w:name="_Toc32544"/>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0B593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存在临时管理部门、临时管理人员，部分资产的使用部门空缺。详情见下：</w:t>
      </w:r>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1.固定资产2024年增减及计提折旧情况如下（金额：元）</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3"/>
        <w:gridCol w:w="1296"/>
        <w:gridCol w:w="1724"/>
        <w:gridCol w:w="1724"/>
        <w:gridCol w:w="1296"/>
      </w:tblGrid>
      <w:tr w14:paraId="6815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7" w:type="pct"/>
            <w:tcBorders>
              <w:top w:val="single" w:color="5B9BD5" w:sz="8" w:space="0"/>
              <w:left w:val="single" w:color="5B9BD5" w:sz="8" w:space="0"/>
              <w:bottom w:val="single" w:color="5B9BD5" w:sz="8" w:space="0"/>
              <w:right w:val="single" w:color="9BC2E6" w:sz="8" w:space="0"/>
            </w:tcBorders>
            <w:shd w:val="clear" w:color="auto" w:fill="auto"/>
            <w:vAlign w:val="center"/>
          </w:tcPr>
          <w:p w14:paraId="4E9DEE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93" w:type="pct"/>
            <w:tcBorders>
              <w:top w:val="single" w:color="5B9BD5" w:sz="8" w:space="0"/>
              <w:left w:val="nil"/>
              <w:bottom w:val="single" w:color="5B9BD5" w:sz="8" w:space="0"/>
              <w:right w:val="single" w:color="9BC2E6" w:sz="8" w:space="0"/>
            </w:tcBorders>
            <w:shd w:val="clear" w:color="auto" w:fill="auto"/>
            <w:noWrap/>
            <w:vAlign w:val="center"/>
          </w:tcPr>
          <w:p w14:paraId="2FA09B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897" w:type="pct"/>
            <w:tcBorders>
              <w:top w:val="single" w:color="5B9BD5" w:sz="8" w:space="0"/>
              <w:left w:val="nil"/>
              <w:bottom w:val="single" w:color="5B9BD5" w:sz="8" w:space="0"/>
              <w:right w:val="single" w:color="9BC2E6" w:sz="8" w:space="0"/>
            </w:tcBorders>
            <w:shd w:val="clear" w:color="auto" w:fill="auto"/>
            <w:noWrap/>
            <w:vAlign w:val="center"/>
          </w:tcPr>
          <w:p w14:paraId="410325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897" w:type="pct"/>
            <w:tcBorders>
              <w:top w:val="single" w:color="5B9BD5" w:sz="8" w:space="0"/>
              <w:left w:val="nil"/>
              <w:bottom w:val="single" w:color="5B9BD5" w:sz="8" w:space="0"/>
              <w:right w:val="single" w:color="9BC2E6" w:sz="8" w:space="0"/>
            </w:tcBorders>
            <w:shd w:val="clear" w:color="auto" w:fill="auto"/>
            <w:noWrap/>
            <w:vAlign w:val="center"/>
          </w:tcPr>
          <w:p w14:paraId="2A1F0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693" w:type="pct"/>
            <w:tcBorders>
              <w:top w:val="single" w:color="5B9BD5" w:sz="8" w:space="0"/>
              <w:left w:val="nil"/>
              <w:bottom w:val="single" w:color="5B9BD5" w:sz="8" w:space="0"/>
              <w:right w:val="single" w:color="5B9BD5" w:sz="8" w:space="0"/>
            </w:tcBorders>
            <w:shd w:val="clear" w:color="auto" w:fill="auto"/>
            <w:noWrap/>
            <w:vAlign w:val="center"/>
          </w:tcPr>
          <w:p w14:paraId="46DC2B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6B05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7" w:type="pct"/>
            <w:tcBorders>
              <w:top w:val="nil"/>
              <w:left w:val="single" w:color="5B9BD5" w:sz="8" w:space="0"/>
              <w:bottom w:val="single" w:color="9BC2E6" w:sz="8" w:space="0"/>
              <w:right w:val="single" w:color="9BC2E6" w:sz="8" w:space="0"/>
            </w:tcBorders>
            <w:shd w:val="clear" w:color="auto" w:fill="DDEBF7"/>
            <w:vAlign w:val="center"/>
          </w:tcPr>
          <w:p w14:paraId="3BDAE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693" w:type="pct"/>
            <w:tcBorders>
              <w:top w:val="nil"/>
              <w:left w:val="nil"/>
              <w:bottom w:val="single" w:color="9BC2E6" w:sz="8" w:space="0"/>
              <w:right w:val="single" w:color="9BC2E6" w:sz="8" w:space="0"/>
            </w:tcBorders>
            <w:shd w:val="clear" w:color="auto" w:fill="DDEBF7"/>
            <w:noWrap/>
            <w:vAlign w:val="center"/>
          </w:tcPr>
          <w:p w14:paraId="640CF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23,544.00</w:t>
            </w:r>
          </w:p>
        </w:tc>
        <w:tc>
          <w:tcPr>
            <w:tcW w:w="897" w:type="pct"/>
            <w:tcBorders>
              <w:top w:val="nil"/>
              <w:left w:val="nil"/>
              <w:bottom w:val="single" w:color="9BC2E6" w:sz="8" w:space="0"/>
              <w:right w:val="single" w:color="9BC2E6" w:sz="8" w:space="0"/>
            </w:tcBorders>
            <w:shd w:val="clear" w:color="auto" w:fill="DDEBF7"/>
            <w:noWrap/>
            <w:vAlign w:val="center"/>
          </w:tcPr>
          <w:p w14:paraId="12FA1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11,330.00</w:t>
            </w:r>
          </w:p>
        </w:tc>
        <w:tc>
          <w:tcPr>
            <w:tcW w:w="897" w:type="pct"/>
            <w:tcBorders>
              <w:top w:val="nil"/>
              <w:left w:val="nil"/>
              <w:bottom w:val="single" w:color="9BC2E6" w:sz="8" w:space="0"/>
              <w:right w:val="single" w:color="9BC2E6" w:sz="8" w:space="0"/>
            </w:tcBorders>
            <w:shd w:val="clear" w:color="auto" w:fill="DDEBF7"/>
            <w:noWrap/>
            <w:vAlign w:val="center"/>
          </w:tcPr>
          <w:p w14:paraId="5A54EE04">
            <w:pPr>
              <w:jc w:val="center"/>
              <w:rPr>
                <w:rFonts w:hint="eastAsia" w:ascii="宋体" w:hAnsi="宋体" w:eastAsia="宋体" w:cs="宋体"/>
                <w:i w:val="0"/>
                <w:iCs w:val="0"/>
                <w:color w:val="000000"/>
                <w:sz w:val="24"/>
                <w:szCs w:val="24"/>
                <w:u w:val="none"/>
              </w:rPr>
            </w:pPr>
          </w:p>
        </w:tc>
        <w:tc>
          <w:tcPr>
            <w:tcW w:w="693" w:type="pct"/>
            <w:tcBorders>
              <w:top w:val="nil"/>
              <w:left w:val="nil"/>
              <w:bottom w:val="single" w:color="9BC2E6" w:sz="8" w:space="0"/>
              <w:right w:val="single" w:color="5B9BD5" w:sz="8" w:space="0"/>
            </w:tcBorders>
            <w:shd w:val="clear" w:color="auto" w:fill="DDEBF7"/>
            <w:noWrap/>
            <w:vAlign w:val="center"/>
          </w:tcPr>
          <w:p w14:paraId="7DC53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34,874.00</w:t>
            </w:r>
          </w:p>
        </w:tc>
      </w:tr>
      <w:tr w14:paraId="4A81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7" w:type="pct"/>
            <w:tcBorders>
              <w:top w:val="nil"/>
              <w:left w:val="single" w:color="5B9BD5" w:sz="8" w:space="0"/>
              <w:bottom w:val="single" w:color="9BC2E6" w:sz="8" w:space="0"/>
              <w:right w:val="single" w:color="9BC2E6" w:sz="8" w:space="0"/>
            </w:tcBorders>
            <w:shd w:val="clear" w:color="auto" w:fill="auto"/>
            <w:vAlign w:val="center"/>
          </w:tcPr>
          <w:p w14:paraId="09676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693" w:type="pct"/>
            <w:tcBorders>
              <w:top w:val="nil"/>
              <w:left w:val="nil"/>
              <w:bottom w:val="single" w:color="9BC2E6" w:sz="8" w:space="0"/>
              <w:right w:val="single" w:color="9BC2E6" w:sz="8" w:space="0"/>
            </w:tcBorders>
            <w:shd w:val="clear" w:color="auto" w:fill="auto"/>
            <w:noWrap/>
            <w:vAlign w:val="bottom"/>
          </w:tcPr>
          <w:p w14:paraId="568A569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10,905.30</w:t>
            </w:r>
          </w:p>
        </w:tc>
        <w:tc>
          <w:tcPr>
            <w:tcW w:w="897" w:type="pct"/>
            <w:tcBorders>
              <w:top w:val="nil"/>
              <w:left w:val="nil"/>
              <w:bottom w:val="single" w:color="9BC2E6" w:sz="8" w:space="0"/>
              <w:right w:val="single" w:color="9BC2E6" w:sz="8" w:space="0"/>
            </w:tcBorders>
            <w:shd w:val="clear" w:color="auto" w:fill="auto"/>
            <w:noWrap/>
            <w:vAlign w:val="center"/>
          </w:tcPr>
          <w:p w14:paraId="621F6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2,289.90</w:t>
            </w:r>
          </w:p>
        </w:tc>
        <w:tc>
          <w:tcPr>
            <w:tcW w:w="897" w:type="pct"/>
            <w:tcBorders>
              <w:top w:val="nil"/>
              <w:left w:val="nil"/>
              <w:bottom w:val="single" w:color="9BC2E6" w:sz="8" w:space="0"/>
              <w:right w:val="single" w:color="9BC2E6" w:sz="8" w:space="0"/>
            </w:tcBorders>
            <w:shd w:val="clear" w:color="auto" w:fill="auto"/>
            <w:noWrap/>
            <w:vAlign w:val="center"/>
          </w:tcPr>
          <w:p w14:paraId="558A004F">
            <w:pPr>
              <w:jc w:val="center"/>
              <w:rPr>
                <w:rFonts w:hint="eastAsia" w:ascii="宋体" w:hAnsi="宋体" w:eastAsia="宋体" w:cs="宋体"/>
                <w:i w:val="0"/>
                <w:iCs w:val="0"/>
                <w:color w:val="000000"/>
                <w:sz w:val="24"/>
                <w:szCs w:val="24"/>
                <w:u w:val="none"/>
              </w:rPr>
            </w:pPr>
          </w:p>
        </w:tc>
        <w:tc>
          <w:tcPr>
            <w:tcW w:w="693" w:type="pct"/>
            <w:tcBorders>
              <w:top w:val="nil"/>
              <w:left w:val="nil"/>
              <w:bottom w:val="single" w:color="9BC2E6" w:sz="8" w:space="0"/>
              <w:right w:val="single" w:color="5B9BD5" w:sz="8" w:space="0"/>
            </w:tcBorders>
            <w:shd w:val="clear" w:color="auto" w:fill="auto"/>
            <w:noWrap/>
            <w:vAlign w:val="center"/>
          </w:tcPr>
          <w:p w14:paraId="5391B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13,195.20</w:t>
            </w:r>
          </w:p>
        </w:tc>
      </w:tr>
      <w:tr w14:paraId="730E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17" w:type="pct"/>
            <w:tcBorders>
              <w:top w:val="nil"/>
              <w:left w:val="single" w:color="5B9BD5" w:sz="8" w:space="0"/>
              <w:bottom w:val="single" w:color="5B9BD5" w:sz="8" w:space="0"/>
              <w:right w:val="single" w:color="9BC2E6" w:sz="8" w:space="0"/>
            </w:tcBorders>
            <w:shd w:val="clear" w:color="auto" w:fill="DDEBF7"/>
            <w:vAlign w:val="center"/>
          </w:tcPr>
          <w:p w14:paraId="0663F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693" w:type="pct"/>
            <w:tcBorders>
              <w:top w:val="nil"/>
              <w:left w:val="nil"/>
              <w:bottom w:val="single" w:color="5B9BD5" w:sz="8" w:space="0"/>
              <w:right w:val="single" w:color="9BC2E6" w:sz="8" w:space="0"/>
            </w:tcBorders>
            <w:shd w:val="clear" w:color="auto" w:fill="DDEBF7"/>
            <w:noWrap/>
            <w:vAlign w:val="center"/>
          </w:tcPr>
          <w:p w14:paraId="48280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12,638.70</w:t>
            </w:r>
          </w:p>
        </w:tc>
        <w:tc>
          <w:tcPr>
            <w:tcW w:w="897" w:type="pct"/>
            <w:tcBorders>
              <w:top w:val="nil"/>
              <w:left w:val="nil"/>
              <w:bottom w:val="single" w:color="5B9BD5" w:sz="8" w:space="0"/>
              <w:right w:val="single" w:color="9BC2E6" w:sz="8" w:space="0"/>
            </w:tcBorders>
            <w:shd w:val="clear" w:color="auto" w:fill="DDEBF7"/>
            <w:noWrap/>
            <w:vAlign w:val="center"/>
          </w:tcPr>
          <w:p w14:paraId="25187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9,040.10</w:t>
            </w:r>
          </w:p>
        </w:tc>
        <w:tc>
          <w:tcPr>
            <w:tcW w:w="897" w:type="pct"/>
            <w:tcBorders>
              <w:top w:val="nil"/>
              <w:left w:val="nil"/>
              <w:bottom w:val="single" w:color="5B9BD5" w:sz="8" w:space="0"/>
              <w:right w:val="single" w:color="9BC2E6" w:sz="8" w:space="0"/>
            </w:tcBorders>
            <w:shd w:val="clear" w:color="auto" w:fill="DDEBF7"/>
            <w:noWrap/>
            <w:vAlign w:val="center"/>
          </w:tcPr>
          <w:p w14:paraId="29BC6FAC">
            <w:pPr>
              <w:jc w:val="center"/>
              <w:rPr>
                <w:rFonts w:hint="eastAsia" w:ascii="宋体" w:hAnsi="宋体" w:eastAsia="宋体" w:cs="宋体"/>
                <w:i w:val="0"/>
                <w:iCs w:val="0"/>
                <w:color w:val="000000"/>
                <w:sz w:val="24"/>
                <w:szCs w:val="24"/>
                <w:u w:val="none"/>
              </w:rPr>
            </w:pPr>
          </w:p>
        </w:tc>
        <w:tc>
          <w:tcPr>
            <w:tcW w:w="693" w:type="pct"/>
            <w:tcBorders>
              <w:top w:val="nil"/>
              <w:left w:val="nil"/>
              <w:bottom w:val="single" w:color="5B9BD5" w:sz="8" w:space="0"/>
              <w:right w:val="single" w:color="5B9BD5" w:sz="8" w:space="0"/>
            </w:tcBorders>
            <w:shd w:val="clear" w:color="auto" w:fill="DDEBF7"/>
            <w:noWrap/>
            <w:vAlign w:val="center"/>
          </w:tcPr>
          <w:p w14:paraId="33B28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21,678.80</w:t>
            </w:r>
          </w:p>
        </w:tc>
      </w:tr>
    </w:tbl>
    <w:p w14:paraId="6DC6D7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highlight w:val="none"/>
          <w:lang w:val="en-US" w:eastAsia="zh-CN"/>
        </w:rPr>
      </w:pPr>
    </w:p>
    <w:p w14:paraId="19FF5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2.资产合计及明细如下（金额：元）：</w:t>
      </w:r>
    </w:p>
    <w:p w14:paraId="50EAB2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bCs/>
          <w:sz w:val="32"/>
          <w:szCs w:val="32"/>
          <w:highlight w:val="none"/>
          <w:lang w:val="en-US" w:eastAsia="zh-CN"/>
        </w:rPr>
      </w:pPr>
      <w:r>
        <w:drawing>
          <wp:inline distT="0" distB="0" distL="114300" distR="114300">
            <wp:extent cx="5913755" cy="2426335"/>
            <wp:effectExtent l="9525" t="9525" r="20320" b="21590"/>
            <wp:docPr id="38" name="图片 1"/>
            <wp:cNvGraphicFramePr/>
            <a:graphic xmlns:a="http://schemas.openxmlformats.org/drawingml/2006/main">
              <a:graphicData uri="http://schemas.openxmlformats.org/drawingml/2006/picture">
                <pic:pic xmlns:pic="http://schemas.openxmlformats.org/drawingml/2006/picture">
                  <pic:nvPicPr>
                    <pic:cNvPr id="38" name="图片 1"/>
                    <pic:cNvPicPr/>
                  </pic:nvPicPr>
                  <pic:blipFill>
                    <a:blip r:embed="rId31"/>
                  </pic:blipFill>
                  <pic:spPr>
                    <a:xfrm>
                      <a:off x="0" y="0"/>
                      <a:ext cx="5913755" cy="2426335"/>
                    </a:xfrm>
                    <a:prstGeom prst="rect">
                      <a:avLst/>
                    </a:prstGeom>
                    <a:solidFill>
                      <a:srgbClr val="FFFFFF"/>
                    </a:solidFill>
                    <a:ln w="9525">
                      <a:solidFill>
                        <a:srgbClr val="000000"/>
                      </a:solidFill>
                    </a:ln>
                  </pic:spPr>
                </pic:pic>
              </a:graphicData>
            </a:graphic>
          </wp:inline>
        </w:drawing>
      </w:r>
    </w:p>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14633"/>
      <w:r>
        <w:rPr>
          <w:rFonts w:hint="eastAsia" w:ascii="楷体" w:hAnsi="楷体" w:eastAsia="楷体" w:cs="楷体"/>
          <w:b/>
          <w:bCs/>
          <w:sz w:val="32"/>
          <w:szCs w:val="32"/>
          <w:highlight w:val="none"/>
          <w:lang w:val="en-US" w:eastAsia="zh-CN"/>
        </w:rPr>
        <w:t>（八）厉行节约保障措施的执行情况及其政策效果</w:t>
      </w:r>
      <w:bookmarkEnd w:id="36"/>
    </w:p>
    <w:p w14:paraId="298E7E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区红十字会深入贯彻习近平总书记关于"坚持勤俭节约办一切事业"的重要指示精神，认真落实中央、省、市关于推动党政机关带头厉行节约、反对铺张浪费的相关规定，坚持将"节约型机关"创建同红十字会"三救三献"核心业务工作同部署、同推进、同落实。牢固树立"绿色发展、机关先行"的理念，把节约理念贯穿于机关运行的各个方面，从思想上、行动上坚决反对享乐主义、奢靡之风，自觉发扬艰苦奋斗、勤俭节约的优良作风。</w:t>
      </w:r>
      <w:r>
        <w:rPr>
          <w:rFonts w:hint="eastAsia" w:ascii="仿宋" w:hAnsi="仿宋" w:eastAsia="仿宋" w:cs="仿宋"/>
          <w:b/>
          <w:bCs/>
          <w:sz w:val="32"/>
          <w:szCs w:val="32"/>
          <w:lang w:val="en-US" w:eastAsia="zh-CN"/>
        </w:rPr>
        <w:t>一是强化宣传教育，树立节约意识。</w:t>
      </w:r>
      <w:r>
        <w:rPr>
          <w:rFonts w:hint="eastAsia" w:ascii="仿宋" w:hAnsi="仿宋" w:eastAsia="仿宋" w:cs="仿宋"/>
          <w:sz w:val="32"/>
          <w:szCs w:val="32"/>
          <w:lang w:val="en-US" w:eastAsia="zh-CN"/>
        </w:rPr>
        <w:t>高度重视干部职工节约意识的培养，通过多形式、多渠道开展宣传教育活动，营造勤俭节约的工作氛围。专题学习部署，组织全体干部职工深入学习习近平总书记关于厉行节约、反对浪费的重要论述，传达上级关于习惯过</w:t>
      </w:r>
      <w:r>
        <w:rPr>
          <w:rFonts w:hint="eastAsia" w:ascii="仿宋" w:hAnsi="仿宋" w:eastAsia="仿宋" w:cs="仿宋"/>
          <w:b/>
          <w:bCs/>
          <w:sz w:val="32"/>
          <w:szCs w:val="32"/>
          <w:lang w:val="en-US" w:eastAsia="zh-CN"/>
        </w:rPr>
        <w:t>“紧日子”</w:t>
      </w:r>
      <w:r>
        <w:rPr>
          <w:rFonts w:hint="eastAsia" w:ascii="仿宋" w:hAnsi="仿宋" w:eastAsia="仿宋" w:cs="仿宋"/>
          <w:sz w:val="32"/>
          <w:szCs w:val="32"/>
          <w:lang w:val="en-US" w:eastAsia="zh-CN"/>
        </w:rPr>
        <w:t>的要求。会议明确要求从政治高度认识节约工作的重要性，将思想与行动统一到中央部署上来，增强了干部职工节约资源的责任感和使命感。同时，</w:t>
      </w:r>
      <w:r>
        <w:rPr>
          <w:rFonts w:hint="eastAsia" w:ascii="仿宋" w:hAnsi="仿宋" w:eastAsia="仿宋" w:cs="仿宋"/>
          <w:b/>
          <w:bCs/>
          <w:sz w:val="32"/>
          <w:szCs w:val="32"/>
          <w:lang w:val="en-US" w:eastAsia="zh-CN"/>
        </w:rPr>
        <w:t>通过在办公区域张贴节约标识、发放节能倡议书、内部工作群推送</w:t>
      </w:r>
      <w:r>
        <w:rPr>
          <w:rFonts w:hint="eastAsia" w:ascii="仿宋" w:hAnsi="仿宋" w:eastAsia="仿宋" w:cs="仿宋"/>
          <w:sz w:val="32"/>
          <w:szCs w:val="32"/>
          <w:lang w:val="en-US" w:eastAsia="zh-CN"/>
        </w:rPr>
        <w:t>提醒等方式，营造随处可见、时刻提醒的节约氛围。结合全国节能宣传周、世界水日、地球日等重要节点，组织开展形式多样的主题宣传活动，推广</w:t>
      </w:r>
      <w:r>
        <w:rPr>
          <w:rFonts w:hint="eastAsia" w:ascii="仿宋" w:hAnsi="仿宋" w:eastAsia="仿宋" w:cs="仿宋"/>
          <w:b/>
          <w:bCs/>
          <w:sz w:val="32"/>
          <w:szCs w:val="32"/>
          <w:lang w:val="en-US" w:eastAsia="zh-CN"/>
        </w:rPr>
        <w:t>节能节水知识，倡导绿色办公理念</w:t>
      </w:r>
      <w:r>
        <w:rPr>
          <w:rFonts w:hint="eastAsia" w:ascii="仿宋" w:hAnsi="仿宋" w:eastAsia="仿宋" w:cs="仿宋"/>
          <w:sz w:val="32"/>
          <w:szCs w:val="32"/>
          <w:lang w:val="en-US" w:eastAsia="zh-CN"/>
        </w:rPr>
        <w:t>。在文化培育方面，引导干部职工养成</w:t>
      </w:r>
      <w:r>
        <w:rPr>
          <w:rFonts w:hint="eastAsia" w:ascii="仿宋" w:hAnsi="仿宋" w:eastAsia="仿宋" w:cs="仿宋"/>
          <w:b/>
          <w:bCs/>
          <w:sz w:val="32"/>
          <w:szCs w:val="32"/>
          <w:lang w:val="en-US" w:eastAsia="zh-CN"/>
        </w:rPr>
        <w:t>简约适度、绿色低碳</w:t>
      </w:r>
      <w:r>
        <w:rPr>
          <w:rFonts w:hint="eastAsia" w:ascii="仿宋" w:hAnsi="仿宋" w:eastAsia="仿宋" w:cs="仿宋"/>
          <w:sz w:val="32"/>
          <w:szCs w:val="32"/>
          <w:lang w:val="en-US" w:eastAsia="zh-CN"/>
        </w:rPr>
        <w:t>的生活和工作方式。鼓励无纸化办公、双面打印；提倡使用环保袋、减少一次性用品使用；培养随手关灯、关水的习惯，让节约意识内化于心、外化于行，形成全员参与、共同践行的良好局面。</w:t>
      </w:r>
    </w:p>
    <w:p w14:paraId="60D498D6">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 w:hAnsi="仿宋" w:eastAsia="仿宋" w:cs="仿宋"/>
          <w:b/>
          <w:bCs/>
          <w:sz w:val="32"/>
          <w:szCs w:val="32"/>
          <w:lang w:val="en-US" w:eastAsia="zh-CN"/>
        </w:rPr>
        <w:t>二是规范资源管理，降低机关能耗。</w:t>
      </w:r>
      <w:r>
        <w:rPr>
          <w:rFonts w:hint="eastAsia" w:ascii="仿宋" w:hAnsi="仿宋" w:eastAsia="仿宋" w:cs="仿宋"/>
          <w:sz w:val="32"/>
          <w:szCs w:val="32"/>
          <w:lang w:val="en-US" w:eastAsia="zh-CN"/>
        </w:rPr>
        <w:t>从制度建设入手，严格管理能源资源使用，</w:t>
      </w:r>
      <w:r>
        <w:rPr>
          <w:rFonts w:hint="eastAsia" w:ascii="仿宋" w:hAnsi="仿宋" w:eastAsia="仿宋" w:cs="仿宋"/>
          <w:b/>
          <w:bCs/>
          <w:sz w:val="32"/>
          <w:szCs w:val="32"/>
          <w:lang w:val="en-US" w:eastAsia="zh-CN"/>
        </w:rPr>
        <w:t>切实降低机关运行成本，</w:t>
      </w:r>
      <w:r>
        <w:rPr>
          <w:rFonts w:hint="eastAsia" w:ascii="仿宋" w:hAnsi="仿宋" w:eastAsia="仿宋" w:cs="仿宋"/>
          <w:sz w:val="32"/>
          <w:szCs w:val="32"/>
          <w:lang w:val="en-US" w:eastAsia="zh-CN"/>
        </w:rPr>
        <w:t>提升资源利用效率。</w:t>
      </w:r>
      <w:r>
        <w:rPr>
          <w:rFonts w:hint="eastAsia" w:ascii="仿宋" w:hAnsi="仿宋" w:eastAsia="仿宋" w:cs="仿宋"/>
          <w:b/>
          <w:bCs/>
          <w:sz w:val="32"/>
          <w:szCs w:val="32"/>
          <w:lang w:val="en-US" w:eastAsia="zh-CN"/>
        </w:rPr>
        <w:t>A完善管理制度。</w:t>
      </w:r>
      <w:r>
        <w:rPr>
          <w:rFonts w:hint="eastAsia" w:ascii="仿宋" w:hAnsi="仿宋" w:eastAsia="仿宋" w:cs="仿宋"/>
          <w:sz w:val="32"/>
          <w:szCs w:val="32"/>
          <w:lang w:val="en-US" w:eastAsia="zh-CN"/>
        </w:rPr>
        <w:t>健全节约能源资源管理制度，提高能源资源利用效率，降低机关运行成本。制定并严格执行用水、用电、用纸等相关要求，明确节能目标和措施，落实管理责任。建立资源消耗台账，按月统计分析，及时发现和纠正浪费现象。</w:t>
      </w:r>
      <w:r>
        <w:rPr>
          <w:rFonts w:hint="eastAsia" w:ascii="仿宋" w:hAnsi="仿宋" w:eastAsia="仿宋" w:cs="仿宋"/>
          <w:b/>
          <w:bCs/>
          <w:sz w:val="32"/>
          <w:szCs w:val="32"/>
          <w:lang w:val="en-US" w:eastAsia="zh-CN"/>
        </w:rPr>
        <w:t>B文印管理。</w:t>
      </w:r>
      <w:r>
        <w:rPr>
          <w:rFonts w:hint="eastAsia" w:ascii="仿宋" w:hAnsi="仿宋" w:eastAsia="仿宋" w:cs="仿宋"/>
          <w:sz w:val="32"/>
          <w:szCs w:val="32"/>
          <w:lang w:val="en-US" w:eastAsia="zh-CN"/>
        </w:rPr>
        <w:t>推行无纸化办公，减少纸质文件印发，严格控制文件印刷数量和复印次数。必需打印的文件一律采用双面打印，单面使用过的纸张重复利用于草稿纸，大幅减少纸张消耗。</w:t>
      </w:r>
      <w:r>
        <w:rPr>
          <w:rFonts w:hint="eastAsia" w:ascii="仿宋" w:hAnsi="仿宋" w:eastAsia="仿宋" w:cs="仿宋"/>
          <w:b/>
          <w:bCs/>
          <w:sz w:val="32"/>
          <w:szCs w:val="32"/>
          <w:lang w:val="en-US" w:eastAsia="zh-CN"/>
        </w:rPr>
        <w:t>三是严格经费控制，压减公务支出。</w:t>
      </w:r>
      <w:r>
        <w:rPr>
          <w:rFonts w:hint="eastAsia" w:ascii="仿宋" w:hAnsi="仿宋" w:eastAsia="仿宋" w:cs="仿宋"/>
          <w:sz w:val="32"/>
          <w:szCs w:val="32"/>
          <w:lang w:val="en-US" w:eastAsia="zh-CN"/>
        </w:rPr>
        <w:t>坚持“先预算、后支出”的原则，加强经费审批和使用管理，严控“三公”经费和其他公务支出。认真贯彻落实中央八项规定精神和厉行节约要求，从严控制公务接待开支。严格执行公务接待审批制度，控制接待标准和陪餐人数，简化接待。通过一系列有力措施，取得了显著成效。坚持将</w:t>
      </w:r>
      <w:r>
        <w:rPr>
          <w:rFonts w:hint="eastAsia" w:ascii="仿宋" w:hAnsi="仿宋" w:eastAsia="仿宋" w:cs="仿宋"/>
          <w:b/>
          <w:bCs/>
          <w:sz w:val="32"/>
          <w:szCs w:val="32"/>
          <w:lang w:val="en-US" w:eastAsia="zh-CN"/>
        </w:rPr>
        <w:t>“节约型机关”</w:t>
      </w:r>
      <w:r>
        <w:rPr>
          <w:rFonts w:hint="eastAsia" w:ascii="仿宋" w:hAnsi="仿宋" w:eastAsia="仿宋" w:cs="仿宋"/>
          <w:sz w:val="32"/>
          <w:szCs w:val="32"/>
          <w:lang w:val="en-US" w:eastAsia="zh-CN"/>
        </w:rPr>
        <w:t>创建同红十字会"三救三献"核心业务工作</w:t>
      </w:r>
      <w:r>
        <w:rPr>
          <w:rFonts w:hint="eastAsia" w:ascii="仿宋" w:hAnsi="仿宋" w:eastAsia="仿宋" w:cs="仿宋"/>
          <w:b/>
          <w:bCs/>
          <w:sz w:val="32"/>
          <w:szCs w:val="32"/>
          <w:lang w:val="en-US" w:eastAsia="zh-CN"/>
        </w:rPr>
        <w:t>同部署、同推进、同落实，</w:t>
      </w:r>
      <w:r>
        <w:rPr>
          <w:rFonts w:hint="eastAsia" w:ascii="仿宋" w:hAnsi="仿宋" w:eastAsia="仿宋" w:cs="仿宋"/>
          <w:sz w:val="32"/>
          <w:szCs w:val="32"/>
          <w:lang w:val="en-US" w:eastAsia="zh-CN"/>
        </w:rPr>
        <w:t>把节约理念贯穿于机关运行各环节。通过建立健全能源资源管理制度，推行绿色办公模式，引导干部职工养成</w:t>
      </w:r>
      <w:r>
        <w:rPr>
          <w:rFonts w:hint="eastAsia" w:ascii="仿宋" w:hAnsi="仿宋" w:eastAsia="仿宋" w:cs="仿宋"/>
          <w:b/>
          <w:bCs/>
          <w:sz w:val="32"/>
          <w:szCs w:val="32"/>
          <w:lang w:val="en-US" w:eastAsia="zh-CN"/>
        </w:rPr>
        <w:t>简约适度、绿色低碳</w:t>
      </w:r>
      <w:r>
        <w:rPr>
          <w:rFonts w:hint="eastAsia" w:ascii="仿宋" w:hAnsi="仿宋" w:eastAsia="仿宋" w:cs="仿宋"/>
          <w:sz w:val="32"/>
          <w:szCs w:val="32"/>
          <w:lang w:val="en-US" w:eastAsia="zh-CN"/>
        </w:rPr>
        <w:t>的生活和工作方式。</w:t>
      </w:r>
      <w:r>
        <w:rPr>
          <w:rFonts w:hint="eastAsia" w:ascii="仿宋" w:hAnsi="仿宋" w:eastAsia="仿宋" w:cs="仿宋"/>
          <w:b/>
          <w:bCs/>
          <w:sz w:val="32"/>
          <w:szCs w:val="32"/>
          <w:lang w:val="en-US" w:eastAsia="zh-CN"/>
        </w:rPr>
        <w:t>四是下一步工作计划。</w:t>
      </w:r>
      <w:r>
        <w:rPr>
          <w:rFonts w:hint="eastAsia" w:ascii="仿宋" w:hAnsi="仿宋" w:eastAsia="仿宋" w:cs="仿宋"/>
          <w:sz w:val="32"/>
          <w:szCs w:val="32"/>
          <w:lang w:val="en-US" w:eastAsia="zh-CN"/>
        </w:rPr>
        <w:t>将在2025年进一步深化厉行节约工作，重点抓好以下四个方面工作：</w:t>
      </w:r>
      <w:r>
        <w:rPr>
          <w:rFonts w:hint="eastAsia" w:ascii="仿宋" w:hAnsi="仿宋" w:eastAsia="仿宋" w:cs="仿宋"/>
          <w:b/>
          <w:bCs/>
          <w:sz w:val="32"/>
          <w:szCs w:val="32"/>
          <w:lang w:val="en-US" w:eastAsia="zh-CN"/>
        </w:rPr>
        <w:t>①完善长效机制建设。</w:t>
      </w:r>
      <w:r>
        <w:rPr>
          <w:rFonts w:hint="eastAsia" w:ascii="仿宋" w:hAnsi="仿宋" w:eastAsia="仿宋" w:cs="仿宋"/>
          <w:sz w:val="32"/>
          <w:szCs w:val="32"/>
          <w:lang w:val="en-US" w:eastAsia="zh-CN"/>
        </w:rPr>
        <w:t>健全节约能源资源管理制度体系，及时发现和解决存在的问题。推动节约工作与红十字会业务工作更紧密结合，实现节约常态化、规范化、长效化管理。</w:t>
      </w:r>
      <w:r>
        <w:rPr>
          <w:rFonts w:hint="eastAsia" w:ascii="仿宋" w:hAnsi="仿宋" w:eastAsia="仿宋" w:cs="仿宋"/>
          <w:b/>
          <w:bCs/>
          <w:sz w:val="32"/>
          <w:szCs w:val="32"/>
          <w:lang w:val="en-US" w:eastAsia="zh-CN"/>
        </w:rPr>
        <w:t>②探索更为科学的工作流程和方法，平衡节约与效率的关系</w:t>
      </w:r>
      <w:r>
        <w:rPr>
          <w:rFonts w:hint="eastAsia" w:ascii="仿宋" w:hAnsi="仿宋" w:eastAsia="仿宋" w:cs="仿宋"/>
          <w:sz w:val="32"/>
          <w:szCs w:val="32"/>
          <w:lang w:val="en-US" w:eastAsia="zh-CN"/>
        </w:rPr>
        <w:t>。推进信息化建设，扩大无纸化办公覆盖范围，优化电子公文流程，减少纸质文件流转。</w:t>
      </w:r>
      <w:r>
        <w:rPr>
          <w:rFonts w:hint="eastAsia" w:ascii="仿宋" w:hAnsi="仿宋" w:eastAsia="仿宋" w:cs="仿宋"/>
          <w:b/>
          <w:bCs/>
          <w:sz w:val="32"/>
          <w:szCs w:val="32"/>
          <w:lang w:val="en-US" w:eastAsia="zh-CN"/>
        </w:rPr>
        <w:t>③改进业务工作模式，科学统筹公务活动，</w:t>
      </w:r>
      <w:r>
        <w:rPr>
          <w:rFonts w:hint="eastAsia" w:ascii="仿宋" w:hAnsi="仿宋" w:eastAsia="仿宋" w:cs="仿宋"/>
          <w:sz w:val="32"/>
          <w:szCs w:val="32"/>
          <w:lang w:val="en-US" w:eastAsia="zh-CN"/>
        </w:rPr>
        <w:t>合理安排车辆使用，在节约资源的同时保障工作效率。</w:t>
      </w:r>
      <w:r>
        <w:rPr>
          <w:rFonts w:hint="eastAsia" w:ascii="仿宋" w:hAnsi="仿宋" w:eastAsia="仿宋" w:cs="仿宋"/>
          <w:b/>
          <w:bCs/>
          <w:sz w:val="32"/>
          <w:szCs w:val="32"/>
          <w:lang w:val="en-US" w:eastAsia="zh-CN"/>
        </w:rPr>
        <w:t>④学习借鉴其他地区红十字会的先进经验和做法，</w:t>
      </w:r>
      <w:r>
        <w:rPr>
          <w:rFonts w:hint="eastAsia" w:ascii="仿宋" w:hAnsi="仿宋" w:eastAsia="仿宋" w:cs="仿宋"/>
          <w:sz w:val="32"/>
          <w:szCs w:val="32"/>
          <w:lang w:val="en-US" w:eastAsia="zh-CN"/>
        </w:rPr>
        <w:t>不断创新节约工作的方式方法。2024年区红十字会通过</w:t>
      </w:r>
      <w:r>
        <w:rPr>
          <w:rFonts w:hint="eastAsia" w:ascii="仿宋" w:hAnsi="仿宋" w:eastAsia="仿宋" w:cs="仿宋"/>
          <w:b/>
          <w:bCs/>
          <w:sz w:val="32"/>
          <w:szCs w:val="32"/>
          <w:lang w:val="en-US" w:eastAsia="zh-CN"/>
        </w:rPr>
        <w:t>强化宣传教育、规范资源管理和严格经费控制</w:t>
      </w:r>
      <w:r>
        <w:rPr>
          <w:rFonts w:hint="eastAsia" w:ascii="仿宋" w:hAnsi="仿宋" w:eastAsia="仿宋" w:cs="仿宋"/>
          <w:sz w:val="32"/>
          <w:szCs w:val="32"/>
          <w:lang w:val="en-US" w:eastAsia="zh-CN"/>
        </w:rPr>
        <w:t>三项核心措施，在厉行节约方面取得了显著成效，下一步，区红十字会将继续</w:t>
      </w:r>
      <w:r>
        <w:rPr>
          <w:rFonts w:hint="eastAsia" w:ascii="仿宋" w:hAnsi="仿宋" w:eastAsia="仿宋" w:cs="仿宋"/>
          <w:b/>
          <w:bCs/>
          <w:sz w:val="32"/>
          <w:szCs w:val="32"/>
          <w:lang w:val="en-US" w:eastAsia="zh-CN"/>
        </w:rPr>
        <w:t>完善长效机制、提升精细化管理水平，平衡好节约资源与工作效率的关系，</w:t>
      </w:r>
      <w:r>
        <w:rPr>
          <w:rFonts w:hint="eastAsia" w:ascii="仿宋" w:hAnsi="仿宋" w:eastAsia="仿宋" w:cs="仿宋"/>
          <w:sz w:val="32"/>
          <w:szCs w:val="32"/>
          <w:lang w:val="en-US" w:eastAsia="zh-CN"/>
        </w:rPr>
        <w:t>推动红十字事业高质量发展，为促进社会和谐与进步作出更大贡献。</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12543"/>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354EC07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8" w:name="_Toc32155"/>
      <w:r>
        <w:rPr>
          <w:rFonts w:hint="eastAsia" w:ascii="楷体" w:hAnsi="楷体" w:eastAsia="楷体" w:cs="楷体"/>
          <w:b/>
          <w:bCs/>
          <w:sz w:val="32"/>
          <w:szCs w:val="32"/>
          <w:lang w:eastAsia="zh-CN"/>
        </w:rPr>
        <w:t>（一）总体目标</w:t>
      </w:r>
      <w:bookmarkEnd w:id="38"/>
    </w:p>
    <w:p w14:paraId="10F100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围绕《中华人民共和国红十字会法》赋予的法定职能，以提升人道服务供给能力和效率为核心，通过实施“红十字事业发展”项目，全面完成区委、区政府部署的工作任务。年度总体目标具体量化如下：</w:t>
      </w:r>
      <w:r>
        <w:rPr>
          <w:rFonts w:hint="eastAsia" w:ascii="仿宋" w:hAnsi="仿宋" w:eastAsia="仿宋" w:cs="仿宋"/>
          <w:b/>
          <w:bCs/>
          <w:sz w:val="32"/>
          <w:szCs w:val="32"/>
          <w:lang w:eastAsia="zh-CN"/>
        </w:rPr>
        <w:t>一是应急救护普及。</w:t>
      </w:r>
      <w:r>
        <w:rPr>
          <w:rFonts w:hint="eastAsia" w:ascii="仿宋" w:hAnsi="仿宋" w:eastAsia="仿宋" w:cs="仿宋"/>
          <w:b w:val="0"/>
          <w:bCs w:val="0"/>
          <w:sz w:val="32"/>
          <w:szCs w:val="32"/>
          <w:lang w:eastAsia="zh-CN"/>
        </w:rPr>
        <w:t>年内完成应急救护普及性培训覆盖不少于500人次，确保重点行业、社区应急救护知识普及率稳步提升。</w:t>
      </w:r>
      <w:r>
        <w:rPr>
          <w:rFonts w:hint="eastAsia" w:ascii="仿宋" w:hAnsi="仿宋" w:eastAsia="仿宋" w:cs="仿宋"/>
          <w:b/>
          <w:bCs/>
          <w:sz w:val="32"/>
          <w:szCs w:val="32"/>
          <w:lang w:eastAsia="zh-CN"/>
        </w:rPr>
        <w:t>二是人道救助实效。</w:t>
      </w:r>
      <w:r>
        <w:rPr>
          <w:rFonts w:hint="eastAsia" w:ascii="仿宋" w:hAnsi="仿宋" w:eastAsia="仿宋" w:cs="仿宋"/>
          <w:b w:val="0"/>
          <w:bCs w:val="0"/>
          <w:sz w:val="32"/>
          <w:szCs w:val="32"/>
          <w:lang w:eastAsia="zh-CN"/>
        </w:rPr>
        <w:t>对辖区因灾、因病致困的家庭实施人道主义救助，做到应救尽救，救助资金发放及时率与对象精准率均达100%</w:t>
      </w:r>
      <w:r>
        <w:rPr>
          <w:rFonts w:hint="eastAsia" w:ascii="仿宋" w:hAnsi="仿宋" w:eastAsia="仿宋" w:cs="仿宋"/>
          <w:b/>
          <w:bCs/>
          <w:sz w:val="32"/>
          <w:szCs w:val="32"/>
          <w:lang w:eastAsia="zh-CN"/>
        </w:rPr>
        <w:t>。三是“三献”工作推进。</w:t>
      </w:r>
      <w:r>
        <w:rPr>
          <w:rFonts w:hint="eastAsia" w:ascii="仿宋" w:hAnsi="仿宋" w:eastAsia="仿宋" w:cs="仿宋"/>
          <w:b w:val="0"/>
          <w:bCs w:val="0"/>
          <w:sz w:val="32"/>
          <w:szCs w:val="32"/>
          <w:lang w:eastAsia="zh-CN"/>
        </w:rPr>
        <w:t>广泛开展无偿献血宣传动员和造血干细胞捐献志愿者宣传，开展遗体及器官捐献宣传登记服务。四是社会影响力提升。通过多渠道宣传，确保本区居民对红十字会核心业务的知晓度与满意度较上年度有所提升。</w:t>
      </w:r>
    </w:p>
    <w:p w14:paraId="14E0093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9" w:name="_Toc18846"/>
      <w:r>
        <w:rPr>
          <w:rFonts w:hint="eastAsia" w:ascii="楷体" w:hAnsi="楷体" w:eastAsia="楷体" w:cs="楷体"/>
          <w:b/>
          <w:bCs/>
          <w:sz w:val="32"/>
          <w:szCs w:val="32"/>
          <w:lang w:eastAsia="zh-CN"/>
        </w:rPr>
        <w:t>（二）分类目标</w:t>
      </w:r>
      <w:bookmarkEnd w:id="39"/>
    </w:p>
    <w:p w14:paraId="09A840E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bCs/>
          <w:sz w:val="32"/>
          <w:szCs w:val="32"/>
          <w:lang w:eastAsia="zh-CN"/>
        </w:rPr>
        <w:t>一是应急救护培训类目标。</w:t>
      </w:r>
      <w:r>
        <w:rPr>
          <w:rFonts w:hint="eastAsia" w:ascii="仿宋" w:hAnsi="仿宋" w:eastAsia="仿宋" w:cs="仿宋"/>
          <w:b w:val="0"/>
          <w:bCs w:val="0"/>
          <w:sz w:val="32"/>
          <w:szCs w:val="32"/>
          <w:lang w:eastAsia="zh-CN"/>
        </w:rPr>
        <w:t>培训数量目标：组织开展红十字救护员标准化培训班。深入社区、学校、机关、企业开展普及性救护知识讲座不少于10场。</w:t>
      </w:r>
      <w:r>
        <w:rPr>
          <w:rFonts w:hint="eastAsia" w:ascii="仿宋" w:hAnsi="仿宋" w:eastAsia="仿宋" w:cs="仿宋"/>
          <w:b/>
          <w:bCs/>
          <w:sz w:val="32"/>
          <w:szCs w:val="32"/>
          <w:lang w:eastAsia="zh-CN"/>
        </w:rPr>
        <w:t>二是人道救助与志愿服务类目标。</w:t>
      </w:r>
      <w:r>
        <w:rPr>
          <w:rFonts w:hint="eastAsia" w:ascii="仿宋" w:hAnsi="仿宋" w:eastAsia="仿宋" w:cs="仿宋"/>
          <w:b w:val="0"/>
          <w:bCs w:val="0"/>
          <w:sz w:val="32"/>
          <w:szCs w:val="32"/>
          <w:lang w:eastAsia="zh-CN"/>
        </w:rPr>
        <w:t>救助精准性目标：建立并执行规范的救助对象筛选与审核机制，确保救助名单公示无误，审核准确率达到100%。救助效益目标：对受助家庭进行抽样回访，受助对象整体满意度达到95%以上。</w:t>
      </w:r>
      <w:r>
        <w:rPr>
          <w:rFonts w:hint="eastAsia" w:ascii="仿宋" w:hAnsi="仿宋" w:eastAsia="仿宋" w:cs="仿宋"/>
          <w:b/>
          <w:bCs/>
          <w:sz w:val="32"/>
          <w:szCs w:val="32"/>
          <w:lang w:eastAsia="zh-CN"/>
        </w:rPr>
        <w:t>三是“三献”工作推动类目标。</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0" w:name="_Toc6424"/>
      <w:bookmarkStart w:id="41" w:name="_Toc29770"/>
      <w:bookmarkStart w:id="42" w:name="_Toc9601"/>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8508"/>
      <w:bookmarkStart w:id="44" w:name="_Toc10865"/>
      <w:bookmarkStart w:id="45" w:name="_Toc4546"/>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61A01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6FE2DB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5462"/>
      <w:bookmarkStart w:id="47" w:name="_Toc7412"/>
      <w:bookmarkStart w:id="48" w:name="_Toc20014"/>
      <w:r>
        <w:rPr>
          <w:rFonts w:hint="eastAsia" w:ascii="楷体" w:hAnsi="楷体" w:eastAsia="楷体" w:cs="楷体"/>
          <w:b/>
          <w:bCs/>
          <w:sz w:val="32"/>
          <w:szCs w:val="32"/>
          <w:highlight w:val="none"/>
          <w:lang w:val="en-US" w:eastAsia="zh-CN"/>
        </w:rPr>
        <w:t>（二）评价分析</w:t>
      </w:r>
      <w:bookmarkEnd w:id="46"/>
      <w:bookmarkEnd w:id="47"/>
      <w:bookmarkEnd w:id="48"/>
    </w:p>
    <w:p w14:paraId="01580A3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1.总分100分，得分87分，扣分13分，详见后述绩效评价得分扣分表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218"/>
        <w:gridCol w:w="2196"/>
        <w:gridCol w:w="859"/>
        <w:gridCol w:w="832"/>
        <w:gridCol w:w="886"/>
        <w:gridCol w:w="1855"/>
        <w:gridCol w:w="4644"/>
      </w:tblGrid>
      <w:tr w14:paraId="3585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6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D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F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4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评价要点</w:t>
            </w:r>
          </w:p>
        </w:tc>
      </w:tr>
      <w:tr w14:paraId="32EF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3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投入（20分）</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AA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目标设定（10分）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B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6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8597">
            <w:pPr>
              <w:jc w:val="center"/>
              <w:rPr>
                <w:rFonts w:hint="eastAsia" w:ascii="宋体" w:hAnsi="宋体" w:eastAsia="宋体" w:cs="宋体"/>
                <w:i w:val="0"/>
                <w:iCs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0DCE">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9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1078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EB7">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2F21">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0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1BEA">
            <w:pPr>
              <w:jc w:val="center"/>
              <w:rPr>
                <w:rFonts w:hint="eastAsia" w:ascii="宋体" w:hAnsi="宋体" w:eastAsia="宋体" w:cs="宋体"/>
                <w:i w:val="0"/>
                <w:iCs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40E">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6D43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22D4">
            <w:pPr>
              <w:jc w:val="center"/>
              <w:rPr>
                <w:rFonts w:hint="eastAsia" w:ascii="宋体" w:hAnsi="宋体" w:eastAsia="宋体" w:cs="宋体"/>
                <w:i w:val="0"/>
                <w:iCs w:val="0"/>
                <w:color w:val="000000"/>
                <w:sz w:val="22"/>
                <w:szCs w:val="22"/>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0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预算编制与配置（10分）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1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6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3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7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8141">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C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在职人员控制率=（在职人员数/编制数）×100%。聘用人员控制率</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人社和编办共同批复的人数；在职人员数：部门（单位）实际在职人数，以财政部门确定的部门决算编制口径为准。编制数：机构编制部门核定批复的部门（单位）的人员编制数。</w:t>
            </w:r>
          </w:p>
        </w:tc>
      </w:tr>
      <w:tr w14:paraId="033B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C257">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2EA1">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0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预算编制科学性与配置合理性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B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D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年初预算经过调整，未提供预算调整批复</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A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预算编制科学性，预算与政策目标的匹配度与预算标准合理性。</w:t>
            </w:r>
          </w:p>
        </w:tc>
      </w:tr>
      <w:tr w14:paraId="46C9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过程（30分）</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D4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A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预算约束合规性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9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8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8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1.存在2024年支付2025年工会行政支出的跨期费用支付情况。</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D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预算约束： 支出是否严格遵循人大批准的预算，有无超预算、无预算开支的现象。</w:t>
            </w:r>
          </w:p>
        </w:tc>
      </w:tr>
      <w:tr w14:paraId="4134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8939">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0A47">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E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4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D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存在基本支出挤占项目支出的情况。</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B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用途合规： 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7E98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7FD0">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0CBB">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8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2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C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3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A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1.存在政采合同与验收为同一天，业务活动不可能一天完成，属于程序违规。</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4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程序合规： 政府采购、国库集中支付、资产管理等环节是否符合法律法规和制度规定。</w:t>
            </w:r>
          </w:p>
        </w:tc>
      </w:tr>
      <w:tr w14:paraId="65E8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966">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73E7">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0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进度匹配度</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6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C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847C">
            <w:pPr>
              <w:jc w:val="center"/>
              <w:rPr>
                <w:rFonts w:hint="eastAsia" w:ascii="宋体" w:hAnsi="宋体" w:eastAsia="宋体" w:cs="宋体"/>
                <w:i w:val="0"/>
                <w:iCs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55E5">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2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分项支出进度： 基本支出（人员工资、办公经费）和项目支出（专项业务、事业发展项目）各自的执行进度如何。</w:t>
            </w:r>
          </w:p>
        </w:tc>
      </w:tr>
      <w:tr w14:paraId="0B2B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8919">
            <w:pPr>
              <w:jc w:val="center"/>
              <w:rPr>
                <w:rFonts w:hint="eastAsia" w:ascii="宋体" w:hAnsi="宋体" w:eastAsia="宋体" w:cs="宋体"/>
                <w:i w:val="0"/>
                <w:iCs w:val="0"/>
                <w:color w:val="000000"/>
                <w:sz w:val="22"/>
                <w:szCs w:val="22"/>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8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部门管理（15分）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8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0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2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提供其他管理制度。如：预算管理制度，内部控制制度，政府采购管理制度，国有资产管理制度，合同管理制度，专项资金管理办法，绩效管理制度，信息化管理制度，决算与财务报告制度，监督与审计制度等。</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9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①部门（单位）内控制度、内部财务管理制度和会计核算制度是否健全；②相关管理制度是否合法、合规、完整、有效；</w:t>
            </w:r>
          </w:p>
        </w:tc>
      </w:tr>
      <w:tr w14:paraId="2F46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7614">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CFA9">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3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6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F597">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7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①相关管理制度是否得到有效执行；②是否存在整改情况；</w:t>
            </w:r>
          </w:p>
        </w:tc>
      </w:tr>
      <w:tr w14:paraId="0EA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724D">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A09D">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A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预决算信息公开化</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22B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D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7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①无涉密情况的预算单位按规定及时、准确、完整地公开预决算和绩效管理信息；②基础数据信息和会计信息资料真实、准确、完整；</w:t>
            </w:r>
          </w:p>
        </w:tc>
      </w:tr>
      <w:tr w14:paraId="1DA8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43C">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043F">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2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6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198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F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C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发放工资的依据缺少经审批的工资明细表，缺少银行代发明细回单。2.支付医疗保险、工伤保险、职业年金后仅附国库支付单，银行端查询缴税凭证，未附人员名单、缴费基数确认表、明确的计算依据、审批流程、银行付款回单等。3.发放人员经费性质的交通补贴缺乏人力资源或组织部门的审核盖章。4.借调人员的过节费用由借调单位（非工资发放单位）直接发放。5.支付食堂餐费无计算依据（如用餐人数、餐标、天数等），支付周期混乱，支付不及时，跨期或可能重复核算的情况。</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5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资金分配及时性（转移支付下达时效，资金保障有效性；是否接受检查，受过处罚或上缴财政资金情况</w:t>
            </w:r>
          </w:p>
        </w:tc>
      </w:tr>
      <w:tr w14:paraId="20DC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DB09">
            <w:pPr>
              <w:jc w:val="center"/>
              <w:rPr>
                <w:rFonts w:hint="eastAsia" w:ascii="宋体" w:hAnsi="宋体" w:eastAsia="宋体" w:cs="宋体"/>
                <w:i w:val="0"/>
                <w:iCs w:val="0"/>
                <w:color w:val="000000"/>
                <w:sz w:val="22"/>
                <w:szCs w:val="22"/>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A6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资产管理（5分）</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01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资产管理有效性</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8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C32E7">
            <w:pPr>
              <w:jc w:val="center"/>
              <w:rPr>
                <w:rFonts w:hint="eastAsia" w:ascii="宋体" w:hAnsi="宋体" w:eastAsia="宋体" w:cs="宋体"/>
                <w:i w:val="0"/>
                <w:iCs w:val="0"/>
                <w:color w:val="000000"/>
                <w:sz w:val="22"/>
                <w:szCs w:val="22"/>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F00AD">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3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①资产保存是否完整并有台账；</w:t>
            </w:r>
          </w:p>
        </w:tc>
      </w:tr>
      <w:tr w14:paraId="161C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238B">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DB597">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59B6">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04D5">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120C">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A67F">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E319">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6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②资产配置是否合理，是否有闲置现象；</w:t>
            </w:r>
          </w:p>
        </w:tc>
      </w:tr>
      <w:tr w14:paraId="1E1E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3F2B">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A55D">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FB64">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0899">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688E">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EE2F">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FA0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D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③资产处置是否规范；</w:t>
            </w:r>
          </w:p>
        </w:tc>
      </w:tr>
      <w:tr w14:paraId="0746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B9FD">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B535">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BF95">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450D">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E1D9">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3E0C">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6B99">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5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④资产账务管理是否合规，是否账实相符；</w:t>
            </w:r>
          </w:p>
        </w:tc>
      </w:tr>
      <w:tr w14:paraId="07B6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3DF3">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FFB2">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2B1F">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66A8">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4B0B">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45FB">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FB24">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7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⑤是否完成国有“三资”盘活工作，资产是否有偿使用或处置收入及时足额上缴；</w:t>
            </w:r>
          </w:p>
        </w:tc>
      </w:tr>
      <w:tr w14:paraId="4ED1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35E8">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A688">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A71D">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D64E">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1231">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B107">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CA9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A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⑥相关资产购置是否履行政府采购手续，外租资产是否走合规程序；</w:t>
            </w:r>
          </w:p>
        </w:tc>
      </w:tr>
      <w:tr w14:paraId="05C3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E92">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85F5">
            <w:pPr>
              <w:jc w:val="left"/>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2D1D">
            <w:pPr>
              <w:jc w:val="left"/>
              <w:rPr>
                <w:rFonts w:hint="eastAsia" w:ascii="宋体" w:hAnsi="宋体" w:eastAsia="宋体" w:cs="宋体"/>
                <w:i w:val="0"/>
                <w:iCs w:val="0"/>
                <w:color w:val="000000"/>
                <w:sz w:val="22"/>
                <w:szCs w:val="22"/>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5105">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70AF">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C00D">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7B39">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D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⑦资产是否定期进行盘点并有记录。</w:t>
            </w:r>
          </w:p>
        </w:tc>
      </w:tr>
      <w:tr w14:paraId="49A7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B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产出（20分）</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2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职能工作完成率（10分）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E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组织建设工作</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C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D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D536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E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按照区直工委要求扎实开展好党委学习教育，依托“一月一课一片一实践”主题党日活动，严格落实一会一课要求，推动党组织规范建设。</w:t>
            </w:r>
          </w:p>
        </w:tc>
      </w:tr>
      <w:tr w14:paraId="7E55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2ABE">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DE1D">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2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救助工作</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EC26">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0C8A">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8DBB">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7408">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2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对辖区因灾、因病致困的家庭实施人道主义救助，做到应救尽救，救助资金发放及时率与对象精准率均达100%。</w:t>
            </w:r>
          </w:p>
        </w:tc>
      </w:tr>
      <w:tr w14:paraId="7E03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8520">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06C2">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F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宣传活动</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3C85">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75C1">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03D6">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04ED">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2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通过多形式、多渠道的宣传活动，显著提升了红十字精神与社会应急知识在公众中的覆盖面与影响力（发放宣传资料数超1万份）。</w:t>
            </w:r>
          </w:p>
        </w:tc>
      </w:tr>
      <w:tr w14:paraId="4D04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60AE">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1667">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3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三献工作</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63D7">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6EA8">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4994">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7E69">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E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广泛开展无偿献血宣传动员和造血干细胞捐献志愿者宣传，开展遗体及器官捐献宣传登记服务。四是社会影响力提升。通过多渠道宣传，确保本区居民对红十字会核心业务的知晓度与满意度较上年度有所提升。</w:t>
            </w:r>
          </w:p>
        </w:tc>
      </w:tr>
      <w:tr w14:paraId="5683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736">
            <w:pPr>
              <w:jc w:val="center"/>
              <w:rPr>
                <w:rFonts w:hint="eastAsia" w:ascii="宋体" w:hAnsi="宋体" w:eastAsia="宋体" w:cs="宋体"/>
                <w:i w:val="0"/>
                <w:iCs w:val="0"/>
                <w:color w:val="000000"/>
                <w:sz w:val="22"/>
                <w:szCs w:val="22"/>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6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A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“博爱家园”项目建设</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E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D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4E2C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B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标准建成了集应急培训、扶贫帮困、解决就业于一体的综合性人道服务阵地，完成东洲岛应急救护站申请、建设，确保在旅发会前投入使用；完成衡阳幼师和衡阳市委党校应急救护培训基地申报及建设，开展培训受益人群数万人。</w:t>
            </w:r>
          </w:p>
        </w:tc>
      </w:tr>
      <w:tr w14:paraId="327D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4244">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6102">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应急救助站的建设</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0F0C">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86EC">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4DBE">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37D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0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年内完成应急救护普及性培训覆盖不少于500人次，确保重点行业、社区应急救护知识普及率稳步提升。</w:t>
            </w:r>
          </w:p>
        </w:tc>
      </w:tr>
      <w:tr w14:paraId="68BF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DCC">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E65F">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2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院校完成应急救护智能化培训基地建设</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24B5">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FBF8">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FD04">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E22F">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D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培训数量目标：组织开展红十字救护员标准化培训班。深入社区、学校、机关、企业开展普及性救护知识讲座不少于10场</w:t>
            </w:r>
          </w:p>
        </w:tc>
      </w:tr>
      <w:tr w14:paraId="0A5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4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效益（30分）</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D5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社会效益（20分）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B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生命健康守护精准高效，彰显人道救助直接效益。</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B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3E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C36B1">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1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通过建立“评审-救助-跟踪”的闭环管理，成功救治白血病、先心病儿童并实现100%康复率；同时储备35份器官及5份造血干细胞捐献资源，直接守护了群众生命健康，体现了核心使命的履行度。</w:t>
            </w:r>
          </w:p>
        </w:tc>
      </w:tr>
      <w:tr w14:paraId="0534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5734">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2A31">
            <w:pPr>
              <w:jc w:val="center"/>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公共应急能力显著提升，体现安全防线构建效益。</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9C6F">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2C6B">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9082">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573D">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C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通过“博爱家园”、应急救护站及培训基地等阵地建设，结合“进社区、进学校”的12场普及培训，新增52名持证救护员，使数千群众受益，有效筑牢了社会公共安全的基础防线。</w:t>
            </w:r>
          </w:p>
        </w:tc>
      </w:tr>
      <w:tr w14:paraId="64EE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36B">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5F7D">
            <w:pPr>
              <w:jc w:val="center"/>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2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社会爱心资源成功激活，凸显慈善动员创新效益。</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3797">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FD60">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049A">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D43B">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F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成功策划并实现公众募资“从零到一”的突破，首次众筹即动员百余群众参与，为配置AED等公共设施开辟了可持续的社会化渠道，展示了在动员社会力量、汇聚民间爱心方面的创新能力。</w:t>
            </w:r>
          </w:p>
        </w:tc>
      </w:tr>
      <w:tr w14:paraId="762D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5B9E">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F2B2">
            <w:pPr>
              <w:jc w:val="center"/>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A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品牌项目标杆效应突出，实现资金投入倍增效益。</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68AF">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4407">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FC3E">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2817">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8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“博爱家园”项目高效整合应急培训、扶贫帮困等多重功能，获得省市级高度认可并形成可推广模式，确保15万资金投入创造了远超预期的综合社会价值，实现了资金效益的最大化。</w:t>
            </w:r>
          </w:p>
        </w:tc>
      </w:tr>
      <w:tr w14:paraId="2607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FE77">
            <w:pPr>
              <w:jc w:val="center"/>
              <w:rPr>
                <w:rFonts w:hint="eastAsia" w:ascii="宋体" w:hAnsi="宋体" w:eastAsia="宋体" w:cs="宋体"/>
                <w:i w:val="0"/>
                <w:iCs w:val="0"/>
                <w:color w:val="000000"/>
                <w:sz w:val="22"/>
                <w:szCs w:val="22"/>
                <w:u w:val="none"/>
              </w:rPr>
            </w:pP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7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相关人员满意度（10分）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9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区委领导班子满意度 </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2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F4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FD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BC50A">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2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区委领导班子满意度 ≥90%。</w:t>
            </w:r>
          </w:p>
        </w:tc>
      </w:tr>
      <w:tr w14:paraId="057C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8CAE">
            <w:pPr>
              <w:jc w:val="center"/>
              <w:rPr>
                <w:rFonts w:hint="eastAsia" w:ascii="宋体" w:hAnsi="宋体" w:eastAsia="宋体" w:cs="宋体"/>
                <w:i w:val="0"/>
                <w:iCs w:val="0"/>
                <w:color w:val="000000"/>
                <w:sz w:val="22"/>
                <w:szCs w:val="22"/>
                <w:u w:val="none"/>
              </w:rPr>
            </w:pP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9692">
            <w:pPr>
              <w:jc w:val="left"/>
              <w:rPr>
                <w:rFonts w:hint="eastAsia" w:ascii="宋体" w:hAnsi="宋体" w:eastAsia="宋体" w:cs="宋体"/>
                <w:i w:val="0"/>
                <w:iCs w:val="0"/>
                <w:color w:val="000000"/>
                <w:sz w:val="22"/>
                <w:szCs w:val="22"/>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F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项目获得省、市红十字会高度认可</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1CB9">
            <w:pP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1828">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0855">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AB42">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1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形成了可复制、可推广的标杆项目模式。</w:t>
            </w:r>
          </w:p>
        </w:tc>
      </w:tr>
      <w:tr w14:paraId="22DA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D519">
            <w:pPr>
              <w:jc w:val="center"/>
              <w:rPr>
                <w:rFonts w:hint="eastAsia" w:ascii="宋体" w:hAnsi="宋体" w:eastAsia="宋体" w:cs="宋体"/>
                <w:i w:val="0"/>
                <w:iCs w:val="0"/>
                <w:color w:val="000000"/>
                <w:sz w:val="22"/>
                <w:szCs w:val="22"/>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3086">
            <w:pPr>
              <w:rPr>
                <w:rFonts w:hint="eastAsia" w:ascii="宋体" w:hAnsi="宋体" w:eastAsia="宋体" w:cs="宋体"/>
                <w:i w:val="0"/>
                <w:iCs w:val="0"/>
                <w:color w:val="000000"/>
                <w:sz w:val="22"/>
                <w:szCs w:val="22"/>
                <w:u w:val="none"/>
              </w:rPr>
            </w:pPr>
          </w:p>
        </w:tc>
      </w:tr>
    </w:tbl>
    <w:p w14:paraId="45515A4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9" w:name="_Toc31438"/>
      <w:bookmarkStart w:id="50" w:name="_Toc26985"/>
      <w:bookmarkStart w:id="51" w:name="_Toc21137"/>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部门整体支出绩效评价综合得分87分，等级为“良好”。2024年区红十字会</w:t>
      </w:r>
      <w:r>
        <w:rPr>
          <w:rFonts w:hint="eastAsia" w:ascii="仿宋" w:hAnsi="仿宋" w:eastAsia="仿宋" w:cs="仿宋"/>
          <w:b/>
          <w:bCs/>
          <w:i w:val="0"/>
          <w:iCs w:val="0"/>
          <w:caps w:val="0"/>
          <w:color w:val="000000"/>
          <w:spacing w:val="0"/>
          <w:sz w:val="32"/>
          <w:szCs w:val="32"/>
          <w:u w:val="none"/>
          <w:shd w:val="clear" w:fill="FFFFFF"/>
          <w:lang w:val="en-US" w:eastAsia="zh-CN"/>
        </w:rPr>
        <w:t>预算调整率为56.85%，预算整体执行率为100.00%，人员控制率为40.00%。</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2024年度，区红十字会在履行人道使命上成果丰硕，实现了救助行动的精准高效，实现了应急普及的扩面提质，实现了社会动员的零的突破。</w:t>
      </w:r>
      <w:r>
        <w:rPr>
          <w:rFonts w:hint="eastAsia" w:ascii="仿宋" w:hAnsi="仿宋" w:eastAsia="仿宋" w:cs="仿宋"/>
          <w:b/>
          <w:bCs/>
          <w:i w:val="0"/>
          <w:iCs w:val="0"/>
          <w:caps w:val="0"/>
          <w:color w:val="000000"/>
          <w:spacing w:val="0"/>
          <w:sz w:val="32"/>
          <w:szCs w:val="32"/>
          <w:u w:val="none"/>
          <w:shd w:val="clear" w:fill="FFFFFF"/>
          <w:lang w:val="en-US" w:eastAsia="zh-CN"/>
        </w:rPr>
        <w:t>人道救助精准有力：</w:t>
      </w:r>
      <w:r>
        <w:rPr>
          <w:rFonts w:hint="eastAsia" w:ascii="仿宋" w:hAnsi="仿宋" w:eastAsia="仿宋" w:cs="仿宋"/>
          <w:b w:val="0"/>
          <w:bCs w:val="0"/>
          <w:i w:val="0"/>
          <w:iCs w:val="0"/>
          <w:caps w:val="0"/>
          <w:color w:val="000000"/>
          <w:spacing w:val="0"/>
          <w:sz w:val="32"/>
          <w:szCs w:val="32"/>
          <w:u w:val="none"/>
          <w:shd w:val="clear" w:fill="FFFFFF"/>
          <w:lang w:val="en-US" w:eastAsia="zh-CN"/>
        </w:rPr>
        <w:t>成功救助3名重大疾病儿童，救助成功率100%，历史救助对象全部康复；走访慰问困难群众55户，彰显人道温度。</w:t>
      </w:r>
      <w:r>
        <w:rPr>
          <w:rFonts w:hint="eastAsia" w:ascii="仿宋" w:hAnsi="仿宋" w:eastAsia="仿宋" w:cs="仿宋"/>
          <w:b/>
          <w:bCs/>
          <w:i w:val="0"/>
          <w:iCs w:val="0"/>
          <w:caps w:val="0"/>
          <w:color w:val="000000"/>
          <w:spacing w:val="0"/>
          <w:sz w:val="32"/>
          <w:szCs w:val="32"/>
          <w:u w:val="none"/>
          <w:shd w:val="clear" w:fill="FFFFFF"/>
          <w:lang w:val="en-US" w:eastAsia="zh-CN"/>
        </w:rPr>
        <w:t>生命工程扎实推进：</w:t>
      </w:r>
      <w:r>
        <w:rPr>
          <w:rFonts w:hint="eastAsia" w:ascii="仿宋" w:hAnsi="仿宋" w:eastAsia="仿宋" w:cs="仿宋"/>
          <w:b w:val="0"/>
          <w:bCs w:val="0"/>
          <w:i w:val="0"/>
          <w:iCs w:val="0"/>
          <w:caps w:val="0"/>
          <w:color w:val="000000"/>
          <w:spacing w:val="0"/>
          <w:sz w:val="32"/>
          <w:szCs w:val="32"/>
          <w:u w:val="none"/>
          <w:shd w:val="clear" w:fill="FFFFFF"/>
          <w:lang w:val="en-US" w:eastAsia="zh-CN"/>
        </w:rPr>
        <w:t>成功储备35份器官及5份造血干细胞捐献资源，为生命接力奠定坚实基础。</w:t>
      </w:r>
      <w:r>
        <w:rPr>
          <w:rFonts w:hint="eastAsia" w:ascii="仿宋" w:hAnsi="仿宋" w:eastAsia="仿宋" w:cs="仿宋"/>
          <w:b/>
          <w:bCs/>
          <w:i w:val="0"/>
          <w:iCs w:val="0"/>
          <w:caps w:val="0"/>
          <w:color w:val="000000"/>
          <w:spacing w:val="0"/>
          <w:sz w:val="32"/>
          <w:szCs w:val="32"/>
          <w:u w:val="none"/>
          <w:shd w:val="clear" w:fill="FFFFFF"/>
          <w:lang w:val="en-US" w:eastAsia="zh-CN"/>
        </w:rPr>
        <w:t>应急救护深入人心：</w:t>
      </w:r>
      <w:r>
        <w:rPr>
          <w:rFonts w:hint="eastAsia" w:ascii="仿宋" w:hAnsi="仿宋" w:eastAsia="仿宋" w:cs="仿宋"/>
          <w:b w:val="0"/>
          <w:bCs w:val="0"/>
          <w:i w:val="0"/>
          <w:iCs w:val="0"/>
          <w:caps w:val="0"/>
          <w:color w:val="000000"/>
          <w:spacing w:val="0"/>
          <w:sz w:val="32"/>
          <w:szCs w:val="32"/>
          <w:u w:val="none"/>
          <w:shd w:val="clear" w:fill="FFFFFF"/>
          <w:lang w:val="en-US" w:eastAsia="zh-CN"/>
        </w:rPr>
        <w:t>开展培训宣传12场，新增持证救护员52名，受益群众数以万计，公众应急能力显著提升。</w:t>
      </w:r>
      <w:r>
        <w:rPr>
          <w:rFonts w:hint="eastAsia" w:ascii="仿宋" w:hAnsi="仿宋" w:eastAsia="仿宋" w:cs="仿宋"/>
          <w:b/>
          <w:bCs/>
          <w:i w:val="0"/>
          <w:iCs w:val="0"/>
          <w:caps w:val="0"/>
          <w:color w:val="000000"/>
          <w:spacing w:val="0"/>
          <w:sz w:val="32"/>
          <w:szCs w:val="32"/>
          <w:u w:val="none"/>
          <w:shd w:val="clear" w:fill="FFFFFF"/>
          <w:lang w:val="en-US" w:eastAsia="zh-CN"/>
        </w:rPr>
        <w:t>项目阵地树立标杆：</w:t>
      </w:r>
      <w:r>
        <w:rPr>
          <w:rFonts w:hint="eastAsia" w:ascii="仿宋" w:hAnsi="仿宋" w:eastAsia="仿宋" w:cs="仿宋"/>
          <w:b w:val="0"/>
          <w:bCs w:val="0"/>
          <w:i w:val="0"/>
          <w:iCs w:val="0"/>
          <w:caps w:val="0"/>
          <w:color w:val="000000"/>
          <w:spacing w:val="0"/>
          <w:sz w:val="32"/>
          <w:szCs w:val="32"/>
          <w:u w:val="none"/>
          <w:shd w:val="clear" w:fill="FFFFFF"/>
          <w:lang w:val="en-US" w:eastAsia="zh-CN"/>
        </w:rPr>
        <w:t>“博爱家园”及多个应急救护站（基地）高标准建成投用，获省市级认可，实现了“资金效益与社会效益的最大化”。</w:t>
      </w:r>
      <w:r>
        <w:rPr>
          <w:rFonts w:hint="eastAsia" w:ascii="仿宋" w:hAnsi="仿宋" w:eastAsia="仿宋" w:cs="仿宋"/>
          <w:b/>
          <w:bCs/>
          <w:i w:val="0"/>
          <w:iCs w:val="0"/>
          <w:caps w:val="0"/>
          <w:color w:val="000000"/>
          <w:spacing w:val="0"/>
          <w:sz w:val="32"/>
          <w:szCs w:val="32"/>
          <w:u w:val="none"/>
          <w:shd w:val="clear" w:fill="FFFFFF"/>
          <w:lang w:val="en-US" w:eastAsia="zh-CN"/>
        </w:rPr>
        <w:t>社会筹资破冰启航：</w:t>
      </w:r>
      <w:r>
        <w:rPr>
          <w:rFonts w:hint="eastAsia" w:ascii="仿宋" w:hAnsi="仿宋" w:eastAsia="仿宋" w:cs="仿宋"/>
          <w:b w:val="0"/>
          <w:bCs w:val="0"/>
          <w:i w:val="0"/>
          <w:iCs w:val="0"/>
          <w:caps w:val="0"/>
          <w:color w:val="000000"/>
          <w:spacing w:val="0"/>
          <w:sz w:val="32"/>
          <w:szCs w:val="32"/>
          <w:u w:val="none"/>
          <w:shd w:val="clear" w:fill="FFFFFF"/>
          <w:lang w:val="en-US" w:eastAsia="zh-CN"/>
        </w:rPr>
        <w:t>首次众筹成功动员百余群众，为配置公共AED开辟了可持续的社会化路径。业务工作</w:t>
      </w:r>
      <w:r>
        <w:rPr>
          <w:rFonts w:hint="eastAsia" w:ascii="仿宋" w:hAnsi="仿宋" w:eastAsia="仿宋" w:cs="仿宋"/>
          <w:b/>
          <w:bCs/>
          <w:i w:val="0"/>
          <w:iCs w:val="0"/>
          <w:caps w:val="0"/>
          <w:color w:val="000000"/>
          <w:spacing w:val="0"/>
          <w:sz w:val="32"/>
          <w:szCs w:val="32"/>
          <w:u w:val="none"/>
          <w:shd w:val="clear" w:fill="FFFFFF"/>
          <w:lang w:val="en-US" w:eastAsia="zh-CN"/>
        </w:rPr>
        <w:t>“亮点纷呈”</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管理程序方面及人员经费管理方面存在不足，在预算精准化、程序规范化、管理精细化和效益长效化方面仍有提升空间。建议补短板、强弱项，推动区红十字会工作绩效管理水平再上新台阶。</w:t>
      </w:r>
    </w:p>
    <w:p w14:paraId="5F9D58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8418"/>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18993"/>
      <w:r>
        <w:rPr>
          <w:rFonts w:hint="eastAsia" w:ascii="楷体" w:hAnsi="楷体" w:eastAsia="楷体" w:cs="楷体"/>
          <w:b/>
          <w:bCs/>
          <w:sz w:val="32"/>
          <w:szCs w:val="32"/>
          <w:lang w:val="en-US" w:eastAsia="zh-CN"/>
        </w:rPr>
        <w:t>（一）预算配置与执行方面存在的问题及建议</w:t>
      </w:r>
      <w:bookmarkEnd w:id="53"/>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7689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如果确实因政策性因素等导致基本支出出现巨大缺口，应通过正式渠道向财政和主管部门申请调整预算或追加经费。</w:t>
      </w:r>
    </w:p>
    <w:p w14:paraId="498F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以下管理制度。如预算管理制度，内部控制制度，政府采购管理制度，国有资产管理制度，合同管理制度，专项资金管理办法，绩效管理制度，信息化管理制度，决算与财务报告制度，监督与审计制度，工会管理制度等。</w:t>
      </w:r>
    </w:p>
    <w:p w14:paraId="0AF387C4">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相关政策7：</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2BE2A86">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15014168">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3.存在2024年支付2025年工会行政支出的跨期费用支付情况。详见2024年10月8号凭证，支付2025年工会行政支出0.3631万元。</w:t>
      </w:r>
    </w:p>
    <w:p w14:paraId="26381B3B">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kern w:val="0"/>
          <w:sz w:val="32"/>
          <w:szCs w:val="32"/>
          <w:lang w:val="en-US" w:eastAsia="zh-CN" w:bidi="ar"/>
        </w:rPr>
        <w:t>上述违反了《工会预算管理办法》，工会预算应按年度编制和审批。</w:t>
      </w:r>
      <w:r>
        <w:rPr>
          <w:rFonts w:hint="eastAsia" w:ascii="仿宋" w:hAnsi="仿宋" w:eastAsia="仿宋" w:cs="仿宋"/>
          <w:b/>
          <w:bCs/>
          <w:kern w:val="0"/>
          <w:sz w:val="32"/>
          <w:szCs w:val="32"/>
          <w:lang w:val="en-US" w:eastAsia="zh-CN" w:bidi="ar"/>
        </w:rPr>
        <w:t>“严禁无预算、超预算支出”</w:t>
      </w:r>
      <w:r>
        <w:rPr>
          <w:rFonts w:hint="eastAsia" w:ascii="仿宋" w:hAnsi="仿宋" w:eastAsia="仿宋" w:cs="仿宋"/>
          <w:b w:val="0"/>
          <w:bCs w:val="0"/>
          <w:kern w:val="0"/>
          <w:sz w:val="32"/>
          <w:szCs w:val="32"/>
          <w:lang w:val="en-US" w:eastAsia="zh-CN" w:bidi="ar"/>
        </w:rPr>
        <w:t>。在2024年支出属于2025年预算的资金，属于典型的无预算和超预算支出。</w:t>
      </w:r>
      <w:r>
        <w:rPr>
          <w:rFonts w:hint="eastAsia" w:ascii="仿宋" w:hAnsi="仿宋" w:eastAsia="仿宋" w:cs="仿宋"/>
          <w:b/>
          <w:bCs/>
          <w:sz w:val="32"/>
          <w:szCs w:val="32"/>
          <w:lang w:val="en-US" w:eastAsia="zh-CN"/>
        </w:rPr>
        <w:t>相关政策2：</w:t>
      </w:r>
      <w:r>
        <w:rPr>
          <w:rFonts w:hint="eastAsia" w:ascii="仿宋" w:hAnsi="仿宋" w:eastAsia="仿宋" w:cs="仿宋"/>
          <w:b w:val="0"/>
          <w:bCs w:val="0"/>
          <w:kern w:val="0"/>
          <w:sz w:val="32"/>
          <w:szCs w:val="32"/>
          <w:lang w:val="en-US" w:eastAsia="zh-CN" w:bidi="ar"/>
        </w:rPr>
        <w:t>上述违反了</w:t>
      </w:r>
      <w:r>
        <w:rPr>
          <w:rFonts w:hint="eastAsia" w:ascii="仿宋" w:hAnsi="仿宋" w:eastAsia="仿宋" w:cs="仿宋"/>
          <w:b/>
          <w:bCs/>
          <w:kern w:val="0"/>
          <w:sz w:val="32"/>
          <w:szCs w:val="32"/>
          <w:lang w:val="en-US" w:eastAsia="zh-CN" w:bidi="ar"/>
        </w:rPr>
        <w:t>收支匹配原则</w:t>
      </w:r>
      <w:r>
        <w:rPr>
          <w:rFonts w:hint="eastAsia" w:ascii="仿宋" w:hAnsi="仿宋" w:eastAsia="仿宋" w:cs="仿宋"/>
          <w:b w:val="0"/>
          <w:bCs w:val="0"/>
          <w:kern w:val="0"/>
          <w:sz w:val="32"/>
          <w:szCs w:val="32"/>
          <w:lang w:val="en-US" w:eastAsia="zh-CN" w:bidi="ar"/>
        </w:rPr>
        <w:t>。将2025年的支出提前到2024年，会导致两个年度的成本和费用核算不准确，无法真实反映各年度的预算执行情况。</w:t>
      </w:r>
      <w:r>
        <w:rPr>
          <w:rFonts w:hint="eastAsia" w:ascii="仿宋" w:hAnsi="仿宋" w:eastAsia="仿宋" w:cs="仿宋"/>
          <w:b/>
          <w:bCs/>
          <w:sz w:val="32"/>
          <w:szCs w:val="32"/>
          <w:lang w:val="en-US" w:eastAsia="zh-CN"/>
        </w:rPr>
        <w:t>相关政策3：</w:t>
      </w:r>
      <w:r>
        <w:rPr>
          <w:rFonts w:hint="eastAsia" w:ascii="仿宋" w:hAnsi="仿宋" w:eastAsia="仿宋" w:cs="仿宋"/>
          <w:b w:val="0"/>
          <w:bCs w:val="0"/>
          <w:kern w:val="0"/>
          <w:sz w:val="32"/>
          <w:szCs w:val="32"/>
          <w:lang w:val="en-US" w:eastAsia="zh-CN" w:bidi="ar"/>
        </w:rPr>
        <w:t>上述违反了预算绩效管理中</w:t>
      </w:r>
      <w:r>
        <w:rPr>
          <w:rFonts w:hint="eastAsia" w:ascii="仿宋" w:hAnsi="仿宋" w:eastAsia="仿宋" w:cs="仿宋"/>
          <w:b/>
          <w:bCs/>
          <w:kern w:val="0"/>
          <w:sz w:val="32"/>
          <w:szCs w:val="32"/>
          <w:lang w:val="en-US" w:eastAsia="zh-CN" w:bidi="ar"/>
        </w:rPr>
        <w:t>“花钱必问效、无效必压减”</w:t>
      </w:r>
      <w:r>
        <w:rPr>
          <w:rFonts w:hint="eastAsia" w:ascii="仿宋" w:hAnsi="仿宋" w:eastAsia="仿宋" w:cs="仿宋"/>
          <w:b w:val="0"/>
          <w:bCs w:val="0"/>
          <w:kern w:val="0"/>
          <w:sz w:val="32"/>
          <w:szCs w:val="32"/>
          <w:lang w:val="en-US" w:eastAsia="zh-CN" w:bidi="ar"/>
        </w:rPr>
        <w:t>和</w:t>
      </w:r>
      <w:r>
        <w:rPr>
          <w:rFonts w:hint="eastAsia" w:ascii="仿宋" w:hAnsi="仿宋" w:eastAsia="仿宋" w:cs="仿宋"/>
          <w:b/>
          <w:bCs/>
          <w:kern w:val="0"/>
          <w:sz w:val="32"/>
          <w:szCs w:val="32"/>
          <w:lang w:val="en-US" w:eastAsia="zh-CN" w:bidi="ar"/>
        </w:rPr>
        <w:t>“花钱必问效、无效必问责”</w:t>
      </w:r>
      <w:r>
        <w:rPr>
          <w:rFonts w:hint="eastAsia" w:ascii="仿宋" w:hAnsi="仿宋" w:eastAsia="仿宋" w:cs="仿宋"/>
          <w:b w:val="0"/>
          <w:bCs w:val="0"/>
          <w:kern w:val="0"/>
          <w:sz w:val="32"/>
          <w:szCs w:val="32"/>
          <w:lang w:val="en-US" w:eastAsia="zh-CN" w:bidi="ar"/>
        </w:rPr>
        <w:t>的原则。提前支付会导致资金闲置，降低使用效益。</w:t>
      </w:r>
    </w:p>
    <w:p w14:paraId="6F65191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建议：一是</w:t>
      </w:r>
      <w:r>
        <w:rPr>
          <w:rFonts w:hint="eastAsia" w:ascii="仿宋" w:hAnsi="仿宋" w:eastAsia="仿宋" w:cs="仿宋"/>
          <w:b w:val="0"/>
          <w:bCs w:val="0"/>
          <w:kern w:val="0"/>
          <w:sz w:val="32"/>
          <w:szCs w:val="32"/>
          <w:lang w:val="en-US" w:eastAsia="zh-CN" w:bidi="ar"/>
        </w:rPr>
        <w:t>严格执行年度预算，</w:t>
      </w:r>
      <w:r>
        <w:rPr>
          <w:rFonts w:hint="eastAsia" w:ascii="仿宋" w:hAnsi="仿宋" w:eastAsia="仿宋" w:cs="仿宋"/>
          <w:b/>
          <w:bCs/>
          <w:kern w:val="0"/>
          <w:sz w:val="32"/>
          <w:szCs w:val="32"/>
          <w:lang w:val="en-US" w:eastAsia="zh-CN" w:bidi="ar"/>
        </w:rPr>
        <w:t>“先有预算，后有支出”</w:t>
      </w:r>
      <w:r>
        <w:rPr>
          <w:rFonts w:hint="eastAsia" w:ascii="仿宋" w:hAnsi="仿宋" w:eastAsia="仿宋" w:cs="仿宋"/>
          <w:b w:val="0"/>
          <w:bCs w:val="0"/>
          <w:kern w:val="0"/>
          <w:sz w:val="32"/>
          <w:szCs w:val="32"/>
          <w:lang w:val="en-US" w:eastAsia="zh-CN" w:bidi="ar"/>
        </w:rPr>
        <w:t>的原则，确保所有支出都在当年批准的预算范围内执行。2025年的经费支出，必须纳入2025年度的预算编制，并经规定程序审批后，在2025年进行支付。</w:t>
      </w:r>
      <w:r>
        <w:rPr>
          <w:rFonts w:hint="eastAsia" w:ascii="仿宋" w:hAnsi="仿宋" w:eastAsia="仿宋" w:cs="仿宋"/>
          <w:b/>
          <w:bCs/>
          <w:kern w:val="0"/>
          <w:sz w:val="32"/>
          <w:szCs w:val="32"/>
          <w:lang w:val="en-US" w:eastAsia="zh-CN" w:bidi="ar"/>
        </w:rPr>
        <w:t>二是强化预算绩效管理。</w:t>
      </w:r>
      <w:r>
        <w:rPr>
          <w:rFonts w:hint="eastAsia" w:ascii="仿宋" w:hAnsi="仿宋" w:eastAsia="仿宋" w:cs="仿宋"/>
          <w:b w:val="0"/>
          <w:bCs w:val="0"/>
          <w:kern w:val="0"/>
          <w:sz w:val="32"/>
          <w:szCs w:val="32"/>
          <w:lang w:val="en-US" w:eastAsia="zh-CN" w:bidi="ar"/>
        </w:rPr>
        <w:t>建立并落实“事前有目标、事中有监控、事后有评价、结果有运用”的全过程绩效运行机制。在预算编制时，就要同步设定清晰的绩效目标。预算执行中，确保资金支付进度与项目实施进度相匹配。</w:t>
      </w:r>
      <w:r>
        <w:rPr>
          <w:rFonts w:hint="eastAsia" w:ascii="仿宋" w:hAnsi="仿宋" w:eastAsia="仿宋" w:cs="仿宋"/>
          <w:b/>
          <w:bCs/>
          <w:kern w:val="0"/>
          <w:sz w:val="32"/>
          <w:szCs w:val="32"/>
          <w:lang w:val="en-US" w:eastAsia="zh-CN" w:bidi="ar"/>
        </w:rPr>
        <w:t>三是完善内部控制和监督。</w:t>
      </w:r>
      <w:r>
        <w:rPr>
          <w:rFonts w:hint="eastAsia" w:ascii="仿宋" w:hAnsi="仿宋" w:eastAsia="仿宋" w:cs="仿宋"/>
          <w:b w:val="0"/>
          <w:bCs w:val="0"/>
          <w:kern w:val="0"/>
          <w:sz w:val="32"/>
          <w:szCs w:val="32"/>
          <w:lang w:val="en-US" w:eastAsia="zh-CN" w:bidi="ar"/>
        </w:rPr>
        <w:t>健全单位内部财务管理制度，强化支出审批流程。</w:t>
      </w:r>
    </w:p>
    <w:p w14:paraId="010196B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4.存在食堂餐费管理“重支付、轻管理”，忽视了支出的真实性和规范性基础。支付无计算依据（如用餐人数、餐标、天数等），支付周期混乱，支付不及时，跨期或可能重复核算的情况。如8月支付7-9月费用（尚可理解为预支付），但12月18日支付“3至6月”餐费，12月23日支付“1至6月”餐费。且时间段与金额不匹配，每季度餐费约2,600.00元，本年度1-6份两个季度累计8,968.00元远超两季度平均餐费5,200.00元。</w:t>
      </w:r>
    </w:p>
    <w:p w14:paraId="0AFBE03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相关政策1：</w:t>
      </w:r>
      <w:r>
        <w:rPr>
          <w:rFonts w:hint="eastAsia" w:ascii="仿宋" w:hAnsi="仿宋" w:eastAsia="仿宋" w:cs="仿宋"/>
          <w:b w:val="0"/>
          <w:bCs w:val="0"/>
          <w:kern w:val="0"/>
          <w:sz w:val="32"/>
          <w:szCs w:val="32"/>
          <w:lang w:val="en-US" w:eastAsia="zh-CN" w:bidi="ar"/>
        </w:rPr>
        <w:t>上述违反了《政府会计制度》的要求。支出必须有真实、合法、完整的原始凭证作为依据。计算过程表、签到表等是证明业务真实性的关键支撑材料。</w:t>
      </w:r>
      <w:r>
        <w:rPr>
          <w:rFonts w:hint="eastAsia" w:ascii="仿宋" w:hAnsi="仿宋" w:eastAsia="仿宋" w:cs="仿宋"/>
          <w:b w:val="0"/>
          <w:bCs w:val="0"/>
          <w:kern w:val="0"/>
          <w:sz w:val="32"/>
          <w:szCs w:val="32"/>
          <w:lang w:val="en-US" w:eastAsia="zh-CN" w:bidi="ar"/>
        </w:rPr>
        <w:tab/>
      </w:r>
      <w:r>
        <w:rPr>
          <w:rFonts w:hint="eastAsia" w:ascii="仿宋" w:hAnsi="仿宋" w:eastAsia="仿宋" w:cs="仿宋"/>
          <w:b w:val="0"/>
          <w:bCs w:val="0"/>
          <w:kern w:val="0"/>
          <w:sz w:val="32"/>
          <w:szCs w:val="32"/>
          <w:lang w:val="en-US" w:eastAsia="zh-CN" w:bidi="ar"/>
        </w:rPr>
        <w:t>资金支出真实性存疑。 无法证明2,640.00元等金额是如何计算得出的，可能存在虚报人数、套取资金的风险，或仅是简单的“包干”费用，不符合精细化核算要求。</w:t>
      </w:r>
      <w:r>
        <w:rPr>
          <w:rFonts w:hint="eastAsia" w:ascii="仿宋" w:hAnsi="仿宋" w:eastAsia="仿宋" w:cs="仿宋"/>
          <w:b/>
          <w:bCs/>
          <w:kern w:val="0"/>
          <w:sz w:val="32"/>
          <w:szCs w:val="32"/>
          <w:lang w:val="en-US" w:eastAsia="zh-CN" w:bidi="ar"/>
        </w:rPr>
        <w:t>相关政策2：</w:t>
      </w:r>
      <w:r>
        <w:rPr>
          <w:rFonts w:hint="eastAsia" w:ascii="仿宋" w:hAnsi="仿宋" w:eastAsia="仿宋" w:cs="仿宋"/>
          <w:b w:val="0"/>
          <w:bCs w:val="0"/>
          <w:kern w:val="0"/>
          <w:sz w:val="32"/>
          <w:szCs w:val="32"/>
          <w:lang w:val="en-US" w:eastAsia="zh-CN" w:bidi="ar"/>
        </w:rPr>
        <w:t>上述违反了《行政事业单位内部控制规范（试行）》 中关于业务控制和会计控制的要求。业务应真实、准确、及时记录。财务记录严重失真。12月18日支付“3至6月”餐费，12月23日支付“1至6月”餐费，支付周期混乱，逻辑矛盾两笔支付在时间上存在重叠和矛盾，说明财务核算基础工作薄弱，可能存在记账错误，甚至人为调整支出的嫌疑。</w:t>
      </w:r>
      <w:r>
        <w:rPr>
          <w:rFonts w:hint="eastAsia" w:ascii="仿宋" w:hAnsi="仿宋" w:eastAsia="仿宋" w:cs="仿宋"/>
          <w:b/>
          <w:bCs/>
          <w:kern w:val="0"/>
          <w:sz w:val="32"/>
          <w:szCs w:val="32"/>
          <w:lang w:val="en-US" w:eastAsia="zh-CN" w:bidi="ar"/>
        </w:rPr>
        <w:t>相关政策3：</w:t>
      </w:r>
      <w:r>
        <w:rPr>
          <w:rFonts w:hint="eastAsia" w:ascii="仿宋" w:hAnsi="仿宋" w:eastAsia="仿宋" w:cs="仿宋"/>
          <w:b w:val="0"/>
          <w:bCs w:val="0"/>
          <w:kern w:val="0"/>
          <w:sz w:val="32"/>
          <w:szCs w:val="32"/>
          <w:lang w:val="en-US" w:eastAsia="zh-CN" w:bidi="ar"/>
        </w:rPr>
        <w:t>上述违反了《政府会计准则——基本准则》中的及时性原则。会计信息应当及时确认、计量和报告。不符合权责发生制核算要求。支付不及时，跨期核算，费用所属期与支付期严重脱节，不能真实反映当期成本，影响部门决算数据的准确性，也违背了预算管理的时效性要求。</w:t>
      </w:r>
    </w:p>
    <w:p w14:paraId="34C82ED4">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建议：一是及时整改，查明原因，补充证明材料。</w:t>
      </w:r>
      <w:r>
        <w:rPr>
          <w:rFonts w:hint="eastAsia" w:ascii="仿宋" w:hAnsi="仿宋" w:eastAsia="仿宋" w:cs="仿宋"/>
          <w:b w:val="0"/>
          <w:bCs w:val="0"/>
          <w:kern w:val="0"/>
          <w:sz w:val="32"/>
          <w:szCs w:val="32"/>
          <w:lang w:val="en-US" w:eastAsia="zh-CN" w:bidi="ar"/>
        </w:rPr>
        <w:t>对已发生的食堂餐费支出，立即追补食堂经费的详细计算依据。例如：提供经相关人员签字确认的用餐人员签到表/统计表、餐费标准文件或协议、月度/季度餐费结算汇总表等。</w:t>
      </w:r>
      <w:r>
        <w:rPr>
          <w:rFonts w:hint="eastAsia" w:ascii="仿宋" w:hAnsi="仿宋" w:eastAsia="仿宋" w:cs="仿宋"/>
          <w:b/>
          <w:bCs/>
          <w:kern w:val="0"/>
          <w:sz w:val="32"/>
          <w:szCs w:val="32"/>
          <w:lang w:val="en-US" w:eastAsia="zh-CN" w:bidi="ar"/>
        </w:rPr>
        <w:t>二是</w:t>
      </w:r>
      <w:r>
        <w:rPr>
          <w:rFonts w:hint="eastAsia" w:ascii="仿宋" w:hAnsi="仿宋" w:eastAsia="仿宋" w:cs="仿宋"/>
          <w:b w:val="0"/>
          <w:bCs w:val="0"/>
          <w:kern w:val="0"/>
          <w:sz w:val="32"/>
          <w:szCs w:val="32"/>
          <w:lang w:val="en-US" w:eastAsia="zh-CN" w:bidi="ar"/>
        </w:rPr>
        <w:t>如无法补齐，应由经办部门</w:t>
      </w:r>
      <w:r>
        <w:rPr>
          <w:rFonts w:hint="eastAsia" w:ascii="仿宋" w:hAnsi="仿宋" w:eastAsia="仿宋" w:cs="仿宋"/>
          <w:b/>
          <w:bCs/>
          <w:kern w:val="0"/>
          <w:sz w:val="32"/>
          <w:szCs w:val="32"/>
          <w:lang w:val="en-US" w:eastAsia="zh-CN" w:bidi="ar"/>
        </w:rPr>
        <w:t>出具情况说明，</w:t>
      </w:r>
      <w:r>
        <w:rPr>
          <w:rFonts w:hint="eastAsia" w:ascii="仿宋" w:hAnsi="仿宋" w:eastAsia="仿宋" w:cs="仿宋"/>
          <w:b w:val="0"/>
          <w:bCs w:val="0"/>
          <w:kern w:val="0"/>
          <w:sz w:val="32"/>
          <w:szCs w:val="32"/>
          <w:lang w:val="en-US" w:eastAsia="zh-CN" w:bidi="ar"/>
        </w:rPr>
        <w:t>并经单位负责人</w:t>
      </w:r>
      <w:r>
        <w:rPr>
          <w:rFonts w:hint="eastAsia" w:ascii="仿宋" w:hAnsi="仿宋" w:eastAsia="仿宋" w:cs="仿宋"/>
          <w:b/>
          <w:bCs/>
          <w:kern w:val="0"/>
          <w:sz w:val="32"/>
          <w:szCs w:val="32"/>
          <w:lang w:val="en-US" w:eastAsia="zh-CN" w:bidi="ar"/>
        </w:rPr>
        <w:t>审批，</w:t>
      </w:r>
      <w:r>
        <w:rPr>
          <w:rFonts w:hint="eastAsia" w:ascii="仿宋" w:hAnsi="仿宋" w:eastAsia="仿宋" w:cs="仿宋"/>
          <w:b w:val="0"/>
          <w:bCs w:val="0"/>
          <w:kern w:val="0"/>
          <w:sz w:val="32"/>
          <w:szCs w:val="32"/>
          <w:lang w:val="en-US" w:eastAsia="zh-CN" w:bidi="ar"/>
        </w:rPr>
        <w:t>作为凭证附件。</w:t>
      </w:r>
      <w:r>
        <w:rPr>
          <w:rFonts w:hint="eastAsia" w:ascii="仿宋" w:hAnsi="仿宋" w:eastAsia="仿宋" w:cs="仿宋"/>
          <w:b/>
          <w:bCs/>
          <w:kern w:val="0"/>
          <w:sz w:val="32"/>
          <w:szCs w:val="32"/>
          <w:lang w:val="en-US" w:eastAsia="zh-CN" w:bidi="ar"/>
        </w:rPr>
        <w:t>三是建立健全内控制度。制定</w:t>
      </w:r>
      <w:r>
        <w:rPr>
          <w:rFonts w:hint="eastAsia" w:ascii="仿宋" w:hAnsi="仿宋" w:eastAsia="仿宋" w:cs="仿宋"/>
          <w:b w:val="0"/>
          <w:bCs w:val="0"/>
          <w:kern w:val="0"/>
          <w:sz w:val="32"/>
          <w:szCs w:val="32"/>
          <w:lang w:val="en-US" w:eastAsia="zh-CN" w:bidi="ar"/>
        </w:rPr>
        <w:t>本单位《食堂经费管理办法》，明确用餐人员范围、餐费标准、结算周期、报销流程和所需附件。四是规范支付周期，做到按月或按季度及时结算，避免跨期过长或出现逻辑矛盾。</w:t>
      </w:r>
      <w:r>
        <w:rPr>
          <w:rFonts w:hint="eastAsia" w:ascii="仿宋" w:hAnsi="仿宋" w:eastAsia="仿宋" w:cs="仿宋"/>
          <w:b/>
          <w:bCs/>
          <w:kern w:val="0"/>
          <w:sz w:val="32"/>
          <w:szCs w:val="32"/>
          <w:lang w:val="en-US" w:eastAsia="zh-CN" w:bidi="ar"/>
        </w:rPr>
        <w:t>强化</w:t>
      </w:r>
      <w:r>
        <w:rPr>
          <w:rFonts w:hint="eastAsia" w:ascii="仿宋" w:hAnsi="仿宋" w:eastAsia="仿宋" w:cs="仿宋"/>
          <w:b w:val="0"/>
          <w:bCs w:val="0"/>
          <w:kern w:val="0"/>
          <w:sz w:val="32"/>
          <w:szCs w:val="32"/>
          <w:lang w:val="en-US" w:eastAsia="zh-CN" w:bidi="ar"/>
        </w:rPr>
        <w:t>财务审核，对附件不全、票据不合规、计算不清的支出，一律不予报销。</w:t>
      </w:r>
      <w:r>
        <w:rPr>
          <w:rFonts w:hint="eastAsia" w:ascii="仿宋" w:hAnsi="仿宋" w:eastAsia="仿宋" w:cs="仿宋"/>
          <w:b/>
          <w:bCs/>
          <w:kern w:val="0"/>
          <w:sz w:val="32"/>
          <w:szCs w:val="32"/>
          <w:lang w:val="en-US" w:eastAsia="zh-CN" w:bidi="ar"/>
        </w:rPr>
        <w:t>四是加强财务人员培训。</w:t>
      </w:r>
      <w:r>
        <w:rPr>
          <w:rFonts w:hint="eastAsia" w:ascii="仿宋" w:hAnsi="仿宋" w:eastAsia="仿宋" w:cs="仿宋"/>
          <w:b w:val="0"/>
          <w:bCs w:val="0"/>
          <w:kern w:val="0"/>
          <w:sz w:val="32"/>
          <w:szCs w:val="32"/>
          <w:lang w:val="en-US" w:eastAsia="zh-CN" w:bidi="ar"/>
        </w:rPr>
        <w:t>组织财务人员学习《政府会计制度》、《财政票据管理办法》和内部控制规范，提升其专业能力和风险意识，确保在审核环节就能及时发现并纠正此类问题。</w:t>
      </w:r>
    </w:p>
    <w:p w14:paraId="5AD3F546">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5.已设立工会组织（联合体工会组织），设置了工会总账簿，但未根据每一个独立的联合体工会（作为独立的会计主体）设立单独的明细账套，清晰反映其各自的经费收支和资产负债情况。</w:t>
      </w:r>
    </w:p>
    <w:p w14:paraId="1E13AE18">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工会法》第四十六条工会经费独立原则的规定。工会的财产、经费和国家拨给工会使用的不动产，任何组织和个人不得侵占、挪用和任意调拨。这导致多个独立的法人实体或会计主体的经费收支混同，无法清晰反映每个工会组织的财务状况。法律精神是保障每个工会组织的经费独立，将多个联合体工会的经费在一个总账中混合核算，为“侵占、挪用和任意调拨”创造了条件，无法体现每个工会对其自身经费的所有权和管理权，实质上构成了经费管理的混同。</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工会会计制度》第三条独立的会计核算管理体系的规定。工会会计是各级工会组织核算、反映、监督工会预算执行和经济活动的专业会计。工会依法建立独立的会计核算管理体系，与工会预算管理体制相适应。该条款要求每个工会组织都必须建立独立的核算体系。一个联合体工会就是一个独立的会计主体。只设总账而不为每个主体设立完整的明细核算体系（实质上是独立的账套），就无法形成其“独立的会计核算管理体系”。</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基层工会经费收支管理办法》的相关要求规定。该办法要求基层工会定期向会员大会或会员代表大会报告经费收支情况，并接受会员监督。在经费混合核算的情况下，无法向某个特定的联合体工会的会员提供只反映他们自身工会经费收支情况的、清晰完整的财务报告。这侵犯了会员的知情权和监督权。</w:t>
      </w:r>
      <w:r>
        <w:rPr>
          <w:rFonts w:hint="eastAsia" w:ascii="仿宋" w:hAnsi="仿宋" w:eastAsia="仿宋" w:cs="仿宋"/>
          <w:b/>
          <w:bCs/>
          <w:sz w:val="32"/>
          <w:szCs w:val="32"/>
          <w:lang w:val="en-US" w:eastAsia="zh-CN"/>
        </w:rPr>
        <w:t>存在三类风险。一是审计风险。</w:t>
      </w:r>
      <w:r>
        <w:rPr>
          <w:rFonts w:hint="eastAsia" w:ascii="仿宋" w:hAnsi="仿宋" w:eastAsia="仿宋" w:cs="仿宋"/>
          <w:b w:val="0"/>
          <w:bCs w:val="0"/>
          <w:sz w:val="32"/>
          <w:szCs w:val="32"/>
          <w:lang w:val="en-US" w:eastAsia="zh-CN"/>
        </w:rPr>
        <w:t>上级工会经费审查委员会或国家审计机关在审计时，会立即指出这是不合规行为，并要求限期整改。整改不力可能导致通报批评，甚至对经费收缴和使用进行限制。</w:t>
      </w:r>
      <w:r>
        <w:rPr>
          <w:rFonts w:hint="eastAsia" w:ascii="仿宋" w:hAnsi="仿宋" w:eastAsia="仿宋" w:cs="仿宋"/>
          <w:b/>
          <w:bCs/>
          <w:sz w:val="32"/>
          <w:szCs w:val="32"/>
          <w:lang w:val="en-US" w:eastAsia="zh-CN"/>
        </w:rPr>
        <w:t>二是法律责任风险。</w:t>
      </w:r>
      <w:r>
        <w:rPr>
          <w:rFonts w:hint="eastAsia" w:ascii="仿宋" w:hAnsi="仿宋" w:eastAsia="仿宋" w:cs="仿宋"/>
          <w:b w:val="0"/>
          <w:bCs w:val="0"/>
          <w:sz w:val="32"/>
          <w:szCs w:val="32"/>
          <w:lang w:val="en-US" w:eastAsia="zh-CN"/>
        </w:rPr>
        <w:t>一旦出现经费短缺、挪用或账目不清等问题，由于账务混同，将难以追查和界定具体是哪个联合体工会的责任，相关负责人可能因此承担连带责任。</w:t>
      </w:r>
      <w:r>
        <w:rPr>
          <w:rFonts w:hint="eastAsia" w:ascii="仿宋" w:hAnsi="仿宋" w:eastAsia="仿宋" w:cs="仿宋"/>
          <w:b/>
          <w:bCs/>
          <w:sz w:val="32"/>
          <w:szCs w:val="32"/>
          <w:lang w:val="en-US" w:eastAsia="zh-CN"/>
        </w:rPr>
        <w:t>三是内部管理风险。A责任不清。</w:t>
      </w:r>
      <w:r>
        <w:rPr>
          <w:rFonts w:hint="eastAsia" w:ascii="仿宋" w:hAnsi="仿宋" w:eastAsia="仿宋" w:cs="仿宋"/>
          <w:b w:val="0"/>
          <w:bCs w:val="0"/>
          <w:sz w:val="32"/>
          <w:szCs w:val="32"/>
          <w:lang w:val="en-US" w:eastAsia="zh-CN"/>
        </w:rPr>
        <w:t>无法准确考核和评价每个联合体工会的经费使用效益。</w:t>
      </w:r>
      <w:r>
        <w:rPr>
          <w:rFonts w:hint="eastAsia" w:ascii="仿宋" w:hAnsi="仿宋" w:eastAsia="仿宋" w:cs="仿宋"/>
          <w:b/>
          <w:bCs/>
          <w:sz w:val="32"/>
          <w:szCs w:val="32"/>
          <w:lang w:val="en-US" w:eastAsia="zh-CN"/>
        </w:rPr>
        <w:t>B会员纠纷。</w:t>
      </w:r>
      <w:r>
        <w:rPr>
          <w:rFonts w:hint="eastAsia" w:ascii="仿宋" w:hAnsi="仿宋" w:eastAsia="仿宋" w:cs="仿宋"/>
          <w:b w:val="0"/>
          <w:bCs w:val="0"/>
          <w:sz w:val="32"/>
          <w:szCs w:val="32"/>
          <w:lang w:val="en-US" w:eastAsia="zh-CN"/>
        </w:rPr>
        <w:t>容易因经费分摊、使用不公等问题引发联合体之间的内部矛盾。</w:t>
      </w:r>
      <w:r>
        <w:rPr>
          <w:rFonts w:hint="eastAsia" w:ascii="仿宋" w:hAnsi="仿宋" w:eastAsia="仿宋" w:cs="仿宋"/>
          <w:b/>
          <w:bCs/>
          <w:sz w:val="32"/>
          <w:szCs w:val="32"/>
          <w:lang w:val="en-US" w:eastAsia="zh-CN"/>
        </w:rPr>
        <w:t>C账目混乱。</w:t>
      </w:r>
      <w:r>
        <w:rPr>
          <w:rFonts w:hint="eastAsia" w:ascii="仿宋" w:hAnsi="仿宋" w:eastAsia="仿宋" w:cs="仿宋"/>
          <w:b w:val="0"/>
          <w:bCs w:val="0"/>
          <w:sz w:val="32"/>
          <w:szCs w:val="32"/>
          <w:lang w:val="en-US" w:eastAsia="zh-CN"/>
        </w:rPr>
        <w:t>长期混合核算，历史账目将难以厘清，为后续规范管理制造巨大障碍。</w:t>
      </w:r>
    </w:p>
    <w:p w14:paraId="32851B10">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建议：及时纠正，实现“分账核算，主体清晰”。一是及时停止混合核算。</w:t>
      </w:r>
      <w:r>
        <w:rPr>
          <w:rFonts w:hint="eastAsia" w:ascii="仿宋" w:hAnsi="仿宋" w:eastAsia="仿宋" w:cs="仿宋"/>
          <w:b w:val="0"/>
          <w:bCs w:val="0"/>
          <w:sz w:val="32"/>
          <w:szCs w:val="32"/>
          <w:lang w:val="en-US" w:eastAsia="zh-CN"/>
        </w:rPr>
        <w:t>以某个会计期间（建议为一个月的月初或一个年度的年初）为界，停止在总账中进行混合记账。</w:t>
      </w:r>
      <w:r>
        <w:rPr>
          <w:rFonts w:hint="eastAsia" w:ascii="仿宋" w:hAnsi="仿宋" w:eastAsia="仿宋" w:cs="仿宋"/>
          <w:b/>
          <w:bCs/>
          <w:sz w:val="32"/>
          <w:szCs w:val="32"/>
          <w:lang w:val="en-US" w:eastAsia="zh-CN"/>
        </w:rPr>
        <w:t>二是进行账务分割。成立小组，</w:t>
      </w:r>
      <w:r>
        <w:rPr>
          <w:rFonts w:hint="eastAsia" w:ascii="仿宋" w:hAnsi="仿宋" w:eastAsia="仿宋" w:cs="仿宋"/>
          <w:b w:val="0"/>
          <w:bCs w:val="0"/>
          <w:sz w:val="32"/>
          <w:szCs w:val="32"/>
          <w:lang w:val="en-US" w:eastAsia="zh-CN"/>
        </w:rPr>
        <w:t>由主管单位财务人员、各联合体工会负责人和经审委员组成工作小组。</w:t>
      </w:r>
      <w:r>
        <w:rPr>
          <w:rFonts w:hint="eastAsia" w:ascii="仿宋" w:hAnsi="仿宋" w:eastAsia="仿宋" w:cs="仿宋"/>
          <w:b/>
          <w:bCs/>
          <w:sz w:val="32"/>
          <w:szCs w:val="32"/>
          <w:lang w:val="en-US" w:eastAsia="zh-CN"/>
        </w:rPr>
        <w:t>厘清基准日数据，</w:t>
      </w:r>
      <w:r>
        <w:rPr>
          <w:rFonts w:hint="eastAsia" w:ascii="仿宋" w:hAnsi="仿宋" w:eastAsia="仿宋" w:cs="仿宋"/>
          <w:b w:val="0"/>
          <w:bCs w:val="0"/>
          <w:sz w:val="32"/>
          <w:szCs w:val="32"/>
          <w:lang w:val="en-US" w:eastAsia="zh-CN"/>
        </w:rPr>
        <w:t>确定一个分割基准日，盘点清楚基准日工会银行账户的总资产、结余资金。</w:t>
      </w:r>
      <w:r>
        <w:rPr>
          <w:rFonts w:hint="eastAsia" w:ascii="仿宋" w:hAnsi="仿宋" w:eastAsia="仿宋" w:cs="仿宋"/>
          <w:b/>
          <w:bCs/>
          <w:sz w:val="32"/>
          <w:szCs w:val="32"/>
          <w:lang w:val="en-US" w:eastAsia="zh-CN"/>
        </w:rPr>
        <w:t>制定分割方案，</w:t>
      </w:r>
      <w:r>
        <w:rPr>
          <w:rFonts w:hint="eastAsia" w:ascii="仿宋" w:hAnsi="仿宋" w:eastAsia="仿宋" w:cs="仿宋"/>
          <w:b w:val="0"/>
          <w:bCs w:val="0"/>
          <w:sz w:val="32"/>
          <w:szCs w:val="32"/>
          <w:lang w:val="en-US" w:eastAsia="zh-CN"/>
        </w:rPr>
        <w:t>根据历史凭证和合理的依据（如各联合体上缴经费的比例、会员人数比例等），将总资产、负债和结余资金合理分摊到每一个联合体工会。这个过程需要有书面记录并经各方确认。</w:t>
      </w:r>
      <w:r>
        <w:rPr>
          <w:rFonts w:hint="eastAsia" w:ascii="仿宋" w:hAnsi="仿宋" w:eastAsia="仿宋" w:cs="仿宋"/>
          <w:b/>
          <w:bCs/>
          <w:sz w:val="32"/>
          <w:szCs w:val="32"/>
          <w:lang w:val="en-US" w:eastAsia="zh-CN"/>
        </w:rPr>
        <w:t>三是建立合规的账簿体系（二选一）。首选方案是分设独立账套。</w:t>
      </w:r>
      <w:r>
        <w:rPr>
          <w:rFonts w:hint="eastAsia" w:ascii="仿宋" w:hAnsi="仿宋" w:eastAsia="仿宋" w:cs="仿宋"/>
          <w:b w:val="0"/>
          <w:bCs w:val="0"/>
          <w:sz w:val="32"/>
          <w:szCs w:val="32"/>
          <w:lang w:val="en-US" w:eastAsia="zh-CN"/>
        </w:rPr>
        <w:t>为每一个联合体工会在财务系统中单独建立一个账套，拥有独立的总账、明细账、报表系统。将分割后的数据作为期初数，分别录入各自的新账套。优点是完全合规，核算最清晰，责任最明确。</w:t>
      </w:r>
      <w:r>
        <w:rPr>
          <w:rFonts w:hint="eastAsia" w:ascii="仿宋" w:hAnsi="仿宋" w:eastAsia="仿宋" w:cs="仿宋"/>
          <w:b/>
          <w:bCs/>
          <w:sz w:val="32"/>
          <w:szCs w:val="32"/>
          <w:lang w:val="en-US" w:eastAsia="zh-CN"/>
        </w:rPr>
        <w:t>备选方案是在同一账套下进行严格的明细核算。</w:t>
      </w:r>
      <w:r>
        <w:rPr>
          <w:rFonts w:hint="eastAsia" w:ascii="仿宋" w:hAnsi="仿宋" w:eastAsia="仿宋" w:cs="仿宋"/>
          <w:b w:val="0"/>
          <w:bCs w:val="0"/>
          <w:sz w:val="32"/>
          <w:szCs w:val="32"/>
          <w:lang w:val="en-US" w:eastAsia="zh-CN"/>
        </w:rPr>
        <w:t>如果因客观条件限制无法分设账套，则在现有总账下，为所有核心科目（如库存现金、银行存款、各项收入、各项支出等）按联合体工会名称设置二级乃至三级明细科目。确保每一笔收支业务在制单时都准确归类到对应的联合体工会独立主体明细科目，期末可以快速生成每个工会的科目余额表，并据此编制独立的财务报表。</w:t>
      </w:r>
      <w:r>
        <w:rPr>
          <w:rFonts w:hint="eastAsia" w:ascii="仿宋" w:hAnsi="仿宋" w:eastAsia="仿宋" w:cs="仿宋"/>
          <w:b/>
          <w:bCs/>
          <w:sz w:val="32"/>
          <w:szCs w:val="32"/>
          <w:lang w:val="en-US" w:eastAsia="zh-CN"/>
        </w:rPr>
        <w:t>四是规范后续管理。独立报告，</w:t>
      </w:r>
      <w:r>
        <w:rPr>
          <w:rFonts w:hint="eastAsia" w:ascii="仿宋" w:hAnsi="仿宋" w:eastAsia="仿宋" w:cs="仿宋"/>
          <w:b w:val="0"/>
          <w:bCs w:val="0"/>
          <w:sz w:val="32"/>
          <w:szCs w:val="32"/>
          <w:lang w:val="en-US" w:eastAsia="zh-CN"/>
        </w:rPr>
        <w:t>每个报告期末，必须为每个联合体工会编制独立的《工会经费收支决算表》和《资产负债表》，经其负责人和经审委员审核后，向各自会员公布并报上级工会。</w:t>
      </w:r>
      <w:r>
        <w:rPr>
          <w:rFonts w:hint="eastAsia" w:ascii="仿宋" w:hAnsi="仿宋" w:eastAsia="仿宋" w:cs="仿宋"/>
          <w:b/>
          <w:bCs/>
          <w:sz w:val="32"/>
          <w:szCs w:val="32"/>
          <w:lang w:val="en-US" w:eastAsia="zh-CN"/>
        </w:rPr>
        <w:t>明确分工，</w:t>
      </w:r>
      <w:r>
        <w:rPr>
          <w:rFonts w:hint="eastAsia" w:ascii="仿宋" w:hAnsi="仿宋" w:eastAsia="仿宋" w:cs="仿宋"/>
          <w:b w:val="0"/>
          <w:bCs w:val="0"/>
          <w:sz w:val="32"/>
          <w:szCs w:val="32"/>
          <w:lang w:val="en-US" w:eastAsia="zh-CN"/>
        </w:rPr>
        <w:t>指定专人负责不同联合体工会的账务处理，确保核算准确。</w:t>
      </w:r>
    </w:p>
    <w:p w14:paraId="34AA7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4" w:name="_Toc23919"/>
      <w:r>
        <w:rPr>
          <w:rFonts w:hint="eastAsia" w:ascii="楷体" w:hAnsi="楷体" w:eastAsia="楷体" w:cs="楷体"/>
          <w:b/>
          <w:bCs/>
          <w:sz w:val="32"/>
          <w:szCs w:val="32"/>
          <w:lang w:val="en-US" w:eastAsia="zh-CN"/>
        </w:rPr>
        <w:t>（二）管理程序方面存在的问题及建议</w:t>
      </w:r>
      <w:bookmarkEnd w:id="54"/>
    </w:p>
    <w:p w14:paraId="18881BAF">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1.存在政采合同与验收为同一天，业务活动不可能一天完成，属于程序违规。详见2024年12月6号，制作红色马甲费0.48万元。</w:t>
      </w:r>
    </w:p>
    <w:p w14:paraId="44F74DC0">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第四十一条。采购人或者其委托的采购代理机构应当组织对供应商履约的验收。验收的前提是“履约”，即合同已经进入执行阶段。合同签订与验收同日，在逻辑上无法体现“履约”过程。任何采购项目，尤其是货物、工程或服务，从合同签订到履行完毕（包括生产、交付、安装、调试、试运行等）必然需要一个时间周期。同一天完成意味着没有实际的履行过程。没有履行过程，验收就失去了对象和意义，沦为</w:t>
      </w:r>
      <w:r>
        <w:rPr>
          <w:rFonts w:hint="eastAsia" w:ascii="仿宋" w:hAnsi="仿宋" w:eastAsia="仿宋" w:cs="仿宋"/>
          <w:b/>
          <w:bCs/>
          <w:sz w:val="32"/>
          <w:szCs w:val="32"/>
          <w:lang w:val="en-US" w:eastAsia="zh-CN"/>
        </w:rPr>
        <w:t>“纸上验收”，</w:t>
      </w:r>
      <w:r>
        <w:rPr>
          <w:rFonts w:hint="eastAsia" w:ascii="仿宋" w:hAnsi="仿宋" w:eastAsia="仿宋" w:cs="仿宋"/>
          <w:b w:val="0"/>
          <w:bCs w:val="0"/>
          <w:sz w:val="32"/>
          <w:szCs w:val="32"/>
          <w:lang w:val="en-US" w:eastAsia="zh-CN"/>
        </w:rPr>
        <w:t>是典型的形式主义，无法保证财政资金的使用效益和采购质量。</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第四十六条。采购人与中标、成交供应商应当在成交通知书发出之日起三十日内，按照采购文件确定的事项签订政府采购合同。合同签订是项目履行的起点，而非终点。将验收与起点放在同一天，</w:t>
      </w:r>
      <w:r>
        <w:rPr>
          <w:rFonts w:hint="eastAsia" w:ascii="仿宋" w:hAnsi="仿宋" w:eastAsia="仿宋" w:cs="仿宋"/>
          <w:b/>
          <w:bCs/>
          <w:sz w:val="32"/>
          <w:szCs w:val="32"/>
          <w:lang w:val="en-US" w:eastAsia="zh-CN"/>
        </w:rPr>
        <w:t>颠倒了法定程序</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政府采购需求管理办法》（财库〔2021〕22号）。该办法强调了对采购需求和合同履行的管理。其中第二十条规定，采购人应当负责组织对供应商履约情况进行验收。一个没有时间跨度的“履约”是无法被有效组织和验收的。该办法旨在确保采购项目实现绩效目标，而</w:t>
      </w:r>
      <w:r>
        <w:rPr>
          <w:rFonts w:hint="eastAsia" w:ascii="仿宋" w:hAnsi="仿宋" w:eastAsia="仿宋" w:cs="仿宋"/>
          <w:b/>
          <w:bCs/>
          <w:sz w:val="32"/>
          <w:szCs w:val="32"/>
          <w:lang w:val="en-US" w:eastAsia="zh-CN"/>
        </w:rPr>
        <w:t>“同日签验”</w:t>
      </w:r>
      <w:r>
        <w:rPr>
          <w:rFonts w:hint="eastAsia" w:ascii="仿宋" w:hAnsi="仿宋" w:eastAsia="仿宋" w:cs="仿宋"/>
          <w:b w:val="0"/>
          <w:bCs w:val="0"/>
          <w:sz w:val="32"/>
          <w:szCs w:val="32"/>
          <w:lang w:val="en-US" w:eastAsia="zh-CN"/>
        </w:rPr>
        <w:t>的做法使得绩效目标在合同签订的那一刻就被</w:t>
      </w:r>
      <w:r>
        <w:rPr>
          <w:rFonts w:hint="eastAsia" w:ascii="仿宋" w:hAnsi="仿宋" w:eastAsia="仿宋" w:cs="仿宋"/>
          <w:b/>
          <w:bCs/>
          <w:sz w:val="32"/>
          <w:szCs w:val="32"/>
          <w:lang w:val="en-US" w:eastAsia="zh-CN"/>
        </w:rPr>
        <w:t>“预设”</w:t>
      </w:r>
      <w:r>
        <w:rPr>
          <w:rFonts w:hint="eastAsia" w:ascii="仿宋" w:hAnsi="仿宋" w:eastAsia="仿宋" w:cs="仿宋"/>
          <w:b w:val="0"/>
          <w:bCs w:val="0"/>
          <w:sz w:val="32"/>
          <w:szCs w:val="32"/>
          <w:lang w:val="en-US" w:eastAsia="zh-CN"/>
        </w:rPr>
        <w:t>为达成，这与</w:t>
      </w:r>
      <w:r>
        <w:rPr>
          <w:rFonts w:hint="eastAsia" w:ascii="仿宋" w:hAnsi="仿宋" w:eastAsia="仿宋" w:cs="仿宋"/>
          <w:b/>
          <w:bCs/>
          <w:sz w:val="32"/>
          <w:szCs w:val="32"/>
          <w:lang w:val="en-US" w:eastAsia="zh-CN"/>
        </w:rPr>
        <w:t>绩效管理的初衷</w:t>
      </w:r>
      <w:r>
        <w:rPr>
          <w:rFonts w:hint="eastAsia" w:ascii="仿宋" w:hAnsi="仿宋" w:eastAsia="仿宋" w:cs="仿宋"/>
          <w:b w:val="0"/>
          <w:bCs w:val="0"/>
          <w:sz w:val="32"/>
          <w:szCs w:val="32"/>
          <w:lang w:val="en-US" w:eastAsia="zh-CN"/>
        </w:rPr>
        <w:t>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上述违反了《中华人民共和国预算法》及全面实施预算绩效管理的要求。财政资金的使用必须讲求效益。“同日签验”使得资金支付失去了基于实际成果的审核环节，</w:t>
      </w:r>
      <w:r>
        <w:rPr>
          <w:rFonts w:hint="eastAsia" w:ascii="仿宋" w:hAnsi="仿宋" w:eastAsia="仿宋" w:cs="仿宋"/>
          <w:b/>
          <w:bCs/>
          <w:sz w:val="32"/>
          <w:szCs w:val="32"/>
          <w:lang w:val="en-US" w:eastAsia="zh-CN"/>
        </w:rPr>
        <w:t>无法体现“花钱问效”的原则，</w:t>
      </w:r>
      <w:r>
        <w:rPr>
          <w:rFonts w:hint="eastAsia" w:ascii="仿宋" w:hAnsi="仿宋" w:eastAsia="仿宋" w:cs="仿宋"/>
          <w:b w:val="0"/>
          <w:bCs w:val="0"/>
          <w:sz w:val="32"/>
          <w:szCs w:val="32"/>
          <w:lang w:val="en-US" w:eastAsia="zh-CN"/>
        </w:rPr>
        <w:t>易导致资金浪费和滥用，是绩效评价中应被“一票否决”的负面典型。</w:t>
      </w:r>
    </w:p>
    <w:p w14:paraId="14CBCA91">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责令采购单位重新组织规范的履约验收，并追究相关人员的责任。</w:t>
      </w:r>
      <w:r>
        <w:rPr>
          <w:rFonts w:hint="eastAsia" w:ascii="仿宋" w:hAnsi="仿宋" w:eastAsia="仿宋" w:cs="仿宋"/>
          <w:b/>
          <w:bCs/>
          <w:sz w:val="32"/>
          <w:szCs w:val="32"/>
          <w:lang w:val="en-US" w:eastAsia="zh-CN"/>
        </w:rPr>
        <w:t>二是完善内控。</w:t>
      </w:r>
      <w:r>
        <w:rPr>
          <w:rFonts w:hint="eastAsia" w:ascii="仿宋" w:hAnsi="仿宋" w:eastAsia="仿宋" w:cs="仿宋"/>
          <w:b w:val="0"/>
          <w:bCs w:val="0"/>
          <w:sz w:val="32"/>
          <w:szCs w:val="32"/>
          <w:lang w:val="en-US" w:eastAsia="zh-CN"/>
        </w:rPr>
        <w:t>要求采购单位建立健全内部政府采购管理制度和流程，明确合同签订、履约管理、项目验收等环节的职责分工和时间要求，严防类似事件再次发生。</w:t>
      </w:r>
      <w:r>
        <w:rPr>
          <w:rFonts w:hint="eastAsia" w:ascii="仿宋" w:hAnsi="仿宋" w:eastAsia="仿宋" w:cs="仿宋"/>
          <w:b/>
          <w:bCs/>
          <w:sz w:val="32"/>
          <w:szCs w:val="32"/>
          <w:lang w:val="en-US" w:eastAsia="zh-CN"/>
        </w:rPr>
        <w:t>三是加强监督。</w:t>
      </w:r>
      <w:r>
        <w:rPr>
          <w:rFonts w:hint="eastAsia" w:ascii="仿宋" w:hAnsi="仿宋" w:eastAsia="仿宋" w:cs="仿宋"/>
          <w:b w:val="0"/>
          <w:bCs w:val="0"/>
          <w:sz w:val="32"/>
          <w:szCs w:val="32"/>
          <w:lang w:val="en-US" w:eastAsia="zh-CN"/>
        </w:rPr>
        <w:t>建议财政部门将该单位列入重点监督对象，加大对其今后采购项目的监督检查力度。</w:t>
      </w:r>
      <w:r>
        <w:rPr>
          <w:rFonts w:hint="eastAsia" w:ascii="仿宋" w:hAnsi="仿宋" w:eastAsia="仿宋" w:cs="仿宋"/>
          <w:b/>
          <w:bCs/>
          <w:sz w:val="32"/>
          <w:szCs w:val="32"/>
          <w:lang w:val="en-US" w:eastAsia="zh-CN"/>
        </w:rPr>
        <w:t>四是追责问效。</w:t>
      </w:r>
      <w:r>
        <w:rPr>
          <w:rFonts w:hint="eastAsia" w:ascii="仿宋" w:hAnsi="仿宋" w:eastAsia="仿宋" w:cs="仿宋"/>
          <w:b w:val="0"/>
          <w:bCs w:val="0"/>
          <w:sz w:val="32"/>
          <w:szCs w:val="32"/>
          <w:lang w:val="en-US" w:eastAsia="zh-CN"/>
        </w:rPr>
        <w:t>如查实存在虚假采购、套取财政资金等违法违纪行为，应按规定移交纪检监察或司法机关处理。维护政府采购的严肃性和财政资金的安全有效性。</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5" w:name="_Toc21096"/>
      <w:bookmarkStart w:id="56" w:name="_GoBack"/>
      <w:bookmarkEnd w:id="56"/>
      <w:r>
        <w:rPr>
          <w:rFonts w:hint="eastAsia" w:ascii="楷体" w:hAnsi="楷体" w:eastAsia="楷体" w:cs="楷体"/>
          <w:b/>
          <w:bCs/>
          <w:sz w:val="32"/>
          <w:szCs w:val="32"/>
          <w:lang w:val="en-US" w:eastAsia="zh-CN"/>
        </w:rPr>
        <w:t>（三）人员经费管理方面存在的问题及建议</w:t>
      </w:r>
      <w:bookmarkEnd w:id="55"/>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1.发放统发工资后附件有国库支付单，工资发放明细表，但工资发放明细表上无审批人签字及审核意见且无银行回单。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和未经审批的工资明细表，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建议：规范管理、防范风险、提升效能。短期建议，及时整改。一是补全审批手续。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二是获取银行回单。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长期建议，加强制度建设，完善内控制度。一是制定或修订本单位《工资发放管理内部控制实施细则》。二是明确以下流程。A编制管理。</w:t>
      </w:r>
      <w:r>
        <w:rPr>
          <w:rFonts w:hint="eastAsia" w:ascii="仿宋" w:hAnsi="仿宋" w:eastAsia="仿宋" w:cs="仿宋"/>
          <w:b w:val="0"/>
          <w:bCs w:val="0"/>
          <w:sz w:val="32"/>
          <w:szCs w:val="32"/>
          <w:lang w:val="en-US" w:eastAsia="zh-CN"/>
        </w:rPr>
        <w:t>由人事部门或指定人员根据政策编制工资变动表和应发数据。B</w:t>
      </w:r>
      <w:r>
        <w:rPr>
          <w:rFonts w:hint="eastAsia" w:ascii="仿宋" w:hAnsi="仿宋" w:eastAsia="仿宋" w:cs="仿宋"/>
          <w:b/>
          <w:bCs/>
          <w:sz w:val="32"/>
          <w:szCs w:val="32"/>
          <w:lang w:val="en-US" w:eastAsia="zh-CN"/>
        </w:rPr>
        <w:t>审核。</w:t>
      </w:r>
      <w:r>
        <w:rPr>
          <w:rFonts w:hint="eastAsia" w:ascii="仿宋" w:hAnsi="仿宋" w:eastAsia="仿宋" w:cs="仿宋"/>
          <w:b w:val="0"/>
          <w:bCs w:val="0"/>
          <w:sz w:val="32"/>
          <w:szCs w:val="32"/>
          <w:lang w:val="en-US" w:eastAsia="zh-CN"/>
        </w:rPr>
        <w:t>财务部门根据人事通知审核数据准确性。C</w:t>
      </w:r>
      <w:r>
        <w:rPr>
          <w:rFonts w:hint="eastAsia" w:ascii="仿宋" w:hAnsi="仿宋" w:eastAsia="仿宋" w:cs="仿宋"/>
          <w:b/>
          <w:bCs/>
          <w:sz w:val="32"/>
          <w:szCs w:val="32"/>
          <w:lang w:val="en-US" w:eastAsia="zh-CN"/>
        </w:rPr>
        <w:t>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规定明确的审批权限和流程，例如：财务负责人审核后，必须报单位主要领导或分管财务领导审批签字，方可进入支付程序。审批签字必须是纸质或具有同等法律效力的电子签批流程。D</w:t>
      </w:r>
      <w:r>
        <w:rPr>
          <w:rFonts w:hint="eastAsia" w:ascii="仿宋" w:hAnsi="仿宋" w:eastAsia="仿宋" w:cs="仿宋"/>
          <w:b/>
          <w:bCs/>
          <w:sz w:val="32"/>
          <w:szCs w:val="32"/>
          <w:lang w:val="en-US" w:eastAsia="zh-CN"/>
        </w:rPr>
        <w:t>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三是推行电子审批。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r>
        <w:rPr>
          <w:rFonts w:hint="eastAsia" w:ascii="仿宋" w:hAnsi="仿宋" w:eastAsia="仿宋" w:cs="仿宋"/>
          <w:b/>
          <w:bCs/>
          <w:sz w:val="32"/>
          <w:szCs w:val="32"/>
          <w:lang w:val="en-US" w:eastAsia="zh-CN"/>
        </w:rPr>
        <w:t>四是加强人员培训。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2.支付医疗保险、工伤保险、职业年金后仅附国库支付单，银行端查询缴税凭证，未附人员名单、缴费基数确认表、明确的计算依据、审批流程、银行付款回单等。</w:t>
      </w:r>
    </w:p>
    <w:p w14:paraId="5C4D76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五十七条]“各级政府财政部门必须依照法律、行政法规和国务院财政部门的规定，及时、足额地拨付预算支出资金，加强对预算支出的管理和监督。各级政府、各部门、各单位的支出必须按照预算执行，不得虚假列支。”该条款强调了预算支出的规范性和真实性要求。政府单位支付医疗保险、工伤保险、职业年金属于预算支出，必须确保凭证齐全、程序合规，否则可能构成“虚假列支”。</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做到凭证齐全、手续完备。支付医疗保险、工伤保险、职业年金等属于单位的重要支出，必须附有完整的原始凭证，以确保会计信息的真实、完整。仅凭国库支付单和银行缴税凭证，无法证明该笔支付的合法性、合理性和准确性。</w:t>
      </w:r>
      <w:r>
        <w:rPr>
          <w:rFonts w:hint="eastAsia" w:ascii="仿宋" w:hAnsi="仿宋" w:eastAsia="仿宋" w:cs="仿宋"/>
          <w:b/>
          <w:bCs/>
          <w:sz w:val="32"/>
          <w:szCs w:val="32"/>
          <w:lang w:val="en-US" w:eastAsia="zh-CN"/>
        </w:rPr>
        <w:t>补充清单如下：一是缴费通知或计算表，</w:t>
      </w:r>
      <w:r>
        <w:rPr>
          <w:rFonts w:hint="eastAsia" w:ascii="仿宋" w:hAnsi="仿宋" w:eastAsia="仿宋" w:cs="仿宋"/>
          <w:b w:val="0"/>
          <w:bCs w:val="0"/>
          <w:sz w:val="32"/>
          <w:szCs w:val="32"/>
          <w:lang w:val="en-US" w:eastAsia="zh-CN"/>
        </w:rPr>
        <w:t>证明应缴金额的计算过程和依据。</w:t>
      </w:r>
      <w:r>
        <w:rPr>
          <w:rFonts w:hint="eastAsia" w:ascii="仿宋" w:hAnsi="仿宋" w:eastAsia="仿宋" w:cs="仿宋"/>
          <w:b/>
          <w:bCs/>
          <w:sz w:val="32"/>
          <w:szCs w:val="32"/>
          <w:lang w:val="en-US" w:eastAsia="zh-CN"/>
        </w:rPr>
        <w:t>二是内部审批文件，</w:t>
      </w:r>
      <w:r>
        <w:rPr>
          <w:rFonts w:hint="eastAsia" w:ascii="仿宋" w:hAnsi="仿宋" w:eastAsia="仿宋" w:cs="仿宋"/>
          <w:b w:val="0"/>
          <w:bCs w:val="0"/>
          <w:sz w:val="32"/>
          <w:szCs w:val="32"/>
          <w:lang w:val="en-US" w:eastAsia="zh-CN"/>
        </w:rPr>
        <w:t>证明该笔支付已经过单位内部适当的审批程序。</w:t>
      </w:r>
      <w:r>
        <w:rPr>
          <w:rFonts w:hint="eastAsia" w:ascii="仿宋" w:hAnsi="仿宋" w:eastAsia="仿宋" w:cs="仿宋"/>
          <w:b/>
          <w:bCs/>
          <w:sz w:val="32"/>
          <w:szCs w:val="32"/>
          <w:lang w:val="en-US" w:eastAsia="zh-CN"/>
        </w:rPr>
        <w:t>三是相关合同或协议（如适用），</w:t>
      </w:r>
      <w:r>
        <w:rPr>
          <w:rFonts w:hint="eastAsia" w:ascii="仿宋" w:hAnsi="仿宋" w:eastAsia="仿宋" w:cs="仿宋"/>
          <w:b w:val="0"/>
          <w:bCs w:val="0"/>
          <w:sz w:val="32"/>
          <w:szCs w:val="32"/>
          <w:lang w:val="en-US" w:eastAsia="zh-CN"/>
        </w:rPr>
        <w:t>例如与社保经办机构签订的协议。</w:t>
      </w:r>
      <w:r>
        <w:rPr>
          <w:rFonts w:hint="eastAsia" w:ascii="仿宋" w:hAnsi="仿宋" w:eastAsia="仿宋" w:cs="仿宋"/>
          <w:b/>
          <w:bCs/>
          <w:sz w:val="32"/>
          <w:szCs w:val="32"/>
          <w:lang w:val="en-US" w:eastAsia="zh-CN"/>
        </w:rPr>
        <w:t>四是银行付款回单，</w:t>
      </w:r>
      <w:r>
        <w:rPr>
          <w:rFonts w:hint="eastAsia" w:ascii="仿宋" w:hAnsi="仿宋" w:eastAsia="仿宋" w:cs="仿宋"/>
          <w:b w:val="0"/>
          <w:bCs w:val="0"/>
          <w:sz w:val="32"/>
          <w:szCs w:val="32"/>
          <w:lang w:val="en-US" w:eastAsia="zh-CN"/>
        </w:rPr>
        <w:t>证明款项已从单位账户划出。</w:t>
      </w:r>
      <w:r>
        <w:rPr>
          <w:rFonts w:hint="eastAsia" w:ascii="仿宋" w:hAnsi="仿宋" w:eastAsia="仿宋" w:cs="仿宋"/>
          <w:b/>
          <w:bCs/>
          <w:sz w:val="32"/>
          <w:szCs w:val="32"/>
          <w:lang w:val="en-US" w:eastAsia="zh-CN"/>
        </w:rPr>
        <w:t>五是其他相关证明文件，</w:t>
      </w:r>
      <w:r>
        <w:rPr>
          <w:rFonts w:hint="eastAsia" w:ascii="仿宋" w:hAnsi="仿宋" w:eastAsia="仿宋" w:cs="仿宋"/>
          <w:b w:val="0"/>
          <w:bCs w:val="0"/>
          <w:sz w:val="32"/>
          <w:szCs w:val="32"/>
          <w:lang w:val="en-US" w:eastAsia="zh-CN"/>
        </w:rPr>
        <w:t>如人员名单、缴费基数确认表等。</w:t>
      </w:r>
    </w:p>
    <w:p w14:paraId="4F00D2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建议：一是及时补充缺失材料。</w:t>
      </w:r>
      <w:r>
        <w:rPr>
          <w:rFonts w:hint="eastAsia" w:ascii="仿宋" w:hAnsi="仿宋" w:eastAsia="仿宋" w:cs="仿宋"/>
          <w:b w:val="0"/>
          <w:bCs w:val="0"/>
          <w:sz w:val="32"/>
          <w:szCs w:val="32"/>
          <w:lang w:val="en-US" w:eastAsia="zh-CN"/>
        </w:rPr>
        <w:t>尽快收集并附上所有能证明该笔支付合法、合规、准确的原始凭证，包括但不限于缴费通知、内部审批单、银行付款回单等。</w:t>
      </w:r>
      <w:r>
        <w:rPr>
          <w:rFonts w:hint="eastAsia" w:ascii="仿宋" w:hAnsi="仿宋" w:eastAsia="仿宋" w:cs="仿宋"/>
          <w:b/>
          <w:bCs/>
          <w:sz w:val="32"/>
          <w:szCs w:val="32"/>
          <w:lang w:val="en-US" w:eastAsia="zh-CN"/>
        </w:rPr>
        <w:t>二是完善内部审批流程。</w:t>
      </w:r>
      <w:r>
        <w:rPr>
          <w:rFonts w:hint="eastAsia" w:ascii="仿宋" w:hAnsi="仿宋" w:eastAsia="仿宋" w:cs="仿宋"/>
          <w:b w:val="0"/>
          <w:bCs w:val="0"/>
          <w:sz w:val="32"/>
          <w:szCs w:val="32"/>
          <w:lang w:val="en-US" w:eastAsia="zh-CN"/>
        </w:rPr>
        <w:t>确保所有财政资金支付均经过完整的内部审批程序，并保留完整的审批记录。</w:t>
      </w:r>
      <w:r>
        <w:rPr>
          <w:rFonts w:hint="eastAsia" w:ascii="仿宋" w:hAnsi="仿宋" w:eastAsia="仿宋" w:cs="仿宋"/>
          <w:b/>
          <w:bCs/>
          <w:sz w:val="32"/>
          <w:szCs w:val="32"/>
          <w:lang w:val="en-US" w:eastAsia="zh-CN"/>
        </w:rPr>
        <w:t>三是加强凭证管理。</w:t>
      </w:r>
      <w:r>
        <w:rPr>
          <w:rFonts w:hint="eastAsia" w:ascii="仿宋" w:hAnsi="仿宋" w:eastAsia="仿宋" w:cs="仿宋"/>
          <w:b w:val="0"/>
          <w:bCs w:val="0"/>
          <w:sz w:val="32"/>
          <w:szCs w:val="32"/>
          <w:lang w:val="en-US" w:eastAsia="zh-CN"/>
        </w:rPr>
        <w:t>建立严格的凭证管理制度，确保每一笔支付均有齐全的附件，做到“一事一单，凭证齐全”。</w:t>
      </w:r>
      <w:r>
        <w:rPr>
          <w:rFonts w:hint="eastAsia" w:ascii="仿宋" w:hAnsi="仿宋" w:eastAsia="仿宋" w:cs="仿宋"/>
          <w:b/>
          <w:bCs/>
          <w:sz w:val="32"/>
          <w:szCs w:val="32"/>
          <w:lang w:val="en-US" w:eastAsia="zh-CN"/>
        </w:rPr>
        <w:t>四是进行内部培训。</w:t>
      </w:r>
      <w:r>
        <w:rPr>
          <w:rFonts w:hint="eastAsia" w:ascii="仿宋" w:hAnsi="仿宋" w:eastAsia="仿宋" w:cs="仿宋"/>
          <w:b w:val="0"/>
          <w:bCs w:val="0"/>
          <w:sz w:val="32"/>
          <w:szCs w:val="32"/>
          <w:lang w:val="en-US" w:eastAsia="zh-CN"/>
        </w:rPr>
        <w:t>对财务人员进行相关法规和制度的培训，提高其合规意识。</w:t>
      </w:r>
    </w:p>
    <w:p w14:paraId="72AC6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3.借调人员的过节费用由借调单位（非工资发放单位）直接发放，是不合规行为，易构成较高的财务风险和管理缺陷。详见2024年8月2号凭证，发放借调人员王雷0.05万元八一过节费。</w:t>
      </w:r>
    </w:p>
    <w:p w14:paraId="19820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上述违反了《预算法》及其实施条例中预算管理与支出合规性原则：</w:t>
      </w:r>
      <w:r>
        <w:rPr>
          <w:rFonts w:hint="eastAsia" w:ascii="仿宋" w:hAnsi="仿宋" w:eastAsia="仿宋" w:cs="仿宋"/>
          <w:b/>
          <w:bCs/>
          <w:sz w:val="32"/>
          <w:szCs w:val="32"/>
          <w:lang w:val="en-US" w:eastAsia="zh-CN"/>
        </w:rPr>
        <w:t>“无预算，不支出。”</w:t>
      </w:r>
      <w:r>
        <w:rPr>
          <w:rFonts w:hint="eastAsia" w:ascii="仿宋" w:hAnsi="仿宋" w:eastAsia="仿宋" w:cs="仿宋"/>
          <w:b w:val="0"/>
          <w:bCs w:val="0"/>
          <w:sz w:val="32"/>
          <w:szCs w:val="32"/>
          <w:lang w:val="en-US" w:eastAsia="zh-CN"/>
        </w:rPr>
        <w:t>政府的每一笔支出都必须有对应的、合法的预算科目作为依据。借调单位的“职工福利费”预算，是为本单位在编职工安排的。向非本单位人员发放福利，属于支出对象与预算用途不符，是严重的预算执行偏差。</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上述违反了人员与薪酬管理原则的</w:t>
      </w:r>
      <w:r>
        <w:rPr>
          <w:rFonts w:hint="eastAsia" w:ascii="仿宋" w:hAnsi="仿宋" w:eastAsia="仿宋" w:cs="仿宋"/>
          <w:b/>
          <w:bCs/>
          <w:sz w:val="32"/>
          <w:szCs w:val="32"/>
          <w:lang w:val="en-US" w:eastAsia="zh-CN"/>
        </w:rPr>
        <w:t>“劳动关系主体唯一性”</w:t>
      </w:r>
      <w:r>
        <w:rPr>
          <w:rFonts w:hint="eastAsia" w:ascii="仿宋" w:hAnsi="仿宋" w:eastAsia="仿宋" w:cs="仿宋"/>
          <w:b w:val="0"/>
          <w:bCs w:val="0"/>
          <w:sz w:val="32"/>
          <w:szCs w:val="32"/>
          <w:lang w:val="en-US" w:eastAsia="zh-CN"/>
        </w:rPr>
        <w:t>。借调人员的所有薪酬福利，其法律关系和责任主体始终是</w:t>
      </w:r>
      <w:r>
        <w:rPr>
          <w:rFonts w:hint="eastAsia" w:ascii="仿宋" w:hAnsi="仿宋" w:eastAsia="仿宋" w:cs="仿宋"/>
          <w:b/>
          <w:bCs/>
          <w:sz w:val="32"/>
          <w:szCs w:val="32"/>
          <w:lang w:val="en-US" w:eastAsia="zh-CN"/>
        </w:rPr>
        <w:t>编制所在单位。</w:t>
      </w:r>
      <w:r>
        <w:rPr>
          <w:rFonts w:hint="eastAsia" w:ascii="仿宋" w:hAnsi="仿宋" w:eastAsia="仿宋" w:cs="仿宋"/>
          <w:b w:val="0"/>
          <w:bCs w:val="0"/>
          <w:sz w:val="32"/>
          <w:szCs w:val="32"/>
          <w:lang w:val="en-US" w:eastAsia="zh-CN"/>
        </w:rPr>
        <w:t>这是保障管理秩序清晰的基础。由借调单位直接发放福利，混淆了管理责任，破坏了统一的薪酬福利政策。</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上述违反了《行政事业单位内部控制规范（试行）》中关于业务层面控制（包括预算业务、收支业务）的规定。存在</w:t>
      </w:r>
      <w:r>
        <w:rPr>
          <w:rFonts w:hint="eastAsia" w:ascii="仿宋" w:hAnsi="仿宋" w:eastAsia="仿宋" w:cs="仿宋"/>
          <w:b/>
          <w:bCs/>
          <w:sz w:val="32"/>
          <w:szCs w:val="32"/>
          <w:lang w:val="en-US" w:eastAsia="zh-CN"/>
        </w:rPr>
        <w:t>授权审批控制缺失。</w:t>
      </w:r>
      <w:r>
        <w:rPr>
          <w:rFonts w:hint="eastAsia" w:ascii="仿宋" w:hAnsi="仿宋" w:eastAsia="仿宋" w:cs="仿宋"/>
          <w:b w:val="0"/>
          <w:bCs w:val="0"/>
          <w:sz w:val="32"/>
          <w:szCs w:val="32"/>
          <w:lang w:val="en-US" w:eastAsia="zh-CN"/>
        </w:rPr>
        <w:t>单位内部控制的审批流程，是基于对本单位经济业务的监督。向外部人员发放款项，绕过了正常的控制节点，使得该笔支出的合理性、合规性失去了内部监督，容易形成“小金库”或滥发福利的漏洞。</w:t>
      </w:r>
    </w:p>
    <w:p w14:paraId="3B98C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从</w:t>
      </w:r>
      <w:r>
        <w:rPr>
          <w:rFonts w:hint="eastAsia" w:ascii="仿宋" w:hAnsi="仿宋" w:eastAsia="仿宋" w:cs="仿宋"/>
          <w:b/>
          <w:bCs/>
          <w:sz w:val="32"/>
          <w:szCs w:val="32"/>
          <w:lang w:val="en-US" w:eastAsia="zh-CN"/>
        </w:rPr>
        <w:t>及时纠正</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完善机制</w:t>
      </w:r>
      <w:r>
        <w:rPr>
          <w:rFonts w:hint="eastAsia" w:ascii="仿宋" w:hAnsi="仿宋" w:eastAsia="仿宋" w:cs="仿宋"/>
          <w:b w:val="0"/>
          <w:bCs w:val="0"/>
          <w:sz w:val="32"/>
          <w:szCs w:val="32"/>
          <w:lang w:val="en-US" w:eastAsia="zh-CN"/>
        </w:rPr>
        <w:t>两个层面着手提供充分的合规证据。</w:t>
      </w:r>
      <w:r>
        <w:rPr>
          <w:rFonts w:hint="eastAsia" w:ascii="仿宋" w:hAnsi="仿宋" w:eastAsia="仿宋" w:cs="仿宋"/>
          <w:b/>
          <w:bCs/>
          <w:sz w:val="32"/>
          <w:szCs w:val="32"/>
          <w:lang w:val="en-US" w:eastAsia="zh-CN"/>
        </w:rPr>
        <w:t>一是及时整改措施</w:t>
      </w:r>
      <w:r>
        <w:rPr>
          <w:rFonts w:hint="eastAsia" w:ascii="仿宋" w:hAnsi="仿宋" w:eastAsia="仿宋" w:cs="仿宋"/>
          <w:b w:val="0"/>
          <w:bCs w:val="0"/>
          <w:sz w:val="32"/>
          <w:szCs w:val="32"/>
          <w:lang w:val="en-US" w:eastAsia="zh-CN"/>
        </w:rPr>
        <w:t>（针对已发生或即将发生的业务）。停止由借调单位直接向借调人员发放任何形式的货币性或实物性福利（包括过节费）。</w:t>
      </w:r>
      <w:r>
        <w:rPr>
          <w:rFonts w:hint="eastAsia" w:ascii="仿宋" w:hAnsi="仿宋" w:eastAsia="仿宋" w:cs="仿宋"/>
          <w:b/>
          <w:bCs/>
          <w:sz w:val="32"/>
          <w:szCs w:val="32"/>
          <w:lang w:val="en-US" w:eastAsia="zh-CN"/>
        </w:rPr>
        <w:t>规范</w:t>
      </w:r>
      <w:r>
        <w:rPr>
          <w:rFonts w:hint="eastAsia" w:ascii="仿宋" w:hAnsi="仿宋" w:eastAsia="仿宋" w:cs="仿宋"/>
          <w:b w:val="0"/>
          <w:bCs w:val="0"/>
          <w:sz w:val="32"/>
          <w:szCs w:val="32"/>
          <w:lang w:val="en-US" w:eastAsia="zh-CN"/>
        </w:rPr>
        <w:t>发放主体，</w:t>
      </w:r>
      <w:r>
        <w:rPr>
          <w:rFonts w:hint="eastAsia" w:ascii="仿宋" w:hAnsi="仿宋" w:eastAsia="仿宋" w:cs="仿宋"/>
          <w:b/>
          <w:bCs/>
          <w:sz w:val="32"/>
          <w:szCs w:val="32"/>
          <w:lang w:val="en-US" w:eastAsia="zh-CN"/>
        </w:rPr>
        <w:t>明确</w:t>
      </w:r>
      <w:r>
        <w:rPr>
          <w:rFonts w:hint="eastAsia" w:ascii="仿宋" w:hAnsi="仿宋" w:eastAsia="仿宋" w:cs="仿宋"/>
          <w:b w:val="0"/>
          <w:bCs w:val="0"/>
          <w:sz w:val="32"/>
          <w:szCs w:val="32"/>
          <w:lang w:val="en-US" w:eastAsia="zh-CN"/>
        </w:rPr>
        <w:t>由编制所在单位作为唯一合法的发放主体。借调人员应与其他在岗人员一样，按本单位统一标准和规定，从本单位的“职工福利费”预算中列支过节费用。</w:t>
      </w:r>
      <w:r>
        <w:rPr>
          <w:rFonts w:hint="eastAsia" w:ascii="仿宋" w:hAnsi="仿宋" w:eastAsia="仿宋" w:cs="仿宋"/>
          <w:b/>
          <w:bCs/>
          <w:sz w:val="32"/>
          <w:szCs w:val="32"/>
          <w:lang w:val="en-US" w:eastAsia="zh-CN"/>
        </w:rPr>
        <w:t>二是建立长效机制</w:t>
      </w:r>
      <w:r>
        <w:rPr>
          <w:rFonts w:hint="eastAsia" w:ascii="仿宋" w:hAnsi="仿宋" w:eastAsia="仿宋" w:cs="仿宋"/>
          <w:b w:val="0"/>
          <w:bCs w:val="0"/>
          <w:sz w:val="32"/>
          <w:szCs w:val="32"/>
          <w:lang w:val="en-US" w:eastAsia="zh-CN"/>
        </w:rPr>
        <w:t>（从根本上解决问题）。A</w:t>
      </w:r>
      <w:r>
        <w:rPr>
          <w:rFonts w:hint="eastAsia" w:ascii="仿宋" w:hAnsi="仿宋" w:eastAsia="仿宋" w:cs="仿宋"/>
          <w:b/>
          <w:bCs/>
          <w:sz w:val="32"/>
          <w:szCs w:val="32"/>
          <w:lang w:val="en-US" w:eastAsia="zh-CN"/>
        </w:rPr>
        <w:t>完善《借调协议》，明确约定费用补偿机制。</w:t>
      </w:r>
      <w:r>
        <w:rPr>
          <w:rFonts w:hint="eastAsia" w:ascii="仿宋" w:hAnsi="仿宋" w:eastAsia="仿宋" w:cs="仿宋"/>
          <w:b w:val="0"/>
          <w:bCs w:val="0"/>
          <w:sz w:val="32"/>
          <w:szCs w:val="32"/>
          <w:lang w:val="en-US" w:eastAsia="zh-CN"/>
        </w:rPr>
        <w:t>如果确需由借调单位承担部分人工成本（包括工资、社保、福利等），应约定由借调单位以“人员借调补偿费”、“管理费”等名义，定期（如按季度或年度）向编制所在单位支付一笔统一的补偿资金。B</w:t>
      </w:r>
      <w:r>
        <w:rPr>
          <w:rFonts w:hint="eastAsia" w:ascii="仿宋" w:hAnsi="仿宋" w:eastAsia="仿宋" w:cs="仿宋"/>
          <w:b/>
          <w:bCs/>
          <w:sz w:val="32"/>
          <w:szCs w:val="32"/>
          <w:lang w:val="en-US" w:eastAsia="zh-CN"/>
        </w:rPr>
        <w:t>明确约定资金结算流程。</w:t>
      </w:r>
      <w:r>
        <w:rPr>
          <w:rFonts w:hint="eastAsia" w:ascii="仿宋" w:hAnsi="仿宋" w:eastAsia="仿宋" w:cs="仿宋"/>
          <w:b w:val="0"/>
          <w:bCs w:val="0"/>
          <w:sz w:val="32"/>
          <w:szCs w:val="32"/>
          <w:lang w:val="en-US" w:eastAsia="zh-CN"/>
        </w:rPr>
        <w:t>编制所在单位收到款项后，应作为“非财政收入”纳入本单位预算管理，然后从本单位预算中按规定向借调人员发放薪酬福利。双方单位凭协议和银行转账凭证进行账务处理。</w:t>
      </w:r>
      <w:r>
        <w:rPr>
          <w:rFonts w:hint="eastAsia" w:ascii="仿宋" w:hAnsi="仿宋" w:eastAsia="仿宋" w:cs="仿宋"/>
          <w:b/>
          <w:bCs/>
          <w:sz w:val="32"/>
          <w:szCs w:val="32"/>
          <w:lang w:val="en-US" w:eastAsia="zh-CN"/>
        </w:rPr>
        <w:t>C加强内部控制。</w:t>
      </w:r>
      <w:r>
        <w:rPr>
          <w:rFonts w:hint="eastAsia" w:ascii="仿宋" w:hAnsi="仿宋" w:eastAsia="仿宋" w:cs="仿宋"/>
          <w:b w:val="0"/>
          <w:bCs w:val="0"/>
          <w:sz w:val="32"/>
          <w:szCs w:val="32"/>
          <w:lang w:val="en-US" w:eastAsia="zh-CN"/>
        </w:rPr>
        <w:t>在财务制度中明确借调人员薪酬福利的发放流程和责任单位。将借调协议的审核与备案作为支付相关费用的前置程序。</w:t>
      </w:r>
    </w:p>
    <w:p w14:paraId="0BC26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4.发放人员经费性质的交通补贴缺乏人力资源或组织部门的审核盖章。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及时补办，对于已发放但缺少签章的补贴，应尽快联系人力资源或组织部门，对发放名单和金额进行事后审核与追认，并在发放表上补盖部门公章。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7F4CB30B">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2025年10月21日</w:t>
            </w:r>
          </w:p>
        </w:tc>
      </w:tr>
    </w:tbl>
    <w:p w14:paraId="3205A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eastAsia="zh-CN"/>
        </w:rPr>
      </w:pPr>
    </w:p>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2030"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2024年雁峰区红十字会整体支出绩效评价报告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BA8C33FD"/>
    <w:multiLevelType w:val="singleLevel"/>
    <w:tmpl w:val="BA8C33FD"/>
    <w:lvl w:ilvl="0" w:tentative="0">
      <w:start w:val="1"/>
      <w:numFmt w:val="decimal"/>
      <w:suff w:val="nothing"/>
      <w:lvlText w:val="（%1）"/>
      <w:lvlJc w:val="left"/>
    </w:lvl>
  </w:abstractNum>
  <w:abstractNum w:abstractNumId="4">
    <w:nsid w:val="C86B9F76"/>
    <w:multiLevelType w:val="singleLevel"/>
    <w:tmpl w:val="C86B9F76"/>
    <w:lvl w:ilvl="0" w:tentative="0">
      <w:start w:val="6"/>
      <w:numFmt w:val="chineseCounting"/>
      <w:suff w:val="nothing"/>
      <w:lvlText w:val="%1、"/>
      <w:lvlJc w:val="left"/>
      <w:rPr>
        <w:rFonts w:hint="eastAsia"/>
      </w:rPr>
    </w:lvl>
  </w:abstractNum>
  <w:abstractNum w:abstractNumId="5">
    <w:nsid w:val="D84C4568"/>
    <w:multiLevelType w:val="singleLevel"/>
    <w:tmpl w:val="D84C4568"/>
    <w:lvl w:ilvl="0" w:tentative="0">
      <w:start w:val="1"/>
      <w:numFmt w:val="chineseCounting"/>
      <w:suff w:val="nothing"/>
      <w:lvlText w:val="（%1）"/>
      <w:lvlJc w:val="left"/>
      <w:rPr>
        <w:rFonts w:hint="eastAsia"/>
      </w:rPr>
    </w:lvl>
  </w:abstractNum>
  <w:abstractNum w:abstractNumId="6">
    <w:nsid w:val="EBF7B6E1"/>
    <w:multiLevelType w:val="singleLevel"/>
    <w:tmpl w:val="EBF7B6E1"/>
    <w:lvl w:ilvl="0" w:tentative="0">
      <w:start w:val="1"/>
      <w:numFmt w:val="chineseCounting"/>
      <w:suff w:val="nothing"/>
      <w:lvlText w:val="（%1）"/>
      <w:lvlJc w:val="left"/>
      <w:rPr>
        <w:rFonts w:hint="eastAsia"/>
      </w:rPr>
    </w:lvl>
  </w:abstractNum>
  <w:abstractNum w:abstractNumId="7">
    <w:nsid w:val="5E7FED8E"/>
    <w:multiLevelType w:val="singleLevel"/>
    <w:tmpl w:val="5E7FED8E"/>
    <w:lvl w:ilvl="0" w:tentative="0">
      <w:start w:val="3"/>
      <w:numFmt w:val="decimal"/>
      <w:lvlText w:val="%1."/>
      <w:lvlJc w:val="left"/>
      <w:pPr>
        <w:tabs>
          <w:tab w:val="left" w:pos="312"/>
        </w:tabs>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6375D"/>
    <w:rsid w:val="004E616D"/>
    <w:rsid w:val="00543B5B"/>
    <w:rsid w:val="00AC7437"/>
    <w:rsid w:val="00CE50BF"/>
    <w:rsid w:val="00ED1E2A"/>
    <w:rsid w:val="00F114F5"/>
    <w:rsid w:val="00F22F9D"/>
    <w:rsid w:val="00F33C9B"/>
    <w:rsid w:val="00F96DAA"/>
    <w:rsid w:val="00FE0086"/>
    <w:rsid w:val="010D6479"/>
    <w:rsid w:val="011655D4"/>
    <w:rsid w:val="01211959"/>
    <w:rsid w:val="014F34AC"/>
    <w:rsid w:val="01967D5E"/>
    <w:rsid w:val="019755DD"/>
    <w:rsid w:val="019D115B"/>
    <w:rsid w:val="019F1377"/>
    <w:rsid w:val="01CB7507"/>
    <w:rsid w:val="01D846CD"/>
    <w:rsid w:val="021E5540"/>
    <w:rsid w:val="023A109F"/>
    <w:rsid w:val="023F2351"/>
    <w:rsid w:val="024C492F"/>
    <w:rsid w:val="025739FF"/>
    <w:rsid w:val="0263637C"/>
    <w:rsid w:val="02811C50"/>
    <w:rsid w:val="028D5673"/>
    <w:rsid w:val="029D18A6"/>
    <w:rsid w:val="02A1111E"/>
    <w:rsid w:val="02AE478C"/>
    <w:rsid w:val="02B50726"/>
    <w:rsid w:val="02B726F0"/>
    <w:rsid w:val="02BA21E0"/>
    <w:rsid w:val="02C443E7"/>
    <w:rsid w:val="02F94384"/>
    <w:rsid w:val="03103BAE"/>
    <w:rsid w:val="031713E0"/>
    <w:rsid w:val="031D6EFB"/>
    <w:rsid w:val="03267F2A"/>
    <w:rsid w:val="03295034"/>
    <w:rsid w:val="03303491"/>
    <w:rsid w:val="034A1211"/>
    <w:rsid w:val="03754F19"/>
    <w:rsid w:val="03764359"/>
    <w:rsid w:val="03773C2D"/>
    <w:rsid w:val="0391431A"/>
    <w:rsid w:val="03A3304A"/>
    <w:rsid w:val="03A47774"/>
    <w:rsid w:val="03A5079A"/>
    <w:rsid w:val="03C3438E"/>
    <w:rsid w:val="03C47923"/>
    <w:rsid w:val="03CE545F"/>
    <w:rsid w:val="03D25723"/>
    <w:rsid w:val="03E64831"/>
    <w:rsid w:val="04160862"/>
    <w:rsid w:val="04220309"/>
    <w:rsid w:val="04245B63"/>
    <w:rsid w:val="042E3A1F"/>
    <w:rsid w:val="043229AE"/>
    <w:rsid w:val="043E5100"/>
    <w:rsid w:val="04421B33"/>
    <w:rsid w:val="04460AFF"/>
    <w:rsid w:val="047C774D"/>
    <w:rsid w:val="047F1C73"/>
    <w:rsid w:val="04986613"/>
    <w:rsid w:val="04B70785"/>
    <w:rsid w:val="04C133B2"/>
    <w:rsid w:val="04C6380B"/>
    <w:rsid w:val="04CD774D"/>
    <w:rsid w:val="05353DA0"/>
    <w:rsid w:val="053B68BC"/>
    <w:rsid w:val="053D4CA2"/>
    <w:rsid w:val="0571031E"/>
    <w:rsid w:val="057714C1"/>
    <w:rsid w:val="05791A70"/>
    <w:rsid w:val="058C131C"/>
    <w:rsid w:val="058C1C12"/>
    <w:rsid w:val="059E7B97"/>
    <w:rsid w:val="05A11BAC"/>
    <w:rsid w:val="05A50F26"/>
    <w:rsid w:val="05BA0D70"/>
    <w:rsid w:val="05DB66F5"/>
    <w:rsid w:val="05E0766C"/>
    <w:rsid w:val="05F45A09"/>
    <w:rsid w:val="05FA2A1A"/>
    <w:rsid w:val="05FF0279"/>
    <w:rsid w:val="06093E43"/>
    <w:rsid w:val="060B6AB0"/>
    <w:rsid w:val="06106186"/>
    <w:rsid w:val="061B656D"/>
    <w:rsid w:val="06222576"/>
    <w:rsid w:val="062865D7"/>
    <w:rsid w:val="06322AAB"/>
    <w:rsid w:val="06341813"/>
    <w:rsid w:val="06345BBB"/>
    <w:rsid w:val="064514DA"/>
    <w:rsid w:val="064A35D0"/>
    <w:rsid w:val="065D6663"/>
    <w:rsid w:val="0660046B"/>
    <w:rsid w:val="067369FB"/>
    <w:rsid w:val="06875F36"/>
    <w:rsid w:val="068D0A84"/>
    <w:rsid w:val="069112CA"/>
    <w:rsid w:val="06930D7E"/>
    <w:rsid w:val="06C57799"/>
    <w:rsid w:val="06C92D5A"/>
    <w:rsid w:val="06CC0578"/>
    <w:rsid w:val="06D86978"/>
    <w:rsid w:val="06DF5D71"/>
    <w:rsid w:val="070337A4"/>
    <w:rsid w:val="07097643"/>
    <w:rsid w:val="07143785"/>
    <w:rsid w:val="071E67C4"/>
    <w:rsid w:val="072639A0"/>
    <w:rsid w:val="073F4A62"/>
    <w:rsid w:val="074D53D1"/>
    <w:rsid w:val="0756191C"/>
    <w:rsid w:val="076A180B"/>
    <w:rsid w:val="076C47A9"/>
    <w:rsid w:val="078D3874"/>
    <w:rsid w:val="079468F0"/>
    <w:rsid w:val="079B120C"/>
    <w:rsid w:val="07A7684E"/>
    <w:rsid w:val="07AC013B"/>
    <w:rsid w:val="07BA10F5"/>
    <w:rsid w:val="07BB67DE"/>
    <w:rsid w:val="07D06867"/>
    <w:rsid w:val="07D442F0"/>
    <w:rsid w:val="07E00C9C"/>
    <w:rsid w:val="07E22674"/>
    <w:rsid w:val="07ED2710"/>
    <w:rsid w:val="07F9321E"/>
    <w:rsid w:val="07FF1CDD"/>
    <w:rsid w:val="083E11BD"/>
    <w:rsid w:val="084542FA"/>
    <w:rsid w:val="085B544F"/>
    <w:rsid w:val="086A6018"/>
    <w:rsid w:val="08C8551C"/>
    <w:rsid w:val="091E489D"/>
    <w:rsid w:val="09322AD0"/>
    <w:rsid w:val="0949606C"/>
    <w:rsid w:val="096B15C8"/>
    <w:rsid w:val="097F0956"/>
    <w:rsid w:val="098026A7"/>
    <w:rsid w:val="098244A7"/>
    <w:rsid w:val="099A08B5"/>
    <w:rsid w:val="09A5179F"/>
    <w:rsid w:val="09B90AFC"/>
    <w:rsid w:val="09BF1E8A"/>
    <w:rsid w:val="09D70DA6"/>
    <w:rsid w:val="0A0F3905"/>
    <w:rsid w:val="0A355EA0"/>
    <w:rsid w:val="0A3D472E"/>
    <w:rsid w:val="0A5F7F8F"/>
    <w:rsid w:val="0A653918"/>
    <w:rsid w:val="0A8777EC"/>
    <w:rsid w:val="0A891C20"/>
    <w:rsid w:val="0AA364AD"/>
    <w:rsid w:val="0AAC0F25"/>
    <w:rsid w:val="0ABB08A3"/>
    <w:rsid w:val="0ADF27E4"/>
    <w:rsid w:val="0B1A34E5"/>
    <w:rsid w:val="0B42710B"/>
    <w:rsid w:val="0B553428"/>
    <w:rsid w:val="0B6131F9"/>
    <w:rsid w:val="0B7E1DF4"/>
    <w:rsid w:val="0BC419DA"/>
    <w:rsid w:val="0BD452F2"/>
    <w:rsid w:val="0BE45812"/>
    <w:rsid w:val="0BE71C3D"/>
    <w:rsid w:val="0C254F7A"/>
    <w:rsid w:val="0C5556CA"/>
    <w:rsid w:val="0C5965C6"/>
    <w:rsid w:val="0C925AC4"/>
    <w:rsid w:val="0CAC044E"/>
    <w:rsid w:val="0CAF0502"/>
    <w:rsid w:val="0CB841CC"/>
    <w:rsid w:val="0CBC3E25"/>
    <w:rsid w:val="0CC06645"/>
    <w:rsid w:val="0CC852E6"/>
    <w:rsid w:val="0CCF6888"/>
    <w:rsid w:val="0CDB0A03"/>
    <w:rsid w:val="0CE25880"/>
    <w:rsid w:val="0CE5798A"/>
    <w:rsid w:val="0CF462EF"/>
    <w:rsid w:val="0D0201EA"/>
    <w:rsid w:val="0D02609B"/>
    <w:rsid w:val="0D0332A3"/>
    <w:rsid w:val="0D81478E"/>
    <w:rsid w:val="0D862FC8"/>
    <w:rsid w:val="0D8A2FED"/>
    <w:rsid w:val="0D940C01"/>
    <w:rsid w:val="0D9E6986"/>
    <w:rsid w:val="0DA4187D"/>
    <w:rsid w:val="0DAB4CA3"/>
    <w:rsid w:val="0DBB7938"/>
    <w:rsid w:val="0DC01F09"/>
    <w:rsid w:val="0DC24E06"/>
    <w:rsid w:val="0DCA29A0"/>
    <w:rsid w:val="0DD208F0"/>
    <w:rsid w:val="0DDC7AB4"/>
    <w:rsid w:val="0DE73F9D"/>
    <w:rsid w:val="0E0E0ABB"/>
    <w:rsid w:val="0E156855"/>
    <w:rsid w:val="0E180AFA"/>
    <w:rsid w:val="0E434CA2"/>
    <w:rsid w:val="0E90419B"/>
    <w:rsid w:val="0EAA7A46"/>
    <w:rsid w:val="0EB151DA"/>
    <w:rsid w:val="0EBA1FBA"/>
    <w:rsid w:val="0EBD5965"/>
    <w:rsid w:val="0EC40B28"/>
    <w:rsid w:val="0EE30765"/>
    <w:rsid w:val="0EE875CA"/>
    <w:rsid w:val="0EEF3211"/>
    <w:rsid w:val="0F033BBE"/>
    <w:rsid w:val="0F0B71C2"/>
    <w:rsid w:val="0F16254C"/>
    <w:rsid w:val="0F2904D1"/>
    <w:rsid w:val="0F2E527C"/>
    <w:rsid w:val="0F333973"/>
    <w:rsid w:val="0F36499C"/>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6612B1"/>
    <w:rsid w:val="107069BA"/>
    <w:rsid w:val="10762B40"/>
    <w:rsid w:val="1099323E"/>
    <w:rsid w:val="109B53FF"/>
    <w:rsid w:val="10AA3894"/>
    <w:rsid w:val="10AD4E1F"/>
    <w:rsid w:val="10C8771B"/>
    <w:rsid w:val="10F770B9"/>
    <w:rsid w:val="10F9096F"/>
    <w:rsid w:val="11045EE1"/>
    <w:rsid w:val="110C12EC"/>
    <w:rsid w:val="110C3D60"/>
    <w:rsid w:val="1127580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B783C"/>
    <w:rsid w:val="12266F4A"/>
    <w:rsid w:val="122E4051"/>
    <w:rsid w:val="1246013E"/>
    <w:rsid w:val="125A4E46"/>
    <w:rsid w:val="125B775D"/>
    <w:rsid w:val="12656690"/>
    <w:rsid w:val="126F08F1"/>
    <w:rsid w:val="12712954"/>
    <w:rsid w:val="12843C71"/>
    <w:rsid w:val="12872C68"/>
    <w:rsid w:val="1288550F"/>
    <w:rsid w:val="129C457B"/>
    <w:rsid w:val="12A01767"/>
    <w:rsid w:val="12A41E2E"/>
    <w:rsid w:val="12C5502F"/>
    <w:rsid w:val="12CE0BB5"/>
    <w:rsid w:val="12D47F8E"/>
    <w:rsid w:val="12EF1689"/>
    <w:rsid w:val="130A1D43"/>
    <w:rsid w:val="1311486C"/>
    <w:rsid w:val="13134ACB"/>
    <w:rsid w:val="13257202"/>
    <w:rsid w:val="133308DE"/>
    <w:rsid w:val="13367661"/>
    <w:rsid w:val="133B6A25"/>
    <w:rsid w:val="133E24DD"/>
    <w:rsid w:val="133E63BF"/>
    <w:rsid w:val="135E5661"/>
    <w:rsid w:val="13853604"/>
    <w:rsid w:val="139F4E30"/>
    <w:rsid w:val="139F5206"/>
    <w:rsid w:val="13AC7923"/>
    <w:rsid w:val="140275A9"/>
    <w:rsid w:val="140C37B9"/>
    <w:rsid w:val="14182A2A"/>
    <w:rsid w:val="141F1EA3"/>
    <w:rsid w:val="142E6F34"/>
    <w:rsid w:val="143F0CC5"/>
    <w:rsid w:val="145558C5"/>
    <w:rsid w:val="145E6E6F"/>
    <w:rsid w:val="14897C91"/>
    <w:rsid w:val="148A2C9A"/>
    <w:rsid w:val="148C75C2"/>
    <w:rsid w:val="14AB450A"/>
    <w:rsid w:val="14BA1BA8"/>
    <w:rsid w:val="14BC1DE8"/>
    <w:rsid w:val="14BF2D3F"/>
    <w:rsid w:val="14C21E3B"/>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2093B"/>
    <w:rsid w:val="158703BA"/>
    <w:rsid w:val="15894CE1"/>
    <w:rsid w:val="158E5532"/>
    <w:rsid w:val="158F3058"/>
    <w:rsid w:val="159D39C7"/>
    <w:rsid w:val="15CB1E48"/>
    <w:rsid w:val="15F66544"/>
    <w:rsid w:val="160C46A9"/>
    <w:rsid w:val="16296B24"/>
    <w:rsid w:val="162E461F"/>
    <w:rsid w:val="16314110"/>
    <w:rsid w:val="163C4C29"/>
    <w:rsid w:val="16465E0D"/>
    <w:rsid w:val="164E6A70"/>
    <w:rsid w:val="165764A9"/>
    <w:rsid w:val="165A3F0C"/>
    <w:rsid w:val="165D428C"/>
    <w:rsid w:val="16827510"/>
    <w:rsid w:val="16931292"/>
    <w:rsid w:val="169C0F78"/>
    <w:rsid w:val="16BB3429"/>
    <w:rsid w:val="16D725CF"/>
    <w:rsid w:val="16E573D4"/>
    <w:rsid w:val="16EF70D4"/>
    <w:rsid w:val="16F13FCB"/>
    <w:rsid w:val="16F97785"/>
    <w:rsid w:val="1700420E"/>
    <w:rsid w:val="170D5CC4"/>
    <w:rsid w:val="17215F32"/>
    <w:rsid w:val="172D2B29"/>
    <w:rsid w:val="175761FF"/>
    <w:rsid w:val="175A569D"/>
    <w:rsid w:val="177C42CE"/>
    <w:rsid w:val="17956A47"/>
    <w:rsid w:val="17B62B1E"/>
    <w:rsid w:val="17C52AFB"/>
    <w:rsid w:val="17CC0594"/>
    <w:rsid w:val="17EC02EE"/>
    <w:rsid w:val="17FB2C27"/>
    <w:rsid w:val="18185587"/>
    <w:rsid w:val="1862727E"/>
    <w:rsid w:val="18930AC2"/>
    <w:rsid w:val="18B232E6"/>
    <w:rsid w:val="18B31317"/>
    <w:rsid w:val="18CA2B7F"/>
    <w:rsid w:val="18D05E62"/>
    <w:rsid w:val="18D33CA4"/>
    <w:rsid w:val="19000E9A"/>
    <w:rsid w:val="19103042"/>
    <w:rsid w:val="19173A91"/>
    <w:rsid w:val="192166BD"/>
    <w:rsid w:val="192E3215"/>
    <w:rsid w:val="193F3921"/>
    <w:rsid w:val="196A3BC0"/>
    <w:rsid w:val="196B6713"/>
    <w:rsid w:val="196C5B8A"/>
    <w:rsid w:val="19831DCC"/>
    <w:rsid w:val="198A065A"/>
    <w:rsid w:val="199B6790"/>
    <w:rsid w:val="19A364CF"/>
    <w:rsid w:val="19B4308D"/>
    <w:rsid w:val="19C31523"/>
    <w:rsid w:val="19C33487"/>
    <w:rsid w:val="19DA2BE1"/>
    <w:rsid w:val="19E05346"/>
    <w:rsid w:val="19FD105D"/>
    <w:rsid w:val="1A02204B"/>
    <w:rsid w:val="1A0C111B"/>
    <w:rsid w:val="1A1136AE"/>
    <w:rsid w:val="1A1520AE"/>
    <w:rsid w:val="1A275223"/>
    <w:rsid w:val="1A2771D6"/>
    <w:rsid w:val="1A331C30"/>
    <w:rsid w:val="1A336C1E"/>
    <w:rsid w:val="1A367F46"/>
    <w:rsid w:val="1A4E5A90"/>
    <w:rsid w:val="1A570B02"/>
    <w:rsid w:val="1A5C123E"/>
    <w:rsid w:val="1A607DD7"/>
    <w:rsid w:val="1A6D284D"/>
    <w:rsid w:val="1A8667BD"/>
    <w:rsid w:val="1A8B200C"/>
    <w:rsid w:val="1A956CF1"/>
    <w:rsid w:val="1A9E31DD"/>
    <w:rsid w:val="1A9E44A3"/>
    <w:rsid w:val="1AA141FF"/>
    <w:rsid w:val="1AA17AB6"/>
    <w:rsid w:val="1AA42D85"/>
    <w:rsid w:val="1AAC69B5"/>
    <w:rsid w:val="1AAE7B07"/>
    <w:rsid w:val="1AAF7C6D"/>
    <w:rsid w:val="1AC436A6"/>
    <w:rsid w:val="1ACC581E"/>
    <w:rsid w:val="1AD3193F"/>
    <w:rsid w:val="1AD627EF"/>
    <w:rsid w:val="1AE479A2"/>
    <w:rsid w:val="1AF5570C"/>
    <w:rsid w:val="1AFA6A9C"/>
    <w:rsid w:val="1AFD2812"/>
    <w:rsid w:val="1B131612"/>
    <w:rsid w:val="1B707488"/>
    <w:rsid w:val="1B7A0AA9"/>
    <w:rsid w:val="1B8F4A8D"/>
    <w:rsid w:val="1BAA299A"/>
    <w:rsid w:val="1BAD2058"/>
    <w:rsid w:val="1BB65A6F"/>
    <w:rsid w:val="1BE83F4F"/>
    <w:rsid w:val="1C0302FC"/>
    <w:rsid w:val="1C142509"/>
    <w:rsid w:val="1C1F6B10"/>
    <w:rsid w:val="1C221F2A"/>
    <w:rsid w:val="1C2344FA"/>
    <w:rsid w:val="1C286643"/>
    <w:rsid w:val="1C292C5A"/>
    <w:rsid w:val="1C69492B"/>
    <w:rsid w:val="1C7B644A"/>
    <w:rsid w:val="1C7F10E3"/>
    <w:rsid w:val="1C837694"/>
    <w:rsid w:val="1C9F39A1"/>
    <w:rsid w:val="1C9F475A"/>
    <w:rsid w:val="1CAC44F0"/>
    <w:rsid w:val="1CCD27DE"/>
    <w:rsid w:val="1CD25DDB"/>
    <w:rsid w:val="1CDD0B4D"/>
    <w:rsid w:val="1CE855C9"/>
    <w:rsid w:val="1CE974F2"/>
    <w:rsid w:val="1D061B33"/>
    <w:rsid w:val="1D0924B1"/>
    <w:rsid w:val="1D0E3F3B"/>
    <w:rsid w:val="1D3A5FA0"/>
    <w:rsid w:val="1D444728"/>
    <w:rsid w:val="1D4A3A19"/>
    <w:rsid w:val="1D4A5B59"/>
    <w:rsid w:val="1D50131F"/>
    <w:rsid w:val="1D6645D6"/>
    <w:rsid w:val="1D7023BC"/>
    <w:rsid w:val="1D845CE8"/>
    <w:rsid w:val="1D89551A"/>
    <w:rsid w:val="1D8B67FB"/>
    <w:rsid w:val="1DA23326"/>
    <w:rsid w:val="1DAB37E2"/>
    <w:rsid w:val="1DBB1717"/>
    <w:rsid w:val="1DCB2F5B"/>
    <w:rsid w:val="1E0565AE"/>
    <w:rsid w:val="1E1124CF"/>
    <w:rsid w:val="1E1C5753"/>
    <w:rsid w:val="1E1E31CB"/>
    <w:rsid w:val="1E221057"/>
    <w:rsid w:val="1E23318F"/>
    <w:rsid w:val="1E3F1E9B"/>
    <w:rsid w:val="1E450758"/>
    <w:rsid w:val="1E4918BD"/>
    <w:rsid w:val="1E5D5BA1"/>
    <w:rsid w:val="1E606CD7"/>
    <w:rsid w:val="1E635A1F"/>
    <w:rsid w:val="1E783EF3"/>
    <w:rsid w:val="1E82375A"/>
    <w:rsid w:val="1E8528CF"/>
    <w:rsid w:val="1E8A0C48"/>
    <w:rsid w:val="1E903CEC"/>
    <w:rsid w:val="1E91399D"/>
    <w:rsid w:val="1E957931"/>
    <w:rsid w:val="1ECE699F"/>
    <w:rsid w:val="1ECE79DD"/>
    <w:rsid w:val="1EE77A61"/>
    <w:rsid w:val="1EFD2393"/>
    <w:rsid w:val="1F110314"/>
    <w:rsid w:val="1F2C36C6"/>
    <w:rsid w:val="1F2E64B0"/>
    <w:rsid w:val="1F3360E0"/>
    <w:rsid w:val="1F38206B"/>
    <w:rsid w:val="1F3B1407"/>
    <w:rsid w:val="1F5C21FD"/>
    <w:rsid w:val="1F6F3700"/>
    <w:rsid w:val="1F78274B"/>
    <w:rsid w:val="1F7D3F22"/>
    <w:rsid w:val="1F937D4E"/>
    <w:rsid w:val="1FC72E8E"/>
    <w:rsid w:val="1FD03E69"/>
    <w:rsid w:val="1FD06EA3"/>
    <w:rsid w:val="1FEE56C8"/>
    <w:rsid w:val="1FF74D8F"/>
    <w:rsid w:val="2011123A"/>
    <w:rsid w:val="20142AD8"/>
    <w:rsid w:val="202B4E35"/>
    <w:rsid w:val="2043516B"/>
    <w:rsid w:val="204F1D62"/>
    <w:rsid w:val="204F50E3"/>
    <w:rsid w:val="20740615"/>
    <w:rsid w:val="208C3A33"/>
    <w:rsid w:val="20B028B9"/>
    <w:rsid w:val="20B82C45"/>
    <w:rsid w:val="20B83463"/>
    <w:rsid w:val="20CC30EE"/>
    <w:rsid w:val="20D47DCE"/>
    <w:rsid w:val="20D51E07"/>
    <w:rsid w:val="20D9164A"/>
    <w:rsid w:val="20DA5073"/>
    <w:rsid w:val="20E22BD6"/>
    <w:rsid w:val="20F36B91"/>
    <w:rsid w:val="20F82C6C"/>
    <w:rsid w:val="20FA0A99"/>
    <w:rsid w:val="2107361C"/>
    <w:rsid w:val="210E6EDF"/>
    <w:rsid w:val="211B1C44"/>
    <w:rsid w:val="211C60E8"/>
    <w:rsid w:val="212925B3"/>
    <w:rsid w:val="212A1E87"/>
    <w:rsid w:val="212E1977"/>
    <w:rsid w:val="213673FE"/>
    <w:rsid w:val="214E5B76"/>
    <w:rsid w:val="215B0293"/>
    <w:rsid w:val="21676E41"/>
    <w:rsid w:val="216D0BA0"/>
    <w:rsid w:val="217537B9"/>
    <w:rsid w:val="2188552B"/>
    <w:rsid w:val="219E4D4F"/>
    <w:rsid w:val="21A13B19"/>
    <w:rsid w:val="21AF0D0A"/>
    <w:rsid w:val="21CC6CC6"/>
    <w:rsid w:val="21D0786F"/>
    <w:rsid w:val="21EC1864"/>
    <w:rsid w:val="21EF3EC7"/>
    <w:rsid w:val="21FF50C2"/>
    <w:rsid w:val="220041D9"/>
    <w:rsid w:val="220B3CA8"/>
    <w:rsid w:val="22123047"/>
    <w:rsid w:val="22361059"/>
    <w:rsid w:val="2238523E"/>
    <w:rsid w:val="22435553"/>
    <w:rsid w:val="227D2BB6"/>
    <w:rsid w:val="22A53EBB"/>
    <w:rsid w:val="22B57049"/>
    <w:rsid w:val="230633CA"/>
    <w:rsid w:val="230F0CBA"/>
    <w:rsid w:val="23163D80"/>
    <w:rsid w:val="231D7E1D"/>
    <w:rsid w:val="232667AF"/>
    <w:rsid w:val="23494ECF"/>
    <w:rsid w:val="234E4979"/>
    <w:rsid w:val="23542AC1"/>
    <w:rsid w:val="236203FB"/>
    <w:rsid w:val="23645B24"/>
    <w:rsid w:val="237613B4"/>
    <w:rsid w:val="238910E7"/>
    <w:rsid w:val="239A1546"/>
    <w:rsid w:val="23D039F6"/>
    <w:rsid w:val="23D20CE0"/>
    <w:rsid w:val="23DB4530"/>
    <w:rsid w:val="23EB7FF4"/>
    <w:rsid w:val="23F43032"/>
    <w:rsid w:val="23FA133C"/>
    <w:rsid w:val="240B5FA0"/>
    <w:rsid w:val="24100849"/>
    <w:rsid w:val="24116CB2"/>
    <w:rsid w:val="24122984"/>
    <w:rsid w:val="242F6132"/>
    <w:rsid w:val="24336E73"/>
    <w:rsid w:val="243B6690"/>
    <w:rsid w:val="244C4E24"/>
    <w:rsid w:val="24635A19"/>
    <w:rsid w:val="2480073C"/>
    <w:rsid w:val="24850BE6"/>
    <w:rsid w:val="24B16B47"/>
    <w:rsid w:val="24D25EE9"/>
    <w:rsid w:val="24D32F62"/>
    <w:rsid w:val="24D61CD0"/>
    <w:rsid w:val="24DC16EA"/>
    <w:rsid w:val="250467D9"/>
    <w:rsid w:val="250A44A9"/>
    <w:rsid w:val="250A5253"/>
    <w:rsid w:val="251D3FC0"/>
    <w:rsid w:val="25254322"/>
    <w:rsid w:val="253B0B07"/>
    <w:rsid w:val="253D2630"/>
    <w:rsid w:val="25467197"/>
    <w:rsid w:val="254774AC"/>
    <w:rsid w:val="2563762C"/>
    <w:rsid w:val="257007B0"/>
    <w:rsid w:val="257D2ECD"/>
    <w:rsid w:val="25821466"/>
    <w:rsid w:val="25A6572B"/>
    <w:rsid w:val="25AE3087"/>
    <w:rsid w:val="25BC6855"/>
    <w:rsid w:val="25C52C92"/>
    <w:rsid w:val="25EC2454"/>
    <w:rsid w:val="25EE5B79"/>
    <w:rsid w:val="261E6BA2"/>
    <w:rsid w:val="26385E8A"/>
    <w:rsid w:val="26607A60"/>
    <w:rsid w:val="266D4CF0"/>
    <w:rsid w:val="26773DC1"/>
    <w:rsid w:val="268931AA"/>
    <w:rsid w:val="269F41B3"/>
    <w:rsid w:val="26C443E1"/>
    <w:rsid w:val="26CD1C32"/>
    <w:rsid w:val="26D0702D"/>
    <w:rsid w:val="26DD00C8"/>
    <w:rsid w:val="26DF742E"/>
    <w:rsid w:val="270A253F"/>
    <w:rsid w:val="270C4FC5"/>
    <w:rsid w:val="27127645"/>
    <w:rsid w:val="272301A4"/>
    <w:rsid w:val="27244E5A"/>
    <w:rsid w:val="273121F9"/>
    <w:rsid w:val="27354EC1"/>
    <w:rsid w:val="273B34AE"/>
    <w:rsid w:val="2755492F"/>
    <w:rsid w:val="276F5D75"/>
    <w:rsid w:val="276F6846"/>
    <w:rsid w:val="278D3D61"/>
    <w:rsid w:val="2791112C"/>
    <w:rsid w:val="279679E3"/>
    <w:rsid w:val="27BD1CA7"/>
    <w:rsid w:val="27C313CD"/>
    <w:rsid w:val="27DB6949"/>
    <w:rsid w:val="27DD762A"/>
    <w:rsid w:val="27ED7B74"/>
    <w:rsid w:val="27FB46DA"/>
    <w:rsid w:val="283D6944"/>
    <w:rsid w:val="28427C92"/>
    <w:rsid w:val="284F17D4"/>
    <w:rsid w:val="28575047"/>
    <w:rsid w:val="288307FB"/>
    <w:rsid w:val="288376B0"/>
    <w:rsid w:val="288E20B9"/>
    <w:rsid w:val="28E61013"/>
    <w:rsid w:val="28F12CF2"/>
    <w:rsid w:val="28F827CB"/>
    <w:rsid w:val="28F90ABD"/>
    <w:rsid w:val="29143B49"/>
    <w:rsid w:val="292B0388"/>
    <w:rsid w:val="292E2EDE"/>
    <w:rsid w:val="293F5790"/>
    <w:rsid w:val="29512576"/>
    <w:rsid w:val="29514455"/>
    <w:rsid w:val="296070AC"/>
    <w:rsid w:val="29696464"/>
    <w:rsid w:val="297445E7"/>
    <w:rsid w:val="297F67EF"/>
    <w:rsid w:val="298C36DF"/>
    <w:rsid w:val="299010C2"/>
    <w:rsid w:val="29997556"/>
    <w:rsid w:val="29CC761E"/>
    <w:rsid w:val="29DE0E87"/>
    <w:rsid w:val="29E05449"/>
    <w:rsid w:val="29EE3795"/>
    <w:rsid w:val="29F13DA9"/>
    <w:rsid w:val="2A056A4F"/>
    <w:rsid w:val="2A502FEB"/>
    <w:rsid w:val="2A596352"/>
    <w:rsid w:val="2AB71864"/>
    <w:rsid w:val="2ABA427C"/>
    <w:rsid w:val="2AD551AF"/>
    <w:rsid w:val="2AD9612A"/>
    <w:rsid w:val="2AE24705"/>
    <w:rsid w:val="2AF23A16"/>
    <w:rsid w:val="2AF91248"/>
    <w:rsid w:val="2B081734"/>
    <w:rsid w:val="2B09317D"/>
    <w:rsid w:val="2B116592"/>
    <w:rsid w:val="2B181536"/>
    <w:rsid w:val="2B2C6BA2"/>
    <w:rsid w:val="2B3D4992"/>
    <w:rsid w:val="2B3D7387"/>
    <w:rsid w:val="2B5B15BB"/>
    <w:rsid w:val="2B764647"/>
    <w:rsid w:val="2B830CED"/>
    <w:rsid w:val="2B842DE8"/>
    <w:rsid w:val="2B8815F9"/>
    <w:rsid w:val="2B8F1669"/>
    <w:rsid w:val="2B960AC3"/>
    <w:rsid w:val="2B9C3BC7"/>
    <w:rsid w:val="2BA75E7D"/>
    <w:rsid w:val="2BAE2033"/>
    <w:rsid w:val="2BBD4024"/>
    <w:rsid w:val="2BCA6741"/>
    <w:rsid w:val="2BDD1F05"/>
    <w:rsid w:val="2BDF043E"/>
    <w:rsid w:val="2BF2383B"/>
    <w:rsid w:val="2C091017"/>
    <w:rsid w:val="2C181352"/>
    <w:rsid w:val="2C210A56"/>
    <w:rsid w:val="2C22657D"/>
    <w:rsid w:val="2C2E0D4E"/>
    <w:rsid w:val="2C31056E"/>
    <w:rsid w:val="2C493B09"/>
    <w:rsid w:val="2C5A7AC4"/>
    <w:rsid w:val="2C66290D"/>
    <w:rsid w:val="2C703257"/>
    <w:rsid w:val="2C797E8C"/>
    <w:rsid w:val="2C895EB5"/>
    <w:rsid w:val="2C981092"/>
    <w:rsid w:val="2C9D3A89"/>
    <w:rsid w:val="2CB2345D"/>
    <w:rsid w:val="2CB92402"/>
    <w:rsid w:val="2CEC5E40"/>
    <w:rsid w:val="2D0B6A5D"/>
    <w:rsid w:val="2D123224"/>
    <w:rsid w:val="2D2D1B91"/>
    <w:rsid w:val="2D4C0AA8"/>
    <w:rsid w:val="2D560DCD"/>
    <w:rsid w:val="2D8A7EAC"/>
    <w:rsid w:val="2DA326E8"/>
    <w:rsid w:val="2DBB27E5"/>
    <w:rsid w:val="2DC1265E"/>
    <w:rsid w:val="2DCC46A5"/>
    <w:rsid w:val="2DEA3ADD"/>
    <w:rsid w:val="2DEC6E42"/>
    <w:rsid w:val="2E060D0E"/>
    <w:rsid w:val="2E0C4DEE"/>
    <w:rsid w:val="2E1562CD"/>
    <w:rsid w:val="2E230AA6"/>
    <w:rsid w:val="2E262354"/>
    <w:rsid w:val="2E2843FB"/>
    <w:rsid w:val="2E294772"/>
    <w:rsid w:val="2E2E799A"/>
    <w:rsid w:val="2E336C50"/>
    <w:rsid w:val="2E400F3C"/>
    <w:rsid w:val="2E5B0E2E"/>
    <w:rsid w:val="2E6279C6"/>
    <w:rsid w:val="2E635A59"/>
    <w:rsid w:val="2E9F1D78"/>
    <w:rsid w:val="2EAA5F11"/>
    <w:rsid w:val="2EB72AA3"/>
    <w:rsid w:val="2ECB4CA9"/>
    <w:rsid w:val="2EE45D6B"/>
    <w:rsid w:val="2EFE507F"/>
    <w:rsid w:val="2F1C5505"/>
    <w:rsid w:val="2F3B0811"/>
    <w:rsid w:val="2F594288"/>
    <w:rsid w:val="2F6110DD"/>
    <w:rsid w:val="2F6856D6"/>
    <w:rsid w:val="2F987F32"/>
    <w:rsid w:val="2FAD5F0B"/>
    <w:rsid w:val="2FB120F1"/>
    <w:rsid w:val="2FBE78D3"/>
    <w:rsid w:val="2FC736C3"/>
    <w:rsid w:val="2FDB0F1C"/>
    <w:rsid w:val="2FE74BAE"/>
    <w:rsid w:val="2FF540FA"/>
    <w:rsid w:val="2FF54C06"/>
    <w:rsid w:val="2FFE2E5D"/>
    <w:rsid w:val="30003A4C"/>
    <w:rsid w:val="30030473"/>
    <w:rsid w:val="30147BBD"/>
    <w:rsid w:val="301B7CA8"/>
    <w:rsid w:val="30466CDD"/>
    <w:rsid w:val="305731A1"/>
    <w:rsid w:val="306F0A59"/>
    <w:rsid w:val="3082680F"/>
    <w:rsid w:val="309243C0"/>
    <w:rsid w:val="309E140D"/>
    <w:rsid w:val="30A457B2"/>
    <w:rsid w:val="30AD45FE"/>
    <w:rsid w:val="30B52A83"/>
    <w:rsid w:val="30C40919"/>
    <w:rsid w:val="30C9346B"/>
    <w:rsid w:val="30C95EA8"/>
    <w:rsid w:val="30E7256B"/>
    <w:rsid w:val="31012C04"/>
    <w:rsid w:val="310E70CF"/>
    <w:rsid w:val="31327262"/>
    <w:rsid w:val="31375948"/>
    <w:rsid w:val="313F4FFA"/>
    <w:rsid w:val="314760EE"/>
    <w:rsid w:val="315076E8"/>
    <w:rsid w:val="315A745C"/>
    <w:rsid w:val="31634B42"/>
    <w:rsid w:val="319A665C"/>
    <w:rsid w:val="31A72A29"/>
    <w:rsid w:val="31AD2471"/>
    <w:rsid w:val="31AD7BE9"/>
    <w:rsid w:val="31D50D66"/>
    <w:rsid w:val="31DA4405"/>
    <w:rsid w:val="31DB16A7"/>
    <w:rsid w:val="31F2450F"/>
    <w:rsid w:val="32087FC3"/>
    <w:rsid w:val="32186458"/>
    <w:rsid w:val="321E77E6"/>
    <w:rsid w:val="321F3CD8"/>
    <w:rsid w:val="32236288"/>
    <w:rsid w:val="3260443B"/>
    <w:rsid w:val="32672F3B"/>
    <w:rsid w:val="32676A97"/>
    <w:rsid w:val="327A1535"/>
    <w:rsid w:val="327F76D8"/>
    <w:rsid w:val="32851613"/>
    <w:rsid w:val="3288246C"/>
    <w:rsid w:val="32926B0B"/>
    <w:rsid w:val="32A63A63"/>
    <w:rsid w:val="32A95302"/>
    <w:rsid w:val="32AF0265"/>
    <w:rsid w:val="32D47F84"/>
    <w:rsid w:val="32D87995"/>
    <w:rsid w:val="32D92CDB"/>
    <w:rsid w:val="32DB1C5F"/>
    <w:rsid w:val="32EA681C"/>
    <w:rsid w:val="32EC5C70"/>
    <w:rsid w:val="32EE1841"/>
    <w:rsid w:val="32FF4F22"/>
    <w:rsid w:val="33014A95"/>
    <w:rsid w:val="33022C64"/>
    <w:rsid w:val="33095DA0"/>
    <w:rsid w:val="331A61FF"/>
    <w:rsid w:val="332B3F69"/>
    <w:rsid w:val="332C69B5"/>
    <w:rsid w:val="3341340F"/>
    <w:rsid w:val="33460345"/>
    <w:rsid w:val="33514C1C"/>
    <w:rsid w:val="33580FD6"/>
    <w:rsid w:val="335C57D6"/>
    <w:rsid w:val="33812D41"/>
    <w:rsid w:val="33941B0E"/>
    <w:rsid w:val="33B51A84"/>
    <w:rsid w:val="33C61EE3"/>
    <w:rsid w:val="33CC5059"/>
    <w:rsid w:val="33E915F3"/>
    <w:rsid w:val="33F14E3F"/>
    <w:rsid w:val="33F43719"/>
    <w:rsid w:val="33FE6037"/>
    <w:rsid w:val="34002C60"/>
    <w:rsid w:val="343017E0"/>
    <w:rsid w:val="344057F2"/>
    <w:rsid w:val="34470F4D"/>
    <w:rsid w:val="344D7F0F"/>
    <w:rsid w:val="3458039D"/>
    <w:rsid w:val="34593FB8"/>
    <w:rsid w:val="34757B91"/>
    <w:rsid w:val="34790259"/>
    <w:rsid w:val="347D07F4"/>
    <w:rsid w:val="347E1FD2"/>
    <w:rsid w:val="34833825"/>
    <w:rsid w:val="348558FB"/>
    <w:rsid w:val="34AE2A73"/>
    <w:rsid w:val="34BD32E6"/>
    <w:rsid w:val="34C40D15"/>
    <w:rsid w:val="34CD748C"/>
    <w:rsid w:val="34DB5183"/>
    <w:rsid w:val="34E24AFB"/>
    <w:rsid w:val="350902DA"/>
    <w:rsid w:val="35132F06"/>
    <w:rsid w:val="35144DC0"/>
    <w:rsid w:val="3518051D"/>
    <w:rsid w:val="352132DA"/>
    <w:rsid w:val="35707279"/>
    <w:rsid w:val="3578720D"/>
    <w:rsid w:val="357D4824"/>
    <w:rsid w:val="358160C2"/>
    <w:rsid w:val="35A27F45"/>
    <w:rsid w:val="35AD1CD3"/>
    <w:rsid w:val="35AF0108"/>
    <w:rsid w:val="35D346B8"/>
    <w:rsid w:val="35F13CF7"/>
    <w:rsid w:val="36120683"/>
    <w:rsid w:val="361909F0"/>
    <w:rsid w:val="36294A38"/>
    <w:rsid w:val="362A49AB"/>
    <w:rsid w:val="36326BC5"/>
    <w:rsid w:val="36402219"/>
    <w:rsid w:val="36407D2B"/>
    <w:rsid w:val="3649562D"/>
    <w:rsid w:val="36631BE4"/>
    <w:rsid w:val="36747A1D"/>
    <w:rsid w:val="36792EB9"/>
    <w:rsid w:val="367D0F7F"/>
    <w:rsid w:val="368A5F83"/>
    <w:rsid w:val="368D6C58"/>
    <w:rsid w:val="36D64360"/>
    <w:rsid w:val="36E515F1"/>
    <w:rsid w:val="36E82F71"/>
    <w:rsid w:val="36E903C3"/>
    <w:rsid w:val="370C7B03"/>
    <w:rsid w:val="37167CC5"/>
    <w:rsid w:val="37214898"/>
    <w:rsid w:val="37255FFD"/>
    <w:rsid w:val="37323B03"/>
    <w:rsid w:val="374019EB"/>
    <w:rsid w:val="3747333B"/>
    <w:rsid w:val="374A4436"/>
    <w:rsid w:val="374A6F7B"/>
    <w:rsid w:val="374C6AA7"/>
    <w:rsid w:val="375430B6"/>
    <w:rsid w:val="379540A7"/>
    <w:rsid w:val="37A662B4"/>
    <w:rsid w:val="37AC319E"/>
    <w:rsid w:val="37C96CE5"/>
    <w:rsid w:val="37CA566B"/>
    <w:rsid w:val="37D2672A"/>
    <w:rsid w:val="37D3697D"/>
    <w:rsid w:val="37E82428"/>
    <w:rsid w:val="37E87724"/>
    <w:rsid w:val="37FA50C2"/>
    <w:rsid w:val="380803DD"/>
    <w:rsid w:val="380D40C9"/>
    <w:rsid w:val="380E46BF"/>
    <w:rsid w:val="38170F5F"/>
    <w:rsid w:val="38313807"/>
    <w:rsid w:val="383832E4"/>
    <w:rsid w:val="38412DA1"/>
    <w:rsid w:val="384A512D"/>
    <w:rsid w:val="3853724F"/>
    <w:rsid w:val="386341A5"/>
    <w:rsid w:val="387A2D4D"/>
    <w:rsid w:val="389A08FE"/>
    <w:rsid w:val="38A241A6"/>
    <w:rsid w:val="38A528A2"/>
    <w:rsid w:val="38B14F10"/>
    <w:rsid w:val="38D4441C"/>
    <w:rsid w:val="38E52E0C"/>
    <w:rsid w:val="38FA30DF"/>
    <w:rsid w:val="39046EC4"/>
    <w:rsid w:val="390908A8"/>
    <w:rsid w:val="391060DB"/>
    <w:rsid w:val="391B25BA"/>
    <w:rsid w:val="393B2A2C"/>
    <w:rsid w:val="39462F2A"/>
    <w:rsid w:val="394F0285"/>
    <w:rsid w:val="39564958"/>
    <w:rsid w:val="395A201B"/>
    <w:rsid w:val="395D6E46"/>
    <w:rsid w:val="396C150B"/>
    <w:rsid w:val="39730417"/>
    <w:rsid w:val="399D7242"/>
    <w:rsid w:val="39A15CD6"/>
    <w:rsid w:val="39B17496"/>
    <w:rsid w:val="39B506F2"/>
    <w:rsid w:val="39C66799"/>
    <w:rsid w:val="3A234D7B"/>
    <w:rsid w:val="3A3A1AE8"/>
    <w:rsid w:val="3A4A73CA"/>
    <w:rsid w:val="3A667F7C"/>
    <w:rsid w:val="3A726921"/>
    <w:rsid w:val="3A7D53E1"/>
    <w:rsid w:val="3A8E29D3"/>
    <w:rsid w:val="3A9E3272"/>
    <w:rsid w:val="3AA50161"/>
    <w:rsid w:val="3AC0143A"/>
    <w:rsid w:val="3AD249E7"/>
    <w:rsid w:val="3AE11DE1"/>
    <w:rsid w:val="3AE16E49"/>
    <w:rsid w:val="3AFA0DF0"/>
    <w:rsid w:val="3B0F5F1E"/>
    <w:rsid w:val="3B217306"/>
    <w:rsid w:val="3B293484"/>
    <w:rsid w:val="3B433CCB"/>
    <w:rsid w:val="3B4A3779"/>
    <w:rsid w:val="3B5953EB"/>
    <w:rsid w:val="3B7874E6"/>
    <w:rsid w:val="3B7B4311"/>
    <w:rsid w:val="3B92543E"/>
    <w:rsid w:val="3B997AE8"/>
    <w:rsid w:val="3B9D79CE"/>
    <w:rsid w:val="3BAB20EB"/>
    <w:rsid w:val="3BAC1821"/>
    <w:rsid w:val="3BAC5E63"/>
    <w:rsid w:val="3BAC628D"/>
    <w:rsid w:val="3BC60A9D"/>
    <w:rsid w:val="3BD81646"/>
    <w:rsid w:val="3BE81FCD"/>
    <w:rsid w:val="3BEE28FF"/>
    <w:rsid w:val="3BFC64A2"/>
    <w:rsid w:val="3C0B0DDB"/>
    <w:rsid w:val="3C4877ED"/>
    <w:rsid w:val="3C547B47"/>
    <w:rsid w:val="3C5A58BF"/>
    <w:rsid w:val="3C5B37E7"/>
    <w:rsid w:val="3C6127A9"/>
    <w:rsid w:val="3C636171"/>
    <w:rsid w:val="3C664263"/>
    <w:rsid w:val="3C706B34"/>
    <w:rsid w:val="3C8674DF"/>
    <w:rsid w:val="3C911248"/>
    <w:rsid w:val="3CA479E0"/>
    <w:rsid w:val="3CD147A4"/>
    <w:rsid w:val="3CD66855"/>
    <w:rsid w:val="3CDA6FAE"/>
    <w:rsid w:val="3CDF60CE"/>
    <w:rsid w:val="3CF93E6F"/>
    <w:rsid w:val="3D0329CE"/>
    <w:rsid w:val="3D3A30E3"/>
    <w:rsid w:val="3D424389"/>
    <w:rsid w:val="3D504798"/>
    <w:rsid w:val="3D5E3B4D"/>
    <w:rsid w:val="3D63018E"/>
    <w:rsid w:val="3D6407A3"/>
    <w:rsid w:val="3DAE5EC2"/>
    <w:rsid w:val="3DB95AEB"/>
    <w:rsid w:val="3DBC024A"/>
    <w:rsid w:val="3DCF659A"/>
    <w:rsid w:val="3DD96D0B"/>
    <w:rsid w:val="3DEC0798"/>
    <w:rsid w:val="3DEC564C"/>
    <w:rsid w:val="3DEE5BAB"/>
    <w:rsid w:val="3DFD4AF1"/>
    <w:rsid w:val="3E276F6E"/>
    <w:rsid w:val="3E636451"/>
    <w:rsid w:val="3E6F5651"/>
    <w:rsid w:val="3E8D3D29"/>
    <w:rsid w:val="3E95498C"/>
    <w:rsid w:val="3EBA2645"/>
    <w:rsid w:val="3ED63527"/>
    <w:rsid w:val="3ED67B55"/>
    <w:rsid w:val="3EE70C7C"/>
    <w:rsid w:val="3EEF6C51"/>
    <w:rsid w:val="3F057D64"/>
    <w:rsid w:val="3F075CC4"/>
    <w:rsid w:val="3F21712E"/>
    <w:rsid w:val="3F275F2C"/>
    <w:rsid w:val="3F285DF0"/>
    <w:rsid w:val="3F2C29E1"/>
    <w:rsid w:val="3F384C10"/>
    <w:rsid w:val="3F5A28C3"/>
    <w:rsid w:val="3FA4757D"/>
    <w:rsid w:val="3FB43DF9"/>
    <w:rsid w:val="3FD3204B"/>
    <w:rsid w:val="3FF51B86"/>
    <w:rsid w:val="3FFD6C8D"/>
    <w:rsid w:val="40193A36"/>
    <w:rsid w:val="40204729"/>
    <w:rsid w:val="404011A2"/>
    <w:rsid w:val="40402FA6"/>
    <w:rsid w:val="40584539"/>
    <w:rsid w:val="405D1A2A"/>
    <w:rsid w:val="40612D9E"/>
    <w:rsid w:val="40782251"/>
    <w:rsid w:val="40A23968"/>
    <w:rsid w:val="40BA4B7E"/>
    <w:rsid w:val="40C55EA8"/>
    <w:rsid w:val="40C61775"/>
    <w:rsid w:val="40CF687B"/>
    <w:rsid w:val="40DB5F4C"/>
    <w:rsid w:val="40E972DF"/>
    <w:rsid w:val="40ED136E"/>
    <w:rsid w:val="40F24F08"/>
    <w:rsid w:val="411E6EBB"/>
    <w:rsid w:val="41250249"/>
    <w:rsid w:val="412D5718"/>
    <w:rsid w:val="41480E16"/>
    <w:rsid w:val="414B08D8"/>
    <w:rsid w:val="414C2E08"/>
    <w:rsid w:val="414F3F68"/>
    <w:rsid w:val="41582082"/>
    <w:rsid w:val="41872CB2"/>
    <w:rsid w:val="41874A60"/>
    <w:rsid w:val="41BA6D64"/>
    <w:rsid w:val="41BE544A"/>
    <w:rsid w:val="41C4132E"/>
    <w:rsid w:val="41D35EF7"/>
    <w:rsid w:val="41DA7286"/>
    <w:rsid w:val="42063A3A"/>
    <w:rsid w:val="4214405D"/>
    <w:rsid w:val="42171D70"/>
    <w:rsid w:val="42183589"/>
    <w:rsid w:val="42341E97"/>
    <w:rsid w:val="42376E3B"/>
    <w:rsid w:val="42613503"/>
    <w:rsid w:val="427721CF"/>
    <w:rsid w:val="428627B5"/>
    <w:rsid w:val="429A0F55"/>
    <w:rsid w:val="42A31D6D"/>
    <w:rsid w:val="42B20202"/>
    <w:rsid w:val="42BB7663"/>
    <w:rsid w:val="42C700D1"/>
    <w:rsid w:val="42F779C3"/>
    <w:rsid w:val="430D368B"/>
    <w:rsid w:val="431E02ED"/>
    <w:rsid w:val="433E55F2"/>
    <w:rsid w:val="4355293C"/>
    <w:rsid w:val="43827BD5"/>
    <w:rsid w:val="438356FB"/>
    <w:rsid w:val="438374A9"/>
    <w:rsid w:val="43994DD7"/>
    <w:rsid w:val="439B2D87"/>
    <w:rsid w:val="43AC3ED1"/>
    <w:rsid w:val="43BE41CB"/>
    <w:rsid w:val="43F202D8"/>
    <w:rsid w:val="43F45BD0"/>
    <w:rsid w:val="43FB478E"/>
    <w:rsid w:val="43FC6D22"/>
    <w:rsid w:val="440873F8"/>
    <w:rsid w:val="4411001F"/>
    <w:rsid w:val="44301B45"/>
    <w:rsid w:val="443C78D0"/>
    <w:rsid w:val="443F3F3E"/>
    <w:rsid w:val="44555450"/>
    <w:rsid w:val="445D7297"/>
    <w:rsid w:val="446A1915"/>
    <w:rsid w:val="449C1238"/>
    <w:rsid w:val="449F0024"/>
    <w:rsid w:val="44A1052F"/>
    <w:rsid w:val="44B10EA1"/>
    <w:rsid w:val="44B53FC2"/>
    <w:rsid w:val="44B546FA"/>
    <w:rsid w:val="44BF2CE3"/>
    <w:rsid w:val="44D83825"/>
    <w:rsid w:val="44E14D9A"/>
    <w:rsid w:val="44E16B7D"/>
    <w:rsid w:val="44EC452F"/>
    <w:rsid w:val="44FC597B"/>
    <w:rsid w:val="451707F1"/>
    <w:rsid w:val="451A1577"/>
    <w:rsid w:val="452901CE"/>
    <w:rsid w:val="453E08E3"/>
    <w:rsid w:val="456078ED"/>
    <w:rsid w:val="456F753C"/>
    <w:rsid w:val="45AA3413"/>
    <w:rsid w:val="45C30031"/>
    <w:rsid w:val="45D43FEC"/>
    <w:rsid w:val="45D60368"/>
    <w:rsid w:val="45F11042"/>
    <w:rsid w:val="46001285"/>
    <w:rsid w:val="46050649"/>
    <w:rsid w:val="462211FB"/>
    <w:rsid w:val="462417D4"/>
    <w:rsid w:val="463A4797"/>
    <w:rsid w:val="463C5F52"/>
    <w:rsid w:val="46431172"/>
    <w:rsid w:val="464521E7"/>
    <w:rsid w:val="46455732"/>
    <w:rsid w:val="46495120"/>
    <w:rsid w:val="466B19C4"/>
    <w:rsid w:val="467D4684"/>
    <w:rsid w:val="46AB281B"/>
    <w:rsid w:val="46B67B95"/>
    <w:rsid w:val="46C97C75"/>
    <w:rsid w:val="46D00C57"/>
    <w:rsid w:val="46D6477E"/>
    <w:rsid w:val="46E94D27"/>
    <w:rsid w:val="46EF27ED"/>
    <w:rsid w:val="46EF355C"/>
    <w:rsid w:val="471274C2"/>
    <w:rsid w:val="472657A6"/>
    <w:rsid w:val="473F3908"/>
    <w:rsid w:val="47406A95"/>
    <w:rsid w:val="474C71FC"/>
    <w:rsid w:val="474D6260"/>
    <w:rsid w:val="4754581B"/>
    <w:rsid w:val="47625A6E"/>
    <w:rsid w:val="4779309D"/>
    <w:rsid w:val="477F442B"/>
    <w:rsid w:val="478A7058"/>
    <w:rsid w:val="47925F0D"/>
    <w:rsid w:val="47963FF7"/>
    <w:rsid w:val="47A3636C"/>
    <w:rsid w:val="47A85096"/>
    <w:rsid w:val="47AD0D2F"/>
    <w:rsid w:val="47AF44AD"/>
    <w:rsid w:val="47AF4D11"/>
    <w:rsid w:val="47CD0DEC"/>
    <w:rsid w:val="47CD5197"/>
    <w:rsid w:val="47D112E0"/>
    <w:rsid w:val="47F00E85"/>
    <w:rsid w:val="48041AAC"/>
    <w:rsid w:val="480D3A23"/>
    <w:rsid w:val="483A0C1F"/>
    <w:rsid w:val="4846741F"/>
    <w:rsid w:val="484D0086"/>
    <w:rsid w:val="484E4529"/>
    <w:rsid w:val="485C55E7"/>
    <w:rsid w:val="485C7379"/>
    <w:rsid w:val="48954542"/>
    <w:rsid w:val="48AB372A"/>
    <w:rsid w:val="48B06F92"/>
    <w:rsid w:val="48DA7B6B"/>
    <w:rsid w:val="49175151"/>
    <w:rsid w:val="492872E4"/>
    <w:rsid w:val="493A64EB"/>
    <w:rsid w:val="4941669C"/>
    <w:rsid w:val="494B6C4D"/>
    <w:rsid w:val="496C2214"/>
    <w:rsid w:val="496D5E51"/>
    <w:rsid w:val="496D7ED3"/>
    <w:rsid w:val="49861160"/>
    <w:rsid w:val="49883A05"/>
    <w:rsid w:val="49933A5A"/>
    <w:rsid w:val="49B74940"/>
    <w:rsid w:val="49C03205"/>
    <w:rsid w:val="49C2084A"/>
    <w:rsid w:val="49C660D4"/>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CC7988"/>
    <w:rsid w:val="4AD877C8"/>
    <w:rsid w:val="4AE271AB"/>
    <w:rsid w:val="4AEA67B3"/>
    <w:rsid w:val="4B2E0642"/>
    <w:rsid w:val="4B4900AE"/>
    <w:rsid w:val="4B6021EA"/>
    <w:rsid w:val="4B6B0F4E"/>
    <w:rsid w:val="4B6F679E"/>
    <w:rsid w:val="4B83273C"/>
    <w:rsid w:val="4BB5666E"/>
    <w:rsid w:val="4BEB6533"/>
    <w:rsid w:val="4C0263CE"/>
    <w:rsid w:val="4C2555A1"/>
    <w:rsid w:val="4C266086"/>
    <w:rsid w:val="4C3618DB"/>
    <w:rsid w:val="4C4F0AB3"/>
    <w:rsid w:val="4C531C47"/>
    <w:rsid w:val="4C586FC6"/>
    <w:rsid w:val="4C5D0796"/>
    <w:rsid w:val="4C6360FE"/>
    <w:rsid w:val="4C72455F"/>
    <w:rsid w:val="4C793B3F"/>
    <w:rsid w:val="4C8E75EA"/>
    <w:rsid w:val="4C9C194B"/>
    <w:rsid w:val="4CC15AE1"/>
    <w:rsid w:val="4CC35BEB"/>
    <w:rsid w:val="4CCF60BD"/>
    <w:rsid w:val="4CD02929"/>
    <w:rsid w:val="4CD370C7"/>
    <w:rsid w:val="4CDE5035"/>
    <w:rsid w:val="4CE41265"/>
    <w:rsid w:val="4D103667"/>
    <w:rsid w:val="4D185106"/>
    <w:rsid w:val="4D1A59F9"/>
    <w:rsid w:val="4D363E53"/>
    <w:rsid w:val="4D3701CB"/>
    <w:rsid w:val="4D386DDA"/>
    <w:rsid w:val="4D4B7AFC"/>
    <w:rsid w:val="4D715F84"/>
    <w:rsid w:val="4D9229C5"/>
    <w:rsid w:val="4D953FDE"/>
    <w:rsid w:val="4D9C7AE5"/>
    <w:rsid w:val="4D9E1AAF"/>
    <w:rsid w:val="4DA501AA"/>
    <w:rsid w:val="4DAA3EA7"/>
    <w:rsid w:val="4DB51455"/>
    <w:rsid w:val="4DC62FE4"/>
    <w:rsid w:val="4DED4BFE"/>
    <w:rsid w:val="4DEE61D1"/>
    <w:rsid w:val="4E0005F3"/>
    <w:rsid w:val="4E0E6509"/>
    <w:rsid w:val="4E186966"/>
    <w:rsid w:val="4E3F2CAA"/>
    <w:rsid w:val="4E4854B2"/>
    <w:rsid w:val="4E5263F6"/>
    <w:rsid w:val="4E6951D8"/>
    <w:rsid w:val="4E78439B"/>
    <w:rsid w:val="4E7B1363"/>
    <w:rsid w:val="4E8A3DE2"/>
    <w:rsid w:val="4ED65CB0"/>
    <w:rsid w:val="4EE84443"/>
    <w:rsid w:val="4F0352F3"/>
    <w:rsid w:val="4F135B85"/>
    <w:rsid w:val="4F2D30F6"/>
    <w:rsid w:val="4F3F2683"/>
    <w:rsid w:val="4F58517B"/>
    <w:rsid w:val="4F5E5D57"/>
    <w:rsid w:val="4F5F526E"/>
    <w:rsid w:val="4F664600"/>
    <w:rsid w:val="4F6C109F"/>
    <w:rsid w:val="4F7A20A8"/>
    <w:rsid w:val="4F846A83"/>
    <w:rsid w:val="4F8847C5"/>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657D3"/>
    <w:rsid w:val="51EA1F0C"/>
    <w:rsid w:val="51FB798D"/>
    <w:rsid w:val="51FC4FF6"/>
    <w:rsid w:val="520B6FE7"/>
    <w:rsid w:val="522B58DB"/>
    <w:rsid w:val="52477F24"/>
    <w:rsid w:val="524B7D2C"/>
    <w:rsid w:val="52501DAB"/>
    <w:rsid w:val="5256651E"/>
    <w:rsid w:val="526B23B2"/>
    <w:rsid w:val="52730B44"/>
    <w:rsid w:val="52733A71"/>
    <w:rsid w:val="5277467D"/>
    <w:rsid w:val="529C0587"/>
    <w:rsid w:val="52A5743C"/>
    <w:rsid w:val="52AE4870"/>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C61AC"/>
    <w:rsid w:val="53764934"/>
    <w:rsid w:val="537979E1"/>
    <w:rsid w:val="53861A20"/>
    <w:rsid w:val="53BD18F1"/>
    <w:rsid w:val="53D8114B"/>
    <w:rsid w:val="53E04DBD"/>
    <w:rsid w:val="53EF674A"/>
    <w:rsid w:val="53F669EB"/>
    <w:rsid w:val="54041F40"/>
    <w:rsid w:val="5420228D"/>
    <w:rsid w:val="54322F51"/>
    <w:rsid w:val="543D1818"/>
    <w:rsid w:val="544B3EE9"/>
    <w:rsid w:val="546538BA"/>
    <w:rsid w:val="5468108F"/>
    <w:rsid w:val="54756AF5"/>
    <w:rsid w:val="5483555B"/>
    <w:rsid w:val="548A4B3B"/>
    <w:rsid w:val="548B71EB"/>
    <w:rsid w:val="549A6186"/>
    <w:rsid w:val="549F69EF"/>
    <w:rsid w:val="54E0475B"/>
    <w:rsid w:val="54EA6C0E"/>
    <w:rsid w:val="5503044A"/>
    <w:rsid w:val="55201C9C"/>
    <w:rsid w:val="5523208A"/>
    <w:rsid w:val="552F56E3"/>
    <w:rsid w:val="5549554B"/>
    <w:rsid w:val="554D1A31"/>
    <w:rsid w:val="55782BA3"/>
    <w:rsid w:val="5592206E"/>
    <w:rsid w:val="55A27C63"/>
    <w:rsid w:val="55BB0D24"/>
    <w:rsid w:val="55C776C9"/>
    <w:rsid w:val="55DB2EFA"/>
    <w:rsid w:val="55DD6540"/>
    <w:rsid w:val="55EB238D"/>
    <w:rsid w:val="55F87E98"/>
    <w:rsid w:val="56085F32"/>
    <w:rsid w:val="561B1CE0"/>
    <w:rsid w:val="562B4FD7"/>
    <w:rsid w:val="563A7E9B"/>
    <w:rsid w:val="56725887"/>
    <w:rsid w:val="568B419B"/>
    <w:rsid w:val="569752EE"/>
    <w:rsid w:val="569F23F4"/>
    <w:rsid w:val="56AA5F28"/>
    <w:rsid w:val="56B506F1"/>
    <w:rsid w:val="56B7303F"/>
    <w:rsid w:val="56B934B6"/>
    <w:rsid w:val="56D02B61"/>
    <w:rsid w:val="56D71B8E"/>
    <w:rsid w:val="56DF6C95"/>
    <w:rsid w:val="57165E73"/>
    <w:rsid w:val="57305C46"/>
    <w:rsid w:val="57394A4D"/>
    <w:rsid w:val="57547004"/>
    <w:rsid w:val="575C2093"/>
    <w:rsid w:val="57631EDC"/>
    <w:rsid w:val="576F0018"/>
    <w:rsid w:val="5774562F"/>
    <w:rsid w:val="579857A6"/>
    <w:rsid w:val="579F74A6"/>
    <w:rsid w:val="57A36349"/>
    <w:rsid w:val="57AC4DC9"/>
    <w:rsid w:val="57B44CCE"/>
    <w:rsid w:val="57C71C02"/>
    <w:rsid w:val="57E74DAE"/>
    <w:rsid w:val="58187D01"/>
    <w:rsid w:val="584315C4"/>
    <w:rsid w:val="586E207E"/>
    <w:rsid w:val="586E3461"/>
    <w:rsid w:val="586E7274"/>
    <w:rsid w:val="588A02D8"/>
    <w:rsid w:val="589D0BB5"/>
    <w:rsid w:val="58C12EE1"/>
    <w:rsid w:val="58DA784C"/>
    <w:rsid w:val="58DE5456"/>
    <w:rsid w:val="591744C4"/>
    <w:rsid w:val="594204CF"/>
    <w:rsid w:val="594A2AEB"/>
    <w:rsid w:val="5951357A"/>
    <w:rsid w:val="59544BDF"/>
    <w:rsid w:val="597B2CA5"/>
    <w:rsid w:val="59854011"/>
    <w:rsid w:val="599223FD"/>
    <w:rsid w:val="59941601"/>
    <w:rsid w:val="59965D30"/>
    <w:rsid w:val="59A117BD"/>
    <w:rsid w:val="59B03041"/>
    <w:rsid w:val="59BA45FA"/>
    <w:rsid w:val="59C33F06"/>
    <w:rsid w:val="59C962AE"/>
    <w:rsid w:val="59D625D1"/>
    <w:rsid w:val="5A0738B3"/>
    <w:rsid w:val="5A126AC9"/>
    <w:rsid w:val="5A20479B"/>
    <w:rsid w:val="5A47527D"/>
    <w:rsid w:val="5A594B8D"/>
    <w:rsid w:val="5A7B0A82"/>
    <w:rsid w:val="5A8E36CC"/>
    <w:rsid w:val="5AAC3332"/>
    <w:rsid w:val="5ABF5916"/>
    <w:rsid w:val="5AC3781F"/>
    <w:rsid w:val="5AD71A00"/>
    <w:rsid w:val="5B1B1714"/>
    <w:rsid w:val="5B242EC8"/>
    <w:rsid w:val="5B280C0A"/>
    <w:rsid w:val="5B3E6680"/>
    <w:rsid w:val="5B413A7A"/>
    <w:rsid w:val="5B4325A2"/>
    <w:rsid w:val="5B4672E2"/>
    <w:rsid w:val="5B4E481E"/>
    <w:rsid w:val="5B601CC1"/>
    <w:rsid w:val="5B813346"/>
    <w:rsid w:val="5B871DD5"/>
    <w:rsid w:val="5BA265DE"/>
    <w:rsid w:val="5BA46CE2"/>
    <w:rsid w:val="5BCE7981"/>
    <w:rsid w:val="5BD41136"/>
    <w:rsid w:val="5BD54692"/>
    <w:rsid w:val="5BD92F2A"/>
    <w:rsid w:val="5BE32D83"/>
    <w:rsid w:val="5BEA4FCD"/>
    <w:rsid w:val="5BEC1C38"/>
    <w:rsid w:val="5BF84A80"/>
    <w:rsid w:val="5BFA4B6A"/>
    <w:rsid w:val="5C003935"/>
    <w:rsid w:val="5C043425"/>
    <w:rsid w:val="5C124BEB"/>
    <w:rsid w:val="5C1F498A"/>
    <w:rsid w:val="5C25339C"/>
    <w:rsid w:val="5C4B3416"/>
    <w:rsid w:val="5C4D0F4D"/>
    <w:rsid w:val="5C4F21C6"/>
    <w:rsid w:val="5C504241"/>
    <w:rsid w:val="5C6550CC"/>
    <w:rsid w:val="5C7731D7"/>
    <w:rsid w:val="5C826B51"/>
    <w:rsid w:val="5CA61CCA"/>
    <w:rsid w:val="5CA61FE4"/>
    <w:rsid w:val="5CAA564F"/>
    <w:rsid w:val="5CAC7619"/>
    <w:rsid w:val="5CB526EE"/>
    <w:rsid w:val="5CC67A06"/>
    <w:rsid w:val="5CD718AB"/>
    <w:rsid w:val="5CDD125B"/>
    <w:rsid w:val="5D131446"/>
    <w:rsid w:val="5D1551BE"/>
    <w:rsid w:val="5D213E13"/>
    <w:rsid w:val="5D301FF8"/>
    <w:rsid w:val="5D3D7B55"/>
    <w:rsid w:val="5D4D4B67"/>
    <w:rsid w:val="5D692B4A"/>
    <w:rsid w:val="5D760DFE"/>
    <w:rsid w:val="5D972077"/>
    <w:rsid w:val="5DA87DE0"/>
    <w:rsid w:val="5DAB1143"/>
    <w:rsid w:val="5DB17D02"/>
    <w:rsid w:val="5DC0337C"/>
    <w:rsid w:val="5DCF2503"/>
    <w:rsid w:val="5DD619A0"/>
    <w:rsid w:val="5DD97B2E"/>
    <w:rsid w:val="5DE33377"/>
    <w:rsid w:val="5DE52DE2"/>
    <w:rsid w:val="5E183CFF"/>
    <w:rsid w:val="5E1E394A"/>
    <w:rsid w:val="5E2B7EEF"/>
    <w:rsid w:val="5E2C0A11"/>
    <w:rsid w:val="5E416216"/>
    <w:rsid w:val="5E4C10B3"/>
    <w:rsid w:val="5E50072C"/>
    <w:rsid w:val="5E52616B"/>
    <w:rsid w:val="5E67417C"/>
    <w:rsid w:val="5E6B1C04"/>
    <w:rsid w:val="5E6C3504"/>
    <w:rsid w:val="5E716381"/>
    <w:rsid w:val="5E8048B9"/>
    <w:rsid w:val="5E912F6A"/>
    <w:rsid w:val="5E914D18"/>
    <w:rsid w:val="5E9345EC"/>
    <w:rsid w:val="5E946DA5"/>
    <w:rsid w:val="5E961741"/>
    <w:rsid w:val="5E9B254F"/>
    <w:rsid w:val="5EA05BE0"/>
    <w:rsid w:val="5EAE7678"/>
    <w:rsid w:val="5EBA601D"/>
    <w:rsid w:val="5EE673AD"/>
    <w:rsid w:val="5EF05EE3"/>
    <w:rsid w:val="5F0B4ACB"/>
    <w:rsid w:val="5F100333"/>
    <w:rsid w:val="5F5F0972"/>
    <w:rsid w:val="5F6441ED"/>
    <w:rsid w:val="5F6661A5"/>
    <w:rsid w:val="5F6A6AC8"/>
    <w:rsid w:val="5F6F6A29"/>
    <w:rsid w:val="5F84250C"/>
    <w:rsid w:val="5F866EC2"/>
    <w:rsid w:val="5F920EC8"/>
    <w:rsid w:val="5F9A5E4E"/>
    <w:rsid w:val="5F9E1348"/>
    <w:rsid w:val="5FA12D39"/>
    <w:rsid w:val="5FAA42E4"/>
    <w:rsid w:val="5FB66D02"/>
    <w:rsid w:val="5FC058B5"/>
    <w:rsid w:val="5FC41398"/>
    <w:rsid w:val="5FE311ED"/>
    <w:rsid w:val="5FE42E7C"/>
    <w:rsid w:val="5FF87C5D"/>
    <w:rsid w:val="600315B6"/>
    <w:rsid w:val="600E3B45"/>
    <w:rsid w:val="60273055"/>
    <w:rsid w:val="603242D9"/>
    <w:rsid w:val="60522285"/>
    <w:rsid w:val="605C5A30"/>
    <w:rsid w:val="60AE7E03"/>
    <w:rsid w:val="60B149D0"/>
    <w:rsid w:val="60B70030"/>
    <w:rsid w:val="60C90799"/>
    <w:rsid w:val="60D443A1"/>
    <w:rsid w:val="60DC2CC3"/>
    <w:rsid w:val="613720DD"/>
    <w:rsid w:val="614E6EF1"/>
    <w:rsid w:val="615755BD"/>
    <w:rsid w:val="615D2A65"/>
    <w:rsid w:val="61613BEB"/>
    <w:rsid w:val="61693D2A"/>
    <w:rsid w:val="61796574"/>
    <w:rsid w:val="61880654"/>
    <w:rsid w:val="6189617B"/>
    <w:rsid w:val="619E4563"/>
    <w:rsid w:val="619F63A8"/>
    <w:rsid w:val="61CD6067"/>
    <w:rsid w:val="61E06BEB"/>
    <w:rsid w:val="61FB44F2"/>
    <w:rsid w:val="625941A1"/>
    <w:rsid w:val="625C0D21"/>
    <w:rsid w:val="62671448"/>
    <w:rsid w:val="62726C0F"/>
    <w:rsid w:val="62875A90"/>
    <w:rsid w:val="629762BF"/>
    <w:rsid w:val="62B13E15"/>
    <w:rsid w:val="62B56ACB"/>
    <w:rsid w:val="62C30852"/>
    <w:rsid w:val="62E61DA2"/>
    <w:rsid w:val="62FA0C93"/>
    <w:rsid w:val="62FD472A"/>
    <w:rsid w:val="63065CD5"/>
    <w:rsid w:val="631421D2"/>
    <w:rsid w:val="633012F7"/>
    <w:rsid w:val="6333416A"/>
    <w:rsid w:val="63414F5F"/>
    <w:rsid w:val="636C0637"/>
    <w:rsid w:val="63AB062A"/>
    <w:rsid w:val="63C65464"/>
    <w:rsid w:val="63D60D6D"/>
    <w:rsid w:val="63DA0F0F"/>
    <w:rsid w:val="63DC4C88"/>
    <w:rsid w:val="64083EBA"/>
    <w:rsid w:val="640A6B8A"/>
    <w:rsid w:val="64243F39"/>
    <w:rsid w:val="643423CE"/>
    <w:rsid w:val="64430863"/>
    <w:rsid w:val="64441708"/>
    <w:rsid w:val="644B2E9F"/>
    <w:rsid w:val="6469042C"/>
    <w:rsid w:val="647D7FBC"/>
    <w:rsid w:val="64805613"/>
    <w:rsid w:val="648A0240"/>
    <w:rsid w:val="64B11C70"/>
    <w:rsid w:val="64BD5DA3"/>
    <w:rsid w:val="64C67161"/>
    <w:rsid w:val="64E42046"/>
    <w:rsid w:val="64EA5182"/>
    <w:rsid w:val="64EC297E"/>
    <w:rsid w:val="64F102BF"/>
    <w:rsid w:val="64FE364A"/>
    <w:rsid w:val="650D2C1F"/>
    <w:rsid w:val="65337EC4"/>
    <w:rsid w:val="654B7228"/>
    <w:rsid w:val="654D7C2E"/>
    <w:rsid w:val="65505F7C"/>
    <w:rsid w:val="6593581A"/>
    <w:rsid w:val="65C41297"/>
    <w:rsid w:val="65D969F1"/>
    <w:rsid w:val="65F468C3"/>
    <w:rsid w:val="66081D64"/>
    <w:rsid w:val="660B53B0"/>
    <w:rsid w:val="661669E2"/>
    <w:rsid w:val="661B76D3"/>
    <w:rsid w:val="662B74D0"/>
    <w:rsid w:val="662D3578"/>
    <w:rsid w:val="663F14FE"/>
    <w:rsid w:val="663F7253"/>
    <w:rsid w:val="66415147"/>
    <w:rsid w:val="664D7777"/>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7055E1B"/>
    <w:rsid w:val="672277D6"/>
    <w:rsid w:val="67290209"/>
    <w:rsid w:val="672F50CE"/>
    <w:rsid w:val="67355406"/>
    <w:rsid w:val="6739040E"/>
    <w:rsid w:val="675D60DF"/>
    <w:rsid w:val="676129D2"/>
    <w:rsid w:val="67644C59"/>
    <w:rsid w:val="677B7C35"/>
    <w:rsid w:val="678673E4"/>
    <w:rsid w:val="678A6C8A"/>
    <w:rsid w:val="67955879"/>
    <w:rsid w:val="67B57CC9"/>
    <w:rsid w:val="67C021CA"/>
    <w:rsid w:val="67E916C6"/>
    <w:rsid w:val="67E934CF"/>
    <w:rsid w:val="67FE19E3"/>
    <w:rsid w:val="68071BA7"/>
    <w:rsid w:val="68125890"/>
    <w:rsid w:val="682E5386"/>
    <w:rsid w:val="683B4874"/>
    <w:rsid w:val="683F7593"/>
    <w:rsid w:val="684352D5"/>
    <w:rsid w:val="684A6664"/>
    <w:rsid w:val="684F3C7A"/>
    <w:rsid w:val="68A67612"/>
    <w:rsid w:val="68AE414D"/>
    <w:rsid w:val="68C6767F"/>
    <w:rsid w:val="68EB171F"/>
    <w:rsid w:val="68F12C01"/>
    <w:rsid w:val="68FA6539"/>
    <w:rsid w:val="69013D5E"/>
    <w:rsid w:val="69045669"/>
    <w:rsid w:val="69061428"/>
    <w:rsid w:val="690F3409"/>
    <w:rsid w:val="6927078B"/>
    <w:rsid w:val="69286279"/>
    <w:rsid w:val="693F5EA4"/>
    <w:rsid w:val="69460607"/>
    <w:rsid w:val="694858F0"/>
    <w:rsid w:val="69550BFB"/>
    <w:rsid w:val="696A6B29"/>
    <w:rsid w:val="69715E72"/>
    <w:rsid w:val="69750E21"/>
    <w:rsid w:val="6985687C"/>
    <w:rsid w:val="699851AD"/>
    <w:rsid w:val="69A048BD"/>
    <w:rsid w:val="69A71034"/>
    <w:rsid w:val="69A9560C"/>
    <w:rsid w:val="69C27B02"/>
    <w:rsid w:val="69E623BC"/>
    <w:rsid w:val="69ED6F02"/>
    <w:rsid w:val="69EE7223"/>
    <w:rsid w:val="69FD14B4"/>
    <w:rsid w:val="6A056DDC"/>
    <w:rsid w:val="6A0E1913"/>
    <w:rsid w:val="6A1C0949"/>
    <w:rsid w:val="6A2E3F76"/>
    <w:rsid w:val="6A2E73C3"/>
    <w:rsid w:val="6A472B4C"/>
    <w:rsid w:val="6A63210D"/>
    <w:rsid w:val="6A8120E5"/>
    <w:rsid w:val="6A987C6F"/>
    <w:rsid w:val="6AAA1DFE"/>
    <w:rsid w:val="6AAF79FF"/>
    <w:rsid w:val="6AC00E5F"/>
    <w:rsid w:val="6AC33F7B"/>
    <w:rsid w:val="6AC60616"/>
    <w:rsid w:val="6AC87871"/>
    <w:rsid w:val="6AD26369"/>
    <w:rsid w:val="6AEB19C5"/>
    <w:rsid w:val="6AF40B09"/>
    <w:rsid w:val="6B193F82"/>
    <w:rsid w:val="6B3453A9"/>
    <w:rsid w:val="6B450D39"/>
    <w:rsid w:val="6B4A1FF9"/>
    <w:rsid w:val="6B592AF9"/>
    <w:rsid w:val="6B633598"/>
    <w:rsid w:val="6B7E44A8"/>
    <w:rsid w:val="6B802B7B"/>
    <w:rsid w:val="6B851761"/>
    <w:rsid w:val="6B9D2F4E"/>
    <w:rsid w:val="6BA22313"/>
    <w:rsid w:val="6BB32772"/>
    <w:rsid w:val="6BB641D1"/>
    <w:rsid w:val="6BDD77EF"/>
    <w:rsid w:val="6BE75F78"/>
    <w:rsid w:val="6BFB26B9"/>
    <w:rsid w:val="6C003F58"/>
    <w:rsid w:val="6C0510AF"/>
    <w:rsid w:val="6C1E27FB"/>
    <w:rsid w:val="6C2125B9"/>
    <w:rsid w:val="6C45127D"/>
    <w:rsid w:val="6C465394"/>
    <w:rsid w:val="6C477A48"/>
    <w:rsid w:val="6C4D6279"/>
    <w:rsid w:val="6C6B4DFB"/>
    <w:rsid w:val="6C80161C"/>
    <w:rsid w:val="6C8C7A1A"/>
    <w:rsid w:val="6C8E07EB"/>
    <w:rsid w:val="6C922387"/>
    <w:rsid w:val="6CAA1C24"/>
    <w:rsid w:val="6CC5763D"/>
    <w:rsid w:val="6CD7449F"/>
    <w:rsid w:val="6CF43A7A"/>
    <w:rsid w:val="6CF803B7"/>
    <w:rsid w:val="6D281E21"/>
    <w:rsid w:val="6D295F60"/>
    <w:rsid w:val="6D347596"/>
    <w:rsid w:val="6D4B1F5D"/>
    <w:rsid w:val="6D596E90"/>
    <w:rsid w:val="6D68758C"/>
    <w:rsid w:val="6D82064E"/>
    <w:rsid w:val="6DA07862"/>
    <w:rsid w:val="6DAB5AB0"/>
    <w:rsid w:val="6DAE7C8E"/>
    <w:rsid w:val="6DD864C0"/>
    <w:rsid w:val="6DE33684"/>
    <w:rsid w:val="6DE60B88"/>
    <w:rsid w:val="6DF33D76"/>
    <w:rsid w:val="6DF40A60"/>
    <w:rsid w:val="6DFD3487"/>
    <w:rsid w:val="6DFF1AAA"/>
    <w:rsid w:val="6E015BBB"/>
    <w:rsid w:val="6E061D25"/>
    <w:rsid w:val="6E0F7A08"/>
    <w:rsid w:val="6E2E4063"/>
    <w:rsid w:val="6E3C285F"/>
    <w:rsid w:val="6E5E6D9D"/>
    <w:rsid w:val="6E772037"/>
    <w:rsid w:val="6E786804"/>
    <w:rsid w:val="6E846A90"/>
    <w:rsid w:val="6E9D5013"/>
    <w:rsid w:val="6ECB4CD8"/>
    <w:rsid w:val="6ECE1BA8"/>
    <w:rsid w:val="6ECF5D6D"/>
    <w:rsid w:val="6EDC418C"/>
    <w:rsid w:val="6EE67590"/>
    <w:rsid w:val="6EEA69AD"/>
    <w:rsid w:val="6EEE6498"/>
    <w:rsid w:val="6EFD1D73"/>
    <w:rsid w:val="6EFD5AB2"/>
    <w:rsid w:val="6F053C43"/>
    <w:rsid w:val="6F075837"/>
    <w:rsid w:val="6F1B6067"/>
    <w:rsid w:val="6F2620DC"/>
    <w:rsid w:val="6F28453E"/>
    <w:rsid w:val="6F4656AB"/>
    <w:rsid w:val="6F49551F"/>
    <w:rsid w:val="6F54601A"/>
    <w:rsid w:val="6F597080"/>
    <w:rsid w:val="6F626E48"/>
    <w:rsid w:val="6F812184"/>
    <w:rsid w:val="6F845B2B"/>
    <w:rsid w:val="6F970471"/>
    <w:rsid w:val="6F974654"/>
    <w:rsid w:val="6FC51A41"/>
    <w:rsid w:val="6FC532F8"/>
    <w:rsid w:val="6FE32EFA"/>
    <w:rsid w:val="6FEC1DAE"/>
    <w:rsid w:val="6FF8441E"/>
    <w:rsid w:val="70300C7F"/>
    <w:rsid w:val="70385739"/>
    <w:rsid w:val="704020FA"/>
    <w:rsid w:val="70457711"/>
    <w:rsid w:val="704A5564"/>
    <w:rsid w:val="70751679"/>
    <w:rsid w:val="708B47AA"/>
    <w:rsid w:val="70981E9C"/>
    <w:rsid w:val="709F2104"/>
    <w:rsid w:val="70A47E6A"/>
    <w:rsid w:val="70C36F04"/>
    <w:rsid w:val="70C740E1"/>
    <w:rsid w:val="70D319E7"/>
    <w:rsid w:val="70D75F53"/>
    <w:rsid w:val="70D80585"/>
    <w:rsid w:val="70EC468E"/>
    <w:rsid w:val="70EE7DA8"/>
    <w:rsid w:val="71082AAC"/>
    <w:rsid w:val="71202DBA"/>
    <w:rsid w:val="71902BFF"/>
    <w:rsid w:val="71A74762"/>
    <w:rsid w:val="71BA28B0"/>
    <w:rsid w:val="71D76943"/>
    <w:rsid w:val="72035AD5"/>
    <w:rsid w:val="72127AC6"/>
    <w:rsid w:val="72135D18"/>
    <w:rsid w:val="72190E55"/>
    <w:rsid w:val="724759C2"/>
    <w:rsid w:val="72516841"/>
    <w:rsid w:val="726A16B0"/>
    <w:rsid w:val="726F7761"/>
    <w:rsid w:val="72780225"/>
    <w:rsid w:val="727C5F33"/>
    <w:rsid w:val="727F77F5"/>
    <w:rsid w:val="72816D82"/>
    <w:rsid w:val="729C3F60"/>
    <w:rsid w:val="72B70089"/>
    <w:rsid w:val="72B73C27"/>
    <w:rsid w:val="72C7009D"/>
    <w:rsid w:val="72FD42D3"/>
    <w:rsid w:val="72FF004B"/>
    <w:rsid w:val="731F249B"/>
    <w:rsid w:val="73253671"/>
    <w:rsid w:val="73306456"/>
    <w:rsid w:val="73317A27"/>
    <w:rsid w:val="73357E69"/>
    <w:rsid w:val="733817AF"/>
    <w:rsid w:val="735B6DB7"/>
    <w:rsid w:val="735C2691"/>
    <w:rsid w:val="737353DE"/>
    <w:rsid w:val="73767F05"/>
    <w:rsid w:val="7379604F"/>
    <w:rsid w:val="73886292"/>
    <w:rsid w:val="73935567"/>
    <w:rsid w:val="73A62438"/>
    <w:rsid w:val="73BA21C4"/>
    <w:rsid w:val="73BA3CC2"/>
    <w:rsid w:val="73BE02D8"/>
    <w:rsid w:val="73D50144"/>
    <w:rsid w:val="73F602AE"/>
    <w:rsid w:val="740D1EA9"/>
    <w:rsid w:val="741E5489"/>
    <w:rsid w:val="742F7A23"/>
    <w:rsid w:val="74325266"/>
    <w:rsid w:val="7452064E"/>
    <w:rsid w:val="745443C6"/>
    <w:rsid w:val="74685677"/>
    <w:rsid w:val="74895730"/>
    <w:rsid w:val="74943E9C"/>
    <w:rsid w:val="749A50E1"/>
    <w:rsid w:val="749B1FF5"/>
    <w:rsid w:val="74A0551B"/>
    <w:rsid w:val="74A30713"/>
    <w:rsid w:val="74CA6436"/>
    <w:rsid w:val="74EE481B"/>
    <w:rsid w:val="75241FEA"/>
    <w:rsid w:val="75275B9B"/>
    <w:rsid w:val="752D0D38"/>
    <w:rsid w:val="753560F9"/>
    <w:rsid w:val="758A424E"/>
    <w:rsid w:val="758E3C4E"/>
    <w:rsid w:val="75947170"/>
    <w:rsid w:val="75B52BD6"/>
    <w:rsid w:val="75B72D40"/>
    <w:rsid w:val="75BB6DDA"/>
    <w:rsid w:val="75BC0475"/>
    <w:rsid w:val="75E85141"/>
    <w:rsid w:val="760A3051"/>
    <w:rsid w:val="761262E7"/>
    <w:rsid w:val="76155DFB"/>
    <w:rsid w:val="76230272"/>
    <w:rsid w:val="76263B40"/>
    <w:rsid w:val="76360227"/>
    <w:rsid w:val="76371C9A"/>
    <w:rsid w:val="763E40F3"/>
    <w:rsid w:val="76581B86"/>
    <w:rsid w:val="765A1DB4"/>
    <w:rsid w:val="765A68B9"/>
    <w:rsid w:val="7662023E"/>
    <w:rsid w:val="7684793E"/>
    <w:rsid w:val="76A235BC"/>
    <w:rsid w:val="76C02622"/>
    <w:rsid w:val="76F62536"/>
    <w:rsid w:val="76F63F8E"/>
    <w:rsid w:val="7705394C"/>
    <w:rsid w:val="77541DD9"/>
    <w:rsid w:val="775B3563"/>
    <w:rsid w:val="77737259"/>
    <w:rsid w:val="77750B1E"/>
    <w:rsid w:val="77785FC0"/>
    <w:rsid w:val="777C69F4"/>
    <w:rsid w:val="779D6D1F"/>
    <w:rsid w:val="77B37656"/>
    <w:rsid w:val="77C3377A"/>
    <w:rsid w:val="77C35AEB"/>
    <w:rsid w:val="77C655DB"/>
    <w:rsid w:val="77C74EAF"/>
    <w:rsid w:val="77DE46D3"/>
    <w:rsid w:val="77E617D9"/>
    <w:rsid w:val="77EB6DF0"/>
    <w:rsid w:val="77F43EF6"/>
    <w:rsid w:val="78024049"/>
    <w:rsid w:val="780802FA"/>
    <w:rsid w:val="78177082"/>
    <w:rsid w:val="78212811"/>
    <w:rsid w:val="78632E2A"/>
    <w:rsid w:val="787057C4"/>
    <w:rsid w:val="78727E4E"/>
    <w:rsid w:val="7873289B"/>
    <w:rsid w:val="787B63C5"/>
    <w:rsid w:val="78880AE2"/>
    <w:rsid w:val="78886D34"/>
    <w:rsid w:val="78A23952"/>
    <w:rsid w:val="78AE072B"/>
    <w:rsid w:val="78AE0DB3"/>
    <w:rsid w:val="78B638A1"/>
    <w:rsid w:val="78C7160B"/>
    <w:rsid w:val="78CE6947"/>
    <w:rsid w:val="791D122B"/>
    <w:rsid w:val="79294073"/>
    <w:rsid w:val="792B34EF"/>
    <w:rsid w:val="792B7DEB"/>
    <w:rsid w:val="793B3DA7"/>
    <w:rsid w:val="79420C91"/>
    <w:rsid w:val="797445F1"/>
    <w:rsid w:val="79821A9D"/>
    <w:rsid w:val="79A75DED"/>
    <w:rsid w:val="79BB0B66"/>
    <w:rsid w:val="79D02741"/>
    <w:rsid w:val="79F20909"/>
    <w:rsid w:val="7A096D9E"/>
    <w:rsid w:val="7A0E5017"/>
    <w:rsid w:val="7A116EA2"/>
    <w:rsid w:val="7A1350B3"/>
    <w:rsid w:val="7A2041A1"/>
    <w:rsid w:val="7A2E7B6A"/>
    <w:rsid w:val="7A3D378A"/>
    <w:rsid w:val="7A4A42A1"/>
    <w:rsid w:val="7A4D2AE1"/>
    <w:rsid w:val="7A886B78"/>
    <w:rsid w:val="7A8D0632"/>
    <w:rsid w:val="7A940CEF"/>
    <w:rsid w:val="7AB908C6"/>
    <w:rsid w:val="7AC06311"/>
    <w:rsid w:val="7AEF6BF7"/>
    <w:rsid w:val="7AF97A75"/>
    <w:rsid w:val="7B5353D8"/>
    <w:rsid w:val="7B53600E"/>
    <w:rsid w:val="7B660B9C"/>
    <w:rsid w:val="7B7E43E3"/>
    <w:rsid w:val="7B864A64"/>
    <w:rsid w:val="7B973491"/>
    <w:rsid w:val="7BB87930"/>
    <w:rsid w:val="7BD15117"/>
    <w:rsid w:val="7BD27A5D"/>
    <w:rsid w:val="7BDF0A19"/>
    <w:rsid w:val="7BE1477E"/>
    <w:rsid w:val="7BED5740"/>
    <w:rsid w:val="7C010D1F"/>
    <w:rsid w:val="7C085991"/>
    <w:rsid w:val="7C445F6B"/>
    <w:rsid w:val="7C465062"/>
    <w:rsid w:val="7C4A67DB"/>
    <w:rsid w:val="7C4F3EB5"/>
    <w:rsid w:val="7C550AA2"/>
    <w:rsid w:val="7C5D397B"/>
    <w:rsid w:val="7C75137E"/>
    <w:rsid w:val="7C923CDE"/>
    <w:rsid w:val="7C9C1750"/>
    <w:rsid w:val="7C9F18C8"/>
    <w:rsid w:val="7CA0289E"/>
    <w:rsid w:val="7D1564DB"/>
    <w:rsid w:val="7D1A3036"/>
    <w:rsid w:val="7D212011"/>
    <w:rsid w:val="7D2A660C"/>
    <w:rsid w:val="7D366731"/>
    <w:rsid w:val="7D3D1E9B"/>
    <w:rsid w:val="7D5353F5"/>
    <w:rsid w:val="7D552799"/>
    <w:rsid w:val="7D6F7660"/>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A87DB4"/>
    <w:rsid w:val="7ECA3E11"/>
    <w:rsid w:val="7ED405DD"/>
    <w:rsid w:val="7ED62316"/>
    <w:rsid w:val="7EE36A72"/>
    <w:rsid w:val="7EF4608E"/>
    <w:rsid w:val="7EFE1AFE"/>
    <w:rsid w:val="7F0A3FFF"/>
    <w:rsid w:val="7F196938"/>
    <w:rsid w:val="7F46773E"/>
    <w:rsid w:val="7F4B6252"/>
    <w:rsid w:val="7F547970"/>
    <w:rsid w:val="7F7B4EFD"/>
    <w:rsid w:val="7FAE0E2E"/>
    <w:rsid w:val="7FCC4CBB"/>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9.emf"/><Relationship Id="rId30" Type="http://schemas.openxmlformats.org/officeDocument/2006/relationships/chart" Target="charts/chart6.xml"/><Relationship Id="rId3" Type="http://schemas.openxmlformats.org/officeDocument/2006/relationships/header" Target="header1.xml"/><Relationship Id="rId29" Type="http://schemas.openxmlformats.org/officeDocument/2006/relationships/image" Target="media/image18.emf"/><Relationship Id="rId28" Type="http://schemas.openxmlformats.org/officeDocument/2006/relationships/image" Target="media/image17.emf"/><Relationship Id="rId27" Type="http://schemas.openxmlformats.org/officeDocument/2006/relationships/image" Target="media/image16.emf"/><Relationship Id="rId26" Type="http://schemas.openxmlformats.org/officeDocument/2006/relationships/chart" Target="charts/chart5.xml"/><Relationship Id="rId25" Type="http://schemas.openxmlformats.org/officeDocument/2006/relationships/image" Target="media/image15.emf"/><Relationship Id="rId24" Type="http://schemas.openxmlformats.org/officeDocument/2006/relationships/chart" Target="charts/chart4.xml"/><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chart" Target="charts/chart3.xml"/><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chart" Target="charts/chart2.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chart" Target="charts/chart1.xml"/><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32418;&#21313;&#23383;&#20250;&#36164;&#26009;\&#25903;&#20184;&#30003;&#35831;&#26126;&#32454;&#25253;&#34920;&#26597;&#35810;%20(202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2024&#24180;&#24207;&#26102;&#36134;&#24213;&#312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2024&#24180;&#24207;&#26102;&#36134;&#24213;&#312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2024&#24180;&#24207;&#26102;&#36134;&#24213;&#312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2024&#24180;&#24207;&#26102;&#36134;&#24213;&#312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5&#21495;&#38593;&#23792;&#21306;&#32418;&#21313;&#23383;&#20250;\2024&#24180;&#24207;&#26102;&#36134;&#24213;&#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财政直接支付与授权支付对比图（金额：元）</a:t>
            </a:r>
          </a:p>
        </c:rich>
      </c:tx>
      <c:layout/>
      <c:overlay val="0"/>
      <c:spPr>
        <a:noFill/>
        <a:ln>
          <a:noFill/>
        </a:ln>
        <a:effectLst/>
      </c:spPr>
    </c:title>
    <c:autoTitleDeleted val="0"/>
    <c:plotArea>
      <c:layout/>
      <c:pieChart>
        <c:varyColors val="1"/>
        <c:ser>
          <c:idx val="0"/>
          <c:order val="0"/>
          <c:tx>
            <c:strRef>
              <c:f>'[支付申请明细报表查询 (2024).xlsx]Sheet3'!$C$7</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dLbl>
              <c:idx val="1"/>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 (2024).xlsx]Sheet3'!$B$8:$B$9</c:f>
              <c:strCache>
                <c:ptCount val="2"/>
                <c:pt idx="0">
                  <c:v>雁峰区财政局零余额账户</c:v>
                </c:pt>
                <c:pt idx="1">
                  <c:v>雁峰区红十字会</c:v>
                </c:pt>
              </c:strCache>
            </c:strRef>
          </c:cat>
          <c:val>
            <c:numRef>
              <c:f>'[支付申请明细报表查询 (2024).xlsx]Sheet3'!$C$8:$C$9</c:f>
              <c:numCache>
                <c:formatCode>_ * #,##0.00_ ;_ * \-#,##0.00_ ;_ * "-"??_ ;_ @_ </c:formatCode>
                <c:ptCount val="2"/>
                <c:pt idx="0">
                  <c:v>161124</c:v>
                </c:pt>
                <c:pt idx="1">
                  <c:v>462898.88</c:v>
                </c:pt>
              </c:numCache>
            </c:numRef>
          </c:val>
          <c:extLst>
            <c:ext xmlns:c15="http://schemas.microsoft.com/office/drawing/2012/chart" uri="{02D57815-91ED-43cb-92C2-25804820EDAC}">
              <c15:datalabelsRange>
                <c15:f>Sheet3!$B$8:$B$9</c15:f>
                <c15:dlblRangeCache>
                  <c:ptCount val="2"/>
                  <c:pt idx="0">
                    <c:v>雁峰区财政局零余额账户</c:v>
                  </c:pt>
                  <c:pt idx="1">
                    <c:v>雁峰区红十字会</c:v>
                  </c:pt>
                </c15:dlblRangeCache>
              </c15:datalabelsRange>
            </c:ext>
          </c:extLst>
        </c:ser>
        <c:dLbls>
          <c:showLegendKey val="0"/>
          <c:showVal val="1"/>
          <c:showCatName val="0"/>
          <c:showSerName val="0"/>
          <c:showPercent val="0"/>
          <c:showBubbleSize val="0"/>
          <c:showLeaderLines val="1"/>
        </c:dLbls>
        <c:firstSliceAng val="39"/>
      </c:pieChart>
      <c:spPr>
        <a:noFill/>
        <a:ln>
          <a:noFill/>
        </a:ln>
        <a:effectLst/>
      </c:spPr>
    </c:plotArea>
    <c:plotVisOnly val="1"/>
    <c:dispBlanksAs val="gap"/>
    <c:showDLblsOverMax val="0"/>
    <c:extLst>
      <c:ext uri="{0b15fc19-7d7d-44ad-8c2d-2c3a37ce22c3}">
        <chartProps xmlns="https://web.wps.cn/et/2018/main" chartId="{0a3d1767-0b8b-473b-904b-49c2142d77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[2024年序时账底稿.xlsx]指标下达数与支付数!$C$20</c:f>
              <c:strCache>
                <c:ptCount val="1"/>
                <c:pt idx="0">
                  <c:v>指标下达数</c:v>
                </c:pt>
              </c:strCache>
            </c:strRef>
          </c:tx>
          <c:spPr>
            <a:solidFill>
              <a:schemeClr val="accent1"/>
            </a:solidFill>
            <a:ln>
              <a:noFill/>
            </a:ln>
            <a:effectLst/>
          </c:spPr>
          <c:invertIfNegative val="0"/>
          <c:dLbls>
            <c:delete val="1"/>
          </c:dLbls>
          <c:cat>
            <c:strRef>
              <c:f>[2024年序时账底稿.xlsx]指标下达数与支付数!$B$21:$B$32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[2024年序时账底稿.xlsx]指标下达数与支付数!$C$21:$C$32</c:f>
              <c:numCache>
                <c:formatCode>_ * #,##0.00_ ;_ * \-#,##0.00_ ;_ * "-"??_ ;_ @_ </c:formatCode>
                <c:ptCount val="12"/>
                <c:pt idx="0">
                  <c:v>329167.37</c:v>
                </c:pt>
                <c:pt idx="1">
                  <c:v>61200</c:v>
                </c:pt>
                <c:pt idx="6">
                  <c:v>151066.4</c:v>
                </c:pt>
                <c:pt idx="7">
                  <c:v>50000</c:v>
                </c:pt>
                <c:pt idx="11">
                  <c:v>54455.38</c:v>
                </c:pt>
              </c:numCache>
            </c:numRef>
          </c:val>
        </c:ser>
        <c:ser>
          <c:idx val="1"/>
          <c:order val="1"/>
          <c:tx>
            <c:strRef>
              <c:f>[2024年序时账底稿.xlsx]指标下达数与支付数!$D$20</c:f>
              <c:strCache>
                <c:ptCount val="1"/>
                <c:pt idx="0">
                  <c:v>占比1</c:v>
                </c:pt>
              </c:strCache>
            </c:strRef>
          </c:tx>
          <c:spPr>
            <a:solidFill>
              <a:schemeClr val="accent2"/>
            </a:solidFill>
            <a:ln>
              <a:noFill/>
            </a:ln>
            <a:effectLst/>
          </c:spPr>
          <c:invertIfNegative val="0"/>
          <c:dLbls>
            <c:delete val="1"/>
          </c:dLbls>
          <c:cat>
            <c:strRef>
              <c:f>[2024年序时账底稿.xlsx]指标下达数与支付数!$B$21:$B$32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[2024年序时账底稿.xlsx]指标下达数与支付数!$D$21:$D$32</c:f>
              <c:numCache>
                <c:formatCode>0.00%</c:formatCode>
                <c:ptCount val="12"/>
                <c:pt idx="0">
                  <c:v>0.509634462817652</c:v>
                </c:pt>
                <c:pt idx="1">
                  <c:v>0.0947531012093948</c:v>
                </c:pt>
                <c:pt idx="6">
                  <c:v>0.233889050466322</c:v>
                </c:pt>
                <c:pt idx="7">
                  <c:v>0.0774126643867605</c:v>
                </c:pt>
                <c:pt idx="11">
                  <c:v>0.0843107211198702</c:v>
                </c:pt>
              </c:numCache>
            </c:numRef>
          </c:val>
        </c:ser>
        <c:ser>
          <c:idx val="2"/>
          <c:order val="2"/>
          <c:tx>
            <c:strRef>
              <c:f>[2024年序时账底稿.xlsx]指标下达数与支付数!$E$20</c:f>
              <c:strCache>
                <c:ptCount val="1"/>
                <c:pt idx="0">
                  <c:v>指标使用数</c:v>
                </c:pt>
              </c:strCache>
            </c:strRef>
          </c:tx>
          <c:spPr>
            <a:solidFill>
              <a:schemeClr val="accent4"/>
            </a:solidFill>
            <a:ln>
              <a:noFill/>
            </a:ln>
            <a:effectLst/>
          </c:spPr>
          <c:invertIfNegative val="0"/>
          <c:dLbls>
            <c:delete val="1"/>
          </c:dLbls>
          <c:cat>
            <c:strRef>
              <c:f>[2024年序时账底稿.xlsx]指标下达数与支付数!$B$21:$B$32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[2024年序时账底稿.xlsx]指标下达数与支付数!$E$21:$E$32</c:f>
              <c:numCache>
                <c:formatCode>_ * #,##0.00_ ;_ * \-#,##0.00_ ;_ * "-"??_ ;_ @_ </c:formatCode>
                <c:ptCount val="12"/>
                <c:pt idx="0">
                  <c:v>42022.24</c:v>
                </c:pt>
                <c:pt idx="1">
                  <c:v>21614.08</c:v>
                </c:pt>
                <c:pt idx="2">
                  <c:v>22975.12</c:v>
                </c:pt>
                <c:pt idx="3">
                  <c:v>38254.88</c:v>
                </c:pt>
                <c:pt idx="4">
                  <c:v>42056.92</c:v>
                </c:pt>
                <c:pt idx="5">
                  <c:v>39945.92</c:v>
                </c:pt>
                <c:pt idx="6">
                  <c:v>20676.92</c:v>
                </c:pt>
                <c:pt idx="7">
                  <c:v>32442.92</c:v>
                </c:pt>
                <c:pt idx="8">
                  <c:v>40467.92</c:v>
                </c:pt>
                <c:pt idx="9">
                  <c:v>13613.92</c:v>
                </c:pt>
                <c:pt idx="10">
                  <c:v>193881.12</c:v>
                </c:pt>
                <c:pt idx="11">
                  <c:v>116070.92</c:v>
                </c:pt>
              </c:numCache>
            </c:numRef>
          </c:val>
        </c:ser>
        <c:ser>
          <c:idx val="3"/>
          <c:order val="3"/>
          <c:tx>
            <c:strRef>
              <c:f>[2024年序时账底稿.xlsx]指标下达数与支付数!$F$20</c:f>
              <c:strCache>
                <c:ptCount val="1"/>
                <c:pt idx="0">
                  <c:v>占比2</c:v>
                </c:pt>
              </c:strCache>
            </c:strRef>
          </c:tx>
          <c:spPr>
            <a:solidFill>
              <a:schemeClr val="accent4"/>
            </a:solidFill>
            <a:ln>
              <a:noFill/>
            </a:ln>
            <a:effectLst/>
          </c:spPr>
          <c:invertIfNegative val="0"/>
          <c:dLbls>
            <c:delete val="1"/>
          </c:dLbls>
          <c:cat>
            <c:strRef>
              <c:f>[2024年序时账底稿.xlsx]指标下达数与支付数!$B$21:$B$32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[2024年序时账底稿.xlsx]指标下达数与支付数!$F$21:$F$32</c:f>
              <c:numCache>
                <c:formatCode>0.00%</c:formatCode>
                <c:ptCount val="12"/>
                <c:pt idx="0">
                  <c:v>0.0673408641683138</c:v>
                </c:pt>
                <c:pt idx="1">
                  <c:v>0.0346366787063962</c:v>
                </c:pt>
                <c:pt idx="2">
                  <c:v>0.0368177525798413</c:v>
                </c:pt>
                <c:pt idx="3">
                  <c:v>0.0613036496354108</c:v>
                </c:pt>
                <c:pt idx="4">
                  <c:v>0.067396439053645</c:v>
                </c:pt>
                <c:pt idx="5">
                  <c:v>0.0640135502723875</c:v>
                </c:pt>
                <c:pt idx="6">
                  <c:v>0.0331348747981805</c:v>
                </c:pt>
                <c:pt idx="7">
                  <c:v>0.0519899526760942</c:v>
                </c:pt>
                <c:pt idx="8">
                  <c:v>0.0648500580619736</c:v>
                </c:pt>
                <c:pt idx="9">
                  <c:v>0.0218163795532625</c:v>
                </c:pt>
                <c:pt idx="10">
                  <c:v>0.310695530907456</c:v>
                </c:pt>
                <c:pt idx="11">
                  <c:v>0.186004269587038</c:v>
                </c:pt>
              </c:numCache>
            </c:numRef>
          </c:val>
        </c:ser>
        <c:dLbls>
          <c:showLegendKey val="0"/>
          <c:showVal val="0"/>
          <c:showCatName val="0"/>
          <c:showSerName val="0"/>
          <c:showPercent val="0"/>
          <c:showBubbleSize val="0"/>
        </c:dLbls>
        <c:gapWidth val="0"/>
        <c:overlap val="54"/>
        <c:axId val="498681180"/>
        <c:axId val="75338561"/>
      </c:barChart>
      <c:catAx>
        <c:axId val="4986811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338561"/>
        <c:crosses val="autoZero"/>
        <c:auto val="1"/>
        <c:lblAlgn val="ctr"/>
        <c:lblOffset val="100"/>
        <c:noMultiLvlLbl val="0"/>
      </c:catAx>
      <c:valAx>
        <c:axId val="75338561"/>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681180"/>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3c54b1-0472-4d0b-a9e4-00dfa53806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全年预算数、原账套数、决算数、重分类数对比图（金额：元）</a:t>
            </a:r>
          </a:p>
        </c:rich>
      </c:tx>
      <c:layout/>
      <c:overlay val="0"/>
      <c:spPr>
        <a:noFill/>
        <a:ln>
          <a:noFill/>
        </a:ln>
        <a:effectLst/>
      </c:spPr>
    </c:title>
    <c:autoTitleDeleted val="0"/>
    <c:plotArea>
      <c:layout/>
      <c:barChart>
        <c:barDir val="col"/>
        <c:grouping val="stacked"/>
        <c:varyColors val="0"/>
        <c:ser>
          <c:idx val="0"/>
          <c:order val="0"/>
          <c:tx>
            <c:strRef>
              <c:f>[2024年序时账底稿.xlsx]汇总!$C$108</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[2024年序时账底稿.xlsx]汇总!$D$107:$G$107</c:f>
              <c:strCache>
                <c:ptCount val="4"/>
                <c:pt idx="0">
                  <c:v>全年预算数</c:v>
                </c:pt>
                <c:pt idx="1">
                  <c:v>原账套数</c:v>
                </c:pt>
                <c:pt idx="2">
                  <c:v>决算数</c:v>
                </c:pt>
                <c:pt idx="3">
                  <c:v>重分类数</c:v>
                </c:pt>
              </c:strCache>
            </c:strRef>
          </c:cat>
          <c:val>
            <c:numRef>
              <c:f>[2024年序时账底稿.xlsx]汇总!$D$108:$G$108</c:f>
              <c:numCache>
                <c:formatCode>0.00%</c:formatCode>
                <c:ptCount val="4"/>
                <c:pt idx="0">
                  <c:v>0.551822554967856</c:v>
                </c:pt>
                <c:pt idx="1">
                  <c:v>0.541311914716973</c:v>
                </c:pt>
                <c:pt idx="2">
                  <c:v>0.551822554967856</c:v>
                </c:pt>
                <c:pt idx="3">
                  <c:v>0.599019959011759</c:v>
                </c:pt>
              </c:numCache>
            </c:numRef>
          </c:val>
        </c:ser>
        <c:ser>
          <c:idx val="1"/>
          <c:order val="1"/>
          <c:tx>
            <c:strRef>
              <c:f>[2024年序时账底稿.xlsx]汇总!$C$109</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[2024年序时账底稿.xlsx]汇总!$D$107:$G$107</c:f>
              <c:strCache>
                <c:ptCount val="4"/>
                <c:pt idx="0">
                  <c:v>全年预算数</c:v>
                </c:pt>
                <c:pt idx="1">
                  <c:v>原账套数</c:v>
                </c:pt>
                <c:pt idx="2">
                  <c:v>决算数</c:v>
                </c:pt>
                <c:pt idx="3">
                  <c:v>重分类数</c:v>
                </c:pt>
              </c:strCache>
            </c:strRef>
          </c:cat>
          <c:val>
            <c:numRef>
              <c:f>[2024年序时账底稿.xlsx]汇总!$D$109:$G$109</c:f>
              <c:numCache>
                <c:formatCode>0.00%</c:formatCode>
                <c:ptCount val="4"/>
                <c:pt idx="0">
                  <c:v>0.0105252550996207</c:v>
                </c:pt>
                <c:pt idx="1">
                  <c:v>0.0252655479555493</c:v>
                </c:pt>
                <c:pt idx="2">
                  <c:v>0.0105252550996207</c:v>
                </c:pt>
                <c:pt idx="3">
                  <c:v>0.0925458374218586</c:v>
                </c:pt>
              </c:numCache>
            </c:numRef>
          </c:val>
        </c:ser>
        <c:ser>
          <c:idx val="2"/>
          <c:order val="2"/>
          <c:tx>
            <c:strRef>
              <c:f>[2024年序时账底稿.xlsx]汇总!$C$110</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[2024年序时账底稿.xlsx]汇总!$D$107:$G$107</c:f>
              <c:strCache>
                <c:ptCount val="4"/>
                <c:pt idx="0">
                  <c:v>全年预算数</c:v>
                </c:pt>
                <c:pt idx="1">
                  <c:v>原账套数</c:v>
                </c:pt>
                <c:pt idx="2">
                  <c:v>决算数</c:v>
                </c:pt>
                <c:pt idx="3">
                  <c:v>重分类数</c:v>
                </c:pt>
              </c:strCache>
            </c:strRef>
          </c:cat>
          <c:val>
            <c:numRef>
              <c:f>[2024年序时账底稿.xlsx]汇总!$D$110:$G$110</c:f>
              <c:numCache>
                <c:formatCode>0.00%</c:formatCode>
                <c:ptCount val="4"/>
                <c:pt idx="0">
                  <c:v>0.437652189932523</c:v>
                </c:pt>
                <c:pt idx="1">
                  <c:v>0.433422537327477</c:v>
                </c:pt>
                <c:pt idx="2">
                  <c:v>0.437652189932523</c:v>
                </c:pt>
                <c:pt idx="3">
                  <c:v>0.308434203566382</c:v>
                </c:pt>
              </c:numCache>
            </c:numRef>
          </c:val>
        </c:ser>
        <c:dLbls>
          <c:showLegendKey val="0"/>
          <c:showVal val="1"/>
          <c:showCatName val="0"/>
          <c:showSerName val="0"/>
          <c:showPercent val="0"/>
          <c:showBubbleSize val="0"/>
        </c:dLbls>
        <c:gapWidth val="119"/>
        <c:overlap val="100"/>
        <c:serLines>
          <c:spPr>
            <a:ln w="12700" cap="flat" cmpd="sng" algn="ctr">
              <a:solidFill>
                <a:schemeClr val="tx1"/>
              </a:solidFill>
              <a:prstDash val="solid"/>
              <a:miter lim="800000"/>
              <a:headEnd type="arrow"/>
            </a:ln>
            <a:effectLst/>
          </c:spPr>
        </c:serLines>
        <c:axId val="890393390"/>
        <c:axId val="677396876"/>
      </c:barChart>
      <c:catAx>
        <c:axId val="8903933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7396876"/>
        <c:crosses val="autoZero"/>
        <c:auto val="1"/>
        <c:lblAlgn val="ctr"/>
        <c:lblOffset val="100"/>
        <c:noMultiLvlLbl val="0"/>
      </c:catAx>
      <c:valAx>
        <c:axId val="67739687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03933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5766bf-7222-4f4d-8e3b-3455a09ff5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人员经费重分类数图（金额：元）</a:t>
            </a:r>
          </a:p>
        </c:rich>
      </c:tx>
      <c:layout/>
      <c:overlay val="0"/>
      <c:spPr>
        <a:noFill/>
        <a:ln>
          <a:noFill/>
        </a:ln>
        <a:effectLst/>
      </c:spPr>
    </c:title>
    <c:autoTitleDeleted val="0"/>
    <c:plotArea>
      <c:layout/>
      <c:barChart>
        <c:barDir val="col"/>
        <c:grouping val="clustered"/>
        <c:varyColors val="0"/>
        <c:ser>
          <c:idx val="0"/>
          <c:order val="0"/>
          <c:tx>
            <c:strRef>
              <c:f>[2024年序时账底稿.xlsx]人员经费!$G$109</c:f>
              <c:strCache>
                <c:ptCount val="1"/>
                <c:pt idx="0">
                  <c:v>合计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[2024年序时账底稿.xlsx]人员经费!$C$110:$C$114</c:f>
              <c:strCache>
                <c:ptCount val="5"/>
                <c:pt idx="0">
                  <c:v>基本支出-人员经费-基本工资</c:v>
                </c:pt>
                <c:pt idx="1">
                  <c:v>基本支出-人员经费-其他社会保障缴费</c:v>
                </c:pt>
                <c:pt idx="2">
                  <c:v>基本支出-人员经费-住房公积金</c:v>
                </c:pt>
                <c:pt idx="3">
                  <c:v>基本支出-人员经费-津贴补贴</c:v>
                </c:pt>
                <c:pt idx="4">
                  <c:v>基本支出-人员经费-其他工资福利支出</c:v>
                </c:pt>
              </c:strCache>
            </c:strRef>
          </c:cat>
          <c:val>
            <c:numRef>
              <c:f>[2024年序时账底稿.xlsx]人员经费!$G$110:$G$114</c:f>
              <c:numCache>
                <c:formatCode>_ * #,##0.00_ ;_ * \-#,##0.00_ ;_ * "-"??_ ;_ @_ </c:formatCode>
                <c:ptCount val="5"/>
                <c:pt idx="0">
                  <c:v>168244.08</c:v>
                </c:pt>
                <c:pt idx="1">
                  <c:v>115181.8</c:v>
                </c:pt>
                <c:pt idx="2">
                  <c:v>57552</c:v>
                </c:pt>
                <c:pt idx="3">
                  <c:v>12991.28</c:v>
                </c:pt>
                <c:pt idx="4">
                  <c:v>19833</c:v>
                </c:pt>
              </c:numCache>
            </c:numRef>
          </c:val>
        </c:ser>
        <c:dLbls>
          <c:showLegendKey val="0"/>
          <c:showVal val="1"/>
          <c:showCatName val="0"/>
          <c:showSerName val="0"/>
          <c:showPercent val="0"/>
          <c:showBubbleSize val="0"/>
        </c:dLbls>
        <c:gapWidth val="246"/>
        <c:overlap val="-28"/>
        <c:axId val="103394369"/>
        <c:axId val="391897860"/>
      </c:barChart>
      <c:catAx>
        <c:axId val="1033943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897860"/>
        <c:crosses val="autoZero"/>
        <c:auto val="1"/>
        <c:lblAlgn val="ctr"/>
        <c:lblOffset val="100"/>
        <c:noMultiLvlLbl val="0"/>
      </c:catAx>
      <c:valAx>
        <c:axId val="391897860"/>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3943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c29caf8-8a63-4e0a-b67d-c400015d8b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公用经费重分类数图（金额：元）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[2024年序时账底稿.xlsx]公用经费!$B$47:$B$52</c:f>
              <c:strCache>
                <c:ptCount val="6"/>
                <c:pt idx="0">
                  <c:v>基本支出-公用经费-工会经费</c:v>
                </c:pt>
                <c:pt idx="1">
                  <c:v>基本支出-公用经费-食堂餐费</c:v>
                </c:pt>
                <c:pt idx="2">
                  <c:v>基本支出-公用经费-办公经费-办公用品</c:v>
                </c:pt>
                <c:pt idx="3">
                  <c:v>基本支出-公用经费-咨询报告 </c:v>
                </c:pt>
                <c:pt idx="4">
                  <c:v>基本支出-公用经费-办公经费-报刊杂志</c:v>
                </c:pt>
                <c:pt idx="5">
                  <c:v>基本支出-公用经费-办公经费-杂费（加班餐费，运输费，公章，印刷费）</c:v>
                </c:pt>
              </c:strCache>
            </c:strRef>
          </c:cat>
          <c:val>
            <c:numRef>
              <c:f>[2024年序时账底稿.xlsx]公用经费!$C$47:$C$52</c:f>
              <c:numCache>
                <c:formatCode>_ * #,##0.00_ ;_ * \-#,##0.00_ ;_ * "-"??_ ;_ @_ </c:formatCode>
                <c:ptCount val="6"/>
                <c:pt idx="0">
                  <c:v>16927</c:v>
                </c:pt>
                <c:pt idx="1">
                  <c:v>14248</c:v>
                </c:pt>
                <c:pt idx="2">
                  <c:v>13931</c:v>
                </c:pt>
                <c:pt idx="3">
                  <c:v>10000</c:v>
                </c:pt>
                <c:pt idx="4">
                  <c:v>1492</c:v>
                </c:pt>
                <c:pt idx="5">
                  <c:v>1152.72</c:v>
                </c:pt>
              </c:numCache>
            </c:numRef>
          </c:val>
        </c:ser>
        <c:dLbls>
          <c:showLegendKey val="0"/>
          <c:showVal val="1"/>
          <c:showCatName val="0"/>
          <c:showSerName val="0"/>
          <c:showPercent val="0"/>
          <c:showBubbleSize val="0"/>
        </c:dLbls>
        <c:gapWidth val="216"/>
        <c:overlap val="-32"/>
        <c:axId val="323302524"/>
        <c:axId val="545740681"/>
      </c:barChart>
      <c:catAx>
        <c:axId val="3233025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740681"/>
        <c:crosses val="autoZero"/>
        <c:auto val="1"/>
        <c:lblAlgn val="ctr"/>
        <c:lblOffset val="100"/>
        <c:noMultiLvlLbl val="0"/>
      </c:catAx>
      <c:valAx>
        <c:axId val="545740681"/>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3025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fa7c57e8-e61d-4f9f-b79d-1a9cf725f5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项目支出重分类图（金额：元）</a:t>
            </a:r>
          </a:p>
        </c:rich>
      </c:tx>
      <c:layout/>
      <c:overlay val="0"/>
      <c:spPr>
        <a:noFill/>
        <a:ln>
          <a:noFill/>
        </a:ln>
        <a:effectLst/>
      </c:spPr>
    </c:title>
    <c:autoTitleDeleted val="0"/>
    <c:plotArea>
      <c:layout/>
      <c:barChart>
        <c:barDir val="col"/>
        <c:grouping val="clustered"/>
        <c:varyColors val="0"/>
        <c:ser>
          <c:idx val="0"/>
          <c:order val="0"/>
          <c:tx>
            <c:strRef>
              <c:f>[2024年序时账底稿.xlsx]项目支出!$G$84</c:f>
              <c:strCache>
                <c:ptCount val="1"/>
                <c:pt idx="0">
                  <c:v>合计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[2024年序时账底稿.xlsx]项目支出!$C$85:$C$87</c:f>
              <c:strCache>
                <c:ptCount val="3"/>
                <c:pt idx="0">
                  <c:v>项目支出-奖补资金</c:v>
                </c:pt>
                <c:pt idx="1">
                  <c:v>项目支出-培训费</c:v>
                </c:pt>
                <c:pt idx="2">
                  <c:v>项目支出-宣传费</c:v>
                </c:pt>
              </c:strCache>
            </c:strRef>
          </c:cat>
          <c:val>
            <c:numRef>
              <c:f>[2024年序时账底稿.xlsx]项目支出!$G$85:$G$87</c:f>
              <c:numCache>
                <c:formatCode>_ * #,##0.00_ ;_ * \-#,##0.00_ ;_ * "-"??_ ;_ @_ </c:formatCode>
                <c:ptCount val="3"/>
                <c:pt idx="0">
                  <c:v>150000</c:v>
                </c:pt>
                <c:pt idx="1">
                  <c:v>23100</c:v>
                </c:pt>
                <c:pt idx="2">
                  <c:v>19370</c:v>
                </c:pt>
              </c:numCache>
            </c:numRef>
          </c:val>
        </c:ser>
        <c:dLbls>
          <c:showLegendKey val="0"/>
          <c:showVal val="1"/>
          <c:showCatName val="0"/>
          <c:showSerName val="0"/>
          <c:showPercent val="0"/>
          <c:showBubbleSize val="0"/>
        </c:dLbls>
        <c:gapWidth val="246"/>
        <c:overlap val="-28"/>
        <c:axId val="711637551"/>
        <c:axId val="708707316"/>
      </c:barChart>
      <c:catAx>
        <c:axId val="7116375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8707316"/>
        <c:crosses val="autoZero"/>
        <c:auto val="1"/>
        <c:lblAlgn val="ctr"/>
        <c:lblOffset val="100"/>
        <c:noMultiLvlLbl val="0"/>
      </c:catAx>
      <c:valAx>
        <c:axId val="708707316"/>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637551"/>
        <c:crosses val="autoZero"/>
        <c:crossBetween val="between"/>
      </c:valAx>
      <c:spPr>
        <a:noFill/>
        <a:ln>
          <a:noFill/>
        </a:ln>
        <a:effectLst/>
      </c:spPr>
    </c:plotArea>
    <c:plotVisOnly val="1"/>
    <c:dispBlanksAs val="gap"/>
    <c:showDLblsOverMax val="0"/>
    <c:extLst>
      <c:ext uri="{0b15fc19-7d7d-44ad-8c2d-2c3a37ce22c3}">
        <chartProps xmlns="https://web.wps.cn/et/2018/main" chartId="{472187ed-5903-4f4e-86bb-e10167e844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6128</Words>
  <Characters>6536</Characters>
  <Lines>0</Lines>
  <Paragraphs>0</Paragraphs>
  <TotalTime>4</TotalTime>
  <ScaleCrop>false</ScaleCrop>
  <LinksUpToDate>false</LinksUpToDate>
  <CharactersWithSpaces>6576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2025-10-21T07:54:00Z</cp:lastPrinted>
  <dcterms:modified xsi:type="dcterms:W3CDTF">2025-12-15T00:54:10Z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79224C720F06428CA3CC04C92A854D1A_13</vt:lpwstr>
  </property>
  <property fmtid="{D5CDD505-2E9C-101B-9397-08002B2CF9AE}" pid="4" name="KSOTemplateDocerSaveRecord">
    <vt:lpwstr>eyJoZGlkIjoiYTU1ZDEwZTk0MTQ5Yzc0MGYxMWRkMmUyNzBiYmUzMGUiLCJ1c2VySWQiOiIyNzQ3NjA5MzgifQ==</vt:lpwstr>
  </property>
</Properties>
</file>