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style1.xml" ContentType="application/vnd.ms-office.chartstyle+xml"/>
  <Override PartName="/word/charts/style2.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F846A6">
      <w:pPr>
        <w:widowControl w:val="0"/>
        <w:jc w:val="distribute"/>
        <w:rPr>
          <w:rFonts w:hint="eastAsia" w:ascii="仿宋" w:hAnsi="仿宋" w:eastAsia="仿宋" w:cs="仿宋"/>
          <w:b/>
          <w:bCs/>
          <w:sz w:val="36"/>
          <w:szCs w:val="36"/>
          <w:lang w:eastAsia="zh-CN"/>
        </w:rPr>
      </w:pPr>
      <w:r>
        <w:rPr>
          <w:sz w:val="36"/>
        </w:rPr>
        <mc:AlternateContent>
          <mc:Choice Requires="wps">
            <w:drawing>
              <wp:anchor distT="0" distB="0" distL="114300" distR="114300" simplePos="0" relativeHeight="251662336" behindDoc="0" locked="0" layoutInCell="1" allowOverlap="1">
                <wp:simplePos x="0" y="0"/>
                <wp:positionH relativeFrom="column">
                  <wp:posOffset>5339715</wp:posOffset>
                </wp:positionH>
                <wp:positionV relativeFrom="paragraph">
                  <wp:posOffset>-565150</wp:posOffset>
                </wp:positionV>
                <wp:extent cx="666750" cy="592455"/>
                <wp:effectExtent l="0" t="0" r="0" b="17145"/>
                <wp:wrapNone/>
                <wp:docPr id="40" name="文本框 40"/>
                <wp:cNvGraphicFramePr/>
                <a:graphic xmlns:a="http://schemas.openxmlformats.org/drawingml/2006/main">
                  <a:graphicData uri="http://schemas.microsoft.com/office/word/2010/wordprocessingShape">
                    <wps:wsp>
                      <wps:cNvSpPr txBox="1"/>
                      <wps:spPr>
                        <a:xfrm>
                          <a:off x="0" y="0"/>
                          <a:ext cx="666750" cy="59245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47DD29C4">
                            <w:pPr>
                              <w:jc w:val="center"/>
                              <w:rPr>
                                <w:rFonts w:hint="default"/>
                                <w:b/>
                                <w:bCs/>
                                <w:sz w:val="32"/>
                                <w:szCs w:val="32"/>
                                <w:lang w:val="en-US" w:eastAsia="zh-CN"/>
                              </w:rPr>
                            </w:pPr>
                            <w:r>
                              <w:rPr>
                                <w:rFonts w:hint="eastAsia"/>
                                <w:b/>
                                <w:bCs/>
                                <w:sz w:val="32"/>
                                <w:szCs w:val="32"/>
                                <w:lang w:val="en-US" w:eastAsia="zh-CN"/>
                              </w:rPr>
                              <w:t>B9</w:t>
                            </w:r>
                          </w:p>
                          <w:p w14:paraId="2C473F4B">
                            <w:pPr>
                              <w:jc w:val="center"/>
                              <w:rPr>
                                <w:rFonts w:hint="default"/>
                                <w:b/>
                                <w:bCs/>
                                <w:sz w:val="32"/>
                                <w:szCs w:val="32"/>
                                <w:lang w:val="en-US" w:eastAsia="zh-CN"/>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420.45pt;margin-top:-44.5pt;height:46.65pt;width:52.5pt;z-index:251662336;mso-width-relative:page;mso-height-relative:page;" fillcolor="#FFFFFF [3201]" filled="t" stroked="f" coordsize="21600,21600" o:gfxdata="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CWtbdrVAAAACQEAAA8AAAAAAAAA&#10;AQAgAAAAIgAAAGRycy9kb3ducmV2LnhtbFBLAQIUABQAAAAIAIdO4kC8koLiTQIAAJAEAAAOAAAA&#10;AAAAAAEAIAAAACQBAABkcnMvZTJvRG9jLnhtbFBLBQYAAAAABgAGAFkBAADjBQAAAAA=&#10;">
                <v:fill on="t" focussize="0,0"/>
                <v:stroke on="f" weight="0.5pt"/>
                <v:imagedata o:title=""/>
                <o:lock v:ext="edit" aspectratio="f"/>
                <v:textbox>
                  <w:txbxContent>
                    <w:p w14:paraId="47DD29C4">
                      <w:pPr>
                        <w:jc w:val="center"/>
                        <w:rPr>
                          <w:rFonts w:hint="default"/>
                          <w:b/>
                          <w:bCs/>
                          <w:sz w:val="32"/>
                          <w:szCs w:val="32"/>
                          <w:lang w:val="en-US" w:eastAsia="zh-CN"/>
                        </w:rPr>
                      </w:pPr>
                      <w:r>
                        <w:rPr>
                          <w:rFonts w:hint="eastAsia"/>
                          <w:b/>
                          <w:bCs/>
                          <w:sz w:val="32"/>
                          <w:szCs w:val="32"/>
                          <w:lang w:val="en-US" w:eastAsia="zh-CN"/>
                        </w:rPr>
                        <w:t>B9</w:t>
                      </w:r>
                    </w:p>
                    <w:p w14:paraId="2C473F4B">
                      <w:pPr>
                        <w:jc w:val="center"/>
                        <w:rPr>
                          <w:rFonts w:hint="default"/>
                          <w:b/>
                          <w:bCs/>
                          <w:sz w:val="32"/>
                          <w:szCs w:val="32"/>
                          <w:lang w:val="en-US" w:eastAsia="zh-CN"/>
                        </w:rPr>
                      </w:pPr>
                    </w:p>
                  </w:txbxContent>
                </v:textbox>
              </v:shape>
            </w:pict>
          </mc:Fallback>
        </mc:AlternateContent>
      </w:r>
      <w:r>
        <w:rPr>
          <w:rFonts w:hint="eastAsia" w:ascii="仿宋" w:hAnsi="仿宋" w:eastAsia="仿宋" w:cs="仿宋"/>
          <w:b/>
          <w:bCs/>
          <w:sz w:val="36"/>
          <w:szCs w:val="36"/>
          <w:lang w:eastAsia="zh-CN"/>
        </w:rPr>
        <w:t>湖南浩元会计师事务所（普通合伙）</w:t>
      </w:r>
    </w:p>
    <w:p w14:paraId="2EE52B05">
      <w:pPr>
        <w:widowControl w:val="0"/>
        <w:jc w:val="center"/>
        <w:rPr>
          <w:rFonts w:hint="eastAsia" w:ascii="仿宋" w:hAnsi="仿宋" w:eastAsia="仿宋" w:cs="仿宋"/>
          <w:b/>
          <w:bCs/>
          <w:sz w:val="36"/>
          <w:szCs w:val="36"/>
          <w:lang w:eastAsia="zh-CN"/>
        </w:rPr>
      </w:pPr>
      <w:r>
        <w:rPr>
          <w:rFonts w:hint="eastAsia" w:ascii="仿宋" w:hAnsi="仿宋" w:eastAsia="仿宋" w:cs="仿宋"/>
          <w:b/>
          <w:bCs/>
          <w:sz w:val="36"/>
          <w:szCs w:val="36"/>
          <w:lang w:eastAsia="zh-CN"/>
        </w:rPr>
        <w:t>Hunan Haoyuan Certified Public Accountants GP</w:t>
      </w:r>
    </w:p>
    <w:p w14:paraId="05C4277D">
      <w:pPr>
        <w:widowControl w:val="0"/>
        <w:jc w:val="center"/>
        <w:rPr>
          <w:rFonts w:hint="eastAsia" w:ascii="仿宋" w:hAnsi="仿宋" w:eastAsia="仿宋" w:cs="仿宋"/>
          <w:sz w:val="32"/>
          <w:szCs w:val="32"/>
          <w:lang w:eastAsia="zh-CN"/>
        </w:rPr>
      </w:pPr>
    </w:p>
    <w:p w14:paraId="2CE24707">
      <w:pPr>
        <w:widowControl w:val="0"/>
        <w:jc w:val="both"/>
        <w:rPr>
          <w:rFonts w:hint="eastAsia" w:ascii="仿宋" w:hAnsi="仿宋" w:eastAsia="仿宋" w:cs="仿宋"/>
          <w:sz w:val="32"/>
          <w:szCs w:val="32"/>
          <w:lang w:eastAsia="zh-CN"/>
        </w:rPr>
      </w:pPr>
    </w:p>
    <w:p w14:paraId="4BA2C105">
      <w:pPr>
        <w:widowControl w:val="0"/>
        <w:jc w:val="both"/>
        <w:rPr>
          <w:rFonts w:hint="eastAsia" w:ascii="仿宋" w:hAnsi="仿宋" w:eastAsia="仿宋" w:cs="仿宋"/>
          <w:sz w:val="32"/>
          <w:szCs w:val="32"/>
          <w:lang w:eastAsia="zh-CN"/>
        </w:rPr>
      </w:pPr>
    </w:p>
    <w:p w14:paraId="7F0AE20D">
      <w:pPr>
        <w:widowControl w:val="0"/>
        <w:jc w:val="center"/>
        <w:rPr>
          <w:rFonts w:hint="eastAsia" w:ascii="方正隶二简体" w:hAnsi="方正隶二简体" w:eastAsia="方正隶二简体" w:cs="方正隶二简体"/>
          <w:sz w:val="72"/>
          <w:szCs w:val="72"/>
          <w:lang w:eastAsia="zh-CN"/>
        </w:rPr>
      </w:pPr>
      <w:r>
        <w:rPr>
          <w:rFonts w:hint="eastAsia" w:ascii="方正隶二简体" w:hAnsi="方正隶二简体" w:eastAsia="方正隶二简体" w:cs="方正隶二简体"/>
          <w:sz w:val="72"/>
          <w:szCs w:val="72"/>
          <w:lang w:val="en-US" w:eastAsia="zh-CN"/>
        </w:rPr>
        <w:t>绩效评价</w:t>
      </w:r>
      <w:r>
        <w:rPr>
          <w:rFonts w:hint="eastAsia" w:ascii="方正隶二简体" w:hAnsi="方正隶二简体" w:eastAsia="方正隶二简体" w:cs="方正隶二简体"/>
          <w:sz w:val="72"/>
          <w:szCs w:val="72"/>
          <w:lang w:eastAsia="zh-CN"/>
        </w:rPr>
        <w:t>报告</w:t>
      </w:r>
    </w:p>
    <w:p w14:paraId="59FC2698">
      <w:pPr>
        <w:widowControl w:val="0"/>
        <w:jc w:val="center"/>
        <w:rPr>
          <w:rFonts w:hint="eastAsia" w:ascii="仿宋" w:hAnsi="仿宋" w:eastAsia="仿宋" w:cs="仿宋"/>
          <w:sz w:val="32"/>
          <w:szCs w:val="32"/>
          <w:lang w:eastAsia="zh-CN"/>
        </w:rPr>
      </w:pPr>
      <w:r>
        <w:rPr>
          <w:rFonts w:hint="eastAsia" w:ascii="仿宋" w:hAnsi="仿宋" w:eastAsia="仿宋" w:cs="仿宋"/>
          <w:sz w:val="32"/>
          <w:szCs w:val="32"/>
          <w:lang w:eastAsia="zh-CN"/>
        </w:rPr>
        <w:t>湘浩元</w:t>
      </w:r>
      <w:r>
        <w:rPr>
          <w:rFonts w:hint="eastAsia" w:ascii="仿宋" w:hAnsi="仿宋" w:eastAsia="仿宋" w:cs="仿宋"/>
          <w:sz w:val="32"/>
          <w:szCs w:val="32"/>
          <w:lang w:val="en-US" w:eastAsia="zh-CN"/>
        </w:rPr>
        <w:t>评</w:t>
      </w:r>
      <w:r>
        <w:rPr>
          <w:rFonts w:hint="eastAsia" w:ascii="仿宋" w:hAnsi="仿宋" w:eastAsia="仿宋" w:cs="仿宋"/>
          <w:sz w:val="32"/>
          <w:szCs w:val="32"/>
          <w:lang w:eastAsia="zh-CN"/>
        </w:rPr>
        <w:t>字[202</w:t>
      </w:r>
      <w:r>
        <w:rPr>
          <w:rFonts w:hint="eastAsia" w:ascii="仿宋" w:hAnsi="仿宋" w:eastAsia="仿宋" w:cs="仿宋"/>
          <w:sz w:val="32"/>
          <w:szCs w:val="32"/>
          <w:lang w:val="en-US" w:eastAsia="zh-CN"/>
        </w:rPr>
        <w:t>5</w:t>
      </w:r>
      <w:r>
        <w:rPr>
          <w:rFonts w:hint="eastAsia" w:ascii="仿宋" w:hAnsi="仿宋" w:eastAsia="仿宋" w:cs="仿宋"/>
          <w:sz w:val="32"/>
          <w:szCs w:val="32"/>
          <w:lang w:eastAsia="zh-CN"/>
        </w:rPr>
        <w:t>]第号</w:t>
      </w:r>
    </w:p>
    <w:p w14:paraId="5FA7B718">
      <w:pPr>
        <w:widowControl w:val="0"/>
        <w:jc w:val="center"/>
        <w:rPr>
          <w:rFonts w:hint="eastAsia" w:ascii="仿宋" w:hAnsi="仿宋" w:eastAsia="仿宋" w:cs="仿宋"/>
          <w:sz w:val="32"/>
          <w:szCs w:val="32"/>
          <w:lang w:eastAsia="zh-CN"/>
        </w:rPr>
      </w:pPr>
    </w:p>
    <w:p w14:paraId="24348FBC">
      <w:pPr>
        <w:widowControl w:val="0"/>
        <w:jc w:val="both"/>
        <w:rPr>
          <w:rFonts w:hint="eastAsia" w:ascii="仿宋" w:hAnsi="仿宋" w:eastAsia="仿宋" w:cs="仿宋"/>
          <w:sz w:val="32"/>
          <w:szCs w:val="32"/>
          <w:lang w:eastAsia="zh-CN"/>
        </w:rPr>
      </w:pPr>
    </w:p>
    <w:p w14:paraId="60A0E5B7">
      <w:pPr>
        <w:widowControl w:val="0"/>
        <w:jc w:val="center"/>
        <w:rPr>
          <w:rFonts w:hint="eastAsia" w:ascii="黑体" w:hAnsi="黑体" w:eastAsia="黑体" w:cs="黑体"/>
          <w:sz w:val="36"/>
          <w:szCs w:val="36"/>
          <w:lang w:val="en-US" w:eastAsia="zh-CN"/>
        </w:rPr>
      </w:pPr>
      <w:r>
        <w:rPr>
          <w:rFonts w:hint="eastAsia" w:ascii="黑体" w:hAnsi="黑体" w:eastAsia="黑体" w:cs="黑体"/>
          <w:sz w:val="36"/>
          <w:szCs w:val="36"/>
          <w:lang w:val="en-US" w:eastAsia="zh-CN"/>
        </w:rPr>
        <w:t>2024年雁峰区人民政府办公室</w:t>
      </w:r>
    </w:p>
    <w:p w14:paraId="08E74D41">
      <w:pPr>
        <w:widowControl w:val="0"/>
        <w:jc w:val="center"/>
        <w:rPr>
          <w:rFonts w:hint="default" w:ascii="黑体" w:hAnsi="黑体" w:eastAsia="黑体" w:cs="黑体"/>
          <w:sz w:val="36"/>
          <w:szCs w:val="36"/>
          <w:lang w:val="en-US" w:eastAsia="zh-CN"/>
        </w:rPr>
      </w:pPr>
      <w:r>
        <w:rPr>
          <w:rFonts w:hint="eastAsia" w:ascii="黑体" w:hAnsi="黑体" w:eastAsia="黑体" w:cs="黑体"/>
          <w:sz w:val="36"/>
          <w:szCs w:val="36"/>
          <w:lang w:val="en-US" w:eastAsia="zh-CN"/>
        </w:rPr>
        <w:t>部门整体支出</w:t>
      </w:r>
    </w:p>
    <w:p w14:paraId="4B8D29C5">
      <w:pPr>
        <w:keepNext w:val="0"/>
        <w:keepLines w:val="0"/>
        <w:pageBreakBefore w:val="0"/>
        <w:widowControl/>
        <w:kinsoku/>
        <w:wordWrap/>
        <w:overflowPunct/>
        <w:topLinePunct w:val="0"/>
        <w:autoSpaceDE/>
        <w:autoSpaceDN/>
        <w:bidi w:val="0"/>
        <w:adjustRightInd/>
        <w:snapToGrid/>
        <w:spacing w:before="567" w:line="360" w:lineRule="auto"/>
        <w:jc w:val="both"/>
        <w:textAlignment w:val="auto"/>
        <w:rPr>
          <w:rFonts w:hint="eastAsia" w:ascii="黑体" w:hAnsi="黑体" w:eastAsia="黑体" w:cs="黑体"/>
          <w:sz w:val="52"/>
          <w:szCs w:val="52"/>
          <w:u w:val="none"/>
          <w:lang w:eastAsia="zh-CN"/>
        </w:rPr>
      </w:pPr>
    </w:p>
    <w:p w14:paraId="73DC98AA">
      <w:pPr>
        <w:keepNext w:val="0"/>
        <w:keepLines w:val="0"/>
        <w:pageBreakBefore w:val="0"/>
        <w:widowControl/>
        <w:kinsoku/>
        <w:wordWrap/>
        <w:overflowPunct/>
        <w:topLinePunct w:val="0"/>
        <w:autoSpaceDE/>
        <w:autoSpaceDN/>
        <w:bidi w:val="0"/>
        <w:adjustRightInd/>
        <w:snapToGrid/>
        <w:spacing w:line="360" w:lineRule="auto"/>
        <w:ind w:left="0" w:leftChars="0" w:firstLine="0" w:firstLineChars="0"/>
        <w:textAlignment w:val="auto"/>
        <w:rPr>
          <w:rFonts w:hint="default"/>
          <w:u w:val="none"/>
          <w:lang w:val="en-US" w:eastAsia="zh-CN"/>
        </w:rPr>
      </w:pPr>
    </w:p>
    <w:p w14:paraId="568F0119">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b/>
          <w:bCs/>
          <w:sz w:val="32"/>
          <w:szCs w:val="32"/>
          <w:u w:val="none"/>
          <w:lang w:val="en-US" w:eastAsia="zh-CN"/>
        </w:rPr>
      </w:pPr>
    </w:p>
    <w:p w14:paraId="69164F41">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b/>
          <w:bCs/>
          <w:sz w:val="32"/>
          <w:szCs w:val="32"/>
          <w:u w:val="none"/>
          <w:lang w:val="en-US" w:eastAsia="zh-CN"/>
        </w:rPr>
      </w:pPr>
    </w:p>
    <w:p w14:paraId="40503361">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b/>
          <w:bCs/>
          <w:sz w:val="32"/>
          <w:szCs w:val="32"/>
          <w:u w:val="none"/>
          <w:lang w:val="en-US" w:eastAsia="zh-CN"/>
        </w:rPr>
      </w:pPr>
      <w:r>
        <w:rPr>
          <w:rFonts w:hint="eastAsia" w:ascii="宋体" w:hAnsi="宋体" w:eastAsia="宋体" w:cs="宋体"/>
          <w:b/>
          <w:bCs/>
          <w:sz w:val="32"/>
          <w:szCs w:val="32"/>
          <w:u w:val="none"/>
          <w:lang w:val="en-US" w:eastAsia="zh-CN"/>
        </w:rPr>
        <w:t>项目单位：雁峰区人民政府办公室</w:t>
      </w:r>
    </w:p>
    <w:p w14:paraId="4665FB66">
      <w:pPr>
        <w:keepNext w:val="0"/>
        <w:keepLines w:val="0"/>
        <w:pageBreakBefore w:val="0"/>
        <w:widowControl/>
        <w:kinsoku/>
        <w:wordWrap/>
        <w:overflowPunct/>
        <w:topLinePunct w:val="0"/>
        <w:autoSpaceDE/>
        <w:autoSpaceDN/>
        <w:bidi w:val="0"/>
        <w:adjustRightInd/>
        <w:snapToGrid/>
        <w:spacing w:line="360" w:lineRule="auto"/>
        <w:textAlignment w:val="auto"/>
        <w:rPr>
          <w:rFonts w:hint="default" w:ascii="宋体" w:hAnsi="宋体" w:eastAsia="宋体" w:cs="宋体"/>
          <w:b/>
          <w:bCs/>
          <w:sz w:val="32"/>
          <w:szCs w:val="32"/>
          <w:u w:val="none"/>
          <w:lang w:val="en-US" w:eastAsia="zh-CN"/>
        </w:rPr>
      </w:pPr>
      <w:r>
        <w:rPr>
          <w:rFonts w:hint="eastAsia" w:ascii="宋体" w:hAnsi="宋体" w:eastAsia="宋体" w:cs="宋体"/>
          <w:b/>
          <w:bCs/>
          <w:sz w:val="32"/>
          <w:szCs w:val="32"/>
          <w:u w:val="none"/>
          <w:lang w:val="en-US" w:eastAsia="zh-CN"/>
        </w:rPr>
        <w:t>主管单位</w:t>
      </w:r>
      <w:r>
        <w:rPr>
          <w:rFonts w:hint="eastAsia" w:ascii="宋体" w:hAnsi="宋体" w:eastAsia="宋体" w:cs="宋体"/>
          <w:b/>
          <w:bCs/>
          <w:sz w:val="32"/>
          <w:szCs w:val="32"/>
          <w:highlight w:val="none"/>
          <w:u w:val="none"/>
          <w:lang w:val="en-US" w:eastAsia="zh-CN"/>
        </w:rPr>
        <w:t>：雁峰区人民政府</w:t>
      </w:r>
    </w:p>
    <w:p w14:paraId="7BC40457">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b/>
          <w:bCs/>
          <w:sz w:val="32"/>
          <w:szCs w:val="32"/>
          <w:u w:val="none"/>
          <w:lang w:val="en-US" w:eastAsia="zh-CN"/>
        </w:rPr>
      </w:pPr>
      <w:r>
        <w:rPr>
          <w:rFonts w:hint="eastAsia" w:ascii="宋体" w:hAnsi="宋体" w:eastAsia="宋体" w:cs="宋体"/>
          <w:b/>
          <w:bCs/>
          <w:sz w:val="32"/>
          <w:szCs w:val="32"/>
          <w:u w:val="none"/>
          <w:lang w:val="en-US" w:eastAsia="zh-CN"/>
        </w:rPr>
        <w:t>委托单位：雁峰区财政局</w:t>
      </w:r>
    </w:p>
    <w:p w14:paraId="0179B913">
      <w:pPr>
        <w:keepNext w:val="0"/>
        <w:keepLines w:val="0"/>
        <w:pageBreakBefore w:val="0"/>
        <w:widowControl/>
        <w:kinsoku/>
        <w:wordWrap/>
        <w:overflowPunct/>
        <w:topLinePunct w:val="0"/>
        <w:autoSpaceDE/>
        <w:autoSpaceDN/>
        <w:bidi w:val="0"/>
        <w:adjustRightInd/>
        <w:snapToGrid/>
        <w:spacing w:line="360" w:lineRule="auto"/>
        <w:textAlignment w:val="auto"/>
        <w:rPr>
          <w:rFonts w:hint="default" w:ascii="宋体" w:hAnsi="宋体" w:eastAsia="宋体" w:cs="宋体"/>
          <w:b/>
          <w:bCs/>
          <w:sz w:val="32"/>
          <w:szCs w:val="32"/>
          <w:u w:val="none"/>
          <w:lang w:val="en-US" w:eastAsia="zh-CN"/>
        </w:rPr>
      </w:pPr>
      <w:r>
        <w:rPr>
          <w:rFonts w:hint="eastAsia" w:ascii="宋体" w:hAnsi="宋体" w:eastAsia="宋体" w:cs="宋体"/>
          <w:b/>
          <w:bCs/>
          <w:spacing w:val="320"/>
          <w:kern w:val="0"/>
          <w:sz w:val="32"/>
          <w:szCs w:val="32"/>
          <w:u w:val="none"/>
          <w:fitText w:val="1280" w:id="2085554003"/>
          <w:lang w:val="en-US" w:eastAsia="zh-CN"/>
        </w:rPr>
        <w:t>日</w:t>
      </w:r>
      <w:r>
        <w:rPr>
          <w:rFonts w:hint="eastAsia" w:ascii="宋体" w:hAnsi="宋体" w:eastAsia="宋体" w:cs="宋体"/>
          <w:b/>
          <w:bCs/>
          <w:spacing w:val="0"/>
          <w:kern w:val="0"/>
          <w:sz w:val="32"/>
          <w:szCs w:val="32"/>
          <w:u w:val="none"/>
          <w:fitText w:val="1280" w:id="2085554003"/>
          <w:lang w:val="en-US" w:eastAsia="zh-CN"/>
        </w:rPr>
        <w:t>期</w:t>
      </w:r>
      <w:r>
        <w:rPr>
          <w:rFonts w:hint="eastAsia" w:ascii="宋体" w:hAnsi="宋体" w:eastAsia="宋体" w:cs="宋体"/>
          <w:b/>
          <w:bCs/>
          <w:sz w:val="32"/>
          <w:szCs w:val="32"/>
          <w:u w:val="none"/>
          <w:lang w:val="en-US" w:eastAsia="zh-CN"/>
        </w:rPr>
        <w:t>：2025年12月15日</w:t>
      </w:r>
    </w:p>
    <w:p w14:paraId="482C60CD">
      <w:pPr>
        <w:pStyle w:val="12"/>
        <w:tabs>
          <w:tab w:val="right" w:leader="dot" w:pos="8306"/>
        </w:tabs>
        <w:ind w:firstLine="643" w:firstLineChars="200"/>
        <w:jc w:val="center"/>
        <w:rPr>
          <w:rFonts w:hint="default" w:asciiTheme="minorAscii" w:hAnsiTheme="minorAscii" w:eastAsiaTheme="minorEastAsia"/>
          <w:b/>
          <w:bCs/>
          <w:sz w:val="32"/>
          <w:szCs w:val="36"/>
          <w:u w:val="none"/>
          <w:lang w:val="en-US" w:eastAsia="zh-CN"/>
        </w:rPr>
        <w:sectPr>
          <w:headerReference r:id="rId3" w:type="default"/>
          <w:footerReference r:id="rId4" w:type="default"/>
          <w:pgSz w:w="11906" w:h="16838"/>
          <w:pgMar w:top="1440" w:right="1803" w:bottom="1440" w:left="1803" w:header="851" w:footer="992" w:gutter="0"/>
          <w:pgBorders>
            <w:top w:val="none" w:sz="0" w:space="0"/>
            <w:left w:val="none" w:sz="0" w:space="0"/>
            <w:bottom w:val="none" w:sz="0" w:space="0"/>
            <w:right w:val="none" w:sz="0" w:space="0"/>
          </w:pgBorders>
          <w:cols w:space="0" w:num="1"/>
          <w:rtlGutter w:val="0"/>
          <w:docGrid w:type="lines" w:linePitch="332" w:charSpace="0"/>
        </w:sectPr>
      </w:pPr>
    </w:p>
    <w:p w14:paraId="3EF9BD3A">
      <w:pPr>
        <w:pStyle w:val="12"/>
        <w:keepNext w:val="0"/>
        <w:keepLines w:val="0"/>
        <w:pageBreakBefore w:val="0"/>
        <w:widowControl/>
        <w:tabs>
          <w:tab w:val="center" w:pos="4210"/>
          <w:tab w:val="left" w:pos="5980"/>
          <w:tab w:val="right" w:leader="dot" w:pos="8300"/>
        </w:tabs>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bCs/>
          <w:sz w:val="44"/>
          <w:szCs w:val="44"/>
          <w:lang w:val="en-US" w:eastAsia="zh-CN"/>
        </w:rPr>
      </w:pPr>
      <w:r>
        <w:rPr>
          <w:rFonts w:hint="eastAsia" w:ascii="方正小标宋简体" w:hAnsi="方正小标宋简体" w:eastAsia="方正小标宋简体" w:cs="方正小标宋简体"/>
          <w:b/>
          <w:bCs/>
          <w:spacing w:val="280"/>
          <w:kern w:val="0"/>
          <w:sz w:val="44"/>
          <w:szCs w:val="44"/>
          <w:fitText w:val="1440" w:id="1955599196"/>
          <w:lang w:val="en-US" w:eastAsia="zh-CN"/>
        </w:rPr>
        <w:t>目</w:t>
      </w:r>
      <w:r>
        <w:rPr>
          <w:rFonts w:hint="eastAsia" w:ascii="方正小标宋简体" w:hAnsi="方正小标宋简体" w:eastAsia="方正小标宋简体" w:cs="方正小标宋简体"/>
          <w:b/>
          <w:bCs/>
          <w:spacing w:val="0"/>
          <w:kern w:val="0"/>
          <w:sz w:val="44"/>
          <w:szCs w:val="44"/>
          <w:fitText w:val="1440" w:id="1955599196"/>
          <w:lang w:val="en-US" w:eastAsia="zh-CN"/>
        </w:rPr>
        <w:t>录</w:t>
      </w:r>
    </w:p>
    <w:p w14:paraId="1BE68E14">
      <w:pPr>
        <w:pStyle w:val="13"/>
        <w:keepNext w:val="0"/>
        <w:keepLines w:val="0"/>
        <w:pageBreakBefore w:val="0"/>
        <w:widowControl/>
        <w:tabs>
          <w:tab w:val="right" w:leader="dot" w:pos="8300"/>
        </w:tabs>
        <w:kinsoku/>
        <w:wordWrap/>
        <w:overflowPunct/>
        <w:topLinePunct w:val="0"/>
        <w:autoSpaceDE/>
        <w:autoSpaceDN/>
        <w:bidi w:val="0"/>
        <w:adjustRightInd/>
        <w:snapToGrid/>
        <w:spacing w:line="560" w:lineRule="exact"/>
        <w:textAlignment w:val="auto"/>
        <w:rPr>
          <w:rFonts w:hint="eastAsia" w:ascii="黑体" w:hAnsi="黑体" w:eastAsia="黑体" w:cs="黑体"/>
          <w:sz w:val="32"/>
          <w:szCs w:val="32"/>
          <w:lang w:val="en-US" w:eastAsia="zh-CN"/>
        </w:rPr>
      </w:pPr>
      <w:r>
        <w:rPr>
          <w:rFonts w:hint="default" w:ascii="楷体" w:hAnsi="楷体" w:eastAsia="楷体" w:cs="楷体"/>
          <w:sz w:val="32"/>
          <w:szCs w:val="32"/>
          <w:lang w:val="en-US" w:eastAsia="zh-CN"/>
        </w:rPr>
        <w:fldChar w:fldCharType="begin"/>
      </w:r>
      <w:r>
        <w:rPr>
          <w:rFonts w:hint="default" w:ascii="楷体" w:hAnsi="楷体" w:eastAsia="楷体" w:cs="楷体"/>
          <w:sz w:val="32"/>
          <w:szCs w:val="32"/>
          <w:lang w:val="en-US" w:eastAsia="zh-CN"/>
        </w:rPr>
        <w:instrText xml:space="preserve">TOC \o "1-3" \h \u </w:instrText>
      </w:r>
      <w:r>
        <w:rPr>
          <w:rFonts w:hint="default" w:ascii="楷体" w:hAnsi="楷体" w:eastAsia="楷体" w:cs="楷体"/>
          <w:sz w:val="32"/>
          <w:szCs w:val="32"/>
          <w:lang w:val="en-US" w:eastAsia="zh-CN"/>
        </w:rPr>
        <w:fldChar w:fldCharType="separate"/>
      </w:r>
      <w:r>
        <w:rPr>
          <w:rFonts w:hint="eastAsia" w:ascii="黑体" w:hAnsi="黑体" w:eastAsia="黑体" w:cs="黑体"/>
          <w:sz w:val="32"/>
          <w:szCs w:val="32"/>
          <w:lang w:val="en-US" w:eastAsia="zh-CN"/>
        </w:rPr>
        <w:fldChar w:fldCharType="begin"/>
      </w:r>
      <w:r>
        <w:rPr>
          <w:rFonts w:hint="eastAsia" w:ascii="黑体" w:hAnsi="黑体" w:eastAsia="黑体" w:cs="黑体"/>
          <w:sz w:val="32"/>
          <w:szCs w:val="32"/>
          <w:lang w:val="en-US" w:eastAsia="zh-CN"/>
        </w:rPr>
        <w:instrText xml:space="preserve"> HYPERLINK \l _Toc30211 </w:instrText>
      </w:r>
      <w:r>
        <w:rPr>
          <w:rFonts w:hint="eastAsia" w:ascii="黑体" w:hAnsi="黑体" w:eastAsia="黑体" w:cs="黑体"/>
          <w:sz w:val="32"/>
          <w:szCs w:val="32"/>
          <w:lang w:val="en-US" w:eastAsia="zh-CN"/>
        </w:rPr>
        <w:fldChar w:fldCharType="separate"/>
      </w:r>
      <w:r>
        <w:rPr>
          <w:rFonts w:hint="eastAsia" w:ascii="黑体" w:hAnsi="黑体" w:eastAsia="黑体" w:cs="黑体"/>
          <w:sz w:val="32"/>
          <w:szCs w:val="32"/>
          <w:lang w:val="en-US" w:eastAsia="zh-CN"/>
        </w:rPr>
        <w:t>一、绩效评价基本情况</w:t>
      </w:r>
      <w:r>
        <w:rPr>
          <w:rFonts w:hint="eastAsia" w:ascii="黑体" w:hAnsi="黑体" w:eastAsia="黑体" w:cs="黑体"/>
          <w:sz w:val="32"/>
          <w:szCs w:val="32"/>
          <w:lang w:val="en-US" w:eastAsia="zh-CN"/>
        </w:rPr>
        <w:tab/>
      </w:r>
      <w:r>
        <w:rPr>
          <w:rFonts w:hint="eastAsia" w:ascii="黑体" w:hAnsi="黑体" w:eastAsia="黑体" w:cs="黑体"/>
          <w:sz w:val="32"/>
          <w:szCs w:val="32"/>
          <w:lang w:val="en-US" w:eastAsia="zh-CN"/>
        </w:rPr>
        <w:fldChar w:fldCharType="begin"/>
      </w:r>
      <w:r>
        <w:rPr>
          <w:rFonts w:hint="eastAsia" w:ascii="黑体" w:hAnsi="黑体" w:eastAsia="黑体" w:cs="黑体"/>
          <w:sz w:val="32"/>
          <w:szCs w:val="32"/>
          <w:lang w:val="en-US" w:eastAsia="zh-CN"/>
        </w:rPr>
        <w:instrText xml:space="preserve"> PAGEREF _Toc30211 \h </w:instrText>
      </w:r>
      <w:r>
        <w:rPr>
          <w:rFonts w:hint="eastAsia" w:ascii="黑体" w:hAnsi="黑体" w:eastAsia="黑体" w:cs="黑体"/>
          <w:sz w:val="32"/>
          <w:szCs w:val="32"/>
          <w:lang w:val="en-US" w:eastAsia="zh-CN"/>
        </w:rPr>
        <w:fldChar w:fldCharType="separate"/>
      </w:r>
      <w:r>
        <w:rPr>
          <w:rFonts w:hint="eastAsia" w:ascii="黑体" w:hAnsi="黑体" w:eastAsia="黑体" w:cs="黑体"/>
          <w:sz w:val="32"/>
          <w:szCs w:val="32"/>
          <w:lang w:val="en-US" w:eastAsia="zh-CN"/>
        </w:rPr>
        <w:t>1</w:t>
      </w:r>
      <w:r>
        <w:rPr>
          <w:rFonts w:hint="eastAsia" w:ascii="黑体" w:hAnsi="黑体" w:eastAsia="黑体" w:cs="黑体"/>
          <w:sz w:val="32"/>
          <w:szCs w:val="32"/>
          <w:lang w:val="en-US" w:eastAsia="zh-CN"/>
        </w:rPr>
        <w:fldChar w:fldCharType="end"/>
      </w:r>
      <w:r>
        <w:rPr>
          <w:rFonts w:hint="eastAsia" w:ascii="黑体" w:hAnsi="黑体" w:eastAsia="黑体" w:cs="黑体"/>
          <w:sz w:val="32"/>
          <w:szCs w:val="32"/>
          <w:lang w:val="en-US" w:eastAsia="zh-CN"/>
        </w:rPr>
        <w:fldChar w:fldCharType="end"/>
      </w:r>
    </w:p>
    <w:p w14:paraId="55E90041">
      <w:pPr>
        <w:pStyle w:val="13"/>
        <w:keepNext w:val="0"/>
        <w:keepLines w:val="0"/>
        <w:pageBreakBefore w:val="0"/>
        <w:widowControl/>
        <w:tabs>
          <w:tab w:val="right" w:leader="dot" w:pos="8300"/>
        </w:tabs>
        <w:kinsoku/>
        <w:wordWrap/>
        <w:overflowPunct/>
        <w:topLinePunct w:val="0"/>
        <w:autoSpaceDE/>
        <w:autoSpaceDN/>
        <w:bidi w:val="0"/>
        <w:adjustRightInd/>
        <w:snapToGrid/>
        <w:spacing w:line="560" w:lineRule="exact"/>
        <w:textAlignment w:val="auto"/>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fldChar w:fldCharType="begin"/>
      </w:r>
      <w:r>
        <w:rPr>
          <w:rFonts w:hint="eastAsia" w:ascii="楷体" w:hAnsi="楷体" w:eastAsia="楷体" w:cs="楷体"/>
          <w:sz w:val="32"/>
          <w:szCs w:val="32"/>
          <w:lang w:val="en-US" w:eastAsia="zh-CN"/>
        </w:rPr>
        <w:instrText xml:space="preserve"> HYPERLINK \l _Toc4569 </w:instrText>
      </w:r>
      <w:r>
        <w:rPr>
          <w:rFonts w:hint="eastAsia" w:ascii="楷体" w:hAnsi="楷体" w:eastAsia="楷体" w:cs="楷体"/>
          <w:sz w:val="32"/>
          <w:szCs w:val="32"/>
          <w:lang w:val="en-US" w:eastAsia="zh-CN"/>
        </w:rPr>
        <w:fldChar w:fldCharType="separate"/>
      </w:r>
      <w:r>
        <w:rPr>
          <w:rFonts w:hint="eastAsia" w:ascii="楷体" w:hAnsi="楷体" w:eastAsia="楷体" w:cs="楷体"/>
          <w:sz w:val="32"/>
          <w:szCs w:val="32"/>
          <w:lang w:val="en-US" w:eastAsia="zh-CN"/>
        </w:rPr>
        <w:t>（一）评价对象和范围</w:t>
      </w:r>
      <w:r>
        <w:rPr>
          <w:rFonts w:hint="eastAsia" w:ascii="楷体" w:hAnsi="楷体" w:eastAsia="楷体" w:cs="楷体"/>
          <w:sz w:val="32"/>
          <w:szCs w:val="32"/>
          <w:lang w:val="en-US" w:eastAsia="zh-CN"/>
        </w:rPr>
        <w:tab/>
      </w:r>
      <w:r>
        <w:rPr>
          <w:rFonts w:hint="eastAsia" w:ascii="楷体" w:hAnsi="楷体" w:eastAsia="楷体" w:cs="楷体"/>
          <w:sz w:val="32"/>
          <w:szCs w:val="32"/>
          <w:lang w:val="en-US" w:eastAsia="zh-CN"/>
        </w:rPr>
        <w:fldChar w:fldCharType="begin"/>
      </w:r>
      <w:r>
        <w:rPr>
          <w:rFonts w:hint="eastAsia" w:ascii="楷体" w:hAnsi="楷体" w:eastAsia="楷体" w:cs="楷体"/>
          <w:sz w:val="32"/>
          <w:szCs w:val="32"/>
          <w:lang w:val="en-US" w:eastAsia="zh-CN"/>
        </w:rPr>
        <w:instrText xml:space="preserve"> PAGEREF _Toc4569 \h </w:instrText>
      </w:r>
      <w:r>
        <w:rPr>
          <w:rFonts w:hint="eastAsia" w:ascii="楷体" w:hAnsi="楷体" w:eastAsia="楷体" w:cs="楷体"/>
          <w:sz w:val="32"/>
          <w:szCs w:val="32"/>
          <w:lang w:val="en-US" w:eastAsia="zh-CN"/>
        </w:rPr>
        <w:fldChar w:fldCharType="separate"/>
      </w:r>
      <w:r>
        <w:rPr>
          <w:rFonts w:hint="eastAsia" w:ascii="楷体" w:hAnsi="楷体" w:eastAsia="楷体" w:cs="楷体"/>
          <w:sz w:val="32"/>
          <w:szCs w:val="32"/>
          <w:lang w:val="en-US" w:eastAsia="zh-CN"/>
        </w:rPr>
        <w:t>1</w:t>
      </w:r>
      <w:r>
        <w:rPr>
          <w:rFonts w:hint="eastAsia" w:ascii="楷体" w:hAnsi="楷体" w:eastAsia="楷体" w:cs="楷体"/>
          <w:sz w:val="32"/>
          <w:szCs w:val="32"/>
          <w:lang w:val="en-US" w:eastAsia="zh-CN"/>
        </w:rPr>
        <w:fldChar w:fldCharType="end"/>
      </w:r>
      <w:r>
        <w:rPr>
          <w:rFonts w:hint="eastAsia" w:ascii="楷体" w:hAnsi="楷体" w:eastAsia="楷体" w:cs="楷体"/>
          <w:sz w:val="32"/>
          <w:szCs w:val="32"/>
          <w:lang w:val="en-US" w:eastAsia="zh-CN"/>
        </w:rPr>
        <w:fldChar w:fldCharType="end"/>
      </w:r>
    </w:p>
    <w:p w14:paraId="0627748A">
      <w:pPr>
        <w:pStyle w:val="13"/>
        <w:keepNext w:val="0"/>
        <w:keepLines w:val="0"/>
        <w:pageBreakBefore w:val="0"/>
        <w:widowControl/>
        <w:tabs>
          <w:tab w:val="right" w:leader="dot" w:pos="8300"/>
        </w:tabs>
        <w:kinsoku/>
        <w:wordWrap/>
        <w:overflowPunct/>
        <w:topLinePunct w:val="0"/>
        <w:autoSpaceDE/>
        <w:autoSpaceDN/>
        <w:bidi w:val="0"/>
        <w:adjustRightInd/>
        <w:snapToGrid/>
        <w:spacing w:line="560" w:lineRule="exact"/>
        <w:textAlignment w:val="auto"/>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fldChar w:fldCharType="begin"/>
      </w:r>
      <w:r>
        <w:rPr>
          <w:rFonts w:hint="eastAsia" w:ascii="楷体" w:hAnsi="楷体" w:eastAsia="楷体" w:cs="楷体"/>
          <w:sz w:val="32"/>
          <w:szCs w:val="32"/>
          <w:lang w:val="en-US" w:eastAsia="zh-CN"/>
        </w:rPr>
        <w:instrText xml:space="preserve"> HYPERLINK \l _Toc24200 </w:instrText>
      </w:r>
      <w:r>
        <w:rPr>
          <w:rFonts w:hint="eastAsia" w:ascii="楷体" w:hAnsi="楷体" w:eastAsia="楷体" w:cs="楷体"/>
          <w:sz w:val="32"/>
          <w:szCs w:val="32"/>
          <w:lang w:val="en-US" w:eastAsia="zh-CN"/>
        </w:rPr>
        <w:fldChar w:fldCharType="separate"/>
      </w:r>
      <w:r>
        <w:rPr>
          <w:rFonts w:hint="eastAsia" w:ascii="楷体" w:hAnsi="楷体" w:eastAsia="楷体" w:cs="楷体"/>
          <w:sz w:val="32"/>
          <w:szCs w:val="32"/>
          <w:lang w:val="en-US" w:eastAsia="zh-CN"/>
        </w:rPr>
        <w:t>（二）评价依据</w:t>
      </w:r>
      <w:r>
        <w:rPr>
          <w:rFonts w:hint="eastAsia" w:ascii="楷体" w:hAnsi="楷体" w:eastAsia="楷体" w:cs="楷体"/>
          <w:sz w:val="32"/>
          <w:szCs w:val="32"/>
          <w:lang w:val="en-US" w:eastAsia="zh-CN"/>
        </w:rPr>
        <w:tab/>
      </w:r>
      <w:r>
        <w:rPr>
          <w:rFonts w:hint="eastAsia" w:ascii="楷体" w:hAnsi="楷体" w:eastAsia="楷体" w:cs="楷体"/>
          <w:sz w:val="32"/>
          <w:szCs w:val="32"/>
          <w:lang w:val="en-US" w:eastAsia="zh-CN"/>
        </w:rPr>
        <w:fldChar w:fldCharType="begin"/>
      </w:r>
      <w:r>
        <w:rPr>
          <w:rFonts w:hint="eastAsia" w:ascii="楷体" w:hAnsi="楷体" w:eastAsia="楷体" w:cs="楷体"/>
          <w:sz w:val="32"/>
          <w:szCs w:val="32"/>
          <w:lang w:val="en-US" w:eastAsia="zh-CN"/>
        </w:rPr>
        <w:instrText xml:space="preserve"> PAGEREF _Toc24200 \h </w:instrText>
      </w:r>
      <w:r>
        <w:rPr>
          <w:rFonts w:hint="eastAsia" w:ascii="楷体" w:hAnsi="楷体" w:eastAsia="楷体" w:cs="楷体"/>
          <w:sz w:val="32"/>
          <w:szCs w:val="32"/>
          <w:lang w:val="en-US" w:eastAsia="zh-CN"/>
        </w:rPr>
        <w:fldChar w:fldCharType="separate"/>
      </w:r>
      <w:r>
        <w:rPr>
          <w:rFonts w:hint="eastAsia" w:ascii="楷体" w:hAnsi="楷体" w:eastAsia="楷体" w:cs="楷体"/>
          <w:sz w:val="32"/>
          <w:szCs w:val="32"/>
          <w:lang w:val="en-US" w:eastAsia="zh-CN"/>
        </w:rPr>
        <w:t>2</w:t>
      </w:r>
      <w:r>
        <w:rPr>
          <w:rFonts w:hint="eastAsia" w:ascii="楷体" w:hAnsi="楷体" w:eastAsia="楷体" w:cs="楷体"/>
          <w:sz w:val="32"/>
          <w:szCs w:val="32"/>
          <w:lang w:val="en-US" w:eastAsia="zh-CN"/>
        </w:rPr>
        <w:fldChar w:fldCharType="end"/>
      </w:r>
      <w:r>
        <w:rPr>
          <w:rFonts w:hint="eastAsia" w:ascii="楷体" w:hAnsi="楷体" w:eastAsia="楷体" w:cs="楷体"/>
          <w:sz w:val="32"/>
          <w:szCs w:val="32"/>
          <w:lang w:val="en-US" w:eastAsia="zh-CN"/>
        </w:rPr>
        <w:fldChar w:fldCharType="end"/>
      </w:r>
    </w:p>
    <w:p w14:paraId="55BFF178">
      <w:pPr>
        <w:pStyle w:val="13"/>
        <w:keepNext w:val="0"/>
        <w:keepLines w:val="0"/>
        <w:pageBreakBefore w:val="0"/>
        <w:widowControl/>
        <w:tabs>
          <w:tab w:val="right" w:leader="dot" w:pos="8300"/>
        </w:tabs>
        <w:kinsoku/>
        <w:wordWrap/>
        <w:overflowPunct/>
        <w:topLinePunct w:val="0"/>
        <w:autoSpaceDE/>
        <w:autoSpaceDN/>
        <w:bidi w:val="0"/>
        <w:adjustRightInd/>
        <w:snapToGrid/>
        <w:spacing w:line="560" w:lineRule="exact"/>
        <w:textAlignment w:val="auto"/>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fldChar w:fldCharType="begin"/>
      </w:r>
      <w:r>
        <w:rPr>
          <w:rFonts w:hint="eastAsia" w:ascii="楷体" w:hAnsi="楷体" w:eastAsia="楷体" w:cs="楷体"/>
          <w:sz w:val="32"/>
          <w:szCs w:val="32"/>
          <w:lang w:val="en-US" w:eastAsia="zh-CN"/>
        </w:rPr>
        <w:instrText xml:space="preserve"> HYPERLINK \l _Toc32595 </w:instrText>
      </w:r>
      <w:r>
        <w:rPr>
          <w:rFonts w:hint="eastAsia" w:ascii="楷体" w:hAnsi="楷体" w:eastAsia="楷体" w:cs="楷体"/>
          <w:sz w:val="32"/>
          <w:szCs w:val="32"/>
          <w:lang w:val="en-US" w:eastAsia="zh-CN"/>
        </w:rPr>
        <w:fldChar w:fldCharType="separate"/>
      </w:r>
      <w:r>
        <w:rPr>
          <w:rFonts w:hint="eastAsia" w:ascii="楷体" w:hAnsi="楷体" w:eastAsia="楷体" w:cs="楷体"/>
          <w:sz w:val="32"/>
          <w:szCs w:val="32"/>
          <w:lang w:val="en-US" w:eastAsia="zh-CN"/>
        </w:rPr>
        <w:t>（三）评价方法和目的</w:t>
      </w:r>
      <w:r>
        <w:rPr>
          <w:rFonts w:hint="eastAsia" w:ascii="楷体" w:hAnsi="楷体" w:eastAsia="楷体" w:cs="楷体"/>
          <w:sz w:val="32"/>
          <w:szCs w:val="32"/>
          <w:lang w:val="en-US" w:eastAsia="zh-CN"/>
        </w:rPr>
        <w:tab/>
      </w:r>
      <w:r>
        <w:rPr>
          <w:rFonts w:hint="eastAsia" w:ascii="楷体" w:hAnsi="楷体" w:eastAsia="楷体" w:cs="楷体"/>
          <w:sz w:val="32"/>
          <w:szCs w:val="32"/>
          <w:lang w:val="en-US" w:eastAsia="zh-CN"/>
        </w:rPr>
        <w:fldChar w:fldCharType="begin"/>
      </w:r>
      <w:r>
        <w:rPr>
          <w:rFonts w:hint="eastAsia" w:ascii="楷体" w:hAnsi="楷体" w:eastAsia="楷体" w:cs="楷体"/>
          <w:sz w:val="32"/>
          <w:szCs w:val="32"/>
          <w:lang w:val="en-US" w:eastAsia="zh-CN"/>
        </w:rPr>
        <w:instrText xml:space="preserve"> PAGEREF _Toc32595 \h </w:instrText>
      </w:r>
      <w:r>
        <w:rPr>
          <w:rFonts w:hint="eastAsia" w:ascii="楷体" w:hAnsi="楷体" w:eastAsia="楷体" w:cs="楷体"/>
          <w:sz w:val="32"/>
          <w:szCs w:val="32"/>
          <w:lang w:val="en-US" w:eastAsia="zh-CN"/>
        </w:rPr>
        <w:fldChar w:fldCharType="separate"/>
      </w:r>
      <w:r>
        <w:rPr>
          <w:rFonts w:hint="eastAsia" w:ascii="楷体" w:hAnsi="楷体" w:eastAsia="楷体" w:cs="楷体"/>
          <w:sz w:val="32"/>
          <w:szCs w:val="32"/>
          <w:lang w:val="en-US" w:eastAsia="zh-CN"/>
        </w:rPr>
        <w:t>3</w:t>
      </w:r>
      <w:r>
        <w:rPr>
          <w:rFonts w:hint="eastAsia" w:ascii="楷体" w:hAnsi="楷体" w:eastAsia="楷体" w:cs="楷体"/>
          <w:sz w:val="32"/>
          <w:szCs w:val="32"/>
          <w:lang w:val="en-US" w:eastAsia="zh-CN"/>
        </w:rPr>
        <w:fldChar w:fldCharType="end"/>
      </w:r>
      <w:r>
        <w:rPr>
          <w:rFonts w:hint="eastAsia" w:ascii="楷体" w:hAnsi="楷体" w:eastAsia="楷体" w:cs="楷体"/>
          <w:sz w:val="32"/>
          <w:szCs w:val="32"/>
          <w:lang w:val="en-US" w:eastAsia="zh-CN"/>
        </w:rPr>
        <w:fldChar w:fldCharType="end"/>
      </w:r>
    </w:p>
    <w:p w14:paraId="1A63FEFF">
      <w:pPr>
        <w:pStyle w:val="13"/>
        <w:keepNext w:val="0"/>
        <w:keepLines w:val="0"/>
        <w:pageBreakBefore w:val="0"/>
        <w:widowControl/>
        <w:tabs>
          <w:tab w:val="right" w:leader="dot" w:pos="8300"/>
        </w:tabs>
        <w:kinsoku/>
        <w:wordWrap/>
        <w:overflowPunct/>
        <w:topLinePunct w:val="0"/>
        <w:autoSpaceDE/>
        <w:autoSpaceDN/>
        <w:bidi w:val="0"/>
        <w:adjustRightInd/>
        <w:snapToGrid/>
        <w:spacing w:line="560" w:lineRule="exac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fldChar w:fldCharType="begin"/>
      </w:r>
      <w:r>
        <w:rPr>
          <w:rFonts w:hint="eastAsia" w:ascii="黑体" w:hAnsi="黑体" w:eastAsia="黑体" w:cs="黑体"/>
          <w:sz w:val="32"/>
          <w:szCs w:val="32"/>
          <w:lang w:val="en-US" w:eastAsia="zh-CN"/>
        </w:rPr>
        <w:instrText xml:space="preserve"> HYPERLINK \l _Toc4638 </w:instrText>
      </w:r>
      <w:r>
        <w:rPr>
          <w:rFonts w:hint="eastAsia" w:ascii="黑体" w:hAnsi="黑体" w:eastAsia="黑体" w:cs="黑体"/>
          <w:sz w:val="32"/>
          <w:szCs w:val="32"/>
          <w:lang w:val="en-US" w:eastAsia="zh-CN"/>
        </w:rPr>
        <w:fldChar w:fldCharType="separate"/>
      </w:r>
      <w:r>
        <w:rPr>
          <w:rFonts w:hint="eastAsia" w:ascii="黑体" w:hAnsi="黑体" w:eastAsia="黑体" w:cs="黑体"/>
          <w:sz w:val="32"/>
          <w:szCs w:val="32"/>
          <w:lang w:val="en-US" w:eastAsia="zh-CN"/>
        </w:rPr>
        <w:t>二、部门基本情况</w:t>
      </w:r>
      <w:r>
        <w:rPr>
          <w:rFonts w:hint="eastAsia" w:ascii="黑体" w:hAnsi="黑体" w:eastAsia="黑体" w:cs="黑体"/>
          <w:sz w:val="32"/>
          <w:szCs w:val="32"/>
          <w:lang w:val="en-US" w:eastAsia="zh-CN"/>
        </w:rPr>
        <w:tab/>
      </w:r>
      <w:r>
        <w:rPr>
          <w:rFonts w:hint="eastAsia" w:ascii="黑体" w:hAnsi="黑体" w:eastAsia="黑体" w:cs="黑体"/>
          <w:sz w:val="32"/>
          <w:szCs w:val="32"/>
          <w:lang w:val="en-US" w:eastAsia="zh-CN"/>
        </w:rPr>
        <w:fldChar w:fldCharType="begin"/>
      </w:r>
      <w:r>
        <w:rPr>
          <w:rFonts w:hint="eastAsia" w:ascii="黑体" w:hAnsi="黑体" w:eastAsia="黑体" w:cs="黑体"/>
          <w:sz w:val="32"/>
          <w:szCs w:val="32"/>
          <w:lang w:val="en-US" w:eastAsia="zh-CN"/>
        </w:rPr>
        <w:instrText xml:space="preserve"> PAGEREF _Toc4638 \h </w:instrText>
      </w:r>
      <w:r>
        <w:rPr>
          <w:rFonts w:hint="eastAsia" w:ascii="黑体" w:hAnsi="黑体" w:eastAsia="黑体" w:cs="黑体"/>
          <w:sz w:val="32"/>
          <w:szCs w:val="32"/>
          <w:lang w:val="en-US" w:eastAsia="zh-CN"/>
        </w:rPr>
        <w:fldChar w:fldCharType="separate"/>
      </w:r>
      <w:r>
        <w:rPr>
          <w:rFonts w:hint="eastAsia" w:ascii="黑体" w:hAnsi="黑体" w:eastAsia="黑体" w:cs="黑体"/>
          <w:sz w:val="32"/>
          <w:szCs w:val="32"/>
          <w:lang w:val="en-US" w:eastAsia="zh-CN"/>
        </w:rPr>
        <w:t>4</w:t>
      </w:r>
      <w:r>
        <w:rPr>
          <w:rFonts w:hint="eastAsia" w:ascii="黑体" w:hAnsi="黑体" w:eastAsia="黑体" w:cs="黑体"/>
          <w:sz w:val="32"/>
          <w:szCs w:val="32"/>
          <w:lang w:val="en-US" w:eastAsia="zh-CN"/>
        </w:rPr>
        <w:fldChar w:fldCharType="end"/>
      </w:r>
      <w:r>
        <w:rPr>
          <w:rFonts w:hint="eastAsia" w:ascii="黑体" w:hAnsi="黑体" w:eastAsia="黑体" w:cs="黑体"/>
          <w:sz w:val="32"/>
          <w:szCs w:val="32"/>
          <w:lang w:val="en-US" w:eastAsia="zh-CN"/>
        </w:rPr>
        <w:fldChar w:fldCharType="end"/>
      </w:r>
    </w:p>
    <w:p w14:paraId="59C998ED">
      <w:pPr>
        <w:pStyle w:val="13"/>
        <w:keepNext w:val="0"/>
        <w:keepLines w:val="0"/>
        <w:pageBreakBefore w:val="0"/>
        <w:widowControl/>
        <w:tabs>
          <w:tab w:val="right" w:leader="dot" w:pos="8300"/>
        </w:tabs>
        <w:kinsoku/>
        <w:wordWrap/>
        <w:overflowPunct/>
        <w:topLinePunct w:val="0"/>
        <w:autoSpaceDE/>
        <w:autoSpaceDN/>
        <w:bidi w:val="0"/>
        <w:adjustRightInd/>
        <w:snapToGrid/>
        <w:spacing w:line="560" w:lineRule="exact"/>
        <w:textAlignment w:val="auto"/>
        <w:rPr>
          <w:rFonts w:hint="eastAsia" w:ascii="楷体" w:hAnsi="楷体" w:eastAsia="楷体" w:cs="楷体"/>
          <w:sz w:val="32"/>
          <w:szCs w:val="32"/>
          <w:lang w:val="en-US" w:eastAsia="zh-CN"/>
        </w:rPr>
      </w:pPr>
      <w:r>
        <w:rPr>
          <w:rFonts w:hint="default" w:ascii="楷体" w:hAnsi="楷体" w:eastAsia="楷体" w:cs="楷体"/>
          <w:sz w:val="32"/>
          <w:szCs w:val="32"/>
          <w:lang w:val="en-US" w:eastAsia="zh-CN"/>
        </w:rPr>
        <w:fldChar w:fldCharType="begin"/>
      </w:r>
      <w:r>
        <w:rPr>
          <w:rFonts w:hint="default" w:ascii="楷体" w:hAnsi="楷体" w:eastAsia="楷体" w:cs="楷体"/>
          <w:sz w:val="32"/>
          <w:szCs w:val="32"/>
          <w:lang w:val="en-US" w:eastAsia="zh-CN"/>
        </w:rPr>
        <w:instrText xml:space="preserve"> HYPERLINK \l _Toc7465 </w:instrText>
      </w:r>
      <w:r>
        <w:rPr>
          <w:rFonts w:hint="default" w:ascii="楷体" w:hAnsi="楷体" w:eastAsia="楷体" w:cs="楷体"/>
          <w:sz w:val="32"/>
          <w:szCs w:val="32"/>
          <w:lang w:val="en-US" w:eastAsia="zh-CN"/>
        </w:rPr>
        <w:fldChar w:fldCharType="separate"/>
      </w:r>
      <w:r>
        <w:rPr>
          <w:rFonts w:hint="eastAsia" w:ascii="楷体" w:hAnsi="楷体" w:eastAsia="楷体" w:cs="楷体"/>
          <w:sz w:val="32"/>
          <w:szCs w:val="32"/>
          <w:lang w:val="en-US" w:eastAsia="zh-CN"/>
        </w:rPr>
        <w:t>（一）部门基本信息</w:t>
      </w:r>
      <w:r>
        <w:rPr>
          <w:rFonts w:hint="eastAsia" w:ascii="楷体" w:hAnsi="楷体" w:eastAsia="楷体" w:cs="楷体"/>
          <w:sz w:val="32"/>
          <w:szCs w:val="32"/>
          <w:lang w:val="en-US" w:eastAsia="zh-CN"/>
        </w:rPr>
        <w:tab/>
      </w:r>
      <w:r>
        <w:rPr>
          <w:rFonts w:hint="eastAsia" w:ascii="楷体" w:hAnsi="楷体" w:eastAsia="楷体" w:cs="楷体"/>
          <w:sz w:val="32"/>
          <w:szCs w:val="32"/>
          <w:lang w:val="en-US" w:eastAsia="zh-CN"/>
        </w:rPr>
        <w:fldChar w:fldCharType="begin"/>
      </w:r>
      <w:r>
        <w:rPr>
          <w:rFonts w:hint="eastAsia" w:ascii="楷体" w:hAnsi="楷体" w:eastAsia="楷体" w:cs="楷体"/>
          <w:sz w:val="32"/>
          <w:szCs w:val="32"/>
          <w:lang w:val="en-US" w:eastAsia="zh-CN"/>
        </w:rPr>
        <w:instrText xml:space="preserve"> PAGEREF _Toc7465 \h </w:instrText>
      </w:r>
      <w:r>
        <w:rPr>
          <w:rFonts w:hint="eastAsia" w:ascii="楷体" w:hAnsi="楷体" w:eastAsia="楷体" w:cs="楷体"/>
          <w:sz w:val="32"/>
          <w:szCs w:val="32"/>
          <w:lang w:val="en-US" w:eastAsia="zh-CN"/>
        </w:rPr>
        <w:fldChar w:fldCharType="separate"/>
      </w:r>
      <w:r>
        <w:rPr>
          <w:rFonts w:hint="eastAsia" w:ascii="楷体" w:hAnsi="楷体" w:eastAsia="楷体" w:cs="楷体"/>
          <w:sz w:val="32"/>
          <w:szCs w:val="32"/>
          <w:lang w:val="en-US" w:eastAsia="zh-CN"/>
        </w:rPr>
        <w:t>4</w:t>
      </w:r>
      <w:r>
        <w:rPr>
          <w:rFonts w:hint="eastAsia" w:ascii="楷体" w:hAnsi="楷体" w:eastAsia="楷体" w:cs="楷体"/>
          <w:sz w:val="32"/>
          <w:szCs w:val="32"/>
          <w:lang w:val="en-US" w:eastAsia="zh-CN"/>
        </w:rPr>
        <w:fldChar w:fldCharType="end"/>
      </w:r>
      <w:r>
        <w:rPr>
          <w:rFonts w:hint="default" w:ascii="楷体" w:hAnsi="楷体" w:eastAsia="楷体" w:cs="楷体"/>
          <w:sz w:val="32"/>
          <w:szCs w:val="32"/>
          <w:lang w:val="en-US" w:eastAsia="zh-CN"/>
        </w:rPr>
        <w:fldChar w:fldCharType="end"/>
      </w:r>
    </w:p>
    <w:p w14:paraId="20AB6714">
      <w:pPr>
        <w:pStyle w:val="13"/>
        <w:keepNext w:val="0"/>
        <w:keepLines w:val="0"/>
        <w:pageBreakBefore w:val="0"/>
        <w:widowControl/>
        <w:tabs>
          <w:tab w:val="right" w:leader="dot" w:pos="8300"/>
        </w:tabs>
        <w:kinsoku/>
        <w:wordWrap/>
        <w:overflowPunct/>
        <w:topLinePunct w:val="0"/>
        <w:autoSpaceDE/>
        <w:autoSpaceDN/>
        <w:bidi w:val="0"/>
        <w:adjustRightInd/>
        <w:snapToGrid/>
        <w:spacing w:line="560" w:lineRule="exact"/>
        <w:textAlignment w:val="auto"/>
        <w:rPr>
          <w:rFonts w:hint="eastAsia" w:ascii="楷体" w:hAnsi="楷体" w:eastAsia="楷体" w:cs="楷体"/>
          <w:sz w:val="32"/>
          <w:szCs w:val="32"/>
          <w:lang w:val="en-US" w:eastAsia="zh-CN"/>
        </w:rPr>
      </w:pPr>
      <w:r>
        <w:rPr>
          <w:rFonts w:hint="default" w:ascii="楷体" w:hAnsi="楷体" w:eastAsia="楷体" w:cs="楷体"/>
          <w:sz w:val="32"/>
          <w:szCs w:val="32"/>
          <w:lang w:val="en-US" w:eastAsia="zh-CN"/>
        </w:rPr>
        <w:fldChar w:fldCharType="begin"/>
      </w:r>
      <w:r>
        <w:rPr>
          <w:rFonts w:hint="default" w:ascii="楷体" w:hAnsi="楷体" w:eastAsia="楷体" w:cs="楷体"/>
          <w:sz w:val="32"/>
          <w:szCs w:val="32"/>
          <w:lang w:val="en-US" w:eastAsia="zh-CN"/>
        </w:rPr>
        <w:instrText xml:space="preserve"> HYPERLINK \l _Toc2291 </w:instrText>
      </w:r>
      <w:r>
        <w:rPr>
          <w:rFonts w:hint="default" w:ascii="楷体" w:hAnsi="楷体" w:eastAsia="楷体" w:cs="楷体"/>
          <w:sz w:val="32"/>
          <w:szCs w:val="32"/>
          <w:lang w:val="en-US" w:eastAsia="zh-CN"/>
        </w:rPr>
        <w:fldChar w:fldCharType="separate"/>
      </w:r>
      <w:r>
        <w:rPr>
          <w:rFonts w:hint="eastAsia" w:ascii="楷体" w:hAnsi="楷体" w:eastAsia="楷体" w:cs="楷体"/>
          <w:sz w:val="32"/>
          <w:szCs w:val="32"/>
          <w:lang w:val="en-US" w:eastAsia="zh-CN"/>
        </w:rPr>
        <w:t>（二）部门主要职责</w:t>
      </w:r>
      <w:r>
        <w:rPr>
          <w:rFonts w:hint="eastAsia" w:ascii="楷体" w:hAnsi="楷体" w:eastAsia="楷体" w:cs="楷体"/>
          <w:sz w:val="32"/>
          <w:szCs w:val="32"/>
          <w:lang w:val="en-US" w:eastAsia="zh-CN"/>
        </w:rPr>
        <w:tab/>
      </w:r>
      <w:r>
        <w:rPr>
          <w:rFonts w:hint="eastAsia" w:ascii="楷体" w:hAnsi="楷体" w:eastAsia="楷体" w:cs="楷体"/>
          <w:sz w:val="32"/>
          <w:szCs w:val="32"/>
          <w:lang w:val="en-US" w:eastAsia="zh-CN"/>
        </w:rPr>
        <w:fldChar w:fldCharType="begin"/>
      </w:r>
      <w:r>
        <w:rPr>
          <w:rFonts w:hint="eastAsia" w:ascii="楷体" w:hAnsi="楷体" w:eastAsia="楷体" w:cs="楷体"/>
          <w:sz w:val="32"/>
          <w:szCs w:val="32"/>
          <w:lang w:val="en-US" w:eastAsia="zh-CN"/>
        </w:rPr>
        <w:instrText xml:space="preserve"> PAGEREF _Toc2291 \h </w:instrText>
      </w:r>
      <w:r>
        <w:rPr>
          <w:rFonts w:hint="eastAsia" w:ascii="楷体" w:hAnsi="楷体" w:eastAsia="楷体" w:cs="楷体"/>
          <w:sz w:val="32"/>
          <w:szCs w:val="32"/>
          <w:lang w:val="en-US" w:eastAsia="zh-CN"/>
        </w:rPr>
        <w:fldChar w:fldCharType="separate"/>
      </w:r>
      <w:r>
        <w:rPr>
          <w:rFonts w:hint="eastAsia" w:ascii="楷体" w:hAnsi="楷体" w:eastAsia="楷体" w:cs="楷体"/>
          <w:sz w:val="32"/>
          <w:szCs w:val="32"/>
          <w:lang w:val="en-US" w:eastAsia="zh-CN"/>
        </w:rPr>
        <w:t>4</w:t>
      </w:r>
      <w:r>
        <w:rPr>
          <w:rFonts w:hint="eastAsia" w:ascii="楷体" w:hAnsi="楷体" w:eastAsia="楷体" w:cs="楷体"/>
          <w:sz w:val="32"/>
          <w:szCs w:val="32"/>
          <w:lang w:val="en-US" w:eastAsia="zh-CN"/>
        </w:rPr>
        <w:fldChar w:fldCharType="end"/>
      </w:r>
      <w:r>
        <w:rPr>
          <w:rFonts w:hint="default" w:ascii="楷体" w:hAnsi="楷体" w:eastAsia="楷体" w:cs="楷体"/>
          <w:sz w:val="32"/>
          <w:szCs w:val="32"/>
          <w:lang w:val="en-US" w:eastAsia="zh-CN"/>
        </w:rPr>
        <w:fldChar w:fldCharType="end"/>
      </w:r>
    </w:p>
    <w:p w14:paraId="2979D6CF">
      <w:pPr>
        <w:pStyle w:val="13"/>
        <w:keepNext w:val="0"/>
        <w:keepLines w:val="0"/>
        <w:pageBreakBefore w:val="0"/>
        <w:widowControl/>
        <w:tabs>
          <w:tab w:val="right" w:leader="dot" w:pos="8300"/>
        </w:tabs>
        <w:kinsoku/>
        <w:wordWrap/>
        <w:overflowPunct/>
        <w:topLinePunct w:val="0"/>
        <w:autoSpaceDE/>
        <w:autoSpaceDN/>
        <w:bidi w:val="0"/>
        <w:adjustRightInd/>
        <w:snapToGrid/>
        <w:spacing w:line="560" w:lineRule="exact"/>
        <w:textAlignment w:val="auto"/>
        <w:rPr>
          <w:rFonts w:hint="eastAsia" w:ascii="楷体" w:hAnsi="楷体" w:eastAsia="楷体" w:cs="楷体"/>
          <w:sz w:val="32"/>
          <w:szCs w:val="32"/>
          <w:lang w:val="en-US" w:eastAsia="zh-CN"/>
        </w:rPr>
      </w:pPr>
      <w:r>
        <w:rPr>
          <w:rFonts w:hint="default" w:ascii="楷体" w:hAnsi="楷体" w:eastAsia="楷体" w:cs="楷体"/>
          <w:sz w:val="32"/>
          <w:szCs w:val="32"/>
          <w:lang w:val="en-US" w:eastAsia="zh-CN"/>
        </w:rPr>
        <w:fldChar w:fldCharType="begin"/>
      </w:r>
      <w:r>
        <w:rPr>
          <w:rFonts w:hint="default" w:ascii="楷体" w:hAnsi="楷体" w:eastAsia="楷体" w:cs="楷体"/>
          <w:sz w:val="32"/>
          <w:szCs w:val="32"/>
          <w:lang w:val="en-US" w:eastAsia="zh-CN"/>
        </w:rPr>
        <w:instrText xml:space="preserve"> HYPERLINK \l _Toc22849 </w:instrText>
      </w:r>
      <w:r>
        <w:rPr>
          <w:rFonts w:hint="default" w:ascii="楷体" w:hAnsi="楷体" w:eastAsia="楷体" w:cs="楷体"/>
          <w:sz w:val="32"/>
          <w:szCs w:val="32"/>
          <w:lang w:val="en-US" w:eastAsia="zh-CN"/>
        </w:rPr>
        <w:fldChar w:fldCharType="separate"/>
      </w:r>
      <w:r>
        <w:rPr>
          <w:rFonts w:hint="eastAsia" w:ascii="楷体" w:hAnsi="楷体" w:eastAsia="楷体" w:cs="楷体"/>
          <w:sz w:val="32"/>
          <w:szCs w:val="32"/>
          <w:lang w:val="en-US" w:eastAsia="zh-CN"/>
        </w:rPr>
        <w:t>（三）部门组织架构与人员</w:t>
      </w:r>
      <w:r>
        <w:rPr>
          <w:rFonts w:hint="eastAsia" w:ascii="楷体" w:hAnsi="楷体" w:eastAsia="楷体" w:cs="楷体"/>
          <w:sz w:val="32"/>
          <w:szCs w:val="32"/>
          <w:lang w:val="en-US" w:eastAsia="zh-CN"/>
        </w:rPr>
        <w:tab/>
      </w:r>
      <w:r>
        <w:rPr>
          <w:rFonts w:hint="eastAsia" w:ascii="楷体" w:hAnsi="楷体" w:eastAsia="楷体" w:cs="楷体"/>
          <w:sz w:val="32"/>
          <w:szCs w:val="32"/>
          <w:lang w:val="en-US" w:eastAsia="zh-CN"/>
        </w:rPr>
        <w:fldChar w:fldCharType="begin"/>
      </w:r>
      <w:r>
        <w:rPr>
          <w:rFonts w:hint="eastAsia" w:ascii="楷体" w:hAnsi="楷体" w:eastAsia="楷体" w:cs="楷体"/>
          <w:sz w:val="32"/>
          <w:szCs w:val="32"/>
          <w:lang w:val="en-US" w:eastAsia="zh-CN"/>
        </w:rPr>
        <w:instrText xml:space="preserve"> PAGEREF _Toc22849 \h </w:instrText>
      </w:r>
      <w:r>
        <w:rPr>
          <w:rFonts w:hint="eastAsia" w:ascii="楷体" w:hAnsi="楷体" w:eastAsia="楷体" w:cs="楷体"/>
          <w:sz w:val="32"/>
          <w:szCs w:val="32"/>
          <w:lang w:val="en-US" w:eastAsia="zh-CN"/>
        </w:rPr>
        <w:fldChar w:fldCharType="separate"/>
      </w:r>
      <w:r>
        <w:rPr>
          <w:rFonts w:hint="eastAsia" w:ascii="楷体" w:hAnsi="楷体" w:eastAsia="楷体" w:cs="楷体"/>
          <w:sz w:val="32"/>
          <w:szCs w:val="32"/>
          <w:lang w:val="en-US" w:eastAsia="zh-CN"/>
        </w:rPr>
        <w:t>5</w:t>
      </w:r>
      <w:r>
        <w:rPr>
          <w:rFonts w:hint="eastAsia" w:ascii="楷体" w:hAnsi="楷体" w:eastAsia="楷体" w:cs="楷体"/>
          <w:sz w:val="32"/>
          <w:szCs w:val="32"/>
          <w:lang w:val="en-US" w:eastAsia="zh-CN"/>
        </w:rPr>
        <w:fldChar w:fldCharType="end"/>
      </w:r>
      <w:r>
        <w:rPr>
          <w:rFonts w:hint="default" w:ascii="楷体" w:hAnsi="楷体" w:eastAsia="楷体" w:cs="楷体"/>
          <w:sz w:val="32"/>
          <w:szCs w:val="32"/>
          <w:lang w:val="en-US" w:eastAsia="zh-CN"/>
        </w:rPr>
        <w:fldChar w:fldCharType="end"/>
      </w:r>
    </w:p>
    <w:p w14:paraId="549BDE4B">
      <w:pPr>
        <w:pStyle w:val="13"/>
        <w:keepNext w:val="0"/>
        <w:keepLines w:val="0"/>
        <w:pageBreakBefore w:val="0"/>
        <w:widowControl/>
        <w:tabs>
          <w:tab w:val="right" w:leader="dot" w:pos="8300"/>
        </w:tabs>
        <w:kinsoku/>
        <w:wordWrap/>
        <w:overflowPunct/>
        <w:topLinePunct w:val="0"/>
        <w:autoSpaceDE/>
        <w:autoSpaceDN/>
        <w:bidi w:val="0"/>
        <w:adjustRightInd/>
        <w:snapToGrid/>
        <w:spacing w:line="560" w:lineRule="exact"/>
        <w:textAlignment w:val="auto"/>
        <w:rPr>
          <w:rFonts w:hint="eastAsia" w:ascii="楷体" w:hAnsi="楷体" w:eastAsia="楷体" w:cs="楷体"/>
          <w:sz w:val="32"/>
          <w:szCs w:val="32"/>
          <w:lang w:val="en-US" w:eastAsia="zh-CN"/>
        </w:rPr>
      </w:pPr>
      <w:r>
        <w:rPr>
          <w:rFonts w:hint="default" w:ascii="楷体" w:hAnsi="楷体" w:eastAsia="楷体" w:cs="楷体"/>
          <w:sz w:val="32"/>
          <w:szCs w:val="32"/>
          <w:lang w:val="en-US" w:eastAsia="zh-CN"/>
        </w:rPr>
        <w:fldChar w:fldCharType="begin"/>
      </w:r>
      <w:r>
        <w:rPr>
          <w:rFonts w:hint="default" w:ascii="楷体" w:hAnsi="楷体" w:eastAsia="楷体" w:cs="楷体"/>
          <w:sz w:val="32"/>
          <w:szCs w:val="32"/>
          <w:lang w:val="en-US" w:eastAsia="zh-CN"/>
        </w:rPr>
        <w:instrText xml:space="preserve"> HYPERLINK \l _Toc15875 </w:instrText>
      </w:r>
      <w:r>
        <w:rPr>
          <w:rFonts w:hint="default" w:ascii="楷体" w:hAnsi="楷体" w:eastAsia="楷体" w:cs="楷体"/>
          <w:sz w:val="32"/>
          <w:szCs w:val="32"/>
          <w:lang w:val="en-US" w:eastAsia="zh-CN"/>
        </w:rPr>
        <w:fldChar w:fldCharType="separate"/>
      </w:r>
      <w:r>
        <w:rPr>
          <w:rFonts w:hint="eastAsia" w:ascii="楷体" w:hAnsi="楷体" w:eastAsia="楷体" w:cs="楷体"/>
          <w:sz w:val="32"/>
          <w:szCs w:val="32"/>
          <w:lang w:val="en-US" w:eastAsia="zh-CN"/>
        </w:rPr>
        <w:t>（四）部门2024年度职责履行及履职效益</w:t>
      </w:r>
      <w:r>
        <w:rPr>
          <w:rFonts w:hint="eastAsia" w:ascii="楷体" w:hAnsi="楷体" w:eastAsia="楷体" w:cs="楷体"/>
          <w:sz w:val="32"/>
          <w:szCs w:val="32"/>
          <w:lang w:val="en-US" w:eastAsia="zh-CN"/>
        </w:rPr>
        <w:tab/>
      </w:r>
      <w:r>
        <w:rPr>
          <w:rFonts w:hint="eastAsia" w:ascii="楷体" w:hAnsi="楷体" w:eastAsia="楷体" w:cs="楷体"/>
          <w:sz w:val="32"/>
          <w:szCs w:val="32"/>
          <w:lang w:val="en-US" w:eastAsia="zh-CN"/>
        </w:rPr>
        <w:fldChar w:fldCharType="begin"/>
      </w:r>
      <w:r>
        <w:rPr>
          <w:rFonts w:hint="eastAsia" w:ascii="楷体" w:hAnsi="楷体" w:eastAsia="楷体" w:cs="楷体"/>
          <w:sz w:val="32"/>
          <w:szCs w:val="32"/>
          <w:lang w:val="en-US" w:eastAsia="zh-CN"/>
        </w:rPr>
        <w:instrText xml:space="preserve"> PAGEREF _Toc15875 \h </w:instrText>
      </w:r>
      <w:r>
        <w:rPr>
          <w:rFonts w:hint="eastAsia" w:ascii="楷体" w:hAnsi="楷体" w:eastAsia="楷体" w:cs="楷体"/>
          <w:sz w:val="32"/>
          <w:szCs w:val="32"/>
          <w:lang w:val="en-US" w:eastAsia="zh-CN"/>
        </w:rPr>
        <w:fldChar w:fldCharType="separate"/>
      </w:r>
      <w:r>
        <w:rPr>
          <w:rFonts w:hint="eastAsia" w:ascii="楷体" w:hAnsi="楷体" w:eastAsia="楷体" w:cs="楷体"/>
          <w:sz w:val="32"/>
          <w:szCs w:val="32"/>
          <w:lang w:val="en-US" w:eastAsia="zh-CN"/>
        </w:rPr>
        <w:t>5</w:t>
      </w:r>
      <w:r>
        <w:rPr>
          <w:rFonts w:hint="eastAsia" w:ascii="楷体" w:hAnsi="楷体" w:eastAsia="楷体" w:cs="楷体"/>
          <w:sz w:val="32"/>
          <w:szCs w:val="32"/>
          <w:lang w:val="en-US" w:eastAsia="zh-CN"/>
        </w:rPr>
        <w:fldChar w:fldCharType="end"/>
      </w:r>
      <w:r>
        <w:rPr>
          <w:rFonts w:hint="default" w:ascii="楷体" w:hAnsi="楷体" w:eastAsia="楷体" w:cs="楷体"/>
          <w:sz w:val="32"/>
          <w:szCs w:val="32"/>
          <w:lang w:val="en-US" w:eastAsia="zh-CN"/>
        </w:rPr>
        <w:fldChar w:fldCharType="end"/>
      </w:r>
    </w:p>
    <w:p w14:paraId="63314BB0">
      <w:pPr>
        <w:pStyle w:val="13"/>
        <w:keepNext w:val="0"/>
        <w:keepLines w:val="0"/>
        <w:pageBreakBefore w:val="0"/>
        <w:widowControl/>
        <w:tabs>
          <w:tab w:val="right" w:leader="dot" w:pos="8300"/>
        </w:tabs>
        <w:kinsoku/>
        <w:wordWrap/>
        <w:overflowPunct/>
        <w:topLinePunct w:val="0"/>
        <w:autoSpaceDE/>
        <w:autoSpaceDN/>
        <w:bidi w:val="0"/>
        <w:adjustRightInd/>
        <w:snapToGrid/>
        <w:spacing w:line="560" w:lineRule="exac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fldChar w:fldCharType="begin"/>
      </w:r>
      <w:r>
        <w:rPr>
          <w:rFonts w:hint="eastAsia" w:ascii="黑体" w:hAnsi="黑体" w:eastAsia="黑体" w:cs="黑体"/>
          <w:sz w:val="32"/>
          <w:szCs w:val="32"/>
          <w:lang w:val="en-US" w:eastAsia="zh-CN"/>
        </w:rPr>
        <w:instrText xml:space="preserve"> HYPERLINK \l _Toc7341 </w:instrText>
      </w:r>
      <w:r>
        <w:rPr>
          <w:rFonts w:hint="eastAsia" w:ascii="黑体" w:hAnsi="黑体" w:eastAsia="黑体" w:cs="黑体"/>
          <w:sz w:val="32"/>
          <w:szCs w:val="32"/>
          <w:lang w:val="en-US" w:eastAsia="zh-CN"/>
        </w:rPr>
        <w:fldChar w:fldCharType="separate"/>
      </w:r>
      <w:r>
        <w:rPr>
          <w:rFonts w:hint="eastAsia" w:ascii="黑体" w:hAnsi="黑体" w:eastAsia="黑体" w:cs="黑体"/>
          <w:sz w:val="32"/>
          <w:szCs w:val="32"/>
          <w:lang w:val="en-US" w:eastAsia="zh-CN"/>
        </w:rPr>
        <w:t>三、部门预算及整体支出概况</w:t>
      </w:r>
      <w:r>
        <w:rPr>
          <w:rFonts w:hint="eastAsia" w:ascii="黑体" w:hAnsi="黑体" w:eastAsia="黑体" w:cs="黑体"/>
          <w:sz w:val="32"/>
          <w:szCs w:val="32"/>
          <w:lang w:val="en-US" w:eastAsia="zh-CN"/>
        </w:rPr>
        <w:tab/>
      </w:r>
      <w:r>
        <w:rPr>
          <w:rFonts w:hint="eastAsia" w:ascii="黑体" w:hAnsi="黑体" w:eastAsia="黑体" w:cs="黑体"/>
          <w:sz w:val="32"/>
          <w:szCs w:val="32"/>
          <w:lang w:val="en-US" w:eastAsia="zh-CN"/>
        </w:rPr>
        <w:fldChar w:fldCharType="begin"/>
      </w:r>
      <w:r>
        <w:rPr>
          <w:rFonts w:hint="eastAsia" w:ascii="黑体" w:hAnsi="黑体" w:eastAsia="黑体" w:cs="黑体"/>
          <w:sz w:val="32"/>
          <w:szCs w:val="32"/>
          <w:lang w:val="en-US" w:eastAsia="zh-CN"/>
        </w:rPr>
        <w:instrText xml:space="preserve"> PAGEREF _Toc7341 \h </w:instrText>
      </w:r>
      <w:r>
        <w:rPr>
          <w:rFonts w:hint="eastAsia" w:ascii="黑体" w:hAnsi="黑体" w:eastAsia="黑体" w:cs="黑体"/>
          <w:sz w:val="32"/>
          <w:szCs w:val="32"/>
          <w:lang w:val="en-US" w:eastAsia="zh-CN"/>
        </w:rPr>
        <w:fldChar w:fldCharType="separate"/>
      </w:r>
      <w:r>
        <w:rPr>
          <w:rFonts w:hint="eastAsia" w:ascii="黑体" w:hAnsi="黑体" w:eastAsia="黑体" w:cs="黑体"/>
          <w:sz w:val="32"/>
          <w:szCs w:val="32"/>
          <w:lang w:val="en-US" w:eastAsia="zh-CN"/>
        </w:rPr>
        <w:t>13</w:t>
      </w:r>
      <w:r>
        <w:rPr>
          <w:rFonts w:hint="eastAsia" w:ascii="黑体" w:hAnsi="黑体" w:eastAsia="黑体" w:cs="黑体"/>
          <w:sz w:val="32"/>
          <w:szCs w:val="32"/>
          <w:lang w:val="en-US" w:eastAsia="zh-CN"/>
        </w:rPr>
        <w:fldChar w:fldCharType="end"/>
      </w:r>
      <w:r>
        <w:rPr>
          <w:rFonts w:hint="eastAsia" w:ascii="黑体" w:hAnsi="黑体" w:eastAsia="黑体" w:cs="黑体"/>
          <w:sz w:val="32"/>
          <w:szCs w:val="32"/>
          <w:lang w:val="en-US" w:eastAsia="zh-CN"/>
        </w:rPr>
        <w:fldChar w:fldCharType="end"/>
      </w:r>
    </w:p>
    <w:p w14:paraId="0AFEC58F">
      <w:pPr>
        <w:pStyle w:val="13"/>
        <w:keepNext w:val="0"/>
        <w:keepLines w:val="0"/>
        <w:pageBreakBefore w:val="0"/>
        <w:widowControl/>
        <w:tabs>
          <w:tab w:val="right" w:leader="dot" w:pos="8300"/>
        </w:tabs>
        <w:kinsoku/>
        <w:wordWrap/>
        <w:overflowPunct/>
        <w:topLinePunct w:val="0"/>
        <w:autoSpaceDE/>
        <w:autoSpaceDN/>
        <w:bidi w:val="0"/>
        <w:adjustRightInd/>
        <w:snapToGrid/>
        <w:spacing w:line="560" w:lineRule="exact"/>
        <w:textAlignment w:val="auto"/>
        <w:rPr>
          <w:rFonts w:hint="eastAsia" w:ascii="楷体" w:hAnsi="楷体" w:eastAsia="楷体" w:cs="楷体"/>
          <w:sz w:val="32"/>
          <w:szCs w:val="32"/>
          <w:lang w:val="en-US" w:eastAsia="zh-CN"/>
        </w:rPr>
      </w:pPr>
      <w:r>
        <w:rPr>
          <w:rFonts w:hint="default" w:ascii="楷体" w:hAnsi="楷体" w:eastAsia="楷体" w:cs="楷体"/>
          <w:sz w:val="32"/>
          <w:szCs w:val="32"/>
          <w:lang w:val="en-US" w:eastAsia="zh-CN"/>
        </w:rPr>
        <w:fldChar w:fldCharType="begin"/>
      </w:r>
      <w:r>
        <w:rPr>
          <w:rFonts w:hint="default" w:ascii="楷体" w:hAnsi="楷体" w:eastAsia="楷体" w:cs="楷体"/>
          <w:sz w:val="32"/>
          <w:szCs w:val="32"/>
          <w:lang w:val="en-US" w:eastAsia="zh-CN"/>
        </w:rPr>
        <w:instrText xml:space="preserve"> HYPERLINK \l _Toc28688 </w:instrText>
      </w:r>
      <w:r>
        <w:rPr>
          <w:rFonts w:hint="default" w:ascii="楷体" w:hAnsi="楷体" w:eastAsia="楷体" w:cs="楷体"/>
          <w:sz w:val="32"/>
          <w:szCs w:val="32"/>
          <w:lang w:val="en-US" w:eastAsia="zh-CN"/>
        </w:rPr>
        <w:fldChar w:fldCharType="separate"/>
      </w:r>
      <w:r>
        <w:rPr>
          <w:rFonts w:hint="eastAsia" w:ascii="楷体" w:hAnsi="楷体" w:eastAsia="楷体" w:cs="楷体"/>
          <w:sz w:val="32"/>
          <w:szCs w:val="32"/>
          <w:lang w:val="en-US" w:eastAsia="zh-CN"/>
        </w:rPr>
        <w:t>（一）预算配置情况及分析</w:t>
      </w:r>
      <w:r>
        <w:rPr>
          <w:rFonts w:hint="eastAsia" w:ascii="楷体" w:hAnsi="楷体" w:eastAsia="楷体" w:cs="楷体"/>
          <w:sz w:val="32"/>
          <w:szCs w:val="32"/>
          <w:lang w:val="en-US" w:eastAsia="zh-CN"/>
        </w:rPr>
        <w:tab/>
      </w:r>
      <w:r>
        <w:rPr>
          <w:rFonts w:hint="eastAsia" w:ascii="楷体" w:hAnsi="楷体" w:eastAsia="楷体" w:cs="楷体"/>
          <w:sz w:val="32"/>
          <w:szCs w:val="32"/>
          <w:lang w:val="en-US" w:eastAsia="zh-CN"/>
        </w:rPr>
        <w:fldChar w:fldCharType="begin"/>
      </w:r>
      <w:r>
        <w:rPr>
          <w:rFonts w:hint="eastAsia" w:ascii="楷体" w:hAnsi="楷体" w:eastAsia="楷体" w:cs="楷体"/>
          <w:sz w:val="32"/>
          <w:szCs w:val="32"/>
          <w:lang w:val="en-US" w:eastAsia="zh-CN"/>
        </w:rPr>
        <w:instrText xml:space="preserve"> PAGEREF _Toc28688 \h </w:instrText>
      </w:r>
      <w:r>
        <w:rPr>
          <w:rFonts w:hint="eastAsia" w:ascii="楷体" w:hAnsi="楷体" w:eastAsia="楷体" w:cs="楷体"/>
          <w:sz w:val="32"/>
          <w:szCs w:val="32"/>
          <w:lang w:val="en-US" w:eastAsia="zh-CN"/>
        </w:rPr>
        <w:fldChar w:fldCharType="separate"/>
      </w:r>
      <w:r>
        <w:rPr>
          <w:rFonts w:hint="eastAsia" w:ascii="楷体" w:hAnsi="楷体" w:eastAsia="楷体" w:cs="楷体"/>
          <w:sz w:val="32"/>
          <w:szCs w:val="32"/>
          <w:lang w:val="en-US" w:eastAsia="zh-CN"/>
        </w:rPr>
        <w:t>13</w:t>
      </w:r>
      <w:r>
        <w:rPr>
          <w:rFonts w:hint="eastAsia" w:ascii="楷体" w:hAnsi="楷体" w:eastAsia="楷体" w:cs="楷体"/>
          <w:sz w:val="32"/>
          <w:szCs w:val="32"/>
          <w:lang w:val="en-US" w:eastAsia="zh-CN"/>
        </w:rPr>
        <w:fldChar w:fldCharType="end"/>
      </w:r>
      <w:r>
        <w:rPr>
          <w:rFonts w:hint="default" w:ascii="楷体" w:hAnsi="楷体" w:eastAsia="楷体" w:cs="楷体"/>
          <w:sz w:val="32"/>
          <w:szCs w:val="32"/>
          <w:lang w:val="en-US" w:eastAsia="zh-CN"/>
        </w:rPr>
        <w:fldChar w:fldCharType="end"/>
      </w:r>
    </w:p>
    <w:p w14:paraId="21CA16A7">
      <w:pPr>
        <w:pStyle w:val="13"/>
        <w:keepNext w:val="0"/>
        <w:keepLines w:val="0"/>
        <w:pageBreakBefore w:val="0"/>
        <w:widowControl/>
        <w:tabs>
          <w:tab w:val="right" w:leader="dot" w:pos="8300"/>
        </w:tabs>
        <w:kinsoku/>
        <w:wordWrap/>
        <w:overflowPunct/>
        <w:topLinePunct w:val="0"/>
        <w:autoSpaceDE/>
        <w:autoSpaceDN/>
        <w:bidi w:val="0"/>
        <w:adjustRightInd/>
        <w:snapToGrid/>
        <w:spacing w:line="560" w:lineRule="exact"/>
        <w:textAlignment w:val="auto"/>
        <w:rPr>
          <w:rFonts w:hint="eastAsia" w:ascii="楷体" w:hAnsi="楷体" w:eastAsia="楷体" w:cs="楷体"/>
          <w:sz w:val="32"/>
          <w:szCs w:val="32"/>
          <w:lang w:val="en-US" w:eastAsia="zh-CN"/>
        </w:rPr>
      </w:pPr>
      <w:r>
        <w:rPr>
          <w:rFonts w:hint="default" w:ascii="楷体" w:hAnsi="楷体" w:eastAsia="楷体" w:cs="楷体"/>
          <w:sz w:val="32"/>
          <w:szCs w:val="32"/>
          <w:lang w:val="en-US" w:eastAsia="zh-CN"/>
        </w:rPr>
        <w:fldChar w:fldCharType="begin"/>
      </w:r>
      <w:r>
        <w:rPr>
          <w:rFonts w:hint="default" w:ascii="楷体" w:hAnsi="楷体" w:eastAsia="楷体" w:cs="楷体"/>
          <w:sz w:val="32"/>
          <w:szCs w:val="32"/>
          <w:lang w:val="en-US" w:eastAsia="zh-CN"/>
        </w:rPr>
        <w:instrText xml:space="preserve"> HYPERLINK \l _Toc9524 </w:instrText>
      </w:r>
      <w:r>
        <w:rPr>
          <w:rFonts w:hint="default" w:ascii="楷体" w:hAnsi="楷体" w:eastAsia="楷体" w:cs="楷体"/>
          <w:sz w:val="32"/>
          <w:szCs w:val="32"/>
          <w:lang w:val="en-US" w:eastAsia="zh-CN"/>
        </w:rPr>
        <w:fldChar w:fldCharType="separate"/>
      </w:r>
      <w:r>
        <w:rPr>
          <w:rFonts w:hint="eastAsia" w:ascii="楷体" w:hAnsi="楷体" w:eastAsia="楷体" w:cs="楷体"/>
          <w:sz w:val="32"/>
          <w:szCs w:val="32"/>
          <w:lang w:val="en-US" w:eastAsia="zh-CN"/>
        </w:rPr>
        <w:t>（二）预算执行情况及分析</w:t>
      </w:r>
      <w:r>
        <w:rPr>
          <w:rFonts w:hint="eastAsia" w:ascii="楷体" w:hAnsi="楷体" w:eastAsia="楷体" w:cs="楷体"/>
          <w:sz w:val="32"/>
          <w:szCs w:val="32"/>
          <w:lang w:val="en-US" w:eastAsia="zh-CN"/>
        </w:rPr>
        <w:tab/>
      </w:r>
      <w:r>
        <w:rPr>
          <w:rFonts w:hint="eastAsia" w:ascii="楷体" w:hAnsi="楷体" w:eastAsia="楷体" w:cs="楷体"/>
          <w:sz w:val="32"/>
          <w:szCs w:val="32"/>
          <w:lang w:val="en-US" w:eastAsia="zh-CN"/>
        </w:rPr>
        <w:fldChar w:fldCharType="begin"/>
      </w:r>
      <w:r>
        <w:rPr>
          <w:rFonts w:hint="eastAsia" w:ascii="楷体" w:hAnsi="楷体" w:eastAsia="楷体" w:cs="楷体"/>
          <w:sz w:val="32"/>
          <w:szCs w:val="32"/>
          <w:lang w:val="en-US" w:eastAsia="zh-CN"/>
        </w:rPr>
        <w:instrText xml:space="preserve"> PAGEREF _Toc9524 \h </w:instrText>
      </w:r>
      <w:r>
        <w:rPr>
          <w:rFonts w:hint="eastAsia" w:ascii="楷体" w:hAnsi="楷体" w:eastAsia="楷体" w:cs="楷体"/>
          <w:sz w:val="32"/>
          <w:szCs w:val="32"/>
          <w:lang w:val="en-US" w:eastAsia="zh-CN"/>
        </w:rPr>
        <w:fldChar w:fldCharType="separate"/>
      </w:r>
      <w:r>
        <w:rPr>
          <w:rFonts w:hint="eastAsia" w:ascii="楷体" w:hAnsi="楷体" w:eastAsia="楷体" w:cs="楷体"/>
          <w:sz w:val="32"/>
          <w:szCs w:val="32"/>
          <w:lang w:val="en-US" w:eastAsia="zh-CN"/>
        </w:rPr>
        <w:t>14</w:t>
      </w:r>
      <w:r>
        <w:rPr>
          <w:rFonts w:hint="eastAsia" w:ascii="楷体" w:hAnsi="楷体" w:eastAsia="楷体" w:cs="楷体"/>
          <w:sz w:val="32"/>
          <w:szCs w:val="32"/>
          <w:lang w:val="en-US" w:eastAsia="zh-CN"/>
        </w:rPr>
        <w:fldChar w:fldCharType="end"/>
      </w:r>
      <w:r>
        <w:rPr>
          <w:rFonts w:hint="default" w:ascii="楷体" w:hAnsi="楷体" w:eastAsia="楷体" w:cs="楷体"/>
          <w:sz w:val="32"/>
          <w:szCs w:val="32"/>
          <w:lang w:val="en-US" w:eastAsia="zh-CN"/>
        </w:rPr>
        <w:fldChar w:fldCharType="end"/>
      </w:r>
    </w:p>
    <w:p w14:paraId="7A63094E">
      <w:pPr>
        <w:pStyle w:val="13"/>
        <w:keepNext w:val="0"/>
        <w:keepLines w:val="0"/>
        <w:pageBreakBefore w:val="0"/>
        <w:widowControl/>
        <w:tabs>
          <w:tab w:val="right" w:leader="dot" w:pos="8300"/>
        </w:tabs>
        <w:kinsoku/>
        <w:wordWrap/>
        <w:overflowPunct/>
        <w:topLinePunct w:val="0"/>
        <w:autoSpaceDE/>
        <w:autoSpaceDN/>
        <w:bidi w:val="0"/>
        <w:adjustRightInd/>
        <w:snapToGrid/>
        <w:spacing w:line="560" w:lineRule="exact"/>
        <w:textAlignment w:val="auto"/>
        <w:rPr>
          <w:rFonts w:hint="eastAsia" w:ascii="楷体" w:hAnsi="楷体" w:eastAsia="楷体" w:cs="楷体"/>
          <w:sz w:val="32"/>
          <w:szCs w:val="32"/>
          <w:lang w:val="en-US" w:eastAsia="zh-CN"/>
        </w:rPr>
      </w:pPr>
      <w:r>
        <w:rPr>
          <w:rFonts w:hint="default" w:ascii="楷体" w:hAnsi="楷体" w:eastAsia="楷体" w:cs="楷体"/>
          <w:sz w:val="32"/>
          <w:szCs w:val="32"/>
          <w:lang w:val="en-US" w:eastAsia="zh-CN"/>
        </w:rPr>
        <w:fldChar w:fldCharType="begin"/>
      </w:r>
      <w:r>
        <w:rPr>
          <w:rFonts w:hint="default" w:ascii="楷体" w:hAnsi="楷体" w:eastAsia="楷体" w:cs="楷体"/>
          <w:sz w:val="32"/>
          <w:szCs w:val="32"/>
          <w:lang w:val="en-US" w:eastAsia="zh-CN"/>
        </w:rPr>
        <w:instrText xml:space="preserve"> HYPERLINK \l _Toc16269 </w:instrText>
      </w:r>
      <w:r>
        <w:rPr>
          <w:rFonts w:hint="default" w:ascii="楷体" w:hAnsi="楷体" w:eastAsia="楷体" w:cs="楷体"/>
          <w:sz w:val="32"/>
          <w:szCs w:val="32"/>
          <w:lang w:val="en-US" w:eastAsia="zh-CN"/>
        </w:rPr>
        <w:fldChar w:fldCharType="separate"/>
      </w:r>
      <w:r>
        <w:rPr>
          <w:rFonts w:hint="eastAsia" w:ascii="楷体" w:hAnsi="楷体" w:eastAsia="楷体" w:cs="楷体"/>
          <w:sz w:val="32"/>
          <w:szCs w:val="32"/>
          <w:lang w:val="en-US" w:eastAsia="zh-CN"/>
        </w:rPr>
        <w:t>（三）整体支出汇总及分析</w:t>
      </w:r>
      <w:r>
        <w:rPr>
          <w:rFonts w:hint="eastAsia" w:ascii="楷体" w:hAnsi="楷体" w:eastAsia="楷体" w:cs="楷体"/>
          <w:sz w:val="32"/>
          <w:szCs w:val="32"/>
          <w:lang w:val="en-US" w:eastAsia="zh-CN"/>
        </w:rPr>
        <w:tab/>
      </w:r>
      <w:r>
        <w:rPr>
          <w:rFonts w:hint="eastAsia" w:ascii="楷体" w:hAnsi="楷体" w:eastAsia="楷体" w:cs="楷体"/>
          <w:sz w:val="32"/>
          <w:szCs w:val="32"/>
          <w:lang w:val="en-US" w:eastAsia="zh-CN"/>
        </w:rPr>
        <w:fldChar w:fldCharType="begin"/>
      </w:r>
      <w:r>
        <w:rPr>
          <w:rFonts w:hint="eastAsia" w:ascii="楷体" w:hAnsi="楷体" w:eastAsia="楷体" w:cs="楷体"/>
          <w:sz w:val="32"/>
          <w:szCs w:val="32"/>
          <w:lang w:val="en-US" w:eastAsia="zh-CN"/>
        </w:rPr>
        <w:instrText xml:space="preserve"> PAGEREF _Toc16269 \h </w:instrText>
      </w:r>
      <w:r>
        <w:rPr>
          <w:rFonts w:hint="eastAsia" w:ascii="楷体" w:hAnsi="楷体" w:eastAsia="楷体" w:cs="楷体"/>
          <w:sz w:val="32"/>
          <w:szCs w:val="32"/>
          <w:lang w:val="en-US" w:eastAsia="zh-CN"/>
        </w:rPr>
        <w:fldChar w:fldCharType="separate"/>
      </w:r>
      <w:r>
        <w:rPr>
          <w:rFonts w:hint="eastAsia" w:ascii="楷体" w:hAnsi="楷体" w:eastAsia="楷体" w:cs="楷体"/>
          <w:sz w:val="32"/>
          <w:szCs w:val="32"/>
          <w:lang w:val="en-US" w:eastAsia="zh-CN"/>
        </w:rPr>
        <w:t>16</w:t>
      </w:r>
      <w:r>
        <w:rPr>
          <w:rFonts w:hint="eastAsia" w:ascii="楷体" w:hAnsi="楷体" w:eastAsia="楷体" w:cs="楷体"/>
          <w:sz w:val="32"/>
          <w:szCs w:val="32"/>
          <w:lang w:val="en-US" w:eastAsia="zh-CN"/>
        </w:rPr>
        <w:fldChar w:fldCharType="end"/>
      </w:r>
      <w:r>
        <w:rPr>
          <w:rFonts w:hint="default" w:ascii="楷体" w:hAnsi="楷体" w:eastAsia="楷体" w:cs="楷体"/>
          <w:sz w:val="32"/>
          <w:szCs w:val="32"/>
          <w:lang w:val="en-US" w:eastAsia="zh-CN"/>
        </w:rPr>
        <w:fldChar w:fldCharType="end"/>
      </w:r>
    </w:p>
    <w:p w14:paraId="598B4021">
      <w:pPr>
        <w:pStyle w:val="13"/>
        <w:keepNext w:val="0"/>
        <w:keepLines w:val="0"/>
        <w:pageBreakBefore w:val="0"/>
        <w:widowControl/>
        <w:tabs>
          <w:tab w:val="right" w:leader="dot" w:pos="8300"/>
        </w:tabs>
        <w:kinsoku/>
        <w:wordWrap/>
        <w:overflowPunct/>
        <w:topLinePunct w:val="0"/>
        <w:autoSpaceDE/>
        <w:autoSpaceDN/>
        <w:bidi w:val="0"/>
        <w:adjustRightInd/>
        <w:snapToGrid/>
        <w:spacing w:line="560" w:lineRule="exact"/>
        <w:textAlignment w:val="auto"/>
        <w:rPr>
          <w:rFonts w:hint="eastAsia" w:ascii="楷体" w:hAnsi="楷体" w:eastAsia="楷体" w:cs="楷体"/>
          <w:sz w:val="32"/>
          <w:szCs w:val="32"/>
          <w:lang w:val="en-US" w:eastAsia="zh-CN"/>
        </w:rPr>
      </w:pPr>
      <w:r>
        <w:rPr>
          <w:rFonts w:hint="default" w:ascii="楷体" w:hAnsi="楷体" w:eastAsia="楷体" w:cs="楷体"/>
          <w:sz w:val="32"/>
          <w:szCs w:val="32"/>
          <w:lang w:val="en-US" w:eastAsia="zh-CN"/>
        </w:rPr>
        <w:fldChar w:fldCharType="begin"/>
      </w:r>
      <w:r>
        <w:rPr>
          <w:rFonts w:hint="default" w:ascii="楷体" w:hAnsi="楷体" w:eastAsia="楷体" w:cs="楷体"/>
          <w:sz w:val="32"/>
          <w:szCs w:val="32"/>
          <w:lang w:val="en-US" w:eastAsia="zh-CN"/>
        </w:rPr>
        <w:instrText xml:space="preserve"> HYPERLINK \l _Toc11299 </w:instrText>
      </w:r>
      <w:r>
        <w:rPr>
          <w:rFonts w:hint="default" w:ascii="楷体" w:hAnsi="楷体" w:eastAsia="楷体" w:cs="楷体"/>
          <w:sz w:val="32"/>
          <w:szCs w:val="32"/>
          <w:lang w:val="en-US" w:eastAsia="zh-CN"/>
        </w:rPr>
        <w:fldChar w:fldCharType="separate"/>
      </w:r>
      <w:r>
        <w:rPr>
          <w:rFonts w:hint="eastAsia" w:ascii="楷体" w:hAnsi="楷体" w:eastAsia="楷体" w:cs="楷体"/>
          <w:sz w:val="32"/>
          <w:szCs w:val="32"/>
          <w:lang w:val="en-US" w:eastAsia="zh-CN"/>
        </w:rPr>
        <w:t>（四）预算管理情况及分析</w:t>
      </w:r>
      <w:r>
        <w:rPr>
          <w:rFonts w:hint="eastAsia" w:ascii="楷体" w:hAnsi="楷体" w:eastAsia="楷体" w:cs="楷体"/>
          <w:sz w:val="32"/>
          <w:szCs w:val="32"/>
          <w:lang w:val="en-US" w:eastAsia="zh-CN"/>
        </w:rPr>
        <w:tab/>
      </w:r>
      <w:r>
        <w:rPr>
          <w:rFonts w:hint="eastAsia" w:ascii="楷体" w:hAnsi="楷体" w:eastAsia="楷体" w:cs="楷体"/>
          <w:sz w:val="32"/>
          <w:szCs w:val="32"/>
          <w:lang w:val="en-US" w:eastAsia="zh-CN"/>
        </w:rPr>
        <w:fldChar w:fldCharType="begin"/>
      </w:r>
      <w:r>
        <w:rPr>
          <w:rFonts w:hint="eastAsia" w:ascii="楷体" w:hAnsi="楷体" w:eastAsia="楷体" w:cs="楷体"/>
          <w:sz w:val="32"/>
          <w:szCs w:val="32"/>
          <w:lang w:val="en-US" w:eastAsia="zh-CN"/>
        </w:rPr>
        <w:instrText xml:space="preserve"> PAGEREF _Toc11299 \h </w:instrText>
      </w:r>
      <w:r>
        <w:rPr>
          <w:rFonts w:hint="eastAsia" w:ascii="楷体" w:hAnsi="楷体" w:eastAsia="楷体" w:cs="楷体"/>
          <w:sz w:val="32"/>
          <w:szCs w:val="32"/>
          <w:lang w:val="en-US" w:eastAsia="zh-CN"/>
        </w:rPr>
        <w:fldChar w:fldCharType="separate"/>
      </w:r>
      <w:r>
        <w:rPr>
          <w:rFonts w:hint="eastAsia" w:ascii="楷体" w:hAnsi="楷体" w:eastAsia="楷体" w:cs="楷体"/>
          <w:sz w:val="32"/>
          <w:szCs w:val="32"/>
          <w:lang w:val="en-US" w:eastAsia="zh-CN"/>
        </w:rPr>
        <w:t>17</w:t>
      </w:r>
      <w:r>
        <w:rPr>
          <w:rFonts w:hint="eastAsia" w:ascii="楷体" w:hAnsi="楷体" w:eastAsia="楷体" w:cs="楷体"/>
          <w:sz w:val="32"/>
          <w:szCs w:val="32"/>
          <w:lang w:val="en-US" w:eastAsia="zh-CN"/>
        </w:rPr>
        <w:fldChar w:fldCharType="end"/>
      </w:r>
      <w:r>
        <w:rPr>
          <w:rFonts w:hint="default" w:ascii="楷体" w:hAnsi="楷体" w:eastAsia="楷体" w:cs="楷体"/>
          <w:sz w:val="32"/>
          <w:szCs w:val="32"/>
          <w:lang w:val="en-US" w:eastAsia="zh-CN"/>
        </w:rPr>
        <w:fldChar w:fldCharType="end"/>
      </w:r>
    </w:p>
    <w:p w14:paraId="3E2588A9">
      <w:pPr>
        <w:pStyle w:val="13"/>
        <w:keepNext w:val="0"/>
        <w:keepLines w:val="0"/>
        <w:pageBreakBefore w:val="0"/>
        <w:widowControl/>
        <w:tabs>
          <w:tab w:val="right" w:leader="dot" w:pos="8300"/>
        </w:tabs>
        <w:kinsoku/>
        <w:wordWrap/>
        <w:overflowPunct/>
        <w:topLinePunct w:val="0"/>
        <w:autoSpaceDE/>
        <w:autoSpaceDN/>
        <w:bidi w:val="0"/>
        <w:adjustRightInd/>
        <w:snapToGrid/>
        <w:spacing w:line="560" w:lineRule="exact"/>
        <w:textAlignment w:val="auto"/>
        <w:rPr>
          <w:rFonts w:hint="eastAsia" w:ascii="楷体" w:hAnsi="楷体" w:eastAsia="楷体" w:cs="楷体"/>
          <w:sz w:val="32"/>
          <w:szCs w:val="32"/>
          <w:lang w:val="en-US" w:eastAsia="zh-CN"/>
        </w:rPr>
      </w:pPr>
      <w:r>
        <w:rPr>
          <w:rFonts w:hint="default" w:ascii="楷体" w:hAnsi="楷体" w:eastAsia="楷体" w:cs="楷体"/>
          <w:sz w:val="32"/>
          <w:szCs w:val="32"/>
          <w:lang w:val="en-US" w:eastAsia="zh-CN"/>
        </w:rPr>
        <w:fldChar w:fldCharType="begin"/>
      </w:r>
      <w:r>
        <w:rPr>
          <w:rFonts w:hint="default" w:ascii="楷体" w:hAnsi="楷体" w:eastAsia="楷体" w:cs="楷体"/>
          <w:sz w:val="32"/>
          <w:szCs w:val="32"/>
          <w:lang w:val="en-US" w:eastAsia="zh-CN"/>
        </w:rPr>
        <w:instrText xml:space="preserve"> HYPERLINK \l _Toc14514 </w:instrText>
      </w:r>
      <w:r>
        <w:rPr>
          <w:rFonts w:hint="default" w:ascii="楷体" w:hAnsi="楷体" w:eastAsia="楷体" w:cs="楷体"/>
          <w:sz w:val="32"/>
          <w:szCs w:val="32"/>
          <w:lang w:val="en-US" w:eastAsia="zh-CN"/>
        </w:rPr>
        <w:fldChar w:fldCharType="separate"/>
      </w:r>
      <w:r>
        <w:rPr>
          <w:rFonts w:hint="eastAsia" w:ascii="楷体" w:hAnsi="楷体" w:eastAsia="楷体" w:cs="楷体"/>
          <w:sz w:val="32"/>
          <w:szCs w:val="32"/>
          <w:lang w:val="en-US" w:eastAsia="zh-CN"/>
        </w:rPr>
        <w:t>（五）工资管理情况及分析</w:t>
      </w:r>
      <w:r>
        <w:rPr>
          <w:rFonts w:hint="eastAsia" w:ascii="楷体" w:hAnsi="楷体" w:eastAsia="楷体" w:cs="楷体"/>
          <w:sz w:val="32"/>
          <w:szCs w:val="32"/>
          <w:lang w:val="en-US" w:eastAsia="zh-CN"/>
        </w:rPr>
        <w:tab/>
      </w:r>
      <w:r>
        <w:rPr>
          <w:rFonts w:hint="eastAsia" w:ascii="楷体" w:hAnsi="楷体" w:eastAsia="楷体" w:cs="楷体"/>
          <w:sz w:val="32"/>
          <w:szCs w:val="32"/>
          <w:lang w:val="en-US" w:eastAsia="zh-CN"/>
        </w:rPr>
        <w:fldChar w:fldCharType="begin"/>
      </w:r>
      <w:r>
        <w:rPr>
          <w:rFonts w:hint="eastAsia" w:ascii="楷体" w:hAnsi="楷体" w:eastAsia="楷体" w:cs="楷体"/>
          <w:sz w:val="32"/>
          <w:szCs w:val="32"/>
          <w:lang w:val="en-US" w:eastAsia="zh-CN"/>
        </w:rPr>
        <w:instrText xml:space="preserve"> PAGEREF _Toc14514 \h </w:instrText>
      </w:r>
      <w:r>
        <w:rPr>
          <w:rFonts w:hint="eastAsia" w:ascii="楷体" w:hAnsi="楷体" w:eastAsia="楷体" w:cs="楷体"/>
          <w:sz w:val="32"/>
          <w:szCs w:val="32"/>
          <w:lang w:val="en-US" w:eastAsia="zh-CN"/>
        </w:rPr>
        <w:fldChar w:fldCharType="separate"/>
      </w:r>
      <w:r>
        <w:rPr>
          <w:rFonts w:hint="eastAsia" w:ascii="楷体" w:hAnsi="楷体" w:eastAsia="楷体" w:cs="楷体"/>
          <w:sz w:val="32"/>
          <w:szCs w:val="32"/>
          <w:lang w:val="en-US" w:eastAsia="zh-CN"/>
        </w:rPr>
        <w:t>18</w:t>
      </w:r>
      <w:r>
        <w:rPr>
          <w:rFonts w:hint="eastAsia" w:ascii="楷体" w:hAnsi="楷体" w:eastAsia="楷体" w:cs="楷体"/>
          <w:sz w:val="32"/>
          <w:szCs w:val="32"/>
          <w:lang w:val="en-US" w:eastAsia="zh-CN"/>
        </w:rPr>
        <w:fldChar w:fldCharType="end"/>
      </w:r>
      <w:r>
        <w:rPr>
          <w:rFonts w:hint="default" w:ascii="楷体" w:hAnsi="楷体" w:eastAsia="楷体" w:cs="楷体"/>
          <w:sz w:val="32"/>
          <w:szCs w:val="32"/>
          <w:lang w:val="en-US" w:eastAsia="zh-CN"/>
        </w:rPr>
        <w:fldChar w:fldCharType="end"/>
      </w:r>
    </w:p>
    <w:p w14:paraId="55D1F853">
      <w:pPr>
        <w:pStyle w:val="13"/>
        <w:keepNext w:val="0"/>
        <w:keepLines w:val="0"/>
        <w:pageBreakBefore w:val="0"/>
        <w:widowControl/>
        <w:tabs>
          <w:tab w:val="right" w:leader="dot" w:pos="8300"/>
        </w:tabs>
        <w:kinsoku/>
        <w:wordWrap/>
        <w:overflowPunct/>
        <w:topLinePunct w:val="0"/>
        <w:autoSpaceDE/>
        <w:autoSpaceDN/>
        <w:bidi w:val="0"/>
        <w:adjustRightInd/>
        <w:snapToGrid/>
        <w:spacing w:line="560" w:lineRule="exact"/>
        <w:textAlignment w:val="auto"/>
        <w:rPr>
          <w:rFonts w:hint="eastAsia" w:ascii="楷体" w:hAnsi="楷体" w:eastAsia="楷体" w:cs="楷体"/>
          <w:sz w:val="32"/>
          <w:szCs w:val="32"/>
          <w:lang w:val="en-US" w:eastAsia="zh-CN"/>
        </w:rPr>
      </w:pPr>
      <w:r>
        <w:rPr>
          <w:rFonts w:hint="default" w:ascii="楷体" w:hAnsi="楷体" w:eastAsia="楷体" w:cs="楷体"/>
          <w:sz w:val="32"/>
          <w:szCs w:val="32"/>
          <w:lang w:val="en-US" w:eastAsia="zh-CN"/>
        </w:rPr>
        <w:fldChar w:fldCharType="begin"/>
      </w:r>
      <w:r>
        <w:rPr>
          <w:rFonts w:hint="default" w:ascii="楷体" w:hAnsi="楷体" w:eastAsia="楷体" w:cs="楷体"/>
          <w:sz w:val="32"/>
          <w:szCs w:val="32"/>
          <w:lang w:val="en-US" w:eastAsia="zh-CN"/>
        </w:rPr>
        <w:instrText xml:space="preserve"> HYPERLINK \l _Toc19586 </w:instrText>
      </w:r>
      <w:r>
        <w:rPr>
          <w:rFonts w:hint="default" w:ascii="楷体" w:hAnsi="楷体" w:eastAsia="楷体" w:cs="楷体"/>
          <w:sz w:val="32"/>
          <w:szCs w:val="32"/>
          <w:lang w:val="en-US" w:eastAsia="zh-CN"/>
        </w:rPr>
        <w:fldChar w:fldCharType="separate"/>
      </w:r>
      <w:r>
        <w:rPr>
          <w:rFonts w:hint="eastAsia" w:ascii="楷体" w:hAnsi="楷体" w:eastAsia="楷体" w:cs="楷体"/>
          <w:sz w:val="32"/>
          <w:szCs w:val="32"/>
          <w:lang w:val="en-US" w:eastAsia="zh-CN"/>
        </w:rPr>
        <w:t>（六）项目支出管理情况及分析</w:t>
      </w:r>
      <w:r>
        <w:rPr>
          <w:rFonts w:hint="eastAsia" w:ascii="楷体" w:hAnsi="楷体" w:eastAsia="楷体" w:cs="楷体"/>
          <w:sz w:val="32"/>
          <w:szCs w:val="32"/>
          <w:lang w:val="en-US" w:eastAsia="zh-CN"/>
        </w:rPr>
        <w:tab/>
      </w:r>
      <w:r>
        <w:rPr>
          <w:rFonts w:hint="eastAsia" w:ascii="楷体" w:hAnsi="楷体" w:eastAsia="楷体" w:cs="楷体"/>
          <w:sz w:val="32"/>
          <w:szCs w:val="32"/>
          <w:lang w:val="en-US" w:eastAsia="zh-CN"/>
        </w:rPr>
        <w:fldChar w:fldCharType="begin"/>
      </w:r>
      <w:r>
        <w:rPr>
          <w:rFonts w:hint="eastAsia" w:ascii="楷体" w:hAnsi="楷体" w:eastAsia="楷体" w:cs="楷体"/>
          <w:sz w:val="32"/>
          <w:szCs w:val="32"/>
          <w:lang w:val="en-US" w:eastAsia="zh-CN"/>
        </w:rPr>
        <w:instrText xml:space="preserve"> PAGEREF _Toc19586 \h </w:instrText>
      </w:r>
      <w:r>
        <w:rPr>
          <w:rFonts w:hint="eastAsia" w:ascii="楷体" w:hAnsi="楷体" w:eastAsia="楷体" w:cs="楷体"/>
          <w:sz w:val="32"/>
          <w:szCs w:val="32"/>
          <w:lang w:val="en-US" w:eastAsia="zh-CN"/>
        </w:rPr>
        <w:fldChar w:fldCharType="separate"/>
      </w:r>
      <w:r>
        <w:rPr>
          <w:rFonts w:hint="eastAsia" w:ascii="楷体" w:hAnsi="楷体" w:eastAsia="楷体" w:cs="楷体"/>
          <w:sz w:val="32"/>
          <w:szCs w:val="32"/>
          <w:lang w:val="en-US" w:eastAsia="zh-CN"/>
        </w:rPr>
        <w:t>18</w:t>
      </w:r>
      <w:r>
        <w:rPr>
          <w:rFonts w:hint="eastAsia" w:ascii="楷体" w:hAnsi="楷体" w:eastAsia="楷体" w:cs="楷体"/>
          <w:sz w:val="32"/>
          <w:szCs w:val="32"/>
          <w:lang w:val="en-US" w:eastAsia="zh-CN"/>
        </w:rPr>
        <w:fldChar w:fldCharType="end"/>
      </w:r>
      <w:r>
        <w:rPr>
          <w:rFonts w:hint="default" w:ascii="楷体" w:hAnsi="楷体" w:eastAsia="楷体" w:cs="楷体"/>
          <w:sz w:val="32"/>
          <w:szCs w:val="32"/>
          <w:lang w:val="en-US" w:eastAsia="zh-CN"/>
        </w:rPr>
        <w:fldChar w:fldCharType="end"/>
      </w:r>
    </w:p>
    <w:p w14:paraId="78CCB596">
      <w:pPr>
        <w:pStyle w:val="13"/>
        <w:keepNext w:val="0"/>
        <w:keepLines w:val="0"/>
        <w:pageBreakBefore w:val="0"/>
        <w:widowControl/>
        <w:tabs>
          <w:tab w:val="right" w:leader="dot" w:pos="8300"/>
        </w:tabs>
        <w:kinsoku/>
        <w:wordWrap/>
        <w:overflowPunct/>
        <w:topLinePunct w:val="0"/>
        <w:autoSpaceDE/>
        <w:autoSpaceDN/>
        <w:bidi w:val="0"/>
        <w:adjustRightInd/>
        <w:snapToGrid/>
        <w:spacing w:line="560" w:lineRule="exact"/>
        <w:textAlignment w:val="auto"/>
        <w:rPr>
          <w:rFonts w:hint="eastAsia" w:ascii="楷体" w:hAnsi="楷体" w:eastAsia="楷体" w:cs="楷体"/>
          <w:sz w:val="32"/>
          <w:szCs w:val="32"/>
          <w:lang w:val="en-US" w:eastAsia="zh-CN"/>
        </w:rPr>
      </w:pPr>
      <w:r>
        <w:rPr>
          <w:rFonts w:hint="default" w:ascii="楷体" w:hAnsi="楷体" w:eastAsia="楷体" w:cs="楷体"/>
          <w:sz w:val="32"/>
          <w:szCs w:val="32"/>
          <w:lang w:val="en-US" w:eastAsia="zh-CN"/>
        </w:rPr>
        <w:fldChar w:fldCharType="begin"/>
      </w:r>
      <w:r>
        <w:rPr>
          <w:rFonts w:hint="default" w:ascii="楷体" w:hAnsi="楷体" w:eastAsia="楷体" w:cs="楷体"/>
          <w:sz w:val="32"/>
          <w:szCs w:val="32"/>
          <w:lang w:val="en-US" w:eastAsia="zh-CN"/>
        </w:rPr>
        <w:instrText xml:space="preserve"> HYPERLINK \l _Toc4941 </w:instrText>
      </w:r>
      <w:r>
        <w:rPr>
          <w:rFonts w:hint="default" w:ascii="楷体" w:hAnsi="楷体" w:eastAsia="楷体" w:cs="楷体"/>
          <w:sz w:val="32"/>
          <w:szCs w:val="32"/>
          <w:lang w:val="en-US" w:eastAsia="zh-CN"/>
        </w:rPr>
        <w:fldChar w:fldCharType="separate"/>
      </w:r>
      <w:r>
        <w:rPr>
          <w:rFonts w:hint="eastAsia" w:ascii="楷体" w:hAnsi="楷体" w:eastAsia="楷体" w:cs="楷体"/>
          <w:sz w:val="32"/>
          <w:szCs w:val="32"/>
          <w:lang w:val="en-US" w:eastAsia="zh-CN"/>
        </w:rPr>
        <w:t>（七）固定资产及无形资产管理情况及分析</w:t>
      </w:r>
      <w:r>
        <w:rPr>
          <w:rFonts w:hint="eastAsia" w:ascii="楷体" w:hAnsi="楷体" w:eastAsia="楷体" w:cs="楷体"/>
          <w:sz w:val="32"/>
          <w:szCs w:val="32"/>
          <w:lang w:val="en-US" w:eastAsia="zh-CN"/>
        </w:rPr>
        <w:tab/>
      </w:r>
      <w:r>
        <w:rPr>
          <w:rFonts w:hint="eastAsia" w:ascii="楷体" w:hAnsi="楷体" w:eastAsia="楷体" w:cs="楷体"/>
          <w:sz w:val="32"/>
          <w:szCs w:val="32"/>
          <w:lang w:val="en-US" w:eastAsia="zh-CN"/>
        </w:rPr>
        <w:fldChar w:fldCharType="begin"/>
      </w:r>
      <w:r>
        <w:rPr>
          <w:rFonts w:hint="eastAsia" w:ascii="楷体" w:hAnsi="楷体" w:eastAsia="楷体" w:cs="楷体"/>
          <w:sz w:val="32"/>
          <w:szCs w:val="32"/>
          <w:lang w:val="en-US" w:eastAsia="zh-CN"/>
        </w:rPr>
        <w:instrText xml:space="preserve"> PAGEREF _Toc4941 \h </w:instrText>
      </w:r>
      <w:r>
        <w:rPr>
          <w:rFonts w:hint="eastAsia" w:ascii="楷体" w:hAnsi="楷体" w:eastAsia="楷体" w:cs="楷体"/>
          <w:sz w:val="32"/>
          <w:szCs w:val="32"/>
          <w:lang w:val="en-US" w:eastAsia="zh-CN"/>
        </w:rPr>
        <w:fldChar w:fldCharType="separate"/>
      </w:r>
      <w:r>
        <w:rPr>
          <w:rFonts w:hint="eastAsia" w:ascii="楷体" w:hAnsi="楷体" w:eastAsia="楷体" w:cs="楷体"/>
          <w:sz w:val="32"/>
          <w:szCs w:val="32"/>
          <w:lang w:val="en-US" w:eastAsia="zh-CN"/>
        </w:rPr>
        <w:t>18</w:t>
      </w:r>
      <w:r>
        <w:rPr>
          <w:rFonts w:hint="eastAsia" w:ascii="楷体" w:hAnsi="楷体" w:eastAsia="楷体" w:cs="楷体"/>
          <w:sz w:val="32"/>
          <w:szCs w:val="32"/>
          <w:lang w:val="en-US" w:eastAsia="zh-CN"/>
        </w:rPr>
        <w:fldChar w:fldCharType="end"/>
      </w:r>
      <w:r>
        <w:rPr>
          <w:rFonts w:hint="default" w:ascii="楷体" w:hAnsi="楷体" w:eastAsia="楷体" w:cs="楷体"/>
          <w:sz w:val="32"/>
          <w:szCs w:val="32"/>
          <w:lang w:val="en-US" w:eastAsia="zh-CN"/>
        </w:rPr>
        <w:fldChar w:fldCharType="end"/>
      </w:r>
    </w:p>
    <w:p w14:paraId="04E30C78">
      <w:pPr>
        <w:pStyle w:val="13"/>
        <w:keepNext w:val="0"/>
        <w:keepLines w:val="0"/>
        <w:pageBreakBefore w:val="0"/>
        <w:widowControl/>
        <w:tabs>
          <w:tab w:val="right" w:leader="dot" w:pos="8300"/>
        </w:tabs>
        <w:kinsoku/>
        <w:wordWrap/>
        <w:overflowPunct/>
        <w:topLinePunct w:val="0"/>
        <w:autoSpaceDE/>
        <w:autoSpaceDN/>
        <w:bidi w:val="0"/>
        <w:adjustRightInd/>
        <w:snapToGrid/>
        <w:spacing w:line="560" w:lineRule="exact"/>
        <w:textAlignment w:val="auto"/>
        <w:rPr>
          <w:rFonts w:hint="eastAsia" w:ascii="楷体" w:hAnsi="楷体" w:eastAsia="楷体" w:cs="楷体"/>
          <w:sz w:val="32"/>
          <w:szCs w:val="32"/>
          <w:lang w:val="en-US" w:eastAsia="zh-CN"/>
        </w:rPr>
      </w:pPr>
      <w:r>
        <w:rPr>
          <w:rFonts w:hint="default" w:ascii="楷体" w:hAnsi="楷体" w:eastAsia="楷体" w:cs="楷体"/>
          <w:sz w:val="32"/>
          <w:szCs w:val="32"/>
          <w:lang w:val="en-US" w:eastAsia="zh-CN"/>
        </w:rPr>
        <w:fldChar w:fldCharType="begin"/>
      </w:r>
      <w:r>
        <w:rPr>
          <w:rFonts w:hint="default" w:ascii="楷体" w:hAnsi="楷体" w:eastAsia="楷体" w:cs="楷体"/>
          <w:sz w:val="32"/>
          <w:szCs w:val="32"/>
          <w:lang w:val="en-US" w:eastAsia="zh-CN"/>
        </w:rPr>
        <w:instrText xml:space="preserve"> HYPERLINK \l _Toc27688 </w:instrText>
      </w:r>
      <w:r>
        <w:rPr>
          <w:rFonts w:hint="default" w:ascii="楷体" w:hAnsi="楷体" w:eastAsia="楷体" w:cs="楷体"/>
          <w:sz w:val="32"/>
          <w:szCs w:val="32"/>
          <w:lang w:val="en-US" w:eastAsia="zh-CN"/>
        </w:rPr>
        <w:fldChar w:fldCharType="separate"/>
      </w:r>
      <w:r>
        <w:rPr>
          <w:rFonts w:hint="eastAsia" w:ascii="楷体" w:hAnsi="楷体" w:eastAsia="楷体" w:cs="楷体"/>
          <w:sz w:val="32"/>
          <w:szCs w:val="32"/>
          <w:lang w:val="en-US" w:eastAsia="zh-CN"/>
        </w:rPr>
        <w:t>（八）厉行节约保障措施的执行情况及其政策效果</w:t>
      </w:r>
      <w:r>
        <w:rPr>
          <w:rFonts w:hint="eastAsia" w:ascii="楷体" w:hAnsi="楷体" w:eastAsia="楷体" w:cs="楷体"/>
          <w:sz w:val="32"/>
          <w:szCs w:val="32"/>
          <w:lang w:val="en-US" w:eastAsia="zh-CN"/>
        </w:rPr>
        <w:tab/>
      </w:r>
      <w:r>
        <w:rPr>
          <w:rFonts w:hint="eastAsia" w:ascii="楷体" w:hAnsi="楷体" w:eastAsia="楷体" w:cs="楷体"/>
          <w:sz w:val="32"/>
          <w:szCs w:val="32"/>
          <w:lang w:val="en-US" w:eastAsia="zh-CN"/>
        </w:rPr>
        <w:fldChar w:fldCharType="begin"/>
      </w:r>
      <w:r>
        <w:rPr>
          <w:rFonts w:hint="eastAsia" w:ascii="楷体" w:hAnsi="楷体" w:eastAsia="楷体" w:cs="楷体"/>
          <w:sz w:val="32"/>
          <w:szCs w:val="32"/>
          <w:lang w:val="en-US" w:eastAsia="zh-CN"/>
        </w:rPr>
        <w:instrText xml:space="preserve"> PAGEREF _Toc27688 \h </w:instrText>
      </w:r>
      <w:r>
        <w:rPr>
          <w:rFonts w:hint="eastAsia" w:ascii="楷体" w:hAnsi="楷体" w:eastAsia="楷体" w:cs="楷体"/>
          <w:sz w:val="32"/>
          <w:szCs w:val="32"/>
          <w:lang w:val="en-US" w:eastAsia="zh-CN"/>
        </w:rPr>
        <w:fldChar w:fldCharType="separate"/>
      </w:r>
      <w:r>
        <w:rPr>
          <w:rFonts w:hint="eastAsia" w:ascii="楷体" w:hAnsi="楷体" w:eastAsia="楷体" w:cs="楷体"/>
          <w:sz w:val="32"/>
          <w:szCs w:val="32"/>
          <w:lang w:val="en-US" w:eastAsia="zh-CN"/>
        </w:rPr>
        <w:t>19</w:t>
      </w:r>
      <w:r>
        <w:rPr>
          <w:rFonts w:hint="eastAsia" w:ascii="楷体" w:hAnsi="楷体" w:eastAsia="楷体" w:cs="楷体"/>
          <w:sz w:val="32"/>
          <w:szCs w:val="32"/>
          <w:lang w:val="en-US" w:eastAsia="zh-CN"/>
        </w:rPr>
        <w:fldChar w:fldCharType="end"/>
      </w:r>
      <w:r>
        <w:rPr>
          <w:rFonts w:hint="default" w:ascii="楷体" w:hAnsi="楷体" w:eastAsia="楷体" w:cs="楷体"/>
          <w:sz w:val="32"/>
          <w:szCs w:val="32"/>
          <w:lang w:val="en-US" w:eastAsia="zh-CN"/>
        </w:rPr>
        <w:fldChar w:fldCharType="end"/>
      </w:r>
    </w:p>
    <w:p w14:paraId="612FAA2C">
      <w:pPr>
        <w:pStyle w:val="13"/>
        <w:keepNext w:val="0"/>
        <w:keepLines w:val="0"/>
        <w:pageBreakBefore w:val="0"/>
        <w:widowControl/>
        <w:tabs>
          <w:tab w:val="right" w:leader="dot" w:pos="8300"/>
        </w:tabs>
        <w:kinsoku/>
        <w:wordWrap/>
        <w:overflowPunct/>
        <w:topLinePunct w:val="0"/>
        <w:autoSpaceDE/>
        <w:autoSpaceDN/>
        <w:bidi w:val="0"/>
        <w:adjustRightInd/>
        <w:snapToGrid/>
        <w:spacing w:line="560" w:lineRule="exac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fldChar w:fldCharType="begin"/>
      </w:r>
      <w:r>
        <w:rPr>
          <w:rFonts w:hint="eastAsia" w:ascii="黑体" w:hAnsi="黑体" w:eastAsia="黑体" w:cs="黑体"/>
          <w:sz w:val="32"/>
          <w:szCs w:val="32"/>
          <w:lang w:val="en-US" w:eastAsia="zh-CN"/>
        </w:rPr>
        <w:instrText xml:space="preserve"> HYPERLINK \l _Toc32276 </w:instrText>
      </w:r>
      <w:r>
        <w:rPr>
          <w:rFonts w:hint="eastAsia" w:ascii="黑体" w:hAnsi="黑体" w:eastAsia="黑体" w:cs="黑体"/>
          <w:sz w:val="32"/>
          <w:szCs w:val="32"/>
          <w:lang w:val="en-US" w:eastAsia="zh-CN"/>
        </w:rPr>
        <w:fldChar w:fldCharType="separate"/>
      </w:r>
      <w:r>
        <w:rPr>
          <w:rFonts w:hint="eastAsia" w:ascii="黑体" w:hAnsi="黑体" w:eastAsia="黑体" w:cs="黑体"/>
          <w:sz w:val="32"/>
          <w:szCs w:val="32"/>
          <w:lang w:val="en-US" w:eastAsia="zh-CN"/>
        </w:rPr>
        <w:t>四、部门绩效目标</w:t>
      </w:r>
      <w:r>
        <w:rPr>
          <w:rFonts w:hint="eastAsia" w:ascii="黑体" w:hAnsi="黑体" w:eastAsia="黑体" w:cs="黑体"/>
          <w:sz w:val="32"/>
          <w:szCs w:val="32"/>
          <w:lang w:val="en-US" w:eastAsia="zh-CN"/>
        </w:rPr>
        <w:tab/>
      </w:r>
      <w:r>
        <w:rPr>
          <w:rFonts w:hint="eastAsia" w:ascii="黑体" w:hAnsi="黑体" w:eastAsia="黑体" w:cs="黑体"/>
          <w:sz w:val="32"/>
          <w:szCs w:val="32"/>
          <w:lang w:val="en-US" w:eastAsia="zh-CN"/>
        </w:rPr>
        <w:fldChar w:fldCharType="begin"/>
      </w:r>
      <w:r>
        <w:rPr>
          <w:rFonts w:hint="eastAsia" w:ascii="黑体" w:hAnsi="黑体" w:eastAsia="黑体" w:cs="黑体"/>
          <w:sz w:val="32"/>
          <w:szCs w:val="32"/>
          <w:lang w:val="en-US" w:eastAsia="zh-CN"/>
        </w:rPr>
        <w:instrText xml:space="preserve"> PAGEREF _Toc32276 \h </w:instrText>
      </w:r>
      <w:r>
        <w:rPr>
          <w:rFonts w:hint="eastAsia" w:ascii="黑体" w:hAnsi="黑体" w:eastAsia="黑体" w:cs="黑体"/>
          <w:sz w:val="32"/>
          <w:szCs w:val="32"/>
          <w:lang w:val="en-US" w:eastAsia="zh-CN"/>
        </w:rPr>
        <w:fldChar w:fldCharType="separate"/>
      </w:r>
      <w:r>
        <w:rPr>
          <w:rFonts w:hint="eastAsia" w:ascii="黑体" w:hAnsi="黑体" w:eastAsia="黑体" w:cs="黑体"/>
          <w:sz w:val="32"/>
          <w:szCs w:val="32"/>
          <w:lang w:val="en-US" w:eastAsia="zh-CN"/>
        </w:rPr>
        <w:t>19</w:t>
      </w:r>
      <w:r>
        <w:rPr>
          <w:rFonts w:hint="eastAsia" w:ascii="黑体" w:hAnsi="黑体" w:eastAsia="黑体" w:cs="黑体"/>
          <w:sz w:val="32"/>
          <w:szCs w:val="32"/>
          <w:lang w:val="en-US" w:eastAsia="zh-CN"/>
        </w:rPr>
        <w:fldChar w:fldCharType="end"/>
      </w:r>
      <w:r>
        <w:rPr>
          <w:rFonts w:hint="eastAsia" w:ascii="黑体" w:hAnsi="黑体" w:eastAsia="黑体" w:cs="黑体"/>
          <w:sz w:val="32"/>
          <w:szCs w:val="32"/>
          <w:lang w:val="en-US" w:eastAsia="zh-CN"/>
        </w:rPr>
        <w:fldChar w:fldCharType="end"/>
      </w:r>
    </w:p>
    <w:p w14:paraId="746BA0A1">
      <w:pPr>
        <w:pStyle w:val="13"/>
        <w:keepNext w:val="0"/>
        <w:keepLines w:val="0"/>
        <w:pageBreakBefore w:val="0"/>
        <w:widowControl/>
        <w:tabs>
          <w:tab w:val="right" w:leader="dot" w:pos="8300"/>
        </w:tabs>
        <w:kinsoku/>
        <w:wordWrap/>
        <w:overflowPunct/>
        <w:topLinePunct w:val="0"/>
        <w:autoSpaceDE/>
        <w:autoSpaceDN/>
        <w:bidi w:val="0"/>
        <w:adjustRightInd/>
        <w:snapToGrid/>
        <w:spacing w:line="560" w:lineRule="exact"/>
        <w:textAlignment w:val="auto"/>
        <w:rPr>
          <w:rFonts w:hint="eastAsia" w:ascii="楷体" w:hAnsi="楷体" w:eastAsia="楷体" w:cs="楷体"/>
          <w:sz w:val="32"/>
          <w:szCs w:val="32"/>
          <w:lang w:val="en-US" w:eastAsia="zh-CN"/>
        </w:rPr>
      </w:pPr>
      <w:r>
        <w:rPr>
          <w:rFonts w:hint="default" w:ascii="楷体" w:hAnsi="楷体" w:eastAsia="楷体" w:cs="楷体"/>
          <w:sz w:val="32"/>
          <w:szCs w:val="32"/>
          <w:lang w:val="en-US" w:eastAsia="zh-CN"/>
        </w:rPr>
        <w:fldChar w:fldCharType="begin"/>
      </w:r>
      <w:r>
        <w:rPr>
          <w:rFonts w:hint="default" w:ascii="楷体" w:hAnsi="楷体" w:eastAsia="楷体" w:cs="楷体"/>
          <w:sz w:val="32"/>
          <w:szCs w:val="32"/>
          <w:lang w:val="en-US" w:eastAsia="zh-CN"/>
        </w:rPr>
        <w:instrText xml:space="preserve"> HYPERLINK \l _Toc17990 </w:instrText>
      </w:r>
      <w:r>
        <w:rPr>
          <w:rFonts w:hint="default" w:ascii="楷体" w:hAnsi="楷体" w:eastAsia="楷体" w:cs="楷体"/>
          <w:sz w:val="32"/>
          <w:szCs w:val="32"/>
          <w:lang w:val="en-US" w:eastAsia="zh-CN"/>
        </w:rPr>
        <w:fldChar w:fldCharType="separate"/>
      </w:r>
      <w:r>
        <w:rPr>
          <w:rFonts w:hint="eastAsia" w:ascii="楷体" w:hAnsi="楷体" w:eastAsia="楷体" w:cs="楷体"/>
          <w:sz w:val="32"/>
          <w:szCs w:val="32"/>
          <w:lang w:val="en-US" w:eastAsia="zh-CN"/>
        </w:rPr>
        <w:t>（一）总体目标</w:t>
      </w:r>
      <w:r>
        <w:rPr>
          <w:rFonts w:hint="eastAsia" w:ascii="楷体" w:hAnsi="楷体" w:eastAsia="楷体" w:cs="楷体"/>
          <w:sz w:val="32"/>
          <w:szCs w:val="32"/>
          <w:lang w:val="en-US" w:eastAsia="zh-CN"/>
        </w:rPr>
        <w:tab/>
      </w:r>
      <w:r>
        <w:rPr>
          <w:rFonts w:hint="eastAsia" w:ascii="楷体" w:hAnsi="楷体" w:eastAsia="楷体" w:cs="楷体"/>
          <w:sz w:val="32"/>
          <w:szCs w:val="32"/>
          <w:lang w:val="en-US" w:eastAsia="zh-CN"/>
        </w:rPr>
        <w:fldChar w:fldCharType="begin"/>
      </w:r>
      <w:r>
        <w:rPr>
          <w:rFonts w:hint="eastAsia" w:ascii="楷体" w:hAnsi="楷体" w:eastAsia="楷体" w:cs="楷体"/>
          <w:sz w:val="32"/>
          <w:szCs w:val="32"/>
          <w:lang w:val="en-US" w:eastAsia="zh-CN"/>
        </w:rPr>
        <w:instrText xml:space="preserve"> PAGEREF _Toc17990 \h </w:instrText>
      </w:r>
      <w:r>
        <w:rPr>
          <w:rFonts w:hint="eastAsia" w:ascii="楷体" w:hAnsi="楷体" w:eastAsia="楷体" w:cs="楷体"/>
          <w:sz w:val="32"/>
          <w:szCs w:val="32"/>
          <w:lang w:val="en-US" w:eastAsia="zh-CN"/>
        </w:rPr>
        <w:fldChar w:fldCharType="separate"/>
      </w:r>
      <w:r>
        <w:rPr>
          <w:rFonts w:hint="eastAsia" w:ascii="楷体" w:hAnsi="楷体" w:eastAsia="楷体" w:cs="楷体"/>
          <w:sz w:val="32"/>
          <w:szCs w:val="32"/>
          <w:lang w:val="en-US" w:eastAsia="zh-CN"/>
        </w:rPr>
        <w:t>19</w:t>
      </w:r>
      <w:r>
        <w:rPr>
          <w:rFonts w:hint="eastAsia" w:ascii="楷体" w:hAnsi="楷体" w:eastAsia="楷体" w:cs="楷体"/>
          <w:sz w:val="32"/>
          <w:szCs w:val="32"/>
          <w:lang w:val="en-US" w:eastAsia="zh-CN"/>
        </w:rPr>
        <w:fldChar w:fldCharType="end"/>
      </w:r>
      <w:r>
        <w:rPr>
          <w:rFonts w:hint="default" w:ascii="楷体" w:hAnsi="楷体" w:eastAsia="楷体" w:cs="楷体"/>
          <w:sz w:val="32"/>
          <w:szCs w:val="32"/>
          <w:lang w:val="en-US" w:eastAsia="zh-CN"/>
        </w:rPr>
        <w:fldChar w:fldCharType="end"/>
      </w:r>
    </w:p>
    <w:p w14:paraId="691D2577">
      <w:pPr>
        <w:pStyle w:val="13"/>
        <w:keepNext w:val="0"/>
        <w:keepLines w:val="0"/>
        <w:pageBreakBefore w:val="0"/>
        <w:widowControl/>
        <w:tabs>
          <w:tab w:val="right" w:leader="dot" w:pos="8300"/>
        </w:tabs>
        <w:kinsoku/>
        <w:wordWrap/>
        <w:overflowPunct/>
        <w:topLinePunct w:val="0"/>
        <w:autoSpaceDE/>
        <w:autoSpaceDN/>
        <w:bidi w:val="0"/>
        <w:adjustRightInd/>
        <w:snapToGrid/>
        <w:spacing w:line="560" w:lineRule="exact"/>
        <w:textAlignment w:val="auto"/>
        <w:rPr>
          <w:rFonts w:hint="eastAsia" w:ascii="楷体" w:hAnsi="楷体" w:eastAsia="楷体" w:cs="楷体"/>
          <w:sz w:val="32"/>
          <w:szCs w:val="32"/>
          <w:lang w:val="en-US" w:eastAsia="zh-CN"/>
        </w:rPr>
      </w:pPr>
      <w:r>
        <w:rPr>
          <w:rFonts w:hint="default" w:ascii="楷体" w:hAnsi="楷体" w:eastAsia="楷体" w:cs="楷体"/>
          <w:sz w:val="32"/>
          <w:szCs w:val="32"/>
          <w:lang w:val="en-US" w:eastAsia="zh-CN"/>
        </w:rPr>
        <w:fldChar w:fldCharType="begin"/>
      </w:r>
      <w:r>
        <w:rPr>
          <w:rFonts w:hint="default" w:ascii="楷体" w:hAnsi="楷体" w:eastAsia="楷体" w:cs="楷体"/>
          <w:sz w:val="32"/>
          <w:szCs w:val="32"/>
          <w:lang w:val="en-US" w:eastAsia="zh-CN"/>
        </w:rPr>
        <w:instrText xml:space="preserve"> HYPERLINK \l _Toc14718 </w:instrText>
      </w:r>
      <w:r>
        <w:rPr>
          <w:rFonts w:hint="default" w:ascii="楷体" w:hAnsi="楷体" w:eastAsia="楷体" w:cs="楷体"/>
          <w:sz w:val="32"/>
          <w:szCs w:val="32"/>
          <w:lang w:val="en-US" w:eastAsia="zh-CN"/>
        </w:rPr>
        <w:fldChar w:fldCharType="separate"/>
      </w:r>
      <w:r>
        <w:rPr>
          <w:rFonts w:hint="eastAsia" w:ascii="楷体" w:hAnsi="楷体" w:eastAsia="楷体" w:cs="楷体"/>
          <w:sz w:val="32"/>
          <w:szCs w:val="32"/>
          <w:lang w:val="en-US" w:eastAsia="zh-CN"/>
        </w:rPr>
        <w:t>（二）分类目标</w:t>
      </w:r>
      <w:r>
        <w:rPr>
          <w:rFonts w:hint="eastAsia" w:ascii="楷体" w:hAnsi="楷体" w:eastAsia="楷体" w:cs="楷体"/>
          <w:sz w:val="32"/>
          <w:szCs w:val="32"/>
          <w:lang w:val="en-US" w:eastAsia="zh-CN"/>
        </w:rPr>
        <w:tab/>
      </w:r>
      <w:r>
        <w:rPr>
          <w:rFonts w:hint="eastAsia" w:ascii="楷体" w:hAnsi="楷体" w:eastAsia="楷体" w:cs="楷体"/>
          <w:sz w:val="32"/>
          <w:szCs w:val="32"/>
          <w:lang w:val="en-US" w:eastAsia="zh-CN"/>
        </w:rPr>
        <w:fldChar w:fldCharType="begin"/>
      </w:r>
      <w:r>
        <w:rPr>
          <w:rFonts w:hint="eastAsia" w:ascii="楷体" w:hAnsi="楷体" w:eastAsia="楷体" w:cs="楷体"/>
          <w:sz w:val="32"/>
          <w:szCs w:val="32"/>
          <w:lang w:val="en-US" w:eastAsia="zh-CN"/>
        </w:rPr>
        <w:instrText xml:space="preserve"> PAGEREF _Toc14718 \h </w:instrText>
      </w:r>
      <w:r>
        <w:rPr>
          <w:rFonts w:hint="eastAsia" w:ascii="楷体" w:hAnsi="楷体" w:eastAsia="楷体" w:cs="楷体"/>
          <w:sz w:val="32"/>
          <w:szCs w:val="32"/>
          <w:lang w:val="en-US" w:eastAsia="zh-CN"/>
        </w:rPr>
        <w:fldChar w:fldCharType="separate"/>
      </w:r>
      <w:r>
        <w:rPr>
          <w:rFonts w:hint="eastAsia" w:ascii="楷体" w:hAnsi="楷体" w:eastAsia="楷体" w:cs="楷体"/>
          <w:sz w:val="32"/>
          <w:szCs w:val="32"/>
          <w:lang w:val="en-US" w:eastAsia="zh-CN"/>
        </w:rPr>
        <w:t>19</w:t>
      </w:r>
      <w:r>
        <w:rPr>
          <w:rFonts w:hint="eastAsia" w:ascii="楷体" w:hAnsi="楷体" w:eastAsia="楷体" w:cs="楷体"/>
          <w:sz w:val="32"/>
          <w:szCs w:val="32"/>
          <w:lang w:val="en-US" w:eastAsia="zh-CN"/>
        </w:rPr>
        <w:fldChar w:fldCharType="end"/>
      </w:r>
      <w:r>
        <w:rPr>
          <w:rFonts w:hint="default" w:ascii="楷体" w:hAnsi="楷体" w:eastAsia="楷体" w:cs="楷体"/>
          <w:sz w:val="32"/>
          <w:szCs w:val="32"/>
          <w:lang w:val="en-US" w:eastAsia="zh-CN"/>
        </w:rPr>
        <w:fldChar w:fldCharType="end"/>
      </w:r>
    </w:p>
    <w:p w14:paraId="13C0985C">
      <w:pPr>
        <w:pStyle w:val="13"/>
        <w:keepNext w:val="0"/>
        <w:keepLines w:val="0"/>
        <w:pageBreakBefore w:val="0"/>
        <w:widowControl/>
        <w:tabs>
          <w:tab w:val="right" w:leader="dot" w:pos="8300"/>
        </w:tabs>
        <w:kinsoku/>
        <w:wordWrap/>
        <w:overflowPunct/>
        <w:topLinePunct w:val="0"/>
        <w:autoSpaceDE/>
        <w:autoSpaceDN/>
        <w:bidi w:val="0"/>
        <w:adjustRightInd/>
        <w:snapToGrid/>
        <w:spacing w:line="560" w:lineRule="exac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fldChar w:fldCharType="begin"/>
      </w:r>
      <w:r>
        <w:rPr>
          <w:rFonts w:hint="eastAsia" w:ascii="黑体" w:hAnsi="黑体" w:eastAsia="黑体" w:cs="黑体"/>
          <w:sz w:val="32"/>
          <w:szCs w:val="32"/>
          <w:lang w:val="en-US" w:eastAsia="zh-CN"/>
        </w:rPr>
        <w:instrText xml:space="preserve"> HYPERLINK \l _Toc27481 </w:instrText>
      </w:r>
      <w:r>
        <w:rPr>
          <w:rFonts w:hint="eastAsia" w:ascii="黑体" w:hAnsi="黑体" w:eastAsia="黑体" w:cs="黑体"/>
          <w:sz w:val="32"/>
          <w:szCs w:val="32"/>
          <w:lang w:val="en-US" w:eastAsia="zh-CN"/>
        </w:rPr>
        <w:fldChar w:fldCharType="separate"/>
      </w:r>
      <w:r>
        <w:rPr>
          <w:rFonts w:hint="eastAsia" w:ascii="黑体" w:hAnsi="黑体" w:eastAsia="黑体" w:cs="黑体"/>
          <w:sz w:val="32"/>
          <w:szCs w:val="32"/>
          <w:lang w:val="en-US" w:eastAsia="zh-CN"/>
        </w:rPr>
        <w:t>五、部门绩效考评情况</w:t>
      </w:r>
      <w:r>
        <w:rPr>
          <w:rFonts w:hint="eastAsia" w:ascii="黑体" w:hAnsi="黑体" w:eastAsia="黑体" w:cs="黑体"/>
          <w:sz w:val="32"/>
          <w:szCs w:val="32"/>
          <w:lang w:val="en-US" w:eastAsia="zh-CN"/>
        </w:rPr>
        <w:tab/>
      </w:r>
      <w:r>
        <w:rPr>
          <w:rFonts w:hint="eastAsia" w:ascii="黑体" w:hAnsi="黑体" w:eastAsia="黑体" w:cs="黑体"/>
          <w:sz w:val="32"/>
          <w:szCs w:val="32"/>
          <w:lang w:val="en-US" w:eastAsia="zh-CN"/>
        </w:rPr>
        <w:fldChar w:fldCharType="begin"/>
      </w:r>
      <w:r>
        <w:rPr>
          <w:rFonts w:hint="eastAsia" w:ascii="黑体" w:hAnsi="黑体" w:eastAsia="黑体" w:cs="黑体"/>
          <w:sz w:val="32"/>
          <w:szCs w:val="32"/>
          <w:lang w:val="en-US" w:eastAsia="zh-CN"/>
        </w:rPr>
        <w:instrText xml:space="preserve"> PAGEREF _Toc27481 \h </w:instrText>
      </w:r>
      <w:r>
        <w:rPr>
          <w:rFonts w:hint="eastAsia" w:ascii="黑体" w:hAnsi="黑体" w:eastAsia="黑体" w:cs="黑体"/>
          <w:sz w:val="32"/>
          <w:szCs w:val="32"/>
          <w:lang w:val="en-US" w:eastAsia="zh-CN"/>
        </w:rPr>
        <w:fldChar w:fldCharType="separate"/>
      </w:r>
      <w:r>
        <w:rPr>
          <w:rFonts w:hint="eastAsia" w:ascii="黑体" w:hAnsi="黑体" w:eastAsia="黑体" w:cs="黑体"/>
          <w:sz w:val="32"/>
          <w:szCs w:val="32"/>
          <w:lang w:val="en-US" w:eastAsia="zh-CN"/>
        </w:rPr>
        <w:t>22</w:t>
      </w:r>
      <w:r>
        <w:rPr>
          <w:rFonts w:hint="eastAsia" w:ascii="黑体" w:hAnsi="黑体" w:eastAsia="黑体" w:cs="黑体"/>
          <w:sz w:val="32"/>
          <w:szCs w:val="32"/>
          <w:lang w:val="en-US" w:eastAsia="zh-CN"/>
        </w:rPr>
        <w:fldChar w:fldCharType="end"/>
      </w:r>
      <w:r>
        <w:rPr>
          <w:rFonts w:hint="eastAsia" w:ascii="黑体" w:hAnsi="黑体" w:eastAsia="黑体" w:cs="黑体"/>
          <w:sz w:val="32"/>
          <w:szCs w:val="32"/>
          <w:lang w:val="en-US" w:eastAsia="zh-CN"/>
        </w:rPr>
        <w:fldChar w:fldCharType="end"/>
      </w:r>
    </w:p>
    <w:p w14:paraId="3D531E00">
      <w:pPr>
        <w:pStyle w:val="13"/>
        <w:keepNext w:val="0"/>
        <w:keepLines w:val="0"/>
        <w:pageBreakBefore w:val="0"/>
        <w:widowControl/>
        <w:tabs>
          <w:tab w:val="right" w:leader="dot" w:pos="8300"/>
        </w:tabs>
        <w:kinsoku/>
        <w:wordWrap/>
        <w:overflowPunct/>
        <w:topLinePunct w:val="0"/>
        <w:autoSpaceDE/>
        <w:autoSpaceDN/>
        <w:bidi w:val="0"/>
        <w:adjustRightInd/>
        <w:snapToGrid/>
        <w:spacing w:line="560" w:lineRule="exact"/>
        <w:textAlignment w:val="auto"/>
        <w:rPr>
          <w:rFonts w:hint="eastAsia" w:ascii="楷体" w:hAnsi="楷体" w:eastAsia="楷体" w:cs="楷体"/>
          <w:sz w:val="32"/>
          <w:szCs w:val="32"/>
          <w:lang w:val="en-US" w:eastAsia="zh-CN"/>
        </w:rPr>
      </w:pPr>
      <w:r>
        <w:rPr>
          <w:rFonts w:hint="default" w:ascii="楷体" w:hAnsi="楷体" w:eastAsia="楷体" w:cs="楷体"/>
          <w:sz w:val="32"/>
          <w:szCs w:val="32"/>
          <w:lang w:val="en-US" w:eastAsia="zh-CN"/>
        </w:rPr>
        <w:fldChar w:fldCharType="begin"/>
      </w:r>
      <w:r>
        <w:rPr>
          <w:rFonts w:hint="default" w:ascii="楷体" w:hAnsi="楷体" w:eastAsia="楷体" w:cs="楷体"/>
          <w:sz w:val="32"/>
          <w:szCs w:val="32"/>
          <w:lang w:val="en-US" w:eastAsia="zh-CN"/>
        </w:rPr>
        <w:instrText xml:space="preserve"> HYPERLINK \l _Toc9839 </w:instrText>
      </w:r>
      <w:r>
        <w:rPr>
          <w:rFonts w:hint="default" w:ascii="楷体" w:hAnsi="楷体" w:eastAsia="楷体" w:cs="楷体"/>
          <w:sz w:val="32"/>
          <w:szCs w:val="32"/>
          <w:lang w:val="en-US" w:eastAsia="zh-CN"/>
        </w:rPr>
        <w:fldChar w:fldCharType="separate"/>
      </w:r>
      <w:r>
        <w:rPr>
          <w:rFonts w:hint="eastAsia" w:ascii="楷体" w:hAnsi="楷体" w:eastAsia="楷体" w:cs="楷体"/>
          <w:sz w:val="32"/>
          <w:szCs w:val="32"/>
          <w:lang w:val="en-US" w:eastAsia="zh-CN"/>
        </w:rPr>
        <w:t>（一）评价框架</w:t>
      </w:r>
      <w:r>
        <w:rPr>
          <w:rFonts w:hint="eastAsia" w:ascii="楷体" w:hAnsi="楷体" w:eastAsia="楷体" w:cs="楷体"/>
          <w:sz w:val="32"/>
          <w:szCs w:val="32"/>
          <w:lang w:val="en-US" w:eastAsia="zh-CN"/>
        </w:rPr>
        <w:tab/>
      </w:r>
      <w:r>
        <w:rPr>
          <w:rFonts w:hint="eastAsia" w:ascii="楷体" w:hAnsi="楷体" w:eastAsia="楷体" w:cs="楷体"/>
          <w:sz w:val="32"/>
          <w:szCs w:val="32"/>
          <w:lang w:val="en-US" w:eastAsia="zh-CN"/>
        </w:rPr>
        <w:fldChar w:fldCharType="begin"/>
      </w:r>
      <w:r>
        <w:rPr>
          <w:rFonts w:hint="eastAsia" w:ascii="楷体" w:hAnsi="楷体" w:eastAsia="楷体" w:cs="楷体"/>
          <w:sz w:val="32"/>
          <w:szCs w:val="32"/>
          <w:lang w:val="en-US" w:eastAsia="zh-CN"/>
        </w:rPr>
        <w:instrText xml:space="preserve"> PAGEREF _Toc9839 \h </w:instrText>
      </w:r>
      <w:r>
        <w:rPr>
          <w:rFonts w:hint="eastAsia" w:ascii="楷体" w:hAnsi="楷体" w:eastAsia="楷体" w:cs="楷体"/>
          <w:sz w:val="32"/>
          <w:szCs w:val="32"/>
          <w:lang w:val="en-US" w:eastAsia="zh-CN"/>
        </w:rPr>
        <w:fldChar w:fldCharType="separate"/>
      </w:r>
      <w:r>
        <w:rPr>
          <w:rFonts w:hint="eastAsia" w:ascii="楷体" w:hAnsi="楷体" w:eastAsia="楷体" w:cs="楷体"/>
          <w:sz w:val="32"/>
          <w:szCs w:val="32"/>
          <w:lang w:val="en-US" w:eastAsia="zh-CN"/>
        </w:rPr>
        <w:t>22</w:t>
      </w:r>
      <w:r>
        <w:rPr>
          <w:rFonts w:hint="eastAsia" w:ascii="楷体" w:hAnsi="楷体" w:eastAsia="楷体" w:cs="楷体"/>
          <w:sz w:val="32"/>
          <w:szCs w:val="32"/>
          <w:lang w:val="en-US" w:eastAsia="zh-CN"/>
        </w:rPr>
        <w:fldChar w:fldCharType="end"/>
      </w:r>
      <w:r>
        <w:rPr>
          <w:rFonts w:hint="default" w:ascii="楷体" w:hAnsi="楷体" w:eastAsia="楷体" w:cs="楷体"/>
          <w:sz w:val="32"/>
          <w:szCs w:val="32"/>
          <w:lang w:val="en-US" w:eastAsia="zh-CN"/>
        </w:rPr>
        <w:fldChar w:fldCharType="end"/>
      </w:r>
    </w:p>
    <w:p w14:paraId="2F14F4B6">
      <w:pPr>
        <w:pStyle w:val="13"/>
        <w:keepNext w:val="0"/>
        <w:keepLines w:val="0"/>
        <w:pageBreakBefore w:val="0"/>
        <w:widowControl/>
        <w:tabs>
          <w:tab w:val="right" w:leader="dot" w:pos="8300"/>
        </w:tabs>
        <w:kinsoku/>
        <w:wordWrap/>
        <w:overflowPunct/>
        <w:topLinePunct w:val="0"/>
        <w:autoSpaceDE/>
        <w:autoSpaceDN/>
        <w:bidi w:val="0"/>
        <w:adjustRightInd/>
        <w:snapToGrid/>
        <w:spacing w:line="560" w:lineRule="exact"/>
        <w:textAlignment w:val="auto"/>
        <w:rPr>
          <w:rFonts w:hint="eastAsia" w:ascii="楷体" w:hAnsi="楷体" w:eastAsia="楷体" w:cs="楷体"/>
          <w:sz w:val="32"/>
          <w:szCs w:val="32"/>
          <w:lang w:val="en-US" w:eastAsia="zh-CN"/>
        </w:rPr>
      </w:pPr>
      <w:r>
        <w:rPr>
          <w:rFonts w:hint="default" w:ascii="楷体" w:hAnsi="楷体" w:eastAsia="楷体" w:cs="楷体"/>
          <w:sz w:val="32"/>
          <w:szCs w:val="32"/>
          <w:lang w:val="en-US" w:eastAsia="zh-CN"/>
        </w:rPr>
        <w:fldChar w:fldCharType="begin"/>
      </w:r>
      <w:r>
        <w:rPr>
          <w:rFonts w:hint="default" w:ascii="楷体" w:hAnsi="楷体" w:eastAsia="楷体" w:cs="楷体"/>
          <w:sz w:val="32"/>
          <w:szCs w:val="32"/>
          <w:lang w:val="en-US" w:eastAsia="zh-CN"/>
        </w:rPr>
        <w:instrText xml:space="preserve"> HYPERLINK \l _Toc27048 </w:instrText>
      </w:r>
      <w:r>
        <w:rPr>
          <w:rFonts w:hint="default" w:ascii="楷体" w:hAnsi="楷体" w:eastAsia="楷体" w:cs="楷体"/>
          <w:sz w:val="32"/>
          <w:szCs w:val="32"/>
          <w:lang w:val="en-US" w:eastAsia="zh-CN"/>
        </w:rPr>
        <w:fldChar w:fldCharType="separate"/>
      </w:r>
      <w:r>
        <w:rPr>
          <w:rFonts w:hint="eastAsia" w:ascii="楷体" w:hAnsi="楷体" w:eastAsia="楷体" w:cs="楷体"/>
          <w:sz w:val="32"/>
          <w:szCs w:val="32"/>
          <w:lang w:val="en-US" w:eastAsia="zh-CN"/>
        </w:rPr>
        <w:t>（二）评价分析</w:t>
      </w:r>
      <w:r>
        <w:rPr>
          <w:rFonts w:hint="eastAsia" w:ascii="楷体" w:hAnsi="楷体" w:eastAsia="楷体" w:cs="楷体"/>
          <w:sz w:val="32"/>
          <w:szCs w:val="32"/>
          <w:lang w:val="en-US" w:eastAsia="zh-CN"/>
        </w:rPr>
        <w:tab/>
      </w:r>
      <w:r>
        <w:rPr>
          <w:rFonts w:hint="eastAsia" w:ascii="楷体" w:hAnsi="楷体" w:eastAsia="楷体" w:cs="楷体"/>
          <w:sz w:val="32"/>
          <w:szCs w:val="32"/>
          <w:lang w:val="en-US" w:eastAsia="zh-CN"/>
        </w:rPr>
        <w:fldChar w:fldCharType="begin"/>
      </w:r>
      <w:r>
        <w:rPr>
          <w:rFonts w:hint="eastAsia" w:ascii="楷体" w:hAnsi="楷体" w:eastAsia="楷体" w:cs="楷体"/>
          <w:sz w:val="32"/>
          <w:szCs w:val="32"/>
          <w:lang w:val="en-US" w:eastAsia="zh-CN"/>
        </w:rPr>
        <w:instrText xml:space="preserve"> PAGEREF _Toc27048 \h </w:instrText>
      </w:r>
      <w:r>
        <w:rPr>
          <w:rFonts w:hint="eastAsia" w:ascii="楷体" w:hAnsi="楷体" w:eastAsia="楷体" w:cs="楷体"/>
          <w:sz w:val="32"/>
          <w:szCs w:val="32"/>
          <w:lang w:val="en-US" w:eastAsia="zh-CN"/>
        </w:rPr>
        <w:fldChar w:fldCharType="separate"/>
      </w:r>
      <w:r>
        <w:rPr>
          <w:rFonts w:hint="eastAsia" w:ascii="楷体" w:hAnsi="楷体" w:eastAsia="楷体" w:cs="楷体"/>
          <w:sz w:val="32"/>
          <w:szCs w:val="32"/>
          <w:lang w:val="en-US" w:eastAsia="zh-CN"/>
        </w:rPr>
        <w:t>22</w:t>
      </w:r>
      <w:r>
        <w:rPr>
          <w:rFonts w:hint="eastAsia" w:ascii="楷体" w:hAnsi="楷体" w:eastAsia="楷体" w:cs="楷体"/>
          <w:sz w:val="32"/>
          <w:szCs w:val="32"/>
          <w:lang w:val="en-US" w:eastAsia="zh-CN"/>
        </w:rPr>
        <w:fldChar w:fldCharType="end"/>
      </w:r>
      <w:r>
        <w:rPr>
          <w:rFonts w:hint="default" w:ascii="楷体" w:hAnsi="楷体" w:eastAsia="楷体" w:cs="楷体"/>
          <w:sz w:val="32"/>
          <w:szCs w:val="32"/>
          <w:lang w:val="en-US" w:eastAsia="zh-CN"/>
        </w:rPr>
        <w:fldChar w:fldCharType="end"/>
      </w:r>
    </w:p>
    <w:p w14:paraId="12B30755">
      <w:pPr>
        <w:pStyle w:val="13"/>
        <w:keepNext w:val="0"/>
        <w:keepLines w:val="0"/>
        <w:pageBreakBefore w:val="0"/>
        <w:widowControl/>
        <w:tabs>
          <w:tab w:val="right" w:leader="dot" w:pos="8300"/>
        </w:tabs>
        <w:kinsoku/>
        <w:wordWrap/>
        <w:overflowPunct/>
        <w:topLinePunct w:val="0"/>
        <w:autoSpaceDE/>
        <w:autoSpaceDN/>
        <w:bidi w:val="0"/>
        <w:adjustRightInd/>
        <w:snapToGrid/>
        <w:spacing w:line="560" w:lineRule="exact"/>
        <w:textAlignment w:val="auto"/>
        <w:rPr>
          <w:rFonts w:hint="eastAsia" w:ascii="楷体" w:hAnsi="楷体" w:eastAsia="楷体" w:cs="楷体"/>
          <w:sz w:val="32"/>
          <w:szCs w:val="32"/>
          <w:lang w:val="en-US" w:eastAsia="zh-CN"/>
        </w:rPr>
      </w:pPr>
      <w:r>
        <w:rPr>
          <w:rFonts w:hint="default" w:ascii="楷体" w:hAnsi="楷体" w:eastAsia="楷体" w:cs="楷体"/>
          <w:sz w:val="32"/>
          <w:szCs w:val="32"/>
          <w:lang w:val="en-US" w:eastAsia="zh-CN"/>
        </w:rPr>
        <w:fldChar w:fldCharType="begin"/>
      </w:r>
      <w:r>
        <w:rPr>
          <w:rFonts w:hint="default" w:ascii="楷体" w:hAnsi="楷体" w:eastAsia="楷体" w:cs="楷体"/>
          <w:sz w:val="32"/>
          <w:szCs w:val="32"/>
          <w:lang w:val="en-US" w:eastAsia="zh-CN"/>
        </w:rPr>
        <w:instrText xml:space="preserve"> HYPERLINK \l _Toc20283 </w:instrText>
      </w:r>
      <w:r>
        <w:rPr>
          <w:rFonts w:hint="default" w:ascii="楷体" w:hAnsi="楷体" w:eastAsia="楷体" w:cs="楷体"/>
          <w:sz w:val="32"/>
          <w:szCs w:val="32"/>
          <w:lang w:val="en-US" w:eastAsia="zh-CN"/>
        </w:rPr>
        <w:fldChar w:fldCharType="separate"/>
      </w:r>
      <w:r>
        <w:rPr>
          <w:rFonts w:hint="eastAsia" w:ascii="楷体" w:hAnsi="楷体" w:eastAsia="楷体" w:cs="楷体"/>
          <w:sz w:val="32"/>
          <w:szCs w:val="32"/>
          <w:lang w:val="en-US" w:eastAsia="zh-CN"/>
        </w:rPr>
        <w:t>（三）评价结果</w:t>
      </w:r>
      <w:r>
        <w:rPr>
          <w:rFonts w:hint="eastAsia" w:ascii="楷体" w:hAnsi="楷体" w:eastAsia="楷体" w:cs="楷体"/>
          <w:sz w:val="32"/>
          <w:szCs w:val="32"/>
          <w:lang w:val="en-US" w:eastAsia="zh-CN"/>
        </w:rPr>
        <w:tab/>
      </w:r>
      <w:r>
        <w:rPr>
          <w:rFonts w:hint="eastAsia" w:ascii="楷体" w:hAnsi="楷体" w:eastAsia="楷体" w:cs="楷体"/>
          <w:sz w:val="32"/>
          <w:szCs w:val="32"/>
          <w:lang w:val="en-US" w:eastAsia="zh-CN"/>
        </w:rPr>
        <w:fldChar w:fldCharType="begin"/>
      </w:r>
      <w:r>
        <w:rPr>
          <w:rFonts w:hint="eastAsia" w:ascii="楷体" w:hAnsi="楷体" w:eastAsia="楷体" w:cs="楷体"/>
          <w:sz w:val="32"/>
          <w:szCs w:val="32"/>
          <w:lang w:val="en-US" w:eastAsia="zh-CN"/>
        </w:rPr>
        <w:instrText xml:space="preserve"> PAGEREF _Toc20283 \h </w:instrText>
      </w:r>
      <w:r>
        <w:rPr>
          <w:rFonts w:hint="eastAsia" w:ascii="楷体" w:hAnsi="楷体" w:eastAsia="楷体" w:cs="楷体"/>
          <w:sz w:val="32"/>
          <w:szCs w:val="32"/>
          <w:lang w:val="en-US" w:eastAsia="zh-CN"/>
        </w:rPr>
        <w:fldChar w:fldCharType="separate"/>
      </w:r>
      <w:r>
        <w:rPr>
          <w:rFonts w:hint="eastAsia" w:ascii="楷体" w:hAnsi="楷体" w:eastAsia="楷体" w:cs="楷体"/>
          <w:sz w:val="32"/>
          <w:szCs w:val="32"/>
          <w:lang w:val="en-US" w:eastAsia="zh-CN"/>
        </w:rPr>
        <w:t>36</w:t>
      </w:r>
      <w:r>
        <w:rPr>
          <w:rFonts w:hint="eastAsia" w:ascii="楷体" w:hAnsi="楷体" w:eastAsia="楷体" w:cs="楷体"/>
          <w:sz w:val="32"/>
          <w:szCs w:val="32"/>
          <w:lang w:val="en-US" w:eastAsia="zh-CN"/>
        </w:rPr>
        <w:fldChar w:fldCharType="end"/>
      </w:r>
      <w:r>
        <w:rPr>
          <w:rFonts w:hint="default" w:ascii="楷体" w:hAnsi="楷体" w:eastAsia="楷体" w:cs="楷体"/>
          <w:sz w:val="32"/>
          <w:szCs w:val="32"/>
          <w:lang w:val="en-US" w:eastAsia="zh-CN"/>
        </w:rPr>
        <w:fldChar w:fldCharType="end"/>
      </w:r>
    </w:p>
    <w:p w14:paraId="7FD67802">
      <w:pPr>
        <w:pStyle w:val="13"/>
        <w:keepNext w:val="0"/>
        <w:keepLines w:val="0"/>
        <w:pageBreakBefore w:val="0"/>
        <w:widowControl/>
        <w:tabs>
          <w:tab w:val="right" w:leader="dot" w:pos="8300"/>
        </w:tabs>
        <w:kinsoku/>
        <w:wordWrap/>
        <w:overflowPunct/>
        <w:topLinePunct w:val="0"/>
        <w:autoSpaceDE/>
        <w:autoSpaceDN/>
        <w:bidi w:val="0"/>
        <w:adjustRightInd/>
        <w:snapToGrid/>
        <w:spacing w:line="560" w:lineRule="exact"/>
        <w:textAlignment w:val="auto"/>
        <w:rPr>
          <w:rFonts w:hint="default" w:ascii="楷体" w:hAnsi="楷体" w:eastAsia="楷体" w:cs="楷体"/>
          <w:sz w:val="32"/>
          <w:szCs w:val="32"/>
          <w:lang w:val="en-US" w:eastAsia="zh-CN"/>
        </w:rPr>
      </w:pPr>
      <w:r>
        <w:rPr>
          <w:rFonts w:hint="default" w:ascii="楷体" w:hAnsi="楷体" w:eastAsia="楷体" w:cs="楷体"/>
          <w:sz w:val="32"/>
          <w:szCs w:val="32"/>
          <w:lang w:val="en-US" w:eastAsia="zh-CN"/>
        </w:rPr>
        <w:fldChar w:fldCharType="end"/>
      </w:r>
    </w:p>
    <w:p w14:paraId="6A3BD969">
      <w:pPr>
        <w:pStyle w:val="13"/>
        <w:keepNext w:val="0"/>
        <w:keepLines w:val="0"/>
        <w:pageBreakBefore w:val="0"/>
        <w:widowControl/>
        <w:tabs>
          <w:tab w:val="left" w:pos="2694"/>
        </w:tabs>
        <w:kinsoku/>
        <w:wordWrap/>
        <w:overflowPunct/>
        <w:topLinePunct w:val="0"/>
        <w:autoSpaceDE/>
        <w:autoSpaceDN/>
        <w:bidi w:val="0"/>
        <w:adjustRightInd/>
        <w:snapToGrid/>
        <w:spacing w:line="560" w:lineRule="exact"/>
        <w:textAlignment w:val="auto"/>
        <w:rPr>
          <w:rFonts w:hint="default" w:asciiTheme="minorHAnsi" w:hAnsiTheme="minorHAnsi" w:eastAsiaTheme="minorEastAsia" w:cstheme="minorBidi"/>
          <w:kern w:val="0"/>
          <w:sz w:val="28"/>
          <w:szCs w:val="28"/>
          <w:lang w:val="en-US" w:eastAsia="zh-CN" w:bidi="ar"/>
        </w:rPr>
      </w:pPr>
      <w:bookmarkStart w:id="52" w:name="_GoBack"/>
      <w:bookmarkEnd w:id="52"/>
    </w:p>
    <w:p w14:paraId="6C01F959">
      <w:pPr>
        <w:bidi w:val="0"/>
        <w:rPr>
          <w:rFonts w:hint="default"/>
          <w:lang w:val="en-US" w:eastAsia="zh-CN"/>
        </w:rPr>
      </w:pPr>
    </w:p>
    <w:p w14:paraId="23CB58C1">
      <w:pPr>
        <w:tabs>
          <w:tab w:val="left" w:pos="7025"/>
        </w:tabs>
        <w:bidi w:val="0"/>
        <w:jc w:val="left"/>
        <w:rPr>
          <w:rFonts w:hint="default"/>
          <w:lang w:val="en-US" w:eastAsia="zh-CN"/>
        </w:rPr>
        <w:sectPr>
          <w:pgSz w:w="11906" w:h="16838"/>
          <w:pgMar w:top="1440" w:right="1803" w:bottom="1440" w:left="1803" w:header="851" w:footer="992" w:gutter="0"/>
          <w:pgBorders>
            <w:top w:val="none" w:sz="0" w:space="0"/>
            <w:left w:val="none" w:sz="0" w:space="0"/>
            <w:bottom w:val="none" w:sz="0" w:space="0"/>
            <w:right w:val="none" w:sz="0" w:space="0"/>
          </w:pgBorders>
          <w:cols w:space="0" w:num="1"/>
          <w:rtlGutter w:val="0"/>
          <w:docGrid w:type="lines" w:linePitch="332" w:charSpace="0"/>
        </w:sectPr>
      </w:pPr>
    </w:p>
    <w:p w14:paraId="72E8929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880" w:firstLineChars="200"/>
        <w:jc w:val="center"/>
        <w:textAlignment w:val="auto"/>
        <w:outlineLvl w:val="9"/>
        <w:rPr>
          <w:rFonts w:hint="eastAsia" w:ascii="方正小标宋简体" w:hAnsi="方正小标宋简体" w:eastAsia="方正小标宋简体" w:cs="方正小标宋简体"/>
          <w:b w:val="0"/>
          <w:bCs w:val="0"/>
          <w:color w:val="auto"/>
          <w:sz w:val="44"/>
          <w:szCs w:val="44"/>
          <w:lang w:val="en-US" w:eastAsia="zh-CN"/>
        </w:rPr>
      </w:pPr>
      <w:r>
        <w:rPr>
          <w:rFonts w:hint="eastAsia" w:ascii="方正小标宋简体" w:hAnsi="方正小标宋简体" w:eastAsia="方正小标宋简体" w:cs="方正小标宋简体"/>
          <w:b w:val="0"/>
          <w:bCs w:val="0"/>
          <w:color w:val="auto"/>
          <w:sz w:val="44"/>
          <w:szCs w:val="44"/>
          <w:lang w:val="en-US" w:eastAsia="zh-CN"/>
        </w:rPr>
        <w:t>2024年雁峰区人民政府办公室部门整体支出绩效评价报告</w:t>
      </w:r>
    </w:p>
    <w:p w14:paraId="1A4E3C1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880" w:firstLineChars="200"/>
        <w:jc w:val="center"/>
        <w:textAlignment w:val="auto"/>
        <w:outlineLvl w:val="9"/>
        <w:rPr>
          <w:rFonts w:hint="eastAsia" w:ascii="方正小标宋简体" w:hAnsi="方正小标宋简体" w:eastAsia="方正小标宋简体" w:cs="方正小标宋简体"/>
          <w:b w:val="0"/>
          <w:bCs w:val="0"/>
          <w:color w:val="auto"/>
          <w:sz w:val="44"/>
          <w:szCs w:val="44"/>
          <w:lang w:val="en-US" w:eastAsia="zh-CN"/>
        </w:rPr>
      </w:pPr>
      <w:r>
        <w:rPr>
          <w:rFonts w:hint="eastAsia" w:ascii="方正小标宋简体" w:hAnsi="方正小标宋简体" w:eastAsia="方正小标宋简体" w:cs="方正小标宋简体"/>
          <w:b w:val="0"/>
          <w:bCs w:val="0"/>
          <w:color w:val="auto"/>
          <w:sz w:val="44"/>
          <w:szCs w:val="44"/>
          <w:lang w:val="en-US" w:eastAsia="zh-CN"/>
        </w:rPr>
        <w:t>（征求意见稿）</w:t>
      </w:r>
    </w:p>
    <w:p w14:paraId="18CF867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right"/>
        <w:textAlignment w:val="auto"/>
        <w:rPr>
          <w:rFonts w:hint="default" w:ascii="仿宋" w:hAnsi="仿宋" w:eastAsia="仿宋" w:cs="仿宋"/>
          <w:sz w:val="32"/>
          <w:szCs w:val="32"/>
          <w:lang w:val="en-US" w:eastAsia="zh-CN"/>
        </w:rPr>
      </w:pPr>
      <w:r>
        <w:rPr>
          <w:rFonts w:hint="eastAsia" w:ascii="仿宋" w:hAnsi="仿宋" w:eastAsia="仿宋" w:cs="仿宋"/>
          <w:sz w:val="32"/>
          <w:szCs w:val="32"/>
          <w:lang w:eastAsia="zh-CN"/>
        </w:rPr>
        <w:t>湘浩元</w:t>
      </w:r>
      <w:r>
        <w:rPr>
          <w:rFonts w:hint="eastAsia" w:ascii="仿宋" w:hAnsi="仿宋" w:eastAsia="仿宋" w:cs="仿宋"/>
          <w:sz w:val="32"/>
          <w:szCs w:val="32"/>
          <w:lang w:val="en-US" w:eastAsia="zh-CN"/>
        </w:rPr>
        <w:t>评</w:t>
      </w:r>
      <w:r>
        <w:rPr>
          <w:rFonts w:hint="eastAsia" w:ascii="仿宋" w:hAnsi="仿宋" w:eastAsia="仿宋" w:cs="仿宋"/>
          <w:sz w:val="32"/>
          <w:szCs w:val="32"/>
          <w:lang w:eastAsia="zh-CN"/>
        </w:rPr>
        <w:t>字[202</w:t>
      </w:r>
      <w:r>
        <w:rPr>
          <w:rFonts w:hint="eastAsia" w:ascii="仿宋" w:hAnsi="仿宋" w:eastAsia="仿宋" w:cs="仿宋"/>
          <w:sz w:val="32"/>
          <w:szCs w:val="32"/>
          <w:lang w:val="en-US" w:eastAsia="zh-CN"/>
        </w:rPr>
        <w:t>5</w:t>
      </w:r>
      <w:r>
        <w:rPr>
          <w:rFonts w:hint="eastAsia" w:ascii="仿宋" w:hAnsi="仿宋" w:eastAsia="仿宋" w:cs="仿宋"/>
          <w:sz w:val="32"/>
          <w:szCs w:val="32"/>
          <w:lang w:eastAsia="zh-CN"/>
        </w:rPr>
        <w:t>]第</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号</w:t>
      </w:r>
    </w:p>
    <w:p w14:paraId="68460854">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雁峰区财政局：</w:t>
      </w:r>
    </w:p>
    <w:p w14:paraId="69ABBD9D">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我们接受委托，对2024年雁峰区人民政府办公室（以下简称“区政府办公室”）的部门整体支出进行了绩效评价。建立健全内部控制制度，保护资金与资产的安全和完整，保证会计资料和其他绩效评价的相关资料的真实性、合法性和完整性，是区政府办公室的责任。我们的责任是在区政府办公室提供资料基础上，对2024年的部门整体支出绩效进行评价。</w:t>
      </w:r>
    </w:p>
    <w:p w14:paraId="46E904E7">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在评价过程中，我们按照《中国注册会计师执业准则》相关规定进行，根据独立、客观、公正的原则，实施了包括听取情况介绍、进行实地核查、发放调查问卷、对照复核等方式，对有关情况和基础材料进行核实与分析等我们认为必要的评价程序。绩效评价工作已完成，现报告如下</w:t>
      </w:r>
      <w:bookmarkStart w:id="0" w:name="_Toc11075"/>
      <w:r>
        <w:rPr>
          <w:rFonts w:hint="eastAsia" w:ascii="仿宋" w:hAnsi="仿宋" w:eastAsia="仿宋" w:cs="仿宋"/>
          <w:sz w:val="32"/>
          <w:szCs w:val="32"/>
          <w:lang w:val="en-US" w:eastAsia="zh-CN"/>
        </w:rPr>
        <w:t>：</w:t>
      </w:r>
    </w:p>
    <w:p w14:paraId="63EE632F">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outlineLvl w:val="0"/>
        <w:rPr>
          <w:rFonts w:hint="eastAsia" w:ascii="仿宋" w:hAnsi="仿宋" w:eastAsia="仿宋" w:cs="仿宋"/>
          <w:sz w:val="32"/>
          <w:szCs w:val="32"/>
        </w:rPr>
      </w:pPr>
      <w:bookmarkStart w:id="1" w:name="_Toc18591"/>
      <w:bookmarkStart w:id="2" w:name="_Toc20127"/>
      <w:bookmarkStart w:id="3" w:name="_Toc9891"/>
      <w:bookmarkStart w:id="4" w:name="_Toc30211"/>
      <w:r>
        <w:rPr>
          <w:rFonts w:hint="eastAsia" w:ascii="黑体" w:hAnsi="黑体" w:eastAsia="黑体" w:cs="黑体"/>
          <w:sz w:val="32"/>
          <w:szCs w:val="32"/>
          <w:lang w:eastAsia="zh-CN"/>
        </w:rPr>
        <w:t>一、</w:t>
      </w:r>
      <w:r>
        <w:rPr>
          <w:rFonts w:hint="eastAsia" w:ascii="黑体" w:hAnsi="黑体" w:eastAsia="黑体" w:cs="黑体"/>
          <w:sz w:val="32"/>
          <w:szCs w:val="32"/>
          <w:lang w:val="en-US" w:eastAsia="zh-CN"/>
        </w:rPr>
        <w:t>绩效评价基本</w:t>
      </w:r>
      <w:r>
        <w:rPr>
          <w:rFonts w:hint="eastAsia" w:ascii="黑体" w:hAnsi="黑体" w:eastAsia="黑体" w:cs="黑体"/>
          <w:sz w:val="32"/>
          <w:szCs w:val="32"/>
        </w:rPr>
        <w:t>情况</w:t>
      </w:r>
      <w:bookmarkEnd w:id="1"/>
      <w:bookmarkEnd w:id="2"/>
      <w:bookmarkEnd w:id="3"/>
      <w:bookmarkEnd w:id="4"/>
    </w:p>
    <w:p w14:paraId="2FBD8C1C">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outlineLvl w:val="1"/>
        <w:rPr>
          <w:rFonts w:hint="eastAsia" w:ascii="楷体" w:hAnsi="楷体" w:eastAsia="楷体" w:cs="楷体"/>
          <w:b/>
          <w:bCs/>
          <w:sz w:val="32"/>
          <w:szCs w:val="32"/>
        </w:rPr>
      </w:pPr>
      <w:bookmarkStart w:id="5" w:name="_Toc26464"/>
      <w:bookmarkStart w:id="6" w:name="_Toc3257"/>
      <w:bookmarkStart w:id="7" w:name="_Toc2812"/>
      <w:bookmarkStart w:id="8" w:name="_Toc13350"/>
      <w:bookmarkStart w:id="9" w:name="_Toc4569"/>
      <w:r>
        <w:rPr>
          <w:rFonts w:hint="eastAsia" w:ascii="楷体" w:hAnsi="楷体" w:eastAsia="楷体" w:cs="楷体"/>
          <w:b/>
          <w:bCs/>
          <w:sz w:val="32"/>
          <w:szCs w:val="32"/>
        </w:rPr>
        <w:t>（一）</w:t>
      </w:r>
      <w:r>
        <w:rPr>
          <w:rFonts w:hint="eastAsia" w:ascii="楷体" w:hAnsi="楷体" w:eastAsia="楷体" w:cs="楷体"/>
          <w:b/>
          <w:bCs/>
          <w:sz w:val="32"/>
          <w:szCs w:val="32"/>
          <w:lang w:val="en-US" w:eastAsia="zh-CN"/>
        </w:rPr>
        <w:t>评价</w:t>
      </w:r>
      <w:r>
        <w:rPr>
          <w:rFonts w:hint="eastAsia" w:ascii="楷体" w:hAnsi="楷体" w:eastAsia="楷体" w:cs="楷体"/>
          <w:b/>
          <w:bCs/>
          <w:sz w:val="32"/>
          <w:szCs w:val="32"/>
        </w:rPr>
        <w:t>对象和范围</w:t>
      </w:r>
      <w:bookmarkEnd w:id="5"/>
      <w:bookmarkEnd w:id="6"/>
      <w:bookmarkEnd w:id="7"/>
      <w:bookmarkEnd w:id="8"/>
      <w:bookmarkEnd w:id="9"/>
    </w:p>
    <w:p w14:paraId="068AC208">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sz w:val="32"/>
          <w:szCs w:val="32"/>
          <w:lang w:val="en-US" w:eastAsia="zh-CN"/>
        </w:rPr>
      </w:pPr>
      <w:bookmarkStart w:id="10" w:name="_Toc8069"/>
      <w:bookmarkStart w:id="11" w:name="_Toc7691"/>
      <w:bookmarkStart w:id="12" w:name="_Toc29635"/>
      <w:r>
        <w:rPr>
          <w:rFonts w:hint="eastAsia" w:ascii="仿宋" w:hAnsi="仿宋" w:eastAsia="仿宋" w:cs="仿宋"/>
          <w:sz w:val="32"/>
          <w:szCs w:val="32"/>
          <w:lang w:val="en-US" w:eastAsia="zh-CN"/>
        </w:rPr>
        <w:t>评价对象为2024年雁峰区人民政府办公室整体支出绩效。评价范围包括不限于目标设定、预算配置、预算执行情况、预算管理、职责履行、履职效益和新增财政支出、一般性支出、会议支出、办公经费支出、机构编制和工资管理、厉行节约保障措施等方面的执行情况及其政策效果，以及项目支出的管理、使用、结余、效益情况。</w:t>
      </w:r>
    </w:p>
    <w:bookmarkEnd w:id="10"/>
    <w:bookmarkEnd w:id="11"/>
    <w:bookmarkEnd w:id="12"/>
    <w:p w14:paraId="408394BC">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outlineLvl w:val="1"/>
        <w:rPr>
          <w:rFonts w:hint="eastAsia" w:ascii="楷体" w:hAnsi="楷体" w:eastAsia="楷体" w:cs="楷体"/>
          <w:b/>
          <w:bCs/>
          <w:sz w:val="32"/>
          <w:szCs w:val="32"/>
        </w:rPr>
      </w:pPr>
      <w:bookmarkStart w:id="13" w:name="_Toc1228"/>
      <w:bookmarkStart w:id="14" w:name="_Toc24200"/>
      <w:bookmarkStart w:id="15" w:name="_Toc24072"/>
      <w:bookmarkStart w:id="16" w:name="_Toc7231"/>
      <w:bookmarkStart w:id="17" w:name="_Toc25241"/>
      <w:bookmarkStart w:id="18" w:name="_Toc4694"/>
      <w:bookmarkStart w:id="19" w:name="_Hlk172128948"/>
      <w:r>
        <w:rPr>
          <w:rFonts w:hint="eastAsia" w:ascii="楷体" w:hAnsi="楷体" w:eastAsia="楷体" w:cs="楷体"/>
          <w:b/>
          <w:bCs/>
          <w:sz w:val="32"/>
          <w:szCs w:val="32"/>
        </w:rPr>
        <w:t>（二）</w:t>
      </w:r>
      <w:r>
        <w:rPr>
          <w:rFonts w:hint="eastAsia" w:ascii="楷体" w:hAnsi="楷体" w:eastAsia="楷体" w:cs="楷体"/>
          <w:b/>
          <w:bCs/>
          <w:sz w:val="32"/>
          <w:szCs w:val="32"/>
          <w:lang w:val="en-US" w:eastAsia="zh-CN"/>
        </w:rPr>
        <w:t>评价</w:t>
      </w:r>
      <w:r>
        <w:rPr>
          <w:rFonts w:hint="eastAsia" w:ascii="楷体" w:hAnsi="楷体" w:eastAsia="楷体" w:cs="楷体"/>
          <w:b/>
          <w:bCs/>
          <w:sz w:val="32"/>
          <w:szCs w:val="32"/>
        </w:rPr>
        <w:t>依据</w:t>
      </w:r>
      <w:bookmarkEnd w:id="13"/>
      <w:bookmarkEnd w:id="14"/>
    </w:p>
    <w:p w14:paraId="7E639943">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1、《中共中央 国务院关于全面实施预算绩效管理的意见》（中发〔2018〕34号）；</w:t>
      </w:r>
    </w:p>
    <w:p w14:paraId="70207DD6">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2、《中共湖南省委办公厅 湖南省人民政府办公厅关于全面实施预算绩效管理的实施意见》（湘办发〔2019〕10号）；</w:t>
      </w:r>
    </w:p>
    <w:p w14:paraId="054B859B">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3、《财政部关于印发〈项目支出绩效评价管理办法〉的通知》（财预〔2020〕10号）。</w:t>
      </w:r>
    </w:p>
    <w:p w14:paraId="393EE0EE">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4、财政部</w:t>
      </w:r>
      <w:r>
        <w:rPr>
          <w:rFonts w:hint="eastAsia" w:ascii="仿宋" w:hAnsi="仿宋" w:eastAsia="仿宋" w:cs="仿宋"/>
          <w:sz w:val="32"/>
          <w:szCs w:val="32"/>
          <w:lang w:val="en-US" w:eastAsia="zh-CN"/>
        </w:rPr>
        <w:t>关于印发</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地方政府债券发行管理办法</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财库</w:t>
      </w:r>
      <w:r>
        <w:rPr>
          <w:rFonts w:hint="eastAsia" w:ascii="仿宋" w:hAnsi="仿宋" w:eastAsia="仿宋" w:cs="仿宋"/>
          <w:sz w:val="32"/>
          <w:szCs w:val="32"/>
          <w:lang w:eastAsia="zh-CN"/>
        </w:rPr>
        <w:t>〔202</w:t>
      </w:r>
      <w:r>
        <w:rPr>
          <w:rFonts w:hint="eastAsia" w:ascii="仿宋" w:hAnsi="仿宋" w:eastAsia="仿宋" w:cs="仿宋"/>
          <w:sz w:val="32"/>
          <w:szCs w:val="32"/>
          <w:lang w:val="en-US" w:eastAsia="zh-CN"/>
        </w:rPr>
        <w:t>0</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43号。</w:t>
      </w:r>
    </w:p>
    <w:p w14:paraId="095FF3AA">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5、《中华人民共和国预算法》</w:t>
      </w:r>
    </w:p>
    <w:p w14:paraId="58819D15">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6、《财政专项资金管理办法》</w:t>
      </w:r>
    </w:p>
    <w:p w14:paraId="4C76F82A">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7、关于印发《衡阳市市直机关会议费管理办法》的通知衡财行〔2018〕463号。</w:t>
      </w:r>
    </w:p>
    <w:p w14:paraId="4CD93FB7">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8、关于印发《行政事业单位内部控制规范（试行）》的通知财会〔2012〕21号。</w:t>
      </w:r>
    </w:p>
    <w:p w14:paraId="531721EF">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9、事业单位国有资产管理暂行办法（2019修订）。</w:t>
      </w:r>
    </w:p>
    <w:p w14:paraId="4391BE99">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10、关于印发《湖南省省直党政机关和参公事业单位国有资产管理办法》的通知湘政办发〔2021〕59号。</w:t>
      </w:r>
    </w:p>
    <w:p w14:paraId="63EC011E">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11、关于印发《衡阳市市直行政事业单位国有资产配置管理办法》的通知衡财资〔2021〕482号。</w:t>
      </w:r>
    </w:p>
    <w:p w14:paraId="4C67DECB">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12、关于印发《湖南省省级行政事业单位通用办公设备和办公家具配置限额标准》的通知湘政资〔2020〕15号。</w:t>
      </w:r>
    </w:p>
    <w:p w14:paraId="36A5A86A">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13、关于修改《事业单位国有资产管理暂行办法》的决定财政部令第100号。</w:t>
      </w:r>
    </w:p>
    <w:p w14:paraId="1BAE7B51">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14、关于印发《衡阳市市直机关差旅费管理办法》的通知衡财行〔2019〕248号。</w:t>
      </w:r>
    </w:p>
    <w:p w14:paraId="3AEBA156">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15、违反中央八项规定精神问题月报数据填报说明。</w:t>
      </w:r>
    </w:p>
    <w:p w14:paraId="5D2E8234">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16、党政机关厉行节约反对浪费条例2013。</w:t>
      </w:r>
    </w:p>
    <w:p w14:paraId="0D4C8011">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17、中央八项规定中对于国家公职人员涉及财务的80项禁止行为。</w:t>
      </w:r>
    </w:p>
    <w:p w14:paraId="4AF561C1">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18、关于《明确市直党政机关公务活动用餐有关事项》的通知衡财行〔2018〕467号。</w:t>
      </w:r>
    </w:p>
    <w:p w14:paraId="71A41B9F">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19、衡阳市市直机关培训费管理办法衡财行[2017]409号。</w:t>
      </w:r>
    </w:p>
    <w:p w14:paraId="34DA055C">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20</w:t>
      </w:r>
      <w:r>
        <w:rPr>
          <w:rFonts w:hint="default" w:ascii="仿宋" w:hAnsi="仿宋" w:eastAsia="仿宋" w:cs="仿宋"/>
          <w:sz w:val="32"/>
          <w:szCs w:val="32"/>
          <w:lang w:val="en-US" w:eastAsia="zh-CN"/>
        </w:rPr>
        <w:t>、</w:t>
      </w:r>
      <w:r>
        <w:rPr>
          <w:rFonts w:hint="eastAsia" w:ascii="仿宋" w:hAnsi="仿宋" w:eastAsia="仿宋" w:cs="仿宋"/>
          <w:sz w:val="32"/>
          <w:szCs w:val="32"/>
          <w:lang w:val="en-US" w:eastAsia="zh-CN"/>
        </w:rPr>
        <w:t>衡阳市财政局文件衡财行[2018]467号关于明确市直党政机关公务活动用餐有关事项的通知。</w:t>
      </w:r>
    </w:p>
    <w:p w14:paraId="73E24FFD">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21、中共衡阳市委办公室 衡阳市人民政府办公室文件衡办发[2025]6号《衡阳市委党政机关国内公务接待管理办法》的通知。</w:t>
      </w:r>
    </w:p>
    <w:p w14:paraId="18017CDF">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22、</w:t>
      </w:r>
      <w:r>
        <w:rPr>
          <w:rFonts w:hint="eastAsia" w:ascii="仿宋" w:hAnsi="仿宋" w:eastAsia="仿宋" w:cs="仿宋"/>
          <w:sz w:val="32"/>
          <w:szCs w:val="32"/>
          <w:lang w:eastAsia="zh-CN"/>
        </w:rPr>
        <w:t>预算批复时确定的绩效目标及指标，预算部门年度预算执行情况，年度决算报告等相关材料。</w:t>
      </w:r>
    </w:p>
    <w:p w14:paraId="1CC63EDA">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23、</w:t>
      </w:r>
      <w:r>
        <w:rPr>
          <w:rFonts w:hint="eastAsia" w:ascii="仿宋" w:hAnsi="仿宋" w:eastAsia="仿宋" w:cs="仿宋"/>
          <w:sz w:val="32"/>
          <w:szCs w:val="32"/>
          <w:lang w:eastAsia="zh-CN"/>
        </w:rPr>
        <w:t>其他与本次</w:t>
      </w:r>
      <w:r>
        <w:rPr>
          <w:rFonts w:hint="eastAsia" w:ascii="仿宋" w:hAnsi="仿宋" w:eastAsia="仿宋" w:cs="仿宋"/>
          <w:sz w:val="32"/>
          <w:szCs w:val="32"/>
          <w:lang w:val="en-US" w:eastAsia="zh-CN"/>
        </w:rPr>
        <w:t>绩效评价</w:t>
      </w:r>
      <w:r>
        <w:rPr>
          <w:rFonts w:hint="eastAsia" w:ascii="仿宋" w:hAnsi="仿宋" w:eastAsia="仿宋" w:cs="仿宋"/>
          <w:sz w:val="32"/>
          <w:szCs w:val="32"/>
          <w:lang w:eastAsia="zh-CN"/>
        </w:rPr>
        <w:t>有关的政策文件。</w:t>
      </w:r>
    </w:p>
    <w:p w14:paraId="15E7EDE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00" w:firstLine="643" w:firstLineChars="200"/>
        <w:jc w:val="both"/>
        <w:textAlignment w:val="auto"/>
        <w:outlineLvl w:val="1"/>
        <w:rPr>
          <w:rFonts w:hint="default" w:ascii="楷体" w:hAnsi="楷体" w:eastAsia="楷体" w:cs="楷体"/>
          <w:b/>
          <w:bCs/>
          <w:sz w:val="32"/>
          <w:szCs w:val="32"/>
          <w:lang w:val="en-US"/>
        </w:rPr>
      </w:pPr>
      <w:bookmarkStart w:id="20" w:name="_Toc32595"/>
      <w:r>
        <w:rPr>
          <w:rFonts w:hint="eastAsia" w:ascii="楷体" w:hAnsi="楷体" w:eastAsia="楷体" w:cs="楷体"/>
          <w:b/>
          <w:bCs/>
          <w:sz w:val="32"/>
          <w:szCs w:val="32"/>
        </w:rPr>
        <w:t>（三）</w:t>
      </w:r>
      <w:bookmarkEnd w:id="15"/>
      <w:bookmarkEnd w:id="16"/>
      <w:r>
        <w:rPr>
          <w:rFonts w:hint="eastAsia" w:ascii="楷体" w:hAnsi="楷体" w:eastAsia="楷体" w:cs="楷体"/>
          <w:b/>
          <w:bCs/>
          <w:sz w:val="32"/>
          <w:szCs w:val="32"/>
          <w:lang w:val="en-US" w:eastAsia="zh-CN"/>
        </w:rPr>
        <w:t>评价方法和目的</w:t>
      </w:r>
      <w:bookmarkEnd w:id="17"/>
      <w:bookmarkEnd w:id="18"/>
      <w:bookmarkEnd w:id="20"/>
    </w:p>
    <w:p w14:paraId="242A6CB2">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我们</w:t>
      </w:r>
      <w:r>
        <w:rPr>
          <w:rFonts w:hint="eastAsia" w:ascii="仿宋" w:hAnsi="仿宋" w:eastAsia="仿宋" w:cs="仿宋"/>
          <w:sz w:val="32"/>
          <w:szCs w:val="32"/>
          <w:lang w:eastAsia="zh-CN"/>
        </w:rPr>
        <w:t>通过</w:t>
      </w:r>
      <w:r>
        <w:rPr>
          <w:rFonts w:hint="eastAsia" w:ascii="仿宋" w:hAnsi="仿宋" w:eastAsia="仿宋" w:cs="仿宋"/>
          <w:sz w:val="32"/>
          <w:szCs w:val="32"/>
          <w:lang w:val="en-US" w:eastAsia="zh-CN"/>
        </w:rPr>
        <w:t>听取情况介绍、进行实地核查、发放调查问卷、对照复核及分析等方式，对区政府办公室提供的相关资料</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进行核对与审查，分析与评价内部管理及控制情况，贯彻落实厉行节约、严控“三公”经费、降低一般运行经费、加强项目支出管理、核实资金结余情况，</w:t>
      </w:r>
      <w:r>
        <w:rPr>
          <w:rFonts w:hint="eastAsia" w:ascii="仿宋" w:hAnsi="仿宋" w:eastAsia="仿宋" w:cs="仿宋"/>
          <w:sz w:val="32"/>
          <w:szCs w:val="32"/>
          <w:highlight w:val="none"/>
          <w:lang w:val="en-US" w:eastAsia="zh-CN"/>
        </w:rPr>
        <w:t>强化政府责任与透明度，全面衡量公共资金使用的经济性、效率性、效益性和可持续性，系统性地检视资金使用全流程，确保公共资源发挥</w:t>
      </w:r>
      <w:r>
        <w:rPr>
          <w:rFonts w:hint="eastAsia" w:ascii="仿宋" w:hAnsi="仿宋" w:eastAsia="仿宋" w:cs="仿宋"/>
          <w:sz w:val="32"/>
          <w:szCs w:val="32"/>
          <w:lang w:val="en-US" w:eastAsia="zh-CN"/>
        </w:rPr>
        <w:t>最大价值，同时为政策调整和预算优化提供依据。</w:t>
      </w:r>
    </w:p>
    <w:bookmarkEnd w:id="0"/>
    <w:bookmarkEnd w:id="19"/>
    <w:p w14:paraId="76AE3A38">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jc w:val="both"/>
        <w:textAlignment w:val="auto"/>
        <w:outlineLvl w:val="0"/>
        <w:rPr>
          <w:rFonts w:hint="eastAsia" w:ascii="黑体" w:hAnsi="黑体" w:eastAsia="黑体" w:cs="黑体"/>
          <w:sz w:val="32"/>
          <w:szCs w:val="32"/>
          <w:lang w:eastAsia="zh-CN"/>
        </w:rPr>
      </w:pPr>
      <w:bookmarkStart w:id="21" w:name="_Toc32697"/>
      <w:bookmarkStart w:id="22" w:name="_Toc21063"/>
      <w:bookmarkStart w:id="23" w:name="_Toc4638"/>
      <w:r>
        <w:rPr>
          <w:rFonts w:hint="eastAsia" w:ascii="黑体" w:hAnsi="黑体" w:eastAsia="黑体" w:cs="黑体"/>
          <w:sz w:val="32"/>
          <w:szCs w:val="32"/>
          <w:lang w:val="en-US" w:eastAsia="zh-CN"/>
        </w:rPr>
        <w:t>部门基本</w:t>
      </w:r>
      <w:r>
        <w:rPr>
          <w:rFonts w:hint="eastAsia" w:ascii="黑体" w:hAnsi="黑体" w:eastAsia="黑体" w:cs="黑体"/>
          <w:sz w:val="32"/>
          <w:szCs w:val="32"/>
          <w:lang w:eastAsia="zh-CN"/>
        </w:rPr>
        <w:t>情况</w:t>
      </w:r>
      <w:bookmarkEnd w:id="21"/>
      <w:bookmarkEnd w:id="22"/>
      <w:bookmarkEnd w:id="23"/>
    </w:p>
    <w:p w14:paraId="2A24FB9A">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firstLine="643" w:firstLineChars="200"/>
        <w:jc w:val="both"/>
        <w:textAlignment w:val="auto"/>
        <w:outlineLvl w:val="1"/>
        <w:rPr>
          <w:rFonts w:hint="eastAsia" w:ascii="楷体" w:hAnsi="楷体" w:eastAsia="楷体" w:cs="楷体"/>
          <w:b/>
          <w:bCs/>
          <w:sz w:val="32"/>
          <w:szCs w:val="32"/>
          <w:lang w:val="en-US" w:eastAsia="zh-CN"/>
        </w:rPr>
      </w:pPr>
      <w:bookmarkStart w:id="24" w:name="_Toc7465"/>
      <w:r>
        <w:rPr>
          <w:rFonts w:hint="eastAsia" w:ascii="楷体" w:hAnsi="楷体" w:eastAsia="楷体" w:cs="楷体"/>
          <w:b/>
          <w:bCs/>
          <w:sz w:val="32"/>
          <w:szCs w:val="32"/>
          <w:lang w:eastAsia="zh-CN"/>
        </w:rPr>
        <w:t>部门</w:t>
      </w:r>
      <w:r>
        <w:rPr>
          <w:rFonts w:hint="eastAsia" w:ascii="楷体" w:hAnsi="楷体" w:eastAsia="楷体" w:cs="楷体"/>
          <w:b/>
          <w:bCs/>
          <w:sz w:val="32"/>
          <w:szCs w:val="32"/>
          <w:lang w:val="en-US" w:eastAsia="zh-CN"/>
        </w:rPr>
        <w:t>基本信息</w:t>
      </w:r>
      <w:bookmarkEnd w:id="24"/>
    </w:p>
    <w:p w14:paraId="3664BA6C">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楷体" w:hAnsi="楷体" w:eastAsia="楷体" w:cs="楷体"/>
          <w:b/>
          <w:bCs/>
          <w:sz w:val="32"/>
          <w:szCs w:val="32"/>
          <w:highlight w:val="yellow"/>
          <w:lang w:val="en-US" w:eastAsia="zh-CN"/>
        </w:rPr>
      </w:pPr>
      <w:r>
        <w:rPr>
          <w:rFonts w:hint="eastAsia" w:ascii="仿宋" w:hAnsi="仿宋" w:eastAsia="仿宋" w:cs="仿宋"/>
          <w:b w:val="0"/>
          <w:bCs w:val="0"/>
          <w:sz w:val="32"/>
          <w:szCs w:val="32"/>
          <w:lang w:val="en-US" w:eastAsia="zh-CN"/>
        </w:rPr>
        <w:t>统一社会信用代码11430403MB0U749206，</w:t>
      </w:r>
      <w:r>
        <w:rPr>
          <w:rFonts w:hint="default" w:ascii="仿宋" w:hAnsi="仿宋" w:eastAsia="仿宋" w:cs="仿宋"/>
          <w:b w:val="0"/>
          <w:bCs w:val="0"/>
          <w:sz w:val="32"/>
          <w:szCs w:val="32"/>
          <w:lang w:val="en-US" w:eastAsia="zh-CN"/>
        </w:rPr>
        <w:t>预算级次</w:t>
      </w:r>
      <w:r>
        <w:rPr>
          <w:rFonts w:hint="eastAsia" w:ascii="仿宋" w:hAnsi="仿宋" w:eastAsia="仿宋" w:cs="仿宋"/>
          <w:b w:val="0"/>
          <w:bCs w:val="0"/>
          <w:sz w:val="32"/>
          <w:szCs w:val="32"/>
          <w:lang w:val="en-US" w:eastAsia="zh-CN"/>
        </w:rPr>
        <w:t>为县区级，</w:t>
      </w:r>
      <w:r>
        <w:rPr>
          <w:rFonts w:hint="default" w:ascii="仿宋" w:hAnsi="仿宋" w:eastAsia="仿宋" w:cs="仿宋"/>
          <w:b w:val="0"/>
          <w:bCs w:val="0"/>
          <w:sz w:val="32"/>
          <w:szCs w:val="32"/>
          <w:lang w:val="en-US" w:eastAsia="zh-CN"/>
        </w:rPr>
        <w:t>单位预算级次</w:t>
      </w:r>
      <w:r>
        <w:rPr>
          <w:rFonts w:hint="eastAsia" w:ascii="仿宋" w:hAnsi="仿宋" w:eastAsia="仿宋" w:cs="仿宋"/>
          <w:b w:val="0"/>
          <w:bCs w:val="0"/>
          <w:sz w:val="32"/>
          <w:szCs w:val="32"/>
          <w:lang w:val="en-US" w:eastAsia="zh-CN"/>
        </w:rPr>
        <w:t>为</w:t>
      </w:r>
      <w:r>
        <w:rPr>
          <w:rFonts w:hint="default" w:ascii="仿宋" w:hAnsi="仿宋" w:eastAsia="仿宋" w:cs="仿宋"/>
          <w:b w:val="0"/>
          <w:bCs w:val="0"/>
          <w:sz w:val="32"/>
          <w:szCs w:val="32"/>
          <w:lang w:val="en-US" w:eastAsia="zh-CN"/>
        </w:rPr>
        <w:t>一级预算单位</w:t>
      </w:r>
      <w:r>
        <w:rPr>
          <w:rFonts w:hint="eastAsia" w:ascii="仿宋" w:hAnsi="仿宋" w:eastAsia="仿宋" w:cs="仿宋"/>
          <w:b w:val="0"/>
          <w:bCs w:val="0"/>
          <w:sz w:val="32"/>
          <w:szCs w:val="32"/>
          <w:lang w:val="en-US" w:eastAsia="zh-CN"/>
        </w:rPr>
        <w:t>，</w:t>
      </w:r>
      <w:r>
        <w:rPr>
          <w:rFonts w:hint="default" w:ascii="仿宋" w:hAnsi="仿宋" w:eastAsia="仿宋" w:cs="仿宋"/>
          <w:sz w:val="32"/>
          <w:szCs w:val="32"/>
          <w:highlight w:val="none"/>
          <w:lang w:val="en-US" w:eastAsia="zh-CN"/>
        </w:rPr>
        <w:t>单位经费保障方式</w:t>
      </w:r>
      <w:r>
        <w:rPr>
          <w:rFonts w:hint="eastAsia" w:ascii="仿宋" w:hAnsi="仿宋" w:eastAsia="仿宋" w:cs="仿宋"/>
          <w:sz w:val="32"/>
          <w:szCs w:val="32"/>
          <w:highlight w:val="none"/>
          <w:lang w:val="en-US" w:eastAsia="zh-CN"/>
        </w:rPr>
        <w:t>为</w:t>
      </w:r>
      <w:r>
        <w:rPr>
          <w:rFonts w:hint="default" w:ascii="仿宋" w:hAnsi="仿宋" w:eastAsia="仿宋" w:cs="仿宋"/>
          <w:sz w:val="32"/>
          <w:szCs w:val="32"/>
          <w:highlight w:val="none"/>
          <w:lang w:val="en-US" w:eastAsia="zh-CN"/>
        </w:rPr>
        <w:t>全额</w:t>
      </w:r>
      <w:r>
        <w:rPr>
          <w:rFonts w:hint="eastAsia" w:ascii="仿宋" w:hAnsi="仿宋" w:eastAsia="仿宋" w:cs="仿宋"/>
          <w:sz w:val="32"/>
          <w:szCs w:val="32"/>
          <w:highlight w:val="none"/>
          <w:lang w:val="en-US" w:eastAsia="zh-CN"/>
        </w:rPr>
        <w:t>。</w:t>
      </w:r>
    </w:p>
    <w:p w14:paraId="5EE58AC6">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3" w:firstLineChars="200"/>
        <w:jc w:val="both"/>
        <w:textAlignment w:val="auto"/>
        <w:outlineLvl w:val="1"/>
        <w:rPr>
          <w:rFonts w:hint="eastAsia" w:ascii="楷体" w:hAnsi="楷体" w:eastAsia="楷体" w:cs="楷体"/>
          <w:b/>
          <w:bCs/>
          <w:sz w:val="32"/>
          <w:szCs w:val="32"/>
          <w:highlight w:val="none"/>
          <w:lang w:val="en-US" w:eastAsia="zh-CN"/>
        </w:rPr>
      </w:pPr>
      <w:bookmarkStart w:id="25" w:name="_Toc2291"/>
      <w:r>
        <w:rPr>
          <w:rFonts w:hint="eastAsia" w:ascii="楷体" w:hAnsi="楷体" w:eastAsia="楷体" w:cs="楷体"/>
          <w:b/>
          <w:bCs/>
          <w:sz w:val="32"/>
          <w:szCs w:val="32"/>
          <w:highlight w:val="none"/>
          <w:lang w:eastAsia="zh-CN"/>
        </w:rPr>
        <w:t>（</w:t>
      </w:r>
      <w:r>
        <w:rPr>
          <w:rFonts w:hint="eastAsia" w:ascii="楷体" w:hAnsi="楷体" w:eastAsia="楷体" w:cs="楷体"/>
          <w:b/>
          <w:bCs/>
          <w:sz w:val="32"/>
          <w:szCs w:val="32"/>
          <w:highlight w:val="none"/>
          <w:lang w:val="en-US" w:eastAsia="zh-CN"/>
        </w:rPr>
        <w:t>二</w:t>
      </w:r>
      <w:r>
        <w:rPr>
          <w:rFonts w:hint="eastAsia" w:ascii="楷体" w:hAnsi="楷体" w:eastAsia="楷体" w:cs="楷体"/>
          <w:b/>
          <w:bCs/>
          <w:sz w:val="32"/>
          <w:szCs w:val="32"/>
          <w:highlight w:val="none"/>
          <w:lang w:eastAsia="zh-CN"/>
        </w:rPr>
        <w:t>）部门</w:t>
      </w:r>
      <w:r>
        <w:rPr>
          <w:rFonts w:hint="eastAsia" w:ascii="楷体" w:hAnsi="楷体" w:eastAsia="楷体" w:cs="楷体"/>
          <w:b/>
          <w:bCs/>
          <w:sz w:val="32"/>
          <w:szCs w:val="32"/>
          <w:highlight w:val="none"/>
          <w:lang w:val="en-US" w:eastAsia="zh-CN"/>
        </w:rPr>
        <w:t>主要职责</w:t>
      </w:r>
      <w:bookmarkEnd w:id="25"/>
    </w:p>
    <w:p w14:paraId="288A13F7">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left="0" w:leftChars="0" w:firstLine="643" w:firstLineChars="200"/>
        <w:jc w:val="both"/>
        <w:textAlignment w:val="auto"/>
        <w:outlineLvl w:val="9"/>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1、协助区政府领导同志审核或组织起草由区政府、区政府办公室名义发布的公文。2、负责区政府全会、常务会议、区长办公会、专题会议和政府有关会议的牵头组织、会议通知、会议记录、会议纪要。3、研究区政府各部门和各街道、乡镇请示区政府的事项，提出审核意见，对区政府部门间的分歧事项提出处理意见，报区政府领导同志审批。4、负责对区政府重大事项、重要工作、重点项目、重要会议和重要文件精神，以及区政府领导同志指示精神的贯彻落实情况进行督查督办，并及时向区政府领导同志报告情况。5、办理中央和省、市、区政府领导同志的批示，并督促落实。督促检查区政府各部门和乡镇街道对区政府决定事项的执行落实情况，及时向区政府报告。6、负责区政府日常值班工作，及时接收上级电文、电报，电话、通知，并传达区政府各类通知和指令，及时报告重要情况，传达区政府领导同志指示。7、协助区政府领导同志做好需由区政府组织处理的突发事件应急处置工作;负责向国务院和省、市、区政府领导同志报告重要信息和情况。8、负责人大代表意见建议，政协委员提案办理工作的牵头汇总、监督和督促工作。9、指导、统筹、协调区社会化禁毒事务中心工作;贯彻落实国家、省、市关于禁毒工作的法律法规和方针政策;负责指导、协调、组织全区禁毒工作;负责牵头考评全区禁毒工作。10、负责对年度重点项目的建设实行全程跟踪管理，督查督办重点项目建设的工作情况;牵头考评全区重点工程工作。11、指导、统筹、协调区金融事务中心工作;负责融资性担保机构和小额贷款公司的设立申报初步审查和监督管理，引导行业规范和发展，对全区金融相关工作进行考核督查，完成区委、区政府交办的其他工作。12、组织、指导、督促和检查地方志工作;组织开发利用地方志资源。13、负责区政府办内部日常事务及财务工作。14、完成区政府和区政府领导同志交办的其他任务。</w:t>
      </w:r>
    </w:p>
    <w:p w14:paraId="40CF435B">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left="0" w:leftChars="0" w:firstLine="643" w:firstLineChars="200"/>
        <w:jc w:val="both"/>
        <w:textAlignment w:val="auto"/>
        <w:outlineLvl w:val="1"/>
        <w:rPr>
          <w:rFonts w:hint="eastAsia" w:ascii="楷体" w:hAnsi="楷体" w:eastAsia="楷体" w:cs="楷体"/>
          <w:b/>
          <w:bCs/>
          <w:sz w:val="32"/>
          <w:szCs w:val="32"/>
          <w:lang w:eastAsia="zh-CN"/>
        </w:rPr>
      </w:pPr>
      <w:bookmarkStart w:id="26" w:name="_Toc22849"/>
      <w:r>
        <w:rPr>
          <w:rFonts w:hint="eastAsia" w:ascii="楷体" w:hAnsi="楷体" w:eastAsia="楷体" w:cs="楷体"/>
          <w:b/>
          <w:bCs/>
          <w:sz w:val="32"/>
          <w:szCs w:val="32"/>
          <w:lang w:eastAsia="zh-CN"/>
        </w:rPr>
        <w:t>（</w:t>
      </w:r>
      <w:r>
        <w:rPr>
          <w:rFonts w:hint="eastAsia" w:ascii="楷体" w:hAnsi="楷体" w:eastAsia="楷体" w:cs="楷体"/>
          <w:b/>
          <w:bCs/>
          <w:sz w:val="32"/>
          <w:szCs w:val="32"/>
          <w:lang w:val="en-US" w:eastAsia="zh-CN"/>
        </w:rPr>
        <w:t>三</w:t>
      </w:r>
      <w:r>
        <w:rPr>
          <w:rFonts w:hint="eastAsia" w:ascii="楷体" w:hAnsi="楷体" w:eastAsia="楷体" w:cs="楷体"/>
          <w:b/>
          <w:bCs/>
          <w:sz w:val="32"/>
          <w:szCs w:val="32"/>
          <w:lang w:eastAsia="zh-CN"/>
        </w:rPr>
        <w:t>）</w:t>
      </w:r>
      <w:r>
        <w:rPr>
          <w:rFonts w:hint="eastAsia" w:ascii="楷体" w:hAnsi="楷体" w:eastAsia="楷体" w:cs="楷体"/>
          <w:b/>
          <w:bCs/>
          <w:sz w:val="32"/>
          <w:szCs w:val="32"/>
          <w:lang w:val="en-US" w:eastAsia="zh-CN"/>
        </w:rPr>
        <w:t>部门</w:t>
      </w:r>
      <w:r>
        <w:rPr>
          <w:rFonts w:hint="eastAsia" w:ascii="楷体" w:hAnsi="楷体" w:eastAsia="楷体" w:cs="楷体"/>
          <w:b/>
          <w:bCs/>
          <w:sz w:val="32"/>
          <w:szCs w:val="32"/>
          <w:lang w:eastAsia="zh-CN"/>
        </w:rPr>
        <w:t>组织架构与人员</w:t>
      </w:r>
      <w:bookmarkEnd w:id="26"/>
    </w:p>
    <w:p w14:paraId="70F1384B">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3" w:firstLineChars="200"/>
        <w:jc w:val="both"/>
        <w:textAlignment w:val="auto"/>
        <w:outlineLvl w:val="9"/>
        <w:rPr>
          <w:rFonts w:hint="default" w:ascii="仿宋" w:hAnsi="仿宋" w:eastAsia="仿宋" w:cs="仿宋"/>
          <w:sz w:val="32"/>
          <w:szCs w:val="32"/>
          <w:highlight w:val="none"/>
          <w:lang w:val="en-US" w:eastAsia="zh-CN"/>
        </w:rPr>
      </w:pPr>
      <w:r>
        <w:rPr>
          <w:rFonts w:hint="eastAsia" w:ascii="仿宋" w:hAnsi="仿宋" w:eastAsia="仿宋" w:cs="仿宋"/>
          <w:b/>
          <w:bCs/>
          <w:sz w:val="32"/>
          <w:szCs w:val="32"/>
          <w:highlight w:val="none"/>
          <w:lang w:val="en-US" w:eastAsia="zh-CN"/>
        </w:rPr>
        <w:t>1、内部机构设置</w:t>
      </w:r>
    </w:p>
    <w:p w14:paraId="1956EBC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outlineLvl w:val="9"/>
        <w:rPr>
          <w:rFonts w:hint="eastAsia" w:ascii="仿宋_GB2312" w:hAnsi="仿宋_GB2312" w:eastAsia="仿宋_GB2312" w:cs="仿宋_GB2312"/>
          <w:b/>
          <w:bCs/>
          <w:kern w:val="0"/>
          <w:sz w:val="32"/>
          <w:szCs w:val="32"/>
          <w:lang w:val="en-US" w:eastAsia="zh-CN" w:bidi="ar"/>
        </w:rPr>
      </w:pPr>
      <w:r>
        <w:rPr>
          <w:rFonts w:hint="eastAsia" w:ascii="仿宋_GB2312" w:hAnsi="仿宋_GB2312" w:eastAsia="仿宋_GB2312" w:cs="仿宋_GB2312"/>
          <w:kern w:val="0"/>
          <w:sz w:val="32"/>
          <w:szCs w:val="32"/>
          <w:lang w:val="en-US" w:eastAsia="zh-CN" w:bidi="ar"/>
        </w:rPr>
        <w:t>雁峰区人民政府办公室单位内</w:t>
      </w:r>
      <w:r>
        <w:rPr>
          <w:rFonts w:hint="eastAsia" w:ascii="仿宋" w:hAnsi="仿宋" w:eastAsia="仿宋"/>
          <w:bCs/>
          <w:kern w:val="0"/>
          <w:sz w:val="32"/>
          <w:szCs w:val="32"/>
          <w:highlight w:val="none"/>
        </w:rPr>
        <w:t>设</w:t>
      </w:r>
      <w:r>
        <w:rPr>
          <w:rFonts w:hint="eastAsia" w:ascii="仿宋_GB2312" w:hAnsi="仿宋_GB2312" w:eastAsia="仿宋_GB2312" w:cs="仿宋_GB2312"/>
          <w:kern w:val="0"/>
          <w:sz w:val="32"/>
          <w:szCs w:val="32"/>
          <w:lang w:val="en-US" w:eastAsia="zh-CN" w:bidi="ar"/>
        </w:rPr>
        <w:t>机构包括</w:t>
      </w:r>
      <w:r>
        <w:rPr>
          <w:rFonts w:hint="eastAsia" w:ascii="仿宋" w:hAnsi="仿宋" w:eastAsia="仿宋" w:cs="宋体"/>
          <w:color w:val="333333"/>
          <w:sz w:val="32"/>
          <w:szCs w:val="32"/>
        </w:rPr>
        <w:t>：</w:t>
      </w:r>
      <w:r>
        <w:rPr>
          <w:rFonts w:hint="eastAsia" w:ascii="仿宋_GB2312" w:hAnsi="仿宋_GB2312" w:eastAsia="仿宋_GB2312" w:cs="仿宋_GB2312"/>
          <w:b/>
          <w:bCs/>
          <w:kern w:val="0"/>
          <w:sz w:val="32"/>
          <w:szCs w:val="32"/>
          <w:lang w:val="en-US" w:eastAsia="zh-CN" w:bidi="ar"/>
        </w:rPr>
        <w:t>综合组、区政府督查室、建议提案办理组、禁毒办公室、金融办公室、财务组、后勤组。</w:t>
      </w:r>
    </w:p>
    <w:p w14:paraId="356788DB">
      <w:pPr>
        <w:pStyle w:val="2"/>
        <w:keepNext w:val="0"/>
        <w:keepLines w:val="0"/>
        <w:pageBreakBefore w:val="0"/>
        <w:kinsoku/>
        <w:wordWrap/>
        <w:overflowPunct/>
        <w:topLinePunct w:val="0"/>
        <w:autoSpaceDE/>
        <w:autoSpaceDN/>
        <w:bidi w:val="0"/>
        <w:adjustRightInd/>
        <w:snapToGrid/>
        <w:spacing w:line="560" w:lineRule="exact"/>
        <w:ind w:leftChars="0" w:firstLine="643" w:firstLineChars="200"/>
        <w:jc w:val="both"/>
        <w:textAlignment w:val="auto"/>
        <w:rPr>
          <w:rFonts w:hint="default"/>
          <w:lang w:val="en-US" w:eastAsia="zh-CN"/>
        </w:rPr>
      </w:pPr>
      <w:r>
        <w:rPr>
          <w:rFonts w:hint="eastAsia" w:ascii="仿宋" w:hAnsi="仿宋" w:eastAsia="仿宋" w:cs="仿宋"/>
          <w:b/>
          <w:bCs/>
          <w:kern w:val="0"/>
          <w:sz w:val="32"/>
          <w:szCs w:val="32"/>
          <w:highlight w:val="none"/>
          <w:lang w:val="en-US" w:eastAsia="zh-CN" w:bidi="ar"/>
        </w:rPr>
        <w:t>2、编</w:t>
      </w:r>
      <w:r>
        <w:rPr>
          <w:rFonts w:hint="eastAsia" w:ascii="仿宋" w:hAnsi="仿宋" w:eastAsia="仿宋" w:cs="仿宋"/>
          <w:b/>
          <w:bCs/>
          <w:sz w:val="32"/>
          <w:szCs w:val="32"/>
          <w:lang w:val="en-US" w:eastAsia="zh-CN"/>
        </w:rPr>
        <w:t>制</w:t>
      </w:r>
      <w:r>
        <w:rPr>
          <w:rFonts w:hint="eastAsia" w:ascii="仿宋" w:hAnsi="仿宋" w:eastAsia="仿宋" w:cs="仿宋"/>
          <w:b/>
          <w:bCs/>
          <w:kern w:val="0"/>
          <w:sz w:val="32"/>
          <w:szCs w:val="32"/>
          <w:highlight w:val="none"/>
          <w:lang w:val="en-US" w:eastAsia="zh-CN" w:bidi="ar"/>
        </w:rPr>
        <w:t>及实有人员</w:t>
      </w:r>
    </w:p>
    <w:p w14:paraId="792A28DC">
      <w:pPr>
        <w:pStyle w:val="2"/>
        <w:keepNext w:val="0"/>
        <w:keepLines w:val="0"/>
        <w:pageBreakBefore w:val="0"/>
        <w:numPr>
          <w:ilvl w:val="0"/>
          <w:numId w:val="0"/>
        </w:numPr>
        <w:kinsoku/>
        <w:wordWrap/>
        <w:overflowPunct/>
        <w:topLinePunct w:val="0"/>
        <w:autoSpaceDE/>
        <w:autoSpaceDN/>
        <w:bidi w:val="0"/>
        <w:adjustRightInd/>
        <w:snapToGrid/>
        <w:spacing w:beforeAutospacing="0" w:afterAutospacing="0" w:line="560" w:lineRule="exact"/>
        <w:ind w:leftChars="0"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未提供部门花名册资料。</w:t>
      </w:r>
    </w:p>
    <w:p w14:paraId="5F8F430B">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left="0" w:leftChars="0" w:firstLine="643" w:firstLineChars="200"/>
        <w:jc w:val="both"/>
        <w:textAlignment w:val="auto"/>
        <w:outlineLvl w:val="1"/>
        <w:rPr>
          <w:rFonts w:hint="eastAsia" w:ascii="楷体" w:hAnsi="楷体" w:eastAsia="楷体" w:cs="楷体"/>
          <w:b/>
          <w:bCs/>
          <w:sz w:val="32"/>
          <w:szCs w:val="32"/>
          <w:lang w:val="en-US" w:eastAsia="zh-CN"/>
        </w:rPr>
      </w:pPr>
      <w:bookmarkStart w:id="27" w:name="_Toc15875"/>
      <w:r>
        <w:rPr>
          <w:rFonts w:hint="eastAsia" w:ascii="楷体" w:hAnsi="楷体" w:eastAsia="楷体" w:cs="楷体"/>
          <w:b/>
          <w:bCs/>
          <w:sz w:val="32"/>
          <w:szCs w:val="32"/>
          <w:lang w:val="en-US" w:eastAsia="zh-CN"/>
        </w:rPr>
        <w:t>部门2024年度职责履行及履职效益</w:t>
      </w:r>
      <w:bookmarkEnd w:id="27"/>
    </w:p>
    <w:p w14:paraId="6D60CD12">
      <w:pPr>
        <w:pStyle w:val="14"/>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0" w:afterAutospacing="0" w:line="560" w:lineRule="exact"/>
        <w:ind w:leftChars="0" w:right="0" w:rightChars="0" w:firstLine="643"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 w:hAnsi="仿宋" w:eastAsia="仿宋" w:cs="仿宋"/>
          <w:b/>
          <w:bCs/>
          <w:color w:val="auto"/>
          <w:sz w:val="32"/>
          <w:szCs w:val="24"/>
          <w:lang w:val="en-US" w:eastAsia="zh-CN"/>
        </w:rPr>
        <w:t>1、</w:t>
      </w:r>
      <w:r>
        <w:rPr>
          <w:rFonts w:hint="eastAsia" w:ascii="仿宋" w:hAnsi="仿宋" w:eastAsia="仿宋" w:cs="仿宋"/>
          <w:b/>
          <w:bCs/>
          <w:color w:val="auto"/>
          <w:sz w:val="32"/>
          <w:szCs w:val="24"/>
          <w:lang w:eastAsia="zh-CN"/>
        </w:rPr>
        <w:t>聚焦</w:t>
      </w:r>
      <w:r>
        <w:rPr>
          <w:rFonts w:hint="eastAsia" w:ascii="仿宋" w:hAnsi="仿宋" w:eastAsia="仿宋" w:cs="仿宋"/>
          <w:b/>
          <w:bCs/>
          <w:color w:val="auto"/>
          <w:sz w:val="32"/>
          <w:szCs w:val="24"/>
        </w:rPr>
        <w:t>中心</w:t>
      </w:r>
      <w:r>
        <w:rPr>
          <w:rFonts w:hint="eastAsia" w:ascii="仿宋" w:hAnsi="仿宋" w:eastAsia="仿宋" w:cs="仿宋"/>
          <w:b/>
          <w:bCs/>
          <w:color w:val="auto"/>
          <w:sz w:val="32"/>
          <w:szCs w:val="24"/>
          <w:lang w:eastAsia="zh-CN"/>
        </w:rPr>
        <w:t>大局抓落实</w:t>
      </w:r>
      <w:r>
        <w:rPr>
          <w:rFonts w:hint="eastAsia" w:ascii="仿宋" w:hAnsi="仿宋" w:eastAsia="仿宋" w:cs="仿宋"/>
          <w:b/>
          <w:bCs/>
          <w:color w:val="auto"/>
          <w:sz w:val="32"/>
          <w:szCs w:val="24"/>
        </w:rPr>
        <w:t>，</w:t>
      </w:r>
      <w:r>
        <w:rPr>
          <w:rFonts w:hint="default" w:ascii="仿宋" w:hAnsi="仿宋" w:eastAsia="仿宋" w:cs="仿宋"/>
          <w:b/>
          <w:bCs/>
          <w:color w:val="auto"/>
          <w:sz w:val="32"/>
          <w:szCs w:val="24"/>
          <w:lang w:val="en"/>
        </w:rPr>
        <w:t>不断强化政治担当</w:t>
      </w:r>
      <w:r>
        <w:rPr>
          <w:rFonts w:hint="eastAsia" w:ascii="仿宋" w:hAnsi="仿宋" w:eastAsia="仿宋" w:cs="仿宋"/>
          <w:b/>
          <w:bCs/>
          <w:color w:val="auto"/>
          <w:sz w:val="32"/>
          <w:szCs w:val="24"/>
          <w:lang w:val="en" w:eastAsia="zh-CN"/>
        </w:rPr>
        <w:t>。</w:t>
      </w:r>
      <w:r>
        <w:rPr>
          <w:rFonts w:hint="eastAsia" w:ascii="楷体" w:hAnsi="楷体" w:eastAsia="楷体" w:cs="楷体"/>
          <w:b/>
          <w:bCs/>
          <w:sz w:val="32"/>
          <w:szCs w:val="32"/>
          <w:lang w:val="en-US" w:eastAsia="zh-CN"/>
        </w:rPr>
        <w:t>①统筹协调周密高效。</w:t>
      </w:r>
      <w:r>
        <w:rPr>
          <w:rFonts w:hint="eastAsia" w:ascii="仿宋_GB2312" w:hAnsi="仿宋_GB2312" w:eastAsia="仿宋_GB2312" w:cs="仿宋_GB2312"/>
          <w:b/>
          <w:bCs/>
          <w:sz w:val="32"/>
          <w:szCs w:val="32"/>
          <w:lang w:val="en-US" w:eastAsia="zh-CN"/>
        </w:rPr>
        <w:t>一是统筹调度活动有力。</w:t>
      </w:r>
      <w:r>
        <w:rPr>
          <w:rFonts w:hint="default" w:ascii="仿宋_GB2312" w:hAnsi="仿宋_GB2312" w:eastAsia="仿宋_GB2312" w:cs="仿宋_GB2312"/>
          <w:sz w:val="32"/>
          <w:szCs w:val="32"/>
          <w:lang w:val="en-US" w:eastAsia="zh-CN"/>
        </w:rPr>
        <w:t>认真落实每</w:t>
      </w:r>
      <w:r>
        <w:rPr>
          <w:rFonts w:hint="eastAsia" w:ascii="仿宋_GB2312" w:hAnsi="仿宋_GB2312" w:eastAsia="仿宋_GB2312" w:cs="仿宋_GB2312"/>
          <w:sz w:val="32"/>
          <w:szCs w:val="32"/>
          <w:lang w:val="en-US" w:eastAsia="zh-CN"/>
        </w:rPr>
        <w:t>周</w:t>
      </w:r>
      <w:r>
        <w:rPr>
          <w:rFonts w:hint="default" w:ascii="仿宋_GB2312" w:hAnsi="仿宋_GB2312" w:eastAsia="仿宋_GB2312" w:cs="仿宋_GB2312"/>
          <w:sz w:val="32"/>
          <w:szCs w:val="32"/>
          <w:lang w:val="en-US" w:eastAsia="zh-CN"/>
        </w:rPr>
        <w:t>区长活动安排制度和</w:t>
      </w:r>
      <w:r>
        <w:rPr>
          <w:rFonts w:hint="eastAsia" w:ascii="仿宋_GB2312" w:hAnsi="仿宋_GB2312" w:eastAsia="仿宋_GB2312" w:cs="仿宋_GB2312"/>
          <w:sz w:val="32"/>
          <w:szCs w:val="32"/>
          <w:lang w:val="en-US" w:eastAsia="zh-CN"/>
        </w:rPr>
        <w:t>每月</w:t>
      </w:r>
      <w:r>
        <w:rPr>
          <w:rFonts w:hint="default" w:ascii="仿宋_GB2312" w:hAnsi="仿宋_GB2312" w:eastAsia="仿宋_GB2312" w:cs="仿宋_GB2312"/>
          <w:sz w:val="32"/>
          <w:szCs w:val="32"/>
          <w:lang w:val="en-US" w:eastAsia="zh-CN"/>
        </w:rPr>
        <w:t>区政府工作动态</w:t>
      </w:r>
      <w:r>
        <w:rPr>
          <w:rFonts w:hint="eastAsia" w:ascii="仿宋_GB2312" w:hAnsi="仿宋_GB2312" w:eastAsia="仿宋_GB2312" w:cs="仿宋_GB2312"/>
          <w:sz w:val="32"/>
          <w:szCs w:val="32"/>
          <w:lang w:val="en-US" w:eastAsia="zh-CN"/>
        </w:rPr>
        <w:t>汇报</w:t>
      </w:r>
      <w:r>
        <w:rPr>
          <w:rFonts w:hint="default" w:ascii="仿宋_GB2312" w:hAnsi="仿宋_GB2312" w:eastAsia="仿宋_GB2312" w:cs="仿宋_GB2312"/>
          <w:sz w:val="32"/>
          <w:szCs w:val="32"/>
          <w:lang w:val="en-US" w:eastAsia="zh-CN"/>
        </w:rPr>
        <w:t>制度，协助区政府领导掌握下情，周密服务保障区政府领导调研</w:t>
      </w:r>
      <w:r>
        <w:rPr>
          <w:rFonts w:hint="eastAsia" w:ascii="仿宋_GB2312" w:hAnsi="仿宋_GB2312" w:eastAsia="仿宋_GB2312" w:cs="仿宋_GB2312"/>
          <w:sz w:val="32"/>
          <w:szCs w:val="32"/>
          <w:lang w:val="en-US" w:eastAsia="zh-CN"/>
        </w:rPr>
        <w:t>视察督导等各类活动</w:t>
      </w:r>
      <w:r>
        <w:rPr>
          <w:rFonts w:hint="default" w:ascii="仿宋_GB2312" w:hAnsi="仿宋_GB2312" w:eastAsia="仿宋_GB2312" w:cs="仿宋_GB2312"/>
          <w:sz w:val="32"/>
          <w:szCs w:val="32"/>
          <w:lang w:val="en-US" w:eastAsia="zh-CN"/>
        </w:rPr>
        <w:t>，牵头区政府各部门严格执行政府日常运转相关工作制度，</w:t>
      </w:r>
      <w:r>
        <w:rPr>
          <w:rFonts w:hint="eastAsia" w:ascii="仿宋_GB2312" w:hAnsi="仿宋_GB2312" w:eastAsia="仿宋_GB2312" w:cs="仿宋_GB2312"/>
          <w:sz w:val="32"/>
          <w:szCs w:val="32"/>
          <w:lang w:val="en-US" w:eastAsia="zh-CN"/>
        </w:rPr>
        <w:t>及时高效利用微信工作群</w:t>
      </w:r>
      <w:r>
        <w:rPr>
          <w:rFonts w:hint="default" w:ascii="仿宋_GB2312" w:hAnsi="仿宋_GB2312" w:eastAsia="仿宋_GB2312" w:cs="仿宋_GB2312"/>
          <w:sz w:val="32"/>
          <w:szCs w:val="32"/>
          <w:lang w:val="en-US" w:eastAsia="zh-CN"/>
        </w:rPr>
        <w:t>，积极主动对接区委、</w:t>
      </w:r>
      <w:r>
        <w:rPr>
          <w:rFonts w:hint="eastAsia" w:ascii="仿宋_GB2312" w:hAnsi="仿宋_GB2312" w:eastAsia="仿宋_GB2312" w:cs="仿宋_GB2312"/>
          <w:sz w:val="32"/>
          <w:szCs w:val="32"/>
          <w:lang w:val="en-US" w:eastAsia="zh-CN"/>
        </w:rPr>
        <w:t>区</w:t>
      </w:r>
      <w:r>
        <w:rPr>
          <w:rFonts w:hint="default" w:ascii="仿宋_GB2312" w:hAnsi="仿宋_GB2312" w:eastAsia="仿宋_GB2312" w:cs="仿宋_GB2312"/>
          <w:sz w:val="32"/>
          <w:szCs w:val="32"/>
          <w:lang w:val="en-US" w:eastAsia="zh-CN"/>
        </w:rPr>
        <w:t>人大、</w:t>
      </w:r>
      <w:r>
        <w:rPr>
          <w:rFonts w:hint="eastAsia" w:ascii="仿宋_GB2312" w:hAnsi="仿宋_GB2312" w:eastAsia="仿宋_GB2312" w:cs="仿宋_GB2312"/>
          <w:sz w:val="32"/>
          <w:szCs w:val="32"/>
          <w:lang w:val="en-US" w:eastAsia="zh-CN"/>
        </w:rPr>
        <w:t>区</w:t>
      </w:r>
      <w:r>
        <w:rPr>
          <w:rFonts w:hint="default" w:ascii="仿宋_GB2312" w:hAnsi="仿宋_GB2312" w:eastAsia="仿宋_GB2312" w:cs="仿宋_GB2312"/>
          <w:sz w:val="32"/>
          <w:szCs w:val="32"/>
          <w:lang w:val="en-US" w:eastAsia="zh-CN"/>
        </w:rPr>
        <w:t>政协办公室及其他部门，第一时间掌握各类重要信息、协调各项重要工作，积极调动区政府各方力量做好重大活动、重要会议的</w:t>
      </w:r>
      <w:r>
        <w:rPr>
          <w:rFonts w:hint="eastAsia" w:ascii="仿宋_GB2312" w:hAnsi="仿宋_GB2312" w:eastAsia="仿宋_GB2312" w:cs="仿宋_GB2312"/>
          <w:sz w:val="32"/>
          <w:szCs w:val="32"/>
          <w:lang w:val="en-US" w:eastAsia="zh-CN"/>
        </w:rPr>
        <w:t>统筹协调和</w:t>
      </w:r>
      <w:r>
        <w:rPr>
          <w:rFonts w:hint="default" w:ascii="仿宋_GB2312" w:hAnsi="仿宋_GB2312" w:eastAsia="仿宋_GB2312" w:cs="仿宋_GB2312"/>
          <w:sz w:val="32"/>
          <w:szCs w:val="32"/>
          <w:lang w:val="en-US" w:eastAsia="zh-CN"/>
        </w:rPr>
        <w:t>组织安排工作。</w:t>
      </w:r>
      <w:r>
        <w:rPr>
          <w:rFonts w:hint="eastAsia" w:ascii="仿宋_GB2312" w:hAnsi="仿宋_GB2312" w:eastAsia="仿宋_GB2312" w:cs="仿宋_GB2312"/>
          <w:b/>
          <w:bCs/>
          <w:sz w:val="32"/>
          <w:szCs w:val="32"/>
          <w:lang w:val="en-US" w:eastAsia="zh-CN"/>
        </w:rPr>
        <w:t>二是抓好整治形式主义有力。</w:t>
      </w:r>
      <w:r>
        <w:rPr>
          <w:rFonts w:hint="eastAsia" w:ascii="仿宋_GB2312" w:hAnsi="仿宋_GB2312" w:eastAsia="仿宋_GB2312" w:cs="仿宋_GB2312"/>
          <w:sz w:val="32"/>
          <w:szCs w:val="32"/>
          <w:lang w:val="en-US" w:eastAsia="zh-CN"/>
        </w:rPr>
        <w:t>认真组织办公室同志学习贯彻落实省、市关于整治形式主义、为基层减负相关工作会议精神，精简办文办会，全面推行无忧督查，进一步提高抓落实质效。</w:t>
      </w:r>
      <w:r>
        <w:rPr>
          <w:rFonts w:hint="eastAsia" w:ascii="仿宋_GB2312" w:hAnsi="仿宋_GB2312" w:eastAsia="仿宋_GB2312" w:cs="仿宋_GB2312"/>
          <w:b/>
          <w:bCs/>
          <w:sz w:val="32"/>
          <w:szCs w:val="32"/>
          <w:lang w:val="en-US" w:eastAsia="zh-CN"/>
        </w:rPr>
        <w:t>三是落实值班值守有序。</w:t>
      </w:r>
      <w:r>
        <w:rPr>
          <w:rFonts w:hint="eastAsia" w:ascii="仿宋_GB2312" w:hAnsi="仿宋_GB2312" w:eastAsia="仿宋_GB2312" w:cs="仿宋_GB2312"/>
          <w:sz w:val="32"/>
          <w:szCs w:val="32"/>
          <w:lang w:val="en-US" w:eastAsia="zh-CN"/>
        </w:rPr>
        <w:t>区总值班室坚持履行职责，24小时在岗在位，严格按照省委、省政府及市委、市政府节假日值班制度，落实3级值班制度，县级领导带班，副县级值班，科级值班员值班。区政府总值班室共接市电话通知、传真、文件等信息900条左右，突发事件12起，其中向市政府上报突发事件12起。及时处置雁峰区宇元万象城跳楼事件、高兴小学学生跳楼事件，不定期督查各镇、街道值班情况，做到重要社会动态及突发事件认真、准确记录，及时上报处理。</w:t>
      </w:r>
      <w:r>
        <w:rPr>
          <w:rFonts w:hint="eastAsia" w:ascii="楷体" w:hAnsi="楷体" w:eastAsia="楷体" w:cs="楷体"/>
          <w:b/>
          <w:bCs/>
          <w:kern w:val="2"/>
          <w:sz w:val="32"/>
          <w:szCs w:val="32"/>
          <w:lang w:val="en-US" w:eastAsia="zh-CN" w:bidi="ar-SA"/>
        </w:rPr>
        <w:t>②督察督办扎实有效。</w:t>
      </w:r>
      <w:r>
        <w:rPr>
          <w:rFonts w:hint="default" w:ascii="仿宋_GB2312" w:hAnsi="仿宋_GB2312" w:eastAsia="仿宋_GB2312" w:cs="仿宋_GB2312"/>
          <w:kern w:val="2"/>
          <w:sz w:val="32"/>
          <w:szCs w:val="32"/>
          <w:lang w:val="en-US" w:eastAsia="zh-CN" w:bidi="ar-SA"/>
        </w:rPr>
        <w:t>区政府督查室紧紧围绕区政府重大决策和重要部署，不断创新督查工作思路、改进督查方式、</w:t>
      </w:r>
      <w:r>
        <w:rPr>
          <w:rFonts w:hint="eastAsia" w:ascii="仿宋_GB2312" w:hAnsi="仿宋_GB2312" w:eastAsia="仿宋_GB2312" w:cs="仿宋_GB2312"/>
          <w:kern w:val="2"/>
          <w:sz w:val="32"/>
          <w:szCs w:val="32"/>
          <w:lang w:val="en-US" w:eastAsia="zh-CN" w:bidi="ar-SA"/>
        </w:rPr>
        <w:t>拓宽</w:t>
      </w:r>
      <w:r>
        <w:rPr>
          <w:rFonts w:hint="default" w:ascii="仿宋_GB2312" w:hAnsi="仿宋_GB2312" w:eastAsia="仿宋_GB2312" w:cs="仿宋_GB2312"/>
          <w:kern w:val="2"/>
          <w:sz w:val="32"/>
          <w:szCs w:val="32"/>
          <w:lang w:val="en-US" w:eastAsia="zh-CN" w:bidi="ar-SA"/>
        </w:rPr>
        <w:t>督查视野，有计划、有重点、有针对性地开展各项督查活动</w:t>
      </w:r>
      <w:r>
        <w:rPr>
          <w:rFonts w:hint="eastAsia" w:ascii="仿宋_GB2312" w:hAnsi="仿宋_GB2312" w:eastAsia="仿宋_GB2312" w:cs="仿宋_GB2312"/>
          <w:kern w:val="2"/>
          <w:sz w:val="32"/>
          <w:szCs w:val="32"/>
          <w:lang w:val="en-US" w:eastAsia="zh-CN" w:bidi="ar-SA"/>
        </w:rPr>
        <w:t>。</w:t>
      </w:r>
      <w:r>
        <w:rPr>
          <w:rFonts w:hint="eastAsia" w:ascii="仿宋_GB2312" w:hAnsi="仿宋_GB2312" w:eastAsia="仿宋_GB2312" w:cs="仿宋_GB2312"/>
          <w:b/>
          <w:bCs/>
          <w:sz w:val="32"/>
          <w:szCs w:val="32"/>
          <w:lang w:val="en-US" w:eastAsia="zh-CN"/>
        </w:rPr>
        <w:t>一是立足全局开展督查。</w:t>
      </w:r>
      <w:r>
        <w:rPr>
          <w:rFonts w:hint="eastAsia" w:ascii="仿宋_GB2312" w:hAnsi="仿宋_GB2312" w:eastAsia="仿宋_GB2312" w:cs="仿宋_GB2312"/>
          <w:kern w:val="2"/>
          <w:sz w:val="32"/>
          <w:szCs w:val="32"/>
          <w:lang w:val="en-US" w:eastAsia="zh-CN" w:bidi="ar-SA"/>
        </w:rPr>
        <w:t>将《政府工作报告》细化梳理为67项重点内容，其中区政府工作报告共65项，市政府工作报告共2项，并逐一分解任务，明确牵头单位和主要责任人，定期跟踪。</w:t>
      </w:r>
      <w:r>
        <w:rPr>
          <w:rFonts w:hint="eastAsia" w:ascii="仿宋_GB2312" w:hAnsi="仿宋_GB2312" w:eastAsia="仿宋_GB2312" w:cs="仿宋_GB2312"/>
          <w:b/>
          <w:bCs/>
          <w:sz w:val="32"/>
          <w:szCs w:val="32"/>
          <w:lang w:val="en-US" w:eastAsia="zh-CN"/>
        </w:rPr>
        <w:t>二是突出重点开展督查。</w:t>
      </w:r>
      <w:r>
        <w:rPr>
          <w:rFonts w:hint="eastAsia" w:ascii="仿宋_GB2312" w:hAnsi="仿宋_GB2312" w:eastAsia="仿宋_GB2312" w:cs="仿宋_GB2312"/>
          <w:kern w:val="2"/>
          <w:sz w:val="32"/>
          <w:szCs w:val="32"/>
          <w:lang w:val="en-US" w:eastAsia="zh-CN" w:bidi="ar-SA"/>
        </w:rPr>
        <w:t>加大重点事项跟踪督办考核力度，细化项目台帐，层层压实责任，要求各责任单位和部门挂图作战，明确时间节点，及时发现和协调解决项目推进过程中存在的问题。</w:t>
      </w:r>
      <w:r>
        <w:rPr>
          <w:rFonts w:hint="eastAsia" w:ascii="仿宋_GB2312" w:hAnsi="仿宋_GB2312" w:eastAsia="仿宋_GB2312" w:cs="仿宋_GB2312"/>
          <w:b/>
          <w:bCs/>
          <w:sz w:val="32"/>
          <w:szCs w:val="32"/>
          <w:lang w:val="en-US" w:eastAsia="zh-CN"/>
        </w:rPr>
        <w:t>三是围绕批示指示抓督查。</w:t>
      </w:r>
      <w:r>
        <w:rPr>
          <w:rFonts w:hint="eastAsia" w:ascii="仿宋_GB2312" w:hAnsi="仿宋_GB2312" w:eastAsia="仿宋_GB2312" w:cs="仿宋_GB2312"/>
          <w:kern w:val="2"/>
          <w:sz w:val="32"/>
          <w:szCs w:val="32"/>
          <w:lang w:val="en-US" w:eastAsia="zh-CN" w:bidi="ar-SA"/>
        </w:rPr>
        <w:t>积极完成区长交办事项，及时收集、汇报政府班子碰头会工作落实情况；认真督办重点民生实事、安全生产、重点工程、环境整治等多项工作；</w:t>
      </w:r>
      <w:r>
        <w:rPr>
          <w:rFonts w:hint="eastAsia" w:ascii="Times New Roman" w:hAnsi="Times New Roman" w:eastAsia="仿宋_GB2312" w:cs="Times New Roman"/>
          <w:sz w:val="32"/>
          <w:szCs w:val="32"/>
        </w:rPr>
        <w:t>共编发</w:t>
      </w:r>
      <w:r>
        <w:rPr>
          <w:rFonts w:hint="eastAsia" w:ascii="Times New Roman" w:hAnsi="Times New Roman" w:eastAsia="仿宋_GB2312" w:cs="Times New Roman"/>
          <w:sz w:val="32"/>
          <w:szCs w:val="32"/>
          <w:lang w:eastAsia="zh-CN"/>
        </w:rPr>
        <w:t>旅发大会南岳第一峰督查通报</w:t>
      </w:r>
      <w:r>
        <w:rPr>
          <w:rFonts w:hint="eastAsia" w:ascii="Times New Roman" w:hAnsi="Times New Roman" w:eastAsia="仿宋_GB2312" w:cs="Times New Roman"/>
          <w:sz w:val="32"/>
          <w:szCs w:val="32"/>
          <w:lang w:val="en-US" w:eastAsia="zh-CN"/>
        </w:rPr>
        <w:t>九期</w:t>
      </w:r>
      <w:r>
        <w:rPr>
          <w:rFonts w:hint="eastAsia" w:ascii="Times New Roman" w:hAnsi="Times New Roman" w:eastAsia="仿宋_GB2312" w:cs="Times New Roman"/>
          <w:sz w:val="32"/>
          <w:szCs w:val="32"/>
          <w:lang w:eastAsia="zh-CN"/>
        </w:rPr>
        <w:t>，督促各单位</w:t>
      </w:r>
      <w:r>
        <w:rPr>
          <w:rFonts w:hint="eastAsia" w:ascii="Times New Roman" w:hAnsi="Times New Roman" w:eastAsia="仿宋_GB2312" w:cs="Times New Roman"/>
          <w:sz w:val="32"/>
          <w:szCs w:val="32"/>
          <w:lang w:val="en-US" w:eastAsia="zh-CN"/>
        </w:rPr>
        <w:t>不折不扣地</w:t>
      </w:r>
      <w:r>
        <w:rPr>
          <w:rFonts w:hint="eastAsia" w:ascii="Times New Roman" w:hAnsi="Times New Roman" w:eastAsia="仿宋_GB2312" w:cs="Times New Roman"/>
          <w:sz w:val="32"/>
          <w:szCs w:val="32"/>
          <w:lang w:eastAsia="zh-CN"/>
        </w:rPr>
        <w:t>落实督查计划，</w:t>
      </w:r>
      <w:r>
        <w:rPr>
          <w:rFonts w:hint="eastAsia" w:ascii="Times New Roman" w:hAnsi="Times New Roman" w:eastAsia="仿宋_GB2312" w:cs="Times New Roman"/>
          <w:sz w:val="32"/>
          <w:szCs w:val="32"/>
          <w:lang w:val="en-US" w:eastAsia="zh-CN"/>
        </w:rPr>
        <w:t>顺利完成10月份</w:t>
      </w:r>
      <w:r>
        <w:rPr>
          <w:rFonts w:hint="eastAsia" w:ascii="Times New Roman" w:hAnsi="Times New Roman" w:eastAsia="仿宋_GB2312" w:cs="Times New Roman"/>
          <w:sz w:val="32"/>
          <w:szCs w:val="32"/>
          <w:lang w:eastAsia="zh-CN"/>
        </w:rPr>
        <w:t>市政府</w:t>
      </w:r>
      <w:r>
        <w:rPr>
          <w:rFonts w:hint="eastAsia" w:ascii="Times New Roman" w:hAnsi="Times New Roman" w:eastAsia="仿宋_GB2312" w:cs="Times New Roman"/>
          <w:sz w:val="32"/>
          <w:szCs w:val="32"/>
          <w:lang w:val="en-US" w:eastAsia="zh-CN"/>
        </w:rPr>
        <w:t>重点工作综合</w:t>
      </w:r>
      <w:r>
        <w:rPr>
          <w:rFonts w:hint="eastAsia" w:ascii="Times New Roman" w:hAnsi="Times New Roman" w:eastAsia="仿宋_GB2312" w:cs="Times New Roman"/>
          <w:sz w:val="32"/>
          <w:szCs w:val="32"/>
          <w:lang w:eastAsia="zh-CN"/>
        </w:rPr>
        <w:t>督查，</w:t>
      </w:r>
      <w:r>
        <w:rPr>
          <w:rFonts w:hint="eastAsia" w:ascii="Times New Roman" w:hAnsi="Times New Roman" w:eastAsia="仿宋_GB2312" w:cs="Times New Roman"/>
          <w:sz w:val="32"/>
          <w:szCs w:val="32"/>
          <w:lang w:val="en-US" w:eastAsia="zh-CN"/>
        </w:rPr>
        <w:t>极力</w:t>
      </w:r>
      <w:r>
        <w:rPr>
          <w:rFonts w:hint="eastAsia" w:ascii="Times New Roman" w:hAnsi="Times New Roman" w:eastAsia="仿宋_GB2312" w:cs="Times New Roman"/>
          <w:sz w:val="32"/>
          <w:szCs w:val="32"/>
          <w:lang w:eastAsia="zh-CN"/>
        </w:rPr>
        <w:t>配合</w:t>
      </w:r>
      <w:r>
        <w:rPr>
          <w:rFonts w:hint="eastAsia" w:ascii="Times New Roman" w:hAnsi="Times New Roman" w:eastAsia="仿宋_GB2312" w:cs="Times New Roman"/>
          <w:sz w:val="32"/>
          <w:szCs w:val="32"/>
          <w:lang w:val="en-US" w:eastAsia="zh-CN"/>
        </w:rPr>
        <w:t>区纪委、区委督查室开展“</w:t>
      </w:r>
      <w:r>
        <w:rPr>
          <w:rFonts w:hint="eastAsia" w:ascii="Times New Roman" w:hAnsi="Times New Roman" w:eastAsia="仿宋_GB2312" w:cs="Times New Roman"/>
          <w:sz w:val="32"/>
          <w:szCs w:val="32"/>
          <w:lang w:eastAsia="zh-CN"/>
        </w:rPr>
        <w:t>三合一</w:t>
      </w:r>
      <w:r>
        <w:rPr>
          <w:rFonts w:hint="eastAsia"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lang w:eastAsia="zh-CN"/>
        </w:rPr>
        <w:t>督查，对发现的问题及时</w:t>
      </w:r>
      <w:r>
        <w:rPr>
          <w:rFonts w:hint="default" w:ascii="Times New Roman" w:hAnsi="Times New Roman" w:eastAsia="仿宋_GB2312" w:cs="Times New Roman"/>
          <w:sz w:val="32"/>
          <w:szCs w:val="32"/>
        </w:rPr>
        <w:t>协调</w:t>
      </w:r>
      <w:r>
        <w:rPr>
          <w:rFonts w:hint="eastAsia" w:ascii="Times New Roman" w:hAnsi="Times New Roman" w:eastAsia="仿宋_GB2312" w:cs="Times New Roman"/>
          <w:sz w:val="32"/>
          <w:szCs w:val="32"/>
          <w:lang w:eastAsia="zh-CN"/>
        </w:rPr>
        <w:t>解决</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rPr>
        <w:t>高效完成领导批办事项</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积极响应领导指示，</w:t>
      </w:r>
      <w:r>
        <w:rPr>
          <w:rFonts w:hint="eastAsia" w:ascii="Times New Roman" w:hAnsi="Times New Roman" w:eastAsia="仿宋_GB2312" w:cs="Times New Roman"/>
          <w:sz w:val="32"/>
          <w:szCs w:val="32"/>
          <w:lang w:eastAsia="zh-CN"/>
        </w:rPr>
        <w:t>全年督促落实区长调研</w:t>
      </w:r>
      <w:r>
        <w:rPr>
          <w:rFonts w:hint="eastAsia" w:ascii="Times New Roman" w:hAnsi="Times New Roman" w:eastAsia="仿宋_GB2312" w:cs="Times New Roman"/>
          <w:sz w:val="32"/>
          <w:szCs w:val="32"/>
          <w:lang w:val="en-US" w:eastAsia="zh-CN"/>
        </w:rPr>
        <w:t>5次，民生实事督查每月一次</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各类交办事项</w:t>
      </w:r>
      <w:r>
        <w:rPr>
          <w:rFonts w:hint="eastAsia" w:ascii="Times New Roman" w:hAnsi="Times New Roman" w:eastAsia="仿宋_GB2312" w:cs="Times New Roman"/>
          <w:sz w:val="32"/>
          <w:szCs w:val="32"/>
          <w:lang w:val="en-US" w:eastAsia="zh-CN"/>
        </w:rPr>
        <w:t>均已办结</w:t>
      </w:r>
      <w:r>
        <w:rPr>
          <w:rFonts w:hint="eastAsia" w:ascii="Times New Roman" w:hAnsi="Times New Roman" w:eastAsia="仿宋_GB2312" w:cs="Times New Roman"/>
          <w:sz w:val="32"/>
          <w:szCs w:val="32"/>
          <w:lang w:eastAsia="zh-CN"/>
        </w:rPr>
        <w:t>。</w:t>
      </w:r>
      <w:r>
        <w:rPr>
          <w:rFonts w:hint="eastAsia" w:ascii="仿宋_GB2312" w:hAnsi="仿宋_GB2312" w:eastAsia="仿宋_GB2312" w:cs="仿宋_GB2312"/>
          <w:kern w:val="2"/>
          <w:sz w:val="32"/>
          <w:szCs w:val="32"/>
          <w:lang w:val="en-US" w:eastAsia="zh-CN" w:bidi="ar-SA"/>
        </w:rPr>
        <w:t>圆满完成了省政府、市政府督查室交办事项，督促各部门做好无扰督查系统账号的创建工作，及时报送市政府重点工作落实情况、市政府主要领导会议议定事项及交办事项的落实情况。</w:t>
      </w:r>
      <w:r>
        <w:rPr>
          <w:rFonts w:hint="eastAsia" w:ascii="楷体" w:hAnsi="楷体" w:eastAsia="楷体" w:cs="楷体"/>
          <w:b/>
          <w:bCs/>
          <w:kern w:val="2"/>
          <w:sz w:val="32"/>
          <w:szCs w:val="32"/>
          <w:lang w:val="en-US" w:eastAsia="zh-CN" w:bidi="ar-SA"/>
        </w:rPr>
        <w:t>③重点工作统筹推进。</w:t>
      </w:r>
      <w:r>
        <w:rPr>
          <w:rFonts w:hint="eastAsia" w:ascii="仿宋_GB2312" w:hAnsi="仿宋_GB2312" w:eastAsia="仿宋_GB2312" w:cs="仿宋_GB2312"/>
          <w:b/>
          <w:bCs/>
          <w:sz w:val="32"/>
          <w:szCs w:val="32"/>
          <w:lang w:val="en-US" w:eastAsia="zh-CN"/>
        </w:rPr>
        <w:t>一是禁毒工作。</w:t>
      </w:r>
      <w:r>
        <w:rPr>
          <w:rFonts w:hint="eastAsia" w:ascii="仿宋_GB2312" w:hAnsi="仿宋_GB2312" w:eastAsia="仿宋_GB2312" w:cs="仿宋_GB2312"/>
          <w:kern w:val="2"/>
          <w:sz w:val="32"/>
          <w:szCs w:val="32"/>
          <w:lang w:val="en-US" w:eastAsia="zh-CN" w:bidi="ar-SA"/>
        </w:rPr>
        <w:t>落实区委、区政府主要领导禁毒工作一月一调度，将禁毒工作纳入区委平安建设工作，今年禁毒工作绩效考核在全市排名第一。加大宣传教育，配合协助衡阳市禁毒委在市图书馆承办“书香伴我，以读拒毒”活动，深入推进禁毒宣传“六进”活动，组织禁毒志愿者走进学校、社区、企业、家庭、场所、农村，联合雁南关爱之家开展文艺演出12场，发布禁毒工作动态、禁毒知识新闻稿件近40余篇。加强对易制毒化学品和精麻药品的管理，严格落实审批制度，对辖区范围内有使用麻精药品资质的4所医疗机构和有易制毒化学品使用资质的2家企业进行督查指导，对44家娱乐场所及重点部位不定期开展污水毒品检测。完成298名社戒社康人员、157名社会面吸毒人员的毛发检测，落实帮扶救助，新纳入27名戒毒人员社会救助人员，累计发放救助金113180元，实施临时救助74人次，发放临时救助金56809.8元。累计接收社区戒毒康复人员14名，执行率达到100%，管控率达到100%。</w:t>
      </w:r>
      <w:r>
        <w:rPr>
          <w:rFonts w:hint="eastAsia" w:ascii="仿宋_GB2312" w:hAnsi="仿宋_GB2312" w:eastAsia="仿宋_GB2312" w:cs="仿宋_GB2312"/>
          <w:b/>
          <w:bCs/>
          <w:sz w:val="32"/>
          <w:szCs w:val="32"/>
          <w:lang w:val="en-US" w:eastAsia="zh-CN"/>
        </w:rPr>
        <w:t>二是治超工作。</w:t>
      </w:r>
      <w:r>
        <w:rPr>
          <w:rFonts w:hint="eastAsia" w:ascii="仿宋_GB2312" w:hAnsi="仿宋_GB2312" w:eastAsia="仿宋_GB2312" w:cs="仿宋_GB2312"/>
          <w:kern w:val="2"/>
          <w:sz w:val="32"/>
          <w:szCs w:val="32"/>
          <w:lang w:val="en-US" w:eastAsia="zh-CN" w:bidi="ar-SA"/>
        </w:rPr>
        <w:t>加大对重点区域、重点路段、重点货运车辆违法行为的打击力度，牵头开展了顽瘴痼疾治超集中整治、百吨王整治、凌晨突击整治、“小吨大标”集中整治、非法改拼装车辆超限超载运输集中整治行动72次，共发放治超工作宣传手册5000本，查获路面治超超限超载货运车辆49台，非现场执法超限超载车辆50台，处罚金额约273000万元。对全年运输量达到15万吨的4家混凝土重点源头企业多次进行装载、过磅、放行、记录等全过程业务指导、督导。组织召开货运源头治超信息平台建设推进会，全面完成重点源头企业管理任务。强化科技治超力度，加装了“同框同屏”自动抓拍系统，在市治超办的指导下，牵头制定全市“非限”执法标准化文书，得到市治超办的充分肯定。</w:t>
      </w:r>
      <w:r>
        <w:rPr>
          <w:rFonts w:hint="eastAsia" w:ascii="仿宋_GB2312" w:hAnsi="仿宋_GB2312" w:eastAsia="仿宋_GB2312" w:cs="仿宋_GB2312"/>
          <w:b/>
          <w:bCs/>
          <w:sz w:val="32"/>
          <w:szCs w:val="32"/>
          <w:lang w:val="en-US" w:eastAsia="zh-CN"/>
        </w:rPr>
        <w:t>三是金融</w:t>
      </w:r>
      <w:r>
        <w:rPr>
          <w:rFonts w:hint="default" w:ascii="仿宋_GB2312" w:hAnsi="仿宋_GB2312" w:eastAsia="仿宋_GB2312" w:cs="仿宋_GB2312"/>
          <w:b/>
          <w:bCs/>
          <w:sz w:val="32"/>
          <w:szCs w:val="32"/>
          <w:lang w:val="en-US" w:eastAsia="zh-CN"/>
        </w:rPr>
        <w:t>工作</w:t>
      </w:r>
      <w:r>
        <w:rPr>
          <w:rFonts w:hint="eastAsia" w:ascii="仿宋_GB2312" w:hAnsi="仿宋_GB2312" w:eastAsia="仿宋_GB2312" w:cs="仿宋_GB2312"/>
          <w:b/>
          <w:bCs/>
          <w:sz w:val="32"/>
          <w:szCs w:val="32"/>
          <w:lang w:val="en-US" w:eastAsia="zh-CN"/>
        </w:rPr>
        <w:t>。</w:t>
      </w:r>
      <w:r>
        <w:rPr>
          <w:rFonts w:hint="eastAsia" w:ascii="仿宋_GB2312" w:hAnsi="仿宋_GB2312" w:eastAsia="仿宋_GB2312" w:cs="仿宋_GB2312"/>
          <w:kern w:val="2"/>
          <w:sz w:val="32"/>
          <w:szCs w:val="32"/>
          <w:lang w:val="en-US" w:eastAsia="zh-CN" w:bidi="ar-SA"/>
        </w:rPr>
        <w:t>深挖上市后备资源，完成康宁健康、康洁食品等4家上市培育企业情况表的填报收集工作，对恒飞电缆、南岳电控、康洁食品3家公司上市后备资源库进行申报审核。不断提升金融服务水平，与区发改局联合建立支持小微企业融资协调工作机制，全面开展“三送三解三优”行动服务企业，摸排企业资金需求，常态化为企业送政策、解难题、优服务，收集衡阳市各大银行金融产品、政策，为企业融资贷款提供信息指引。不断防范化解金融风险，在全区开展“虚拟种养殖”“文旅”领域非法集资打击整治工作，组织开展防范和处置非法集资专项排查整治、民间投融资机构涉非涉稳风险排查、非法集资领域重点人员摸排、涉金融领域投资企业排查整顿等各项排查20余次，牵头集中注销疑似“云养鸡”市场主体2家，关停养鸡场1家，联合公安雁峰分局约谈风险经营主体2次，拆除非法集资门头广告2处。线上线下多形式开展金融风险防范宣传百余次，认真组织开展2024年防范非法集资集中宣传日活动，召开全区防范和处置非法集资工作会，对我区非法集资现状及未结案陈案进行研究协商，积极推动案件处置进度。今年年初，我区未结案陈案2起，截至年末，已结案1起，结案率达50%，其余1起陈案审理工作正在有序进行。</w:t>
      </w:r>
    </w:p>
    <w:p w14:paraId="5315006C">
      <w:pPr>
        <w:pStyle w:val="14"/>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0" w:afterAutospacing="0" w:line="560" w:lineRule="exact"/>
        <w:ind w:leftChars="0" w:right="0" w:rightChars="0" w:firstLine="643" w:firstLineChars="200"/>
        <w:jc w:val="both"/>
        <w:textAlignment w:val="auto"/>
        <w:rPr>
          <w:rFonts w:hint="eastAsia" w:ascii="黑体" w:hAnsi="黑体" w:eastAsia="黑体" w:cs="黑体"/>
          <w:b w:val="0"/>
          <w:bCs w:val="0"/>
          <w:i w:val="0"/>
          <w:iCs w:val="0"/>
          <w:color w:val="000000"/>
          <w:spacing w:val="0"/>
          <w:sz w:val="32"/>
          <w:szCs w:val="32"/>
          <w:vertAlign w:val="baseline"/>
          <w:lang w:eastAsia="zh-CN"/>
        </w:rPr>
      </w:pPr>
      <w:r>
        <w:rPr>
          <w:rFonts w:hint="eastAsia" w:ascii="楷体" w:hAnsi="楷体" w:eastAsia="楷体" w:cs="楷体"/>
          <w:b/>
          <w:bCs/>
          <w:sz w:val="32"/>
          <w:szCs w:val="32"/>
          <w:lang w:val="en-US" w:eastAsia="zh-CN"/>
        </w:rPr>
        <w:t>2、聚焦主责主业抓执行，</w:t>
      </w:r>
      <w:r>
        <w:rPr>
          <w:rFonts w:hint="default" w:ascii="楷体" w:hAnsi="楷体" w:eastAsia="楷体" w:cs="楷体"/>
          <w:b/>
          <w:bCs/>
          <w:sz w:val="32"/>
          <w:szCs w:val="32"/>
          <w:lang w:val="en" w:eastAsia="zh-CN"/>
        </w:rPr>
        <w:t>持续提升政治能力</w:t>
      </w:r>
      <w:r>
        <w:rPr>
          <w:rFonts w:hint="eastAsia" w:ascii="楷体" w:hAnsi="楷体" w:eastAsia="楷体" w:cs="楷体"/>
          <w:b/>
          <w:bCs/>
          <w:sz w:val="32"/>
          <w:szCs w:val="32"/>
          <w:lang w:val="en" w:eastAsia="zh-CN"/>
        </w:rPr>
        <w:t>。</w:t>
      </w:r>
      <w:r>
        <w:rPr>
          <w:rFonts w:hint="eastAsia" w:ascii="楷体" w:hAnsi="楷体" w:eastAsia="楷体" w:cs="楷体"/>
          <w:b/>
          <w:bCs/>
          <w:sz w:val="32"/>
          <w:szCs w:val="32"/>
          <w:lang w:val="en-US" w:eastAsia="zh-CN"/>
        </w:rPr>
        <w:t>①办文办会高质高效。</w:t>
      </w:r>
      <w:r>
        <w:rPr>
          <w:rFonts w:hint="default" w:ascii="仿宋_GB2312" w:hAnsi="仿宋_GB2312" w:eastAsia="仿宋_GB2312" w:cs="仿宋_GB2312"/>
          <w:sz w:val="32"/>
          <w:szCs w:val="32"/>
          <w:lang w:val="en" w:eastAsia="zh-CN"/>
        </w:rPr>
        <w:t>认真抓好会务统筹，精心组织政府全会、政府常务会、政府党组会、区长办公会和各类专题会议。认真审核会议议题，抓好会议前的各项准备工作，确保会议高质高效。累计组织区政府常务会</w:t>
      </w:r>
      <w:r>
        <w:rPr>
          <w:rFonts w:hint="eastAsia" w:ascii="仿宋_GB2312" w:hAnsi="仿宋_GB2312" w:eastAsia="仿宋_GB2312" w:cs="仿宋_GB2312"/>
          <w:sz w:val="32"/>
          <w:szCs w:val="32"/>
          <w:lang w:val="en-US" w:eastAsia="zh-CN"/>
        </w:rPr>
        <w:t>11</w:t>
      </w:r>
      <w:r>
        <w:rPr>
          <w:rFonts w:hint="default" w:ascii="仿宋_GB2312" w:hAnsi="仿宋_GB2312" w:eastAsia="仿宋_GB2312" w:cs="仿宋_GB2312"/>
          <w:sz w:val="32"/>
          <w:szCs w:val="32"/>
          <w:lang w:val="en" w:eastAsia="zh-CN"/>
        </w:rPr>
        <w:t>次、区政府党组会议</w:t>
      </w:r>
      <w:r>
        <w:rPr>
          <w:rFonts w:hint="eastAsia" w:ascii="仿宋_GB2312" w:hAnsi="仿宋_GB2312" w:eastAsia="仿宋_GB2312" w:cs="仿宋_GB2312"/>
          <w:sz w:val="32"/>
          <w:szCs w:val="32"/>
          <w:lang w:val="en-US" w:eastAsia="zh-CN"/>
        </w:rPr>
        <w:t>11</w:t>
      </w:r>
      <w:r>
        <w:rPr>
          <w:rFonts w:hint="default" w:ascii="仿宋_GB2312" w:hAnsi="仿宋_GB2312" w:eastAsia="仿宋_GB2312" w:cs="仿宋_GB2312"/>
          <w:sz w:val="32"/>
          <w:szCs w:val="32"/>
          <w:lang w:val="en" w:eastAsia="zh-CN"/>
        </w:rPr>
        <w:t>次、政府全体会议1次、区长办公会</w:t>
      </w:r>
      <w:r>
        <w:rPr>
          <w:rFonts w:hint="eastAsia" w:ascii="仿宋_GB2312" w:hAnsi="仿宋_GB2312" w:eastAsia="仿宋_GB2312" w:cs="仿宋_GB2312"/>
          <w:sz w:val="32"/>
          <w:szCs w:val="32"/>
          <w:lang w:val="en-US" w:eastAsia="zh-CN"/>
        </w:rPr>
        <w:t>7</w:t>
      </w:r>
      <w:r>
        <w:rPr>
          <w:rFonts w:hint="default" w:ascii="仿宋_GB2312" w:hAnsi="仿宋_GB2312" w:eastAsia="仿宋_GB2312" w:cs="仿宋_GB2312"/>
          <w:sz w:val="32"/>
          <w:szCs w:val="32"/>
          <w:lang w:val="en" w:eastAsia="zh-CN"/>
        </w:rPr>
        <w:t>次</w:t>
      </w:r>
      <w:r>
        <w:rPr>
          <w:rFonts w:hint="eastAsia" w:ascii="仿宋_GB2312" w:hAnsi="仿宋_GB2312" w:eastAsia="仿宋_GB2312" w:cs="仿宋_GB2312"/>
          <w:sz w:val="32"/>
          <w:szCs w:val="32"/>
          <w:lang w:val="en" w:eastAsia="zh-CN"/>
        </w:rPr>
        <w:t>、区长碰头会</w:t>
      </w:r>
      <w:r>
        <w:rPr>
          <w:rFonts w:hint="eastAsia" w:ascii="仿宋_GB2312" w:hAnsi="仿宋_GB2312" w:eastAsia="仿宋_GB2312" w:cs="仿宋_GB2312"/>
          <w:sz w:val="32"/>
          <w:szCs w:val="32"/>
          <w:lang w:val="en-US" w:eastAsia="zh-CN"/>
        </w:rPr>
        <w:t>7次</w:t>
      </w:r>
      <w:r>
        <w:rPr>
          <w:rFonts w:hint="default" w:ascii="仿宋_GB2312" w:hAnsi="仿宋_GB2312" w:eastAsia="仿宋_GB2312" w:cs="仿宋_GB2312"/>
          <w:sz w:val="32"/>
          <w:szCs w:val="32"/>
          <w:lang w:val="en" w:eastAsia="zh-CN"/>
        </w:rPr>
        <w:t>。</w:t>
      </w:r>
      <w:r>
        <w:rPr>
          <w:rFonts w:hint="eastAsia" w:ascii="仿宋_GB2312" w:hAnsi="仿宋_GB2312" w:eastAsia="仿宋_GB2312" w:cs="仿宋_GB2312"/>
          <w:sz w:val="32"/>
          <w:szCs w:val="32"/>
          <w:lang w:val="en" w:eastAsia="zh-CN"/>
        </w:rPr>
        <w:t>采</w:t>
      </w:r>
      <w:r>
        <w:rPr>
          <w:rFonts w:hint="eastAsia" w:ascii="仿宋_GB2312" w:hAnsi="仿宋_GB2312" w:eastAsia="仿宋_GB2312" w:cs="仿宋_GB2312"/>
          <w:sz w:val="32"/>
          <w:szCs w:val="32"/>
          <w:lang w:val="en-US" w:eastAsia="zh-CN"/>
        </w:rPr>
        <w:t>用区政府公文运转管理制度，明晰管理流程，严格管理程序，</w:t>
      </w:r>
      <w:r>
        <w:rPr>
          <w:rFonts w:hint="eastAsia" w:ascii="仿宋_GB2312" w:hAnsi="仿宋_GB2312" w:eastAsia="仿宋_GB2312" w:cs="仿宋_GB2312"/>
          <w:sz w:val="32"/>
          <w:szCs w:val="32"/>
          <w:lang w:val="en" w:eastAsia="zh-CN"/>
        </w:rPr>
        <w:t>保持文件运转顺畅，</w:t>
      </w:r>
      <w:r>
        <w:rPr>
          <w:rFonts w:hint="eastAsia" w:ascii="仿宋_GB2312" w:hAnsi="仿宋_GB2312" w:eastAsia="仿宋_GB2312" w:cs="仿宋_GB2312"/>
          <w:sz w:val="32"/>
          <w:szCs w:val="32"/>
          <w:lang w:val="en-US" w:eastAsia="zh-CN"/>
        </w:rPr>
        <w:t>对文件的存档采用分级、分类、编号登记管理。积极履行保密职责，</w:t>
      </w:r>
      <w:r>
        <w:rPr>
          <w:rFonts w:hint="eastAsia" w:ascii="仿宋_GB2312" w:hAnsi="仿宋_GB2312" w:eastAsia="仿宋_GB2312" w:cs="仿宋_GB2312"/>
          <w:sz w:val="32"/>
          <w:szCs w:val="32"/>
          <w:lang w:val="en" w:eastAsia="zh-CN"/>
        </w:rPr>
        <w:t>严格做好机要保密工作，建好公文传输内、外网，未发生泄密事件。全年以政府（办公室）名义下共发文</w:t>
      </w:r>
      <w:r>
        <w:rPr>
          <w:rFonts w:hint="eastAsia" w:ascii="仿宋_GB2312" w:hAnsi="仿宋_GB2312" w:eastAsia="仿宋_GB2312" w:cs="仿宋_GB2312"/>
          <w:sz w:val="32"/>
          <w:szCs w:val="32"/>
          <w:lang w:val="en-US" w:eastAsia="zh-CN"/>
        </w:rPr>
        <w:t>211</w:t>
      </w:r>
      <w:r>
        <w:rPr>
          <w:rFonts w:hint="eastAsia" w:ascii="仿宋_GB2312" w:hAnsi="仿宋_GB2312" w:eastAsia="仿宋_GB2312" w:cs="仿宋_GB2312"/>
          <w:sz w:val="32"/>
          <w:szCs w:val="32"/>
          <w:lang w:val="en" w:eastAsia="zh-CN"/>
        </w:rPr>
        <w:t>件,其中包括会议纪要</w:t>
      </w:r>
      <w:r>
        <w:rPr>
          <w:rFonts w:hint="eastAsia" w:ascii="仿宋_GB2312" w:hAnsi="仿宋_GB2312" w:eastAsia="仿宋_GB2312" w:cs="仿宋_GB2312"/>
          <w:sz w:val="32"/>
          <w:szCs w:val="32"/>
          <w:lang w:val="en-US" w:eastAsia="zh-CN"/>
        </w:rPr>
        <w:t>31</w:t>
      </w:r>
      <w:r>
        <w:rPr>
          <w:rFonts w:hint="eastAsia" w:ascii="仿宋_GB2312" w:hAnsi="仿宋_GB2312" w:eastAsia="仿宋_GB2312" w:cs="仿宋_GB2312"/>
          <w:sz w:val="32"/>
          <w:szCs w:val="32"/>
          <w:lang w:val="en" w:eastAsia="zh-CN"/>
        </w:rPr>
        <w:t>件，收文</w:t>
      </w:r>
      <w:r>
        <w:rPr>
          <w:rFonts w:hint="eastAsia" w:ascii="仿宋_GB2312" w:hAnsi="仿宋_GB2312" w:eastAsia="仿宋_GB2312" w:cs="仿宋_GB2312"/>
          <w:sz w:val="32"/>
          <w:szCs w:val="32"/>
          <w:lang w:val="en-US" w:eastAsia="zh-CN"/>
        </w:rPr>
        <w:t>875</w:t>
      </w:r>
      <w:r>
        <w:rPr>
          <w:rFonts w:hint="eastAsia" w:ascii="仿宋_GB2312" w:hAnsi="仿宋_GB2312" w:eastAsia="仿宋_GB2312" w:cs="仿宋_GB2312"/>
          <w:sz w:val="32"/>
          <w:szCs w:val="32"/>
          <w:lang w:val="en" w:eastAsia="zh-CN"/>
        </w:rPr>
        <w:t>件。</w:t>
      </w:r>
      <w:r>
        <w:rPr>
          <w:rFonts w:hint="default" w:ascii="楷体" w:hAnsi="楷体" w:eastAsia="楷体" w:cs="楷体"/>
          <w:b/>
          <w:bCs/>
          <w:sz w:val="32"/>
          <w:szCs w:val="32"/>
          <w:lang w:val="en" w:eastAsia="zh-CN"/>
        </w:rPr>
        <w:t>②</w:t>
      </w:r>
      <w:r>
        <w:rPr>
          <w:rFonts w:hint="default" w:ascii="楷体" w:hAnsi="楷体" w:eastAsia="楷体" w:cs="楷体"/>
          <w:b/>
          <w:bCs/>
          <w:sz w:val="32"/>
          <w:szCs w:val="32"/>
          <w:lang w:val="en-US" w:eastAsia="zh-CN"/>
        </w:rPr>
        <w:t>规范工作</w:t>
      </w:r>
      <w:r>
        <w:rPr>
          <w:rFonts w:hint="eastAsia" w:ascii="楷体" w:hAnsi="楷体" w:eastAsia="楷体" w:cs="楷体"/>
          <w:b/>
          <w:bCs/>
          <w:sz w:val="32"/>
          <w:szCs w:val="32"/>
          <w:lang w:val="en-US" w:eastAsia="zh-CN"/>
        </w:rPr>
        <w:t>运转有方</w:t>
      </w:r>
      <w:r>
        <w:rPr>
          <w:rFonts w:hint="default" w:ascii="楷体" w:hAnsi="楷体" w:eastAsia="楷体" w:cs="楷体"/>
          <w:b/>
          <w:bCs/>
          <w:sz w:val="32"/>
          <w:szCs w:val="32"/>
          <w:lang w:val="en" w:eastAsia="zh-CN"/>
        </w:rPr>
        <w:t>。</w:t>
      </w:r>
      <w:r>
        <w:rPr>
          <w:rFonts w:hint="default" w:ascii="仿宋_GB2312" w:hAnsi="仿宋_GB2312" w:eastAsia="仿宋_GB2312" w:cs="仿宋_GB2312"/>
          <w:sz w:val="32"/>
          <w:szCs w:val="32"/>
          <w:lang w:val="en" w:eastAsia="zh-CN"/>
        </w:rPr>
        <w:t>牢</w:t>
      </w:r>
      <w:r>
        <w:rPr>
          <w:rFonts w:hint="eastAsia" w:ascii="仿宋_GB2312" w:hAnsi="仿宋_GB2312" w:eastAsia="仿宋_GB2312" w:cs="仿宋_GB2312"/>
          <w:sz w:val="32"/>
          <w:szCs w:val="32"/>
          <w:lang w:val="en" w:eastAsia="zh-CN"/>
        </w:rPr>
        <w:t>固</w:t>
      </w:r>
      <w:r>
        <w:rPr>
          <w:rFonts w:hint="default" w:ascii="仿宋_GB2312" w:hAnsi="仿宋_GB2312" w:eastAsia="仿宋_GB2312" w:cs="仿宋_GB2312"/>
          <w:sz w:val="32"/>
          <w:szCs w:val="32"/>
          <w:lang w:val="en" w:eastAsia="zh-CN"/>
        </w:rPr>
        <w:t>树立</w:t>
      </w:r>
      <w:r>
        <w:rPr>
          <w:rFonts w:hint="eastAsia" w:ascii="仿宋_GB2312" w:hAnsi="仿宋_GB2312" w:eastAsia="仿宋_GB2312" w:cs="仿宋_GB2312"/>
          <w:sz w:val="32"/>
          <w:szCs w:val="32"/>
          <w:lang w:val="en" w:eastAsia="zh-CN"/>
        </w:rPr>
        <w:t>过紧日子思想，在正常保障办公室运转的情况下，</w:t>
      </w:r>
      <w:r>
        <w:rPr>
          <w:rFonts w:hint="eastAsia" w:ascii="仿宋_GB2312" w:hAnsi="仿宋_GB2312" w:eastAsia="仿宋_GB2312" w:cs="仿宋_GB2312"/>
          <w:sz w:val="32"/>
          <w:szCs w:val="32"/>
          <w:lang w:val="en-US" w:eastAsia="zh-CN"/>
        </w:rPr>
        <w:t>大幅压缩日常办公费用相关开支，</w:t>
      </w:r>
      <w:r>
        <w:rPr>
          <w:rFonts w:hint="default" w:ascii="仿宋_GB2312" w:hAnsi="仿宋_GB2312" w:eastAsia="仿宋_GB2312" w:cs="仿宋_GB2312"/>
          <w:sz w:val="32"/>
          <w:szCs w:val="32"/>
          <w:lang w:val="en-US" w:eastAsia="zh-CN"/>
        </w:rPr>
        <w:t>不断推动工作作风优化提升。同时，加强对政府序列各部门办公室的业务指导</w:t>
      </w:r>
      <w:r>
        <w:rPr>
          <w:rFonts w:hint="eastAsia" w:ascii="仿宋_GB2312" w:hAnsi="仿宋_GB2312" w:eastAsia="仿宋_GB2312" w:cs="仿宋_GB2312"/>
          <w:sz w:val="32"/>
          <w:szCs w:val="32"/>
          <w:lang w:val="en-US" w:eastAsia="zh-CN"/>
        </w:rPr>
        <w:t>、沟通联络，</w:t>
      </w:r>
      <w:r>
        <w:rPr>
          <w:rFonts w:hint="default" w:ascii="仿宋_GB2312" w:hAnsi="仿宋_GB2312" w:eastAsia="仿宋_GB2312" w:cs="仿宋_GB2312"/>
          <w:sz w:val="32"/>
          <w:szCs w:val="32"/>
          <w:lang w:val="en-US" w:eastAsia="zh-CN"/>
        </w:rPr>
        <w:t>有力保障政府各项工作精准规范高效运转</w:t>
      </w:r>
      <w:r>
        <w:rPr>
          <w:rFonts w:hint="eastAsia" w:ascii="仿宋_GB2312" w:hAnsi="仿宋_GB2312" w:eastAsia="仿宋_GB2312" w:cs="仿宋_GB2312"/>
          <w:sz w:val="32"/>
          <w:szCs w:val="32"/>
          <w:lang w:val="en-US" w:eastAsia="zh-CN"/>
        </w:rPr>
        <w:t>，开展了全区政府系统政务信息培训工作，切实提高各部门办公室业务水平。</w:t>
      </w:r>
      <w:r>
        <w:rPr>
          <w:rFonts w:hint="default" w:ascii="楷体" w:hAnsi="楷体" w:eastAsia="楷体" w:cs="楷体"/>
          <w:b/>
          <w:bCs/>
          <w:kern w:val="2"/>
          <w:sz w:val="32"/>
          <w:szCs w:val="32"/>
          <w:lang w:val="en" w:eastAsia="zh-CN" w:bidi="ar-SA"/>
        </w:rPr>
        <w:t>③</w:t>
      </w:r>
      <w:r>
        <w:rPr>
          <w:rFonts w:hint="eastAsia" w:ascii="楷体" w:hAnsi="楷体" w:eastAsia="楷体" w:cs="楷体"/>
          <w:b/>
          <w:bCs/>
          <w:kern w:val="2"/>
          <w:sz w:val="32"/>
          <w:szCs w:val="32"/>
          <w:lang w:val="en-US" w:eastAsia="zh-CN" w:bidi="ar-SA"/>
        </w:rPr>
        <w:t>政务信息力争上游。</w:t>
      </w:r>
      <w:r>
        <w:rPr>
          <w:rFonts w:hint="default" w:ascii="仿宋_GB2312" w:hAnsi="仿宋_GB2312" w:eastAsia="仿宋_GB2312" w:cs="仿宋_GB2312"/>
          <w:kern w:val="2"/>
          <w:sz w:val="32"/>
          <w:szCs w:val="32"/>
          <w:lang w:val="en-US" w:eastAsia="zh-CN" w:bidi="ar-SA"/>
        </w:rPr>
        <w:t>围绕重大政策、重要工作亮点、重大社情民意、热点难点反映、调研报告、综合汇报等找准信息要点，</w:t>
      </w:r>
      <w:r>
        <w:rPr>
          <w:rFonts w:hint="eastAsia" w:ascii="仿宋_GB2312" w:hAnsi="仿宋_GB2312" w:eastAsia="仿宋_GB2312" w:cs="仿宋_GB2312"/>
          <w:kern w:val="2"/>
          <w:sz w:val="32"/>
          <w:szCs w:val="32"/>
          <w:lang w:val="en-US" w:eastAsia="zh-CN" w:bidi="ar-SA"/>
        </w:rPr>
        <w:t>共</w:t>
      </w:r>
      <w:r>
        <w:rPr>
          <w:rFonts w:hint="default" w:ascii="仿宋_GB2312" w:hAnsi="仿宋_GB2312" w:eastAsia="仿宋_GB2312" w:cs="仿宋_GB2312"/>
          <w:kern w:val="2"/>
          <w:sz w:val="32"/>
          <w:szCs w:val="32"/>
          <w:lang w:val="en-US" w:eastAsia="zh-CN" w:bidi="ar-SA"/>
        </w:rPr>
        <w:t>累计</w:t>
      </w:r>
      <w:r>
        <w:rPr>
          <w:rFonts w:hint="eastAsia" w:ascii="仿宋_GB2312" w:hAnsi="仿宋_GB2312" w:eastAsia="仿宋_GB2312" w:cs="仿宋_GB2312"/>
          <w:kern w:val="2"/>
          <w:sz w:val="32"/>
          <w:szCs w:val="32"/>
          <w:lang w:val="en-US" w:eastAsia="zh-CN" w:bidi="ar-SA"/>
        </w:rPr>
        <w:t>报送市政府办政务信息34篇</w:t>
      </w:r>
      <w:r>
        <w:rPr>
          <w:rFonts w:hint="default" w:ascii="仿宋_GB2312" w:hAnsi="仿宋_GB2312" w:eastAsia="仿宋_GB2312" w:cs="仿宋_GB2312"/>
          <w:kern w:val="2"/>
          <w:sz w:val="32"/>
          <w:szCs w:val="32"/>
          <w:lang w:val="en-US" w:eastAsia="zh-CN" w:bidi="ar-SA"/>
        </w:rPr>
        <w:t>，为</w:t>
      </w:r>
      <w:r>
        <w:rPr>
          <w:rFonts w:hint="eastAsia" w:ascii="仿宋_GB2312" w:hAnsi="仿宋_GB2312" w:eastAsia="仿宋_GB2312" w:cs="仿宋_GB2312"/>
          <w:kern w:val="2"/>
          <w:sz w:val="32"/>
          <w:szCs w:val="32"/>
          <w:lang w:val="en-US" w:eastAsia="zh-CN" w:bidi="ar-SA"/>
        </w:rPr>
        <w:t>省、市</w:t>
      </w:r>
      <w:r>
        <w:rPr>
          <w:rFonts w:hint="default" w:ascii="仿宋_GB2312" w:hAnsi="仿宋_GB2312" w:eastAsia="仿宋_GB2312" w:cs="仿宋_GB2312"/>
          <w:kern w:val="2"/>
          <w:sz w:val="32"/>
          <w:szCs w:val="32"/>
          <w:lang w:val="en-US" w:eastAsia="zh-CN" w:bidi="ar-SA"/>
        </w:rPr>
        <w:t>政府科学决策提供了较好的信息服务。</w:t>
      </w:r>
      <w:r>
        <w:rPr>
          <w:rFonts w:hint="eastAsia" w:ascii="仿宋_GB2312" w:hAnsi="仿宋_GB2312" w:eastAsia="仿宋_GB2312" w:cs="仿宋_GB2312"/>
          <w:kern w:val="2"/>
          <w:sz w:val="32"/>
          <w:szCs w:val="32"/>
          <w:lang w:val="en-US" w:eastAsia="zh-CN" w:bidi="ar-SA"/>
        </w:rPr>
        <w:t>其中《衡阳市雁峰区“三个一”建设商圈法治驿站》被省政府办公厅采用。</w:t>
      </w:r>
      <w:r>
        <w:rPr>
          <w:rFonts w:hint="eastAsia" w:ascii="仿宋_GB2312" w:hAnsi="仿宋_GB2312" w:eastAsia="仿宋_GB2312" w:cs="仿宋_GB2312"/>
          <w:b/>
          <w:bCs/>
          <w:kern w:val="2"/>
          <w:sz w:val="32"/>
          <w:szCs w:val="32"/>
          <w:lang w:val="en-US" w:eastAsia="zh-CN" w:bidi="ar-SA"/>
        </w:rPr>
        <w:t>④建议提案办理有序推进。</w:t>
      </w:r>
      <w:r>
        <w:rPr>
          <w:rFonts w:hint="eastAsia" w:ascii="仿宋_GB2312" w:hAnsi="仿宋_GB2312" w:eastAsia="仿宋_GB2312" w:cs="仿宋_GB2312"/>
          <w:kern w:val="2"/>
          <w:sz w:val="32"/>
          <w:szCs w:val="32"/>
          <w:lang w:val="en-US" w:eastAsia="zh-CN" w:bidi="ar-SA"/>
        </w:rPr>
        <w:t>牢固树立为人民服务的宗旨意识，将代表建议办理工作作为推进全过程人民民主的重要内容，以高度负责的态度，推动人大代表建议的办理工作有序开展，完成</w:t>
      </w:r>
      <w:r>
        <w:rPr>
          <w:rFonts w:hint="default" w:ascii="仿宋_GB2312" w:hAnsi="仿宋_GB2312" w:eastAsia="仿宋_GB2312" w:cs="仿宋_GB2312"/>
          <w:kern w:val="2"/>
          <w:sz w:val="32"/>
          <w:szCs w:val="32"/>
          <w:lang w:val="en-US" w:eastAsia="zh-CN" w:bidi="ar-SA"/>
        </w:rPr>
        <w:t>区人大五届四次会议代表建议</w:t>
      </w:r>
      <w:r>
        <w:rPr>
          <w:rFonts w:hint="eastAsia" w:ascii="仿宋_GB2312" w:hAnsi="仿宋_GB2312" w:eastAsia="仿宋_GB2312" w:cs="仿宋_GB2312"/>
          <w:kern w:val="2"/>
          <w:sz w:val="32"/>
          <w:szCs w:val="32"/>
          <w:lang w:val="en-US" w:eastAsia="zh-CN" w:bidi="ar-SA"/>
        </w:rPr>
        <w:t>办理63件，</w:t>
      </w:r>
      <w:r>
        <w:rPr>
          <w:rFonts w:hint="default" w:ascii="仿宋_GB2312" w:hAnsi="仿宋_GB2312" w:eastAsia="仿宋_GB2312" w:cs="仿宋_GB2312"/>
          <w:kern w:val="2"/>
          <w:sz w:val="32"/>
          <w:szCs w:val="32"/>
          <w:lang w:val="en-US" w:eastAsia="zh-CN" w:bidi="ar-SA"/>
        </w:rPr>
        <w:t>区政协五届</w:t>
      </w:r>
      <w:r>
        <w:rPr>
          <w:rFonts w:hint="eastAsia" w:ascii="仿宋_GB2312" w:hAnsi="仿宋_GB2312" w:eastAsia="仿宋_GB2312" w:cs="仿宋_GB2312"/>
          <w:kern w:val="2"/>
          <w:sz w:val="32"/>
          <w:szCs w:val="32"/>
          <w:lang w:val="en-US" w:eastAsia="zh-CN" w:bidi="ar-SA"/>
        </w:rPr>
        <w:t>四</w:t>
      </w:r>
      <w:r>
        <w:rPr>
          <w:rFonts w:hint="default" w:ascii="仿宋_GB2312" w:hAnsi="仿宋_GB2312" w:eastAsia="仿宋_GB2312" w:cs="仿宋_GB2312"/>
          <w:kern w:val="2"/>
          <w:sz w:val="32"/>
          <w:szCs w:val="32"/>
          <w:lang w:val="en-US" w:eastAsia="zh-CN" w:bidi="ar-SA"/>
        </w:rPr>
        <w:t>次会议提案</w:t>
      </w:r>
      <w:r>
        <w:rPr>
          <w:rFonts w:hint="eastAsia" w:ascii="仿宋_GB2312" w:hAnsi="仿宋_GB2312" w:eastAsia="仿宋_GB2312" w:cs="仿宋_GB2312"/>
          <w:kern w:val="2"/>
          <w:sz w:val="32"/>
          <w:szCs w:val="32"/>
          <w:lang w:val="en-US" w:eastAsia="zh-CN" w:bidi="ar-SA"/>
        </w:rPr>
        <w:t>办理75件。认真做好迎接国、省、市人大代表及政协委员视察的统筹协调和组织安排工作。</w:t>
      </w:r>
    </w:p>
    <w:p w14:paraId="50D2CFB7">
      <w:pPr>
        <w:pStyle w:val="14"/>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0" w:afterAutospacing="0" w:line="560" w:lineRule="exact"/>
        <w:ind w:leftChars="0" w:right="0" w:rightChars="0" w:firstLine="643" w:firstLineChars="200"/>
        <w:jc w:val="both"/>
        <w:textAlignment w:val="auto"/>
        <w:rPr>
          <w:rFonts w:hint="eastAsia" w:ascii="仿宋_GB2312" w:hAnsi="仿宋_GB2312" w:eastAsia="仿宋_GB2312" w:cs="仿宋_GB2312"/>
          <w:sz w:val="32"/>
          <w:szCs w:val="32"/>
          <w:lang w:val="en-US" w:eastAsia="zh-CN"/>
        </w:rPr>
      </w:pPr>
      <w:r>
        <w:rPr>
          <w:rFonts w:hint="eastAsia" w:ascii="楷体" w:hAnsi="楷体" w:eastAsia="楷体" w:cs="楷体"/>
          <w:b/>
          <w:bCs/>
          <w:kern w:val="2"/>
          <w:sz w:val="32"/>
          <w:szCs w:val="32"/>
          <w:lang w:val="en-US" w:eastAsia="zh-CN" w:bidi="ar-SA"/>
        </w:rPr>
        <w:t>3、聚焦队伍建设抓作风，</w:t>
      </w:r>
      <w:r>
        <w:rPr>
          <w:rFonts w:hint="default" w:ascii="楷体" w:hAnsi="楷体" w:eastAsia="楷体" w:cs="楷体"/>
          <w:b/>
          <w:bCs/>
          <w:kern w:val="2"/>
          <w:sz w:val="32"/>
          <w:szCs w:val="32"/>
          <w:lang w:val="en" w:eastAsia="zh-CN" w:bidi="ar-SA"/>
        </w:rPr>
        <w:t>坚决落实政治责任</w:t>
      </w:r>
      <w:r>
        <w:rPr>
          <w:rFonts w:hint="eastAsia" w:ascii="楷体" w:hAnsi="楷体" w:eastAsia="楷体" w:cs="楷体"/>
          <w:b/>
          <w:bCs/>
          <w:kern w:val="2"/>
          <w:sz w:val="32"/>
          <w:szCs w:val="32"/>
          <w:lang w:val="en" w:eastAsia="zh-CN" w:bidi="ar-SA"/>
        </w:rPr>
        <w:t>。</w:t>
      </w:r>
      <w:r>
        <w:rPr>
          <w:rFonts w:hint="eastAsia" w:ascii="楷体" w:hAnsi="楷体" w:eastAsia="楷体" w:cs="楷体"/>
          <w:b/>
          <w:bCs/>
          <w:sz w:val="32"/>
          <w:szCs w:val="32"/>
          <w:lang w:val="en-US" w:eastAsia="zh-CN"/>
        </w:rPr>
        <w:t>①强化党建引领。</w:t>
      </w:r>
      <w:r>
        <w:rPr>
          <w:rFonts w:hint="eastAsia" w:ascii="仿宋_GB2312" w:hAnsi="仿宋_GB2312" w:eastAsia="仿宋_GB2312" w:cs="仿宋_GB2312"/>
          <w:sz w:val="32"/>
          <w:szCs w:val="32"/>
          <w:lang w:val="en-US" w:eastAsia="zh-CN"/>
        </w:rPr>
        <w:t>我办不断加强习近平新时代中国特色社会主义思想和党的二十届三中全会精神的学习，严格落实区委关于党纪学习教育的安排，组织党员原原本本、逐章逐条学习《中国共产党纪律处分条例》。严格执行“第一议题”制度，从严落实“三会一课”、民主评议党员、组织生活会、“一月一课一片一实践”主题党日、“周五课堂”、谈心谈话等制度，持续抓好县级领导双重组织生活制度落实，县级领导以普通党员身份参加党支部活动，自觉接受党内监督。</w:t>
      </w:r>
      <w:r>
        <w:rPr>
          <w:rFonts w:hint="eastAsia" w:ascii="仿宋_GB2312" w:hAnsi="仿宋_GB2312" w:eastAsia="仿宋_GB2312" w:cs="仿宋_GB2312"/>
          <w:sz w:val="32"/>
          <w:szCs w:val="32"/>
          <w:lang w:eastAsia="zh-CN"/>
        </w:rPr>
        <w:t>全年</w:t>
      </w:r>
      <w:r>
        <w:rPr>
          <w:rFonts w:hint="eastAsia" w:ascii="仿宋_GB2312" w:hAnsi="仿宋_GB2312" w:eastAsia="仿宋_GB2312" w:cs="仿宋_GB2312"/>
          <w:sz w:val="32"/>
          <w:szCs w:val="32"/>
        </w:rPr>
        <w:t>共组织集中学习</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余次，主题党日</w:t>
      </w:r>
      <w:r>
        <w:rPr>
          <w:rFonts w:hint="eastAsia" w:ascii="仿宋_GB2312" w:hAnsi="仿宋_GB2312" w:eastAsia="仿宋_GB2312" w:cs="仿宋_GB2312"/>
          <w:sz w:val="32"/>
          <w:szCs w:val="32"/>
          <w:lang w:val="en-US" w:eastAsia="zh-CN"/>
        </w:rPr>
        <w:t>12</w:t>
      </w:r>
      <w:r>
        <w:rPr>
          <w:rFonts w:hint="eastAsia" w:ascii="仿宋_GB2312" w:hAnsi="仿宋_GB2312" w:eastAsia="仿宋_GB2312" w:cs="仿宋_GB2312"/>
          <w:sz w:val="32"/>
          <w:szCs w:val="32"/>
        </w:rPr>
        <w:t>次，</w:t>
      </w:r>
      <w:r>
        <w:rPr>
          <w:rFonts w:hint="eastAsia" w:ascii="仿宋_GB2312" w:hAnsi="仿宋_GB2312" w:eastAsia="仿宋_GB2312" w:cs="仿宋_GB2312"/>
          <w:sz w:val="32"/>
          <w:szCs w:val="32"/>
          <w:lang w:eastAsia="zh-CN"/>
        </w:rPr>
        <w:t>召开专题</w:t>
      </w:r>
      <w:r>
        <w:rPr>
          <w:rFonts w:hint="eastAsia" w:ascii="仿宋_GB2312" w:hAnsi="仿宋_GB2312" w:eastAsia="仿宋_GB2312" w:cs="仿宋_GB2312"/>
          <w:sz w:val="32"/>
          <w:szCs w:val="32"/>
        </w:rPr>
        <w:t>组织生活会1次，支部党员大会</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次，</w:t>
      </w:r>
      <w:r>
        <w:rPr>
          <w:rFonts w:hint="eastAsia" w:ascii="仿宋_GB2312" w:hAnsi="仿宋_GB2312" w:eastAsia="仿宋_GB2312" w:cs="仿宋_GB2312"/>
          <w:sz w:val="32"/>
          <w:szCs w:val="32"/>
          <w:lang w:val="en-US" w:eastAsia="zh-CN"/>
        </w:rPr>
        <w:t>支部书记上党课1次，集中学习研讨4次，开展志愿服务活动6次。认真做好预备党员的教育考察和入党积极分子的培养工作，全年发展预备党员1名，2名入党积极分子参加区直工委培训并取得结业证书。</w:t>
      </w:r>
      <w:r>
        <w:rPr>
          <w:rFonts w:hint="eastAsia" w:ascii="楷体" w:hAnsi="楷体" w:eastAsia="楷体" w:cs="楷体"/>
          <w:b/>
          <w:bCs/>
          <w:sz w:val="32"/>
          <w:szCs w:val="32"/>
          <w:lang w:val="en-US" w:eastAsia="zh-CN"/>
        </w:rPr>
        <w:t>②加强队伍建设。</w:t>
      </w:r>
      <w:r>
        <w:rPr>
          <w:rFonts w:hint="eastAsia" w:ascii="仿宋_GB2312" w:hAnsi="仿宋_GB2312" w:eastAsia="仿宋_GB2312" w:cs="仿宋_GB2312"/>
          <w:sz w:val="32"/>
          <w:szCs w:val="32"/>
          <w:lang w:val="en-US" w:eastAsia="zh-CN"/>
        </w:rPr>
        <w:t>推动党纪学习教育入脑入心，不断加强作风建设，以优良的作风建设营造风清气正心齐劲足的干事创业氛围。</w:t>
      </w:r>
      <w:r>
        <w:rPr>
          <w:rFonts w:hint="eastAsia" w:ascii="仿宋_GB2312" w:hAnsi="仿宋_GB2312" w:eastAsia="仿宋_GB2312" w:cs="仿宋_GB2312"/>
          <w:sz w:val="32"/>
          <w:szCs w:val="32"/>
          <w:lang w:val="en" w:eastAsia="zh-CN"/>
        </w:rPr>
        <w:t>始终把干部培养激励作为提高单位凝聚力和战斗力的重点，充分发挥“传帮带”优良传统，加强对年轻干部的关心、培养、爱护，干部综合素质和文字写作水平不断提高。树立正确用人导向，加大干部培养使用力度，积极向组织推荐政治过硬、工作踏实、实绩突出的干部，年内有</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lang w:val="en" w:eastAsia="zh-CN"/>
        </w:rPr>
        <w:t>名干部得到提拔重用。</w:t>
      </w:r>
      <w:r>
        <w:rPr>
          <w:rFonts w:hint="eastAsia" w:ascii="楷体" w:hAnsi="楷体" w:eastAsia="楷体" w:cs="楷体"/>
          <w:b/>
          <w:bCs/>
          <w:sz w:val="32"/>
          <w:szCs w:val="32"/>
          <w:lang w:val="en-US" w:eastAsia="zh-CN"/>
        </w:rPr>
        <w:t>③优化干部作风。</w:t>
      </w:r>
      <w:r>
        <w:rPr>
          <w:rFonts w:hint="eastAsia" w:ascii="仿宋_GB2312" w:hAnsi="仿宋_GB2312" w:eastAsia="仿宋_GB2312" w:cs="仿宋_GB2312"/>
          <w:sz w:val="32"/>
          <w:szCs w:val="32"/>
          <w:lang w:val="en-US" w:eastAsia="zh-CN"/>
        </w:rPr>
        <w:t>认真落实中央八项规定及其实施细则精神和省委、市委有关要求，紧盯元旦、春节等重要节点，及时开展节前提醒、警示约谈和通报曝光典型案例，加强对党员干部的日常监督管理，严防“四风”反弹回潮。常态化推进“清廉机关”建设，落实“三重一大”决策制度、重大事项请示报告制度和财务制度等各项规定，规范深化党务、财务公开，扎紧制度“篱笆”，确保权力在阳光下运行。及时开展党员干部谈心谈话，从维护单位团结、爱护干部的角度，及时纠正个别同志存在的问题，</w:t>
      </w:r>
      <w:r>
        <w:rPr>
          <w:rFonts w:hint="eastAsia" w:ascii="仿宋_GB2312" w:hAnsi="仿宋_GB2312" w:eastAsia="仿宋_GB2312" w:cs="仿宋_GB2312"/>
          <w:color w:val="auto"/>
          <w:sz w:val="32"/>
          <w:szCs w:val="32"/>
        </w:rPr>
        <w:t>全年开展党风廉政专题谈心谈话</w:t>
      </w:r>
      <w:r>
        <w:rPr>
          <w:rFonts w:hint="eastAsia" w:ascii="仿宋_GB2312" w:hAnsi="仿宋_GB2312" w:eastAsia="仿宋_GB2312" w:cs="仿宋_GB2312"/>
          <w:color w:val="auto"/>
          <w:sz w:val="32"/>
          <w:szCs w:val="32"/>
          <w:lang w:val="en-US" w:eastAsia="zh-CN"/>
        </w:rPr>
        <w:t>60余</w:t>
      </w:r>
      <w:r>
        <w:rPr>
          <w:rFonts w:hint="eastAsia" w:ascii="仿宋_GB2312" w:hAnsi="仿宋_GB2312" w:eastAsia="仿宋_GB2312" w:cs="仿宋_GB2312"/>
          <w:color w:val="auto"/>
          <w:sz w:val="32"/>
          <w:szCs w:val="32"/>
        </w:rPr>
        <w:t>次。</w:t>
      </w:r>
      <w:r>
        <w:rPr>
          <w:rFonts w:hint="eastAsia" w:ascii="仿宋_GB2312" w:hAnsi="仿宋_GB2312" w:eastAsia="仿宋_GB2312" w:cs="仿宋_GB2312"/>
          <w:sz w:val="32"/>
          <w:szCs w:val="32"/>
          <w:lang w:val="en-US" w:eastAsia="zh-CN"/>
        </w:rPr>
        <w:t>组织党员集中学习《中国共产党纪律处分条例》《中国共产党章程》《中华人民共和国公职人员政务处分法》等内容，观看警示教育片，进一步增强党员干部的廉洁自律意识。</w:t>
      </w:r>
    </w:p>
    <w:p w14:paraId="3C622857">
      <w:pPr>
        <w:pStyle w:val="14"/>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0" w:afterAutospacing="0" w:line="560" w:lineRule="exact"/>
        <w:ind w:leftChars="0" w:right="0" w:righ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取得的履职效益：</w:t>
      </w:r>
      <w:r>
        <w:rPr>
          <w:rFonts w:hint="eastAsia" w:ascii="仿宋_GB2312" w:hAnsi="仿宋_GB2312" w:eastAsia="仿宋_GB2312" w:cs="仿宋_GB2312"/>
          <w:b/>
          <w:bCs/>
          <w:sz w:val="32"/>
          <w:szCs w:val="32"/>
          <w:lang w:val="en-US" w:eastAsia="zh-CN"/>
        </w:rPr>
        <w:t>一是聚焦中枢职能，服务大局展现新作为。</w:t>
      </w:r>
      <w:r>
        <w:rPr>
          <w:rFonts w:hint="eastAsia" w:ascii="仿宋_GB2312" w:hAnsi="仿宋_GB2312" w:eastAsia="仿宋_GB2312" w:cs="仿宋_GB2312"/>
          <w:sz w:val="32"/>
          <w:szCs w:val="32"/>
          <w:lang w:val="en-US" w:eastAsia="zh-CN"/>
        </w:rPr>
        <w:t>统筹协调周密高效，确保了政令畅通、运转有序；督察督办扎实有力，推动了决策落地、任务见效；重点工作统筹推进，护航了平安稳定、发展提质。</w:t>
      </w:r>
      <w:r>
        <w:rPr>
          <w:rFonts w:hint="eastAsia" w:ascii="仿宋_GB2312" w:hAnsi="仿宋_GB2312" w:eastAsia="仿宋_GB2312" w:cs="仿宋_GB2312"/>
          <w:b/>
          <w:bCs/>
          <w:sz w:val="32"/>
          <w:szCs w:val="32"/>
          <w:lang w:val="en-US" w:eastAsia="zh-CN"/>
        </w:rPr>
        <w:t>二是聚焦主责主业，政务效能实现新提升。</w:t>
      </w:r>
      <w:r>
        <w:rPr>
          <w:rFonts w:hint="eastAsia" w:ascii="仿宋_GB2312" w:hAnsi="仿宋_GB2312" w:eastAsia="仿宋_GB2312" w:cs="仿宋_GB2312"/>
          <w:sz w:val="32"/>
          <w:szCs w:val="32"/>
          <w:lang w:val="en-US" w:eastAsia="zh-CN"/>
        </w:rPr>
        <w:t>办文办会严谨规范，保障了决策科学、议定权威；信息报送精准及时，发挥了参谋辅政、耳目喉舌作用；建议提案用心办理，践行了人民民主、回应了群众关切。</w:t>
      </w:r>
      <w:r>
        <w:rPr>
          <w:rFonts w:hint="eastAsia" w:ascii="仿宋_GB2312" w:hAnsi="仿宋_GB2312" w:eastAsia="仿宋_GB2312" w:cs="仿宋_GB2312"/>
          <w:b/>
          <w:bCs/>
          <w:sz w:val="32"/>
          <w:szCs w:val="32"/>
          <w:lang w:val="en-US" w:eastAsia="zh-CN"/>
        </w:rPr>
        <w:t>三是聚焦队伍建设，铁军形象焕发新气象。</w:t>
      </w:r>
      <w:r>
        <w:rPr>
          <w:rFonts w:hint="eastAsia" w:ascii="仿宋_GB2312" w:hAnsi="仿宋_GB2312" w:eastAsia="仿宋_GB2312" w:cs="仿宋_GB2312"/>
          <w:sz w:val="32"/>
          <w:szCs w:val="32"/>
          <w:lang w:val="en-US" w:eastAsia="zh-CN"/>
        </w:rPr>
        <w:t>党建引领铸牢根基，强化了政治忠诚、纪律意识；培育选用并重激励，锻造了过硬本领、担当队伍；作风建设常抓不懈，营造了风清气正、实干争先氛围。</w:t>
      </w:r>
      <w:r>
        <w:rPr>
          <w:rFonts w:hint="eastAsia" w:ascii="仿宋_GB2312" w:hAnsi="仿宋_GB2312" w:eastAsia="仿宋_GB2312" w:cs="仿宋_GB2312"/>
          <w:b/>
          <w:bCs/>
          <w:sz w:val="32"/>
          <w:szCs w:val="32"/>
          <w:lang w:val="en-US" w:eastAsia="zh-CN"/>
        </w:rPr>
        <w:t>四是聚焦攻坚克难，担当实干取得新成效。</w:t>
      </w:r>
      <w:r>
        <w:rPr>
          <w:rFonts w:hint="eastAsia" w:ascii="仿宋_GB2312" w:hAnsi="仿宋_GB2312" w:eastAsia="仿宋_GB2312" w:cs="仿宋_GB2312"/>
          <w:sz w:val="32"/>
          <w:szCs w:val="32"/>
          <w:lang w:val="en-US" w:eastAsia="zh-CN"/>
        </w:rPr>
        <w:t>在整治形式主义上持续用力，为基层减负松绑；在急难险重任务前挺身而出，处置突发事件稳妥高效；在优化营商环境中间主动作为，服务企业发展精准到位。</w:t>
      </w:r>
      <w:r>
        <w:rPr>
          <w:rFonts w:hint="eastAsia" w:ascii="仿宋_GB2312" w:hAnsi="仿宋_GB2312" w:eastAsia="仿宋_GB2312" w:cs="仿宋_GB2312"/>
          <w:b/>
          <w:bCs/>
          <w:sz w:val="32"/>
          <w:szCs w:val="32"/>
          <w:lang w:val="en-US" w:eastAsia="zh-CN"/>
        </w:rPr>
        <w:t>五是聚焦创新突破，工作水平迈上新台阶。</w:t>
      </w:r>
      <w:r>
        <w:rPr>
          <w:rFonts w:hint="eastAsia" w:ascii="仿宋_GB2312" w:hAnsi="仿宋_GB2312" w:eastAsia="仿宋_GB2312" w:cs="仿宋_GB2312"/>
          <w:sz w:val="32"/>
          <w:szCs w:val="32"/>
          <w:lang w:val="en-US" w:eastAsia="zh-CN"/>
        </w:rPr>
        <w:t>督查方式不断创新，推动落实更加智慧精准；治超、金融等领域管理探索新路，形成可推广经验；内部管理持续优化，保障能力与运行效率同步增强。</w:t>
      </w:r>
      <w:r>
        <w:rPr>
          <w:rFonts w:hint="eastAsia" w:ascii="仿宋_GB2312" w:hAnsi="仿宋_GB2312" w:eastAsia="仿宋_GB2312" w:cs="仿宋_GB2312"/>
          <w:b/>
          <w:bCs/>
          <w:sz w:val="32"/>
          <w:szCs w:val="32"/>
          <w:lang w:val="en-US" w:eastAsia="zh-CN"/>
        </w:rPr>
        <w:t>总而言之，区政府办全年履职效益显著，枢纽作用更为突出，服务保障更为有力，参谋助手更为精准，队伍作风更为过硬，为推动区域经济社会高质量发展提供了坚实可靠的政务支撑。</w:t>
      </w:r>
    </w:p>
    <w:p w14:paraId="05CEE2B3">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jc w:val="both"/>
        <w:textAlignment w:val="auto"/>
        <w:outlineLvl w:val="0"/>
        <w:rPr>
          <w:rFonts w:hint="eastAsia" w:ascii="黑体" w:hAnsi="黑体" w:eastAsia="黑体" w:cs="黑体"/>
          <w:sz w:val="32"/>
          <w:szCs w:val="32"/>
          <w:lang w:eastAsia="zh-CN"/>
        </w:rPr>
      </w:pPr>
      <w:bookmarkStart w:id="28" w:name="_Toc7341"/>
      <w:r>
        <w:rPr>
          <w:rFonts w:hint="eastAsia" w:ascii="黑体" w:hAnsi="黑体" w:eastAsia="黑体" w:cs="黑体"/>
          <w:sz w:val="32"/>
          <w:szCs w:val="32"/>
          <w:lang w:eastAsia="zh-CN"/>
        </w:rPr>
        <w:t>部门</w:t>
      </w:r>
      <w:r>
        <w:rPr>
          <w:rFonts w:hint="eastAsia" w:ascii="黑体" w:hAnsi="黑体" w:eastAsia="黑体" w:cs="黑体"/>
          <w:sz w:val="32"/>
          <w:szCs w:val="32"/>
          <w:lang w:val="en-US" w:eastAsia="zh-CN"/>
        </w:rPr>
        <w:t>预算及</w:t>
      </w:r>
      <w:r>
        <w:rPr>
          <w:rFonts w:hint="eastAsia" w:ascii="黑体" w:hAnsi="黑体" w:eastAsia="黑体" w:cs="黑体"/>
          <w:sz w:val="32"/>
          <w:szCs w:val="32"/>
          <w:lang w:eastAsia="zh-CN"/>
        </w:rPr>
        <w:t>整体支出概况</w:t>
      </w:r>
      <w:bookmarkEnd w:id="28"/>
    </w:p>
    <w:p w14:paraId="5E93927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outlineLvl w:val="9"/>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分析逻辑流程：年初预算数→全年预算数（调整后预算</w:t>
      </w:r>
      <w:r>
        <w:rPr>
          <w:rFonts w:hint="eastAsia" w:ascii="仿宋" w:hAnsi="仿宋" w:eastAsia="仿宋" w:cs="仿宋"/>
          <w:sz w:val="32"/>
          <w:szCs w:val="32"/>
          <w:highlight w:val="none"/>
          <w:lang w:val="en-US" w:eastAsia="zh-CN"/>
        </w:rPr>
        <w:t>数）→账套数→重分类数，重分类后与决算数进行对比分析。由于区政府办公室未提供凭证，未进行重分类。</w:t>
      </w:r>
    </w:p>
    <w:p w14:paraId="10336602">
      <w:pPr>
        <w:keepNext w:val="0"/>
        <w:keepLines w:val="0"/>
        <w:pageBreakBefore w:val="0"/>
        <w:widowControl w:val="0"/>
        <w:numPr>
          <w:ilvl w:val="0"/>
          <w:numId w:val="4"/>
        </w:numPr>
        <w:kinsoku/>
        <w:wordWrap/>
        <w:overflowPunct/>
        <w:topLinePunct w:val="0"/>
        <w:autoSpaceDE/>
        <w:autoSpaceDN/>
        <w:bidi w:val="0"/>
        <w:adjustRightInd/>
        <w:snapToGrid/>
        <w:spacing w:line="560" w:lineRule="exact"/>
        <w:ind w:left="0" w:leftChars="0" w:firstLine="643" w:firstLineChars="200"/>
        <w:jc w:val="both"/>
        <w:textAlignment w:val="auto"/>
        <w:outlineLvl w:val="1"/>
        <w:rPr>
          <w:rFonts w:hint="eastAsia" w:ascii="楷体" w:hAnsi="楷体" w:eastAsia="楷体" w:cs="楷体"/>
          <w:b/>
          <w:bCs/>
          <w:sz w:val="32"/>
          <w:szCs w:val="32"/>
          <w:lang w:val="en-US" w:eastAsia="zh-CN"/>
        </w:rPr>
      </w:pPr>
      <w:bookmarkStart w:id="29" w:name="_Toc28688"/>
      <w:r>
        <w:rPr>
          <w:rFonts w:hint="eastAsia" w:ascii="楷体" w:hAnsi="楷体" w:eastAsia="楷体" w:cs="楷体"/>
          <w:b/>
          <w:bCs/>
          <w:sz w:val="32"/>
          <w:szCs w:val="32"/>
          <w:lang w:eastAsia="zh-CN"/>
        </w:rPr>
        <w:t>预算</w:t>
      </w:r>
      <w:r>
        <w:rPr>
          <w:rFonts w:hint="eastAsia" w:ascii="楷体" w:hAnsi="楷体" w:eastAsia="楷体" w:cs="楷体"/>
          <w:b/>
          <w:bCs/>
          <w:sz w:val="32"/>
          <w:szCs w:val="32"/>
          <w:lang w:val="en-US" w:eastAsia="zh-CN"/>
        </w:rPr>
        <w:t>配置</w:t>
      </w:r>
      <w:r>
        <w:rPr>
          <w:rFonts w:hint="eastAsia" w:ascii="楷体" w:hAnsi="楷体" w:eastAsia="楷体" w:cs="楷体"/>
          <w:b/>
          <w:bCs/>
          <w:sz w:val="32"/>
          <w:szCs w:val="32"/>
          <w:lang w:eastAsia="zh-CN"/>
        </w:rPr>
        <w:t>情况</w:t>
      </w:r>
      <w:r>
        <w:rPr>
          <w:rFonts w:hint="eastAsia" w:ascii="楷体" w:hAnsi="楷体" w:eastAsia="楷体" w:cs="楷体"/>
          <w:b/>
          <w:bCs/>
          <w:sz w:val="32"/>
          <w:szCs w:val="32"/>
          <w:lang w:val="en-US" w:eastAsia="zh-CN"/>
        </w:rPr>
        <w:t>及分析</w:t>
      </w:r>
      <w:bookmarkEnd w:id="29"/>
    </w:p>
    <w:p w14:paraId="06B55FC9">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outlineLvl w:val="9"/>
        <w:rPr>
          <w:rFonts w:hint="default" w:ascii="楷体" w:hAnsi="楷体" w:eastAsia="楷体" w:cs="楷体"/>
          <w:b/>
          <w:bCs/>
          <w:sz w:val="32"/>
          <w:szCs w:val="32"/>
          <w:lang w:val="en-US" w:eastAsia="zh-CN"/>
        </w:rPr>
      </w:pPr>
      <w:r>
        <w:rPr>
          <w:rFonts w:hint="eastAsia" w:ascii="仿宋" w:hAnsi="仿宋" w:eastAsia="仿宋" w:cs="仿宋"/>
          <w:b/>
          <w:bCs/>
          <w:sz w:val="32"/>
          <w:szCs w:val="32"/>
          <w:lang w:val="en-US" w:eastAsia="zh-CN"/>
        </w:rPr>
        <w:t>1.预算配置情况</w:t>
      </w:r>
    </w:p>
    <w:p w14:paraId="725D31D8">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outlineLvl w:val="9"/>
        <w:rPr>
          <w:rFonts w:hint="eastAsia" w:ascii="楷体" w:hAnsi="楷体" w:eastAsia="楷体" w:cs="楷体"/>
          <w:b w:val="0"/>
          <w:bCs w:val="0"/>
          <w:sz w:val="32"/>
          <w:szCs w:val="32"/>
          <w:lang w:eastAsia="zh-CN"/>
        </w:rPr>
      </w:pPr>
      <w:r>
        <w:rPr>
          <w:rFonts w:hint="eastAsia" w:ascii="仿宋" w:hAnsi="仿宋" w:eastAsia="仿宋" w:cs="仿宋"/>
          <w:b w:val="0"/>
          <w:bCs w:val="0"/>
          <w:sz w:val="32"/>
          <w:szCs w:val="32"/>
          <w:lang w:eastAsia="zh-CN"/>
        </w:rPr>
        <w:t>年初预算额</w:t>
      </w:r>
      <w:r>
        <w:rPr>
          <w:rFonts w:hint="eastAsia" w:ascii="仿宋" w:hAnsi="仿宋" w:eastAsia="仿宋" w:cs="仿宋"/>
          <w:b w:val="0"/>
          <w:bCs w:val="0"/>
          <w:sz w:val="32"/>
          <w:szCs w:val="32"/>
          <w:highlight w:val="none"/>
          <w:lang w:eastAsia="zh-CN"/>
        </w:rPr>
        <w:t>度</w:t>
      </w:r>
      <w:r>
        <w:rPr>
          <w:rFonts w:hint="eastAsia" w:ascii="仿宋" w:hAnsi="仿宋" w:eastAsia="仿宋" w:cs="仿宋"/>
          <w:b w:val="0"/>
          <w:bCs w:val="0"/>
          <w:sz w:val="32"/>
          <w:szCs w:val="32"/>
          <w:highlight w:val="none"/>
          <w:lang w:val="en-US" w:eastAsia="zh-CN"/>
        </w:rPr>
        <w:t>10,887,693.03</w:t>
      </w:r>
      <w:r>
        <w:rPr>
          <w:rFonts w:hint="eastAsia" w:ascii="仿宋" w:hAnsi="仿宋" w:eastAsia="仿宋" w:cs="仿宋"/>
          <w:b w:val="0"/>
          <w:bCs w:val="0"/>
          <w:sz w:val="32"/>
          <w:szCs w:val="32"/>
          <w:highlight w:val="none"/>
          <w:lang w:eastAsia="zh-CN"/>
        </w:rPr>
        <w:t>元，</w:t>
      </w:r>
      <w:r>
        <w:rPr>
          <w:rFonts w:hint="eastAsia" w:ascii="仿宋" w:hAnsi="仿宋" w:eastAsia="仿宋" w:cs="仿宋"/>
          <w:b w:val="0"/>
          <w:bCs w:val="0"/>
          <w:sz w:val="32"/>
          <w:szCs w:val="32"/>
          <w:highlight w:val="none"/>
          <w:lang w:val="en-US" w:eastAsia="zh-CN"/>
        </w:rPr>
        <w:t>预算调整后额度33,855,201.72元</w:t>
      </w:r>
      <w:r>
        <w:rPr>
          <w:rFonts w:hint="eastAsia" w:ascii="仿宋" w:hAnsi="仿宋" w:eastAsia="仿宋" w:cs="仿宋"/>
          <w:b w:val="0"/>
          <w:bCs w:val="0"/>
          <w:sz w:val="32"/>
          <w:szCs w:val="32"/>
          <w:highlight w:val="none"/>
          <w:lang w:eastAsia="zh-CN"/>
        </w:rPr>
        <w:t>。</w:t>
      </w:r>
    </w:p>
    <w:p w14:paraId="7B87E637">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outlineLvl w:val="9"/>
        <w:rPr>
          <w:rFonts w:hint="eastAsia" w:ascii="仿宋" w:hAnsi="仿宋" w:eastAsia="仿宋" w:cs="仿宋"/>
          <w:b/>
          <w:bCs/>
          <w:sz w:val="32"/>
          <w:szCs w:val="32"/>
          <w:highlight w:val="none"/>
          <w:lang w:val="en-US" w:eastAsia="zh-CN"/>
        </w:rPr>
      </w:pPr>
      <w:r>
        <w:rPr>
          <w:rFonts w:hint="eastAsia" w:ascii="仿宋" w:hAnsi="仿宋" w:eastAsia="仿宋" w:cs="仿宋"/>
          <w:b/>
          <w:bCs/>
          <w:sz w:val="32"/>
          <w:szCs w:val="32"/>
          <w:lang w:val="en-US" w:eastAsia="zh-CN"/>
        </w:rPr>
        <w:t>2.预算配置</w:t>
      </w:r>
      <w:r>
        <w:rPr>
          <w:rFonts w:hint="eastAsia" w:ascii="仿宋" w:hAnsi="仿宋" w:eastAsia="仿宋" w:cs="仿宋"/>
          <w:b/>
          <w:bCs/>
          <w:sz w:val="32"/>
          <w:szCs w:val="32"/>
          <w:lang w:eastAsia="zh-CN"/>
        </w:rPr>
        <w:t>分析</w:t>
      </w:r>
      <w:r>
        <w:rPr>
          <w:rFonts w:hint="eastAsia" w:ascii="仿宋" w:hAnsi="仿宋" w:eastAsia="仿宋" w:cs="仿宋"/>
          <w:b/>
          <w:bCs/>
          <w:sz w:val="32"/>
          <w:szCs w:val="32"/>
          <w:lang w:val="en-US" w:eastAsia="zh-CN"/>
        </w:rPr>
        <w:t>及调整，</w:t>
      </w:r>
      <w:r>
        <w:rPr>
          <w:rFonts w:hint="eastAsia" w:ascii="仿宋" w:hAnsi="仿宋" w:eastAsia="仿宋" w:cs="仿宋"/>
          <w:b/>
          <w:bCs/>
          <w:sz w:val="32"/>
          <w:szCs w:val="32"/>
          <w:highlight w:val="none"/>
          <w:lang w:val="en-US" w:eastAsia="zh-CN"/>
        </w:rPr>
        <w:t>未提供预算调整的批复。</w:t>
      </w:r>
    </w:p>
    <w:p w14:paraId="0277EEE6">
      <w:pPr>
        <w:keepNext w:val="0"/>
        <w:keepLines w:val="0"/>
        <w:pageBreakBefore w:val="0"/>
        <w:widowControl w:val="0"/>
        <w:numPr>
          <w:ilvl w:val="0"/>
          <w:numId w:val="5"/>
        </w:numPr>
        <w:kinsoku/>
        <w:wordWrap/>
        <w:overflowPunct/>
        <w:topLinePunct w:val="0"/>
        <w:autoSpaceDE/>
        <w:autoSpaceDN/>
        <w:bidi w:val="0"/>
        <w:adjustRightInd/>
        <w:snapToGrid/>
        <w:spacing w:line="560" w:lineRule="exact"/>
        <w:ind w:leftChars="0" w:firstLine="640" w:firstLineChars="200"/>
        <w:jc w:val="both"/>
        <w:textAlignment w:val="auto"/>
        <w:outlineLvl w:val="9"/>
        <w:rPr>
          <w:rFonts w:hint="eastAsia" w:ascii="仿宋" w:hAnsi="仿宋" w:eastAsia="仿宋" w:cs="仿宋"/>
          <w:b w:val="0"/>
          <w:bCs w:val="0"/>
          <w:sz w:val="32"/>
          <w:szCs w:val="32"/>
          <w:highlight w:val="none"/>
          <w:lang w:val="en-US" w:eastAsia="zh-CN"/>
        </w:rPr>
      </w:pPr>
      <w:r>
        <w:rPr>
          <w:rFonts w:hint="eastAsia" w:ascii="仿宋" w:hAnsi="仿宋" w:eastAsia="仿宋" w:cs="仿宋"/>
          <w:b w:val="0"/>
          <w:bCs w:val="0"/>
          <w:sz w:val="32"/>
          <w:szCs w:val="32"/>
          <w:highlight w:val="none"/>
          <w:lang w:val="en-US" w:eastAsia="zh-CN"/>
        </w:rPr>
        <w:t>配置对比表如下：</w:t>
      </w:r>
    </w:p>
    <w:p w14:paraId="4F3187FD">
      <w:pPr>
        <w:pStyle w:val="2"/>
        <w:jc w:val="center"/>
        <w:rPr>
          <w:rFonts w:hint="eastAsia" w:ascii="仿宋" w:hAnsi="仿宋" w:eastAsia="仿宋" w:cs="仿宋"/>
          <w:b w:val="0"/>
          <w:bCs w:val="0"/>
          <w:sz w:val="32"/>
          <w:szCs w:val="32"/>
          <w:highlight w:val="none"/>
          <w:lang w:val="en-US" w:eastAsia="zh-CN"/>
        </w:rPr>
      </w:pPr>
      <w:r>
        <w:drawing>
          <wp:inline distT="0" distB="0" distL="114300" distR="114300">
            <wp:extent cx="4210050" cy="1466850"/>
            <wp:effectExtent l="9525" t="9525" r="9525" b="9525"/>
            <wp:docPr id="3" name="图片 16"/>
            <wp:cNvGraphicFramePr/>
            <a:graphic xmlns:a="http://schemas.openxmlformats.org/drawingml/2006/main">
              <a:graphicData uri="http://schemas.openxmlformats.org/drawingml/2006/picture">
                <pic:pic xmlns:pic="http://schemas.openxmlformats.org/drawingml/2006/picture">
                  <pic:nvPicPr>
                    <pic:cNvPr id="3" name="图片 16"/>
                    <pic:cNvPicPr/>
                  </pic:nvPicPr>
                  <pic:blipFill>
                    <a:blip r:embed="rId7"/>
                  </pic:blipFill>
                  <pic:spPr>
                    <a:xfrm>
                      <a:off x="0" y="0"/>
                      <a:ext cx="4210050" cy="1466850"/>
                    </a:xfrm>
                    <a:prstGeom prst="rect">
                      <a:avLst/>
                    </a:prstGeom>
                    <a:solidFill>
                      <a:srgbClr val="FFFFFF"/>
                    </a:solidFill>
                    <a:ln w="9525">
                      <a:solidFill>
                        <a:srgbClr val="000000"/>
                      </a:solidFill>
                    </a:ln>
                  </pic:spPr>
                </pic:pic>
              </a:graphicData>
            </a:graphic>
          </wp:inline>
        </w:drawing>
      </w:r>
    </w:p>
    <w:p w14:paraId="46EFDB6C">
      <w:pPr>
        <w:pStyle w:val="2"/>
        <w:jc w:val="center"/>
        <w:rPr>
          <w:rFonts w:hint="eastAsia" w:ascii="仿宋" w:hAnsi="仿宋" w:eastAsia="仿宋" w:cs="仿宋"/>
          <w:b w:val="0"/>
          <w:bCs w:val="0"/>
          <w:sz w:val="32"/>
          <w:szCs w:val="32"/>
          <w:highlight w:val="none"/>
          <w:lang w:val="en-US" w:eastAsia="zh-CN"/>
        </w:rPr>
      </w:pPr>
      <w:r>
        <w:drawing>
          <wp:inline distT="0" distB="0" distL="114300" distR="114300">
            <wp:extent cx="4210050" cy="1181100"/>
            <wp:effectExtent l="9525" t="9525" r="9525" b="9525"/>
            <wp:docPr id="6" name="图片 11"/>
            <wp:cNvGraphicFramePr/>
            <a:graphic xmlns:a="http://schemas.openxmlformats.org/drawingml/2006/main">
              <a:graphicData uri="http://schemas.openxmlformats.org/drawingml/2006/picture">
                <pic:pic xmlns:pic="http://schemas.openxmlformats.org/drawingml/2006/picture">
                  <pic:nvPicPr>
                    <pic:cNvPr id="6" name="图片 11"/>
                    <pic:cNvPicPr/>
                  </pic:nvPicPr>
                  <pic:blipFill>
                    <a:blip r:embed="rId8"/>
                  </pic:blipFill>
                  <pic:spPr>
                    <a:xfrm>
                      <a:off x="0" y="0"/>
                      <a:ext cx="4210050" cy="1181100"/>
                    </a:xfrm>
                    <a:prstGeom prst="rect">
                      <a:avLst/>
                    </a:prstGeom>
                    <a:solidFill>
                      <a:srgbClr val="FFFFFF"/>
                    </a:solidFill>
                    <a:ln w="9525">
                      <a:solidFill>
                        <a:srgbClr val="000000"/>
                      </a:solidFill>
                    </a:ln>
                  </pic:spPr>
                </pic:pic>
              </a:graphicData>
            </a:graphic>
          </wp:inline>
        </w:drawing>
      </w:r>
    </w:p>
    <w:p w14:paraId="49459220">
      <w:pPr>
        <w:keepNext w:val="0"/>
        <w:keepLines w:val="0"/>
        <w:pageBreakBefore w:val="0"/>
        <w:widowControl w:val="0"/>
        <w:numPr>
          <w:ilvl w:val="0"/>
          <w:numId w:val="5"/>
        </w:numPr>
        <w:kinsoku/>
        <w:wordWrap/>
        <w:overflowPunct/>
        <w:topLinePunct w:val="0"/>
        <w:autoSpaceDE/>
        <w:autoSpaceDN/>
        <w:bidi w:val="0"/>
        <w:adjustRightInd/>
        <w:snapToGrid/>
        <w:spacing w:line="560" w:lineRule="exact"/>
        <w:ind w:leftChars="0" w:firstLine="643" w:firstLineChars="200"/>
        <w:jc w:val="both"/>
        <w:textAlignment w:val="auto"/>
        <w:outlineLvl w:val="9"/>
        <w:rPr>
          <w:rFonts w:hint="eastAsia" w:ascii="仿宋" w:hAnsi="仿宋" w:eastAsia="仿宋" w:cs="仿宋"/>
          <w:b w:val="0"/>
          <w:bCs w:val="0"/>
          <w:sz w:val="32"/>
          <w:szCs w:val="32"/>
          <w:highlight w:val="none"/>
          <w:lang w:val="en-US" w:eastAsia="zh-CN"/>
        </w:rPr>
      </w:pPr>
      <w:r>
        <w:rPr>
          <w:rFonts w:hint="eastAsia" w:ascii="仿宋" w:hAnsi="仿宋" w:eastAsia="仿宋" w:cs="仿宋"/>
          <w:b/>
          <w:bCs/>
          <w:sz w:val="32"/>
          <w:szCs w:val="32"/>
          <w:highlight w:val="none"/>
          <w:lang w:val="en-US" w:eastAsia="zh-CN"/>
        </w:rPr>
        <w:t>预算调整率为210.95%，</w:t>
      </w:r>
      <w:r>
        <w:rPr>
          <w:rFonts w:hint="eastAsia" w:ascii="仿宋" w:hAnsi="仿宋" w:eastAsia="仿宋" w:cs="仿宋"/>
          <w:b w:val="0"/>
          <w:bCs w:val="0"/>
          <w:sz w:val="32"/>
          <w:szCs w:val="32"/>
          <w:highlight w:val="none"/>
          <w:lang w:val="en-US" w:eastAsia="zh-CN"/>
        </w:rPr>
        <w:t>调整明细如下：</w:t>
      </w:r>
    </w:p>
    <w:p w14:paraId="72D9FC1C">
      <w:pPr>
        <w:pStyle w:val="7"/>
        <w:numPr>
          <w:ilvl w:val="0"/>
          <w:numId w:val="0"/>
        </w:numPr>
        <w:jc w:val="both"/>
        <w:rPr>
          <w:rFonts w:hint="eastAsia" w:ascii="楷体" w:hAnsi="楷体" w:eastAsia="楷体" w:cs="楷体"/>
          <w:b/>
          <w:bCs/>
          <w:sz w:val="32"/>
          <w:szCs w:val="32"/>
          <w:lang w:eastAsia="zh-CN"/>
        </w:rPr>
      </w:pPr>
      <w:r>
        <w:drawing>
          <wp:inline distT="0" distB="0" distL="114300" distR="114300">
            <wp:extent cx="5297170" cy="1543050"/>
            <wp:effectExtent l="9525" t="9525" r="27305" b="9525"/>
            <wp:docPr id="7" name="图片 2"/>
            <wp:cNvGraphicFramePr/>
            <a:graphic xmlns:a="http://schemas.openxmlformats.org/drawingml/2006/main">
              <a:graphicData uri="http://schemas.openxmlformats.org/drawingml/2006/picture">
                <pic:pic xmlns:pic="http://schemas.openxmlformats.org/drawingml/2006/picture">
                  <pic:nvPicPr>
                    <pic:cNvPr id="7" name="图片 2"/>
                    <pic:cNvPicPr/>
                  </pic:nvPicPr>
                  <pic:blipFill>
                    <a:blip r:embed="rId9"/>
                  </pic:blipFill>
                  <pic:spPr>
                    <a:xfrm>
                      <a:off x="0" y="0"/>
                      <a:ext cx="5297170" cy="1543050"/>
                    </a:xfrm>
                    <a:prstGeom prst="rect">
                      <a:avLst/>
                    </a:prstGeom>
                    <a:solidFill>
                      <a:srgbClr val="FFFFFF"/>
                    </a:solidFill>
                    <a:ln w="9525">
                      <a:solidFill>
                        <a:srgbClr val="000000"/>
                      </a:solidFill>
                    </a:ln>
                  </pic:spPr>
                </pic:pic>
              </a:graphicData>
            </a:graphic>
          </wp:inline>
        </w:drawing>
      </w:r>
    </w:p>
    <w:p w14:paraId="06FF73EE">
      <w:pPr>
        <w:keepNext w:val="0"/>
        <w:keepLines w:val="0"/>
        <w:pageBreakBefore w:val="0"/>
        <w:widowControl w:val="0"/>
        <w:numPr>
          <w:ilvl w:val="0"/>
          <w:numId w:val="6"/>
        </w:numPr>
        <w:kinsoku/>
        <w:wordWrap/>
        <w:overflowPunct/>
        <w:topLinePunct w:val="0"/>
        <w:autoSpaceDE/>
        <w:autoSpaceDN/>
        <w:bidi w:val="0"/>
        <w:adjustRightInd/>
        <w:snapToGrid/>
        <w:spacing w:line="560" w:lineRule="exact"/>
        <w:ind w:left="0" w:leftChars="0" w:firstLine="643" w:firstLineChars="200"/>
        <w:jc w:val="both"/>
        <w:textAlignment w:val="auto"/>
        <w:outlineLvl w:val="1"/>
        <w:rPr>
          <w:rFonts w:hint="eastAsia" w:ascii="楷体" w:hAnsi="楷体" w:eastAsia="楷体" w:cs="楷体"/>
          <w:b/>
          <w:bCs/>
          <w:sz w:val="32"/>
          <w:szCs w:val="32"/>
          <w:lang w:eastAsia="zh-CN"/>
        </w:rPr>
      </w:pPr>
      <w:bookmarkStart w:id="30" w:name="_Toc9524"/>
      <w:r>
        <w:rPr>
          <w:rFonts w:hint="eastAsia" w:ascii="楷体" w:hAnsi="楷体" w:eastAsia="楷体" w:cs="楷体"/>
          <w:b/>
          <w:bCs/>
          <w:sz w:val="32"/>
          <w:szCs w:val="32"/>
          <w:lang w:eastAsia="zh-CN"/>
        </w:rPr>
        <w:t>预算执行</w:t>
      </w:r>
      <w:r>
        <w:rPr>
          <w:rFonts w:hint="eastAsia" w:ascii="楷体" w:hAnsi="楷体" w:eastAsia="楷体" w:cs="楷体"/>
          <w:b/>
          <w:bCs/>
          <w:sz w:val="32"/>
          <w:szCs w:val="32"/>
          <w:lang w:val="en-US" w:eastAsia="zh-CN"/>
        </w:rPr>
        <w:t>情况及分析</w:t>
      </w:r>
      <w:bookmarkEnd w:id="30"/>
    </w:p>
    <w:p w14:paraId="3AAAF8B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00" w:firstLine="643" w:firstLineChars="200"/>
        <w:jc w:val="both"/>
        <w:textAlignment w:val="auto"/>
        <w:outlineLvl w:val="9"/>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1.预算执行基本信息</w:t>
      </w:r>
    </w:p>
    <w:p w14:paraId="1EB6B44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400" w:firstLine="640" w:firstLineChars="200"/>
        <w:jc w:val="both"/>
        <w:textAlignment w:val="auto"/>
        <w:outlineLvl w:val="9"/>
        <w:rPr>
          <w:rFonts w:hint="default"/>
          <w:highlight w:val="none"/>
          <w:lang w:val="en-US" w:eastAsia="zh-CN"/>
        </w:rPr>
      </w:pPr>
      <w:r>
        <w:rPr>
          <w:rFonts w:hint="eastAsia" w:ascii="仿宋" w:hAnsi="仿宋" w:eastAsia="仿宋" w:cs="仿宋"/>
          <w:b w:val="0"/>
          <w:bCs w:val="0"/>
          <w:sz w:val="32"/>
          <w:szCs w:val="32"/>
          <w:highlight w:val="none"/>
          <w:lang w:val="en-US" w:eastAsia="zh-CN"/>
        </w:rPr>
        <w:t>（1）收入来源总计33,820,301.72元，其中一般公共预算财政拨款32,863,165.71元,其他收入957,136.01元。</w:t>
      </w:r>
    </w:p>
    <w:p w14:paraId="1F2EC73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400" w:firstLine="640" w:firstLineChars="200"/>
        <w:jc w:val="both"/>
        <w:textAlignment w:val="auto"/>
        <w:outlineLvl w:val="9"/>
        <w:rPr>
          <w:rFonts w:hint="default" w:ascii="仿宋" w:hAnsi="仿宋" w:eastAsia="仿宋" w:cs="仿宋"/>
          <w:b w:val="0"/>
          <w:bCs w:val="0"/>
          <w:sz w:val="32"/>
          <w:szCs w:val="32"/>
          <w:highlight w:val="none"/>
          <w:lang w:val="en-US" w:eastAsia="zh-CN"/>
        </w:rPr>
      </w:pPr>
      <w:r>
        <w:rPr>
          <w:rFonts w:hint="eastAsia" w:ascii="仿宋" w:hAnsi="仿宋" w:eastAsia="仿宋" w:cs="仿宋"/>
          <w:b w:val="0"/>
          <w:bCs w:val="0"/>
          <w:sz w:val="32"/>
          <w:szCs w:val="32"/>
          <w:highlight w:val="none"/>
          <w:lang w:val="en-US" w:eastAsia="zh-CN"/>
        </w:rPr>
        <w:t>（2）预算资金指标支付汇总如下：</w:t>
      </w:r>
    </w:p>
    <w:p w14:paraId="01F995EF">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200" w:firstLine="480" w:firstLineChars="200"/>
        <w:jc w:val="center"/>
        <w:textAlignment w:val="auto"/>
        <w:outlineLvl w:val="9"/>
        <w:rPr>
          <w:rFonts w:hint="eastAsia" w:ascii="仿宋" w:hAnsi="仿宋" w:eastAsia="仿宋" w:cs="仿宋"/>
          <w:b/>
          <w:bCs/>
          <w:sz w:val="32"/>
          <w:szCs w:val="32"/>
          <w:lang w:val="en-US" w:eastAsia="zh-CN"/>
        </w:rPr>
      </w:pPr>
      <w:r>
        <w:drawing>
          <wp:inline distT="0" distB="0" distL="114300" distR="114300">
            <wp:extent cx="3979545" cy="771525"/>
            <wp:effectExtent l="9525" t="9525" r="11430" b="19050"/>
            <wp:docPr id="8" name="图片 4"/>
            <wp:cNvGraphicFramePr/>
            <a:graphic xmlns:a="http://schemas.openxmlformats.org/drawingml/2006/main">
              <a:graphicData uri="http://schemas.openxmlformats.org/drawingml/2006/picture">
                <pic:pic xmlns:pic="http://schemas.openxmlformats.org/drawingml/2006/picture">
                  <pic:nvPicPr>
                    <pic:cNvPr id="8" name="图片 4"/>
                    <pic:cNvPicPr/>
                  </pic:nvPicPr>
                  <pic:blipFill>
                    <a:blip r:embed="rId10"/>
                  </pic:blipFill>
                  <pic:spPr>
                    <a:xfrm>
                      <a:off x="0" y="0"/>
                      <a:ext cx="3979545" cy="771525"/>
                    </a:xfrm>
                    <a:prstGeom prst="rect">
                      <a:avLst/>
                    </a:prstGeom>
                    <a:solidFill>
                      <a:srgbClr val="FFFFFF"/>
                    </a:solidFill>
                    <a:ln w="9525">
                      <a:solidFill>
                        <a:srgbClr val="000000"/>
                      </a:solidFill>
                    </a:ln>
                  </pic:spPr>
                </pic:pic>
              </a:graphicData>
            </a:graphic>
          </wp:inline>
        </w:drawing>
      </w:r>
    </w:p>
    <w:p w14:paraId="75B0B0DE">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200" w:firstLine="480" w:firstLineChars="200"/>
        <w:jc w:val="both"/>
        <w:textAlignment w:val="auto"/>
        <w:outlineLvl w:val="9"/>
        <w:rPr>
          <w:rFonts w:hint="eastAsia" w:ascii="仿宋" w:hAnsi="仿宋" w:eastAsia="仿宋" w:cs="仿宋"/>
          <w:b/>
          <w:bCs/>
          <w:sz w:val="32"/>
          <w:szCs w:val="32"/>
          <w:lang w:val="en-US" w:eastAsia="zh-CN"/>
        </w:rPr>
      </w:pPr>
      <w:r>
        <w:drawing>
          <wp:inline distT="0" distB="0" distL="114300" distR="114300">
            <wp:extent cx="4824730" cy="2743200"/>
            <wp:effectExtent l="4445" t="4445" r="9525" b="14605"/>
            <wp:docPr id="9"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3DDC514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00" w:firstLine="643" w:firstLineChars="200"/>
        <w:jc w:val="both"/>
        <w:textAlignment w:val="auto"/>
        <w:outlineLvl w:val="9"/>
        <w:rPr>
          <w:rFonts w:hint="default" w:ascii="仿宋" w:hAnsi="仿宋" w:eastAsia="仿宋" w:cs="仿宋"/>
          <w:b/>
          <w:bCs/>
          <w:sz w:val="32"/>
          <w:szCs w:val="32"/>
          <w:lang w:val="en-US" w:eastAsia="zh-CN"/>
        </w:rPr>
      </w:pPr>
      <w:r>
        <w:rPr>
          <w:rFonts w:hint="eastAsia" w:ascii="仿宋" w:hAnsi="仿宋" w:eastAsia="仿宋" w:cs="仿宋"/>
          <w:b/>
          <w:bCs/>
          <w:sz w:val="32"/>
          <w:szCs w:val="32"/>
          <w:lang w:val="en-US" w:eastAsia="zh-CN"/>
        </w:rPr>
        <w:t>2.预算执行分析</w:t>
      </w:r>
    </w:p>
    <w:p w14:paraId="78AFAB5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3" w:firstLineChars="200"/>
        <w:jc w:val="both"/>
        <w:textAlignment w:val="auto"/>
        <w:outlineLvl w:val="9"/>
        <w:rPr>
          <w:rFonts w:hint="eastAsia" w:ascii="仿宋" w:hAnsi="仿宋" w:eastAsia="仿宋" w:cs="仿宋"/>
          <w:b w:val="0"/>
          <w:bCs w:val="0"/>
          <w:sz w:val="32"/>
          <w:szCs w:val="32"/>
          <w:lang w:val="en-US" w:eastAsia="zh-CN"/>
        </w:rPr>
      </w:pPr>
      <w:r>
        <w:rPr>
          <w:rFonts w:hint="eastAsia" w:ascii="仿宋" w:hAnsi="仿宋" w:eastAsia="仿宋" w:cs="仿宋"/>
          <w:b/>
          <w:bCs/>
          <w:sz w:val="32"/>
          <w:szCs w:val="32"/>
          <w:lang w:eastAsia="zh-CN"/>
        </w:rPr>
        <w:t>（</w:t>
      </w:r>
      <w:r>
        <w:rPr>
          <w:rFonts w:hint="eastAsia" w:ascii="仿宋" w:hAnsi="仿宋" w:eastAsia="仿宋" w:cs="仿宋"/>
          <w:b/>
          <w:bCs/>
          <w:sz w:val="32"/>
          <w:szCs w:val="32"/>
          <w:lang w:val="en-US" w:eastAsia="zh-CN"/>
        </w:rPr>
        <w:t>1</w:t>
      </w:r>
      <w:r>
        <w:rPr>
          <w:rFonts w:hint="eastAsia" w:ascii="仿宋" w:hAnsi="仿宋" w:eastAsia="仿宋" w:cs="仿宋"/>
          <w:b/>
          <w:bCs/>
          <w:sz w:val="32"/>
          <w:szCs w:val="32"/>
          <w:lang w:eastAsia="zh-CN"/>
        </w:rPr>
        <w:t>）进度匹配度</w:t>
      </w:r>
      <w:r>
        <w:rPr>
          <w:rFonts w:hint="eastAsia" w:ascii="仿宋" w:hAnsi="仿宋" w:eastAsia="仿宋" w:cs="仿宋"/>
          <w:b/>
          <w:bCs/>
          <w:sz w:val="32"/>
          <w:szCs w:val="32"/>
          <w:lang w:val="en-US" w:eastAsia="zh-CN"/>
        </w:rPr>
        <w:t>与效率。</w:t>
      </w:r>
      <w:r>
        <w:rPr>
          <w:rFonts w:hint="eastAsia" w:ascii="仿宋" w:hAnsi="仿宋" w:eastAsia="仿宋" w:cs="仿宋"/>
          <w:b w:val="0"/>
          <w:bCs w:val="0"/>
          <w:sz w:val="32"/>
          <w:szCs w:val="32"/>
          <w:lang w:val="en-US" w:eastAsia="zh-CN"/>
        </w:rPr>
        <w:t>资金支付及时，不存在项目等钱情况。2024年2月资金指标使用数占比为28.23%，高于其他月份。指标下达数与指标使用数对比详情列示如下：</w:t>
      </w:r>
    </w:p>
    <w:p w14:paraId="3017C704">
      <w:pPr>
        <w:pStyle w:val="7"/>
        <w:jc w:val="both"/>
        <w:rPr>
          <w:rFonts w:hint="eastAsia" w:ascii="仿宋" w:hAnsi="仿宋" w:eastAsia="仿宋" w:cs="仿宋"/>
          <w:b w:val="0"/>
          <w:bCs w:val="0"/>
          <w:sz w:val="32"/>
          <w:szCs w:val="32"/>
          <w:lang w:val="en-US" w:eastAsia="zh-CN"/>
        </w:rPr>
      </w:pPr>
      <w:r>
        <w:drawing>
          <wp:inline distT="0" distB="0" distL="114300" distR="114300">
            <wp:extent cx="5364480" cy="2581275"/>
            <wp:effectExtent l="9525" t="9525" r="17145" b="19050"/>
            <wp:docPr id="4" name="图片 3"/>
            <wp:cNvGraphicFramePr/>
            <a:graphic xmlns:a="http://schemas.openxmlformats.org/drawingml/2006/main">
              <a:graphicData uri="http://schemas.openxmlformats.org/drawingml/2006/picture">
                <pic:pic xmlns:pic="http://schemas.openxmlformats.org/drawingml/2006/picture">
                  <pic:nvPicPr>
                    <pic:cNvPr id="4" name="图片 3"/>
                    <pic:cNvPicPr/>
                  </pic:nvPicPr>
                  <pic:blipFill>
                    <a:blip r:embed="rId12"/>
                  </pic:blipFill>
                  <pic:spPr>
                    <a:xfrm>
                      <a:off x="0" y="0"/>
                      <a:ext cx="5364480" cy="2581275"/>
                    </a:xfrm>
                    <a:prstGeom prst="rect">
                      <a:avLst/>
                    </a:prstGeom>
                    <a:solidFill>
                      <a:srgbClr val="FFFFFF"/>
                    </a:solidFill>
                    <a:ln w="9525">
                      <a:solidFill>
                        <a:srgbClr val="000000"/>
                      </a:solidFill>
                    </a:ln>
                  </pic:spPr>
                </pic:pic>
              </a:graphicData>
            </a:graphic>
          </wp:inline>
        </w:drawing>
      </w:r>
    </w:p>
    <w:p w14:paraId="3F9EEB01">
      <w:pPr>
        <w:jc w:val="center"/>
        <w:rPr>
          <w:rFonts w:hint="eastAsia" w:ascii="仿宋" w:hAnsi="仿宋" w:eastAsia="仿宋" w:cs="仿宋"/>
          <w:b/>
          <w:bCs/>
          <w:sz w:val="32"/>
          <w:szCs w:val="32"/>
          <w:lang w:val="en-US" w:eastAsia="zh-CN"/>
        </w:rPr>
      </w:pPr>
      <w:r>
        <w:drawing>
          <wp:inline distT="0" distB="0" distL="114300" distR="114300">
            <wp:extent cx="4824730" cy="2743200"/>
            <wp:effectExtent l="4445" t="4445" r="9525" b="14605"/>
            <wp:docPr id="11"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537B0A4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3" w:firstLineChars="200"/>
        <w:jc w:val="both"/>
        <w:textAlignment w:val="auto"/>
        <w:outlineLvl w:val="9"/>
        <w:rPr>
          <w:rFonts w:hint="default"/>
          <w:lang w:val="en-US" w:eastAsia="zh-CN"/>
        </w:rPr>
      </w:pPr>
      <w:r>
        <w:rPr>
          <w:rFonts w:hint="eastAsia" w:ascii="仿宋" w:hAnsi="仿宋" w:eastAsia="仿宋" w:cs="仿宋"/>
          <w:b/>
          <w:bCs/>
          <w:sz w:val="32"/>
          <w:szCs w:val="32"/>
          <w:highlight w:val="none"/>
          <w:lang w:eastAsia="zh-CN"/>
        </w:rPr>
        <w:t>（</w:t>
      </w:r>
      <w:r>
        <w:rPr>
          <w:rFonts w:hint="eastAsia" w:ascii="仿宋" w:hAnsi="仿宋" w:eastAsia="仿宋" w:cs="仿宋"/>
          <w:b/>
          <w:bCs/>
          <w:sz w:val="32"/>
          <w:szCs w:val="32"/>
          <w:highlight w:val="none"/>
          <w:lang w:val="en-US" w:eastAsia="zh-CN"/>
        </w:rPr>
        <w:t>2</w:t>
      </w:r>
      <w:r>
        <w:rPr>
          <w:rFonts w:hint="eastAsia" w:ascii="仿宋" w:hAnsi="仿宋" w:eastAsia="仿宋" w:cs="仿宋"/>
          <w:b/>
          <w:bCs/>
          <w:sz w:val="32"/>
          <w:szCs w:val="32"/>
          <w:highlight w:val="none"/>
          <w:lang w:eastAsia="zh-CN"/>
        </w:rPr>
        <w:t>）</w:t>
      </w:r>
      <w:r>
        <w:rPr>
          <w:rFonts w:hint="eastAsia" w:ascii="仿宋" w:hAnsi="仿宋" w:eastAsia="仿宋" w:cs="仿宋"/>
          <w:b/>
          <w:bCs/>
          <w:sz w:val="32"/>
          <w:szCs w:val="32"/>
          <w:highlight w:val="none"/>
          <w:lang w:val="en-US" w:eastAsia="zh-CN"/>
        </w:rPr>
        <w:t>资金</w:t>
      </w:r>
      <w:r>
        <w:rPr>
          <w:rFonts w:hint="eastAsia" w:ascii="仿宋" w:hAnsi="仿宋" w:eastAsia="仿宋" w:cs="仿宋"/>
          <w:b/>
          <w:bCs/>
          <w:sz w:val="32"/>
          <w:szCs w:val="32"/>
          <w:highlight w:val="none"/>
          <w:lang w:eastAsia="zh-CN"/>
        </w:rPr>
        <w:t>合规性检查。</w:t>
      </w:r>
      <w:r>
        <w:rPr>
          <w:rFonts w:hint="eastAsia" w:ascii="仿宋" w:hAnsi="仿宋" w:eastAsia="仿宋" w:cs="仿宋"/>
          <w:b w:val="0"/>
          <w:bCs w:val="0"/>
          <w:sz w:val="32"/>
          <w:szCs w:val="32"/>
          <w:lang w:val="en-US" w:eastAsia="zh-CN"/>
        </w:rPr>
        <w:t>从预算约束、用途合规、程序合规、报销凭证完整性与合规性四个方面进行核查。由于未提供凭证，未能对资金合规性进行检查。</w:t>
      </w:r>
    </w:p>
    <w:p w14:paraId="439DA66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3" w:firstLineChars="200"/>
        <w:jc w:val="both"/>
        <w:textAlignment w:val="auto"/>
        <w:outlineLvl w:val="9"/>
        <w:rPr>
          <w:rFonts w:hint="default" w:ascii="仿宋" w:hAnsi="仿宋" w:eastAsia="仿宋" w:cs="仿宋"/>
          <w:b w:val="0"/>
          <w:bCs w:val="0"/>
          <w:sz w:val="32"/>
          <w:szCs w:val="32"/>
          <w:highlight w:val="yellow"/>
          <w:lang w:val="en-US" w:eastAsia="zh-CN"/>
        </w:rPr>
      </w:pPr>
      <w:r>
        <w:rPr>
          <w:rFonts w:hint="eastAsia" w:ascii="仿宋" w:hAnsi="仿宋" w:eastAsia="仿宋" w:cs="仿宋"/>
          <w:b/>
          <w:bCs/>
          <w:sz w:val="32"/>
          <w:szCs w:val="32"/>
          <w:highlight w:val="none"/>
          <w:lang w:eastAsia="zh-CN"/>
        </w:rPr>
        <w:t>（</w:t>
      </w:r>
      <w:r>
        <w:rPr>
          <w:rFonts w:hint="eastAsia" w:ascii="仿宋" w:hAnsi="仿宋" w:eastAsia="仿宋" w:cs="仿宋"/>
          <w:b/>
          <w:bCs/>
          <w:sz w:val="32"/>
          <w:szCs w:val="32"/>
          <w:highlight w:val="none"/>
          <w:lang w:val="en-US" w:eastAsia="zh-CN"/>
        </w:rPr>
        <w:t>3</w:t>
      </w:r>
      <w:r>
        <w:rPr>
          <w:rFonts w:hint="eastAsia" w:ascii="仿宋" w:hAnsi="仿宋" w:eastAsia="仿宋" w:cs="仿宋"/>
          <w:b/>
          <w:bCs/>
          <w:sz w:val="32"/>
          <w:szCs w:val="32"/>
          <w:highlight w:val="none"/>
          <w:lang w:eastAsia="zh-CN"/>
        </w:rPr>
        <w:t>）成本控制。</w:t>
      </w:r>
      <w:r>
        <w:rPr>
          <w:rFonts w:hint="eastAsia" w:ascii="仿宋" w:hAnsi="仿宋" w:eastAsia="仿宋" w:cs="仿宋"/>
          <w:b w:val="0"/>
          <w:bCs w:val="0"/>
          <w:sz w:val="32"/>
          <w:szCs w:val="32"/>
          <w:lang w:val="en-US" w:eastAsia="zh-CN"/>
        </w:rPr>
        <w:t>基本支出的绩效评价侧重成本控制和合规性。项目支出的绩效评价关联项目目标，如会议是否推动了政策落地、办公经费是否支撑了专项任务完成等。详情见后附各类支出情况汇总及分析。</w:t>
      </w:r>
    </w:p>
    <w:p w14:paraId="69415CA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3" w:firstLineChars="200"/>
        <w:jc w:val="both"/>
        <w:textAlignment w:val="auto"/>
        <w:outlineLvl w:val="9"/>
        <w:rPr>
          <w:rFonts w:hint="default" w:ascii="仿宋" w:hAnsi="仿宋" w:eastAsia="仿宋" w:cs="仿宋"/>
          <w:b w:val="0"/>
          <w:bCs w:val="0"/>
          <w:sz w:val="32"/>
          <w:szCs w:val="32"/>
          <w:highlight w:val="none"/>
          <w:lang w:val="en-US" w:eastAsia="zh-CN"/>
        </w:rPr>
      </w:pPr>
      <w:r>
        <w:rPr>
          <w:rFonts w:hint="eastAsia" w:ascii="仿宋" w:hAnsi="仿宋" w:eastAsia="仿宋" w:cs="仿宋"/>
          <w:b/>
          <w:bCs/>
          <w:sz w:val="32"/>
          <w:szCs w:val="32"/>
          <w:highlight w:val="none"/>
          <w:lang w:eastAsia="zh-CN"/>
        </w:rPr>
        <w:t>（</w:t>
      </w:r>
      <w:r>
        <w:rPr>
          <w:rFonts w:hint="eastAsia" w:ascii="仿宋" w:hAnsi="仿宋" w:eastAsia="仿宋" w:cs="仿宋"/>
          <w:b/>
          <w:bCs/>
          <w:sz w:val="32"/>
          <w:szCs w:val="32"/>
          <w:highlight w:val="none"/>
          <w:lang w:val="en-US" w:eastAsia="zh-CN"/>
        </w:rPr>
        <w:t>4</w:t>
      </w:r>
      <w:r>
        <w:rPr>
          <w:rFonts w:hint="eastAsia" w:ascii="仿宋" w:hAnsi="仿宋" w:eastAsia="仿宋" w:cs="仿宋"/>
          <w:b/>
          <w:bCs/>
          <w:sz w:val="32"/>
          <w:szCs w:val="32"/>
          <w:highlight w:val="none"/>
          <w:lang w:eastAsia="zh-CN"/>
        </w:rPr>
        <w:t>）对产出的影响。</w:t>
      </w:r>
      <w:r>
        <w:rPr>
          <w:rFonts w:hint="eastAsia" w:ascii="仿宋" w:hAnsi="仿宋" w:eastAsia="仿宋" w:cs="仿宋"/>
          <w:b w:val="0"/>
          <w:bCs w:val="0"/>
          <w:sz w:val="32"/>
          <w:szCs w:val="32"/>
          <w:highlight w:val="none"/>
          <w:lang w:val="en-US" w:eastAsia="zh-CN"/>
        </w:rPr>
        <w:t>未存在因预算执行合规与否、快慢情况直接影响绩效产出目标的实现的情况。</w:t>
      </w:r>
    </w:p>
    <w:p w14:paraId="7FE879F2">
      <w:pPr>
        <w:keepNext w:val="0"/>
        <w:keepLines w:val="0"/>
        <w:pageBreakBefore w:val="0"/>
        <w:widowControl/>
        <w:numPr>
          <w:ilvl w:val="0"/>
          <w:numId w:val="0"/>
        </w:numPr>
        <w:kinsoku/>
        <w:wordWrap/>
        <w:overflowPunct/>
        <w:topLinePunct w:val="0"/>
        <w:autoSpaceDE/>
        <w:autoSpaceDN/>
        <w:bidi w:val="0"/>
        <w:adjustRightInd/>
        <w:snapToGrid/>
        <w:spacing w:line="560" w:lineRule="exact"/>
        <w:ind w:left="0" w:leftChars="0" w:firstLine="643" w:firstLineChars="200"/>
        <w:jc w:val="both"/>
        <w:textAlignment w:val="auto"/>
        <w:outlineLvl w:val="9"/>
      </w:pPr>
      <w:r>
        <w:rPr>
          <w:rFonts w:hint="eastAsia" w:ascii="仿宋" w:hAnsi="仿宋" w:eastAsia="仿宋" w:cs="仿宋"/>
          <w:b/>
          <w:bCs/>
          <w:sz w:val="32"/>
          <w:szCs w:val="32"/>
          <w:lang w:eastAsia="zh-CN"/>
        </w:rPr>
        <w:t>（</w:t>
      </w:r>
      <w:r>
        <w:rPr>
          <w:rFonts w:hint="eastAsia" w:ascii="仿宋" w:hAnsi="仿宋" w:eastAsia="仿宋" w:cs="仿宋"/>
          <w:b/>
          <w:bCs/>
          <w:sz w:val="32"/>
          <w:szCs w:val="32"/>
          <w:lang w:val="en-US" w:eastAsia="zh-CN"/>
        </w:rPr>
        <w:t>5</w:t>
      </w:r>
      <w:r>
        <w:rPr>
          <w:rFonts w:hint="eastAsia" w:ascii="仿宋" w:hAnsi="仿宋" w:eastAsia="仿宋" w:cs="仿宋"/>
          <w:b/>
          <w:bCs/>
          <w:sz w:val="32"/>
          <w:szCs w:val="32"/>
          <w:lang w:eastAsia="zh-CN"/>
        </w:rPr>
        <w:t>）</w:t>
      </w:r>
      <w:r>
        <w:rPr>
          <w:rFonts w:hint="eastAsia" w:ascii="仿宋" w:hAnsi="仿宋" w:eastAsia="仿宋" w:cs="仿宋"/>
          <w:b/>
          <w:bCs/>
          <w:sz w:val="32"/>
          <w:szCs w:val="32"/>
          <w:lang w:val="en-US" w:eastAsia="zh-CN"/>
        </w:rPr>
        <w:t>本年度决算数与上年度决算数对比，减少率8.58%。</w:t>
      </w:r>
    </w:p>
    <w:p w14:paraId="2FC1CD73">
      <w:pPr>
        <w:pStyle w:val="9"/>
        <w:jc w:val="center"/>
        <w:rPr>
          <w:rFonts w:hint="eastAsia"/>
          <w:lang w:val="en-US" w:eastAsia="zh-CN"/>
        </w:rPr>
      </w:pPr>
      <w:r>
        <w:drawing>
          <wp:inline distT="0" distB="0" distL="114300" distR="114300">
            <wp:extent cx="6040120" cy="4737735"/>
            <wp:effectExtent l="9525" t="9525" r="27305" b="15240"/>
            <wp:docPr id="13" name="图片 3"/>
            <wp:cNvGraphicFramePr/>
            <a:graphic xmlns:a="http://schemas.openxmlformats.org/drawingml/2006/main">
              <a:graphicData uri="http://schemas.openxmlformats.org/drawingml/2006/picture">
                <pic:pic xmlns:pic="http://schemas.openxmlformats.org/drawingml/2006/picture">
                  <pic:nvPicPr>
                    <pic:cNvPr id="13" name="图片 3"/>
                    <pic:cNvPicPr/>
                  </pic:nvPicPr>
                  <pic:blipFill>
                    <a:blip r:embed="rId14"/>
                  </pic:blipFill>
                  <pic:spPr>
                    <a:xfrm>
                      <a:off x="0" y="0"/>
                      <a:ext cx="6040120" cy="4737735"/>
                    </a:xfrm>
                    <a:prstGeom prst="rect">
                      <a:avLst/>
                    </a:prstGeom>
                    <a:solidFill>
                      <a:srgbClr val="FFFFFF"/>
                    </a:solidFill>
                    <a:ln w="9525">
                      <a:solidFill>
                        <a:srgbClr val="000000"/>
                      </a:solidFill>
                    </a:ln>
                  </pic:spPr>
                </pic:pic>
              </a:graphicData>
            </a:graphic>
          </wp:inline>
        </w:drawing>
      </w:r>
    </w:p>
    <w:p w14:paraId="16DABC4C">
      <w:pPr>
        <w:keepNext w:val="0"/>
        <w:keepLines w:val="0"/>
        <w:pageBreakBefore w:val="0"/>
        <w:widowControl w:val="0"/>
        <w:numPr>
          <w:ilvl w:val="0"/>
          <w:numId w:val="6"/>
        </w:numPr>
        <w:kinsoku/>
        <w:wordWrap/>
        <w:overflowPunct/>
        <w:topLinePunct w:val="0"/>
        <w:autoSpaceDE/>
        <w:autoSpaceDN/>
        <w:bidi w:val="0"/>
        <w:adjustRightInd/>
        <w:snapToGrid/>
        <w:spacing w:line="560" w:lineRule="exact"/>
        <w:ind w:left="0" w:leftChars="0" w:firstLine="643" w:firstLineChars="200"/>
        <w:jc w:val="both"/>
        <w:textAlignment w:val="auto"/>
        <w:outlineLvl w:val="1"/>
        <w:rPr>
          <w:rFonts w:hint="eastAsia" w:ascii="仿宋" w:hAnsi="仿宋" w:eastAsia="仿宋" w:cs="仿宋"/>
          <w:b w:val="0"/>
          <w:bCs w:val="0"/>
          <w:sz w:val="32"/>
          <w:szCs w:val="32"/>
          <w:lang w:val="en-US" w:eastAsia="zh-CN"/>
        </w:rPr>
      </w:pPr>
      <w:bookmarkStart w:id="31" w:name="_Toc16269"/>
      <w:r>
        <w:rPr>
          <w:rFonts w:hint="eastAsia" w:ascii="楷体" w:hAnsi="楷体" w:eastAsia="楷体" w:cs="楷体"/>
          <w:b/>
          <w:bCs/>
          <w:sz w:val="32"/>
          <w:szCs w:val="32"/>
          <w:lang w:val="en-US" w:eastAsia="zh-CN"/>
        </w:rPr>
        <w:t>整体支出汇总及分析</w:t>
      </w:r>
      <w:bookmarkEnd w:id="31"/>
    </w:p>
    <w:p w14:paraId="6E70744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outlineLvl w:val="9"/>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支出检查范围及内容：是否符合预算用途和相关财经法规条例，有无超范围、超标准支出，报销凭证完整性与合规性，政府采购程序是否规范，招投标是否合规，重大项目开支和大额资金使用是否经单位党组集体研究决策，资金支付是否有完整的审批程序和手续等。</w:t>
      </w:r>
    </w:p>
    <w:p w14:paraId="4645D98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outlineLvl w:val="9"/>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1.整体支出情况</w:t>
      </w:r>
    </w:p>
    <w:p w14:paraId="4B71BD5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outlineLvl w:val="9"/>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（1）无整体支出分类及范围</w:t>
      </w:r>
    </w:p>
    <w:p w14:paraId="5F244AF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outlineLvl w:val="9"/>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（2）无各类支出从账套数到重分类数的调整过程。</w:t>
      </w:r>
    </w:p>
    <w:p w14:paraId="2A6B8DC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outlineLvl w:val="9"/>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（3）无各类支出重分类数与决算数的对比分析</w:t>
      </w:r>
    </w:p>
    <w:p w14:paraId="483A402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outlineLvl w:val="9"/>
        <w:rPr>
          <w:rFonts w:hint="default" w:ascii="仿宋" w:hAnsi="仿宋" w:eastAsia="仿宋" w:cs="仿宋"/>
          <w:b/>
          <w:bCs/>
          <w:sz w:val="32"/>
          <w:szCs w:val="32"/>
          <w:lang w:val="en-US" w:eastAsia="zh-CN"/>
        </w:rPr>
      </w:pPr>
      <w:r>
        <w:rPr>
          <w:rFonts w:hint="eastAsia" w:ascii="仿宋" w:hAnsi="仿宋" w:eastAsia="仿宋" w:cs="仿宋"/>
          <w:b/>
          <w:bCs/>
          <w:sz w:val="32"/>
          <w:szCs w:val="32"/>
          <w:lang w:val="en-US" w:eastAsia="zh-CN"/>
        </w:rPr>
        <w:t>2.无基本支出-人员经费重分类数汇总及分析</w:t>
      </w:r>
    </w:p>
    <w:p w14:paraId="27782B1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outlineLvl w:val="9"/>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未提供相关资料。</w:t>
      </w:r>
    </w:p>
    <w:p w14:paraId="5F8EBFE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outlineLvl w:val="9"/>
      </w:pPr>
      <w:r>
        <w:rPr>
          <w:rFonts w:hint="eastAsia" w:ascii="仿宋" w:hAnsi="仿宋" w:eastAsia="仿宋" w:cs="仿宋"/>
          <w:b/>
          <w:bCs/>
          <w:sz w:val="32"/>
          <w:szCs w:val="32"/>
          <w:lang w:val="en-US" w:eastAsia="zh-CN"/>
        </w:rPr>
        <w:t>3.无基本支出-公用经费重分类数汇总及分析</w:t>
      </w:r>
    </w:p>
    <w:p w14:paraId="2BBF60C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outlineLvl w:val="9"/>
        <w:rPr>
          <w:rFonts w:hint="eastAsia" w:ascii="仿宋" w:hAnsi="仿宋" w:eastAsia="仿宋" w:cs="仿宋"/>
          <w:sz w:val="32"/>
          <w:szCs w:val="32"/>
          <w:highlight w:val="yellow"/>
          <w:lang w:val="en-US" w:eastAsia="zh-CN"/>
        </w:rPr>
      </w:pPr>
      <w:r>
        <w:rPr>
          <w:rFonts w:hint="eastAsia" w:ascii="仿宋" w:hAnsi="仿宋" w:eastAsia="仿宋" w:cs="仿宋"/>
          <w:b/>
          <w:bCs/>
          <w:sz w:val="32"/>
          <w:szCs w:val="32"/>
          <w:lang w:val="en-US" w:eastAsia="zh-CN"/>
        </w:rPr>
        <w:t>未提供相关资料。</w:t>
      </w:r>
    </w:p>
    <w:p w14:paraId="6C95C37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outlineLvl w:val="9"/>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4.无三公经费重分类数汇总及分析</w:t>
      </w:r>
    </w:p>
    <w:p w14:paraId="388FA8D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jc w:val="both"/>
        <w:textAlignment w:val="auto"/>
        <w:outlineLvl w:val="9"/>
        <w:rPr>
          <w:rFonts w:hint="default"/>
          <w:lang w:val="en-US" w:eastAsia="zh-CN"/>
        </w:rPr>
      </w:pPr>
      <w:r>
        <w:rPr>
          <w:rFonts w:hint="eastAsia"/>
          <w:lang w:val="en-US" w:eastAsia="zh-CN"/>
        </w:rPr>
        <w:t xml:space="preserve"> </w:t>
      </w:r>
      <w:r>
        <w:rPr>
          <w:rFonts w:hint="eastAsia" w:ascii="仿宋" w:hAnsi="仿宋" w:eastAsia="仿宋" w:cs="仿宋"/>
          <w:b/>
          <w:bCs/>
          <w:sz w:val="32"/>
          <w:szCs w:val="32"/>
          <w:lang w:val="en-US" w:eastAsia="zh-CN"/>
        </w:rPr>
        <w:t>未提供相关资料。</w:t>
      </w:r>
    </w:p>
    <w:p w14:paraId="0DCCA9D0">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outlineLvl w:val="9"/>
        <w:rPr>
          <w:rFonts w:hint="eastAsia" w:ascii="仿宋" w:hAnsi="仿宋" w:eastAsia="仿宋" w:cs="仿宋"/>
          <w:b/>
          <w:bCs/>
          <w:sz w:val="32"/>
          <w:szCs w:val="32"/>
          <w:highlight w:val="none"/>
          <w:lang w:val="en-US" w:eastAsia="zh-CN"/>
        </w:rPr>
      </w:pPr>
      <w:r>
        <w:rPr>
          <w:rFonts w:hint="eastAsia" w:ascii="仿宋" w:hAnsi="仿宋" w:eastAsia="仿宋" w:cs="仿宋"/>
          <w:b/>
          <w:bCs/>
          <w:sz w:val="32"/>
          <w:szCs w:val="32"/>
          <w:highlight w:val="none"/>
          <w:lang w:val="en-US" w:eastAsia="zh-CN"/>
        </w:rPr>
        <w:t>5.无会议费情况汇总</w:t>
      </w:r>
    </w:p>
    <w:p w14:paraId="736273E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outlineLvl w:val="9"/>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未提供相关资料。</w:t>
      </w:r>
    </w:p>
    <w:p w14:paraId="4222FF3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outlineLvl w:val="9"/>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6.无办公经费情况汇总</w:t>
      </w:r>
    </w:p>
    <w:p w14:paraId="02FA753B">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outlineLvl w:val="9"/>
        <w:rPr>
          <w:rFonts w:hint="default" w:ascii="仿宋" w:hAnsi="仿宋" w:eastAsia="仿宋" w:cs="仿宋"/>
          <w:b/>
          <w:bCs/>
          <w:sz w:val="32"/>
          <w:szCs w:val="32"/>
          <w:lang w:val="en-US" w:eastAsia="zh-CN"/>
        </w:rPr>
      </w:pPr>
      <w:r>
        <w:rPr>
          <w:rFonts w:hint="eastAsia" w:ascii="仿宋" w:hAnsi="仿宋" w:eastAsia="仿宋" w:cs="仿宋"/>
          <w:b/>
          <w:bCs/>
          <w:sz w:val="32"/>
          <w:szCs w:val="32"/>
          <w:lang w:val="en-US" w:eastAsia="zh-CN"/>
        </w:rPr>
        <w:t>未提供相关资料。</w:t>
      </w:r>
    </w:p>
    <w:p w14:paraId="1448D1C7">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outlineLvl w:val="9"/>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7.无新增财政性支出情况汇总</w:t>
      </w:r>
    </w:p>
    <w:p w14:paraId="682E9923">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outlineLvl w:val="9"/>
        <w:rPr>
          <w:rFonts w:hint="default" w:ascii="仿宋" w:hAnsi="仿宋" w:eastAsia="仿宋" w:cs="仿宋"/>
          <w:b/>
          <w:bCs/>
          <w:sz w:val="32"/>
          <w:szCs w:val="32"/>
          <w:lang w:val="en-US" w:eastAsia="zh-CN"/>
        </w:rPr>
      </w:pPr>
      <w:r>
        <w:rPr>
          <w:rFonts w:hint="eastAsia" w:ascii="仿宋" w:hAnsi="仿宋" w:eastAsia="仿宋" w:cs="仿宋"/>
          <w:b/>
          <w:bCs/>
          <w:sz w:val="32"/>
          <w:szCs w:val="32"/>
          <w:lang w:val="en-US" w:eastAsia="zh-CN"/>
        </w:rPr>
        <w:t>未提供相关资料。</w:t>
      </w:r>
    </w:p>
    <w:p w14:paraId="5FA83342">
      <w:pPr>
        <w:keepNext w:val="0"/>
        <w:keepLines w:val="0"/>
        <w:pageBreakBefore w:val="0"/>
        <w:widowControl w:val="0"/>
        <w:numPr>
          <w:ilvl w:val="0"/>
          <w:numId w:val="6"/>
        </w:numPr>
        <w:kinsoku/>
        <w:wordWrap/>
        <w:overflowPunct/>
        <w:topLinePunct w:val="0"/>
        <w:autoSpaceDE/>
        <w:autoSpaceDN/>
        <w:bidi w:val="0"/>
        <w:adjustRightInd/>
        <w:snapToGrid/>
        <w:spacing w:line="560" w:lineRule="exact"/>
        <w:ind w:left="0" w:leftChars="0" w:firstLine="643" w:firstLineChars="200"/>
        <w:jc w:val="both"/>
        <w:textAlignment w:val="auto"/>
        <w:outlineLvl w:val="1"/>
        <w:rPr>
          <w:rFonts w:hint="eastAsia" w:ascii="楷体" w:hAnsi="楷体" w:eastAsia="楷体" w:cs="楷体"/>
          <w:b/>
          <w:bCs/>
          <w:sz w:val="32"/>
          <w:szCs w:val="32"/>
          <w:lang w:val="en-US" w:eastAsia="zh-CN"/>
        </w:rPr>
      </w:pPr>
      <w:bookmarkStart w:id="32" w:name="_Toc11299"/>
      <w:r>
        <w:rPr>
          <w:rFonts w:hint="eastAsia" w:ascii="楷体" w:hAnsi="楷体" w:eastAsia="楷体" w:cs="楷体"/>
          <w:b/>
          <w:bCs/>
          <w:sz w:val="32"/>
          <w:szCs w:val="32"/>
          <w:lang w:eastAsia="zh-CN"/>
        </w:rPr>
        <w:t>预算</w:t>
      </w:r>
      <w:r>
        <w:rPr>
          <w:rFonts w:hint="eastAsia" w:ascii="楷体" w:hAnsi="楷体" w:eastAsia="楷体" w:cs="楷体"/>
          <w:b/>
          <w:bCs/>
          <w:sz w:val="32"/>
          <w:szCs w:val="32"/>
          <w:lang w:val="en-US" w:eastAsia="zh-CN"/>
        </w:rPr>
        <w:t>管理情况及分析</w:t>
      </w:r>
      <w:bookmarkEnd w:id="32"/>
    </w:p>
    <w:p w14:paraId="7107F7A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3" w:firstLineChars="200"/>
        <w:jc w:val="both"/>
        <w:textAlignment w:val="auto"/>
        <w:outlineLvl w:val="9"/>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1.预算管理情况</w:t>
      </w:r>
    </w:p>
    <w:p w14:paraId="4FB2880D">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outlineLvl w:val="9"/>
        <w:rPr>
          <w:rFonts w:hint="default" w:ascii="仿宋" w:hAnsi="仿宋" w:eastAsia="仿宋" w:cs="仿宋"/>
          <w:b/>
          <w:bCs/>
          <w:sz w:val="32"/>
          <w:szCs w:val="32"/>
          <w:highlight w:val="yellow"/>
          <w:lang w:val="en-US" w:eastAsia="zh-CN"/>
        </w:rPr>
      </w:pPr>
      <w:r>
        <w:rPr>
          <w:rFonts w:hint="eastAsia" w:ascii="仿宋" w:hAnsi="仿宋" w:eastAsia="仿宋" w:cs="仿宋"/>
          <w:b/>
          <w:bCs/>
          <w:sz w:val="32"/>
          <w:szCs w:val="32"/>
          <w:highlight w:val="none"/>
          <w:lang w:val="en-US" w:eastAsia="zh-CN"/>
        </w:rPr>
        <w:t>（1）部门在预算管理方面建立的制度。</w:t>
      </w:r>
      <w:r>
        <w:rPr>
          <w:rFonts w:hint="eastAsia" w:ascii="仿宋" w:hAnsi="仿宋" w:eastAsia="仿宋" w:cs="仿宋"/>
          <w:b w:val="0"/>
          <w:bCs w:val="0"/>
          <w:sz w:val="32"/>
          <w:szCs w:val="32"/>
          <w:highlight w:val="none"/>
          <w:lang w:val="en-US" w:eastAsia="zh-CN"/>
        </w:rPr>
        <w:t>提供了采购管理制度，合同管理制度，收支管理制度，预算管理制度，固定资产管理制度，内部控制管理制度等。</w:t>
      </w:r>
    </w:p>
    <w:p w14:paraId="5B140CF2">
      <w:pPr>
        <w:keepNext w:val="0"/>
        <w:keepLines w:val="0"/>
        <w:pageBreakBefore w:val="0"/>
        <w:widowControl/>
        <w:kinsoku/>
        <w:wordWrap/>
        <w:overflowPunct/>
        <w:topLinePunct w:val="0"/>
        <w:autoSpaceDE/>
        <w:autoSpaceDN/>
        <w:bidi w:val="0"/>
        <w:adjustRightInd w:val="0"/>
        <w:snapToGrid w:val="0"/>
        <w:spacing w:line="560" w:lineRule="exact"/>
        <w:ind w:left="0" w:leftChars="0" w:firstLine="643" w:firstLineChars="200"/>
        <w:jc w:val="both"/>
        <w:textAlignment w:val="auto"/>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b/>
          <w:bCs/>
          <w:color w:val="auto"/>
          <w:sz w:val="32"/>
          <w:szCs w:val="32"/>
          <w:highlight w:val="none"/>
          <w:lang w:val="en-US" w:eastAsia="zh-CN"/>
        </w:rPr>
        <w:t>（2）预算管理相关的信息化工具。</w:t>
      </w:r>
      <w:r>
        <w:rPr>
          <w:rFonts w:hint="eastAsia" w:ascii="Times New Roman" w:hAnsi="Times New Roman" w:eastAsia="仿宋_GB2312" w:cs="Times New Roman"/>
          <w:color w:val="auto"/>
          <w:sz w:val="32"/>
          <w:szCs w:val="32"/>
          <w:highlight w:val="none"/>
          <w:lang w:val="en-US" w:eastAsia="zh-CN"/>
        </w:rPr>
        <w:t>使用财政预算一体化信息系统。</w:t>
      </w:r>
    </w:p>
    <w:p w14:paraId="60BB84EB">
      <w:pPr>
        <w:keepNext w:val="0"/>
        <w:keepLines w:val="0"/>
        <w:pageBreakBefore w:val="0"/>
        <w:widowControl/>
        <w:kinsoku/>
        <w:wordWrap/>
        <w:overflowPunct/>
        <w:topLinePunct w:val="0"/>
        <w:autoSpaceDE/>
        <w:autoSpaceDN/>
        <w:bidi w:val="0"/>
        <w:adjustRightInd w:val="0"/>
        <w:snapToGrid w:val="0"/>
        <w:spacing w:line="560" w:lineRule="exact"/>
        <w:ind w:left="0" w:leftChars="0" w:firstLine="643" w:firstLineChars="200"/>
        <w:textAlignment w:val="auto"/>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b/>
          <w:bCs/>
          <w:color w:val="auto"/>
          <w:sz w:val="32"/>
          <w:szCs w:val="32"/>
          <w:highlight w:val="none"/>
          <w:lang w:val="en-US" w:eastAsia="zh-CN"/>
        </w:rPr>
        <w:t>（3）预算信息公开情况。</w:t>
      </w:r>
      <w:r>
        <w:rPr>
          <w:rFonts w:hint="eastAsia" w:ascii="Times New Roman" w:hAnsi="Times New Roman" w:eastAsia="仿宋_GB2312" w:cs="Times New Roman"/>
          <w:b w:val="0"/>
          <w:bCs w:val="0"/>
          <w:color w:val="auto"/>
          <w:sz w:val="32"/>
          <w:szCs w:val="32"/>
          <w:highlight w:val="none"/>
          <w:lang w:val="en-US" w:eastAsia="zh-CN"/>
        </w:rPr>
        <w:t>在</w:t>
      </w:r>
      <w:r>
        <w:rPr>
          <w:rFonts w:hint="eastAsia" w:ascii="Times New Roman" w:hAnsi="Times New Roman" w:eastAsia="仿宋_GB2312" w:cs="Times New Roman"/>
          <w:color w:val="auto"/>
          <w:sz w:val="32"/>
          <w:szCs w:val="32"/>
          <w:highlight w:val="none"/>
          <w:lang w:val="en-US" w:eastAsia="zh-CN"/>
        </w:rPr>
        <w:t>衡阳雁峰区政府网上可以查到区政府办公室的2024年预算公开信息。</w:t>
      </w:r>
    </w:p>
    <w:p w14:paraId="74AE0D6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3" w:firstLineChars="200"/>
        <w:jc w:val="both"/>
        <w:textAlignment w:val="auto"/>
        <w:outlineLvl w:val="9"/>
        <w:rPr>
          <w:rFonts w:hint="default" w:ascii="仿宋" w:hAnsi="仿宋" w:eastAsia="仿宋" w:cs="仿宋"/>
          <w:b/>
          <w:bCs/>
          <w:sz w:val="32"/>
          <w:szCs w:val="32"/>
          <w:lang w:val="en-US" w:eastAsia="zh-CN"/>
        </w:rPr>
      </w:pPr>
      <w:r>
        <w:rPr>
          <w:rFonts w:hint="eastAsia" w:ascii="仿宋" w:hAnsi="仿宋" w:eastAsia="仿宋" w:cs="仿宋"/>
          <w:b/>
          <w:bCs/>
          <w:sz w:val="32"/>
          <w:szCs w:val="32"/>
          <w:lang w:val="en-US" w:eastAsia="zh-CN"/>
        </w:rPr>
        <w:t>2.预算管理分析</w:t>
      </w:r>
    </w:p>
    <w:p w14:paraId="662E1D3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3" w:firstLineChars="200"/>
        <w:jc w:val="both"/>
        <w:textAlignment w:val="auto"/>
        <w:outlineLvl w:val="9"/>
        <w:rPr>
          <w:rFonts w:hint="default" w:ascii="仿宋" w:hAnsi="仿宋" w:eastAsia="仿宋" w:cs="仿宋"/>
          <w:b w:val="0"/>
          <w:bCs w:val="0"/>
          <w:sz w:val="32"/>
          <w:szCs w:val="32"/>
          <w:highlight w:val="yellow"/>
          <w:lang w:val="en-US" w:eastAsia="zh-CN"/>
        </w:rPr>
      </w:pPr>
      <w:r>
        <w:rPr>
          <w:rFonts w:hint="eastAsia" w:ascii="仿宋" w:hAnsi="仿宋" w:eastAsia="仿宋" w:cs="仿宋"/>
          <w:b/>
          <w:bCs/>
          <w:sz w:val="32"/>
          <w:szCs w:val="32"/>
          <w:lang w:val="en-US" w:eastAsia="zh-CN"/>
        </w:rPr>
        <w:t>（1）制度健全性。提供管理制度比较齐全。</w:t>
      </w:r>
    </w:p>
    <w:p w14:paraId="02209DA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3" w:firstLineChars="200"/>
        <w:jc w:val="both"/>
        <w:textAlignment w:val="auto"/>
        <w:outlineLvl w:val="9"/>
        <w:rPr>
          <w:rFonts w:hint="default" w:ascii="仿宋" w:hAnsi="仿宋" w:eastAsia="仿宋" w:cs="仿宋"/>
          <w:b w:val="0"/>
          <w:bCs w:val="0"/>
          <w:sz w:val="32"/>
          <w:szCs w:val="32"/>
          <w:highlight w:val="none"/>
          <w:lang w:val="en-US" w:eastAsia="zh-CN"/>
        </w:rPr>
      </w:pPr>
      <w:r>
        <w:rPr>
          <w:rFonts w:hint="eastAsia" w:ascii="仿宋" w:hAnsi="仿宋" w:eastAsia="仿宋" w:cs="仿宋"/>
          <w:b/>
          <w:bCs/>
          <w:sz w:val="32"/>
          <w:szCs w:val="32"/>
          <w:lang w:val="en-US" w:eastAsia="zh-CN"/>
        </w:rPr>
        <w:t>（2）执行有效性。</w:t>
      </w:r>
      <w:r>
        <w:rPr>
          <w:rFonts w:hint="eastAsia" w:ascii="仿宋" w:hAnsi="仿宋" w:eastAsia="仿宋" w:cs="仿宋"/>
          <w:b w:val="0"/>
          <w:bCs w:val="0"/>
          <w:sz w:val="32"/>
          <w:szCs w:val="32"/>
          <w:highlight w:val="none"/>
          <w:lang w:val="en-US" w:eastAsia="zh-CN"/>
        </w:rPr>
        <w:t>按照财务管理制度基本有效执行。存在不足之处详见整体支出汇总及分析。</w:t>
      </w:r>
    </w:p>
    <w:p w14:paraId="1100C89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3" w:firstLineChars="200"/>
        <w:jc w:val="both"/>
        <w:textAlignment w:val="auto"/>
        <w:outlineLvl w:val="9"/>
        <w:rPr>
          <w:rFonts w:hint="eastAsia" w:ascii="仿宋" w:hAnsi="仿宋" w:eastAsia="仿宋" w:cs="仿宋"/>
          <w:b w:val="0"/>
          <w:bCs w:val="0"/>
          <w:sz w:val="32"/>
          <w:szCs w:val="32"/>
          <w:highlight w:val="none"/>
          <w:lang w:val="en-US" w:eastAsia="zh-CN"/>
        </w:rPr>
      </w:pPr>
      <w:r>
        <w:rPr>
          <w:rFonts w:hint="eastAsia" w:ascii="仿宋" w:hAnsi="仿宋" w:eastAsia="仿宋" w:cs="仿宋"/>
          <w:b/>
          <w:bCs/>
          <w:sz w:val="32"/>
          <w:szCs w:val="32"/>
          <w:highlight w:val="none"/>
          <w:lang w:val="en-US" w:eastAsia="zh-CN"/>
        </w:rPr>
        <w:t>（3）监控预警能力。</w:t>
      </w:r>
      <w:r>
        <w:rPr>
          <w:rFonts w:hint="eastAsia" w:ascii="仿宋" w:hAnsi="仿宋" w:eastAsia="仿宋" w:cs="仿宋"/>
          <w:b w:val="0"/>
          <w:bCs w:val="0"/>
          <w:sz w:val="32"/>
          <w:szCs w:val="32"/>
          <w:highlight w:val="none"/>
          <w:lang w:val="en-US" w:eastAsia="zh-CN"/>
        </w:rPr>
        <w:t>政府会计系统通过“指标-支出-核算”一体化管理，在一定程度上实现了预算执行全流程监控。</w:t>
      </w:r>
    </w:p>
    <w:p w14:paraId="3F30896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3" w:firstLineChars="200"/>
        <w:jc w:val="both"/>
        <w:textAlignment w:val="auto"/>
        <w:outlineLvl w:val="9"/>
        <w:rPr>
          <w:rFonts w:hint="default" w:ascii="仿宋" w:hAnsi="仿宋" w:eastAsia="仿宋" w:cs="仿宋"/>
          <w:b w:val="0"/>
          <w:bCs w:val="0"/>
          <w:sz w:val="32"/>
          <w:szCs w:val="32"/>
          <w:lang w:val="en-US" w:eastAsia="zh-CN"/>
        </w:rPr>
      </w:pPr>
      <w:r>
        <w:rPr>
          <w:rFonts w:hint="eastAsia" w:ascii="仿宋" w:hAnsi="仿宋" w:eastAsia="仿宋" w:cs="仿宋"/>
          <w:b/>
          <w:bCs/>
          <w:sz w:val="32"/>
          <w:szCs w:val="32"/>
          <w:lang w:val="en-US" w:eastAsia="zh-CN"/>
        </w:rPr>
        <w:t>（4）信息化支撑。</w:t>
      </w:r>
      <w:r>
        <w:rPr>
          <w:rFonts w:hint="eastAsia" w:ascii="仿宋" w:hAnsi="仿宋" w:eastAsia="仿宋" w:cs="仿宋"/>
          <w:b w:val="0"/>
          <w:bCs w:val="0"/>
          <w:sz w:val="32"/>
          <w:szCs w:val="32"/>
          <w:lang w:val="en-US" w:eastAsia="zh-CN"/>
        </w:rPr>
        <w:t>实现预算编制、执行、核算、决算全流程线上化，有效支撑了预算管理和监控。</w:t>
      </w:r>
    </w:p>
    <w:p w14:paraId="234E29E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3" w:firstLineChars="200"/>
        <w:jc w:val="both"/>
        <w:textAlignment w:val="auto"/>
        <w:outlineLvl w:val="9"/>
        <w:rPr>
          <w:rFonts w:hint="default" w:ascii="仿宋" w:hAnsi="仿宋" w:eastAsia="仿宋" w:cs="仿宋"/>
          <w:b w:val="0"/>
          <w:bCs w:val="0"/>
          <w:sz w:val="32"/>
          <w:szCs w:val="32"/>
          <w:highlight w:val="none"/>
          <w:lang w:val="en-US" w:eastAsia="zh-CN"/>
        </w:rPr>
      </w:pPr>
      <w:r>
        <w:rPr>
          <w:rFonts w:hint="eastAsia" w:ascii="仿宋" w:hAnsi="仿宋" w:eastAsia="仿宋" w:cs="仿宋"/>
          <w:b/>
          <w:bCs/>
          <w:sz w:val="32"/>
          <w:szCs w:val="32"/>
          <w:lang w:val="en-US" w:eastAsia="zh-CN"/>
        </w:rPr>
        <w:t>（5）管理规范性。未提供预算调整批复文件。</w:t>
      </w:r>
    </w:p>
    <w:p w14:paraId="2F3BF7F0">
      <w:pPr>
        <w:keepNext w:val="0"/>
        <w:keepLines w:val="0"/>
        <w:pageBreakBefore w:val="0"/>
        <w:widowControl w:val="0"/>
        <w:numPr>
          <w:ilvl w:val="0"/>
          <w:numId w:val="6"/>
        </w:numPr>
        <w:kinsoku/>
        <w:wordWrap/>
        <w:overflowPunct/>
        <w:topLinePunct w:val="0"/>
        <w:autoSpaceDE/>
        <w:autoSpaceDN/>
        <w:bidi w:val="0"/>
        <w:adjustRightInd/>
        <w:snapToGrid/>
        <w:spacing w:line="560" w:lineRule="exact"/>
        <w:ind w:left="0" w:leftChars="0" w:firstLine="643" w:firstLineChars="200"/>
        <w:jc w:val="both"/>
        <w:textAlignment w:val="auto"/>
        <w:outlineLvl w:val="1"/>
        <w:rPr>
          <w:rFonts w:hint="eastAsia" w:ascii="楷体" w:hAnsi="楷体" w:eastAsia="楷体" w:cs="楷体"/>
          <w:b/>
          <w:bCs/>
          <w:sz w:val="32"/>
          <w:szCs w:val="32"/>
          <w:lang w:val="en-US" w:eastAsia="zh-CN"/>
        </w:rPr>
      </w:pPr>
      <w:bookmarkStart w:id="33" w:name="_Toc14514"/>
      <w:r>
        <w:rPr>
          <w:rFonts w:hint="eastAsia" w:ascii="楷体" w:hAnsi="楷体" w:eastAsia="楷体" w:cs="楷体"/>
          <w:b/>
          <w:bCs/>
          <w:sz w:val="32"/>
          <w:szCs w:val="32"/>
          <w:lang w:val="en-US" w:eastAsia="zh-CN"/>
        </w:rPr>
        <w:t>工资管理情况及分析</w:t>
      </w:r>
      <w:bookmarkEnd w:id="33"/>
    </w:p>
    <w:p w14:paraId="584EFA1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3" w:firstLineChars="200"/>
        <w:jc w:val="both"/>
        <w:textAlignment w:val="auto"/>
        <w:outlineLvl w:val="9"/>
        <w:rPr>
          <w:rFonts w:hint="eastAsia" w:ascii="仿宋" w:hAnsi="仿宋" w:eastAsia="仿宋" w:cs="仿宋"/>
          <w:b w:val="0"/>
          <w:bCs w:val="0"/>
          <w:sz w:val="32"/>
          <w:szCs w:val="32"/>
          <w:lang w:val="en-US" w:eastAsia="zh-CN"/>
        </w:rPr>
      </w:pPr>
      <w:r>
        <w:rPr>
          <w:rFonts w:hint="eastAsia" w:ascii="仿宋" w:hAnsi="仿宋" w:eastAsia="仿宋" w:cs="仿宋"/>
          <w:b/>
          <w:bCs/>
          <w:sz w:val="32"/>
          <w:szCs w:val="32"/>
          <w:lang w:val="en-US" w:eastAsia="zh-CN"/>
        </w:rPr>
        <w:t>1.未提供相关文件。</w:t>
      </w:r>
      <w:r>
        <w:rPr>
          <w:rFonts w:hint="eastAsia" w:ascii="仿宋" w:hAnsi="仿宋" w:eastAsia="仿宋" w:cs="仿宋"/>
          <w:b w:val="0"/>
          <w:bCs w:val="0"/>
          <w:sz w:val="32"/>
          <w:szCs w:val="32"/>
          <w:lang w:val="en-US" w:eastAsia="zh-CN"/>
        </w:rPr>
        <w:t>未提供发放职工津贴与车补的相关文件。未提供工资流程及工资管理制度。未提供相关审计检查文件或资料。</w:t>
      </w:r>
    </w:p>
    <w:p w14:paraId="6323CA7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3" w:firstLineChars="200"/>
        <w:jc w:val="both"/>
        <w:textAlignment w:val="auto"/>
        <w:outlineLvl w:val="9"/>
        <w:rPr>
          <w:rFonts w:hint="default" w:ascii="仿宋" w:hAnsi="仿宋" w:eastAsia="仿宋" w:cs="仿宋"/>
          <w:b/>
          <w:bCs/>
          <w:sz w:val="32"/>
          <w:szCs w:val="32"/>
          <w:lang w:val="en-US" w:eastAsia="zh-CN"/>
        </w:rPr>
      </w:pPr>
      <w:r>
        <w:rPr>
          <w:rFonts w:hint="eastAsia" w:ascii="仿宋" w:hAnsi="仿宋" w:eastAsia="仿宋" w:cs="仿宋"/>
          <w:b/>
          <w:bCs/>
          <w:sz w:val="32"/>
          <w:szCs w:val="32"/>
          <w:lang w:val="en-US" w:eastAsia="zh-CN"/>
        </w:rPr>
        <w:t>2.未提供相关凭证。</w:t>
      </w:r>
    </w:p>
    <w:p w14:paraId="11FF4B96">
      <w:pPr>
        <w:keepNext w:val="0"/>
        <w:keepLines w:val="0"/>
        <w:pageBreakBefore w:val="0"/>
        <w:widowControl w:val="0"/>
        <w:numPr>
          <w:ilvl w:val="0"/>
          <w:numId w:val="6"/>
        </w:numPr>
        <w:kinsoku/>
        <w:wordWrap/>
        <w:overflowPunct/>
        <w:topLinePunct w:val="0"/>
        <w:autoSpaceDE/>
        <w:autoSpaceDN/>
        <w:bidi w:val="0"/>
        <w:adjustRightInd/>
        <w:snapToGrid/>
        <w:spacing w:line="560" w:lineRule="exact"/>
        <w:ind w:left="0" w:leftChars="0" w:firstLine="643" w:firstLineChars="200"/>
        <w:jc w:val="both"/>
        <w:textAlignment w:val="auto"/>
        <w:outlineLvl w:val="1"/>
        <w:rPr>
          <w:rFonts w:hint="eastAsia" w:ascii="仿宋" w:hAnsi="仿宋" w:eastAsia="仿宋" w:cs="仿宋"/>
          <w:b/>
          <w:bCs/>
          <w:sz w:val="32"/>
          <w:szCs w:val="32"/>
          <w:lang w:val="en-US" w:eastAsia="zh-CN"/>
        </w:rPr>
      </w:pPr>
      <w:bookmarkStart w:id="34" w:name="_Toc19586"/>
      <w:r>
        <w:rPr>
          <w:rFonts w:hint="eastAsia" w:ascii="楷体" w:hAnsi="楷体" w:eastAsia="楷体" w:cs="楷体"/>
          <w:b/>
          <w:bCs/>
          <w:sz w:val="32"/>
          <w:szCs w:val="32"/>
          <w:lang w:val="en-US" w:eastAsia="zh-CN"/>
        </w:rPr>
        <w:t>项目支出管理情况及分析</w:t>
      </w:r>
      <w:bookmarkEnd w:id="34"/>
    </w:p>
    <w:p w14:paraId="46964CD1">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outlineLvl w:val="9"/>
        <w:rPr>
          <w:rFonts w:hint="eastAsia" w:ascii="仿宋" w:hAnsi="仿宋" w:eastAsia="仿宋" w:cs="仿宋"/>
          <w:b/>
          <w:bCs/>
          <w:sz w:val="32"/>
          <w:szCs w:val="32"/>
          <w:highlight w:val="none"/>
          <w:lang w:val="en-US" w:eastAsia="zh-CN"/>
        </w:rPr>
      </w:pPr>
      <w:r>
        <w:rPr>
          <w:rFonts w:hint="eastAsia" w:ascii="仿宋" w:hAnsi="仿宋" w:eastAsia="仿宋" w:cs="仿宋"/>
          <w:b/>
          <w:bCs/>
          <w:sz w:val="32"/>
          <w:szCs w:val="32"/>
          <w:highlight w:val="none"/>
          <w:lang w:val="en-US" w:eastAsia="zh-CN"/>
        </w:rPr>
        <w:t>区政府办公室未提供项目管理制度。</w:t>
      </w:r>
    </w:p>
    <w:p w14:paraId="2D3ADE8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3" w:firstLineChars="200"/>
        <w:jc w:val="both"/>
        <w:textAlignment w:val="auto"/>
        <w:outlineLvl w:val="1"/>
        <w:rPr>
          <w:rFonts w:hint="eastAsia" w:ascii="楷体" w:hAnsi="楷体" w:eastAsia="楷体" w:cs="楷体"/>
          <w:b/>
          <w:bCs/>
          <w:sz w:val="32"/>
          <w:szCs w:val="32"/>
          <w:highlight w:val="none"/>
          <w:lang w:val="en-US" w:eastAsia="zh-CN"/>
        </w:rPr>
      </w:pPr>
      <w:bookmarkStart w:id="35" w:name="_Toc4941"/>
      <w:r>
        <w:rPr>
          <w:rFonts w:hint="eastAsia" w:ascii="仿宋" w:hAnsi="仿宋" w:eastAsia="仿宋" w:cs="仿宋"/>
          <w:b/>
          <w:bCs/>
          <w:sz w:val="32"/>
          <w:szCs w:val="32"/>
          <w:highlight w:val="none"/>
          <w:lang w:val="en-US" w:eastAsia="zh-CN"/>
        </w:rPr>
        <w:t>（七）</w:t>
      </w:r>
      <w:r>
        <w:rPr>
          <w:rFonts w:hint="eastAsia" w:ascii="楷体" w:hAnsi="楷体" w:eastAsia="楷体" w:cs="楷体"/>
          <w:b/>
          <w:bCs/>
          <w:sz w:val="32"/>
          <w:szCs w:val="32"/>
          <w:highlight w:val="none"/>
          <w:lang w:val="en-US" w:eastAsia="zh-CN"/>
        </w:rPr>
        <w:t>固定资产及无形资产管理情况及分析</w:t>
      </w:r>
      <w:bookmarkEnd w:id="35"/>
    </w:p>
    <w:p w14:paraId="27D93A2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3" w:firstLineChars="200"/>
        <w:jc w:val="both"/>
        <w:textAlignment w:val="auto"/>
        <w:outlineLvl w:val="9"/>
        <w:rPr>
          <w:rFonts w:hint="eastAsia" w:ascii="仿宋" w:hAnsi="仿宋" w:eastAsia="仿宋" w:cs="仿宋"/>
          <w:b/>
          <w:bCs/>
          <w:sz w:val="32"/>
          <w:szCs w:val="32"/>
          <w:highlight w:val="none"/>
          <w:lang w:val="en-US" w:eastAsia="zh-CN"/>
        </w:rPr>
      </w:pPr>
      <w:r>
        <w:rPr>
          <w:rFonts w:hint="eastAsia" w:ascii="仿宋" w:hAnsi="仿宋" w:eastAsia="仿宋" w:cs="仿宋"/>
          <w:b/>
          <w:bCs/>
          <w:sz w:val="32"/>
          <w:szCs w:val="32"/>
          <w:highlight w:val="none"/>
          <w:lang w:val="en-US" w:eastAsia="zh-CN"/>
        </w:rPr>
        <w:t>固定资产管理存在规格型号待完善，使用部门信息缺失情况。固定资产减少为电脑的更换处置。固定资产2024年原值及折旧变动情况见下表（金额：元）：</w:t>
      </w:r>
    </w:p>
    <w:tbl>
      <w:tblPr>
        <w:tblStyle w:val="15"/>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773"/>
        <w:gridCol w:w="1646"/>
        <w:gridCol w:w="1724"/>
        <w:gridCol w:w="1724"/>
        <w:gridCol w:w="1646"/>
      </w:tblGrid>
      <w:tr w14:paraId="59C287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1041" w:type="pct"/>
            <w:tcBorders>
              <w:top w:val="single" w:color="5B9BD5" w:sz="8" w:space="0"/>
              <w:left w:val="single" w:color="5B9BD5" w:sz="8" w:space="0"/>
              <w:bottom w:val="single" w:color="5B9BD5" w:sz="8" w:space="0"/>
              <w:right w:val="single" w:color="9BC2E6" w:sz="8" w:space="0"/>
            </w:tcBorders>
            <w:shd w:val="clear" w:color="auto" w:fill="auto"/>
            <w:vAlign w:val="center"/>
          </w:tcPr>
          <w:p w14:paraId="4F00742A">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项目名称</w:t>
            </w:r>
          </w:p>
        </w:tc>
        <w:tc>
          <w:tcPr>
            <w:tcW w:w="966" w:type="pct"/>
            <w:tcBorders>
              <w:top w:val="single" w:color="5B9BD5" w:sz="8" w:space="0"/>
              <w:left w:val="nil"/>
              <w:bottom w:val="single" w:color="5B9BD5" w:sz="8" w:space="0"/>
              <w:right w:val="single" w:color="9BC2E6" w:sz="8" w:space="0"/>
            </w:tcBorders>
            <w:shd w:val="clear" w:color="auto" w:fill="auto"/>
            <w:noWrap/>
            <w:vAlign w:val="center"/>
          </w:tcPr>
          <w:p w14:paraId="4D590B60">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期初余额</w:t>
            </w:r>
          </w:p>
        </w:tc>
        <w:tc>
          <w:tcPr>
            <w:tcW w:w="1012" w:type="pct"/>
            <w:tcBorders>
              <w:top w:val="single" w:color="5B9BD5" w:sz="8" w:space="0"/>
              <w:left w:val="nil"/>
              <w:bottom w:val="single" w:color="5B9BD5" w:sz="8" w:space="0"/>
              <w:right w:val="single" w:color="9BC2E6" w:sz="8" w:space="0"/>
            </w:tcBorders>
            <w:shd w:val="clear" w:color="auto" w:fill="auto"/>
            <w:noWrap/>
            <w:vAlign w:val="center"/>
          </w:tcPr>
          <w:p w14:paraId="31BE48A0">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2024年增加额</w:t>
            </w:r>
          </w:p>
        </w:tc>
        <w:tc>
          <w:tcPr>
            <w:tcW w:w="1012" w:type="pct"/>
            <w:tcBorders>
              <w:top w:val="single" w:color="5B9BD5" w:sz="8" w:space="0"/>
              <w:left w:val="nil"/>
              <w:bottom w:val="single" w:color="5B9BD5" w:sz="8" w:space="0"/>
              <w:right w:val="single" w:color="9BC2E6" w:sz="8" w:space="0"/>
            </w:tcBorders>
            <w:shd w:val="clear" w:color="auto" w:fill="auto"/>
            <w:noWrap/>
            <w:vAlign w:val="center"/>
          </w:tcPr>
          <w:p w14:paraId="31C39797">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2024年减少额</w:t>
            </w:r>
          </w:p>
        </w:tc>
        <w:tc>
          <w:tcPr>
            <w:tcW w:w="966" w:type="pct"/>
            <w:tcBorders>
              <w:top w:val="single" w:color="5B9BD5" w:sz="8" w:space="0"/>
              <w:left w:val="nil"/>
              <w:bottom w:val="single" w:color="5B9BD5" w:sz="8" w:space="0"/>
              <w:right w:val="single" w:color="5B9BD5" w:sz="8" w:space="0"/>
            </w:tcBorders>
            <w:shd w:val="clear" w:color="auto" w:fill="auto"/>
            <w:noWrap/>
            <w:vAlign w:val="center"/>
          </w:tcPr>
          <w:p w14:paraId="5A963DD4">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期末余额</w:t>
            </w:r>
          </w:p>
        </w:tc>
      </w:tr>
      <w:tr w14:paraId="45E933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1041" w:type="pct"/>
            <w:tcBorders>
              <w:top w:val="nil"/>
              <w:left w:val="single" w:color="5B9BD5" w:sz="8" w:space="0"/>
              <w:bottom w:val="single" w:color="9BC2E6" w:sz="8" w:space="0"/>
              <w:right w:val="single" w:color="9BC2E6" w:sz="8" w:space="0"/>
            </w:tcBorders>
            <w:shd w:val="clear" w:color="auto" w:fill="DDEBF7"/>
            <w:vAlign w:val="center"/>
          </w:tcPr>
          <w:p w14:paraId="3F5B2FA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固定资产原值</w:t>
            </w:r>
          </w:p>
        </w:tc>
        <w:tc>
          <w:tcPr>
            <w:tcW w:w="966" w:type="pct"/>
            <w:tcBorders>
              <w:top w:val="nil"/>
              <w:left w:val="nil"/>
              <w:bottom w:val="single" w:color="9BC2E6" w:sz="8" w:space="0"/>
              <w:right w:val="single" w:color="9BC2E6" w:sz="8" w:space="0"/>
            </w:tcBorders>
            <w:shd w:val="clear" w:color="auto" w:fill="DEEBF6" w:themeFill="accent1" w:themeFillTint="32"/>
            <w:noWrap/>
            <w:vAlign w:val="bottom"/>
          </w:tcPr>
          <w:p w14:paraId="15B8185E">
            <w:pPr>
              <w:keepNext w:val="0"/>
              <w:keepLines w:val="0"/>
              <w:widowControl/>
              <w:suppressLineNumbers w:val="0"/>
              <w:jc w:val="right"/>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45,670,481.00</w:t>
            </w:r>
          </w:p>
        </w:tc>
        <w:tc>
          <w:tcPr>
            <w:tcW w:w="1012" w:type="pct"/>
            <w:tcBorders>
              <w:top w:val="nil"/>
              <w:left w:val="nil"/>
              <w:bottom w:val="single" w:color="9BC2E6" w:sz="8" w:space="0"/>
              <w:right w:val="single" w:color="9BC2E6" w:sz="8" w:space="0"/>
            </w:tcBorders>
            <w:shd w:val="clear" w:color="auto" w:fill="DEEBF6" w:themeFill="accent1" w:themeFillTint="32"/>
            <w:noWrap/>
            <w:vAlign w:val="bottom"/>
          </w:tcPr>
          <w:p w14:paraId="0E2497F7">
            <w:pPr>
              <w:keepNext w:val="0"/>
              <w:keepLines w:val="0"/>
              <w:widowControl/>
              <w:suppressLineNumbers w:val="0"/>
              <w:jc w:val="right"/>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259,914.00</w:t>
            </w:r>
          </w:p>
        </w:tc>
        <w:tc>
          <w:tcPr>
            <w:tcW w:w="1012" w:type="pct"/>
            <w:tcBorders>
              <w:top w:val="nil"/>
              <w:left w:val="nil"/>
              <w:bottom w:val="single" w:color="9BC2E6" w:sz="8" w:space="0"/>
              <w:right w:val="single" w:color="9BC2E6" w:sz="8" w:space="0"/>
            </w:tcBorders>
            <w:shd w:val="clear" w:color="auto" w:fill="DEEBF6" w:themeFill="accent1" w:themeFillTint="32"/>
            <w:noWrap/>
            <w:vAlign w:val="bottom"/>
          </w:tcPr>
          <w:p w14:paraId="2B2F9822">
            <w:pPr>
              <w:keepNext w:val="0"/>
              <w:keepLines w:val="0"/>
              <w:widowControl/>
              <w:suppressLineNumbers w:val="0"/>
              <w:jc w:val="right"/>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211,299.00</w:t>
            </w:r>
          </w:p>
        </w:tc>
        <w:tc>
          <w:tcPr>
            <w:tcW w:w="966" w:type="pct"/>
            <w:tcBorders>
              <w:top w:val="nil"/>
              <w:left w:val="nil"/>
              <w:bottom w:val="single" w:color="9BC2E6" w:sz="8" w:space="0"/>
              <w:right w:val="single" w:color="5B9BD5" w:sz="8" w:space="0"/>
            </w:tcBorders>
            <w:shd w:val="clear" w:color="auto" w:fill="DEEBF6" w:themeFill="accent1" w:themeFillTint="32"/>
            <w:noWrap/>
            <w:vAlign w:val="bottom"/>
          </w:tcPr>
          <w:p w14:paraId="7D7A06C4">
            <w:pPr>
              <w:keepNext w:val="0"/>
              <w:keepLines w:val="0"/>
              <w:widowControl/>
              <w:suppressLineNumbers w:val="0"/>
              <w:jc w:val="right"/>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45,719,096.00</w:t>
            </w:r>
          </w:p>
        </w:tc>
      </w:tr>
      <w:tr w14:paraId="66A601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1041" w:type="pct"/>
            <w:tcBorders>
              <w:top w:val="nil"/>
              <w:left w:val="single" w:color="5B9BD5" w:sz="8" w:space="0"/>
              <w:bottom w:val="single" w:color="9BC2E6" w:sz="8" w:space="0"/>
              <w:right w:val="single" w:color="9BC2E6" w:sz="8" w:space="0"/>
            </w:tcBorders>
            <w:shd w:val="clear" w:color="auto" w:fill="auto"/>
            <w:vAlign w:val="center"/>
          </w:tcPr>
          <w:p w14:paraId="1A86476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累计折旧</w:t>
            </w:r>
          </w:p>
        </w:tc>
        <w:tc>
          <w:tcPr>
            <w:tcW w:w="966" w:type="pct"/>
            <w:tcBorders>
              <w:top w:val="nil"/>
              <w:left w:val="nil"/>
              <w:bottom w:val="single" w:color="9BC2E6" w:sz="8" w:space="0"/>
              <w:right w:val="single" w:color="9BC2E6" w:sz="8" w:space="0"/>
            </w:tcBorders>
            <w:shd w:val="clear" w:color="auto" w:fill="auto"/>
            <w:noWrap/>
            <w:vAlign w:val="bottom"/>
          </w:tcPr>
          <w:p w14:paraId="601AE1C8">
            <w:pPr>
              <w:keepNext w:val="0"/>
              <w:keepLines w:val="0"/>
              <w:widowControl/>
              <w:suppressLineNumbers w:val="0"/>
              <w:jc w:val="right"/>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8,769,830.66</w:t>
            </w:r>
          </w:p>
        </w:tc>
        <w:tc>
          <w:tcPr>
            <w:tcW w:w="1012" w:type="pct"/>
            <w:tcBorders>
              <w:top w:val="nil"/>
              <w:left w:val="nil"/>
              <w:bottom w:val="single" w:color="9BC2E6" w:sz="8" w:space="0"/>
              <w:right w:val="single" w:color="9BC2E6" w:sz="8" w:space="0"/>
            </w:tcBorders>
            <w:shd w:val="clear" w:color="auto" w:fill="auto"/>
            <w:noWrap/>
            <w:vAlign w:val="bottom"/>
          </w:tcPr>
          <w:p w14:paraId="1FC129B6">
            <w:pPr>
              <w:keepNext w:val="0"/>
              <w:keepLines w:val="0"/>
              <w:widowControl/>
              <w:suppressLineNumbers w:val="0"/>
              <w:jc w:val="right"/>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1,386,963.36</w:t>
            </w:r>
          </w:p>
        </w:tc>
        <w:tc>
          <w:tcPr>
            <w:tcW w:w="1012" w:type="pct"/>
            <w:tcBorders>
              <w:top w:val="nil"/>
              <w:left w:val="nil"/>
              <w:bottom w:val="single" w:color="9BC2E6" w:sz="8" w:space="0"/>
              <w:right w:val="single" w:color="9BC2E6" w:sz="8" w:space="0"/>
            </w:tcBorders>
            <w:shd w:val="clear" w:color="auto" w:fill="auto"/>
            <w:noWrap/>
            <w:vAlign w:val="bottom"/>
          </w:tcPr>
          <w:p w14:paraId="543092E7">
            <w:pPr>
              <w:keepNext w:val="0"/>
              <w:keepLines w:val="0"/>
              <w:widowControl/>
              <w:suppressLineNumbers w:val="0"/>
              <w:jc w:val="right"/>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196,464.23</w:t>
            </w:r>
          </w:p>
        </w:tc>
        <w:tc>
          <w:tcPr>
            <w:tcW w:w="966" w:type="pct"/>
            <w:tcBorders>
              <w:top w:val="nil"/>
              <w:left w:val="nil"/>
              <w:bottom w:val="single" w:color="9BC2E6" w:sz="8" w:space="0"/>
              <w:right w:val="single" w:color="5B9BD5" w:sz="8" w:space="0"/>
            </w:tcBorders>
            <w:shd w:val="clear" w:color="auto" w:fill="auto"/>
            <w:noWrap/>
            <w:vAlign w:val="bottom"/>
          </w:tcPr>
          <w:p w14:paraId="47132DA1">
            <w:pPr>
              <w:keepNext w:val="0"/>
              <w:keepLines w:val="0"/>
              <w:widowControl/>
              <w:suppressLineNumbers w:val="0"/>
              <w:jc w:val="right"/>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9,960,329.79</w:t>
            </w:r>
          </w:p>
        </w:tc>
      </w:tr>
      <w:tr w14:paraId="633E11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1041" w:type="pct"/>
            <w:tcBorders>
              <w:top w:val="nil"/>
              <w:left w:val="single" w:color="5B9BD5" w:sz="8" w:space="0"/>
              <w:bottom w:val="single" w:color="9BC2E6" w:sz="8" w:space="0"/>
              <w:right w:val="single" w:color="9BC2E6" w:sz="8" w:space="0"/>
            </w:tcBorders>
            <w:shd w:val="clear" w:color="auto" w:fill="DDEBF7"/>
            <w:vAlign w:val="center"/>
          </w:tcPr>
          <w:p w14:paraId="15BC6CB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固定资产净值</w:t>
            </w:r>
          </w:p>
        </w:tc>
        <w:tc>
          <w:tcPr>
            <w:tcW w:w="966" w:type="pct"/>
            <w:tcBorders>
              <w:top w:val="nil"/>
              <w:left w:val="nil"/>
              <w:bottom w:val="single" w:color="9BC2E6" w:sz="8" w:space="0"/>
              <w:right w:val="single" w:color="9BC2E6" w:sz="8" w:space="0"/>
            </w:tcBorders>
            <w:shd w:val="clear" w:color="auto" w:fill="DEEBF6" w:themeFill="accent1" w:themeFillTint="32"/>
            <w:noWrap/>
            <w:vAlign w:val="bottom"/>
          </w:tcPr>
          <w:p w14:paraId="26E1B9D8">
            <w:pPr>
              <w:keepNext w:val="0"/>
              <w:keepLines w:val="0"/>
              <w:widowControl/>
              <w:suppressLineNumbers w:val="0"/>
              <w:jc w:val="right"/>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36,900,650.34</w:t>
            </w:r>
          </w:p>
        </w:tc>
        <w:tc>
          <w:tcPr>
            <w:tcW w:w="1012" w:type="pct"/>
            <w:tcBorders>
              <w:top w:val="nil"/>
              <w:left w:val="nil"/>
              <w:bottom w:val="single" w:color="9BC2E6" w:sz="8" w:space="0"/>
              <w:right w:val="single" w:color="9BC2E6" w:sz="8" w:space="0"/>
            </w:tcBorders>
            <w:shd w:val="clear" w:color="auto" w:fill="DDEBF7"/>
            <w:noWrap/>
            <w:vAlign w:val="center"/>
          </w:tcPr>
          <w:p w14:paraId="24BA8CBD">
            <w:pPr>
              <w:keepNext w:val="0"/>
              <w:keepLines w:val="0"/>
              <w:widowControl/>
              <w:suppressLineNumbers w:val="0"/>
              <w:jc w:val="right"/>
              <w:textAlignment w:val="bottom"/>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2"/>
                <w:szCs w:val="22"/>
                <w:u w:val="none"/>
                <w:lang w:val="en-US" w:eastAsia="zh-CN" w:bidi="ar"/>
              </w:rPr>
              <w:t>-1,127,049.36</w:t>
            </w:r>
          </w:p>
        </w:tc>
        <w:tc>
          <w:tcPr>
            <w:tcW w:w="1012" w:type="pct"/>
            <w:tcBorders>
              <w:top w:val="nil"/>
              <w:left w:val="nil"/>
              <w:bottom w:val="single" w:color="9BC2E6" w:sz="8" w:space="0"/>
              <w:right w:val="single" w:color="9BC2E6" w:sz="8" w:space="0"/>
            </w:tcBorders>
            <w:shd w:val="clear" w:color="auto" w:fill="DDEBF7"/>
            <w:noWrap/>
            <w:vAlign w:val="bottom"/>
          </w:tcPr>
          <w:p w14:paraId="77F89E1D">
            <w:pPr>
              <w:keepNext w:val="0"/>
              <w:keepLines w:val="0"/>
              <w:widowControl/>
              <w:suppressLineNumbers w:val="0"/>
              <w:jc w:val="right"/>
              <w:textAlignment w:val="bottom"/>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kern w:val="0"/>
                <w:sz w:val="22"/>
                <w:szCs w:val="22"/>
                <w:u w:val="none"/>
                <w:lang w:val="en-US" w:eastAsia="zh-CN" w:bidi="ar"/>
              </w:rPr>
              <w:t>14,834.77</w:t>
            </w:r>
          </w:p>
        </w:tc>
        <w:tc>
          <w:tcPr>
            <w:tcW w:w="966" w:type="pct"/>
            <w:tcBorders>
              <w:top w:val="nil"/>
              <w:left w:val="nil"/>
              <w:bottom w:val="single" w:color="9BC2E6" w:sz="8" w:space="0"/>
              <w:right w:val="single" w:color="5B9BD5" w:sz="8" w:space="0"/>
            </w:tcBorders>
            <w:shd w:val="clear" w:color="auto" w:fill="DEEBF6" w:themeFill="accent1" w:themeFillTint="32"/>
            <w:noWrap/>
            <w:vAlign w:val="bottom"/>
          </w:tcPr>
          <w:p w14:paraId="1F5768E3">
            <w:pPr>
              <w:keepNext w:val="0"/>
              <w:keepLines w:val="0"/>
              <w:widowControl/>
              <w:suppressLineNumbers w:val="0"/>
              <w:jc w:val="right"/>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35,758,766.21</w:t>
            </w:r>
          </w:p>
        </w:tc>
      </w:tr>
    </w:tbl>
    <w:p w14:paraId="7B36CA6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outlineLvl w:val="9"/>
        <w:rPr>
          <w:rFonts w:hint="eastAsia" w:ascii="仿宋" w:hAnsi="仿宋" w:eastAsia="仿宋" w:cs="仿宋"/>
          <w:b/>
          <w:bCs/>
          <w:sz w:val="32"/>
          <w:szCs w:val="32"/>
          <w:highlight w:val="none"/>
          <w:lang w:val="en-US" w:eastAsia="zh-CN"/>
        </w:rPr>
      </w:pPr>
      <w:r>
        <w:rPr>
          <w:rFonts w:hint="eastAsia" w:ascii="仿宋" w:hAnsi="仿宋" w:eastAsia="仿宋" w:cs="仿宋"/>
          <w:b/>
          <w:bCs/>
          <w:sz w:val="32"/>
          <w:szCs w:val="32"/>
          <w:highlight w:val="none"/>
          <w:lang w:val="en-US" w:eastAsia="zh-CN"/>
        </w:rPr>
        <w:t>无形资产为土地使用权，2024年原值及摊销变动情况见下表（金额：元）：</w:t>
      </w:r>
    </w:p>
    <w:tbl>
      <w:tblPr>
        <w:tblStyle w:val="15"/>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772"/>
        <w:gridCol w:w="1645"/>
        <w:gridCol w:w="1724"/>
        <w:gridCol w:w="1724"/>
        <w:gridCol w:w="1648"/>
      </w:tblGrid>
      <w:tr w14:paraId="0A5B29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1041" w:type="pct"/>
            <w:tcBorders>
              <w:top w:val="single" w:color="5B9BD5" w:sz="8" w:space="0"/>
              <w:left w:val="single" w:color="5B9BD5" w:sz="8" w:space="0"/>
              <w:bottom w:val="single" w:color="5B9BD5" w:sz="8" w:space="0"/>
              <w:right w:val="single" w:color="9BC2E6" w:sz="8" w:space="0"/>
            </w:tcBorders>
            <w:shd w:val="clear" w:color="auto" w:fill="auto"/>
            <w:vAlign w:val="center"/>
          </w:tcPr>
          <w:p w14:paraId="11D30E7D">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项目名称</w:t>
            </w:r>
          </w:p>
        </w:tc>
        <w:tc>
          <w:tcPr>
            <w:tcW w:w="966" w:type="pct"/>
            <w:tcBorders>
              <w:top w:val="single" w:color="5B9BD5" w:sz="8" w:space="0"/>
              <w:left w:val="nil"/>
              <w:bottom w:val="single" w:color="5B9BD5" w:sz="8" w:space="0"/>
              <w:right w:val="single" w:color="9BC2E6" w:sz="8" w:space="0"/>
            </w:tcBorders>
            <w:shd w:val="clear" w:color="auto" w:fill="auto"/>
            <w:noWrap/>
            <w:vAlign w:val="center"/>
          </w:tcPr>
          <w:p w14:paraId="00BE44B1">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期初余额</w:t>
            </w:r>
          </w:p>
        </w:tc>
        <w:tc>
          <w:tcPr>
            <w:tcW w:w="1012" w:type="pct"/>
            <w:tcBorders>
              <w:top w:val="single" w:color="5B9BD5" w:sz="8" w:space="0"/>
              <w:left w:val="nil"/>
              <w:bottom w:val="single" w:color="5B9BD5" w:sz="8" w:space="0"/>
              <w:right w:val="single" w:color="9BC2E6" w:sz="8" w:space="0"/>
            </w:tcBorders>
            <w:shd w:val="clear" w:color="auto" w:fill="auto"/>
            <w:noWrap/>
            <w:vAlign w:val="center"/>
          </w:tcPr>
          <w:p w14:paraId="7107ECBE">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2024年增加额</w:t>
            </w:r>
          </w:p>
        </w:tc>
        <w:tc>
          <w:tcPr>
            <w:tcW w:w="1012" w:type="pct"/>
            <w:tcBorders>
              <w:top w:val="single" w:color="5B9BD5" w:sz="8" w:space="0"/>
              <w:left w:val="nil"/>
              <w:bottom w:val="single" w:color="5B9BD5" w:sz="8" w:space="0"/>
              <w:right w:val="single" w:color="9BC2E6" w:sz="8" w:space="0"/>
            </w:tcBorders>
            <w:shd w:val="clear" w:color="auto" w:fill="auto"/>
            <w:noWrap/>
            <w:vAlign w:val="center"/>
          </w:tcPr>
          <w:p w14:paraId="262836ED">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2024年减少额</w:t>
            </w:r>
          </w:p>
        </w:tc>
        <w:tc>
          <w:tcPr>
            <w:tcW w:w="966" w:type="pct"/>
            <w:tcBorders>
              <w:top w:val="single" w:color="5B9BD5" w:sz="8" w:space="0"/>
              <w:left w:val="nil"/>
              <w:bottom w:val="single" w:color="5B9BD5" w:sz="8" w:space="0"/>
              <w:right w:val="single" w:color="5B9BD5" w:sz="8" w:space="0"/>
            </w:tcBorders>
            <w:shd w:val="clear" w:color="auto" w:fill="auto"/>
            <w:noWrap/>
            <w:vAlign w:val="center"/>
          </w:tcPr>
          <w:p w14:paraId="261207DA">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期末余额</w:t>
            </w:r>
          </w:p>
        </w:tc>
      </w:tr>
      <w:tr w14:paraId="122A8F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1041" w:type="pct"/>
            <w:tcBorders>
              <w:top w:val="nil"/>
              <w:left w:val="single" w:color="5B9BD5" w:sz="8" w:space="0"/>
              <w:bottom w:val="single" w:color="9BC2E6" w:sz="8" w:space="0"/>
              <w:right w:val="single" w:color="9BC2E6" w:sz="8" w:space="0"/>
            </w:tcBorders>
            <w:shd w:val="clear" w:color="auto" w:fill="DDEBF7"/>
            <w:vAlign w:val="center"/>
          </w:tcPr>
          <w:p w14:paraId="6984581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无形资产原值</w:t>
            </w:r>
          </w:p>
        </w:tc>
        <w:tc>
          <w:tcPr>
            <w:tcW w:w="966" w:type="pct"/>
            <w:tcBorders>
              <w:top w:val="nil"/>
              <w:left w:val="nil"/>
              <w:bottom w:val="single" w:color="9BC2E6" w:sz="8" w:space="0"/>
              <w:right w:val="single" w:color="9BC2E6" w:sz="8" w:space="0"/>
            </w:tcBorders>
            <w:shd w:val="clear" w:color="auto" w:fill="DEEBF6" w:themeFill="accent1" w:themeFillTint="32"/>
            <w:noWrap/>
            <w:vAlign w:val="bottom"/>
          </w:tcPr>
          <w:p w14:paraId="7A9BE346">
            <w:pPr>
              <w:keepNext w:val="0"/>
              <w:keepLines w:val="0"/>
              <w:widowControl/>
              <w:suppressLineNumbers w:val="0"/>
              <w:jc w:val="right"/>
              <w:textAlignment w:val="bottom"/>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1.00</w:t>
            </w:r>
          </w:p>
        </w:tc>
        <w:tc>
          <w:tcPr>
            <w:tcW w:w="1012" w:type="pct"/>
            <w:tcBorders>
              <w:top w:val="nil"/>
              <w:left w:val="nil"/>
              <w:bottom w:val="single" w:color="9BC2E6" w:sz="8" w:space="0"/>
              <w:right w:val="single" w:color="9BC2E6" w:sz="8" w:space="0"/>
            </w:tcBorders>
            <w:shd w:val="clear" w:color="auto" w:fill="DEEBF6" w:themeFill="accent1" w:themeFillTint="32"/>
            <w:noWrap/>
            <w:vAlign w:val="bottom"/>
          </w:tcPr>
          <w:p w14:paraId="14E82CF3">
            <w:pPr>
              <w:keepNext w:val="0"/>
              <w:keepLines w:val="0"/>
              <w:widowControl/>
              <w:suppressLineNumbers w:val="0"/>
              <w:jc w:val="right"/>
              <w:textAlignment w:val="bottom"/>
              <w:rPr>
                <w:rFonts w:hint="eastAsia" w:ascii="宋体" w:hAnsi="宋体" w:eastAsia="宋体" w:cs="宋体"/>
                <w:i w:val="0"/>
                <w:iCs w:val="0"/>
                <w:color w:val="000000"/>
                <w:kern w:val="0"/>
                <w:sz w:val="22"/>
                <w:szCs w:val="22"/>
                <w:u w:val="none"/>
                <w:lang w:val="en-US" w:eastAsia="zh-CN" w:bidi="ar"/>
              </w:rPr>
            </w:pPr>
          </w:p>
        </w:tc>
        <w:tc>
          <w:tcPr>
            <w:tcW w:w="1012" w:type="pct"/>
            <w:tcBorders>
              <w:top w:val="nil"/>
              <w:left w:val="nil"/>
              <w:bottom w:val="single" w:color="9BC2E6" w:sz="8" w:space="0"/>
              <w:right w:val="single" w:color="9BC2E6" w:sz="8" w:space="0"/>
            </w:tcBorders>
            <w:shd w:val="clear" w:color="auto" w:fill="DEEBF6" w:themeFill="accent1" w:themeFillTint="32"/>
            <w:noWrap/>
            <w:vAlign w:val="bottom"/>
          </w:tcPr>
          <w:p w14:paraId="129AE50A">
            <w:pPr>
              <w:keepNext w:val="0"/>
              <w:keepLines w:val="0"/>
              <w:widowControl/>
              <w:suppressLineNumbers w:val="0"/>
              <w:jc w:val="right"/>
              <w:textAlignment w:val="bottom"/>
              <w:rPr>
                <w:rFonts w:hint="eastAsia" w:ascii="宋体" w:hAnsi="宋体" w:eastAsia="宋体" w:cs="宋体"/>
                <w:i w:val="0"/>
                <w:iCs w:val="0"/>
                <w:color w:val="000000"/>
                <w:kern w:val="0"/>
                <w:sz w:val="22"/>
                <w:szCs w:val="22"/>
                <w:u w:val="none"/>
                <w:lang w:val="en-US" w:eastAsia="zh-CN" w:bidi="ar"/>
              </w:rPr>
            </w:pPr>
          </w:p>
        </w:tc>
        <w:tc>
          <w:tcPr>
            <w:tcW w:w="1647" w:type="dxa"/>
            <w:tcBorders>
              <w:top w:val="nil"/>
              <w:left w:val="nil"/>
              <w:bottom w:val="single" w:color="9BC2E6" w:sz="8" w:space="0"/>
              <w:right w:val="single" w:color="5B9BD5" w:sz="8" w:space="0"/>
            </w:tcBorders>
            <w:shd w:val="clear" w:color="auto" w:fill="DEEBF6" w:themeFill="accent1" w:themeFillTint="32"/>
            <w:noWrap/>
            <w:vAlign w:val="bottom"/>
          </w:tcPr>
          <w:p w14:paraId="3DF0A671">
            <w:pPr>
              <w:keepNext w:val="0"/>
              <w:keepLines w:val="0"/>
              <w:widowControl/>
              <w:suppressLineNumbers w:val="0"/>
              <w:jc w:val="right"/>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1.00</w:t>
            </w:r>
          </w:p>
        </w:tc>
      </w:tr>
      <w:tr w14:paraId="286C27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1041" w:type="pct"/>
            <w:tcBorders>
              <w:top w:val="nil"/>
              <w:left w:val="single" w:color="5B9BD5" w:sz="8" w:space="0"/>
              <w:bottom w:val="single" w:color="9BC2E6" w:sz="8" w:space="0"/>
              <w:right w:val="single" w:color="9BC2E6" w:sz="8" w:space="0"/>
            </w:tcBorders>
            <w:shd w:val="clear" w:color="auto" w:fill="auto"/>
            <w:vAlign w:val="center"/>
          </w:tcPr>
          <w:p w14:paraId="3D8D86E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累计摊销</w:t>
            </w:r>
          </w:p>
        </w:tc>
        <w:tc>
          <w:tcPr>
            <w:tcW w:w="966" w:type="pct"/>
            <w:tcBorders>
              <w:top w:val="nil"/>
              <w:left w:val="nil"/>
              <w:bottom w:val="single" w:color="9BC2E6" w:sz="8" w:space="0"/>
              <w:right w:val="single" w:color="9BC2E6" w:sz="8" w:space="0"/>
            </w:tcBorders>
            <w:shd w:val="clear" w:color="auto" w:fill="auto"/>
            <w:noWrap/>
            <w:vAlign w:val="bottom"/>
          </w:tcPr>
          <w:p w14:paraId="296472E1">
            <w:pPr>
              <w:keepNext w:val="0"/>
              <w:keepLines w:val="0"/>
              <w:widowControl/>
              <w:suppressLineNumbers w:val="0"/>
              <w:jc w:val="right"/>
              <w:textAlignment w:val="bottom"/>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012" w:type="pct"/>
            <w:tcBorders>
              <w:top w:val="nil"/>
              <w:left w:val="nil"/>
              <w:bottom w:val="single" w:color="9BC2E6" w:sz="8" w:space="0"/>
              <w:right w:val="single" w:color="9BC2E6" w:sz="8" w:space="0"/>
            </w:tcBorders>
            <w:shd w:val="clear" w:color="auto" w:fill="auto"/>
            <w:noWrap/>
            <w:vAlign w:val="bottom"/>
          </w:tcPr>
          <w:p w14:paraId="2ACC5491">
            <w:pPr>
              <w:keepNext w:val="0"/>
              <w:keepLines w:val="0"/>
              <w:widowControl/>
              <w:suppressLineNumbers w:val="0"/>
              <w:jc w:val="right"/>
              <w:textAlignment w:val="bottom"/>
              <w:rPr>
                <w:rFonts w:hint="eastAsia" w:ascii="宋体" w:hAnsi="宋体" w:eastAsia="宋体" w:cs="宋体"/>
                <w:i w:val="0"/>
                <w:iCs w:val="0"/>
                <w:color w:val="000000"/>
                <w:kern w:val="0"/>
                <w:sz w:val="22"/>
                <w:szCs w:val="22"/>
                <w:u w:val="none"/>
                <w:lang w:val="en-US" w:eastAsia="zh-CN" w:bidi="ar"/>
              </w:rPr>
            </w:pPr>
          </w:p>
        </w:tc>
        <w:tc>
          <w:tcPr>
            <w:tcW w:w="1012" w:type="pct"/>
            <w:tcBorders>
              <w:top w:val="nil"/>
              <w:left w:val="nil"/>
              <w:bottom w:val="single" w:color="9BC2E6" w:sz="8" w:space="0"/>
              <w:right w:val="single" w:color="9BC2E6" w:sz="8" w:space="0"/>
            </w:tcBorders>
            <w:shd w:val="clear" w:color="auto" w:fill="auto"/>
            <w:noWrap/>
            <w:vAlign w:val="bottom"/>
          </w:tcPr>
          <w:p w14:paraId="090A4A40">
            <w:pPr>
              <w:keepNext w:val="0"/>
              <w:keepLines w:val="0"/>
              <w:widowControl/>
              <w:suppressLineNumbers w:val="0"/>
              <w:jc w:val="right"/>
              <w:textAlignment w:val="bottom"/>
              <w:rPr>
                <w:rFonts w:hint="eastAsia" w:ascii="宋体" w:hAnsi="宋体" w:eastAsia="宋体" w:cs="宋体"/>
                <w:i w:val="0"/>
                <w:iCs w:val="0"/>
                <w:color w:val="000000"/>
                <w:kern w:val="0"/>
                <w:sz w:val="22"/>
                <w:szCs w:val="22"/>
                <w:u w:val="none"/>
                <w:lang w:val="en-US" w:eastAsia="zh-CN" w:bidi="ar"/>
              </w:rPr>
            </w:pPr>
          </w:p>
        </w:tc>
        <w:tc>
          <w:tcPr>
            <w:tcW w:w="1647" w:type="dxa"/>
            <w:tcBorders>
              <w:top w:val="nil"/>
              <w:left w:val="nil"/>
              <w:bottom w:val="single" w:color="9BC2E6" w:sz="8" w:space="0"/>
              <w:right w:val="single" w:color="5B9BD5" w:sz="8" w:space="0"/>
            </w:tcBorders>
            <w:shd w:val="clear" w:color="auto" w:fill="auto"/>
            <w:noWrap/>
            <w:vAlign w:val="bottom"/>
          </w:tcPr>
          <w:p w14:paraId="17D96606">
            <w:pPr>
              <w:keepNext w:val="0"/>
              <w:keepLines w:val="0"/>
              <w:widowControl/>
              <w:suppressLineNumbers w:val="0"/>
              <w:jc w:val="right"/>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14:paraId="07B5DE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1041" w:type="pct"/>
            <w:tcBorders>
              <w:top w:val="nil"/>
              <w:left w:val="single" w:color="5B9BD5" w:sz="8" w:space="0"/>
              <w:bottom w:val="single" w:color="9BC2E6" w:sz="8" w:space="0"/>
              <w:right w:val="single" w:color="9BC2E6" w:sz="8" w:space="0"/>
            </w:tcBorders>
            <w:shd w:val="clear" w:color="auto" w:fill="DDEBF7"/>
            <w:vAlign w:val="center"/>
          </w:tcPr>
          <w:p w14:paraId="6CAA35B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无形资产净值</w:t>
            </w:r>
          </w:p>
        </w:tc>
        <w:tc>
          <w:tcPr>
            <w:tcW w:w="966" w:type="pct"/>
            <w:tcBorders>
              <w:top w:val="nil"/>
              <w:left w:val="nil"/>
              <w:bottom w:val="single" w:color="9BC2E6" w:sz="8" w:space="0"/>
              <w:right w:val="single" w:color="9BC2E6" w:sz="8" w:space="0"/>
            </w:tcBorders>
            <w:shd w:val="clear" w:color="auto" w:fill="DEEBF6" w:themeFill="accent1" w:themeFillTint="32"/>
            <w:noWrap/>
            <w:vAlign w:val="bottom"/>
          </w:tcPr>
          <w:p w14:paraId="2D88164B">
            <w:pPr>
              <w:keepNext w:val="0"/>
              <w:keepLines w:val="0"/>
              <w:widowControl/>
              <w:suppressLineNumbers w:val="0"/>
              <w:jc w:val="right"/>
              <w:textAlignment w:val="bottom"/>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1.00</w:t>
            </w:r>
          </w:p>
        </w:tc>
        <w:tc>
          <w:tcPr>
            <w:tcW w:w="1012" w:type="pct"/>
            <w:tcBorders>
              <w:top w:val="nil"/>
              <w:left w:val="nil"/>
              <w:bottom w:val="single" w:color="9BC2E6" w:sz="8" w:space="0"/>
              <w:right w:val="single" w:color="9BC2E6" w:sz="8" w:space="0"/>
            </w:tcBorders>
            <w:shd w:val="clear" w:color="auto" w:fill="DDEBF7"/>
            <w:noWrap/>
            <w:vAlign w:val="center"/>
          </w:tcPr>
          <w:p w14:paraId="1DF04882">
            <w:pPr>
              <w:keepNext w:val="0"/>
              <w:keepLines w:val="0"/>
              <w:widowControl/>
              <w:suppressLineNumbers w:val="0"/>
              <w:jc w:val="right"/>
              <w:textAlignment w:val="bottom"/>
              <w:rPr>
                <w:rFonts w:hint="default" w:ascii="宋体" w:hAnsi="宋体" w:eastAsia="宋体" w:cs="宋体"/>
                <w:i w:val="0"/>
                <w:iCs w:val="0"/>
                <w:color w:val="000000"/>
                <w:sz w:val="24"/>
                <w:szCs w:val="24"/>
                <w:u w:val="none"/>
                <w:lang w:val="en-US"/>
              </w:rPr>
            </w:pPr>
          </w:p>
        </w:tc>
        <w:tc>
          <w:tcPr>
            <w:tcW w:w="1012" w:type="pct"/>
            <w:tcBorders>
              <w:top w:val="nil"/>
              <w:left w:val="nil"/>
              <w:bottom w:val="single" w:color="9BC2E6" w:sz="8" w:space="0"/>
              <w:right w:val="single" w:color="9BC2E6" w:sz="8" w:space="0"/>
            </w:tcBorders>
            <w:shd w:val="clear" w:color="auto" w:fill="DDEBF7"/>
            <w:noWrap/>
            <w:vAlign w:val="bottom"/>
          </w:tcPr>
          <w:p w14:paraId="6409967C">
            <w:pPr>
              <w:keepNext w:val="0"/>
              <w:keepLines w:val="0"/>
              <w:widowControl/>
              <w:suppressLineNumbers w:val="0"/>
              <w:jc w:val="right"/>
              <w:textAlignment w:val="bottom"/>
              <w:rPr>
                <w:rFonts w:hint="default" w:ascii="宋体" w:hAnsi="宋体" w:eastAsia="宋体" w:cs="宋体"/>
                <w:i w:val="0"/>
                <w:iCs w:val="0"/>
                <w:color w:val="000000"/>
                <w:sz w:val="24"/>
                <w:szCs w:val="24"/>
                <w:u w:val="none"/>
                <w:lang w:val="en-US" w:eastAsia="zh-CN"/>
              </w:rPr>
            </w:pPr>
          </w:p>
        </w:tc>
        <w:tc>
          <w:tcPr>
            <w:tcW w:w="1647" w:type="dxa"/>
            <w:tcBorders>
              <w:top w:val="nil"/>
              <w:left w:val="nil"/>
              <w:bottom w:val="single" w:color="9BC2E6" w:sz="8" w:space="0"/>
              <w:right w:val="single" w:color="5B9BD5" w:sz="8" w:space="0"/>
            </w:tcBorders>
            <w:shd w:val="clear" w:color="auto" w:fill="DEEBF6" w:themeFill="accent1" w:themeFillTint="32"/>
            <w:noWrap/>
            <w:vAlign w:val="bottom"/>
          </w:tcPr>
          <w:p w14:paraId="385AEF52">
            <w:pPr>
              <w:keepNext w:val="0"/>
              <w:keepLines w:val="0"/>
              <w:widowControl/>
              <w:suppressLineNumbers w:val="0"/>
              <w:jc w:val="right"/>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1.00</w:t>
            </w:r>
          </w:p>
        </w:tc>
      </w:tr>
    </w:tbl>
    <w:p w14:paraId="5786403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3" w:firstLineChars="200"/>
        <w:jc w:val="both"/>
        <w:textAlignment w:val="auto"/>
        <w:outlineLvl w:val="1"/>
        <w:rPr>
          <w:rFonts w:hint="eastAsia" w:ascii="楷体" w:hAnsi="楷体" w:eastAsia="楷体" w:cs="楷体"/>
          <w:b/>
          <w:bCs/>
          <w:sz w:val="32"/>
          <w:szCs w:val="32"/>
          <w:highlight w:val="none"/>
          <w:lang w:val="en-US" w:eastAsia="zh-CN"/>
        </w:rPr>
      </w:pPr>
      <w:bookmarkStart w:id="36" w:name="_Toc27688"/>
      <w:r>
        <w:rPr>
          <w:rFonts w:hint="eastAsia" w:ascii="楷体" w:hAnsi="楷体" w:eastAsia="楷体" w:cs="楷体"/>
          <w:b/>
          <w:bCs/>
          <w:sz w:val="32"/>
          <w:szCs w:val="32"/>
          <w:highlight w:val="none"/>
          <w:lang w:val="en-US" w:eastAsia="zh-CN"/>
        </w:rPr>
        <w:t>（八）厉行节约保障措施的执行情况及其政策效果</w:t>
      </w:r>
      <w:bookmarkEnd w:id="36"/>
    </w:p>
    <w:p w14:paraId="44BF032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未提供行节约保障措施的执行情况。</w:t>
      </w:r>
    </w:p>
    <w:p w14:paraId="7E5B6A5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0"/>
        <w:rPr>
          <w:rFonts w:hint="eastAsia" w:ascii="楷体" w:hAnsi="楷体" w:eastAsia="楷体" w:cs="楷体"/>
          <w:b/>
          <w:bCs/>
          <w:sz w:val="32"/>
          <w:szCs w:val="32"/>
          <w:highlight w:val="none"/>
          <w:lang w:eastAsia="zh-CN"/>
        </w:rPr>
      </w:pPr>
      <w:bookmarkStart w:id="37" w:name="_Toc32276"/>
      <w:r>
        <w:rPr>
          <w:rFonts w:hint="eastAsia" w:ascii="黑体" w:hAnsi="黑体" w:eastAsia="黑体" w:cs="黑体"/>
          <w:sz w:val="32"/>
          <w:szCs w:val="32"/>
          <w:highlight w:val="none"/>
          <w:lang w:val="en-US" w:eastAsia="zh-CN"/>
        </w:rPr>
        <w:t>四</w:t>
      </w:r>
      <w:r>
        <w:rPr>
          <w:rFonts w:hint="eastAsia" w:ascii="黑体" w:hAnsi="黑体" w:eastAsia="黑体" w:cs="黑体"/>
          <w:sz w:val="32"/>
          <w:szCs w:val="32"/>
          <w:highlight w:val="none"/>
          <w:lang w:eastAsia="zh-CN"/>
        </w:rPr>
        <w:t>、</w:t>
      </w:r>
      <w:r>
        <w:rPr>
          <w:rFonts w:hint="eastAsia" w:ascii="黑体" w:hAnsi="黑体" w:eastAsia="黑体" w:cs="黑体"/>
          <w:sz w:val="32"/>
          <w:szCs w:val="32"/>
          <w:highlight w:val="none"/>
          <w:lang w:val="en-US" w:eastAsia="zh-CN"/>
        </w:rPr>
        <w:t>部门</w:t>
      </w:r>
      <w:r>
        <w:rPr>
          <w:rFonts w:hint="eastAsia" w:ascii="黑体" w:hAnsi="黑体" w:eastAsia="黑体" w:cs="黑体"/>
          <w:sz w:val="32"/>
          <w:szCs w:val="32"/>
          <w:highlight w:val="none"/>
          <w:lang w:eastAsia="zh-CN"/>
        </w:rPr>
        <w:t>绩效目标</w:t>
      </w:r>
      <w:bookmarkEnd w:id="37"/>
    </w:p>
    <w:p w14:paraId="5A6DA203">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outlineLvl w:val="1"/>
        <w:rPr>
          <w:rFonts w:hint="eastAsia" w:ascii="仿宋" w:hAnsi="仿宋" w:eastAsia="仿宋" w:cs="仿宋"/>
          <w:b w:val="0"/>
          <w:bCs w:val="0"/>
          <w:sz w:val="32"/>
          <w:szCs w:val="32"/>
          <w:lang w:eastAsia="zh-CN"/>
        </w:rPr>
      </w:pPr>
      <w:bookmarkStart w:id="38" w:name="_Toc17990"/>
      <w:r>
        <w:rPr>
          <w:rFonts w:hint="eastAsia" w:ascii="楷体" w:hAnsi="楷体" w:eastAsia="楷体" w:cs="楷体"/>
          <w:b/>
          <w:bCs/>
          <w:sz w:val="32"/>
          <w:szCs w:val="32"/>
          <w:lang w:eastAsia="zh-CN"/>
        </w:rPr>
        <w:t>（一）总体目标</w:t>
      </w:r>
      <w:bookmarkEnd w:id="38"/>
    </w:p>
    <w:p w14:paraId="5C6B7CCF">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outlineLvl w:val="9"/>
        <w:rPr>
          <w:rFonts w:hint="eastAsia"/>
          <w:lang w:eastAsia="zh-CN"/>
        </w:rPr>
      </w:pPr>
      <w:r>
        <w:rPr>
          <w:rFonts w:hint="eastAsia" w:ascii="仿宋" w:hAnsi="仿宋" w:eastAsia="仿宋" w:cs="仿宋"/>
          <w:b/>
          <w:bCs/>
          <w:sz w:val="32"/>
          <w:szCs w:val="32"/>
          <w:highlight w:val="none"/>
          <w:lang w:val="en-US" w:eastAsia="zh-CN"/>
        </w:rPr>
        <w:t>全面履行“三服务”核心职能，以最高标准、最严要求、最实作风，确保区政府高效运转、政令畅通，全力保障区委区政府重大决策部署落地见效，推动区域经济社会高质量发展取得新突破，实现政务服务能力、统筹协调水平、自身建设质效“三个全面提升”。</w:t>
      </w:r>
    </w:p>
    <w:p w14:paraId="495FBA3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00"/>
        <w:jc w:val="both"/>
        <w:textAlignment w:val="auto"/>
        <w:outlineLvl w:val="1"/>
        <w:rPr>
          <w:rFonts w:hint="eastAsia" w:ascii="仿宋" w:hAnsi="仿宋" w:eastAsia="仿宋" w:cs="仿宋"/>
          <w:sz w:val="32"/>
          <w:szCs w:val="32"/>
          <w:highlight w:val="none"/>
          <w:lang w:val="en-US" w:eastAsia="zh-CN"/>
        </w:rPr>
      </w:pPr>
      <w:bookmarkStart w:id="39" w:name="_Toc14718"/>
      <w:r>
        <w:rPr>
          <w:rFonts w:hint="eastAsia" w:ascii="楷体" w:hAnsi="楷体" w:eastAsia="楷体" w:cs="楷体"/>
          <w:b/>
          <w:bCs/>
          <w:sz w:val="32"/>
          <w:szCs w:val="32"/>
          <w:lang w:eastAsia="zh-CN"/>
        </w:rPr>
        <w:t>（</w:t>
      </w:r>
      <w:r>
        <w:rPr>
          <w:rFonts w:hint="eastAsia" w:ascii="楷体" w:hAnsi="楷体" w:eastAsia="楷体" w:cs="楷体"/>
          <w:b/>
          <w:bCs/>
          <w:sz w:val="32"/>
          <w:szCs w:val="32"/>
          <w:lang w:val="en-US" w:eastAsia="zh-CN"/>
        </w:rPr>
        <w:t>二</w:t>
      </w:r>
      <w:r>
        <w:rPr>
          <w:rFonts w:hint="eastAsia" w:ascii="楷体" w:hAnsi="楷体" w:eastAsia="楷体" w:cs="楷体"/>
          <w:b/>
          <w:bCs/>
          <w:sz w:val="32"/>
          <w:szCs w:val="32"/>
          <w:lang w:eastAsia="zh-CN"/>
        </w:rPr>
        <w:t>）分类目标</w:t>
      </w:r>
      <w:bookmarkEnd w:id="39"/>
      <w:bookmarkStart w:id="40" w:name="_Toc29770"/>
      <w:bookmarkStart w:id="41" w:name="_Toc6424"/>
    </w:p>
    <w:p w14:paraId="7360C1F1">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outlineLvl w:val="9"/>
        <w:rPr>
          <w:rFonts w:hint="eastAsia" w:ascii="仿宋" w:hAnsi="仿宋" w:eastAsia="仿宋" w:cs="仿宋"/>
          <w:b/>
          <w:bCs/>
          <w:sz w:val="32"/>
          <w:szCs w:val="32"/>
          <w:highlight w:val="none"/>
          <w:lang w:val="en-US" w:eastAsia="zh-CN"/>
        </w:rPr>
      </w:pPr>
      <w:r>
        <w:rPr>
          <w:rFonts w:hint="eastAsia" w:ascii="仿宋" w:hAnsi="仿宋" w:eastAsia="仿宋" w:cs="仿宋"/>
          <w:b/>
          <w:bCs/>
          <w:sz w:val="32"/>
          <w:szCs w:val="32"/>
          <w:highlight w:val="none"/>
          <w:lang w:val="en-US" w:eastAsia="zh-CN"/>
        </w:rPr>
        <w:t>1.聚焦中心大局，强化保障执行</w:t>
      </w:r>
    </w:p>
    <w:p w14:paraId="1D71AFB5">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outlineLvl w:val="9"/>
        <w:rPr>
          <w:rFonts w:hint="eastAsia" w:ascii="仿宋" w:hAnsi="仿宋" w:eastAsia="仿宋" w:cs="仿宋"/>
          <w:b/>
          <w:bCs/>
          <w:sz w:val="32"/>
          <w:szCs w:val="32"/>
          <w:highlight w:val="none"/>
          <w:lang w:val="en-US" w:eastAsia="zh-CN"/>
        </w:rPr>
      </w:pPr>
      <w:r>
        <w:rPr>
          <w:rFonts w:hint="eastAsia" w:ascii="仿宋" w:hAnsi="仿宋" w:eastAsia="仿宋" w:cs="仿宋"/>
          <w:b/>
          <w:bCs/>
          <w:sz w:val="32"/>
          <w:szCs w:val="32"/>
          <w:highlight w:val="none"/>
          <w:lang w:val="en-US" w:eastAsia="zh-CN"/>
        </w:rPr>
        <w:t>A确保政令畅通与高效运转。统筹调度精准率：</w:t>
      </w:r>
      <w:r>
        <w:rPr>
          <w:rFonts w:hint="eastAsia" w:ascii="仿宋" w:hAnsi="仿宋" w:eastAsia="仿宋" w:cs="仿宋"/>
          <w:b w:val="0"/>
          <w:bCs w:val="0"/>
          <w:sz w:val="32"/>
          <w:szCs w:val="32"/>
          <w:highlight w:val="none"/>
          <w:lang w:val="en-US" w:eastAsia="zh-CN"/>
        </w:rPr>
        <w:t>区长活动安排、月度工作动态汇报制度执行率100%；重大活动、重要会议协调保障“零失误”。</w:t>
      </w:r>
      <w:r>
        <w:rPr>
          <w:rFonts w:hint="eastAsia" w:ascii="仿宋" w:hAnsi="仿宋" w:eastAsia="仿宋" w:cs="仿宋"/>
          <w:b/>
          <w:bCs/>
          <w:sz w:val="32"/>
          <w:szCs w:val="32"/>
          <w:highlight w:val="none"/>
          <w:lang w:val="en-US" w:eastAsia="zh-CN"/>
        </w:rPr>
        <w:t>减负增效落实度：</w:t>
      </w:r>
      <w:r>
        <w:rPr>
          <w:rFonts w:hint="eastAsia" w:ascii="仿宋" w:hAnsi="仿宋" w:eastAsia="仿宋" w:cs="仿宋"/>
          <w:b w:val="0"/>
          <w:bCs w:val="0"/>
          <w:sz w:val="32"/>
          <w:szCs w:val="32"/>
          <w:highlight w:val="none"/>
          <w:lang w:val="en-US" w:eastAsia="zh-CN"/>
        </w:rPr>
        <w:t>发文、会议数量同比保持精简或只减不增；“无扰督查”系统全面推行，实地督查频次较上年减少10%。</w:t>
      </w:r>
      <w:r>
        <w:rPr>
          <w:rFonts w:hint="eastAsia" w:ascii="仿宋" w:hAnsi="仿宋" w:eastAsia="仿宋" w:cs="仿宋"/>
          <w:b/>
          <w:bCs/>
          <w:sz w:val="32"/>
          <w:szCs w:val="32"/>
          <w:highlight w:val="none"/>
          <w:lang w:val="en-US" w:eastAsia="zh-CN"/>
        </w:rPr>
        <w:t>应急值守效能：</w:t>
      </w:r>
      <w:r>
        <w:rPr>
          <w:rFonts w:hint="eastAsia" w:ascii="仿宋" w:hAnsi="仿宋" w:eastAsia="仿宋" w:cs="仿宋"/>
          <w:b w:val="0"/>
          <w:bCs w:val="0"/>
          <w:sz w:val="32"/>
          <w:szCs w:val="32"/>
          <w:highlight w:val="none"/>
          <w:lang w:val="en-US" w:eastAsia="zh-CN"/>
        </w:rPr>
        <w:t>总值班室24小时在岗率100%；信息接收传递及时率100%；突发事件首报时间控制在规定时限内，处置率100%；对镇街值班情况抽查每季度不少于1次。</w:t>
      </w:r>
      <w:r>
        <w:rPr>
          <w:rFonts w:hint="eastAsia" w:ascii="仿宋" w:hAnsi="仿宋" w:eastAsia="仿宋" w:cs="仿宋"/>
          <w:b/>
          <w:bCs/>
          <w:sz w:val="32"/>
          <w:szCs w:val="32"/>
          <w:highlight w:val="none"/>
          <w:lang w:val="en-US" w:eastAsia="zh-CN"/>
        </w:rPr>
        <w:t>B推动决策部署落地生根。重点任务分解督办率：</w:t>
      </w:r>
      <w:r>
        <w:rPr>
          <w:rFonts w:hint="eastAsia" w:ascii="仿宋" w:hAnsi="仿宋" w:eastAsia="仿宋" w:cs="仿宋"/>
          <w:b w:val="0"/>
          <w:bCs w:val="0"/>
          <w:sz w:val="32"/>
          <w:szCs w:val="32"/>
          <w:highlight w:val="none"/>
          <w:lang w:val="en-US" w:eastAsia="zh-CN"/>
        </w:rPr>
        <w:t>年度《政府工作报告》等重点任务分解率100%，建立台账，明确责任主体与时限。</w:t>
      </w:r>
      <w:r>
        <w:rPr>
          <w:rFonts w:hint="eastAsia" w:ascii="仿宋" w:hAnsi="仿宋" w:eastAsia="仿宋" w:cs="仿宋"/>
          <w:b/>
          <w:bCs/>
          <w:sz w:val="32"/>
          <w:szCs w:val="32"/>
          <w:highlight w:val="none"/>
          <w:lang w:val="en-US" w:eastAsia="zh-CN"/>
        </w:rPr>
        <w:t>督查督办完成率：</w:t>
      </w:r>
      <w:r>
        <w:rPr>
          <w:rFonts w:hint="eastAsia" w:ascii="仿宋" w:hAnsi="仿宋" w:eastAsia="仿宋" w:cs="仿宋"/>
          <w:b w:val="0"/>
          <w:bCs w:val="0"/>
          <w:sz w:val="32"/>
          <w:szCs w:val="32"/>
          <w:highlight w:val="none"/>
          <w:lang w:val="en-US" w:eastAsia="zh-CN"/>
        </w:rPr>
        <w:t>领导批示交办事项办结率100%，按时反馈率≥95%；民生实事、安全生产等专项督查按计划完成率100%。</w:t>
      </w:r>
      <w:r>
        <w:rPr>
          <w:rFonts w:hint="eastAsia" w:ascii="仿宋" w:hAnsi="仿宋" w:eastAsia="仿宋" w:cs="仿宋"/>
          <w:b/>
          <w:bCs/>
          <w:sz w:val="32"/>
          <w:szCs w:val="32"/>
          <w:highlight w:val="none"/>
          <w:lang w:val="en-US" w:eastAsia="zh-CN"/>
        </w:rPr>
        <w:t>协同督查参与度：</w:t>
      </w:r>
      <w:r>
        <w:rPr>
          <w:rFonts w:hint="eastAsia" w:ascii="仿宋" w:hAnsi="仿宋" w:eastAsia="仿宋" w:cs="仿宋"/>
          <w:b w:val="0"/>
          <w:bCs w:val="0"/>
          <w:sz w:val="32"/>
          <w:szCs w:val="32"/>
          <w:highlight w:val="none"/>
          <w:lang w:val="en-US" w:eastAsia="zh-CN"/>
        </w:rPr>
        <w:t>配合完成上级综合督查任务，参与“三合一”等联合督查，问题协调解决率≥90%。</w:t>
      </w:r>
      <w:r>
        <w:rPr>
          <w:rFonts w:hint="eastAsia" w:ascii="仿宋" w:hAnsi="仿宋" w:eastAsia="仿宋" w:cs="仿宋"/>
          <w:b/>
          <w:bCs/>
          <w:sz w:val="32"/>
          <w:szCs w:val="32"/>
          <w:highlight w:val="none"/>
          <w:lang w:val="en-US" w:eastAsia="zh-CN"/>
        </w:rPr>
        <w:t>C牵头重点工作取得实效。禁毒工作绩效：</w:t>
      </w:r>
      <w:r>
        <w:rPr>
          <w:rFonts w:hint="eastAsia" w:ascii="仿宋" w:hAnsi="仿宋" w:eastAsia="仿宋" w:cs="仿宋"/>
          <w:b w:val="0"/>
          <w:bCs w:val="0"/>
          <w:sz w:val="32"/>
          <w:szCs w:val="32"/>
          <w:highlight w:val="none"/>
          <w:lang w:val="en-US" w:eastAsia="zh-CN"/>
        </w:rPr>
        <w:t>禁毒工作在全市绩效考核排名保持前列；社戒社康人员执行率、管控率保持100%；完成年度毛发检测任务（如：社戒社康及社会面人员检测覆盖率达到目标要求）；开展禁毒宣传“六进”活动不少于XX场，发布稿件不少于XX篇。</w:t>
      </w:r>
      <w:r>
        <w:rPr>
          <w:rFonts w:hint="eastAsia" w:ascii="仿宋" w:hAnsi="仿宋" w:eastAsia="仿宋" w:cs="仿宋"/>
          <w:b/>
          <w:bCs/>
          <w:sz w:val="32"/>
          <w:szCs w:val="32"/>
          <w:highlight w:val="none"/>
          <w:lang w:val="en-US" w:eastAsia="zh-CN"/>
        </w:rPr>
        <w:t>治超工作成效：</w:t>
      </w:r>
      <w:r>
        <w:rPr>
          <w:rFonts w:hint="eastAsia" w:ascii="仿宋" w:hAnsi="仿宋" w:eastAsia="仿宋" w:cs="仿宋"/>
          <w:b w:val="0"/>
          <w:bCs w:val="0"/>
          <w:sz w:val="32"/>
          <w:szCs w:val="32"/>
          <w:highlight w:val="none"/>
          <w:lang w:val="en-US" w:eastAsia="zh-CN"/>
        </w:rPr>
        <w:t>开展各类治超集中整治行动不少于XX次；超限超载车辆查处数量完成年度目标；重点源头企业（年运量15万吨以上）督导覆盖率达100%；科技治超设备（如“同框同屏”系统）正常运行率≥95%。</w:t>
      </w:r>
      <w:r>
        <w:rPr>
          <w:rFonts w:hint="eastAsia" w:ascii="仿宋" w:hAnsi="仿宋" w:eastAsia="仿宋" w:cs="仿宋"/>
          <w:b/>
          <w:bCs/>
          <w:sz w:val="32"/>
          <w:szCs w:val="32"/>
          <w:highlight w:val="none"/>
          <w:lang w:val="en-US" w:eastAsia="zh-CN"/>
        </w:rPr>
        <w:t>金融风险防控与服务水平：</w:t>
      </w:r>
      <w:r>
        <w:rPr>
          <w:rFonts w:hint="eastAsia" w:ascii="仿宋" w:hAnsi="仿宋" w:eastAsia="仿宋" w:cs="仿宋"/>
          <w:b w:val="0"/>
          <w:bCs w:val="0"/>
          <w:sz w:val="32"/>
          <w:szCs w:val="32"/>
          <w:highlight w:val="none"/>
          <w:lang w:val="en-US" w:eastAsia="zh-CN"/>
        </w:rPr>
        <w:t>完成年度上市后备企业摸排与申报指导任务（如：培育指导X家）；组织开展防范非法集资排查整治行动不少于XX次，非法集资陈案结案率提升（如：年度目标50%）；组织开展政银企对接、金融政策宣传活动不少于XX次。</w:t>
      </w:r>
    </w:p>
    <w:p w14:paraId="03FBC00A">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outlineLvl w:val="9"/>
        <w:rPr>
          <w:rFonts w:hint="eastAsia" w:ascii="仿宋" w:hAnsi="仿宋" w:eastAsia="仿宋" w:cs="仿宋"/>
          <w:b/>
          <w:bCs/>
          <w:sz w:val="32"/>
          <w:szCs w:val="32"/>
          <w:highlight w:val="none"/>
          <w:lang w:val="en-US" w:eastAsia="zh-CN"/>
        </w:rPr>
      </w:pPr>
      <w:r>
        <w:rPr>
          <w:rFonts w:hint="eastAsia" w:ascii="仿宋" w:hAnsi="仿宋" w:eastAsia="仿宋" w:cs="仿宋"/>
          <w:b/>
          <w:bCs/>
          <w:sz w:val="32"/>
          <w:szCs w:val="32"/>
          <w:highlight w:val="none"/>
          <w:lang w:val="en-US" w:eastAsia="zh-CN"/>
        </w:rPr>
        <w:t>2.聚焦主责主业，提升政务效能。</w:t>
      </w:r>
    </w:p>
    <w:p w14:paraId="26474CF1">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outlineLvl w:val="9"/>
        <w:rPr>
          <w:rFonts w:hint="eastAsia" w:ascii="仿宋" w:hAnsi="仿宋" w:eastAsia="仿宋" w:cs="仿宋"/>
          <w:b/>
          <w:bCs/>
          <w:sz w:val="32"/>
          <w:szCs w:val="32"/>
          <w:highlight w:val="none"/>
          <w:lang w:val="en-US" w:eastAsia="zh-CN"/>
        </w:rPr>
      </w:pPr>
      <w:r>
        <w:rPr>
          <w:rFonts w:hint="eastAsia" w:ascii="仿宋" w:hAnsi="仿宋" w:eastAsia="仿宋" w:cs="仿宋"/>
          <w:b/>
          <w:bCs/>
          <w:sz w:val="32"/>
          <w:szCs w:val="32"/>
          <w:highlight w:val="none"/>
          <w:lang w:val="en-US" w:eastAsia="zh-CN"/>
        </w:rPr>
        <w:t>A实现文会办理规范高效。办会质量：</w:t>
      </w:r>
      <w:r>
        <w:rPr>
          <w:rFonts w:hint="eastAsia" w:ascii="仿宋" w:hAnsi="仿宋" w:eastAsia="仿宋" w:cs="仿宋"/>
          <w:b w:val="0"/>
          <w:bCs w:val="0"/>
          <w:sz w:val="32"/>
          <w:szCs w:val="32"/>
          <w:highlight w:val="none"/>
          <w:lang w:val="en-US" w:eastAsia="zh-CN"/>
        </w:rPr>
        <w:t>组织区政府常务会、党组会等重要会议，议题审核严谨，会务保障“零差错”。</w:t>
      </w:r>
      <w:r>
        <w:rPr>
          <w:rFonts w:hint="eastAsia" w:ascii="仿宋" w:hAnsi="仿宋" w:eastAsia="仿宋" w:cs="仿宋"/>
          <w:b/>
          <w:bCs/>
          <w:sz w:val="32"/>
          <w:szCs w:val="32"/>
          <w:highlight w:val="none"/>
          <w:lang w:val="en-US" w:eastAsia="zh-CN"/>
        </w:rPr>
        <w:t>办文效率与质量：</w:t>
      </w:r>
      <w:r>
        <w:rPr>
          <w:rFonts w:hint="eastAsia" w:ascii="仿宋" w:hAnsi="仿宋" w:eastAsia="仿宋" w:cs="仿宋"/>
          <w:b w:val="0"/>
          <w:bCs w:val="0"/>
          <w:sz w:val="32"/>
          <w:szCs w:val="32"/>
          <w:highlight w:val="none"/>
          <w:lang w:val="en-US" w:eastAsia="zh-CN"/>
        </w:rPr>
        <w:t>公文流转及时率100%，错情率低于X‰；以政府（办）名义发文控制在合理范围（如211件以内）；保密工作“零事故”。</w:t>
      </w:r>
      <w:r>
        <w:rPr>
          <w:rFonts w:hint="eastAsia" w:ascii="仿宋" w:hAnsi="仿宋" w:eastAsia="仿宋" w:cs="仿宋"/>
          <w:b/>
          <w:bCs/>
          <w:sz w:val="32"/>
          <w:szCs w:val="32"/>
          <w:highlight w:val="none"/>
          <w:lang w:val="en-US" w:eastAsia="zh-CN"/>
        </w:rPr>
        <w:t>档案管理规范度：</w:t>
      </w:r>
      <w:r>
        <w:rPr>
          <w:rFonts w:hint="eastAsia" w:ascii="仿宋" w:hAnsi="仿宋" w:eastAsia="仿宋" w:cs="仿宋"/>
          <w:b w:val="0"/>
          <w:bCs w:val="0"/>
          <w:sz w:val="32"/>
          <w:szCs w:val="32"/>
          <w:highlight w:val="none"/>
          <w:lang w:val="en-US" w:eastAsia="zh-CN"/>
        </w:rPr>
        <w:t>文件归档率100%，分级、分类、编号登记准确率100%。</w:t>
      </w:r>
      <w:r>
        <w:rPr>
          <w:rFonts w:hint="eastAsia" w:ascii="仿宋" w:hAnsi="仿宋" w:eastAsia="仿宋" w:cs="仿宋"/>
          <w:b/>
          <w:bCs/>
          <w:sz w:val="32"/>
          <w:szCs w:val="32"/>
          <w:highlight w:val="none"/>
          <w:lang w:val="en-US" w:eastAsia="zh-CN"/>
        </w:rPr>
        <w:t>B优化日常运转与信息服务。运行成本控制：</w:t>
      </w:r>
      <w:r>
        <w:rPr>
          <w:rFonts w:hint="eastAsia" w:ascii="仿宋" w:hAnsi="仿宋" w:eastAsia="仿宋" w:cs="仿宋"/>
          <w:b w:val="0"/>
          <w:bCs w:val="0"/>
          <w:sz w:val="32"/>
          <w:szCs w:val="32"/>
          <w:highlight w:val="none"/>
          <w:lang w:val="en-US" w:eastAsia="zh-CN"/>
        </w:rPr>
        <w:t>日常办公费用开支较上年压减X%以上（在保障运转前提下）。</w:t>
      </w:r>
      <w:r>
        <w:rPr>
          <w:rFonts w:hint="eastAsia" w:ascii="仿宋" w:hAnsi="仿宋" w:eastAsia="仿宋" w:cs="仿宋"/>
          <w:b/>
          <w:bCs/>
          <w:sz w:val="32"/>
          <w:szCs w:val="32"/>
          <w:highlight w:val="none"/>
          <w:lang w:val="en-US" w:eastAsia="zh-CN"/>
        </w:rPr>
        <w:t>政务信息采用量：</w:t>
      </w:r>
      <w:r>
        <w:rPr>
          <w:rFonts w:hint="eastAsia" w:ascii="仿宋" w:hAnsi="仿宋" w:eastAsia="仿宋" w:cs="仿宋"/>
          <w:b w:val="0"/>
          <w:bCs w:val="0"/>
          <w:sz w:val="32"/>
          <w:szCs w:val="32"/>
          <w:highlight w:val="none"/>
          <w:lang w:val="en-US" w:eastAsia="zh-CN"/>
        </w:rPr>
        <w:t>向市政府办报送信息不少于34篇，力争被省、市采用篇数持续增加（如：省级采用至少1篇）。</w:t>
      </w:r>
      <w:r>
        <w:rPr>
          <w:rFonts w:hint="eastAsia" w:ascii="仿宋" w:hAnsi="仿宋" w:eastAsia="仿宋" w:cs="仿宋"/>
          <w:b/>
          <w:bCs/>
          <w:sz w:val="32"/>
          <w:szCs w:val="32"/>
          <w:highlight w:val="none"/>
          <w:lang w:val="en-US" w:eastAsia="zh-CN"/>
        </w:rPr>
        <w:t>系统指导培训：</w:t>
      </w:r>
      <w:r>
        <w:rPr>
          <w:rFonts w:hint="eastAsia" w:ascii="仿宋" w:hAnsi="仿宋" w:eastAsia="仿宋" w:cs="仿宋"/>
          <w:b w:val="0"/>
          <w:bCs w:val="0"/>
          <w:sz w:val="32"/>
          <w:szCs w:val="32"/>
          <w:highlight w:val="none"/>
          <w:lang w:val="en-US" w:eastAsia="zh-CN"/>
        </w:rPr>
        <w:t>组织全区政府系统政务信息或相关业务培训不少于1次。</w:t>
      </w:r>
      <w:r>
        <w:rPr>
          <w:rFonts w:hint="eastAsia" w:ascii="仿宋" w:hAnsi="仿宋" w:eastAsia="仿宋" w:cs="仿宋"/>
          <w:b/>
          <w:bCs/>
          <w:sz w:val="32"/>
          <w:szCs w:val="32"/>
          <w:highlight w:val="none"/>
          <w:lang w:val="en-US" w:eastAsia="zh-CN"/>
        </w:rPr>
        <w:t>C做好建议提案办理与联络。建议提案办结率：</w:t>
      </w:r>
      <w:r>
        <w:rPr>
          <w:rFonts w:hint="eastAsia" w:ascii="仿宋" w:hAnsi="仿宋" w:eastAsia="仿宋" w:cs="仿宋"/>
          <w:b w:val="0"/>
          <w:bCs w:val="0"/>
          <w:sz w:val="32"/>
          <w:szCs w:val="32"/>
          <w:highlight w:val="none"/>
          <w:lang w:val="en-US" w:eastAsia="zh-CN"/>
        </w:rPr>
        <w:t>区人大代表建议、政协提案按期办结率100%。</w:t>
      </w:r>
      <w:r>
        <w:rPr>
          <w:rFonts w:hint="eastAsia" w:ascii="仿宋" w:hAnsi="仿宋" w:eastAsia="仿宋" w:cs="仿宋"/>
          <w:b/>
          <w:bCs/>
          <w:sz w:val="32"/>
          <w:szCs w:val="32"/>
          <w:highlight w:val="none"/>
          <w:lang w:val="en-US" w:eastAsia="zh-CN"/>
        </w:rPr>
        <w:t>代表委员满意率：</w:t>
      </w:r>
      <w:r>
        <w:rPr>
          <w:rFonts w:hint="eastAsia" w:ascii="仿宋" w:hAnsi="仿宋" w:eastAsia="仿宋" w:cs="仿宋"/>
          <w:b w:val="0"/>
          <w:bCs w:val="0"/>
          <w:sz w:val="32"/>
          <w:szCs w:val="32"/>
          <w:highlight w:val="none"/>
          <w:lang w:val="en-US" w:eastAsia="zh-CN"/>
        </w:rPr>
        <w:t>力争代表委员对办理态度和结果的满意率≥95%。</w:t>
      </w:r>
      <w:r>
        <w:rPr>
          <w:rFonts w:hint="eastAsia" w:ascii="仿宋" w:hAnsi="仿宋" w:eastAsia="仿宋" w:cs="仿宋"/>
          <w:b/>
          <w:bCs/>
          <w:sz w:val="32"/>
          <w:szCs w:val="32"/>
          <w:highlight w:val="none"/>
          <w:lang w:val="en-US" w:eastAsia="zh-CN"/>
        </w:rPr>
        <w:t>视察联络保障：</w:t>
      </w:r>
      <w:r>
        <w:rPr>
          <w:rFonts w:hint="eastAsia" w:ascii="仿宋" w:hAnsi="仿宋" w:eastAsia="仿宋" w:cs="仿宋"/>
          <w:b w:val="0"/>
          <w:bCs w:val="0"/>
          <w:sz w:val="32"/>
          <w:szCs w:val="32"/>
          <w:highlight w:val="none"/>
          <w:lang w:val="en-US" w:eastAsia="zh-CN"/>
        </w:rPr>
        <w:t>完成上级人大代表、政协委员视察活动的协调保障任务，保障“零疏漏”。</w:t>
      </w:r>
    </w:p>
    <w:p w14:paraId="0416F39E">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outlineLvl w:val="9"/>
        <w:rPr>
          <w:rFonts w:hint="eastAsia" w:ascii="仿宋" w:hAnsi="仿宋" w:eastAsia="仿宋" w:cs="仿宋"/>
          <w:b/>
          <w:bCs/>
          <w:sz w:val="32"/>
          <w:szCs w:val="32"/>
          <w:highlight w:val="none"/>
          <w:lang w:val="en-US" w:eastAsia="zh-CN"/>
        </w:rPr>
      </w:pPr>
      <w:r>
        <w:rPr>
          <w:rFonts w:hint="eastAsia" w:ascii="仿宋" w:hAnsi="仿宋" w:eastAsia="仿宋" w:cs="仿宋"/>
          <w:b/>
          <w:bCs/>
          <w:sz w:val="32"/>
          <w:szCs w:val="32"/>
          <w:highlight w:val="none"/>
          <w:lang w:val="en-US" w:eastAsia="zh-CN"/>
        </w:rPr>
        <w:t>3.聚焦队伍建设，筑牢政治根基</w:t>
      </w:r>
    </w:p>
    <w:p w14:paraId="74BBE427">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outlineLvl w:val="9"/>
        <w:rPr>
          <w:rFonts w:hint="eastAsia" w:ascii="仿宋" w:hAnsi="仿宋" w:eastAsia="仿宋" w:cs="仿宋"/>
          <w:b w:val="0"/>
          <w:bCs w:val="0"/>
          <w:sz w:val="32"/>
          <w:szCs w:val="32"/>
          <w:highlight w:val="none"/>
          <w:lang w:val="en-US" w:eastAsia="zh-CN"/>
        </w:rPr>
      </w:pPr>
      <w:r>
        <w:rPr>
          <w:rFonts w:hint="eastAsia" w:ascii="仿宋" w:hAnsi="仿宋" w:eastAsia="仿宋" w:cs="仿宋"/>
          <w:b/>
          <w:bCs/>
          <w:sz w:val="32"/>
          <w:szCs w:val="32"/>
          <w:highlight w:val="none"/>
          <w:lang w:val="en-US" w:eastAsia="zh-CN"/>
        </w:rPr>
        <w:t>A强化党建引领作用。理论学习制度执行：</w:t>
      </w:r>
      <w:r>
        <w:rPr>
          <w:rFonts w:hint="eastAsia" w:ascii="仿宋" w:hAnsi="仿宋" w:eastAsia="仿宋" w:cs="仿宋"/>
          <w:b w:val="0"/>
          <w:bCs w:val="0"/>
          <w:sz w:val="32"/>
          <w:szCs w:val="32"/>
          <w:highlight w:val="none"/>
          <w:lang w:val="en-US" w:eastAsia="zh-CN"/>
        </w:rPr>
        <w:t>“第一议题”制度、党纪学习教育落实率100%；“三会一课”、主题党日等按时规范开展。</w:t>
      </w:r>
      <w:r>
        <w:rPr>
          <w:rFonts w:hint="eastAsia" w:ascii="仿宋" w:hAnsi="仿宋" w:eastAsia="仿宋" w:cs="仿宋"/>
          <w:b/>
          <w:bCs/>
          <w:sz w:val="32"/>
          <w:szCs w:val="32"/>
          <w:highlight w:val="none"/>
          <w:lang w:val="en-US" w:eastAsia="zh-CN"/>
        </w:rPr>
        <w:t>组织生活质效：</w:t>
      </w:r>
      <w:r>
        <w:rPr>
          <w:rFonts w:hint="eastAsia" w:ascii="仿宋" w:hAnsi="仿宋" w:eastAsia="仿宋" w:cs="仿宋"/>
          <w:b w:val="0"/>
          <w:bCs w:val="0"/>
          <w:sz w:val="32"/>
          <w:szCs w:val="32"/>
          <w:highlight w:val="none"/>
          <w:lang w:val="en-US" w:eastAsia="zh-CN"/>
        </w:rPr>
        <w:t>全年组织集中学习不少于10次，主题党日12次，支部书记讲党课至少1次，专题组织生活会至少1次。</w:t>
      </w:r>
      <w:r>
        <w:rPr>
          <w:rFonts w:hint="eastAsia" w:ascii="仿宋" w:hAnsi="仿宋" w:eastAsia="仿宋" w:cs="仿宋"/>
          <w:b/>
          <w:bCs/>
          <w:sz w:val="32"/>
          <w:szCs w:val="32"/>
          <w:highlight w:val="none"/>
          <w:lang w:val="en-US" w:eastAsia="zh-CN"/>
        </w:rPr>
        <w:t>党员发展培养：</w:t>
      </w:r>
      <w:r>
        <w:rPr>
          <w:rFonts w:hint="eastAsia" w:ascii="仿宋" w:hAnsi="仿宋" w:eastAsia="仿宋" w:cs="仿宋"/>
          <w:b w:val="0"/>
          <w:bCs w:val="0"/>
          <w:sz w:val="32"/>
          <w:szCs w:val="32"/>
          <w:highlight w:val="none"/>
          <w:lang w:val="en-US" w:eastAsia="zh-CN"/>
        </w:rPr>
        <w:t>按计划做好党员发展工作（如：发展预备党员1名），入党积极分子培训参训率100%。</w:t>
      </w:r>
      <w:r>
        <w:rPr>
          <w:rFonts w:hint="eastAsia" w:ascii="仿宋" w:hAnsi="仿宋" w:eastAsia="仿宋" w:cs="仿宋"/>
          <w:b/>
          <w:bCs/>
          <w:sz w:val="32"/>
          <w:szCs w:val="32"/>
          <w:highlight w:val="none"/>
          <w:lang w:val="en-US" w:eastAsia="zh-CN"/>
        </w:rPr>
        <w:t>B提升队伍能力素质。干部能力提升：</w:t>
      </w:r>
      <w:r>
        <w:rPr>
          <w:rFonts w:hint="eastAsia" w:ascii="仿宋" w:hAnsi="仿宋" w:eastAsia="仿宋" w:cs="仿宋"/>
          <w:b w:val="0"/>
          <w:bCs w:val="0"/>
          <w:sz w:val="32"/>
          <w:szCs w:val="32"/>
          <w:highlight w:val="none"/>
          <w:lang w:val="en-US" w:eastAsia="zh-CN"/>
        </w:rPr>
        <w:t>开展“传帮带”活动覆盖所有年轻干部；干部文字能力、综合素养通过内部测评或上级评价得到认可。</w:t>
      </w:r>
      <w:r>
        <w:rPr>
          <w:rFonts w:hint="eastAsia" w:ascii="仿宋" w:hAnsi="仿宋" w:eastAsia="仿宋" w:cs="仿宋"/>
          <w:b/>
          <w:bCs/>
          <w:sz w:val="32"/>
          <w:szCs w:val="32"/>
          <w:highlight w:val="none"/>
          <w:lang w:val="en-US" w:eastAsia="zh-CN"/>
        </w:rPr>
        <w:t>选人用人导向：</w:t>
      </w:r>
      <w:r>
        <w:rPr>
          <w:rFonts w:hint="eastAsia" w:ascii="仿宋" w:hAnsi="仿宋" w:eastAsia="仿宋" w:cs="仿宋"/>
          <w:b w:val="0"/>
          <w:bCs w:val="0"/>
          <w:sz w:val="32"/>
          <w:szCs w:val="32"/>
          <w:highlight w:val="none"/>
          <w:lang w:val="en-US" w:eastAsia="zh-CN"/>
        </w:rPr>
        <w:t>向组织推荐优秀干部，年内实现X名干部得到提拔或重用（如：6名）。</w:t>
      </w:r>
      <w:r>
        <w:rPr>
          <w:rFonts w:hint="eastAsia" w:ascii="仿宋" w:hAnsi="仿宋" w:eastAsia="仿宋" w:cs="仿宋"/>
          <w:b/>
          <w:bCs/>
          <w:sz w:val="32"/>
          <w:szCs w:val="32"/>
          <w:highlight w:val="none"/>
          <w:lang w:val="en-US" w:eastAsia="zh-CN"/>
        </w:rPr>
        <w:t>作风纪律建设：</w:t>
      </w:r>
      <w:r>
        <w:rPr>
          <w:rFonts w:hint="eastAsia" w:ascii="仿宋" w:hAnsi="仿宋" w:eastAsia="仿宋" w:cs="仿宋"/>
          <w:b w:val="0"/>
          <w:bCs w:val="0"/>
          <w:sz w:val="32"/>
          <w:szCs w:val="32"/>
          <w:highlight w:val="none"/>
          <w:lang w:val="en-US" w:eastAsia="zh-CN"/>
        </w:rPr>
        <w:t>开展节前廉洁提醒、警示教育覆盖全员；党风廉政专题谈心谈话全年不少于60人次。</w:t>
      </w:r>
      <w:r>
        <w:rPr>
          <w:rFonts w:hint="eastAsia" w:ascii="仿宋" w:hAnsi="仿宋" w:eastAsia="仿宋" w:cs="仿宋"/>
          <w:b/>
          <w:bCs/>
          <w:sz w:val="32"/>
          <w:szCs w:val="32"/>
          <w:highlight w:val="none"/>
          <w:lang w:val="en-US" w:eastAsia="zh-CN"/>
        </w:rPr>
        <w:t>C推进清廉机关建设。制度执行刚性：</w:t>
      </w:r>
      <w:r>
        <w:rPr>
          <w:rFonts w:hint="eastAsia" w:ascii="仿宋" w:hAnsi="仿宋" w:eastAsia="仿宋" w:cs="仿宋"/>
          <w:b w:val="0"/>
          <w:bCs w:val="0"/>
          <w:sz w:val="32"/>
          <w:szCs w:val="32"/>
          <w:highlight w:val="none"/>
          <w:lang w:val="en-US" w:eastAsia="zh-CN"/>
        </w:rPr>
        <w:t>“三重一大”决策、重大事项请示报告、财务制度等执行率100%，无违规违纪现象。</w:t>
      </w:r>
      <w:r>
        <w:rPr>
          <w:rFonts w:hint="eastAsia" w:ascii="仿宋" w:hAnsi="仿宋" w:eastAsia="仿宋" w:cs="仿宋"/>
          <w:b/>
          <w:bCs/>
          <w:sz w:val="32"/>
          <w:szCs w:val="32"/>
          <w:highlight w:val="none"/>
          <w:lang w:val="en-US" w:eastAsia="zh-CN"/>
        </w:rPr>
        <w:t>权力运行透明：</w:t>
      </w:r>
      <w:r>
        <w:rPr>
          <w:rFonts w:hint="eastAsia" w:ascii="仿宋" w:hAnsi="仿宋" w:eastAsia="仿宋" w:cs="仿宋"/>
          <w:b w:val="0"/>
          <w:bCs w:val="0"/>
          <w:sz w:val="32"/>
          <w:szCs w:val="32"/>
          <w:highlight w:val="none"/>
          <w:lang w:val="en-US" w:eastAsia="zh-CN"/>
        </w:rPr>
        <w:t>党务、财务按规定公开，公开及时率、规范率达100%。</w:t>
      </w:r>
      <w:r>
        <w:rPr>
          <w:rFonts w:hint="eastAsia" w:ascii="仿宋" w:hAnsi="仿宋" w:eastAsia="仿宋" w:cs="仿宋"/>
          <w:b/>
          <w:bCs/>
          <w:sz w:val="32"/>
          <w:szCs w:val="32"/>
          <w:highlight w:val="none"/>
          <w:lang w:val="en-US" w:eastAsia="zh-CN"/>
        </w:rPr>
        <w:t>风险防控效果：</w:t>
      </w:r>
      <w:r>
        <w:rPr>
          <w:rFonts w:hint="eastAsia" w:ascii="仿宋" w:hAnsi="仿宋" w:eastAsia="仿宋" w:cs="仿宋"/>
          <w:b w:val="0"/>
          <w:bCs w:val="0"/>
          <w:sz w:val="32"/>
          <w:szCs w:val="32"/>
          <w:highlight w:val="none"/>
          <w:lang w:val="en-US" w:eastAsia="zh-CN"/>
        </w:rPr>
        <w:t>全年无因“四风”问题被查处通报情况；党员干部廉洁自律意识持续增强。</w:t>
      </w:r>
    </w:p>
    <w:p w14:paraId="308B02B0">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outlineLvl w:val="0"/>
        <w:rPr>
          <w:rFonts w:hint="eastAsia" w:ascii="黑体" w:hAnsi="黑体" w:eastAsia="黑体" w:cs="黑体"/>
          <w:sz w:val="32"/>
          <w:szCs w:val="32"/>
          <w:highlight w:val="none"/>
          <w:lang w:eastAsia="zh-CN"/>
        </w:rPr>
      </w:pPr>
      <w:bookmarkStart w:id="42" w:name="_Toc27481"/>
      <w:r>
        <w:rPr>
          <w:rFonts w:hint="eastAsia" w:ascii="黑体" w:hAnsi="黑体" w:eastAsia="黑体" w:cs="黑体"/>
          <w:sz w:val="32"/>
          <w:szCs w:val="32"/>
          <w:highlight w:val="none"/>
          <w:lang w:val="en-US" w:eastAsia="zh-CN"/>
        </w:rPr>
        <w:t>五、部门</w:t>
      </w:r>
      <w:r>
        <w:rPr>
          <w:rFonts w:hint="eastAsia" w:ascii="黑体" w:hAnsi="黑体" w:eastAsia="黑体" w:cs="黑体"/>
          <w:sz w:val="32"/>
          <w:szCs w:val="32"/>
          <w:highlight w:val="none"/>
          <w:lang w:eastAsia="zh-CN"/>
        </w:rPr>
        <w:t>绩效考评情况</w:t>
      </w:r>
      <w:bookmarkEnd w:id="40"/>
      <w:bookmarkEnd w:id="41"/>
      <w:bookmarkEnd w:id="42"/>
    </w:p>
    <w:p w14:paraId="1FC593C9">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outlineLvl w:val="1"/>
        <w:rPr>
          <w:rFonts w:hint="eastAsia" w:ascii="楷体" w:hAnsi="楷体" w:eastAsia="楷体" w:cs="楷体"/>
          <w:b/>
          <w:bCs/>
          <w:sz w:val="32"/>
          <w:szCs w:val="32"/>
          <w:lang w:val="en-US" w:eastAsia="zh-CN"/>
        </w:rPr>
      </w:pPr>
      <w:bookmarkStart w:id="43" w:name="_Toc10865"/>
      <w:bookmarkStart w:id="44" w:name="_Toc8508"/>
      <w:bookmarkStart w:id="45" w:name="_Toc9839"/>
      <w:r>
        <w:rPr>
          <w:rFonts w:hint="eastAsia" w:ascii="楷体" w:hAnsi="楷体" w:eastAsia="楷体" w:cs="楷体"/>
          <w:b/>
          <w:bCs/>
          <w:sz w:val="32"/>
          <w:szCs w:val="32"/>
          <w:lang w:val="en-US" w:eastAsia="zh-CN"/>
        </w:rPr>
        <w:t>（一）评价框架</w:t>
      </w:r>
      <w:bookmarkEnd w:id="43"/>
      <w:bookmarkEnd w:id="44"/>
      <w:bookmarkEnd w:id="45"/>
    </w:p>
    <w:p w14:paraId="46EE98AD">
      <w:pPr>
        <w:pStyle w:val="14"/>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eastAsia" w:ascii="仿宋" w:hAnsi="仿宋" w:eastAsia="仿宋" w:cs="仿宋"/>
          <w:b w:val="0"/>
          <w:bCs w:val="0"/>
          <w:i w:val="0"/>
          <w:iCs w:val="0"/>
          <w:caps w:val="0"/>
          <w:color w:val="000000"/>
          <w:spacing w:val="0"/>
          <w:sz w:val="32"/>
          <w:szCs w:val="32"/>
          <w:highlight w:val="yellow"/>
          <w:u w:val="none"/>
          <w:shd w:val="clear" w:fill="FFFFFF"/>
          <w:lang w:val="en-US" w:eastAsia="zh-CN"/>
        </w:rPr>
      </w:pPr>
      <w:r>
        <w:rPr>
          <w:rFonts w:hint="eastAsia" w:ascii="仿宋" w:hAnsi="仿宋" w:eastAsia="仿宋" w:cs="仿宋"/>
          <w:b w:val="0"/>
          <w:bCs w:val="0"/>
          <w:i w:val="0"/>
          <w:iCs w:val="0"/>
          <w:caps w:val="0"/>
          <w:color w:val="000000"/>
          <w:spacing w:val="0"/>
          <w:sz w:val="32"/>
          <w:szCs w:val="32"/>
          <w:highlight w:val="none"/>
          <w:u w:val="none"/>
          <w:shd w:val="clear" w:fill="FFFFFF"/>
          <w:lang w:val="en-US" w:eastAsia="zh-CN"/>
        </w:rPr>
        <w:t>依据财政部《关于全面实施预算绩效管理的意见》，《中华人民共和国预算法》等评价依据，设定以下评价指标：</w:t>
      </w:r>
    </w:p>
    <w:p w14:paraId="1040E76E">
      <w:pPr>
        <w:pStyle w:val="14"/>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rightChars="0" w:firstLine="643" w:firstLineChars="200"/>
        <w:jc w:val="both"/>
        <w:textAlignment w:val="auto"/>
        <w:rPr>
          <w:rFonts w:hint="eastAsia" w:ascii="仿宋" w:hAnsi="仿宋" w:eastAsia="仿宋" w:cs="仿宋"/>
          <w:b/>
          <w:bCs/>
          <w:i w:val="0"/>
          <w:iCs w:val="0"/>
          <w:caps w:val="0"/>
          <w:color w:val="000000"/>
          <w:spacing w:val="0"/>
          <w:sz w:val="32"/>
          <w:szCs w:val="32"/>
          <w:highlight w:val="none"/>
          <w:u w:val="none"/>
          <w:shd w:val="clear" w:fill="FFFFFF"/>
          <w:lang w:val="en-US" w:eastAsia="zh-CN"/>
        </w:rPr>
      </w:pPr>
      <w:r>
        <w:rPr>
          <w:rFonts w:hint="eastAsia" w:ascii="仿宋" w:hAnsi="仿宋" w:eastAsia="仿宋" w:cs="仿宋"/>
          <w:b/>
          <w:bCs/>
          <w:i w:val="0"/>
          <w:iCs w:val="0"/>
          <w:caps w:val="0"/>
          <w:color w:val="000000"/>
          <w:spacing w:val="0"/>
          <w:sz w:val="32"/>
          <w:szCs w:val="32"/>
          <w:highlight w:val="none"/>
          <w:u w:val="none"/>
          <w:shd w:val="clear" w:fill="FFFFFF"/>
          <w:lang w:val="en-US" w:eastAsia="zh-CN"/>
        </w:rPr>
        <w:t>1.投入指标20分：目标设定、预算配置。</w:t>
      </w:r>
    </w:p>
    <w:p w14:paraId="4BAF2F52">
      <w:pPr>
        <w:pStyle w:val="14"/>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rightChars="0" w:firstLine="643" w:firstLineChars="200"/>
        <w:jc w:val="both"/>
        <w:textAlignment w:val="auto"/>
        <w:rPr>
          <w:rFonts w:hint="eastAsia" w:ascii="仿宋" w:hAnsi="仿宋" w:eastAsia="仿宋" w:cs="仿宋"/>
          <w:b/>
          <w:bCs/>
          <w:i w:val="0"/>
          <w:iCs w:val="0"/>
          <w:caps w:val="0"/>
          <w:color w:val="000000"/>
          <w:spacing w:val="0"/>
          <w:sz w:val="32"/>
          <w:szCs w:val="32"/>
          <w:highlight w:val="none"/>
          <w:u w:val="none"/>
          <w:shd w:val="clear" w:fill="FFFFFF"/>
          <w:lang w:val="en-US" w:eastAsia="zh-CN"/>
        </w:rPr>
      </w:pPr>
      <w:r>
        <w:rPr>
          <w:rFonts w:hint="eastAsia" w:ascii="仿宋" w:hAnsi="仿宋" w:eastAsia="仿宋" w:cs="仿宋"/>
          <w:b/>
          <w:bCs/>
          <w:i w:val="0"/>
          <w:iCs w:val="0"/>
          <w:caps w:val="0"/>
          <w:color w:val="000000"/>
          <w:spacing w:val="0"/>
          <w:sz w:val="32"/>
          <w:szCs w:val="32"/>
          <w:highlight w:val="none"/>
          <w:u w:val="none"/>
          <w:shd w:val="clear" w:fill="FFFFFF"/>
          <w:lang w:val="en-US" w:eastAsia="zh-CN"/>
        </w:rPr>
        <w:t>2.过程指标30分：预算执行、部门管理、资产管理。</w:t>
      </w:r>
    </w:p>
    <w:p w14:paraId="7EF6695F">
      <w:pPr>
        <w:pStyle w:val="14"/>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rightChars="0" w:firstLine="643" w:firstLineChars="200"/>
        <w:jc w:val="both"/>
        <w:textAlignment w:val="auto"/>
        <w:rPr>
          <w:rFonts w:hint="eastAsia" w:ascii="仿宋" w:hAnsi="仿宋" w:eastAsia="仿宋" w:cs="仿宋"/>
          <w:b/>
          <w:bCs/>
          <w:i w:val="0"/>
          <w:iCs w:val="0"/>
          <w:caps w:val="0"/>
          <w:color w:val="000000"/>
          <w:spacing w:val="0"/>
          <w:sz w:val="32"/>
          <w:szCs w:val="32"/>
          <w:highlight w:val="none"/>
          <w:u w:val="none"/>
          <w:shd w:val="clear" w:fill="FFFFFF"/>
          <w:lang w:val="en-US" w:eastAsia="zh-CN"/>
        </w:rPr>
      </w:pPr>
      <w:r>
        <w:rPr>
          <w:rFonts w:hint="eastAsia" w:ascii="仿宋" w:hAnsi="仿宋" w:eastAsia="仿宋" w:cs="仿宋"/>
          <w:b/>
          <w:bCs/>
          <w:i w:val="0"/>
          <w:iCs w:val="0"/>
          <w:caps w:val="0"/>
          <w:color w:val="000000"/>
          <w:spacing w:val="0"/>
          <w:sz w:val="32"/>
          <w:szCs w:val="32"/>
          <w:highlight w:val="none"/>
          <w:u w:val="none"/>
          <w:shd w:val="clear" w:fill="FFFFFF"/>
          <w:lang w:val="en-US" w:eastAsia="zh-CN"/>
        </w:rPr>
        <w:t>3.产出指标30分：职能工作完成率、重点工作办结率。</w:t>
      </w:r>
    </w:p>
    <w:p w14:paraId="0E6B866E">
      <w:pPr>
        <w:pStyle w:val="14"/>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rightChars="0" w:firstLine="643" w:firstLineChars="200"/>
        <w:jc w:val="both"/>
        <w:textAlignment w:val="auto"/>
        <w:rPr>
          <w:rFonts w:hint="eastAsia" w:ascii="仿宋" w:hAnsi="仿宋" w:eastAsia="仿宋" w:cs="仿宋"/>
          <w:b/>
          <w:bCs/>
          <w:i w:val="0"/>
          <w:iCs w:val="0"/>
          <w:caps w:val="0"/>
          <w:color w:val="000000"/>
          <w:spacing w:val="0"/>
          <w:sz w:val="32"/>
          <w:szCs w:val="32"/>
          <w:highlight w:val="none"/>
          <w:u w:val="none"/>
          <w:shd w:val="clear" w:fill="FFFFFF"/>
          <w:lang w:val="en-US" w:eastAsia="zh-CN"/>
        </w:rPr>
      </w:pPr>
      <w:r>
        <w:rPr>
          <w:rFonts w:hint="eastAsia" w:ascii="仿宋" w:hAnsi="仿宋" w:eastAsia="仿宋" w:cs="仿宋"/>
          <w:b/>
          <w:bCs/>
          <w:i w:val="0"/>
          <w:iCs w:val="0"/>
          <w:caps w:val="0"/>
          <w:color w:val="000000"/>
          <w:spacing w:val="0"/>
          <w:sz w:val="32"/>
          <w:szCs w:val="32"/>
          <w:highlight w:val="none"/>
          <w:u w:val="none"/>
          <w:shd w:val="clear" w:fill="FFFFFF"/>
          <w:lang w:val="en-US" w:eastAsia="zh-CN"/>
        </w:rPr>
        <w:t>4.效益指标20分：社会效益、相关人员满意度。</w:t>
      </w:r>
    </w:p>
    <w:p w14:paraId="500765E9">
      <w:pPr>
        <w:keepNext w:val="0"/>
        <w:keepLines w:val="0"/>
        <w:pageBreakBefore w:val="0"/>
        <w:widowControl w:val="0"/>
        <w:kinsoku/>
        <w:wordWrap/>
        <w:overflowPunct/>
        <w:topLinePunct w:val="0"/>
        <w:autoSpaceDE/>
        <w:autoSpaceDN/>
        <w:bidi w:val="0"/>
        <w:adjustRightInd/>
        <w:snapToGrid/>
        <w:spacing w:line="240" w:lineRule="auto"/>
        <w:ind w:left="0" w:leftChars="0" w:firstLine="643" w:firstLineChars="200"/>
        <w:jc w:val="both"/>
        <w:textAlignment w:val="auto"/>
        <w:outlineLvl w:val="1"/>
        <w:rPr>
          <w:rFonts w:hint="default" w:ascii="楷体" w:hAnsi="楷体" w:eastAsia="楷体" w:cs="楷体"/>
          <w:b/>
          <w:bCs/>
          <w:sz w:val="32"/>
          <w:szCs w:val="32"/>
          <w:highlight w:val="none"/>
          <w:lang w:val="en-US" w:eastAsia="zh-CN"/>
        </w:rPr>
      </w:pPr>
      <w:bookmarkStart w:id="46" w:name="_Toc7412"/>
      <w:bookmarkStart w:id="47" w:name="_Toc25462"/>
      <w:bookmarkStart w:id="48" w:name="_Toc27048"/>
      <w:r>
        <w:rPr>
          <w:rFonts w:hint="eastAsia" w:ascii="楷体" w:hAnsi="楷体" w:eastAsia="楷体" w:cs="楷体"/>
          <w:b/>
          <w:bCs/>
          <w:sz w:val="32"/>
          <w:szCs w:val="32"/>
          <w:highlight w:val="none"/>
          <w:lang w:val="en-US" w:eastAsia="zh-CN"/>
        </w:rPr>
        <w:t>（二）评价分析</w:t>
      </w:r>
      <w:bookmarkEnd w:id="46"/>
      <w:bookmarkEnd w:id="47"/>
      <w:bookmarkEnd w:id="48"/>
    </w:p>
    <w:p w14:paraId="464AA21E">
      <w:pPr>
        <w:pStyle w:val="1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rightChars="0" w:firstLine="643" w:firstLineChars="200"/>
        <w:jc w:val="both"/>
        <w:textAlignment w:val="auto"/>
        <w:rPr>
          <w:rFonts w:hint="eastAsia" w:ascii="仿宋" w:hAnsi="仿宋" w:eastAsia="仿宋" w:cs="仿宋"/>
          <w:b/>
          <w:bCs/>
          <w:i w:val="0"/>
          <w:iCs w:val="0"/>
          <w:caps w:val="0"/>
          <w:color w:val="000000"/>
          <w:spacing w:val="0"/>
          <w:sz w:val="32"/>
          <w:szCs w:val="32"/>
          <w:u w:val="none"/>
          <w:shd w:val="clear" w:fill="FFFFFF"/>
          <w:lang w:val="en-US" w:eastAsia="zh-CN"/>
        </w:rPr>
      </w:pPr>
      <w:r>
        <w:rPr>
          <w:rFonts w:hint="eastAsia" w:ascii="仿宋" w:hAnsi="仿宋" w:eastAsia="仿宋" w:cs="仿宋"/>
          <w:b/>
          <w:bCs/>
          <w:i w:val="0"/>
          <w:iCs w:val="0"/>
          <w:caps w:val="0"/>
          <w:color w:val="000000"/>
          <w:spacing w:val="0"/>
          <w:sz w:val="32"/>
          <w:szCs w:val="32"/>
          <w:u w:val="none"/>
          <w:shd w:val="clear" w:fill="FFFFFF"/>
          <w:lang w:val="en-US" w:eastAsia="zh-CN"/>
        </w:rPr>
        <w:t>1.总分100分，得分70分，扣分30分，详见后述绩效评价得分扣分表</w:t>
      </w:r>
    </w:p>
    <w:p w14:paraId="08B2F504">
      <w:pPr>
        <w:pStyle w:val="1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rightChars="0" w:firstLine="643" w:firstLineChars="200"/>
        <w:jc w:val="both"/>
        <w:textAlignment w:val="auto"/>
        <w:rPr>
          <w:rFonts w:hint="eastAsia" w:ascii="仿宋" w:hAnsi="仿宋" w:eastAsia="仿宋" w:cs="仿宋"/>
          <w:b/>
          <w:bCs/>
          <w:i w:val="0"/>
          <w:iCs w:val="0"/>
          <w:caps w:val="0"/>
          <w:color w:val="000000"/>
          <w:spacing w:val="0"/>
          <w:sz w:val="32"/>
          <w:szCs w:val="32"/>
          <w:u w:val="none"/>
          <w:shd w:val="clear" w:fill="FFFFFF"/>
          <w:lang w:val="en-US" w:eastAsia="zh-CN"/>
        </w:rPr>
      </w:pPr>
    </w:p>
    <w:p w14:paraId="02DC8830">
      <w:pPr>
        <w:pStyle w:val="1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rightChars="0" w:firstLine="643" w:firstLineChars="200"/>
        <w:jc w:val="both"/>
        <w:textAlignment w:val="auto"/>
        <w:rPr>
          <w:rFonts w:hint="eastAsia" w:ascii="仿宋" w:hAnsi="仿宋" w:eastAsia="仿宋" w:cs="仿宋"/>
          <w:b/>
          <w:bCs/>
          <w:i w:val="0"/>
          <w:iCs w:val="0"/>
          <w:caps w:val="0"/>
          <w:color w:val="000000"/>
          <w:spacing w:val="0"/>
          <w:sz w:val="32"/>
          <w:szCs w:val="32"/>
          <w:u w:val="none"/>
          <w:shd w:val="clear" w:fill="FFFFFF"/>
          <w:lang w:val="en-US" w:eastAsia="zh-CN"/>
        </w:rPr>
        <w:sectPr>
          <w:footerReference r:id="rId5" w:type="default"/>
          <w:pgSz w:w="11906" w:h="16838"/>
          <w:pgMar w:top="1440" w:right="1803" w:bottom="1440" w:left="1803" w:header="851" w:footer="992" w:gutter="0"/>
          <w:pgBorders>
            <w:top w:val="none" w:sz="0" w:space="0"/>
            <w:left w:val="none" w:sz="0" w:space="0"/>
            <w:bottom w:val="none" w:sz="0" w:space="0"/>
            <w:right w:val="none" w:sz="0" w:space="0"/>
          </w:pgBorders>
          <w:pgNumType w:fmt="decimal" w:start="1"/>
          <w:cols w:space="0" w:num="1"/>
          <w:rtlGutter w:val="0"/>
          <w:docGrid w:type="lines" w:linePitch="332" w:charSpace="0"/>
        </w:sectPr>
      </w:pPr>
    </w:p>
    <w:p w14:paraId="2A9A9DB9">
      <w:pPr>
        <w:pStyle w:val="14"/>
        <w:keepNext w:val="0"/>
        <w:keepLines w:val="0"/>
        <w:pageBreakBefore w:val="0"/>
        <w:widowControl/>
        <w:numPr>
          <w:ilvl w:val="0"/>
          <w:numId w:val="4"/>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643" w:firstLineChars="200"/>
        <w:jc w:val="both"/>
        <w:textAlignment w:val="auto"/>
        <w:rPr>
          <w:rFonts w:hint="eastAsia" w:ascii="楷体" w:hAnsi="楷体" w:eastAsia="楷体" w:cs="楷体"/>
          <w:b/>
          <w:bCs/>
          <w:kern w:val="0"/>
          <w:sz w:val="32"/>
          <w:szCs w:val="32"/>
          <w:highlight w:val="none"/>
          <w:lang w:val="en-US" w:eastAsia="zh-CN" w:bidi="ar"/>
        </w:rPr>
      </w:pPr>
      <w:r>
        <w:rPr>
          <w:rFonts w:hint="eastAsia" w:ascii="楷体" w:hAnsi="楷体" w:eastAsia="楷体" w:cs="楷体"/>
          <w:b/>
          <w:bCs/>
          <w:kern w:val="0"/>
          <w:sz w:val="32"/>
          <w:szCs w:val="32"/>
          <w:highlight w:val="none"/>
          <w:lang w:val="en-US" w:eastAsia="zh-CN" w:bidi="ar"/>
        </w:rPr>
        <w:t>评价分析</w:t>
      </w:r>
    </w:p>
    <w:p w14:paraId="00F72125">
      <w:pPr>
        <w:pStyle w:val="1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Chars="200" w:right="0" w:rightChars="0"/>
        <w:jc w:val="both"/>
        <w:textAlignment w:val="auto"/>
        <w:rPr>
          <w:rFonts w:hint="eastAsia" w:ascii="仿宋" w:hAnsi="仿宋" w:eastAsia="仿宋" w:cs="仿宋"/>
          <w:b/>
          <w:bCs/>
          <w:kern w:val="0"/>
          <w:sz w:val="32"/>
          <w:szCs w:val="32"/>
          <w:highlight w:val="none"/>
          <w:lang w:val="en-US" w:eastAsia="zh-CN" w:bidi="ar"/>
        </w:rPr>
      </w:pPr>
      <w:r>
        <w:rPr>
          <w:rFonts w:hint="eastAsia" w:ascii="仿宋" w:hAnsi="仿宋" w:eastAsia="仿宋" w:cs="仿宋"/>
          <w:b/>
          <w:bCs/>
          <w:kern w:val="0"/>
          <w:sz w:val="32"/>
          <w:szCs w:val="32"/>
          <w:highlight w:val="none"/>
          <w:lang w:val="en-US" w:eastAsia="zh-CN" w:bidi="ar"/>
        </w:rPr>
        <w:t>1.总分100分，得分70分，扣分30分，详见后述绩效评价得分扣分表。</w:t>
      </w:r>
    </w:p>
    <w:tbl>
      <w:tblPr>
        <w:tblStyle w:val="15"/>
        <w:tblW w:w="4996"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40"/>
        <w:gridCol w:w="1575"/>
        <w:gridCol w:w="1333"/>
        <w:gridCol w:w="695"/>
        <w:gridCol w:w="695"/>
        <w:gridCol w:w="695"/>
        <w:gridCol w:w="4183"/>
        <w:gridCol w:w="3647"/>
      </w:tblGrid>
      <w:tr w14:paraId="7B692C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blHeader/>
        </w:trPr>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C1FCC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一级指标</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ED98E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二级指标</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83225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三级指标</w:t>
            </w:r>
          </w:p>
        </w:tc>
        <w:tc>
          <w:tcPr>
            <w:tcW w:w="2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1E833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分值</w:t>
            </w:r>
          </w:p>
        </w:tc>
        <w:tc>
          <w:tcPr>
            <w:tcW w:w="2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53AC4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得分</w:t>
            </w:r>
          </w:p>
        </w:tc>
        <w:tc>
          <w:tcPr>
            <w:tcW w:w="2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32F63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扣分</w:t>
            </w:r>
          </w:p>
        </w:tc>
        <w:tc>
          <w:tcPr>
            <w:tcW w:w="1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870A3F">
            <w:pPr>
              <w:jc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扣分说明</w:t>
            </w:r>
          </w:p>
        </w:tc>
        <w:tc>
          <w:tcPr>
            <w:tcW w:w="12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72093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评价要点</w:t>
            </w:r>
          </w:p>
        </w:tc>
      </w:tr>
      <w:tr w14:paraId="3FE87C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0" w:hRule="atLeast"/>
        </w:trPr>
        <w:tc>
          <w:tcPr>
            <w:tcW w:w="473"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6B3BD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投入（20分）</w:t>
            </w:r>
          </w:p>
        </w:tc>
        <w:tc>
          <w:tcPr>
            <w:tcW w:w="55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FB393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目标设定（10分）</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69BF7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绩效目标合理性</w:t>
            </w:r>
          </w:p>
        </w:tc>
        <w:tc>
          <w:tcPr>
            <w:tcW w:w="2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01B4A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559D6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2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DE2147">
            <w:pPr>
              <w:jc w:val="center"/>
              <w:rPr>
                <w:rFonts w:hint="eastAsia" w:ascii="宋体" w:hAnsi="宋体" w:eastAsia="宋体" w:cs="宋体"/>
                <w:i w:val="0"/>
                <w:iCs w:val="0"/>
                <w:color w:val="000000"/>
                <w:sz w:val="24"/>
                <w:szCs w:val="24"/>
                <w:u w:val="none"/>
              </w:rPr>
            </w:pPr>
          </w:p>
        </w:tc>
        <w:tc>
          <w:tcPr>
            <w:tcW w:w="14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430403">
            <w:pPr>
              <w:jc w:val="left"/>
              <w:rPr>
                <w:rFonts w:hint="eastAsia" w:ascii="宋体" w:hAnsi="宋体" w:eastAsia="宋体" w:cs="宋体"/>
                <w:i w:val="0"/>
                <w:iCs w:val="0"/>
                <w:color w:val="000000"/>
                <w:sz w:val="24"/>
                <w:szCs w:val="24"/>
                <w:u w:val="none"/>
              </w:rPr>
            </w:pPr>
          </w:p>
        </w:tc>
        <w:tc>
          <w:tcPr>
            <w:tcW w:w="12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F09C6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①是否符合国家法律法规、国民经济和社会发展总体规划；</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②是否符合部门“三定”方案确定的职责；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③是否符合部门制定的发展实施规划和年度主要工作计划；</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④所属部门（单位）编报预算时是否按要求编制绩效目标。</w:t>
            </w:r>
          </w:p>
        </w:tc>
      </w:tr>
      <w:tr w14:paraId="5AE3DD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0" w:hRule="atLeast"/>
        </w:trPr>
        <w:tc>
          <w:tcPr>
            <w:tcW w:w="47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5B6BCC">
            <w:pPr>
              <w:jc w:val="center"/>
              <w:rPr>
                <w:rFonts w:hint="eastAsia" w:ascii="宋体" w:hAnsi="宋体" w:eastAsia="宋体" w:cs="宋体"/>
                <w:i w:val="0"/>
                <w:iCs w:val="0"/>
                <w:color w:val="000000"/>
                <w:sz w:val="24"/>
                <w:szCs w:val="24"/>
                <w:u w:val="none"/>
              </w:rPr>
            </w:pPr>
          </w:p>
        </w:tc>
        <w:tc>
          <w:tcPr>
            <w:tcW w:w="5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568A87">
            <w:pPr>
              <w:jc w:val="center"/>
              <w:rPr>
                <w:rFonts w:hint="eastAsia" w:ascii="宋体" w:hAnsi="宋体" w:eastAsia="宋体" w:cs="宋体"/>
                <w:i w:val="0"/>
                <w:iCs w:val="0"/>
                <w:color w:val="000000"/>
                <w:sz w:val="24"/>
                <w:szCs w:val="24"/>
                <w:u w:val="none"/>
              </w:rPr>
            </w:pP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F4E05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绩效指标明确性</w:t>
            </w:r>
          </w:p>
        </w:tc>
        <w:tc>
          <w:tcPr>
            <w:tcW w:w="2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508B9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67E68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2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9068C9">
            <w:pPr>
              <w:jc w:val="center"/>
              <w:rPr>
                <w:rFonts w:hint="eastAsia" w:ascii="宋体" w:hAnsi="宋体" w:eastAsia="宋体" w:cs="宋体"/>
                <w:i w:val="0"/>
                <w:iCs w:val="0"/>
                <w:color w:val="000000"/>
                <w:sz w:val="24"/>
                <w:szCs w:val="24"/>
                <w:u w:val="none"/>
              </w:rPr>
            </w:pPr>
          </w:p>
        </w:tc>
        <w:tc>
          <w:tcPr>
            <w:tcW w:w="14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1EC166">
            <w:pPr>
              <w:jc w:val="left"/>
              <w:rPr>
                <w:rFonts w:hint="eastAsia" w:ascii="宋体" w:hAnsi="宋体" w:eastAsia="宋体" w:cs="宋体"/>
                <w:i w:val="0"/>
                <w:iCs w:val="0"/>
                <w:color w:val="000000"/>
                <w:sz w:val="24"/>
                <w:szCs w:val="24"/>
                <w:u w:val="none"/>
              </w:rPr>
            </w:pPr>
          </w:p>
        </w:tc>
        <w:tc>
          <w:tcPr>
            <w:tcW w:w="12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24FD6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①是否将部门整体的绩效目标细化分解为具体的工作任务；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②是否通过清晰、可衡量的指标值予以体现；</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③是否将项目绩效目标与部门年度的任务数或计划数相对应：</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④是否与本年度部门预算资金相匹配，是否对下属部门（单位）预算编报的绩效目标进行审核。</w:t>
            </w:r>
          </w:p>
        </w:tc>
      </w:tr>
      <w:tr w14:paraId="63CD91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60" w:hRule="atLeast"/>
        </w:trPr>
        <w:tc>
          <w:tcPr>
            <w:tcW w:w="47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BA317C">
            <w:pPr>
              <w:jc w:val="center"/>
              <w:rPr>
                <w:rFonts w:hint="eastAsia" w:ascii="宋体" w:hAnsi="宋体" w:eastAsia="宋体" w:cs="宋体"/>
                <w:i w:val="0"/>
                <w:iCs w:val="0"/>
                <w:color w:val="000000"/>
                <w:sz w:val="24"/>
                <w:szCs w:val="24"/>
                <w:u w:val="none"/>
              </w:rPr>
            </w:pPr>
          </w:p>
        </w:tc>
        <w:tc>
          <w:tcPr>
            <w:tcW w:w="55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713E8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预算编制与配置（10分）</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D26E0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在职人员控制率</w:t>
            </w:r>
          </w:p>
        </w:tc>
        <w:tc>
          <w:tcPr>
            <w:tcW w:w="2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D4F9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DB609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2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A0EC3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5 </w:t>
            </w:r>
          </w:p>
        </w:tc>
        <w:tc>
          <w:tcPr>
            <w:tcW w:w="14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43326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未提供花名册</w:t>
            </w:r>
          </w:p>
        </w:tc>
        <w:tc>
          <w:tcPr>
            <w:tcW w:w="12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71ABA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在职人员控制率=（在职人员数/编制数）×100%。聘用人员控制率≤人社和编办共同批复的人数；在职人员数：部门（单位）实际在职人数，以财政部门确定的部门决算编制口径为准。编制数：机构编制部门核定批复的部门（单位）的人员编制数。</w:t>
            </w:r>
          </w:p>
        </w:tc>
      </w:tr>
      <w:tr w14:paraId="75CD2A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0" w:hRule="atLeast"/>
        </w:trPr>
        <w:tc>
          <w:tcPr>
            <w:tcW w:w="47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FCE474">
            <w:pPr>
              <w:jc w:val="center"/>
              <w:rPr>
                <w:rFonts w:hint="eastAsia" w:ascii="宋体" w:hAnsi="宋体" w:eastAsia="宋体" w:cs="宋体"/>
                <w:i w:val="0"/>
                <w:iCs w:val="0"/>
                <w:color w:val="000000"/>
                <w:sz w:val="24"/>
                <w:szCs w:val="24"/>
                <w:u w:val="none"/>
              </w:rPr>
            </w:pPr>
          </w:p>
        </w:tc>
        <w:tc>
          <w:tcPr>
            <w:tcW w:w="5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D78BA9">
            <w:pPr>
              <w:jc w:val="center"/>
              <w:rPr>
                <w:rFonts w:hint="eastAsia" w:ascii="宋体" w:hAnsi="宋体" w:eastAsia="宋体" w:cs="宋体"/>
                <w:i w:val="0"/>
                <w:iCs w:val="0"/>
                <w:color w:val="000000"/>
                <w:sz w:val="24"/>
                <w:szCs w:val="24"/>
                <w:u w:val="none"/>
              </w:rPr>
            </w:pP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355ED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预算编制科学性与配置合理性</w:t>
            </w:r>
          </w:p>
        </w:tc>
        <w:tc>
          <w:tcPr>
            <w:tcW w:w="2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64014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C19F0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2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0E25E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 </w:t>
            </w:r>
          </w:p>
        </w:tc>
        <w:tc>
          <w:tcPr>
            <w:tcW w:w="14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DF02B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年初预算经过调整，未提供预算调整批复</w:t>
            </w:r>
          </w:p>
        </w:tc>
        <w:tc>
          <w:tcPr>
            <w:tcW w:w="12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05176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预算编制科学性，预算与政策目标的匹配度与预算标准合理性。</w:t>
            </w:r>
          </w:p>
        </w:tc>
      </w:tr>
      <w:tr w14:paraId="232BAC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0" w:hRule="atLeast"/>
        </w:trPr>
        <w:tc>
          <w:tcPr>
            <w:tcW w:w="473"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5FF2F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过程（30分）</w:t>
            </w:r>
          </w:p>
        </w:tc>
        <w:tc>
          <w:tcPr>
            <w:tcW w:w="55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26148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预算执行（10分）</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8AF8F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预算约束合规性</w:t>
            </w:r>
          </w:p>
        </w:tc>
        <w:tc>
          <w:tcPr>
            <w:tcW w:w="2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A082E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14672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2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742D6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 </w:t>
            </w:r>
          </w:p>
        </w:tc>
        <w:tc>
          <w:tcPr>
            <w:tcW w:w="14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B5C8E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由于正在接受巡查，未提供凭证</w:t>
            </w:r>
          </w:p>
        </w:tc>
        <w:tc>
          <w:tcPr>
            <w:tcW w:w="12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BE3F0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预算约束：支出是否严格遵循人大批准的预算，有无超预算、无预算开支的现象。</w:t>
            </w:r>
          </w:p>
        </w:tc>
      </w:tr>
      <w:tr w14:paraId="3DFF4A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0" w:hRule="atLeast"/>
        </w:trPr>
        <w:tc>
          <w:tcPr>
            <w:tcW w:w="47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C689B1">
            <w:pPr>
              <w:jc w:val="center"/>
              <w:rPr>
                <w:rFonts w:hint="eastAsia" w:ascii="宋体" w:hAnsi="宋体" w:eastAsia="宋体" w:cs="宋体"/>
                <w:i w:val="0"/>
                <w:iCs w:val="0"/>
                <w:color w:val="000000"/>
                <w:sz w:val="24"/>
                <w:szCs w:val="24"/>
                <w:u w:val="none"/>
              </w:rPr>
            </w:pPr>
          </w:p>
        </w:tc>
        <w:tc>
          <w:tcPr>
            <w:tcW w:w="5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661261">
            <w:pPr>
              <w:jc w:val="center"/>
              <w:rPr>
                <w:rFonts w:hint="eastAsia" w:ascii="宋体" w:hAnsi="宋体" w:eastAsia="宋体" w:cs="宋体"/>
                <w:i w:val="0"/>
                <w:iCs w:val="0"/>
                <w:color w:val="000000"/>
                <w:sz w:val="24"/>
                <w:szCs w:val="24"/>
                <w:u w:val="none"/>
              </w:rPr>
            </w:pP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16B14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用途合规性</w:t>
            </w:r>
          </w:p>
        </w:tc>
        <w:tc>
          <w:tcPr>
            <w:tcW w:w="2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0ACB3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276F8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2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03CE0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4 </w:t>
            </w:r>
          </w:p>
        </w:tc>
        <w:tc>
          <w:tcPr>
            <w:tcW w:w="14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A7E46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由于正在接受巡查，未提供凭证</w:t>
            </w:r>
          </w:p>
        </w:tc>
        <w:tc>
          <w:tcPr>
            <w:tcW w:w="12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1AB4A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用途合规：资金是否用于预算规定的用途，特别是基本支出和项目支出之间、不同项目之间是否存在擅自调剂、挤占挪用的情况。资金分配及时性（转移支付下达时效，资金保障有效性；是否接受检查，受过处罚或上缴财政资金情况</w:t>
            </w:r>
          </w:p>
        </w:tc>
      </w:tr>
      <w:tr w14:paraId="314D20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0" w:hRule="atLeast"/>
        </w:trPr>
        <w:tc>
          <w:tcPr>
            <w:tcW w:w="47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433780">
            <w:pPr>
              <w:jc w:val="center"/>
              <w:rPr>
                <w:rFonts w:hint="eastAsia" w:ascii="宋体" w:hAnsi="宋体" w:eastAsia="宋体" w:cs="宋体"/>
                <w:i w:val="0"/>
                <w:iCs w:val="0"/>
                <w:color w:val="000000"/>
                <w:sz w:val="24"/>
                <w:szCs w:val="24"/>
                <w:u w:val="none"/>
              </w:rPr>
            </w:pPr>
          </w:p>
        </w:tc>
        <w:tc>
          <w:tcPr>
            <w:tcW w:w="5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6B93DA">
            <w:pPr>
              <w:jc w:val="center"/>
              <w:rPr>
                <w:rFonts w:hint="eastAsia" w:ascii="宋体" w:hAnsi="宋体" w:eastAsia="宋体" w:cs="宋体"/>
                <w:i w:val="0"/>
                <w:iCs w:val="0"/>
                <w:color w:val="000000"/>
                <w:sz w:val="24"/>
                <w:szCs w:val="24"/>
                <w:u w:val="none"/>
              </w:rPr>
            </w:pP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110D3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程序合规性</w:t>
            </w:r>
          </w:p>
        </w:tc>
        <w:tc>
          <w:tcPr>
            <w:tcW w:w="2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33207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22349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2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74353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4 </w:t>
            </w:r>
          </w:p>
        </w:tc>
        <w:tc>
          <w:tcPr>
            <w:tcW w:w="14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7D141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由于正在接受巡查，未提供凭证</w:t>
            </w:r>
          </w:p>
        </w:tc>
        <w:tc>
          <w:tcPr>
            <w:tcW w:w="12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75318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程序合规：政府采购、国库集中支付、资产管理等环节是否符合法律法规和制度规定。</w:t>
            </w:r>
          </w:p>
        </w:tc>
      </w:tr>
      <w:tr w14:paraId="1D5354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80" w:hRule="atLeast"/>
        </w:trPr>
        <w:tc>
          <w:tcPr>
            <w:tcW w:w="47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594A21">
            <w:pPr>
              <w:jc w:val="center"/>
              <w:rPr>
                <w:rFonts w:hint="eastAsia" w:ascii="宋体" w:hAnsi="宋体" w:eastAsia="宋体" w:cs="宋体"/>
                <w:i w:val="0"/>
                <w:iCs w:val="0"/>
                <w:color w:val="000000"/>
                <w:sz w:val="24"/>
                <w:szCs w:val="24"/>
                <w:u w:val="none"/>
              </w:rPr>
            </w:pPr>
          </w:p>
        </w:tc>
        <w:tc>
          <w:tcPr>
            <w:tcW w:w="5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80CC8E">
            <w:pPr>
              <w:jc w:val="center"/>
              <w:rPr>
                <w:rFonts w:hint="eastAsia" w:ascii="宋体" w:hAnsi="宋体" w:eastAsia="宋体" w:cs="宋体"/>
                <w:i w:val="0"/>
                <w:iCs w:val="0"/>
                <w:color w:val="000000"/>
                <w:sz w:val="24"/>
                <w:szCs w:val="24"/>
                <w:u w:val="none"/>
              </w:rPr>
            </w:pP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EFEAD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进度匹配度</w:t>
            </w:r>
          </w:p>
        </w:tc>
        <w:tc>
          <w:tcPr>
            <w:tcW w:w="2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54E62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E8365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30A6C7">
            <w:pPr>
              <w:jc w:val="center"/>
              <w:rPr>
                <w:rFonts w:hint="eastAsia" w:ascii="宋体" w:hAnsi="宋体" w:eastAsia="宋体" w:cs="宋体"/>
                <w:i w:val="0"/>
                <w:iCs w:val="0"/>
                <w:color w:val="000000"/>
                <w:sz w:val="24"/>
                <w:szCs w:val="24"/>
                <w:u w:val="none"/>
              </w:rPr>
            </w:pPr>
          </w:p>
        </w:tc>
        <w:tc>
          <w:tcPr>
            <w:tcW w:w="14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9813CA">
            <w:pPr>
              <w:jc w:val="left"/>
              <w:rPr>
                <w:rFonts w:hint="eastAsia" w:ascii="宋体" w:hAnsi="宋体" w:eastAsia="宋体" w:cs="宋体"/>
                <w:i w:val="0"/>
                <w:iCs w:val="0"/>
                <w:color w:val="000000"/>
                <w:sz w:val="24"/>
                <w:szCs w:val="24"/>
                <w:u w:val="none"/>
              </w:rPr>
            </w:pPr>
          </w:p>
        </w:tc>
        <w:tc>
          <w:tcPr>
            <w:tcW w:w="12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D0C7A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支出总量进度： 部门总支出完成了年度预算的百分之多少？是否与时间进度相匹配？是否存在“前期慢、后期突击花钱”或“支出进度严重滞后”的问题。</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分项支出进度： 基本支出（人员工资、办公经费）和项目支出（专项业务、事业发展项目）各自的执行进度如何。</w:t>
            </w:r>
          </w:p>
        </w:tc>
      </w:tr>
      <w:tr w14:paraId="241DD1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60" w:hRule="atLeast"/>
        </w:trPr>
        <w:tc>
          <w:tcPr>
            <w:tcW w:w="47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786791">
            <w:pPr>
              <w:jc w:val="center"/>
              <w:rPr>
                <w:rFonts w:hint="eastAsia" w:ascii="宋体" w:hAnsi="宋体" w:eastAsia="宋体" w:cs="宋体"/>
                <w:i w:val="0"/>
                <w:iCs w:val="0"/>
                <w:color w:val="000000"/>
                <w:sz w:val="24"/>
                <w:szCs w:val="24"/>
                <w:u w:val="none"/>
              </w:rPr>
            </w:pPr>
          </w:p>
        </w:tc>
        <w:tc>
          <w:tcPr>
            <w:tcW w:w="55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CD0784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部门管理（15分）</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7A96F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管理制度健全性</w:t>
            </w:r>
          </w:p>
        </w:tc>
        <w:tc>
          <w:tcPr>
            <w:tcW w:w="2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B0B95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D351C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D2CDC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 </w:t>
            </w:r>
          </w:p>
        </w:tc>
        <w:tc>
          <w:tcPr>
            <w:tcW w:w="14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E2029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供财务管理制度及其他管理制度。如：预算管理制度，内部控制制度，政府采购管理制度，国有资产管理制度，合同管理制度，收支管理制度，资产管理制度，决算与财务报告制度，监督与审计制度等。未提供项目管理制度。</w:t>
            </w:r>
          </w:p>
        </w:tc>
        <w:tc>
          <w:tcPr>
            <w:tcW w:w="12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6A385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①部门（单位）内控制度、内部财务管理制度和会计核算制度是否健全；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②相关管理制度是否合法、合规、完整、有效；</w:t>
            </w:r>
          </w:p>
        </w:tc>
      </w:tr>
      <w:tr w14:paraId="630598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60" w:hRule="atLeast"/>
        </w:trPr>
        <w:tc>
          <w:tcPr>
            <w:tcW w:w="47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161B4C">
            <w:pPr>
              <w:jc w:val="center"/>
              <w:rPr>
                <w:rFonts w:hint="eastAsia" w:ascii="宋体" w:hAnsi="宋体" w:eastAsia="宋体" w:cs="宋体"/>
                <w:i w:val="0"/>
                <w:iCs w:val="0"/>
                <w:color w:val="000000"/>
                <w:sz w:val="24"/>
                <w:szCs w:val="24"/>
                <w:u w:val="none"/>
              </w:rPr>
            </w:pPr>
          </w:p>
        </w:tc>
        <w:tc>
          <w:tcPr>
            <w:tcW w:w="5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2968B1">
            <w:pPr>
              <w:jc w:val="center"/>
              <w:rPr>
                <w:rFonts w:hint="eastAsia" w:ascii="宋体" w:hAnsi="宋体" w:eastAsia="宋体" w:cs="宋体"/>
                <w:i w:val="0"/>
                <w:iCs w:val="0"/>
                <w:color w:val="000000"/>
                <w:sz w:val="24"/>
                <w:szCs w:val="24"/>
                <w:u w:val="none"/>
              </w:rPr>
            </w:pP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8B2EC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制度执行有效性</w:t>
            </w:r>
          </w:p>
        </w:tc>
        <w:tc>
          <w:tcPr>
            <w:tcW w:w="2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E0BE9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F50FA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2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96C44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 </w:t>
            </w:r>
          </w:p>
        </w:tc>
        <w:tc>
          <w:tcPr>
            <w:tcW w:w="14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755FD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由于正在接受巡查，未提供凭证</w:t>
            </w:r>
          </w:p>
        </w:tc>
        <w:tc>
          <w:tcPr>
            <w:tcW w:w="12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069F6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①相关管理制度是否得到有效执行；</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②是否存在整改情况；</w:t>
            </w:r>
          </w:p>
        </w:tc>
      </w:tr>
      <w:tr w14:paraId="34FF16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60" w:hRule="atLeast"/>
        </w:trPr>
        <w:tc>
          <w:tcPr>
            <w:tcW w:w="47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5A69B9">
            <w:pPr>
              <w:jc w:val="center"/>
              <w:rPr>
                <w:rFonts w:hint="eastAsia" w:ascii="宋体" w:hAnsi="宋体" w:eastAsia="宋体" w:cs="宋体"/>
                <w:i w:val="0"/>
                <w:iCs w:val="0"/>
                <w:color w:val="000000"/>
                <w:sz w:val="24"/>
                <w:szCs w:val="24"/>
                <w:u w:val="none"/>
              </w:rPr>
            </w:pPr>
          </w:p>
        </w:tc>
        <w:tc>
          <w:tcPr>
            <w:tcW w:w="5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31AD17">
            <w:pPr>
              <w:jc w:val="center"/>
              <w:rPr>
                <w:rFonts w:hint="eastAsia" w:ascii="宋体" w:hAnsi="宋体" w:eastAsia="宋体" w:cs="宋体"/>
                <w:i w:val="0"/>
                <w:iCs w:val="0"/>
                <w:color w:val="000000"/>
                <w:sz w:val="24"/>
                <w:szCs w:val="24"/>
                <w:u w:val="none"/>
              </w:rPr>
            </w:pP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518DF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预决算信息公开化</w:t>
            </w:r>
          </w:p>
        </w:tc>
        <w:tc>
          <w:tcPr>
            <w:tcW w:w="2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68D6C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F5666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4776D9">
            <w:pPr>
              <w:jc w:val="center"/>
              <w:rPr>
                <w:rFonts w:hint="eastAsia" w:ascii="宋体" w:hAnsi="宋体" w:eastAsia="宋体" w:cs="宋体"/>
                <w:i w:val="0"/>
                <w:iCs w:val="0"/>
                <w:color w:val="000000"/>
                <w:sz w:val="24"/>
                <w:szCs w:val="24"/>
                <w:u w:val="none"/>
              </w:rPr>
            </w:pPr>
          </w:p>
        </w:tc>
        <w:tc>
          <w:tcPr>
            <w:tcW w:w="14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2266F2">
            <w:pPr>
              <w:jc w:val="left"/>
              <w:rPr>
                <w:rFonts w:hint="eastAsia" w:ascii="宋体" w:hAnsi="宋体" w:eastAsia="宋体" w:cs="宋体"/>
                <w:i w:val="0"/>
                <w:iCs w:val="0"/>
                <w:color w:val="000000"/>
                <w:sz w:val="24"/>
                <w:szCs w:val="24"/>
                <w:u w:val="none"/>
              </w:rPr>
            </w:pPr>
          </w:p>
        </w:tc>
        <w:tc>
          <w:tcPr>
            <w:tcW w:w="12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A3F4E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①无涉密情况的预算单位按规定及时、准确、完整地公开预决算和绩效管理信息；</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②基础数据信息和会计信息资料真实、准确、完整；</w:t>
            </w:r>
          </w:p>
        </w:tc>
      </w:tr>
      <w:tr w14:paraId="696949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80" w:hRule="atLeast"/>
        </w:trPr>
        <w:tc>
          <w:tcPr>
            <w:tcW w:w="47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CA30A0">
            <w:pPr>
              <w:jc w:val="center"/>
              <w:rPr>
                <w:rFonts w:hint="eastAsia" w:ascii="宋体" w:hAnsi="宋体" w:eastAsia="宋体" w:cs="宋体"/>
                <w:i w:val="0"/>
                <w:iCs w:val="0"/>
                <w:color w:val="000000"/>
                <w:sz w:val="24"/>
                <w:szCs w:val="24"/>
                <w:u w:val="none"/>
              </w:rPr>
            </w:pPr>
          </w:p>
        </w:tc>
        <w:tc>
          <w:tcPr>
            <w:tcW w:w="5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C2D3A0">
            <w:pPr>
              <w:jc w:val="center"/>
              <w:rPr>
                <w:rFonts w:hint="eastAsia" w:ascii="宋体" w:hAnsi="宋体" w:eastAsia="宋体" w:cs="宋体"/>
                <w:i w:val="0"/>
                <w:iCs w:val="0"/>
                <w:color w:val="000000"/>
                <w:sz w:val="24"/>
                <w:szCs w:val="24"/>
                <w:u w:val="none"/>
              </w:rPr>
            </w:pP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FB669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报销凭证的合规性与时效性</w:t>
            </w:r>
          </w:p>
        </w:tc>
        <w:tc>
          <w:tcPr>
            <w:tcW w:w="2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48CF0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1B812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2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39512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10 </w:t>
            </w:r>
          </w:p>
        </w:tc>
        <w:tc>
          <w:tcPr>
            <w:tcW w:w="14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60E41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由于正在接受巡查，未提供凭证</w:t>
            </w:r>
          </w:p>
        </w:tc>
        <w:tc>
          <w:tcPr>
            <w:tcW w:w="12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86096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资金分配及时性（转移支付下达时效，资金保障有效性；是否接受检查，受过处罚或上缴财政资金情况</w:t>
            </w:r>
          </w:p>
        </w:tc>
      </w:tr>
      <w:tr w14:paraId="230D7A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40" w:hRule="atLeast"/>
        </w:trPr>
        <w:tc>
          <w:tcPr>
            <w:tcW w:w="47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7A9A5F">
            <w:pPr>
              <w:jc w:val="center"/>
              <w:rPr>
                <w:rFonts w:hint="eastAsia" w:ascii="宋体" w:hAnsi="宋体" w:eastAsia="宋体" w:cs="宋体"/>
                <w:i w:val="0"/>
                <w:iCs w:val="0"/>
                <w:color w:val="000000"/>
                <w:sz w:val="24"/>
                <w:szCs w:val="24"/>
                <w:u w:val="none"/>
              </w:rPr>
            </w:pP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5A9D8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资产管理（5分）</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559B9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资产管理有效性</w:t>
            </w:r>
          </w:p>
        </w:tc>
        <w:tc>
          <w:tcPr>
            <w:tcW w:w="2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A7AFE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0E1DD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2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20F1E1">
            <w:pPr>
              <w:jc w:val="center"/>
              <w:rPr>
                <w:rFonts w:hint="eastAsia" w:ascii="宋体" w:hAnsi="宋体" w:eastAsia="宋体" w:cs="宋体"/>
                <w:i w:val="0"/>
                <w:iCs w:val="0"/>
                <w:color w:val="000000"/>
                <w:sz w:val="24"/>
                <w:szCs w:val="24"/>
                <w:u w:val="none"/>
              </w:rPr>
            </w:pPr>
          </w:p>
        </w:tc>
        <w:tc>
          <w:tcPr>
            <w:tcW w:w="1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49228F">
            <w:pPr>
              <w:jc w:val="left"/>
              <w:rPr>
                <w:rFonts w:hint="eastAsia" w:ascii="宋体" w:hAnsi="宋体" w:eastAsia="宋体" w:cs="宋体"/>
                <w:i w:val="0"/>
                <w:iCs w:val="0"/>
                <w:color w:val="000000"/>
                <w:sz w:val="24"/>
                <w:szCs w:val="24"/>
                <w:u w:val="none"/>
              </w:rPr>
            </w:pPr>
          </w:p>
        </w:tc>
        <w:tc>
          <w:tcPr>
            <w:tcW w:w="12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8CC78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①资产保存是否完整并有台账；②资产配置是否合理，是否有闲置现象；③资产处置是否规范；④资产账务管理是否合规，是否账实相符；⑤是否完成国有“三资”盘活工作，资产是否有偿使用或处置收入及时足额上缴；⑥相关资产购置是否履行政府采购手续，外租资产是否走合规程序；⑦资产是否定期进行盘点并有记录。</w:t>
            </w:r>
          </w:p>
        </w:tc>
      </w:tr>
      <w:tr w14:paraId="5D230A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0" w:hRule="atLeast"/>
        </w:trPr>
        <w:tc>
          <w:tcPr>
            <w:tcW w:w="473"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073B7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产出（20分）</w:t>
            </w:r>
          </w:p>
        </w:tc>
        <w:tc>
          <w:tcPr>
            <w:tcW w:w="55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9F228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职能工作完成率（10分）</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1A0C7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统筹协调保障完成率</w:t>
            </w:r>
          </w:p>
        </w:tc>
        <w:tc>
          <w:tcPr>
            <w:tcW w:w="2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290B2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8BBF9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2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F0ADC0">
            <w:pPr>
              <w:jc w:val="center"/>
              <w:rPr>
                <w:rFonts w:hint="eastAsia" w:ascii="宋体" w:hAnsi="宋体" w:eastAsia="宋体" w:cs="宋体"/>
                <w:i w:val="0"/>
                <w:iCs w:val="0"/>
                <w:color w:val="000000"/>
                <w:sz w:val="24"/>
                <w:szCs w:val="24"/>
                <w:u w:val="none"/>
              </w:rPr>
            </w:pPr>
          </w:p>
        </w:tc>
        <w:tc>
          <w:tcPr>
            <w:tcW w:w="1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B340BD">
            <w:pPr>
              <w:jc w:val="left"/>
              <w:rPr>
                <w:rFonts w:hint="eastAsia" w:ascii="宋体" w:hAnsi="宋体" w:eastAsia="宋体" w:cs="宋体"/>
                <w:i w:val="0"/>
                <w:iCs w:val="0"/>
                <w:color w:val="000000"/>
                <w:sz w:val="24"/>
                <w:szCs w:val="24"/>
                <w:u w:val="none"/>
              </w:rPr>
            </w:pPr>
          </w:p>
        </w:tc>
        <w:tc>
          <w:tcPr>
            <w:tcW w:w="12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87F9F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 调度执行率：区长活动周安排、政府工作月动态汇报制度是否100%执行。</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 重大活动保障：重大活动、重要会议协调组织是否周密，是否实现"零失误"。</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 减负增效：发文、会议数量是否同比精简或持平；"无扰督查"是否全面推行，实地督查频次是否较上年减少10%。</w:t>
            </w:r>
          </w:p>
        </w:tc>
      </w:tr>
      <w:tr w14:paraId="2A78D9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80" w:hRule="atLeast"/>
        </w:trPr>
        <w:tc>
          <w:tcPr>
            <w:tcW w:w="47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AC6014">
            <w:pPr>
              <w:jc w:val="center"/>
              <w:rPr>
                <w:rFonts w:hint="eastAsia" w:ascii="宋体" w:hAnsi="宋体" w:eastAsia="宋体" w:cs="宋体"/>
                <w:i w:val="0"/>
                <w:iCs w:val="0"/>
                <w:color w:val="000000"/>
                <w:sz w:val="24"/>
                <w:szCs w:val="24"/>
                <w:u w:val="none"/>
              </w:rPr>
            </w:pPr>
          </w:p>
        </w:tc>
        <w:tc>
          <w:tcPr>
            <w:tcW w:w="5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631E43">
            <w:pPr>
              <w:jc w:val="center"/>
              <w:rPr>
                <w:rFonts w:hint="eastAsia" w:ascii="宋体" w:hAnsi="宋体" w:eastAsia="宋体" w:cs="宋体"/>
                <w:i w:val="0"/>
                <w:iCs w:val="0"/>
                <w:color w:val="000000"/>
                <w:sz w:val="24"/>
                <w:szCs w:val="24"/>
                <w:u w:val="none"/>
              </w:rPr>
            </w:pP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CD988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公文会议办理达标率</w:t>
            </w:r>
          </w:p>
        </w:tc>
        <w:tc>
          <w:tcPr>
            <w:tcW w:w="2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F406A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67ED4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2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9344F3">
            <w:pPr>
              <w:jc w:val="center"/>
              <w:rPr>
                <w:rFonts w:hint="eastAsia" w:ascii="宋体" w:hAnsi="宋体" w:eastAsia="宋体" w:cs="宋体"/>
                <w:i w:val="0"/>
                <w:iCs w:val="0"/>
                <w:color w:val="000000"/>
                <w:sz w:val="24"/>
                <w:szCs w:val="24"/>
                <w:u w:val="none"/>
              </w:rPr>
            </w:pPr>
          </w:p>
        </w:tc>
        <w:tc>
          <w:tcPr>
            <w:tcW w:w="1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A34FD4">
            <w:pPr>
              <w:jc w:val="left"/>
              <w:rPr>
                <w:rFonts w:hint="eastAsia" w:ascii="宋体" w:hAnsi="宋体" w:eastAsia="宋体" w:cs="宋体"/>
                <w:i w:val="0"/>
                <w:iCs w:val="0"/>
                <w:color w:val="000000"/>
                <w:sz w:val="24"/>
                <w:szCs w:val="24"/>
                <w:u w:val="none"/>
              </w:rPr>
            </w:pPr>
          </w:p>
        </w:tc>
        <w:tc>
          <w:tcPr>
            <w:tcW w:w="12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DC402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 办会质量：组织政府常务会、党组会等重要会议，议题审核是否严谨，会务保障是否实现"零差错"。</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 办文效率与质量：公文流转是否及时（目标100%），错情率是否低于设定标准（如X‰）；以政府（办）名义发文是否控制在合理范围（如211件内）。</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 保密安全：是否发生泄密事件（目标"零事故"）。</w:t>
            </w:r>
          </w:p>
        </w:tc>
      </w:tr>
      <w:tr w14:paraId="3E15C4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40" w:hRule="atLeast"/>
        </w:trPr>
        <w:tc>
          <w:tcPr>
            <w:tcW w:w="47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905E64">
            <w:pPr>
              <w:jc w:val="center"/>
              <w:rPr>
                <w:rFonts w:hint="eastAsia" w:ascii="宋体" w:hAnsi="宋体" w:eastAsia="宋体" w:cs="宋体"/>
                <w:i w:val="0"/>
                <w:iCs w:val="0"/>
                <w:color w:val="000000"/>
                <w:sz w:val="24"/>
                <w:szCs w:val="24"/>
                <w:u w:val="none"/>
              </w:rPr>
            </w:pPr>
          </w:p>
        </w:tc>
        <w:tc>
          <w:tcPr>
            <w:tcW w:w="5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400F77">
            <w:pPr>
              <w:jc w:val="center"/>
              <w:rPr>
                <w:rFonts w:hint="eastAsia" w:ascii="宋体" w:hAnsi="宋体" w:eastAsia="宋体" w:cs="宋体"/>
                <w:i w:val="0"/>
                <w:iCs w:val="0"/>
                <w:color w:val="000000"/>
                <w:sz w:val="24"/>
                <w:szCs w:val="24"/>
                <w:u w:val="none"/>
              </w:rPr>
            </w:pP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04BF5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运转规范与信息报送完成率</w:t>
            </w:r>
          </w:p>
        </w:tc>
        <w:tc>
          <w:tcPr>
            <w:tcW w:w="2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F85EE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2F226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2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3B3D67">
            <w:pPr>
              <w:jc w:val="center"/>
              <w:rPr>
                <w:rFonts w:hint="eastAsia" w:ascii="宋体" w:hAnsi="宋体" w:eastAsia="宋体" w:cs="宋体"/>
                <w:i w:val="0"/>
                <w:iCs w:val="0"/>
                <w:color w:val="000000"/>
                <w:sz w:val="24"/>
                <w:szCs w:val="24"/>
                <w:u w:val="none"/>
              </w:rPr>
            </w:pPr>
          </w:p>
        </w:tc>
        <w:tc>
          <w:tcPr>
            <w:tcW w:w="1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3F3C1C">
            <w:pPr>
              <w:jc w:val="left"/>
              <w:rPr>
                <w:rFonts w:hint="eastAsia" w:ascii="宋体" w:hAnsi="宋体" w:eastAsia="宋体" w:cs="宋体"/>
                <w:i w:val="0"/>
                <w:iCs w:val="0"/>
                <w:color w:val="000000"/>
                <w:sz w:val="24"/>
                <w:szCs w:val="24"/>
                <w:u w:val="none"/>
              </w:rPr>
            </w:pPr>
          </w:p>
        </w:tc>
        <w:tc>
          <w:tcPr>
            <w:tcW w:w="12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FBC05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 成本控制：日常办公费用开支是否较上年压减X%以上（在保障运转前提下）。</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 信息报送：向市政府办报送政务信息是否达到34篇以上，是否被省、市采用（如省级至少1篇）。</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 系统指导：是否组织全区政府系统政务信息或相关业务培训至少1次。</w:t>
            </w:r>
          </w:p>
        </w:tc>
      </w:tr>
      <w:tr w14:paraId="48063E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0" w:hRule="atLeast"/>
        </w:trPr>
        <w:tc>
          <w:tcPr>
            <w:tcW w:w="47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0B8693">
            <w:pPr>
              <w:jc w:val="center"/>
              <w:rPr>
                <w:rFonts w:hint="eastAsia" w:ascii="宋体" w:hAnsi="宋体" w:eastAsia="宋体" w:cs="宋体"/>
                <w:i w:val="0"/>
                <w:iCs w:val="0"/>
                <w:color w:val="000000"/>
                <w:sz w:val="24"/>
                <w:szCs w:val="24"/>
                <w:u w:val="none"/>
              </w:rPr>
            </w:pPr>
          </w:p>
        </w:tc>
        <w:tc>
          <w:tcPr>
            <w:tcW w:w="55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78C2F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重点工作办结率（10分）</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532CD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决策督查事项办结率</w:t>
            </w:r>
          </w:p>
        </w:tc>
        <w:tc>
          <w:tcPr>
            <w:tcW w:w="2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FD31E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38E6B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2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AFA25F">
            <w:pPr>
              <w:jc w:val="center"/>
              <w:rPr>
                <w:rFonts w:hint="eastAsia" w:ascii="宋体" w:hAnsi="宋体" w:eastAsia="宋体" w:cs="宋体"/>
                <w:i w:val="0"/>
                <w:iCs w:val="0"/>
                <w:color w:val="000000"/>
                <w:sz w:val="24"/>
                <w:szCs w:val="24"/>
                <w:u w:val="none"/>
              </w:rPr>
            </w:pPr>
          </w:p>
        </w:tc>
        <w:tc>
          <w:tcPr>
            <w:tcW w:w="1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EF3B15">
            <w:pPr>
              <w:jc w:val="left"/>
              <w:rPr>
                <w:rFonts w:hint="eastAsia" w:ascii="宋体" w:hAnsi="宋体" w:eastAsia="宋体" w:cs="宋体"/>
                <w:i w:val="0"/>
                <w:iCs w:val="0"/>
                <w:color w:val="000000"/>
                <w:sz w:val="24"/>
                <w:szCs w:val="24"/>
                <w:u w:val="none"/>
              </w:rPr>
            </w:pPr>
          </w:p>
        </w:tc>
        <w:tc>
          <w:tcPr>
            <w:tcW w:w="12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17DB8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 任务分解：年度《政府工作报告》等重点任务是否100%细化分解，建立台账并明确责任。</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 领导交办：领导批示交办事项是否100%办结，按时反馈率是否≥95%。</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 专项督查：民生实事、安全生产等专项督查是否按计划100%完成。</w:t>
            </w:r>
          </w:p>
        </w:tc>
      </w:tr>
      <w:tr w14:paraId="28147A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0" w:hRule="atLeast"/>
        </w:trPr>
        <w:tc>
          <w:tcPr>
            <w:tcW w:w="47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D9AEBB">
            <w:pPr>
              <w:jc w:val="center"/>
              <w:rPr>
                <w:rFonts w:hint="eastAsia" w:ascii="宋体" w:hAnsi="宋体" w:eastAsia="宋体" w:cs="宋体"/>
                <w:i w:val="0"/>
                <w:iCs w:val="0"/>
                <w:color w:val="000000"/>
                <w:sz w:val="24"/>
                <w:szCs w:val="24"/>
                <w:u w:val="none"/>
              </w:rPr>
            </w:pPr>
          </w:p>
        </w:tc>
        <w:tc>
          <w:tcPr>
            <w:tcW w:w="5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425B11">
            <w:pPr>
              <w:jc w:val="center"/>
              <w:rPr>
                <w:rFonts w:hint="eastAsia" w:ascii="宋体" w:hAnsi="宋体" w:eastAsia="宋体" w:cs="宋体"/>
                <w:i w:val="0"/>
                <w:iCs w:val="0"/>
                <w:color w:val="000000"/>
                <w:sz w:val="24"/>
                <w:szCs w:val="24"/>
                <w:u w:val="none"/>
              </w:rPr>
            </w:pP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679B9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应急值守与事件处置办结率</w:t>
            </w:r>
          </w:p>
        </w:tc>
        <w:tc>
          <w:tcPr>
            <w:tcW w:w="2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51D69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2FDD4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2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0DE2F5">
            <w:pPr>
              <w:jc w:val="center"/>
              <w:rPr>
                <w:rFonts w:hint="eastAsia" w:ascii="宋体" w:hAnsi="宋体" w:eastAsia="宋体" w:cs="宋体"/>
                <w:i w:val="0"/>
                <w:iCs w:val="0"/>
                <w:color w:val="000000"/>
                <w:sz w:val="24"/>
                <w:szCs w:val="24"/>
                <w:u w:val="none"/>
              </w:rPr>
            </w:pPr>
          </w:p>
        </w:tc>
        <w:tc>
          <w:tcPr>
            <w:tcW w:w="1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1D6C79">
            <w:pPr>
              <w:jc w:val="left"/>
              <w:rPr>
                <w:rFonts w:hint="eastAsia" w:ascii="宋体" w:hAnsi="宋体" w:eastAsia="宋体" w:cs="宋体"/>
                <w:i w:val="0"/>
                <w:iCs w:val="0"/>
                <w:color w:val="000000"/>
                <w:sz w:val="24"/>
                <w:szCs w:val="24"/>
                <w:u w:val="none"/>
              </w:rPr>
            </w:pPr>
          </w:p>
        </w:tc>
        <w:tc>
          <w:tcPr>
            <w:tcW w:w="12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E93F9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 在岗值守：总值班室是否保持24小时在岗（目标100%）。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 信息处置：接收信息传递是否及时（目标100%）；突发事件首报是否在规定时限内，处置率是否达100%。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 检查督导：是否每季度对镇街值班情况抽查不少于1次。</w:t>
            </w:r>
          </w:p>
        </w:tc>
      </w:tr>
      <w:tr w14:paraId="2BAA75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0" w:hRule="atLeast"/>
        </w:trPr>
        <w:tc>
          <w:tcPr>
            <w:tcW w:w="47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CFAC03">
            <w:pPr>
              <w:jc w:val="center"/>
              <w:rPr>
                <w:rFonts w:hint="eastAsia" w:ascii="宋体" w:hAnsi="宋体" w:eastAsia="宋体" w:cs="宋体"/>
                <w:i w:val="0"/>
                <w:iCs w:val="0"/>
                <w:color w:val="000000"/>
                <w:sz w:val="24"/>
                <w:szCs w:val="24"/>
                <w:u w:val="none"/>
              </w:rPr>
            </w:pPr>
          </w:p>
        </w:tc>
        <w:tc>
          <w:tcPr>
            <w:tcW w:w="5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0C2422">
            <w:pPr>
              <w:jc w:val="center"/>
              <w:rPr>
                <w:rFonts w:hint="eastAsia" w:ascii="宋体" w:hAnsi="宋体" w:eastAsia="宋体" w:cs="宋体"/>
                <w:i w:val="0"/>
                <w:iCs w:val="0"/>
                <w:color w:val="000000"/>
                <w:sz w:val="24"/>
                <w:szCs w:val="24"/>
                <w:u w:val="none"/>
              </w:rPr>
            </w:pP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29E9B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牵头专项工作目标达成率</w:t>
            </w:r>
          </w:p>
        </w:tc>
        <w:tc>
          <w:tcPr>
            <w:tcW w:w="2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C7C65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A391F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2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84CB98">
            <w:pPr>
              <w:jc w:val="center"/>
              <w:rPr>
                <w:rFonts w:hint="eastAsia" w:ascii="宋体" w:hAnsi="宋体" w:eastAsia="宋体" w:cs="宋体"/>
                <w:i w:val="0"/>
                <w:iCs w:val="0"/>
                <w:color w:val="000000"/>
                <w:sz w:val="24"/>
                <w:szCs w:val="24"/>
                <w:u w:val="none"/>
              </w:rPr>
            </w:pPr>
          </w:p>
        </w:tc>
        <w:tc>
          <w:tcPr>
            <w:tcW w:w="1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C2ABD7">
            <w:pPr>
              <w:jc w:val="left"/>
              <w:rPr>
                <w:rFonts w:hint="eastAsia" w:ascii="宋体" w:hAnsi="宋体" w:eastAsia="宋体" w:cs="宋体"/>
                <w:i w:val="0"/>
                <w:iCs w:val="0"/>
                <w:color w:val="000000"/>
                <w:sz w:val="24"/>
                <w:szCs w:val="24"/>
                <w:u w:val="none"/>
              </w:rPr>
            </w:pPr>
          </w:p>
        </w:tc>
        <w:tc>
          <w:tcPr>
            <w:tcW w:w="12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5DE80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 禁毒工作：绩效考核全市排名是否保持前列；社戒社康人员执行率、管控率是否保持100%；是否完成年度毛发检测、宣传"六进"活动（不少于XX场）、新闻稿件（不少于XX篇）等量化目标。</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 治超工作：是否开展整治行动不少于XX次；超限超载车辆查处是否完成目标；重点源头企业督导覆盖率是否100%；科技治超设备正常运行率是否≥95%。</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 金融工作：是否完成上市后备企业指导（如X家）；是否开展非法集资排查不少于XX次，陈案结案率是否达50%或提升；是否开展政银企对接、宣传活动不少于XX次。</w:t>
            </w:r>
          </w:p>
        </w:tc>
      </w:tr>
      <w:tr w14:paraId="7CCAFA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80" w:hRule="atLeast"/>
        </w:trPr>
        <w:tc>
          <w:tcPr>
            <w:tcW w:w="473"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1E717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效益（30分）</w:t>
            </w:r>
          </w:p>
        </w:tc>
        <w:tc>
          <w:tcPr>
            <w:tcW w:w="55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2E666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社会效益（20分）</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59FF6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政令畅通与执行效能</w:t>
            </w:r>
          </w:p>
        </w:tc>
        <w:tc>
          <w:tcPr>
            <w:tcW w:w="2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67AA1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2C49E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2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DC3B2F">
            <w:pPr>
              <w:jc w:val="center"/>
              <w:rPr>
                <w:rFonts w:hint="eastAsia" w:ascii="宋体" w:hAnsi="宋体" w:eastAsia="宋体" w:cs="宋体"/>
                <w:i w:val="0"/>
                <w:iCs w:val="0"/>
                <w:color w:val="000000"/>
                <w:sz w:val="24"/>
                <w:szCs w:val="24"/>
                <w:u w:val="none"/>
              </w:rPr>
            </w:pPr>
          </w:p>
        </w:tc>
        <w:tc>
          <w:tcPr>
            <w:tcW w:w="1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5B6F9B">
            <w:pPr>
              <w:jc w:val="left"/>
              <w:rPr>
                <w:rFonts w:hint="eastAsia" w:ascii="宋体" w:hAnsi="宋体" w:eastAsia="宋体" w:cs="宋体"/>
                <w:i w:val="0"/>
                <w:iCs w:val="0"/>
                <w:color w:val="000000"/>
                <w:sz w:val="24"/>
                <w:szCs w:val="24"/>
                <w:u w:val="none"/>
              </w:rPr>
            </w:pPr>
          </w:p>
        </w:tc>
        <w:tc>
          <w:tcPr>
            <w:tcW w:w="12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4D1C0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 协同联动：配合"三合一"等联合督查，问题协调解决率是否≥90%；完成上级综合督查任务情况。</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 基层减负感知：通过调研或反馈，了解基层对精简文会、推行"无扰督查"的实际感受与评价。</w:t>
            </w:r>
          </w:p>
        </w:tc>
      </w:tr>
      <w:tr w14:paraId="034FD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40" w:hRule="atLeast"/>
        </w:trPr>
        <w:tc>
          <w:tcPr>
            <w:tcW w:w="47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1FB18E">
            <w:pPr>
              <w:jc w:val="center"/>
              <w:rPr>
                <w:rFonts w:hint="eastAsia" w:ascii="宋体" w:hAnsi="宋体" w:eastAsia="宋体" w:cs="宋体"/>
                <w:i w:val="0"/>
                <w:iCs w:val="0"/>
                <w:color w:val="000000"/>
                <w:sz w:val="24"/>
                <w:szCs w:val="24"/>
                <w:u w:val="none"/>
              </w:rPr>
            </w:pPr>
          </w:p>
        </w:tc>
        <w:tc>
          <w:tcPr>
            <w:tcW w:w="5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0B02C6">
            <w:pPr>
              <w:jc w:val="center"/>
              <w:rPr>
                <w:rFonts w:hint="eastAsia" w:ascii="宋体" w:hAnsi="宋体" w:eastAsia="宋体" w:cs="宋体"/>
                <w:i w:val="0"/>
                <w:iCs w:val="0"/>
                <w:color w:val="000000"/>
                <w:sz w:val="24"/>
                <w:szCs w:val="24"/>
                <w:u w:val="none"/>
              </w:rPr>
            </w:pP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9ED64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公共服务与风险防控成效</w:t>
            </w:r>
          </w:p>
        </w:tc>
        <w:tc>
          <w:tcPr>
            <w:tcW w:w="2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3F2D3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0FF32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2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2F5E01">
            <w:pPr>
              <w:jc w:val="center"/>
              <w:rPr>
                <w:rFonts w:hint="eastAsia" w:ascii="宋体" w:hAnsi="宋体" w:eastAsia="宋体" w:cs="宋体"/>
                <w:i w:val="0"/>
                <w:iCs w:val="0"/>
                <w:color w:val="000000"/>
                <w:sz w:val="24"/>
                <w:szCs w:val="24"/>
                <w:u w:val="none"/>
              </w:rPr>
            </w:pPr>
          </w:p>
        </w:tc>
        <w:tc>
          <w:tcPr>
            <w:tcW w:w="1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649C27">
            <w:pPr>
              <w:jc w:val="left"/>
              <w:rPr>
                <w:rFonts w:hint="eastAsia" w:ascii="宋体" w:hAnsi="宋体" w:eastAsia="宋体" w:cs="宋体"/>
                <w:i w:val="0"/>
                <w:iCs w:val="0"/>
                <w:color w:val="000000"/>
                <w:sz w:val="24"/>
                <w:szCs w:val="24"/>
                <w:u w:val="none"/>
              </w:rPr>
            </w:pPr>
          </w:p>
        </w:tc>
        <w:tc>
          <w:tcPr>
            <w:tcW w:w="12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397A6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 安全稳定贡献：牵头处置的突发事件（如跳楼事件）是否得到及时有效控制，未造成严重社会负面影响；禁毒、治超、处非等工作是否对净化社会环境、保障公共安全产生积极作用。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 营商环境优化：金融服务企业、协调融资需求等工作，是否切实帮助企业解决难题，得到企业正面反馈。</w:t>
            </w:r>
          </w:p>
        </w:tc>
      </w:tr>
      <w:tr w14:paraId="4DBACF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0" w:hRule="atLeast"/>
        </w:trPr>
        <w:tc>
          <w:tcPr>
            <w:tcW w:w="47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B409DC">
            <w:pPr>
              <w:jc w:val="center"/>
              <w:rPr>
                <w:rFonts w:hint="eastAsia" w:ascii="宋体" w:hAnsi="宋体" w:eastAsia="宋体" w:cs="宋体"/>
                <w:i w:val="0"/>
                <w:iCs w:val="0"/>
                <w:color w:val="000000"/>
                <w:sz w:val="24"/>
                <w:szCs w:val="24"/>
                <w:u w:val="none"/>
              </w:rPr>
            </w:pPr>
          </w:p>
        </w:tc>
        <w:tc>
          <w:tcPr>
            <w:tcW w:w="5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474F50">
            <w:pPr>
              <w:jc w:val="center"/>
              <w:rPr>
                <w:rFonts w:hint="eastAsia" w:ascii="宋体" w:hAnsi="宋体" w:eastAsia="宋体" w:cs="宋体"/>
                <w:i w:val="0"/>
                <w:iCs w:val="0"/>
                <w:color w:val="000000"/>
                <w:sz w:val="24"/>
                <w:szCs w:val="24"/>
                <w:u w:val="none"/>
              </w:rPr>
            </w:pP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C2334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民意回应与民主参与</w:t>
            </w:r>
          </w:p>
        </w:tc>
        <w:tc>
          <w:tcPr>
            <w:tcW w:w="2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F40FD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CA50C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2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C4185E">
            <w:pPr>
              <w:jc w:val="center"/>
              <w:rPr>
                <w:rFonts w:hint="eastAsia" w:ascii="宋体" w:hAnsi="宋体" w:eastAsia="宋体" w:cs="宋体"/>
                <w:i w:val="0"/>
                <w:iCs w:val="0"/>
                <w:color w:val="000000"/>
                <w:sz w:val="24"/>
                <w:szCs w:val="24"/>
                <w:u w:val="none"/>
              </w:rPr>
            </w:pPr>
          </w:p>
        </w:tc>
        <w:tc>
          <w:tcPr>
            <w:tcW w:w="1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75F7D3">
            <w:pPr>
              <w:jc w:val="left"/>
              <w:rPr>
                <w:rFonts w:hint="eastAsia" w:ascii="宋体" w:hAnsi="宋体" w:eastAsia="宋体" w:cs="宋体"/>
                <w:i w:val="0"/>
                <w:iCs w:val="0"/>
                <w:color w:val="000000"/>
                <w:sz w:val="24"/>
                <w:szCs w:val="24"/>
                <w:u w:val="none"/>
              </w:rPr>
            </w:pPr>
          </w:p>
        </w:tc>
        <w:tc>
          <w:tcPr>
            <w:tcW w:w="12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65655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 建议提案办理：人大代表建议、政协提案是否100%按期办结，代表委员满意率是否≥95%。</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 公众沟通：通过政务信息、宣传活动等，政策解读、工作亮点的社会知晓度和认同度。</w:t>
            </w:r>
          </w:p>
        </w:tc>
      </w:tr>
      <w:tr w14:paraId="5BBB06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0" w:hRule="atLeast"/>
        </w:trPr>
        <w:tc>
          <w:tcPr>
            <w:tcW w:w="47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AF6C98">
            <w:pPr>
              <w:jc w:val="center"/>
              <w:rPr>
                <w:rFonts w:hint="eastAsia" w:ascii="宋体" w:hAnsi="宋体" w:eastAsia="宋体" w:cs="宋体"/>
                <w:i w:val="0"/>
                <w:iCs w:val="0"/>
                <w:color w:val="000000"/>
                <w:sz w:val="24"/>
                <w:szCs w:val="24"/>
                <w:u w:val="none"/>
              </w:rPr>
            </w:pPr>
          </w:p>
        </w:tc>
        <w:tc>
          <w:tcPr>
            <w:tcW w:w="55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0AC7A6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相关人员满意度（10分）</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F7629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区领导满意度</w:t>
            </w:r>
          </w:p>
        </w:tc>
        <w:tc>
          <w:tcPr>
            <w:tcW w:w="2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D6FD8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00D34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2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FAFBE8">
            <w:pPr>
              <w:jc w:val="center"/>
              <w:rPr>
                <w:rFonts w:hint="eastAsia" w:ascii="宋体" w:hAnsi="宋体" w:eastAsia="宋体" w:cs="宋体"/>
                <w:i w:val="0"/>
                <w:iCs w:val="0"/>
                <w:color w:val="000000"/>
                <w:sz w:val="24"/>
                <w:szCs w:val="24"/>
                <w:u w:val="none"/>
              </w:rPr>
            </w:pPr>
          </w:p>
        </w:tc>
        <w:tc>
          <w:tcPr>
            <w:tcW w:w="1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661927">
            <w:pPr>
              <w:jc w:val="left"/>
              <w:rPr>
                <w:rFonts w:hint="eastAsia" w:ascii="宋体" w:hAnsi="宋体" w:eastAsia="宋体" w:cs="宋体"/>
                <w:i w:val="0"/>
                <w:iCs w:val="0"/>
                <w:color w:val="000000"/>
                <w:sz w:val="24"/>
                <w:szCs w:val="24"/>
                <w:u w:val="none"/>
              </w:rPr>
            </w:pPr>
          </w:p>
        </w:tc>
        <w:tc>
          <w:tcPr>
            <w:tcW w:w="12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4FC99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就办公室在统筹协调、参谋助手、督查落实、服务保障等方面的表现，征求区政府主要领导和分管领导的评价。</w:t>
            </w:r>
          </w:p>
        </w:tc>
      </w:tr>
      <w:tr w14:paraId="4DF267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0" w:hRule="atLeast"/>
        </w:trPr>
        <w:tc>
          <w:tcPr>
            <w:tcW w:w="47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58286A">
            <w:pPr>
              <w:jc w:val="center"/>
              <w:rPr>
                <w:rFonts w:hint="eastAsia" w:ascii="宋体" w:hAnsi="宋体" w:eastAsia="宋体" w:cs="宋体"/>
                <w:i w:val="0"/>
                <w:iCs w:val="0"/>
                <w:color w:val="000000"/>
                <w:sz w:val="24"/>
                <w:szCs w:val="24"/>
                <w:u w:val="none"/>
              </w:rPr>
            </w:pPr>
          </w:p>
        </w:tc>
        <w:tc>
          <w:tcPr>
            <w:tcW w:w="5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F33C22">
            <w:pPr>
              <w:jc w:val="center"/>
              <w:rPr>
                <w:rFonts w:hint="eastAsia" w:ascii="宋体" w:hAnsi="宋体" w:eastAsia="宋体" w:cs="宋体"/>
                <w:i w:val="0"/>
                <w:iCs w:val="0"/>
                <w:color w:val="000000"/>
                <w:sz w:val="24"/>
                <w:szCs w:val="24"/>
                <w:u w:val="none"/>
              </w:rPr>
            </w:pP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4DC34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部门及基层单位满意度</w:t>
            </w:r>
          </w:p>
        </w:tc>
        <w:tc>
          <w:tcPr>
            <w:tcW w:w="2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97805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E727D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2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4839B5">
            <w:pPr>
              <w:jc w:val="center"/>
              <w:rPr>
                <w:rFonts w:hint="eastAsia" w:ascii="宋体" w:hAnsi="宋体" w:eastAsia="宋体" w:cs="宋体"/>
                <w:i w:val="0"/>
                <w:iCs w:val="0"/>
                <w:color w:val="000000"/>
                <w:sz w:val="24"/>
                <w:szCs w:val="24"/>
                <w:u w:val="none"/>
              </w:rPr>
            </w:pPr>
          </w:p>
        </w:tc>
        <w:tc>
          <w:tcPr>
            <w:tcW w:w="1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B23523">
            <w:pPr>
              <w:jc w:val="left"/>
              <w:rPr>
                <w:rFonts w:hint="eastAsia" w:ascii="宋体" w:hAnsi="宋体" w:eastAsia="宋体" w:cs="宋体"/>
                <w:i w:val="0"/>
                <w:iCs w:val="0"/>
                <w:color w:val="000000"/>
                <w:sz w:val="24"/>
                <w:szCs w:val="24"/>
                <w:u w:val="none"/>
              </w:rPr>
            </w:pPr>
          </w:p>
        </w:tc>
        <w:tc>
          <w:tcPr>
            <w:tcW w:w="12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1AD64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就办公室在文会办理、工作协调、业务指导、督查检查（尤其是减负效果）等方面的效率、作风和服务态度，征求区直部门、镇街办公室的评议。</w:t>
            </w:r>
          </w:p>
        </w:tc>
      </w:tr>
      <w:tr w14:paraId="229FEB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0" w:hRule="atLeast"/>
        </w:trPr>
        <w:tc>
          <w:tcPr>
            <w:tcW w:w="47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A7A32B">
            <w:pPr>
              <w:jc w:val="center"/>
              <w:rPr>
                <w:rFonts w:hint="eastAsia" w:ascii="宋体" w:hAnsi="宋体" w:eastAsia="宋体" w:cs="宋体"/>
                <w:i w:val="0"/>
                <w:iCs w:val="0"/>
                <w:color w:val="000000"/>
                <w:sz w:val="24"/>
                <w:szCs w:val="24"/>
                <w:u w:val="none"/>
              </w:rPr>
            </w:pPr>
          </w:p>
        </w:tc>
        <w:tc>
          <w:tcPr>
            <w:tcW w:w="5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D6CDEC">
            <w:pPr>
              <w:jc w:val="center"/>
              <w:rPr>
                <w:rFonts w:hint="eastAsia" w:ascii="宋体" w:hAnsi="宋体" w:eastAsia="宋体" w:cs="宋体"/>
                <w:i w:val="0"/>
                <w:iCs w:val="0"/>
                <w:color w:val="000000"/>
                <w:sz w:val="24"/>
                <w:szCs w:val="24"/>
                <w:u w:val="none"/>
              </w:rPr>
            </w:pP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9835D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内部员工满意度</w:t>
            </w:r>
          </w:p>
        </w:tc>
        <w:tc>
          <w:tcPr>
            <w:tcW w:w="2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47884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6C505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2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C27548">
            <w:pPr>
              <w:jc w:val="center"/>
              <w:rPr>
                <w:rFonts w:hint="eastAsia" w:ascii="宋体" w:hAnsi="宋体" w:eastAsia="宋体" w:cs="宋体"/>
                <w:i w:val="0"/>
                <w:iCs w:val="0"/>
                <w:color w:val="000000"/>
                <w:sz w:val="24"/>
                <w:szCs w:val="24"/>
                <w:u w:val="none"/>
              </w:rPr>
            </w:pPr>
          </w:p>
        </w:tc>
        <w:tc>
          <w:tcPr>
            <w:tcW w:w="1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CA2ECE">
            <w:pPr>
              <w:jc w:val="left"/>
              <w:rPr>
                <w:rFonts w:hint="eastAsia" w:ascii="宋体" w:hAnsi="宋体" w:eastAsia="宋体" w:cs="宋体"/>
                <w:i w:val="0"/>
                <w:iCs w:val="0"/>
                <w:color w:val="000000"/>
                <w:sz w:val="24"/>
                <w:szCs w:val="24"/>
                <w:u w:val="none"/>
              </w:rPr>
            </w:pPr>
          </w:p>
        </w:tc>
        <w:tc>
          <w:tcPr>
            <w:tcW w:w="12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3E9C3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了解办公室内部干部职工对党建工作、队伍建设、培养激励、工作氛围、内部管理等方面的满意程度。</w:t>
            </w:r>
          </w:p>
        </w:tc>
      </w:tr>
      <w:tr w14:paraId="56594C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1499"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50BD0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合计</w:t>
            </w:r>
          </w:p>
        </w:tc>
        <w:tc>
          <w:tcPr>
            <w:tcW w:w="2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88996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6E84F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70</w:t>
            </w:r>
          </w:p>
        </w:tc>
        <w:tc>
          <w:tcPr>
            <w:tcW w:w="2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23834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14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9F61B7">
            <w:pPr>
              <w:jc w:val="left"/>
              <w:rPr>
                <w:rFonts w:hint="eastAsia" w:ascii="宋体" w:hAnsi="宋体" w:eastAsia="宋体" w:cs="宋体"/>
                <w:i w:val="0"/>
                <w:iCs w:val="0"/>
                <w:color w:val="000000"/>
                <w:sz w:val="24"/>
                <w:szCs w:val="24"/>
                <w:u w:val="none"/>
              </w:rPr>
            </w:pPr>
          </w:p>
        </w:tc>
        <w:tc>
          <w:tcPr>
            <w:tcW w:w="12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08BC4C">
            <w:pPr>
              <w:jc w:val="center"/>
              <w:rPr>
                <w:rFonts w:hint="eastAsia" w:ascii="宋体" w:hAnsi="宋体" w:eastAsia="宋体" w:cs="宋体"/>
                <w:i w:val="0"/>
                <w:iCs w:val="0"/>
                <w:color w:val="000000"/>
                <w:sz w:val="24"/>
                <w:szCs w:val="24"/>
                <w:u w:val="none"/>
              </w:rPr>
            </w:pPr>
          </w:p>
        </w:tc>
      </w:tr>
    </w:tbl>
    <w:p w14:paraId="5552D1B0">
      <w:pPr>
        <w:pStyle w:val="1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Chars="200" w:right="0" w:rightChars="0"/>
        <w:jc w:val="both"/>
        <w:textAlignment w:val="auto"/>
        <w:rPr>
          <w:rFonts w:hint="eastAsia" w:ascii="仿宋" w:hAnsi="仿宋" w:eastAsia="仿宋" w:cs="仿宋"/>
          <w:b/>
          <w:bCs/>
          <w:i w:val="0"/>
          <w:iCs w:val="0"/>
          <w:caps w:val="0"/>
          <w:color w:val="000000"/>
          <w:spacing w:val="0"/>
          <w:sz w:val="32"/>
          <w:szCs w:val="32"/>
          <w:u w:val="none"/>
          <w:shd w:val="clear" w:fill="FFFFFF"/>
          <w:lang w:val="en-US" w:eastAsia="zh-CN"/>
        </w:rPr>
        <w:sectPr>
          <w:pgSz w:w="16838" w:h="11906" w:orient="landscape"/>
          <w:pgMar w:top="1803" w:right="1440" w:bottom="1803" w:left="1440" w:header="851" w:footer="992" w:gutter="0"/>
          <w:pgBorders>
            <w:top w:val="none" w:sz="0" w:space="0"/>
            <w:left w:val="none" w:sz="0" w:space="0"/>
            <w:bottom w:val="none" w:sz="0" w:space="0"/>
            <w:right w:val="none" w:sz="0" w:space="0"/>
          </w:pgBorders>
          <w:pgNumType w:fmt="decimal"/>
          <w:cols w:space="0" w:num="1"/>
          <w:rtlGutter w:val="0"/>
          <w:docGrid w:type="lines" w:linePitch="332" w:charSpace="0"/>
        </w:sectPr>
      </w:pPr>
    </w:p>
    <w:p w14:paraId="49EEA4FE">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1"/>
        <w:rPr>
          <w:rFonts w:hint="eastAsia" w:ascii="楷体" w:hAnsi="楷体" w:eastAsia="楷体" w:cs="楷体"/>
          <w:b/>
          <w:bCs/>
          <w:sz w:val="32"/>
          <w:szCs w:val="32"/>
          <w:lang w:val="en-US" w:eastAsia="zh-CN"/>
        </w:rPr>
      </w:pPr>
      <w:bookmarkStart w:id="49" w:name="_Toc26985"/>
      <w:bookmarkStart w:id="50" w:name="_Toc31438"/>
      <w:bookmarkStart w:id="51" w:name="_Toc20283"/>
      <w:r>
        <w:rPr>
          <w:rFonts w:hint="eastAsia" w:ascii="楷体" w:hAnsi="楷体" w:eastAsia="楷体" w:cs="楷体"/>
          <w:b/>
          <w:bCs/>
          <w:sz w:val="32"/>
          <w:szCs w:val="32"/>
          <w:lang w:val="en-US" w:eastAsia="zh-CN"/>
        </w:rPr>
        <w:t>（三）评价结果</w:t>
      </w:r>
      <w:bookmarkEnd w:id="49"/>
      <w:bookmarkEnd w:id="50"/>
      <w:bookmarkEnd w:id="51"/>
    </w:p>
    <w:p w14:paraId="59C16C9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3" w:firstLineChars="200"/>
        <w:jc w:val="both"/>
        <w:textAlignment w:val="auto"/>
        <w:outlineLvl w:val="9"/>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1.绩效评价结果定级</w:t>
      </w:r>
    </w:p>
    <w:p w14:paraId="27D5FB03">
      <w:pPr>
        <w:pStyle w:val="14"/>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 w:hAnsi="仿宋" w:eastAsia="仿宋" w:cs="仿宋"/>
          <w:b w:val="0"/>
          <w:bCs w:val="0"/>
          <w:i w:val="0"/>
          <w:iCs w:val="0"/>
          <w:caps w:val="0"/>
          <w:color w:val="000000"/>
          <w:spacing w:val="0"/>
          <w:sz w:val="32"/>
          <w:szCs w:val="32"/>
          <w:u w:val="none"/>
          <w:shd w:val="clear" w:fill="FFFFFF"/>
          <w:lang w:val="en-US" w:eastAsia="zh-CN"/>
        </w:rPr>
      </w:pPr>
      <w:r>
        <w:rPr>
          <w:rFonts w:hint="eastAsia" w:ascii="仿宋" w:hAnsi="仿宋" w:eastAsia="仿宋" w:cs="仿宋"/>
          <w:i w:val="0"/>
          <w:iCs w:val="0"/>
          <w:caps w:val="0"/>
          <w:color w:val="000000"/>
          <w:spacing w:val="0"/>
          <w:sz w:val="32"/>
          <w:szCs w:val="32"/>
          <w:u w:val="none"/>
          <w:shd w:val="clear" w:fill="FFFFFF"/>
        </w:rPr>
        <w:t>本次绩效评价结果采用综合评分定级的方法，根据项目收集相关资料、项目访谈以及相关的规定与标准，总分值为100分，评价等级</w:t>
      </w:r>
      <w:r>
        <w:rPr>
          <w:rFonts w:hint="eastAsia" w:ascii="仿宋" w:hAnsi="仿宋" w:eastAsia="仿宋" w:cs="仿宋"/>
          <w:i w:val="0"/>
          <w:iCs w:val="0"/>
          <w:caps w:val="0"/>
          <w:color w:val="000000"/>
          <w:spacing w:val="0"/>
          <w:sz w:val="32"/>
          <w:szCs w:val="32"/>
          <w:u w:val="none"/>
          <w:shd w:val="clear" w:fill="FFFFFF"/>
          <w:lang w:eastAsia="zh-CN"/>
        </w:rPr>
        <w:t>分为</w:t>
      </w:r>
      <w:r>
        <w:rPr>
          <w:rFonts w:hint="eastAsia" w:ascii="仿宋" w:hAnsi="仿宋" w:eastAsia="仿宋" w:cs="仿宋"/>
          <w:i w:val="0"/>
          <w:iCs w:val="0"/>
          <w:caps w:val="0"/>
          <w:color w:val="000000"/>
          <w:spacing w:val="0"/>
          <w:sz w:val="32"/>
          <w:szCs w:val="32"/>
          <w:u w:val="none"/>
          <w:shd w:val="clear" w:fill="FFFFFF"/>
        </w:rPr>
        <w:t>优</w:t>
      </w:r>
      <w:r>
        <w:rPr>
          <w:rFonts w:hint="eastAsia" w:ascii="仿宋" w:hAnsi="仿宋" w:eastAsia="仿宋" w:cs="仿宋"/>
          <w:i w:val="0"/>
          <w:iCs w:val="0"/>
          <w:caps w:val="0"/>
          <w:color w:val="000000"/>
          <w:spacing w:val="0"/>
          <w:sz w:val="32"/>
          <w:szCs w:val="32"/>
          <w:u w:val="none"/>
          <w:shd w:val="clear" w:fill="FFFFFF"/>
          <w:lang w:val="en-US" w:eastAsia="zh-CN"/>
        </w:rPr>
        <w:t>秀</w:t>
      </w:r>
      <w:r>
        <w:rPr>
          <w:rFonts w:hint="eastAsia" w:ascii="仿宋" w:hAnsi="仿宋" w:eastAsia="仿宋" w:cs="仿宋"/>
          <w:i w:val="0"/>
          <w:iCs w:val="0"/>
          <w:caps w:val="0"/>
          <w:color w:val="000000"/>
          <w:spacing w:val="0"/>
          <w:sz w:val="32"/>
          <w:szCs w:val="32"/>
          <w:u w:val="none"/>
          <w:shd w:val="clear" w:fill="FFFFFF"/>
        </w:rPr>
        <w:t>、良</w:t>
      </w:r>
      <w:r>
        <w:rPr>
          <w:rFonts w:hint="eastAsia" w:ascii="仿宋" w:hAnsi="仿宋" w:eastAsia="仿宋" w:cs="仿宋"/>
          <w:i w:val="0"/>
          <w:iCs w:val="0"/>
          <w:caps w:val="0"/>
          <w:color w:val="000000"/>
          <w:spacing w:val="0"/>
          <w:sz w:val="32"/>
          <w:szCs w:val="32"/>
          <w:u w:val="none"/>
          <w:shd w:val="clear" w:fill="FFFFFF"/>
          <w:lang w:val="en-US" w:eastAsia="zh-CN"/>
        </w:rPr>
        <w:t>好</w:t>
      </w:r>
      <w:r>
        <w:rPr>
          <w:rFonts w:hint="eastAsia" w:ascii="仿宋" w:hAnsi="仿宋" w:eastAsia="仿宋" w:cs="仿宋"/>
          <w:i w:val="0"/>
          <w:iCs w:val="0"/>
          <w:caps w:val="0"/>
          <w:color w:val="000000"/>
          <w:spacing w:val="0"/>
          <w:sz w:val="32"/>
          <w:szCs w:val="32"/>
          <w:u w:val="none"/>
          <w:shd w:val="clear" w:fill="FFFFFF"/>
        </w:rPr>
        <w:t>、</w:t>
      </w:r>
      <w:r>
        <w:rPr>
          <w:rFonts w:hint="eastAsia" w:ascii="仿宋" w:hAnsi="仿宋" w:eastAsia="仿宋" w:cs="仿宋"/>
          <w:i w:val="0"/>
          <w:iCs w:val="0"/>
          <w:caps w:val="0"/>
          <w:color w:val="000000"/>
          <w:spacing w:val="0"/>
          <w:sz w:val="32"/>
          <w:szCs w:val="32"/>
          <w:u w:val="none"/>
          <w:shd w:val="clear" w:fill="FFFFFF"/>
          <w:lang w:val="en-US" w:eastAsia="zh-CN"/>
        </w:rPr>
        <w:t>中等</w:t>
      </w:r>
      <w:r>
        <w:rPr>
          <w:rFonts w:hint="eastAsia" w:ascii="仿宋" w:hAnsi="仿宋" w:eastAsia="仿宋" w:cs="仿宋"/>
          <w:i w:val="0"/>
          <w:iCs w:val="0"/>
          <w:caps w:val="0"/>
          <w:color w:val="000000"/>
          <w:spacing w:val="0"/>
          <w:sz w:val="32"/>
          <w:szCs w:val="32"/>
          <w:u w:val="none"/>
          <w:shd w:val="clear" w:fill="FFFFFF"/>
        </w:rPr>
        <w:t>、</w:t>
      </w:r>
      <w:r>
        <w:rPr>
          <w:rFonts w:hint="eastAsia" w:ascii="仿宋" w:hAnsi="仿宋" w:eastAsia="仿宋" w:cs="仿宋"/>
          <w:i w:val="0"/>
          <w:iCs w:val="0"/>
          <w:caps w:val="0"/>
          <w:color w:val="000000"/>
          <w:spacing w:val="0"/>
          <w:sz w:val="32"/>
          <w:szCs w:val="32"/>
          <w:u w:val="none"/>
          <w:shd w:val="clear" w:fill="FFFFFF"/>
          <w:lang w:val="en-US" w:eastAsia="zh-CN"/>
        </w:rPr>
        <w:t>较</w:t>
      </w:r>
      <w:r>
        <w:rPr>
          <w:rFonts w:hint="eastAsia" w:ascii="仿宋" w:hAnsi="仿宋" w:eastAsia="仿宋" w:cs="仿宋"/>
          <w:i w:val="0"/>
          <w:iCs w:val="0"/>
          <w:caps w:val="0"/>
          <w:color w:val="000000"/>
          <w:spacing w:val="0"/>
          <w:sz w:val="32"/>
          <w:szCs w:val="32"/>
          <w:u w:val="none"/>
          <w:shd w:val="clear" w:fill="FFFFFF"/>
          <w:lang w:eastAsia="zh-CN"/>
        </w:rPr>
        <w:t>差</w:t>
      </w:r>
      <w:r>
        <w:rPr>
          <w:rFonts w:hint="eastAsia" w:ascii="仿宋" w:hAnsi="仿宋" w:eastAsia="仿宋" w:cs="仿宋"/>
          <w:i w:val="0"/>
          <w:iCs w:val="0"/>
          <w:caps w:val="0"/>
          <w:color w:val="000000"/>
          <w:spacing w:val="0"/>
          <w:sz w:val="32"/>
          <w:szCs w:val="32"/>
          <w:u w:val="none"/>
          <w:shd w:val="clear" w:fill="FFFFFF"/>
        </w:rPr>
        <w:t>四档。评价得分高于</w:t>
      </w:r>
      <w:r>
        <w:rPr>
          <w:rFonts w:hint="eastAsia" w:ascii="仿宋" w:hAnsi="仿宋" w:eastAsia="仿宋" w:cs="仿宋"/>
          <w:i w:val="0"/>
          <w:iCs w:val="0"/>
          <w:caps w:val="0"/>
          <w:color w:val="000000"/>
          <w:spacing w:val="0"/>
          <w:sz w:val="32"/>
          <w:szCs w:val="32"/>
          <w:u w:val="none"/>
          <w:shd w:val="clear" w:fill="FFFFFF"/>
          <w:lang w:val="en-US" w:eastAsia="zh-CN"/>
        </w:rPr>
        <w:t>或等于</w:t>
      </w:r>
      <w:r>
        <w:rPr>
          <w:rFonts w:hint="eastAsia" w:ascii="仿宋" w:hAnsi="仿宋" w:eastAsia="仿宋" w:cs="仿宋"/>
          <w:i w:val="0"/>
          <w:iCs w:val="0"/>
          <w:caps w:val="0"/>
          <w:color w:val="000000"/>
          <w:spacing w:val="0"/>
          <w:sz w:val="32"/>
          <w:szCs w:val="32"/>
          <w:u w:val="none"/>
          <w:shd w:val="clear" w:fill="FFFFFF"/>
        </w:rPr>
        <w:t>90分</w:t>
      </w:r>
      <w:r>
        <w:rPr>
          <w:rFonts w:hint="eastAsia" w:ascii="仿宋" w:hAnsi="仿宋" w:eastAsia="仿宋" w:cs="仿宋"/>
          <w:i w:val="0"/>
          <w:iCs w:val="0"/>
          <w:caps w:val="0"/>
          <w:color w:val="000000"/>
          <w:spacing w:val="0"/>
          <w:sz w:val="32"/>
          <w:szCs w:val="32"/>
          <w:u w:val="none"/>
          <w:shd w:val="clear" w:fill="FFFFFF"/>
          <w:lang w:val="en-US" w:eastAsia="zh-CN"/>
        </w:rPr>
        <w:t>评价</w:t>
      </w:r>
      <w:r>
        <w:rPr>
          <w:rFonts w:hint="eastAsia" w:ascii="仿宋" w:hAnsi="仿宋" w:eastAsia="仿宋" w:cs="仿宋"/>
          <w:i w:val="0"/>
          <w:iCs w:val="0"/>
          <w:caps w:val="0"/>
          <w:color w:val="000000"/>
          <w:spacing w:val="0"/>
          <w:sz w:val="32"/>
          <w:szCs w:val="32"/>
          <w:u w:val="none"/>
          <w:shd w:val="clear" w:fill="FFFFFF"/>
        </w:rPr>
        <w:t>为优</w:t>
      </w:r>
      <w:r>
        <w:rPr>
          <w:rFonts w:hint="eastAsia" w:ascii="仿宋" w:hAnsi="仿宋" w:eastAsia="仿宋" w:cs="仿宋"/>
          <w:i w:val="0"/>
          <w:iCs w:val="0"/>
          <w:caps w:val="0"/>
          <w:color w:val="000000"/>
          <w:spacing w:val="0"/>
          <w:sz w:val="32"/>
          <w:szCs w:val="32"/>
          <w:u w:val="none"/>
          <w:shd w:val="clear" w:fill="FFFFFF"/>
          <w:lang w:val="en-US" w:eastAsia="zh-CN"/>
        </w:rPr>
        <w:t>秀</w:t>
      </w:r>
      <w:r>
        <w:rPr>
          <w:rFonts w:hint="eastAsia" w:ascii="仿宋" w:hAnsi="仿宋" w:eastAsia="仿宋" w:cs="仿宋"/>
          <w:i w:val="0"/>
          <w:iCs w:val="0"/>
          <w:caps w:val="0"/>
          <w:color w:val="000000"/>
          <w:spacing w:val="0"/>
          <w:sz w:val="32"/>
          <w:szCs w:val="32"/>
          <w:u w:val="none"/>
          <w:shd w:val="clear" w:fill="FFFFFF"/>
        </w:rPr>
        <w:t>；得分</w:t>
      </w:r>
      <w:r>
        <w:rPr>
          <w:rFonts w:hint="eastAsia" w:ascii="仿宋" w:hAnsi="仿宋" w:eastAsia="仿宋" w:cs="仿宋"/>
          <w:i w:val="0"/>
          <w:iCs w:val="0"/>
          <w:caps w:val="0"/>
          <w:color w:val="000000"/>
          <w:spacing w:val="0"/>
          <w:sz w:val="32"/>
          <w:szCs w:val="32"/>
          <w:u w:val="none"/>
          <w:shd w:val="clear" w:fill="FFFFFF"/>
          <w:lang w:val="en-US" w:eastAsia="zh-CN"/>
        </w:rPr>
        <w:t>高于或等于80</w:t>
      </w:r>
      <w:r>
        <w:rPr>
          <w:rFonts w:hint="eastAsia" w:ascii="仿宋" w:hAnsi="仿宋" w:eastAsia="仿宋" w:cs="仿宋"/>
          <w:i w:val="0"/>
          <w:iCs w:val="0"/>
          <w:caps w:val="0"/>
          <w:color w:val="000000"/>
          <w:spacing w:val="0"/>
          <w:sz w:val="32"/>
          <w:szCs w:val="32"/>
          <w:u w:val="none"/>
          <w:shd w:val="clear" w:fill="FFFFFF"/>
        </w:rPr>
        <w:t>分</w:t>
      </w:r>
      <w:r>
        <w:rPr>
          <w:rFonts w:hint="eastAsia" w:ascii="仿宋" w:hAnsi="仿宋" w:eastAsia="仿宋" w:cs="仿宋"/>
          <w:i w:val="0"/>
          <w:iCs w:val="0"/>
          <w:caps w:val="0"/>
          <w:color w:val="000000"/>
          <w:spacing w:val="0"/>
          <w:sz w:val="32"/>
          <w:szCs w:val="32"/>
          <w:u w:val="none"/>
          <w:shd w:val="clear" w:fill="FFFFFF"/>
          <w:lang w:val="en-US" w:eastAsia="zh-CN"/>
        </w:rPr>
        <w:t>小于</w:t>
      </w:r>
      <w:r>
        <w:rPr>
          <w:rFonts w:hint="eastAsia" w:ascii="仿宋" w:hAnsi="仿宋" w:eastAsia="仿宋" w:cs="仿宋"/>
          <w:i w:val="0"/>
          <w:iCs w:val="0"/>
          <w:caps w:val="0"/>
          <w:color w:val="000000"/>
          <w:spacing w:val="0"/>
          <w:sz w:val="32"/>
          <w:szCs w:val="32"/>
          <w:u w:val="none"/>
          <w:shd w:val="clear" w:fill="FFFFFF"/>
        </w:rPr>
        <w:t>90分</w:t>
      </w:r>
      <w:r>
        <w:rPr>
          <w:rFonts w:hint="eastAsia" w:ascii="仿宋" w:hAnsi="仿宋" w:eastAsia="仿宋" w:cs="仿宋"/>
          <w:i w:val="0"/>
          <w:iCs w:val="0"/>
          <w:caps w:val="0"/>
          <w:color w:val="000000"/>
          <w:spacing w:val="0"/>
          <w:sz w:val="32"/>
          <w:szCs w:val="32"/>
          <w:u w:val="none"/>
          <w:shd w:val="clear" w:fill="FFFFFF"/>
          <w:lang w:val="en-US" w:eastAsia="zh-CN"/>
        </w:rPr>
        <w:t>评价</w:t>
      </w:r>
      <w:r>
        <w:rPr>
          <w:rFonts w:hint="eastAsia" w:ascii="仿宋" w:hAnsi="仿宋" w:eastAsia="仿宋" w:cs="仿宋"/>
          <w:i w:val="0"/>
          <w:iCs w:val="0"/>
          <w:caps w:val="0"/>
          <w:color w:val="000000"/>
          <w:spacing w:val="0"/>
          <w:sz w:val="32"/>
          <w:szCs w:val="32"/>
          <w:u w:val="none"/>
          <w:shd w:val="clear" w:fill="FFFFFF"/>
        </w:rPr>
        <w:t>为良</w:t>
      </w:r>
      <w:r>
        <w:rPr>
          <w:rFonts w:hint="eastAsia" w:ascii="仿宋" w:hAnsi="仿宋" w:eastAsia="仿宋" w:cs="仿宋"/>
          <w:i w:val="0"/>
          <w:iCs w:val="0"/>
          <w:caps w:val="0"/>
          <w:color w:val="000000"/>
          <w:spacing w:val="0"/>
          <w:sz w:val="32"/>
          <w:szCs w:val="32"/>
          <w:u w:val="none"/>
          <w:shd w:val="clear" w:fill="FFFFFF"/>
          <w:lang w:val="en-US" w:eastAsia="zh-CN"/>
        </w:rPr>
        <w:t>好</w:t>
      </w:r>
      <w:r>
        <w:rPr>
          <w:rFonts w:hint="eastAsia" w:ascii="仿宋" w:hAnsi="仿宋" w:eastAsia="仿宋" w:cs="仿宋"/>
          <w:i w:val="0"/>
          <w:iCs w:val="0"/>
          <w:caps w:val="0"/>
          <w:color w:val="000000"/>
          <w:spacing w:val="0"/>
          <w:sz w:val="32"/>
          <w:szCs w:val="32"/>
          <w:u w:val="none"/>
          <w:shd w:val="clear" w:fill="FFFFFF"/>
        </w:rPr>
        <w:t>；得分</w:t>
      </w:r>
      <w:r>
        <w:rPr>
          <w:rFonts w:hint="eastAsia" w:ascii="仿宋" w:hAnsi="仿宋" w:eastAsia="仿宋" w:cs="仿宋"/>
          <w:i w:val="0"/>
          <w:iCs w:val="0"/>
          <w:caps w:val="0"/>
          <w:color w:val="000000"/>
          <w:spacing w:val="0"/>
          <w:sz w:val="32"/>
          <w:szCs w:val="32"/>
          <w:u w:val="none"/>
          <w:shd w:val="clear" w:fill="FFFFFF"/>
          <w:lang w:val="en-US" w:eastAsia="zh-CN"/>
        </w:rPr>
        <w:t>高于或等于</w:t>
      </w:r>
      <w:r>
        <w:rPr>
          <w:rFonts w:hint="eastAsia" w:ascii="仿宋" w:hAnsi="仿宋" w:eastAsia="仿宋" w:cs="仿宋"/>
          <w:i w:val="0"/>
          <w:iCs w:val="0"/>
          <w:caps w:val="0"/>
          <w:color w:val="000000"/>
          <w:spacing w:val="0"/>
          <w:sz w:val="32"/>
          <w:szCs w:val="32"/>
          <w:u w:val="none"/>
          <w:shd w:val="clear" w:fill="FFFFFF"/>
        </w:rPr>
        <w:t>60分</w:t>
      </w:r>
      <w:r>
        <w:rPr>
          <w:rFonts w:hint="eastAsia" w:ascii="仿宋" w:hAnsi="仿宋" w:eastAsia="仿宋" w:cs="仿宋"/>
          <w:i w:val="0"/>
          <w:iCs w:val="0"/>
          <w:caps w:val="0"/>
          <w:color w:val="000000"/>
          <w:spacing w:val="0"/>
          <w:sz w:val="32"/>
          <w:szCs w:val="32"/>
          <w:u w:val="none"/>
          <w:shd w:val="clear" w:fill="FFFFFF"/>
          <w:lang w:val="en-US" w:eastAsia="zh-CN"/>
        </w:rPr>
        <w:t>低于80</w:t>
      </w:r>
      <w:r>
        <w:rPr>
          <w:rFonts w:hint="eastAsia" w:ascii="仿宋" w:hAnsi="仿宋" w:eastAsia="仿宋" w:cs="仿宋"/>
          <w:i w:val="0"/>
          <w:iCs w:val="0"/>
          <w:caps w:val="0"/>
          <w:color w:val="000000"/>
          <w:spacing w:val="0"/>
          <w:sz w:val="32"/>
          <w:szCs w:val="32"/>
          <w:u w:val="none"/>
          <w:shd w:val="clear" w:fill="FFFFFF"/>
        </w:rPr>
        <w:t>分</w:t>
      </w:r>
      <w:r>
        <w:rPr>
          <w:rFonts w:hint="eastAsia" w:ascii="仿宋" w:hAnsi="仿宋" w:eastAsia="仿宋" w:cs="仿宋"/>
          <w:i w:val="0"/>
          <w:iCs w:val="0"/>
          <w:caps w:val="0"/>
          <w:color w:val="000000"/>
          <w:spacing w:val="0"/>
          <w:sz w:val="32"/>
          <w:szCs w:val="32"/>
          <w:u w:val="none"/>
          <w:shd w:val="clear" w:fill="FFFFFF"/>
          <w:lang w:val="en-US" w:eastAsia="zh-CN"/>
        </w:rPr>
        <w:t>评价</w:t>
      </w:r>
      <w:r>
        <w:rPr>
          <w:rFonts w:hint="eastAsia" w:ascii="仿宋" w:hAnsi="仿宋" w:eastAsia="仿宋" w:cs="仿宋"/>
          <w:i w:val="0"/>
          <w:iCs w:val="0"/>
          <w:caps w:val="0"/>
          <w:color w:val="000000"/>
          <w:spacing w:val="0"/>
          <w:sz w:val="32"/>
          <w:szCs w:val="32"/>
          <w:u w:val="none"/>
          <w:shd w:val="clear" w:fill="FFFFFF"/>
        </w:rPr>
        <w:t>为</w:t>
      </w:r>
      <w:r>
        <w:rPr>
          <w:rFonts w:hint="eastAsia" w:ascii="仿宋" w:hAnsi="仿宋" w:eastAsia="仿宋" w:cs="仿宋"/>
          <w:i w:val="0"/>
          <w:iCs w:val="0"/>
          <w:caps w:val="0"/>
          <w:color w:val="000000"/>
          <w:spacing w:val="0"/>
          <w:sz w:val="32"/>
          <w:szCs w:val="32"/>
          <w:u w:val="none"/>
          <w:shd w:val="clear" w:fill="FFFFFF"/>
          <w:lang w:val="en-US" w:eastAsia="zh-CN"/>
        </w:rPr>
        <w:t>中等</w:t>
      </w:r>
      <w:r>
        <w:rPr>
          <w:rFonts w:hint="eastAsia" w:ascii="仿宋" w:hAnsi="仿宋" w:eastAsia="仿宋" w:cs="仿宋"/>
          <w:i w:val="0"/>
          <w:iCs w:val="0"/>
          <w:caps w:val="0"/>
          <w:color w:val="000000"/>
          <w:spacing w:val="0"/>
          <w:sz w:val="32"/>
          <w:szCs w:val="32"/>
          <w:u w:val="none"/>
          <w:shd w:val="clear" w:fill="FFFFFF"/>
        </w:rPr>
        <w:t>；得分在60分以下</w:t>
      </w:r>
      <w:r>
        <w:rPr>
          <w:rFonts w:hint="eastAsia" w:ascii="仿宋" w:hAnsi="仿宋" w:eastAsia="仿宋" w:cs="仿宋"/>
          <w:i w:val="0"/>
          <w:iCs w:val="0"/>
          <w:caps w:val="0"/>
          <w:color w:val="000000"/>
          <w:spacing w:val="0"/>
          <w:sz w:val="32"/>
          <w:szCs w:val="32"/>
          <w:u w:val="none"/>
          <w:shd w:val="clear" w:fill="FFFFFF"/>
          <w:lang w:val="en-US" w:eastAsia="zh-CN"/>
        </w:rPr>
        <w:t>评价</w:t>
      </w:r>
      <w:r>
        <w:rPr>
          <w:rFonts w:hint="eastAsia" w:ascii="仿宋" w:hAnsi="仿宋" w:eastAsia="仿宋" w:cs="仿宋"/>
          <w:i w:val="0"/>
          <w:iCs w:val="0"/>
          <w:caps w:val="0"/>
          <w:color w:val="000000"/>
          <w:spacing w:val="0"/>
          <w:sz w:val="32"/>
          <w:szCs w:val="32"/>
          <w:u w:val="none"/>
          <w:shd w:val="clear" w:fill="FFFFFF"/>
        </w:rPr>
        <w:t>为</w:t>
      </w:r>
      <w:r>
        <w:rPr>
          <w:rFonts w:hint="eastAsia" w:ascii="仿宋" w:hAnsi="仿宋" w:eastAsia="仿宋" w:cs="仿宋"/>
          <w:i w:val="0"/>
          <w:iCs w:val="0"/>
          <w:caps w:val="0"/>
          <w:color w:val="000000"/>
          <w:spacing w:val="0"/>
          <w:sz w:val="32"/>
          <w:szCs w:val="32"/>
          <w:u w:val="none"/>
          <w:shd w:val="clear" w:fill="FFFFFF"/>
          <w:lang w:val="en-US" w:eastAsia="zh-CN"/>
        </w:rPr>
        <w:t>较</w:t>
      </w:r>
      <w:r>
        <w:rPr>
          <w:rFonts w:hint="eastAsia" w:ascii="仿宋" w:hAnsi="仿宋" w:eastAsia="仿宋" w:cs="仿宋"/>
          <w:i w:val="0"/>
          <w:iCs w:val="0"/>
          <w:caps w:val="0"/>
          <w:color w:val="000000"/>
          <w:spacing w:val="0"/>
          <w:sz w:val="32"/>
          <w:szCs w:val="32"/>
          <w:u w:val="none"/>
          <w:shd w:val="clear" w:fill="FFFFFF"/>
          <w:lang w:eastAsia="zh-CN"/>
        </w:rPr>
        <w:t>差</w:t>
      </w:r>
      <w:r>
        <w:rPr>
          <w:rFonts w:hint="eastAsia" w:ascii="仿宋" w:hAnsi="仿宋" w:eastAsia="仿宋" w:cs="仿宋"/>
          <w:i w:val="0"/>
          <w:iCs w:val="0"/>
          <w:caps w:val="0"/>
          <w:color w:val="000000"/>
          <w:spacing w:val="0"/>
          <w:sz w:val="32"/>
          <w:szCs w:val="32"/>
          <w:u w:val="none"/>
          <w:shd w:val="clear" w:fill="FFFFFF"/>
        </w:rPr>
        <w:t>。</w:t>
      </w:r>
    </w:p>
    <w:p w14:paraId="66B46D4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3" w:firstLineChars="200"/>
        <w:jc w:val="both"/>
        <w:textAlignment w:val="auto"/>
        <w:outlineLvl w:val="9"/>
        <w:rPr>
          <w:rFonts w:hint="default" w:ascii="仿宋" w:hAnsi="仿宋" w:eastAsia="仿宋" w:cs="仿宋"/>
          <w:b/>
          <w:bCs/>
          <w:sz w:val="32"/>
          <w:szCs w:val="32"/>
          <w:lang w:val="en-US" w:eastAsia="zh-CN"/>
        </w:rPr>
      </w:pPr>
      <w:r>
        <w:rPr>
          <w:rFonts w:hint="eastAsia" w:ascii="仿宋" w:hAnsi="仿宋" w:eastAsia="仿宋" w:cs="仿宋"/>
          <w:b/>
          <w:bCs/>
          <w:sz w:val="32"/>
          <w:szCs w:val="32"/>
          <w:lang w:val="en-US" w:eastAsia="zh-CN"/>
        </w:rPr>
        <w:t>2.绩效评价结论</w:t>
      </w:r>
    </w:p>
    <w:p w14:paraId="11F37C83">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default"/>
          <w:lang w:val="en-US" w:eastAsia="zh-CN"/>
        </w:rPr>
      </w:pPr>
      <w:r>
        <w:rPr>
          <w:rFonts w:hint="eastAsia" w:ascii="仿宋" w:hAnsi="仿宋" w:eastAsia="仿宋" w:cs="仿宋"/>
          <w:b w:val="0"/>
          <w:bCs w:val="0"/>
          <w:i w:val="0"/>
          <w:iCs w:val="0"/>
          <w:caps w:val="0"/>
          <w:color w:val="000000"/>
          <w:spacing w:val="0"/>
          <w:sz w:val="32"/>
          <w:szCs w:val="32"/>
          <w:u w:val="none"/>
          <w:shd w:val="clear" w:fill="FFFFFF"/>
          <w:lang w:val="en-US" w:eastAsia="zh-CN"/>
        </w:rPr>
        <w:t>部门整体支出绩效评价综合得分70分，等级为“中等”。2024年区政府办公室</w:t>
      </w:r>
      <w:r>
        <w:rPr>
          <w:rFonts w:hint="eastAsia" w:ascii="仿宋" w:hAnsi="仿宋" w:eastAsia="仿宋" w:cs="仿宋"/>
          <w:b/>
          <w:bCs/>
          <w:i w:val="0"/>
          <w:iCs w:val="0"/>
          <w:caps w:val="0"/>
          <w:color w:val="000000"/>
          <w:spacing w:val="0"/>
          <w:sz w:val="32"/>
          <w:szCs w:val="32"/>
          <w:u w:val="none"/>
          <w:shd w:val="clear" w:fill="FFFFFF"/>
          <w:lang w:val="en-US" w:eastAsia="zh-CN"/>
        </w:rPr>
        <w:t>预算调整率为</w:t>
      </w:r>
      <w:r>
        <w:rPr>
          <w:rFonts w:hint="eastAsia" w:ascii="仿宋" w:hAnsi="仿宋" w:eastAsia="仿宋" w:cs="仿宋"/>
          <w:b/>
          <w:bCs/>
          <w:sz w:val="32"/>
          <w:szCs w:val="32"/>
          <w:highlight w:val="none"/>
          <w:lang w:val="en-US" w:eastAsia="zh-CN"/>
        </w:rPr>
        <w:t>210.95%</w:t>
      </w:r>
      <w:r>
        <w:rPr>
          <w:rFonts w:hint="eastAsia" w:ascii="仿宋" w:hAnsi="仿宋" w:eastAsia="仿宋" w:cs="仿宋"/>
          <w:b/>
          <w:bCs/>
          <w:i w:val="0"/>
          <w:iCs w:val="0"/>
          <w:caps w:val="0"/>
          <w:color w:val="000000"/>
          <w:spacing w:val="0"/>
          <w:sz w:val="32"/>
          <w:szCs w:val="32"/>
          <w:u w:val="none"/>
          <w:shd w:val="clear" w:fill="FFFFFF"/>
          <w:lang w:val="en-US" w:eastAsia="zh-CN"/>
        </w:rPr>
        <w:t>，未提供花名册。在初步数据比对过程中，我们发现决算数远大于账套数，询问会计，称决算报表中含有国库拨到市级单位的相关经费，由区政府办公室汇总填报。由于未提供记账凭证，未对2024年区政府办公室的部门整体支出进行重分类，未对其进行分析。</w:t>
      </w:r>
    </w:p>
    <w:p w14:paraId="2A665980">
      <w:pPr>
        <w:rPr>
          <w:rFonts w:hint="default"/>
          <w:lang w:val="en-US" w:eastAsia="zh-CN"/>
        </w:rPr>
      </w:pPr>
    </w:p>
    <w:p w14:paraId="20C7154E">
      <w:pPr>
        <w:rPr>
          <w:rFonts w:hint="default"/>
          <w:lang w:val="en-US" w:eastAsia="zh-CN"/>
        </w:rPr>
      </w:pPr>
    </w:p>
    <w:p w14:paraId="06984545">
      <w:pPr>
        <w:rPr>
          <w:rFonts w:hint="default"/>
          <w:lang w:val="en-US" w:eastAsia="zh-CN"/>
        </w:rPr>
      </w:pPr>
    </w:p>
    <w:p w14:paraId="0B83C6C8">
      <w:pPr>
        <w:rPr>
          <w:rFonts w:hint="default"/>
          <w:lang w:val="en-US" w:eastAsia="zh-CN"/>
        </w:rPr>
      </w:pPr>
    </w:p>
    <w:p w14:paraId="16A6F51F">
      <w:pPr>
        <w:pStyle w:val="2"/>
        <w:rPr>
          <w:rFonts w:hint="default"/>
          <w:lang w:val="en-US" w:eastAsia="zh-CN"/>
        </w:rPr>
      </w:pPr>
    </w:p>
    <w:p w14:paraId="4C196011">
      <w:pPr>
        <w:pStyle w:val="2"/>
        <w:rPr>
          <w:rFonts w:hint="default"/>
          <w:lang w:val="en-US" w:eastAsia="zh-CN"/>
        </w:rPr>
      </w:pPr>
    </w:p>
    <w:p w14:paraId="1868D1BB">
      <w:pPr>
        <w:pStyle w:val="2"/>
        <w:rPr>
          <w:rFonts w:hint="default"/>
          <w:lang w:val="en-US" w:eastAsia="zh-CN"/>
        </w:rPr>
      </w:pPr>
    </w:p>
    <w:p w14:paraId="62F90E4D">
      <w:pPr>
        <w:pStyle w:val="2"/>
        <w:rPr>
          <w:rFonts w:hint="default"/>
          <w:lang w:val="en-US" w:eastAsia="zh-CN"/>
        </w:rPr>
      </w:pPr>
    </w:p>
    <w:p w14:paraId="52C22D96">
      <w:pPr>
        <w:pStyle w:val="2"/>
        <w:rPr>
          <w:rFonts w:hint="default"/>
          <w:lang w:val="en-US" w:eastAsia="zh-CN"/>
        </w:rPr>
      </w:pPr>
    </w:p>
    <w:p w14:paraId="1E0C37D3">
      <w:pPr>
        <w:pStyle w:val="2"/>
        <w:rPr>
          <w:rFonts w:hint="default"/>
          <w:lang w:val="en-US" w:eastAsia="zh-CN"/>
        </w:rPr>
      </w:pPr>
    </w:p>
    <w:p w14:paraId="74668CF3">
      <w:pPr>
        <w:pStyle w:val="2"/>
        <w:rPr>
          <w:rFonts w:hint="default"/>
          <w:lang w:val="en-US" w:eastAsia="zh-CN"/>
        </w:rPr>
      </w:pPr>
    </w:p>
    <w:p w14:paraId="4D69AF94">
      <w:pPr>
        <w:pStyle w:val="2"/>
        <w:rPr>
          <w:rFonts w:hint="default"/>
          <w:lang w:val="en-US" w:eastAsia="zh-CN"/>
        </w:rPr>
      </w:pPr>
    </w:p>
    <w:p w14:paraId="4BC4462F">
      <w:pPr>
        <w:pStyle w:val="2"/>
        <w:rPr>
          <w:rFonts w:hint="default"/>
          <w:lang w:val="en-US" w:eastAsia="zh-CN"/>
        </w:rPr>
      </w:pPr>
    </w:p>
    <w:p w14:paraId="7AF55236">
      <w:pPr>
        <w:pStyle w:val="2"/>
        <w:rPr>
          <w:rFonts w:hint="default"/>
          <w:lang w:val="en-US" w:eastAsia="zh-CN"/>
        </w:rPr>
      </w:pPr>
    </w:p>
    <w:p w14:paraId="603259B9">
      <w:pPr>
        <w:pStyle w:val="2"/>
        <w:rPr>
          <w:rFonts w:hint="default"/>
          <w:lang w:val="en-US" w:eastAsia="zh-CN"/>
        </w:rPr>
      </w:pPr>
    </w:p>
    <w:p w14:paraId="0FE2AFB1">
      <w:pPr>
        <w:pStyle w:val="2"/>
        <w:rPr>
          <w:rFonts w:hint="default"/>
          <w:lang w:val="en-US" w:eastAsia="zh-CN"/>
        </w:rPr>
      </w:pPr>
    </w:p>
    <w:p w14:paraId="487897CD">
      <w:pPr>
        <w:pStyle w:val="2"/>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（此页无正文）</w:t>
      </w:r>
    </w:p>
    <w:p w14:paraId="5E299A15">
      <w:pPr>
        <w:pStyle w:val="2"/>
        <w:rPr>
          <w:rFonts w:hint="default"/>
          <w:lang w:val="en-US" w:eastAsia="zh-CN"/>
        </w:rPr>
      </w:pPr>
    </w:p>
    <w:p w14:paraId="1B958C16">
      <w:pPr>
        <w:pStyle w:val="2"/>
        <w:rPr>
          <w:rFonts w:hint="default"/>
          <w:lang w:val="en-US" w:eastAsia="zh-CN"/>
        </w:rPr>
      </w:pPr>
    </w:p>
    <w:p w14:paraId="76659B5A">
      <w:pPr>
        <w:pStyle w:val="2"/>
        <w:rPr>
          <w:rFonts w:hint="default"/>
          <w:lang w:val="en-US" w:eastAsia="zh-CN"/>
        </w:rPr>
      </w:pPr>
    </w:p>
    <w:p w14:paraId="30B08474">
      <w:pPr>
        <w:pStyle w:val="2"/>
        <w:rPr>
          <w:rFonts w:hint="default"/>
          <w:lang w:val="en-US" w:eastAsia="zh-CN"/>
        </w:rPr>
      </w:pPr>
    </w:p>
    <w:p w14:paraId="4202E1BD">
      <w:pPr>
        <w:pStyle w:val="2"/>
        <w:rPr>
          <w:rFonts w:hint="default"/>
          <w:lang w:val="en-US" w:eastAsia="zh-CN"/>
        </w:rPr>
      </w:pPr>
    </w:p>
    <w:p w14:paraId="6E1943A9">
      <w:pPr>
        <w:pStyle w:val="2"/>
        <w:rPr>
          <w:rFonts w:hint="default"/>
          <w:lang w:val="en-US" w:eastAsia="zh-CN"/>
        </w:rPr>
      </w:pPr>
    </w:p>
    <w:p w14:paraId="374451C4">
      <w:pPr>
        <w:pStyle w:val="2"/>
        <w:rPr>
          <w:rFonts w:hint="default"/>
          <w:lang w:val="en-US" w:eastAsia="zh-CN"/>
        </w:rPr>
      </w:pPr>
    </w:p>
    <w:tbl>
      <w:tblPr>
        <w:tblStyle w:val="15"/>
        <w:tblpPr w:leftFromText="180" w:rightFromText="180" w:vertAnchor="text" w:horzAnchor="page" w:tblpXSpec="center" w:tblpY="952"/>
        <w:tblOverlap w:val="never"/>
        <w:tblW w:w="8799" w:type="dxa"/>
        <w:jc w:val="center"/>
        <w:tblLayout w:type="fixed"/>
        <w:tblCellMar>
          <w:top w:w="0" w:type="dxa"/>
          <w:left w:w="108" w:type="dxa"/>
          <w:bottom w:w="0" w:type="dxa"/>
          <w:right w:w="108" w:type="dxa"/>
        </w:tblCellMar>
      </w:tblPr>
      <w:tblGrid>
        <w:gridCol w:w="4525"/>
        <w:gridCol w:w="4274"/>
      </w:tblGrid>
      <w:tr w14:paraId="76CBCD93">
        <w:tblPrEx>
          <w:tblCellMar>
            <w:top w:w="0" w:type="dxa"/>
            <w:left w:w="108" w:type="dxa"/>
            <w:bottom w:w="0" w:type="dxa"/>
            <w:right w:w="108" w:type="dxa"/>
          </w:tblCellMar>
        </w:tblPrEx>
        <w:trPr>
          <w:trHeight w:val="623" w:hRule="atLeast"/>
          <w:jc w:val="center"/>
        </w:trPr>
        <w:tc>
          <w:tcPr>
            <w:tcW w:w="4525" w:type="dxa"/>
            <w:noWrap w:val="0"/>
            <w:vAlign w:val="top"/>
          </w:tcPr>
          <w:p w14:paraId="27B7AECD">
            <w:pPr>
              <w:pStyle w:val="1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right="0" w:rightChars="0" w:firstLine="0" w:firstLineChars="0"/>
              <w:jc w:val="center"/>
              <w:textAlignment w:val="auto"/>
              <w:rPr>
                <w:rFonts w:hint="eastAsia" w:ascii="仿宋" w:hAnsi="仿宋" w:eastAsia="仿宋" w:cs="仿宋"/>
                <w:b w:val="0"/>
                <w:bCs w:val="0"/>
                <w:i w:val="0"/>
                <w:iCs w:val="0"/>
                <w:caps w:val="0"/>
                <w:color w:val="000000"/>
                <w:spacing w:val="0"/>
                <w:sz w:val="32"/>
                <w:szCs w:val="32"/>
                <w:u w:val="none"/>
                <w:shd w:val="clear" w:fill="FFFFFF"/>
                <w:lang w:val="en-US" w:eastAsia="zh-CN"/>
              </w:rPr>
            </w:pPr>
            <w:r>
              <w:rPr>
                <w:rFonts w:hint="eastAsia" w:ascii="仿宋" w:hAnsi="仿宋" w:eastAsia="仿宋" w:cs="仿宋"/>
                <w:b w:val="0"/>
                <w:bCs w:val="0"/>
                <w:i w:val="0"/>
                <w:iCs w:val="0"/>
                <w:caps w:val="0"/>
                <w:color w:val="000000"/>
                <w:spacing w:val="0"/>
                <w:sz w:val="32"/>
                <w:szCs w:val="32"/>
                <w:u w:val="none"/>
                <w:shd w:val="clear" w:fill="FFFFFF"/>
                <w:lang w:val="en-US" w:eastAsia="zh-CN"/>
              </w:rPr>
              <w:t>湖南浩元会计师事务所</w:t>
            </w:r>
          </w:p>
        </w:tc>
        <w:tc>
          <w:tcPr>
            <w:tcW w:w="4274" w:type="dxa"/>
            <w:noWrap w:val="0"/>
            <w:vAlign w:val="top"/>
          </w:tcPr>
          <w:p w14:paraId="0746C02F">
            <w:pPr>
              <w:pStyle w:val="1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right="0" w:rightChars="0" w:firstLine="0" w:firstLineChars="0"/>
              <w:jc w:val="center"/>
              <w:textAlignment w:val="auto"/>
              <w:rPr>
                <w:rFonts w:hint="eastAsia" w:ascii="仿宋" w:hAnsi="仿宋" w:eastAsia="仿宋" w:cs="仿宋"/>
                <w:b w:val="0"/>
                <w:bCs w:val="0"/>
                <w:i w:val="0"/>
                <w:iCs w:val="0"/>
                <w:caps w:val="0"/>
                <w:color w:val="000000"/>
                <w:spacing w:val="0"/>
                <w:sz w:val="32"/>
                <w:szCs w:val="32"/>
                <w:u w:val="none"/>
                <w:shd w:val="clear" w:fill="FFFFFF"/>
                <w:lang w:val="en-US" w:eastAsia="zh-CN"/>
              </w:rPr>
            </w:pPr>
            <w:r>
              <w:rPr>
                <w:rFonts w:hint="eastAsia" w:ascii="仿宋" w:hAnsi="仿宋" w:eastAsia="仿宋" w:cs="仿宋"/>
                <w:b w:val="0"/>
                <w:bCs w:val="0"/>
                <w:i w:val="0"/>
                <w:iCs w:val="0"/>
                <w:caps w:val="0"/>
                <w:color w:val="000000"/>
                <w:spacing w:val="0"/>
                <w:sz w:val="32"/>
                <w:szCs w:val="32"/>
                <w:u w:val="none"/>
                <w:shd w:val="clear" w:fill="FFFFFF"/>
                <w:lang w:val="en-US" w:eastAsia="zh-CN"/>
              </w:rPr>
              <w:t>中国注册会计师：</w:t>
            </w:r>
          </w:p>
        </w:tc>
      </w:tr>
      <w:tr w14:paraId="7FD693C9">
        <w:tblPrEx>
          <w:tblCellMar>
            <w:top w:w="0" w:type="dxa"/>
            <w:left w:w="108" w:type="dxa"/>
            <w:bottom w:w="0" w:type="dxa"/>
            <w:right w:w="108" w:type="dxa"/>
          </w:tblCellMar>
        </w:tblPrEx>
        <w:trPr>
          <w:trHeight w:val="1267" w:hRule="atLeast"/>
          <w:jc w:val="center"/>
        </w:trPr>
        <w:tc>
          <w:tcPr>
            <w:tcW w:w="4525" w:type="dxa"/>
            <w:noWrap w:val="0"/>
            <w:vAlign w:val="top"/>
          </w:tcPr>
          <w:p w14:paraId="5C9DE52A">
            <w:pPr>
              <w:pStyle w:val="1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right="0" w:rightChars="0" w:firstLine="0" w:firstLineChars="0"/>
              <w:jc w:val="center"/>
              <w:textAlignment w:val="auto"/>
              <w:rPr>
                <w:rFonts w:hint="eastAsia" w:ascii="仿宋" w:hAnsi="仿宋" w:eastAsia="仿宋" w:cs="仿宋"/>
                <w:b w:val="0"/>
                <w:bCs w:val="0"/>
                <w:i w:val="0"/>
                <w:iCs w:val="0"/>
                <w:caps w:val="0"/>
                <w:color w:val="000000"/>
                <w:spacing w:val="0"/>
                <w:sz w:val="32"/>
                <w:szCs w:val="32"/>
                <w:u w:val="none"/>
                <w:shd w:val="clear" w:fill="FFFFFF"/>
                <w:lang w:val="en-US" w:eastAsia="zh-CN"/>
              </w:rPr>
            </w:pPr>
            <w:r>
              <w:rPr>
                <w:rFonts w:hint="eastAsia" w:ascii="仿宋" w:hAnsi="仿宋" w:eastAsia="仿宋" w:cs="仿宋"/>
                <w:b w:val="0"/>
                <w:bCs w:val="0"/>
                <w:i w:val="0"/>
                <w:iCs w:val="0"/>
                <w:caps w:val="0"/>
                <w:color w:val="000000"/>
                <w:spacing w:val="0"/>
                <w:sz w:val="32"/>
                <w:szCs w:val="32"/>
                <w:u w:val="none"/>
                <w:shd w:val="clear" w:fill="FFFFFF"/>
                <w:lang w:val="en-US" w:eastAsia="zh-CN"/>
              </w:rPr>
              <w:t>（普通合伙）</w:t>
            </w:r>
          </w:p>
        </w:tc>
        <w:tc>
          <w:tcPr>
            <w:tcW w:w="4274" w:type="dxa"/>
            <w:noWrap w:val="0"/>
            <w:vAlign w:val="top"/>
          </w:tcPr>
          <w:p w14:paraId="6FC64BD1">
            <w:pPr>
              <w:pStyle w:val="1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right="0" w:rightChars="0" w:firstLine="0" w:firstLineChars="0"/>
              <w:jc w:val="center"/>
              <w:textAlignment w:val="auto"/>
              <w:rPr>
                <w:rFonts w:hint="eastAsia" w:ascii="仿宋" w:hAnsi="仿宋" w:eastAsia="仿宋" w:cs="仿宋"/>
                <w:b w:val="0"/>
                <w:bCs w:val="0"/>
                <w:i w:val="0"/>
                <w:iCs w:val="0"/>
                <w:caps w:val="0"/>
                <w:color w:val="000000"/>
                <w:spacing w:val="0"/>
                <w:sz w:val="32"/>
                <w:szCs w:val="32"/>
                <w:u w:val="none"/>
                <w:shd w:val="clear" w:fill="FFFFFF"/>
                <w:lang w:val="en-US" w:eastAsia="zh-CN"/>
              </w:rPr>
            </w:pPr>
          </w:p>
        </w:tc>
      </w:tr>
      <w:tr w14:paraId="6BCD2100">
        <w:tblPrEx>
          <w:tblCellMar>
            <w:top w:w="0" w:type="dxa"/>
            <w:left w:w="108" w:type="dxa"/>
            <w:bottom w:w="0" w:type="dxa"/>
            <w:right w:w="108" w:type="dxa"/>
          </w:tblCellMar>
        </w:tblPrEx>
        <w:trPr>
          <w:trHeight w:val="1247" w:hRule="atLeast"/>
          <w:jc w:val="center"/>
        </w:trPr>
        <w:tc>
          <w:tcPr>
            <w:tcW w:w="4525" w:type="dxa"/>
            <w:noWrap w:val="0"/>
            <w:vAlign w:val="top"/>
          </w:tcPr>
          <w:p w14:paraId="5DDE7399">
            <w:pPr>
              <w:pStyle w:val="1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right="0" w:rightChars="0" w:firstLine="0" w:firstLineChars="0"/>
              <w:jc w:val="center"/>
              <w:textAlignment w:val="auto"/>
              <w:rPr>
                <w:rFonts w:hint="eastAsia" w:ascii="仿宋" w:hAnsi="仿宋" w:eastAsia="仿宋" w:cs="仿宋"/>
                <w:b w:val="0"/>
                <w:bCs w:val="0"/>
                <w:i w:val="0"/>
                <w:iCs w:val="0"/>
                <w:caps w:val="0"/>
                <w:color w:val="000000"/>
                <w:spacing w:val="0"/>
                <w:sz w:val="32"/>
                <w:szCs w:val="32"/>
                <w:u w:val="none"/>
                <w:shd w:val="clear" w:fill="FFFFFF"/>
                <w:lang w:val="en-US" w:eastAsia="zh-CN"/>
              </w:rPr>
            </w:pPr>
          </w:p>
        </w:tc>
        <w:tc>
          <w:tcPr>
            <w:tcW w:w="4274" w:type="dxa"/>
            <w:noWrap w:val="0"/>
            <w:vAlign w:val="top"/>
          </w:tcPr>
          <w:p w14:paraId="67F3844A">
            <w:pPr>
              <w:pStyle w:val="1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right="0" w:rightChars="0" w:firstLine="0" w:firstLineChars="0"/>
              <w:jc w:val="center"/>
              <w:textAlignment w:val="auto"/>
              <w:rPr>
                <w:rFonts w:hint="eastAsia" w:ascii="仿宋" w:hAnsi="仿宋" w:eastAsia="仿宋" w:cs="仿宋"/>
                <w:b w:val="0"/>
                <w:bCs w:val="0"/>
                <w:i w:val="0"/>
                <w:iCs w:val="0"/>
                <w:caps w:val="0"/>
                <w:color w:val="000000"/>
                <w:spacing w:val="0"/>
                <w:sz w:val="32"/>
                <w:szCs w:val="32"/>
                <w:u w:val="none"/>
                <w:shd w:val="clear" w:fill="FFFFFF"/>
                <w:lang w:val="en-US" w:eastAsia="zh-CN"/>
              </w:rPr>
            </w:pPr>
            <w:r>
              <w:rPr>
                <w:rFonts w:hint="eastAsia" w:ascii="仿宋" w:hAnsi="仿宋" w:eastAsia="仿宋" w:cs="仿宋"/>
                <w:b w:val="0"/>
                <w:bCs w:val="0"/>
                <w:i w:val="0"/>
                <w:iCs w:val="0"/>
                <w:caps w:val="0"/>
                <w:color w:val="000000"/>
                <w:spacing w:val="0"/>
                <w:sz w:val="32"/>
                <w:szCs w:val="32"/>
                <w:u w:val="none"/>
                <w:shd w:val="clear" w:fill="FFFFFF"/>
                <w:lang w:val="en-US" w:eastAsia="zh-CN"/>
              </w:rPr>
              <w:t>中国注册会计师：</w:t>
            </w:r>
          </w:p>
          <w:p w14:paraId="6FA1FA44">
            <w:pPr>
              <w:pStyle w:val="1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right="0" w:rightChars="0" w:firstLine="0" w:firstLineChars="0"/>
              <w:jc w:val="center"/>
              <w:textAlignment w:val="auto"/>
              <w:rPr>
                <w:rFonts w:hint="eastAsia" w:ascii="仿宋" w:hAnsi="仿宋" w:eastAsia="仿宋" w:cs="仿宋"/>
                <w:b w:val="0"/>
                <w:bCs w:val="0"/>
                <w:i w:val="0"/>
                <w:iCs w:val="0"/>
                <w:caps w:val="0"/>
                <w:color w:val="000000"/>
                <w:spacing w:val="0"/>
                <w:sz w:val="32"/>
                <w:szCs w:val="32"/>
                <w:u w:val="none"/>
                <w:shd w:val="clear" w:fill="FFFFFF"/>
                <w:lang w:val="en-US" w:eastAsia="zh-CN"/>
              </w:rPr>
            </w:pPr>
          </w:p>
        </w:tc>
      </w:tr>
      <w:tr w14:paraId="6E160BFB">
        <w:tblPrEx>
          <w:tblCellMar>
            <w:top w:w="0" w:type="dxa"/>
            <w:left w:w="108" w:type="dxa"/>
            <w:bottom w:w="0" w:type="dxa"/>
            <w:right w:w="108" w:type="dxa"/>
          </w:tblCellMar>
        </w:tblPrEx>
        <w:trPr>
          <w:trHeight w:val="623" w:hRule="atLeast"/>
          <w:jc w:val="center"/>
        </w:trPr>
        <w:tc>
          <w:tcPr>
            <w:tcW w:w="4525" w:type="dxa"/>
            <w:noWrap w:val="0"/>
            <w:vAlign w:val="top"/>
          </w:tcPr>
          <w:p w14:paraId="51A7DD8F">
            <w:pPr>
              <w:pStyle w:val="1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right="0" w:rightChars="0" w:firstLine="0" w:firstLineChars="0"/>
              <w:jc w:val="center"/>
              <w:textAlignment w:val="auto"/>
              <w:rPr>
                <w:rFonts w:hint="eastAsia" w:ascii="仿宋" w:hAnsi="仿宋" w:eastAsia="仿宋" w:cs="仿宋"/>
                <w:b w:val="0"/>
                <w:bCs w:val="0"/>
                <w:i w:val="0"/>
                <w:iCs w:val="0"/>
                <w:caps w:val="0"/>
                <w:color w:val="000000"/>
                <w:spacing w:val="0"/>
                <w:sz w:val="32"/>
                <w:szCs w:val="32"/>
                <w:u w:val="none"/>
                <w:shd w:val="clear" w:fill="FFFFFF"/>
                <w:lang w:val="en-US" w:eastAsia="zh-CN"/>
              </w:rPr>
            </w:pPr>
            <w:r>
              <w:rPr>
                <w:rFonts w:hint="eastAsia" w:ascii="仿宋" w:hAnsi="仿宋" w:eastAsia="仿宋" w:cs="仿宋"/>
                <w:b w:val="0"/>
                <w:bCs w:val="0"/>
                <w:i w:val="0"/>
                <w:iCs w:val="0"/>
                <w:caps w:val="0"/>
                <w:color w:val="000000"/>
                <w:spacing w:val="0"/>
                <w:sz w:val="32"/>
                <w:szCs w:val="32"/>
                <w:u w:val="none"/>
                <w:shd w:val="clear" w:fill="FFFFFF"/>
                <w:lang w:val="en-US" w:eastAsia="zh-CN"/>
              </w:rPr>
              <w:t>中 国·长 沙</w:t>
            </w:r>
          </w:p>
        </w:tc>
        <w:tc>
          <w:tcPr>
            <w:tcW w:w="4274" w:type="dxa"/>
            <w:noWrap w:val="0"/>
            <w:vAlign w:val="top"/>
          </w:tcPr>
          <w:p w14:paraId="34AC2330">
            <w:pPr>
              <w:pStyle w:val="1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right="0" w:rightChars="0" w:firstLine="0" w:firstLineChars="0"/>
              <w:jc w:val="center"/>
              <w:textAlignment w:val="auto"/>
              <w:rPr>
                <w:rFonts w:hint="eastAsia" w:ascii="仿宋" w:hAnsi="仿宋" w:eastAsia="仿宋" w:cs="仿宋"/>
                <w:b w:val="0"/>
                <w:bCs w:val="0"/>
                <w:i w:val="0"/>
                <w:iCs w:val="0"/>
                <w:caps w:val="0"/>
                <w:color w:val="000000"/>
                <w:spacing w:val="0"/>
                <w:sz w:val="32"/>
                <w:szCs w:val="32"/>
                <w:u w:val="none"/>
                <w:shd w:val="clear" w:fill="FFFFFF"/>
                <w:lang w:val="en-US" w:eastAsia="zh-CN"/>
              </w:rPr>
            </w:pPr>
            <w:r>
              <w:rPr>
                <w:rFonts w:hint="eastAsia" w:ascii="仿宋" w:hAnsi="仿宋" w:eastAsia="仿宋" w:cs="仿宋"/>
                <w:b w:val="0"/>
                <w:bCs w:val="0"/>
                <w:i w:val="0"/>
                <w:iCs w:val="0"/>
                <w:caps w:val="0"/>
                <w:color w:val="000000"/>
                <w:spacing w:val="0"/>
                <w:sz w:val="32"/>
                <w:szCs w:val="32"/>
                <w:u w:val="none"/>
                <w:shd w:val="clear" w:fill="FFFFFF"/>
                <w:lang w:val="en-US" w:eastAsia="zh-CN"/>
              </w:rPr>
              <w:t>2025年12月15日</w:t>
            </w:r>
          </w:p>
        </w:tc>
      </w:tr>
    </w:tbl>
    <w:p w14:paraId="32449019">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0"/>
        <w:rPr>
          <w:rFonts w:hint="eastAsia" w:ascii="黑体" w:hAnsi="黑体" w:eastAsia="黑体" w:cs="黑体"/>
          <w:sz w:val="32"/>
          <w:szCs w:val="32"/>
          <w:lang w:val="en-US" w:eastAsia="zh-CN"/>
        </w:rPr>
      </w:pPr>
    </w:p>
    <w:sectPr>
      <w:pgSz w:w="11906" w:h="16838"/>
      <w:pgMar w:top="1157" w:right="1803" w:bottom="1440" w:left="1803" w:header="851" w:footer="992" w:gutter="0"/>
      <w:pgBorders>
        <w:top w:val="none" w:sz="0" w:space="0"/>
        <w:left w:val="none" w:sz="0" w:space="0"/>
        <w:bottom w:val="none" w:sz="0" w:space="0"/>
        <w:right w:val="none" w:sz="0" w:space="0"/>
      </w:pgBorders>
      <w:pgNumType w:fmt="decimal"/>
      <w:cols w:space="0" w:num="1"/>
      <w:rtlGutter w:val="0"/>
      <w:docGrid w:type="lines" w:linePitch="33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隶二简体">
    <w:panose1 w:val="02010601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21C557">
    <w:pPr>
      <w:pStyle w:val="10"/>
    </w:pPr>
    <w:r>
      <w:rPr>
        <w:sz w:val="18"/>
      </w:rPr>
      <mc:AlternateContent>
        <mc:Choice Requires="wps">
          <w:drawing>
            <wp:anchor distT="0" distB="0" distL="114300" distR="114300" simplePos="0" relativeHeight="251660288" behindDoc="0" locked="0" layoutInCell="1" allowOverlap="1">
              <wp:simplePos x="0" y="0"/>
              <wp:positionH relativeFrom="margin">
                <wp:align>left</wp:align>
              </wp:positionH>
              <wp:positionV relativeFrom="bottomMargin">
                <wp:align>top</wp:align>
              </wp:positionV>
              <wp:extent cx="2431415" cy="298450"/>
              <wp:effectExtent l="0" t="0" r="0" b="0"/>
              <wp:wrapNone/>
              <wp:docPr id="2" name="文本框 2"/>
              <wp:cNvGraphicFramePr/>
              <a:graphic xmlns:a="http://schemas.openxmlformats.org/drawingml/2006/main">
                <a:graphicData uri="http://schemas.microsoft.com/office/word/2010/wordprocessingShape">
                  <wps:wsp>
                    <wps:cNvSpPr txBox="1"/>
                    <wps:spPr>
                      <a:xfrm>
                        <a:off x="1168400" y="9895840"/>
                        <a:ext cx="2431415" cy="29845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77AC19B">
                          <w:pPr>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湖南浩元会计师事务所（普通合伙）</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90.15pt;margin-top:769.9pt;height:23.5pt;width:191.45pt;mso-position-horizontal-relative:page;mso-position-vertical-relative:page;z-index:251660288;mso-width-relative:page;mso-height-relative:page;" filled="f" stroked="f" coordsize="21600,21600" o:gfxdata="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AAAAABkcnMvUEsBAhQAFAAAAAgAh07iQL/yvZrWAAAABAEAAA8AAAAAAAAAAQAgAAAA&#10;IgAAAGRycy9kb3ducmV2LnhtbFBLAQIUABQAAAAIAIdO4kAoJ/C0RgIAAHIEAAAOAAAAAAAAAAEA&#10;IAAAACUBAABkcnMvZTJvRG9jLnhtbFBLBQYAAAAABgAGAFkBAADdBQAAAAA=&#10;">
              <v:fill on="f" focussize="0,0"/>
              <v:stroke on="f" weight="0.5pt"/>
              <v:imagedata o:title=""/>
              <o:lock v:ext="edit" aspectratio="f"/>
              <v:textbox>
                <w:txbxContent>
                  <w:p w14:paraId="477AC19B">
                    <w:pPr>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湖南浩元会计师事务所（普通合伙）</w:t>
                    </w: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bottomMargin">
                <wp:align>top</wp:align>
              </wp:positionV>
              <wp:extent cx="5313045" cy="0"/>
              <wp:effectExtent l="0" t="6350" r="0" b="6350"/>
              <wp:wrapNone/>
              <wp:docPr id="1" name="直接连接符 1"/>
              <wp:cNvGraphicFramePr/>
              <a:graphic xmlns:a="http://schemas.openxmlformats.org/drawingml/2006/main">
                <a:graphicData uri="http://schemas.microsoft.com/office/word/2010/wordprocessingShape">
                  <wps:wsp>
                    <wps:cNvCnPr/>
                    <wps:spPr>
                      <a:xfrm>
                        <a:off x="1139190" y="9765665"/>
                        <a:ext cx="531304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100000</wp14:pctWidth>
              </wp14:sizeRelH>
              <wp14:sizeRelV relativeFrom="page">
                <wp14:pctHeight>0</wp14:pctHeight>
              </wp14:sizeRelV>
            </wp:anchor>
          </w:drawing>
        </mc:Choice>
        <mc:Fallback>
          <w:pict>
            <v:line id="_x0000_s1026" o:spid="_x0000_s1026" o:spt="20" style="position:absolute;left:0pt;margin-left:90.15pt;margin-top:770.4pt;height:0pt;width:418.35pt;mso-position-horizontal-relative:page;mso-position-vertical-relative:page;z-index:251659264;mso-width-relative:margin;mso-height-relative:page;mso-width-percent:1000;" filled="f" stroked="t" coordsize="21600,21600" o:gfxdata="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C7jyGc&#10;zwAAAAIBAAAPAAAAAAAAAAEAIAAAACIAAABkcnMvZG93bnJldi54bWxQSwECFAAUAAAACACHTuJA&#10;F49pAfEBAAC+AwAADgAAAAAAAAABACAAAAAeAQAAZHJzL2Uyb0RvYy54bWxQSwUGAAAAAAYABgBZ&#10;AQAAgQUAAAAA&#10;">
              <v:fill on="f" focussize="0,0"/>
              <v:stroke weight="1pt" color="#000000 [3213]" miterlimit="8" joinstyle="miter"/>
              <v:imagedata o:title=""/>
              <o:lock v:ext="edit" aspectratio="f"/>
            </v:lin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450B68">
    <w:pPr>
      <w:pStyle w:val="10"/>
      <w:rPr>
        <w:rFonts w:hint="eastAsia" w:eastAsiaTheme="minorEastAsia"/>
        <w:lang w:val="en-US" w:eastAsia="zh-CN"/>
      </w:rPr>
    </w:pPr>
    <w:r>
      <w:rPr>
        <w:sz w:val="18"/>
      </w:rPr>
      <mc:AlternateContent>
        <mc:Choice Requires="wps">
          <w:drawing>
            <wp:anchor distT="0" distB="0" distL="114300" distR="114300" simplePos="0" relativeHeight="251665408" behindDoc="0" locked="0" layoutInCell="1" allowOverlap="1">
              <wp:simplePos x="0" y="0"/>
              <wp:positionH relativeFrom="margin">
                <wp:align>right</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CBF739F">
                          <w:pPr>
                            <w:pStyle w:val="10"/>
                          </w:pPr>
                          <w:r>
                            <w:t xml:space="preserve">第 </w:t>
                          </w:r>
                          <w:r>
                            <w:fldChar w:fldCharType="begin"/>
                          </w:r>
                          <w:r>
                            <w:instrText xml:space="preserve"> PAGE  \* MERGEFORMAT </w:instrText>
                          </w:r>
                          <w:r>
                            <w:fldChar w:fldCharType="separate"/>
                          </w:r>
                          <w:r>
                            <w:t>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4CBF739F">
                    <w:pPr>
                      <w:pStyle w:val="10"/>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r>
      <w:rPr>
        <w:sz w:val="18"/>
      </w:rPr>
      <mc:AlternateContent>
        <mc:Choice Requires="wps">
          <w:drawing>
            <wp:anchor distT="0" distB="0" distL="114300" distR="114300" simplePos="0" relativeHeight="251664384" behindDoc="0" locked="0" layoutInCell="1" allowOverlap="1">
              <wp:simplePos x="0" y="0"/>
              <wp:positionH relativeFrom="margin">
                <wp:align>right</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2D17AA8">
                          <w:pPr>
                            <w:pStyle w:val="10"/>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42D17AA8">
                    <w:pPr>
                      <w:pStyle w:val="10"/>
                    </w:pPr>
                  </w:p>
                </w:txbxContent>
              </v:textbox>
            </v:shape>
          </w:pict>
        </mc:Fallback>
      </mc:AlternateContent>
    </w:r>
    <w:r>
      <w:rPr>
        <w:sz w:val="18"/>
      </w:rPr>
      <mc:AlternateContent>
        <mc:Choice Requires="wps">
          <w:drawing>
            <wp:anchor distT="0" distB="0" distL="114300" distR="114300" simplePos="0" relativeHeight="251663360" behindDoc="0" locked="0" layoutInCell="1" allowOverlap="1">
              <wp:simplePos x="0" y="0"/>
              <wp:positionH relativeFrom="margin">
                <wp:align>right</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E48C09C">
                          <w:pPr>
                            <w:pStyle w:val="10"/>
                            <w:rPr>
                              <w:b/>
                              <w:bCs/>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5E48C09C">
                    <w:pPr>
                      <w:pStyle w:val="10"/>
                      <w:rPr>
                        <w:b/>
                        <w:bCs/>
                      </w:rPr>
                    </w:pPr>
                  </w:p>
                </w:txbxContent>
              </v:textbox>
            </v:shape>
          </w:pict>
        </mc:Fallback>
      </mc:AlternateContent>
    </w:r>
    <w:r>
      <w:rPr>
        <w:sz w:val="18"/>
      </w:rPr>
      <mc:AlternateContent>
        <mc:Choice Requires="wps">
          <w:drawing>
            <wp:anchor distT="0" distB="0" distL="114300" distR="114300" simplePos="0" relativeHeight="251662336" behindDoc="0" locked="0" layoutInCell="1" allowOverlap="1">
              <wp:simplePos x="0" y="0"/>
              <wp:positionH relativeFrom="margin">
                <wp:align>left</wp:align>
              </wp:positionH>
              <wp:positionV relativeFrom="bottomMargin">
                <wp:align>top</wp:align>
              </wp:positionV>
              <wp:extent cx="2431415" cy="298450"/>
              <wp:effectExtent l="0" t="0" r="0" b="0"/>
              <wp:wrapNone/>
              <wp:docPr id="14" name="文本框 14"/>
              <wp:cNvGraphicFramePr/>
              <a:graphic xmlns:a="http://schemas.openxmlformats.org/drawingml/2006/main">
                <a:graphicData uri="http://schemas.microsoft.com/office/word/2010/wordprocessingShape">
                  <wps:wsp>
                    <wps:cNvSpPr txBox="1"/>
                    <wps:spPr>
                      <a:xfrm>
                        <a:off x="1168400" y="9895840"/>
                        <a:ext cx="2431415" cy="29845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37CA635">
                          <w:pPr>
                            <w:rPr>
                              <w:rFonts w:hint="eastAsia" w:ascii="仿宋" w:hAnsi="仿宋" w:eastAsia="仿宋" w:cs="仿宋"/>
                              <w:b/>
                              <w:bCs/>
                              <w:color w:val="auto"/>
                              <w:sz w:val="21"/>
                              <w:szCs w:val="21"/>
                              <w:u w:val="none"/>
                              <w:lang w:val="en-US" w:eastAsia="zh-CN"/>
                            </w:rPr>
                          </w:pPr>
                          <w:r>
                            <w:rPr>
                              <w:rFonts w:hint="eastAsia" w:ascii="仿宋" w:hAnsi="仿宋" w:eastAsia="仿宋" w:cs="仿宋"/>
                              <w:b/>
                              <w:bCs/>
                              <w:color w:val="auto"/>
                              <w:sz w:val="21"/>
                              <w:szCs w:val="21"/>
                              <w:u w:val="none"/>
                              <w:lang w:val="en-US" w:eastAsia="zh-CN"/>
                            </w:rPr>
                            <w:t>湖南浩元会计师事务所（普通合伙）</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90.15pt;margin-top:769.9pt;height:23.5pt;width:191.45pt;mso-position-horizontal-relative:page;mso-position-vertical-relative:page;z-index:251662336;mso-width-relative:page;mso-height-relative:page;" filled="f" stroked="f" coordsize="21600,21600" o:gfxdata="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AAAAABkcnMvUEsBAhQAFAAAAAgAh07iQL/yvZrWAAAABAEAAA8AAAAAAAAAAQAgAAAA&#10;IgAAAGRycy9kb3ducmV2LnhtbFBLAQIUABQAAAAIAIdO4kDDk0rrRgIAAHQEAAAOAAAAAAAAAAEA&#10;IAAAACUBAABkcnMvZTJvRG9jLnhtbFBLBQYAAAAABgAGAFkBAADdBQAAAAA=&#10;">
              <v:fill on="f" focussize="0,0"/>
              <v:stroke on="f" weight="0.5pt"/>
              <v:imagedata o:title=""/>
              <o:lock v:ext="edit" aspectratio="f"/>
              <v:textbox>
                <w:txbxContent>
                  <w:p w14:paraId="237CA635">
                    <w:pPr>
                      <w:rPr>
                        <w:rFonts w:hint="eastAsia" w:ascii="仿宋" w:hAnsi="仿宋" w:eastAsia="仿宋" w:cs="仿宋"/>
                        <w:b/>
                        <w:bCs/>
                        <w:color w:val="auto"/>
                        <w:sz w:val="21"/>
                        <w:szCs w:val="21"/>
                        <w:u w:val="none"/>
                        <w:lang w:val="en-US" w:eastAsia="zh-CN"/>
                      </w:rPr>
                    </w:pPr>
                    <w:r>
                      <w:rPr>
                        <w:rFonts w:hint="eastAsia" w:ascii="仿宋" w:hAnsi="仿宋" w:eastAsia="仿宋" w:cs="仿宋"/>
                        <w:b/>
                        <w:bCs/>
                        <w:color w:val="auto"/>
                        <w:sz w:val="21"/>
                        <w:szCs w:val="21"/>
                        <w:u w:val="none"/>
                        <w:lang w:val="en-US" w:eastAsia="zh-CN"/>
                      </w:rPr>
                      <w:t>湖南浩元会计师事务所（普通合伙）</w:t>
                    </w:r>
                  </w:p>
                </w:txbxContent>
              </v:textbox>
            </v:shape>
          </w:pict>
        </mc:Fallback>
      </mc:AlternateContent>
    </w: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bottomMargin">
                <wp:align>top</wp:align>
              </wp:positionV>
              <wp:extent cx="5313045" cy="0"/>
              <wp:effectExtent l="0" t="6350" r="0" b="6350"/>
              <wp:wrapNone/>
              <wp:docPr id="15" name="直接连接符 15"/>
              <wp:cNvGraphicFramePr/>
              <a:graphic xmlns:a="http://schemas.openxmlformats.org/drawingml/2006/main">
                <a:graphicData uri="http://schemas.microsoft.com/office/word/2010/wordprocessingShape">
                  <wps:wsp>
                    <wps:cNvCnPr/>
                    <wps:spPr>
                      <a:xfrm>
                        <a:off x="1139190" y="9765665"/>
                        <a:ext cx="531304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100000</wp14:pctWidth>
              </wp14:sizeRelH>
              <wp14:sizeRelV relativeFrom="page">
                <wp14:pctHeight>0</wp14:pctHeight>
              </wp14:sizeRelV>
            </wp:anchor>
          </w:drawing>
        </mc:Choice>
        <mc:Fallback>
          <w:pict>
            <v:line id="_x0000_s1026" o:spid="_x0000_s1026" o:spt="20" style="position:absolute;left:0pt;margin-left:90.15pt;margin-top:770.4pt;height:0pt;width:418.35pt;mso-position-horizontal-relative:page;mso-position-vertical-relative:page;z-index:251661312;mso-width-relative:margin;mso-height-relative:page;mso-width-percent:1000;" filled="f" stroked="t" coordsize="21600,21600" o:gfxdata="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C7&#10;jyGczwAAAAIBAAAPAAAAAAAAAAEAIAAAACIAAABkcnMvZG93bnJldi54bWxQSwECFAAUAAAACACH&#10;TuJAsDn2AfQBAADAAwAADgAAAAAAAAABACAAAAAeAQAAZHJzL2Uyb0RvYy54bWxQSwUGAAAAAAYA&#10;BgBZAQAAhAUAAAAA&#10;">
              <v:fill on="f" focussize="0,0"/>
              <v:stroke weight="1pt" color="#000000 [3213]" miterlimit="8" joinstyle="miter"/>
              <v:imagedata o:title=""/>
              <o:lock v:ext="edit" aspectratio="f"/>
            </v:lin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312759">
    <w:pPr>
      <w:pStyle w:val="11"/>
      <w:rPr>
        <w:rFonts w:hint="default" w:ascii="仿宋" w:hAnsi="仿宋" w:eastAsia="仿宋" w:cs="仿宋"/>
        <w:sz w:val="21"/>
        <w:szCs w:val="21"/>
        <w:u w:val="single"/>
        <w:lang w:val="en-US" w:eastAsia="zh-CN"/>
      </w:rPr>
    </w:pPr>
    <w:r>
      <w:rPr>
        <w:rFonts w:hint="eastAsia" w:ascii="仿宋" w:hAnsi="仿宋" w:eastAsia="仿宋" w:cs="仿宋"/>
        <w:b/>
        <w:bCs/>
        <w:sz w:val="21"/>
        <w:szCs w:val="21"/>
        <w:u w:val="single"/>
        <w:lang w:val="en-US" w:eastAsia="zh-CN"/>
      </w:rPr>
      <w:t>2024年雁峰区人民政府办公室整体支出绩效评价报告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0EFD67"/>
    <w:multiLevelType w:val="singleLevel"/>
    <w:tmpl w:val="950EFD67"/>
    <w:lvl w:ilvl="0" w:tentative="0">
      <w:start w:val="2"/>
      <w:numFmt w:val="chineseCounting"/>
      <w:suff w:val="nothing"/>
      <w:lvlText w:val="（%1）"/>
      <w:lvlJc w:val="left"/>
      <w:rPr>
        <w:rFonts w:hint="eastAsia"/>
        <w:b/>
        <w:bCs/>
      </w:rPr>
    </w:lvl>
  </w:abstractNum>
  <w:abstractNum w:abstractNumId="1">
    <w:nsid w:val="993ED9D6"/>
    <w:multiLevelType w:val="singleLevel"/>
    <w:tmpl w:val="993ED9D6"/>
    <w:lvl w:ilvl="0" w:tentative="0">
      <w:start w:val="1"/>
      <w:numFmt w:val="decimal"/>
      <w:suff w:val="nothing"/>
      <w:lvlText w:val="（%1）"/>
      <w:lvlJc w:val="left"/>
    </w:lvl>
  </w:abstractNum>
  <w:abstractNum w:abstractNumId="2">
    <w:nsid w:val="AFCFB45B"/>
    <w:multiLevelType w:val="singleLevel"/>
    <w:tmpl w:val="AFCFB45B"/>
    <w:lvl w:ilvl="0" w:tentative="0">
      <w:start w:val="2"/>
      <w:numFmt w:val="chineseCounting"/>
      <w:suff w:val="nothing"/>
      <w:lvlText w:val="%1、"/>
      <w:lvlJc w:val="left"/>
      <w:rPr>
        <w:rFonts w:hint="eastAsia"/>
      </w:rPr>
    </w:lvl>
  </w:abstractNum>
  <w:abstractNum w:abstractNumId="3">
    <w:nsid w:val="D84C4568"/>
    <w:multiLevelType w:val="singleLevel"/>
    <w:tmpl w:val="D84C4568"/>
    <w:lvl w:ilvl="0" w:tentative="0">
      <w:start w:val="1"/>
      <w:numFmt w:val="chineseCounting"/>
      <w:suff w:val="nothing"/>
      <w:lvlText w:val="（%1）"/>
      <w:lvlJc w:val="left"/>
      <w:rPr>
        <w:rFonts w:hint="eastAsia"/>
      </w:rPr>
    </w:lvl>
  </w:abstractNum>
  <w:abstractNum w:abstractNumId="4">
    <w:nsid w:val="EBF7B6E1"/>
    <w:multiLevelType w:val="singleLevel"/>
    <w:tmpl w:val="EBF7B6E1"/>
    <w:lvl w:ilvl="0" w:tentative="0">
      <w:start w:val="1"/>
      <w:numFmt w:val="chineseCounting"/>
      <w:suff w:val="nothing"/>
      <w:lvlText w:val="（%1）"/>
      <w:lvlJc w:val="left"/>
      <w:rPr>
        <w:rFonts w:hint="eastAsia"/>
      </w:rPr>
    </w:lvl>
  </w:abstractNum>
  <w:abstractNum w:abstractNumId="5">
    <w:nsid w:val="22845DC4"/>
    <w:multiLevelType w:val="singleLevel"/>
    <w:tmpl w:val="22845DC4"/>
    <w:lvl w:ilvl="0" w:tentative="0">
      <w:start w:val="4"/>
      <w:numFmt w:val="chineseCounting"/>
      <w:suff w:val="nothing"/>
      <w:lvlText w:val="（%1）"/>
      <w:lvlJc w:val="left"/>
      <w:rPr>
        <w:rFonts w:hint="eastAsia"/>
      </w:rPr>
    </w:lvl>
  </w:abstractNum>
  <w:num w:numId="1">
    <w:abstractNumId w:val="2"/>
  </w:num>
  <w:num w:numId="2">
    <w:abstractNumId w:val="3"/>
  </w:num>
  <w:num w:numId="3">
    <w:abstractNumId w:val="5"/>
  </w:num>
  <w:num w:numId="4">
    <w:abstractNumId w:val="4"/>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6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U1ZWVjYTFmYWM4NGIxZThlMmI0MzQ1Mzg3NWI3ZjkifQ=="/>
  </w:docVars>
  <w:rsids>
    <w:rsidRoot w:val="00172A27"/>
    <w:rsid w:val="00053C27"/>
    <w:rsid w:val="001B237B"/>
    <w:rsid w:val="003440E5"/>
    <w:rsid w:val="00347465"/>
    <w:rsid w:val="003675EE"/>
    <w:rsid w:val="00392EA7"/>
    <w:rsid w:val="00396CDA"/>
    <w:rsid w:val="00440AFC"/>
    <w:rsid w:val="00441793"/>
    <w:rsid w:val="0046375D"/>
    <w:rsid w:val="004E616D"/>
    <w:rsid w:val="00543B5B"/>
    <w:rsid w:val="006C4A5C"/>
    <w:rsid w:val="0075235C"/>
    <w:rsid w:val="008C4773"/>
    <w:rsid w:val="00957601"/>
    <w:rsid w:val="00AC7437"/>
    <w:rsid w:val="00CE50BF"/>
    <w:rsid w:val="00DC574A"/>
    <w:rsid w:val="00ED1E2A"/>
    <w:rsid w:val="00F114F5"/>
    <w:rsid w:val="00F96DAA"/>
    <w:rsid w:val="00FE0086"/>
    <w:rsid w:val="01017684"/>
    <w:rsid w:val="010D6479"/>
    <w:rsid w:val="01142B69"/>
    <w:rsid w:val="011655D4"/>
    <w:rsid w:val="01211959"/>
    <w:rsid w:val="013D4B60"/>
    <w:rsid w:val="013F2781"/>
    <w:rsid w:val="014F34AC"/>
    <w:rsid w:val="01537CD6"/>
    <w:rsid w:val="01543F37"/>
    <w:rsid w:val="018A7679"/>
    <w:rsid w:val="018E2466"/>
    <w:rsid w:val="0196601E"/>
    <w:rsid w:val="01967D5E"/>
    <w:rsid w:val="019755DD"/>
    <w:rsid w:val="019D115B"/>
    <w:rsid w:val="019E58B5"/>
    <w:rsid w:val="019F1377"/>
    <w:rsid w:val="01B374F8"/>
    <w:rsid w:val="01CB7507"/>
    <w:rsid w:val="01D54FF4"/>
    <w:rsid w:val="01D846CD"/>
    <w:rsid w:val="01FA01CD"/>
    <w:rsid w:val="021E5540"/>
    <w:rsid w:val="023A109F"/>
    <w:rsid w:val="023F2351"/>
    <w:rsid w:val="02427F54"/>
    <w:rsid w:val="024C492F"/>
    <w:rsid w:val="025739FF"/>
    <w:rsid w:val="0263637C"/>
    <w:rsid w:val="026659F0"/>
    <w:rsid w:val="026774FC"/>
    <w:rsid w:val="02811C50"/>
    <w:rsid w:val="028D5673"/>
    <w:rsid w:val="029C2A31"/>
    <w:rsid w:val="029D18A6"/>
    <w:rsid w:val="029F7154"/>
    <w:rsid w:val="02A1111E"/>
    <w:rsid w:val="02A815EB"/>
    <w:rsid w:val="02AD3FBE"/>
    <w:rsid w:val="02AE478C"/>
    <w:rsid w:val="02B50726"/>
    <w:rsid w:val="02B726F0"/>
    <w:rsid w:val="02BA21E0"/>
    <w:rsid w:val="02C443E7"/>
    <w:rsid w:val="02D037B2"/>
    <w:rsid w:val="02DB6277"/>
    <w:rsid w:val="02E039E0"/>
    <w:rsid w:val="02F859E5"/>
    <w:rsid w:val="02F94384"/>
    <w:rsid w:val="03074E87"/>
    <w:rsid w:val="03103BAE"/>
    <w:rsid w:val="03105CDF"/>
    <w:rsid w:val="031713E0"/>
    <w:rsid w:val="031763B2"/>
    <w:rsid w:val="03191EEE"/>
    <w:rsid w:val="031D6EFB"/>
    <w:rsid w:val="03267F2A"/>
    <w:rsid w:val="03295034"/>
    <w:rsid w:val="032A758D"/>
    <w:rsid w:val="03303491"/>
    <w:rsid w:val="034A1211"/>
    <w:rsid w:val="03754F19"/>
    <w:rsid w:val="03764359"/>
    <w:rsid w:val="03773C2D"/>
    <w:rsid w:val="0391431A"/>
    <w:rsid w:val="03A3304A"/>
    <w:rsid w:val="03A36FA0"/>
    <w:rsid w:val="03A47774"/>
    <w:rsid w:val="03A5079A"/>
    <w:rsid w:val="03AA1CFF"/>
    <w:rsid w:val="03C3438E"/>
    <w:rsid w:val="03C47923"/>
    <w:rsid w:val="03CE545F"/>
    <w:rsid w:val="03D25723"/>
    <w:rsid w:val="03E64831"/>
    <w:rsid w:val="04073203"/>
    <w:rsid w:val="04125FCD"/>
    <w:rsid w:val="04160862"/>
    <w:rsid w:val="04220309"/>
    <w:rsid w:val="04245B63"/>
    <w:rsid w:val="042E3A1F"/>
    <w:rsid w:val="043229AE"/>
    <w:rsid w:val="04330D71"/>
    <w:rsid w:val="043E5100"/>
    <w:rsid w:val="04421B33"/>
    <w:rsid w:val="04460AFF"/>
    <w:rsid w:val="047100E1"/>
    <w:rsid w:val="047C774D"/>
    <w:rsid w:val="047F1C73"/>
    <w:rsid w:val="04986613"/>
    <w:rsid w:val="04AF38FD"/>
    <w:rsid w:val="04B62533"/>
    <w:rsid w:val="04B70785"/>
    <w:rsid w:val="04C133B2"/>
    <w:rsid w:val="04C1427B"/>
    <w:rsid w:val="04C218DA"/>
    <w:rsid w:val="04C6380B"/>
    <w:rsid w:val="04CD774D"/>
    <w:rsid w:val="04DC5593"/>
    <w:rsid w:val="04E57AC0"/>
    <w:rsid w:val="04ED064B"/>
    <w:rsid w:val="04F85637"/>
    <w:rsid w:val="05183F1A"/>
    <w:rsid w:val="05266ADB"/>
    <w:rsid w:val="05281683"/>
    <w:rsid w:val="05353DA0"/>
    <w:rsid w:val="053B68BC"/>
    <w:rsid w:val="05620FEB"/>
    <w:rsid w:val="056B5638"/>
    <w:rsid w:val="0571031E"/>
    <w:rsid w:val="057714C1"/>
    <w:rsid w:val="05791A70"/>
    <w:rsid w:val="058C131C"/>
    <w:rsid w:val="058C1C12"/>
    <w:rsid w:val="059C3F40"/>
    <w:rsid w:val="059E7B97"/>
    <w:rsid w:val="05A11BAC"/>
    <w:rsid w:val="05A3319B"/>
    <w:rsid w:val="05A50F26"/>
    <w:rsid w:val="05BA0D70"/>
    <w:rsid w:val="05DB66F5"/>
    <w:rsid w:val="05DE1D42"/>
    <w:rsid w:val="05E0766C"/>
    <w:rsid w:val="05F309FB"/>
    <w:rsid w:val="05F45A09"/>
    <w:rsid w:val="05F57389"/>
    <w:rsid w:val="05FA2A1A"/>
    <w:rsid w:val="05FF0279"/>
    <w:rsid w:val="06062574"/>
    <w:rsid w:val="06093E43"/>
    <w:rsid w:val="06106186"/>
    <w:rsid w:val="061B656D"/>
    <w:rsid w:val="06222576"/>
    <w:rsid w:val="062865D7"/>
    <w:rsid w:val="06316B63"/>
    <w:rsid w:val="06322AAB"/>
    <w:rsid w:val="06341813"/>
    <w:rsid w:val="06345BBB"/>
    <w:rsid w:val="064514DA"/>
    <w:rsid w:val="06462747"/>
    <w:rsid w:val="064A35D0"/>
    <w:rsid w:val="065D6663"/>
    <w:rsid w:val="0660046B"/>
    <w:rsid w:val="066A1F1E"/>
    <w:rsid w:val="06700636"/>
    <w:rsid w:val="067369FB"/>
    <w:rsid w:val="06875F36"/>
    <w:rsid w:val="068B1201"/>
    <w:rsid w:val="068D0A84"/>
    <w:rsid w:val="069112CA"/>
    <w:rsid w:val="06930D7E"/>
    <w:rsid w:val="06B069BA"/>
    <w:rsid w:val="06C30126"/>
    <w:rsid w:val="06C57799"/>
    <w:rsid w:val="06C92D5A"/>
    <w:rsid w:val="06CC0578"/>
    <w:rsid w:val="06D86978"/>
    <w:rsid w:val="06DF5D71"/>
    <w:rsid w:val="070337A4"/>
    <w:rsid w:val="07097643"/>
    <w:rsid w:val="07143785"/>
    <w:rsid w:val="071E67C4"/>
    <w:rsid w:val="072639A0"/>
    <w:rsid w:val="072801E2"/>
    <w:rsid w:val="073F4A62"/>
    <w:rsid w:val="074D53D1"/>
    <w:rsid w:val="0756191C"/>
    <w:rsid w:val="076A180B"/>
    <w:rsid w:val="076C47A9"/>
    <w:rsid w:val="077376CB"/>
    <w:rsid w:val="07760BAA"/>
    <w:rsid w:val="078D3874"/>
    <w:rsid w:val="079468F0"/>
    <w:rsid w:val="079B120C"/>
    <w:rsid w:val="07A7684E"/>
    <w:rsid w:val="07AC013B"/>
    <w:rsid w:val="07BA10F5"/>
    <w:rsid w:val="07BB6140"/>
    <w:rsid w:val="07BB67DE"/>
    <w:rsid w:val="07BE4341"/>
    <w:rsid w:val="07D442F0"/>
    <w:rsid w:val="07E00C9C"/>
    <w:rsid w:val="07E22674"/>
    <w:rsid w:val="07ED2710"/>
    <w:rsid w:val="07F9321E"/>
    <w:rsid w:val="07FF1CDD"/>
    <w:rsid w:val="0809043D"/>
    <w:rsid w:val="08253FEF"/>
    <w:rsid w:val="08313B80"/>
    <w:rsid w:val="083E11BD"/>
    <w:rsid w:val="084542FA"/>
    <w:rsid w:val="085821DB"/>
    <w:rsid w:val="085B544F"/>
    <w:rsid w:val="085E70A3"/>
    <w:rsid w:val="086A6018"/>
    <w:rsid w:val="087921F6"/>
    <w:rsid w:val="089C542D"/>
    <w:rsid w:val="08A53B3F"/>
    <w:rsid w:val="08BB245F"/>
    <w:rsid w:val="08BE2639"/>
    <w:rsid w:val="08C12927"/>
    <w:rsid w:val="08C14499"/>
    <w:rsid w:val="08C8551C"/>
    <w:rsid w:val="08CD7790"/>
    <w:rsid w:val="08D33389"/>
    <w:rsid w:val="091E489D"/>
    <w:rsid w:val="09214A58"/>
    <w:rsid w:val="09322AD0"/>
    <w:rsid w:val="09436EC0"/>
    <w:rsid w:val="0949606C"/>
    <w:rsid w:val="094F2CD3"/>
    <w:rsid w:val="096B15C8"/>
    <w:rsid w:val="097F0956"/>
    <w:rsid w:val="098026A7"/>
    <w:rsid w:val="098244A7"/>
    <w:rsid w:val="098368C3"/>
    <w:rsid w:val="098E3ABC"/>
    <w:rsid w:val="09964F9A"/>
    <w:rsid w:val="099A08B5"/>
    <w:rsid w:val="09A5179F"/>
    <w:rsid w:val="09B90AFC"/>
    <w:rsid w:val="09BF0001"/>
    <w:rsid w:val="09BF1E8A"/>
    <w:rsid w:val="09D70DA6"/>
    <w:rsid w:val="09E024BB"/>
    <w:rsid w:val="0A0F3905"/>
    <w:rsid w:val="0A355EA0"/>
    <w:rsid w:val="0A3D472E"/>
    <w:rsid w:val="0A4106A1"/>
    <w:rsid w:val="0A5F7F8F"/>
    <w:rsid w:val="0A650F73"/>
    <w:rsid w:val="0A653918"/>
    <w:rsid w:val="0A6E2124"/>
    <w:rsid w:val="0A863B1E"/>
    <w:rsid w:val="0A8777EC"/>
    <w:rsid w:val="0A891C20"/>
    <w:rsid w:val="0AA364AD"/>
    <w:rsid w:val="0AAC0F25"/>
    <w:rsid w:val="0AB74823"/>
    <w:rsid w:val="0ABB08A3"/>
    <w:rsid w:val="0AC21A36"/>
    <w:rsid w:val="0ADF27E4"/>
    <w:rsid w:val="0AEC6CC4"/>
    <w:rsid w:val="0B0D610C"/>
    <w:rsid w:val="0B1A34E5"/>
    <w:rsid w:val="0B42710B"/>
    <w:rsid w:val="0B553428"/>
    <w:rsid w:val="0B5D25F0"/>
    <w:rsid w:val="0B6131F9"/>
    <w:rsid w:val="0B7E1DF4"/>
    <w:rsid w:val="0BAB2B32"/>
    <w:rsid w:val="0BAD643E"/>
    <w:rsid w:val="0BB72F3C"/>
    <w:rsid w:val="0BC419DA"/>
    <w:rsid w:val="0BD452F2"/>
    <w:rsid w:val="0BE45812"/>
    <w:rsid w:val="0BE71C3D"/>
    <w:rsid w:val="0BFE0100"/>
    <w:rsid w:val="0C0753B5"/>
    <w:rsid w:val="0C250048"/>
    <w:rsid w:val="0C254F7A"/>
    <w:rsid w:val="0C2B3573"/>
    <w:rsid w:val="0C3A7178"/>
    <w:rsid w:val="0C476893"/>
    <w:rsid w:val="0C5517B2"/>
    <w:rsid w:val="0C5556CA"/>
    <w:rsid w:val="0C5965C6"/>
    <w:rsid w:val="0C5E19B3"/>
    <w:rsid w:val="0C7476C0"/>
    <w:rsid w:val="0C7B2664"/>
    <w:rsid w:val="0C925AC4"/>
    <w:rsid w:val="0C9772B7"/>
    <w:rsid w:val="0C9E401A"/>
    <w:rsid w:val="0CA350DD"/>
    <w:rsid w:val="0CAC044E"/>
    <w:rsid w:val="0CAF0502"/>
    <w:rsid w:val="0CB841CC"/>
    <w:rsid w:val="0CBC3E25"/>
    <w:rsid w:val="0CBF0132"/>
    <w:rsid w:val="0CC06645"/>
    <w:rsid w:val="0CC852E6"/>
    <w:rsid w:val="0CCC5E05"/>
    <w:rsid w:val="0CCF6888"/>
    <w:rsid w:val="0CD56D9C"/>
    <w:rsid w:val="0CDB0A03"/>
    <w:rsid w:val="0CE25880"/>
    <w:rsid w:val="0CE27DCE"/>
    <w:rsid w:val="0CE5798A"/>
    <w:rsid w:val="0CF462EF"/>
    <w:rsid w:val="0CFF338E"/>
    <w:rsid w:val="0D0201EA"/>
    <w:rsid w:val="0D02609B"/>
    <w:rsid w:val="0D0332A3"/>
    <w:rsid w:val="0D183D8B"/>
    <w:rsid w:val="0D1C2595"/>
    <w:rsid w:val="0D1C43CC"/>
    <w:rsid w:val="0D22141A"/>
    <w:rsid w:val="0D35644A"/>
    <w:rsid w:val="0D483858"/>
    <w:rsid w:val="0D5C5D7C"/>
    <w:rsid w:val="0D6A5091"/>
    <w:rsid w:val="0D6B7889"/>
    <w:rsid w:val="0D760367"/>
    <w:rsid w:val="0D81478E"/>
    <w:rsid w:val="0D8528D4"/>
    <w:rsid w:val="0D862FC8"/>
    <w:rsid w:val="0D8A2FED"/>
    <w:rsid w:val="0D940C01"/>
    <w:rsid w:val="0D9E6986"/>
    <w:rsid w:val="0DA4187D"/>
    <w:rsid w:val="0DAB4CA3"/>
    <w:rsid w:val="0DAC2D80"/>
    <w:rsid w:val="0DAC6DFF"/>
    <w:rsid w:val="0DAD664A"/>
    <w:rsid w:val="0DB55A7E"/>
    <w:rsid w:val="0DBA6115"/>
    <w:rsid w:val="0DBB7938"/>
    <w:rsid w:val="0DC01F09"/>
    <w:rsid w:val="0DC24E06"/>
    <w:rsid w:val="0DC64126"/>
    <w:rsid w:val="0DCA29A0"/>
    <w:rsid w:val="0DD208F0"/>
    <w:rsid w:val="0DD66235"/>
    <w:rsid w:val="0DDC7AB4"/>
    <w:rsid w:val="0DE16873"/>
    <w:rsid w:val="0DE73F9D"/>
    <w:rsid w:val="0DF14288"/>
    <w:rsid w:val="0E0E0ABB"/>
    <w:rsid w:val="0E156855"/>
    <w:rsid w:val="0E180AFA"/>
    <w:rsid w:val="0E1E1689"/>
    <w:rsid w:val="0E355A5F"/>
    <w:rsid w:val="0E434CA2"/>
    <w:rsid w:val="0E452056"/>
    <w:rsid w:val="0E4A60A8"/>
    <w:rsid w:val="0E664FCA"/>
    <w:rsid w:val="0E7159E2"/>
    <w:rsid w:val="0E90419B"/>
    <w:rsid w:val="0E906868"/>
    <w:rsid w:val="0E9F40E6"/>
    <w:rsid w:val="0EAA7A46"/>
    <w:rsid w:val="0EAB349F"/>
    <w:rsid w:val="0EB151DA"/>
    <w:rsid w:val="0EB8122F"/>
    <w:rsid w:val="0EBA1FBA"/>
    <w:rsid w:val="0EBD5965"/>
    <w:rsid w:val="0EC40B28"/>
    <w:rsid w:val="0ED270CE"/>
    <w:rsid w:val="0EE30765"/>
    <w:rsid w:val="0EE875CA"/>
    <w:rsid w:val="0EEF3211"/>
    <w:rsid w:val="0F033BBE"/>
    <w:rsid w:val="0F0B71C2"/>
    <w:rsid w:val="0F16254C"/>
    <w:rsid w:val="0F1F58A5"/>
    <w:rsid w:val="0F2904D1"/>
    <w:rsid w:val="0F2E527C"/>
    <w:rsid w:val="0F333973"/>
    <w:rsid w:val="0F36499C"/>
    <w:rsid w:val="0F61365E"/>
    <w:rsid w:val="0F6C03BE"/>
    <w:rsid w:val="0F775D3E"/>
    <w:rsid w:val="0F7811AE"/>
    <w:rsid w:val="0F791052"/>
    <w:rsid w:val="0F8B17F6"/>
    <w:rsid w:val="0F9C62AB"/>
    <w:rsid w:val="0F9C6EF5"/>
    <w:rsid w:val="0F9E175C"/>
    <w:rsid w:val="0FA270B4"/>
    <w:rsid w:val="0FAB006A"/>
    <w:rsid w:val="0FB10A42"/>
    <w:rsid w:val="0FDA17CC"/>
    <w:rsid w:val="0FE53F92"/>
    <w:rsid w:val="0FE90290"/>
    <w:rsid w:val="0FF67C3E"/>
    <w:rsid w:val="0FFC7697"/>
    <w:rsid w:val="100F5919"/>
    <w:rsid w:val="101E7BF6"/>
    <w:rsid w:val="10246EEB"/>
    <w:rsid w:val="10345524"/>
    <w:rsid w:val="10362DC0"/>
    <w:rsid w:val="103750DB"/>
    <w:rsid w:val="103A6D61"/>
    <w:rsid w:val="105B5D71"/>
    <w:rsid w:val="106612B1"/>
    <w:rsid w:val="107069BA"/>
    <w:rsid w:val="10762B40"/>
    <w:rsid w:val="10810372"/>
    <w:rsid w:val="1099323E"/>
    <w:rsid w:val="109B53FF"/>
    <w:rsid w:val="10AA3894"/>
    <w:rsid w:val="10AD4E1F"/>
    <w:rsid w:val="10AE5B85"/>
    <w:rsid w:val="10B2256F"/>
    <w:rsid w:val="10C8771B"/>
    <w:rsid w:val="10E2584A"/>
    <w:rsid w:val="10F770B9"/>
    <w:rsid w:val="10F9096F"/>
    <w:rsid w:val="11045EE1"/>
    <w:rsid w:val="110C12EC"/>
    <w:rsid w:val="11186A50"/>
    <w:rsid w:val="11275806"/>
    <w:rsid w:val="11456666"/>
    <w:rsid w:val="1152799A"/>
    <w:rsid w:val="11553800"/>
    <w:rsid w:val="115820C3"/>
    <w:rsid w:val="116339D1"/>
    <w:rsid w:val="1165571B"/>
    <w:rsid w:val="116972AB"/>
    <w:rsid w:val="1170063A"/>
    <w:rsid w:val="11722980"/>
    <w:rsid w:val="11910B2A"/>
    <w:rsid w:val="11B60016"/>
    <w:rsid w:val="11BD1BAD"/>
    <w:rsid w:val="11C22644"/>
    <w:rsid w:val="11C73FD2"/>
    <w:rsid w:val="11C90F52"/>
    <w:rsid w:val="11D53180"/>
    <w:rsid w:val="11DB182B"/>
    <w:rsid w:val="11DB47CB"/>
    <w:rsid w:val="11EA5F58"/>
    <w:rsid w:val="11F84BB9"/>
    <w:rsid w:val="12144AEB"/>
    <w:rsid w:val="12185560"/>
    <w:rsid w:val="121B783C"/>
    <w:rsid w:val="12213A4B"/>
    <w:rsid w:val="12266F4A"/>
    <w:rsid w:val="122E4051"/>
    <w:rsid w:val="123D7AF8"/>
    <w:rsid w:val="1246013E"/>
    <w:rsid w:val="125A4E46"/>
    <w:rsid w:val="125B775D"/>
    <w:rsid w:val="12656690"/>
    <w:rsid w:val="126D4B79"/>
    <w:rsid w:val="126F08F1"/>
    <w:rsid w:val="12712954"/>
    <w:rsid w:val="127D5172"/>
    <w:rsid w:val="12843C71"/>
    <w:rsid w:val="12872C68"/>
    <w:rsid w:val="1288550F"/>
    <w:rsid w:val="129C457B"/>
    <w:rsid w:val="12A01767"/>
    <w:rsid w:val="12A41E2E"/>
    <w:rsid w:val="12C5502F"/>
    <w:rsid w:val="12CE0BB5"/>
    <w:rsid w:val="12D47F8E"/>
    <w:rsid w:val="12DE2F04"/>
    <w:rsid w:val="12E52E35"/>
    <w:rsid w:val="12E6250F"/>
    <w:rsid w:val="12EF1689"/>
    <w:rsid w:val="12F80CC7"/>
    <w:rsid w:val="13001549"/>
    <w:rsid w:val="130A1D43"/>
    <w:rsid w:val="1311486C"/>
    <w:rsid w:val="13134ACB"/>
    <w:rsid w:val="13257202"/>
    <w:rsid w:val="132C67E2"/>
    <w:rsid w:val="133308DE"/>
    <w:rsid w:val="13367661"/>
    <w:rsid w:val="133B6A25"/>
    <w:rsid w:val="133E24DD"/>
    <w:rsid w:val="133E63BF"/>
    <w:rsid w:val="135E5661"/>
    <w:rsid w:val="136C36A0"/>
    <w:rsid w:val="13853604"/>
    <w:rsid w:val="138949F9"/>
    <w:rsid w:val="139F4E30"/>
    <w:rsid w:val="139F5206"/>
    <w:rsid w:val="13AC7923"/>
    <w:rsid w:val="13BF5A76"/>
    <w:rsid w:val="13D57C19"/>
    <w:rsid w:val="13FA6B54"/>
    <w:rsid w:val="140275A9"/>
    <w:rsid w:val="14076BA8"/>
    <w:rsid w:val="140C37B9"/>
    <w:rsid w:val="14182A2A"/>
    <w:rsid w:val="141F1EA3"/>
    <w:rsid w:val="142A5125"/>
    <w:rsid w:val="142E6F34"/>
    <w:rsid w:val="14304FFA"/>
    <w:rsid w:val="143F0CC5"/>
    <w:rsid w:val="145558C5"/>
    <w:rsid w:val="145E6E6F"/>
    <w:rsid w:val="147D4F92"/>
    <w:rsid w:val="14897C91"/>
    <w:rsid w:val="148A2C9A"/>
    <w:rsid w:val="14962256"/>
    <w:rsid w:val="14AB450A"/>
    <w:rsid w:val="14B35F82"/>
    <w:rsid w:val="14B8240A"/>
    <w:rsid w:val="14BA1BA8"/>
    <w:rsid w:val="14BC1DE8"/>
    <w:rsid w:val="14BF2D3F"/>
    <w:rsid w:val="14C21E3B"/>
    <w:rsid w:val="14C67AFB"/>
    <w:rsid w:val="14D7452C"/>
    <w:rsid w:val="14E530ED"/>
    <w:rsid w:val="14E678C5"/>
    <w:rsid w:val="14ED01F3"/>
    <w:rsid w:val="14ED5843"/>
    <w:rsid w:val="15032920"/>
    <w:rsid w:val="151439D2"/>
    <w:rsid w:val="151A411A"/>
    <w:rsid w:val="151B65FC"/>
    <w:rsid w:val="151C1DCA"/>
    <w:rsid w:val="15222E14"/>
    <w:rsid w:val="152A4FA3"/>
    <w:rsid w:val="152E409F"/>
    <w:rsid w:val="15314652"/>
    <w:rsid w:val="153328BD"/>
    <w:rsid w:val="153E5E21"/>
    <w:rsid w:val="153F568C"/>
    <w:rsid w:val="15542020"/>
    <w:rsid w:val="15712BD2"/>
    <w:rsid w:val="1582093B"/>
    <w:rsid w:val="158703BA"/>
    <w:rsid w:val="15894CE1"/>
    <w:rsid w:val="158E5532"/>
    <w:rsid w:val="158F3058"/>
    <w:rsid w:val="1595558F"/>
    <w:rsid w:val="159863B3"/>
    <w:rsid w:val="159D39C7"/>
    <w:rsid w:val="15CB1E48"/>
    <w:rsid w:val="15D95D65"/>
    <w:rsid w:val="15E51B78"/>
    <w:rsid w:val="15E93E01"/>
    <w:rsid w:val="15F66544"/>
    <w:rsid w:val="160C46A9"/>
    <w:rsid w:val="16296B24"/>
    <w:rsid w:val="162E461F"/>
    <w:rsid w:val="162E75CC"/>
    <w:rsid w:val="16306774"/>
    <w:rsid w:val="16314110"/>
    <w:rsid w:val="163C4C29"/>
    <w:rsid w:val="16414301"/>
    <w:rsid w:val="1646419B"/>
    <w:rsid w:val="16465E0D"/>
    <w:rsid w:val="164D4C89"/>
    <w:rsid w:val="164E6A70"/>
    <w:rsid w:val="165764A9"/>
    <w:rsid w:val="165A3F0C"/>
    <w:rsid w:val="165D428C"/>
    <w:rsid w:val="166D2E5A"/>
    <w:rsid w:val="16714EDD"/>
    <w:rsid w:val="16716242"/>
    <w:rsid w:val="1674502D"/>
    <w:rsid w:val="167D3682"/>
    <w:rsid w:val="167E22F8"/>
    <w:rsid w:val="1682657E"/>
    <w:rsid w:val="16827510"/>
    <w:rsid w:val="16931292"/>
    <w:rsid w:val="169C0F78"/>
    <w:rsid w:val="16AB5C34"/>
    <w:rsid w:val="16BB3429"/>
    <w:rsid w:val="16C54A69"/>
    <w:rsid w:val="16D725CF"/>
    <w:rsid w:val="16D74A36"/>
    <w:rsid w:val="16E573D4"/>
    <w:rsid w:val="16EF70D4"/>
    <w:rsid w:val="16F13FCB"/>
    <w:rsid w:val="16F97785"/>
    <w:rsid w:val="17000058"/>
    <w:rsid w:val="1700420E"/>
    <w:rsid w:val="170A3ED8"/>
    <w:rsid w:val="170D5CC4"/>
    <w:rsid w:val="17215F32"/>
    <w:rsid w:val="172D2B29"/>
    <w:rsid w:val="173E0892"/>
    <w:rsid w:val="17430EB3"/>
    <w:rsid w:val="17550AD5"/>
    <w:rsid w:val="175761FF"/>
    <w:rsid w:val="175A569D"/>
    <w:rsid w:val="175C045F"/>
    <w:rsid w:val="17710405"/>
    <w:rsid w:val="177C42CE"/>
    <w:rsid w:val="17956A47"/>
    <w:rsid w:val="1798391D"/>
    <w:rsid w:val="17A42169"/>
    <w:rsid w:val="17B62B1E"/>
    <w:rsid w:val="17C52AFB"/>
    <w:rsid w:val="17CC0594"/>
    <w:rsid w:val="17EC02EE"/>
    <w:rsid w:val="17F12F10"/>
    <w:rsid w:val="17FB2C27"/>
    <w:rsid w:val="18145A0D"/>
    <w:rsid w:val="18167F53"/>
    <w:rsid w:val="18185587"/>
    <w:rsid w:val="183C0DD2"/>
    <w:rsid w:val="1862727E"/>
    <w:rsid w:val="18930AC2"/>
    <w:rsid w:val="18B232E6"/>
    <w:rsid w:val="18B31317"/>
    <w:rsid w:val="18C01435"/>
    <w:rsid w:val="18CA2B7F"/>
    <w:rsid w:val="18D05E62"/>
    <w:rsid w:val="18D33CA4"/>
    <w:rsid w:val="18F811D5"/>
    <w:rsid w:val="19000E9A"/>
    <w:rsid w:val="19103042"/>
    <w:rsid w:val="19173A91"/>
    <w:rsid w:val="192166BD"/>
    <w:rsid w:val="192E3215"/>
    <w:rsid w:val="193B229C"/>
    <w:rsid w:val="193F3921"/>
    <w:rsid w:val="19412BFE"/>
    <w:rsid w:val="1960649E"/>
    <w:rsid w:val="196A3BC0"/>
    <w:rsid w:val="196B6713"/>
    <w:rsid w:val="196C36C2"/>
    <w:rsid w:val="196C5B8A"/>
    <w:rsid w:val="19721E8A"/>
    <w:rsid w:val="19831DCC"/>
    <w:rsid w:val="198A065A"/>
    <w:rsid w:val="198D27BE"/>
    <w:rsid w:val="199B6790"/>
    <w:rsid w:val="19A364CF"/>
    <w:rsid w:val="19B4308D"/>
    <w:rsid w:val="19C060B2"/>
    <w:rsid w:val="19C31523"/>
    <w:rsid w:val="19C33487"/>
    <w:rsid w:val="19C94420"/>
    <w:rsid w:val="19CA0467"/>
    <w:rsid w:val="19DA2BE1"/>
    <w:rsid w:val="19E05346"/>
    <w:rsid w:val="19F41671"/>
    <w:rsid w:val="19FD105D"/>
    <w:rsid w:val="1A02204B"/>
    <w:rsid w:val="1A0A00C9"/>
    <w:rsid w:val="1A0C111B"/>
    <w:rsid w:val="1A1136AE"/>
    <w:rsid w:val="1A1520AE"/>
    <w:rsid w:val="1A275223"/>
    <w:rsid w:val="1A2771D6"/>
    <w:rsid w:val="1A283DE9"/>
    <w:rsid w:val="1A331C30"/>
    <w:rsid w:val="1A336C1E"/>
    <w:rsid w:val="1A367F46"/>
    <w:rsid w:val="1A466C29"/>
    <w:rsid w:val="1A4E5A90"/>
    <w:rsid w:val="1A512FED"/>
    <w:rsid w:val="1A570B02"/>
    <w:rsid w:val="1A5C123E"/>
    <w:rsid w:val="1A607DD7"/>
    <w:rsid w:val="1A6774E6"/>
    <w:rsid w:val="1A6D284D"/>
    <w:rsid w:val="1A80358B"/>
    <w:rsid w:val="1A8667BD"/>
    <w:rsid w:val="1A8B200C"/>
    <w:rsid w:val="1A956CF1"/>
    <w:rsid w:val="1A9941E3"/>
    <w:rsid w:val="1A9E31DD"/>
    <w:rsid w:val="1A9E44A3"/>
    <w:rsid w:val="1AA141FF"/>
    <w:rsid w:val="1AA17AB6"/>
    <w:rsid w:val="1AA42D85"/>
    <w:rsid w:val="1AAC69B5"/>
    <w:rsid w:val="1AAE7B07"/>
    <w:rsid w:val="1AAF7C6D"/>
    <w:rsid w:val="1ABE0417"/>
    <w:rsid w:val="1AC436A6"/>
    <w:rsid w:val="1ACC581E"/>
    <w:rsid w:val="1AD3193F"/>
    <w:rsid w:val="1AD627EF"/>
    <w:rsid w:val="1AD86238"/>
    <w:rsid w:val="1AE479A2"/>
    <w:rsid w:val="1AF5570C"/>
    <w:rsid w:val="1AFA6A9C"/>
    <w:rsid w:val="1AFD2812"/>
    <w:rsid w:val="1B131612"/>
    <w:rsid w:val="1B317B00"/>
    <w:rsid w:val="1B707488"/>
    <w:rsid w:val="1B7A0AA9"/>
    <w:rsid w:val="1B7E1411"/>
    <w:rsid w:val="1B8F4A8D"/>
    <w:rsid w:val="1BA553F0"/>
    <w:rsid w:val="1BAA299A"/>
    <w:rsid w:val="1BAD2058"/>
    <w:rsid w:val="1BB65A6F"/>
    <w:rsid w:val="1BD815BE"/>
    <w:rsid w:val="1BE83F4F"/>
    <w:rsid w:val="1C0302FC"/>
    <w:rsid w:val="1C142509"/>
    <w:rsid w:val="1C1F16EE"/>
    <w:rsid w:val="1C1F6B10"/>
    <w:rsid w:val="1C221F2A"/>
    <w:rsid w:val="1C2344FA"/>
    <w:rsid w:val="1C286643"/>
    <w:rsid w:val="1C5B32F3"/>
    <w:rsid w:val="1C69492B"/>
    <w:rsid w:val="1C7A7B16"/>
    <w:rsid w:val="1C7B644A"/>
    <w:rsid w:val="1C7F10E3"/>
    <w:rsid w:val="1C837694"/>
    <w:rsid w:val="1C927A29"/>
    <w:rsid w:val="1C9F39A1"/>
    <w:rsid w:val="1C9F475A"/>
    <w:rsid w:val="1CA308FE"/>
    <w:rsid w:val="1CAC44F0"/>
    <w:rsid w:val="1CC36B75"/>
    <w:rsid w:val="1CCD27DE"/>
    <w:rsid w:val="1CD06430"/>
    <w:rsid w:val="1CD25DDB"/>
    <w:rsid w:val="1CD81161"/>
    <w:rsid w:val="1CDD0B4D"/>
    <w:rsid w:val="1CE855C9"/>
    <w:rsid w:val="1CE974F2"/>
    <w:rsid w:val="1CF14289"/>
    <w:rsid w:val="1D061B33"/>
    <w:rsid w:val="1D0924B1"/>
    <w:rsid w:val="1D0B425E"/>
    <w:rsid w:val="1D245888"/>
    <w:rsid w:val="1D3A1AFC"/>
    <w:rsid w:val="1D3A5FA0"/>
    <w:rsid w:val="1D3F35B6"/>
    <w:rsid w:val="1D4110DC"/>
    <w:rsid w:val="1D444728"/>
    <w:rsid w:val="1D4A3A19"/>
    <w:rsid w:val="1D4A5B59"/>
    <w:rsid w:val="1D50131F"/>
    <w:rsid w:val="1D6645D6"/>
    <w:rsid w:val="1D7023BC"/>
    <w:rsid w:val="1D7A5A02"/>
    <w:rsid w:val="1D7F2BF3"/>
    <w:rsid w:val="1D845CE8"/>
    <w:rsid w:val="1D89551A"/>
    <w:rsid w:val="1D8B67FB"/>
    <w:rsid w:val="1DA1442D"/>
    <w:rsid w:val="1DA23326"/>
    <w:rsid w:val="1DAB37E2"/>
    <w:rsid w:val="1DB573D4"/>
    <w:rsid w:val="1DBB1717"/>
    <w:rsid w:val="1DBE2069"/>
    <w:rsid w:val="1DC77437"/>
    <w:rsid w:val="1DCB2F5B"/>
    <w:rsid w:val="1DDC7057"/>
    <w:rsid w:val="1DEB7D24"/>
    <w:rsid w:val="1E0565AE"/>
    <w:rsid w:val="1E1124CF"/>
    <w:rsid w:val="1E192DF2"/>
    <w:rsid w:val="1E1C5753"/>
    <w:rsid w:val="1E1E31CB"/>
    <w:rsid w:val="1E221057"/>
    <w:rsid w:val="1E23318F"/>
    <w:rsid w:val="1E2D4F19"/>
    <w:rsid w:val="1E3C6829"/>
    <w:rsid w:val="1E3F1E9B"/>
    <w:rsid w:val="1E450758"/>
    <w:rsid w:val="1E4918BD"/>
    <w:rsid w:val="1E5D5BA1"/>
    <w:rsid w:val="1E606CD7"/>
    <w:rsid w:val="1E625188"/>
    <w:rsid w:val="1E635A1F"/>
    <w:rsid w:val="1E6B7566"/>
    <w:rsid w:val="1E711282"/>
    <w:rsid w:val="1E783EF3"/>
    <w:rsid w:val="1E82375A"/>
    <w:rsid w:val="1E8528CF"/>
    <w:rsid w:val="1E890F8D"/>
    <w:rsid w:val="1E8A0C48"/>
    <w:rsid w:val="1E903CEC"/>
    <w:rsid w:val="1E91399D"/>
    <w:rsid w:val="1E9439C2"/>
    <w:rsid w:val="1E957931"/>
    <w:rsid w:val="1E9F0ACC"/>
    <w:rsid w:val="1EA37B56"/>
    <w:rsid w:val="1ECE699F"/>
    <w:rsid w:val="1ECE79DD"/>
    <w:rsid w:val="1ED94129"/>
    <w:rsid w:val="1EE77A61"/>
    <w:rsid w:val="1EFA20E0"/>
    <w:rsid w:val="1EFD2393"/>
    <w:rsid w:val="1F065EF2"/>
    <w:rsid w:val="1F110314"/>
    <w:rsid w:val="1F170F70"/>
    <w:rsid w:val="1F2C36C6"/>
    <w:rsid w:val="1F2E64B0"/>
    <w:rsid w:val="1F331BA6"/>
    <w:rsid w:val="1F3360E0"/>
    <w:rsid w:val="1F38206B"/>
    <w:rsid w:val="1F3B1407"/>
    <w:rsid w:val="1F404DD2"/>
    <w:rsid w:val="1F500E1F"/>
    <w:rsid w:val="1F5A7246"/>
    <w:rsid w:val="1F5C21FD"/>
    <w:rsid w:val="1F5F5356"/>
    <w:rsid w:val="1F6B6B09"/>
    <w:rsid w:val="1F6F3700"/>
    <w:rsid w:val="1F78274B"/>
    <w:rsid w:val="1F7D3F22"/>
    <w:rsid w:val="1F7E38EF"/>
    <w:rsid w:val="1F937D4E"/>
    <w:rsid w:val="1F9B1C69"/>
    <w:rsid w:val="1FB767F6"/>
    <w:rsid w:val="1FC72E8E"/>
    <w:rsid w:val="1FD03E69"/>
    <w:rsid w:val="1FD06EA3"/>
    <w:rsid w:val="1FEE56C8"/>
    <w:rsid w:val="1FF044EA"/>
    <w:rsid w:val="1FF74D8F"/>
    <w:rsid w:val="2011123A"/>
    <w:rsid w:val="20142AD8"/>
    <w:rsid w:val="202B4E35"/>
    <w:rsid w:val="2040567B"/>
    <w:rsid w:val="2043516B"/>
    <w:rsid w:val="204F1D62"/>
    <w:rsid w:val="204F50E3"/>
    <w:rsid w:val="20531831"/>
    <w:rsid w:val="206B09C9"/>
    <w:rsid w:val="20740615"/>
    <w:rsid w:val="20791657"/>
    <w:rsid w:val="207E61A3"/>
    <w:rsid w:val="208C266E"/>
    <w:rsid w:val="208C3A33"/>
    <w:rsid w:val="20A7394C"/>
    <w:rsid w:val="20B028B9"/>
    <w:rsid w:val="20B82C45"/>
    <w:rsid w:val="20B83463"/>
    <w:rsid w:val="20C130C2"/>
    <w:rsid w:val="20CC30EE"/>
    <w:rsid w:val="20D47DCE"/>
    <w:rsid w:val="20D51E07"/>
    <w:rsid w:val="20D9164A"/>
    <w:rsid w:val="20DA5073"/>
    <w:rsid w:val="20DA5ACF"/>
    <w:rsid w:val="20E22BD6"/>
    <w:rsid w:val="20F82C6C"/>
    <w:rsid w:val="20FA0A99"/>
    <w:rsid w:val="20FE18B0"/>
    <w:rsid w:val="2107361C"/>
    <w:rsid w:val="210E6EDF"/>
    <w:rsid w:val="211C60E8"/>
    <w:rsid w:val="21283337"/>
    <w:rsid w:val="212925B3"/>
    <w:rsid w:val="212A1E87"/>
    <w:rsid w:val="212D20A3"/>
    <w:rsid w:val="212E1977"/>
    <w:rsid w:val="213673FE"/>
    <w:rsid w:val="214E5B76"/>
    <w:rsid w:val="215267DE"/>
    <w:rsid w:val="215B0293"/>
    <w:rsid w:val="21676E41"/>
    <w:rsid w:val="216D0BA0"/>
    <w:rsid w:val="217537B9"/>
    <w:rsid w:val="2188552B"/>
    <w:rsid w:val="21902632"/>
    <w:rsid w:val="21924322"/>
    <w:rsid w:val="21964C43"/>
    <w:rsid w:val="219E4D4F"/>
    <w:rsid w:val="21A13B19"/>
    <w:rsid w:val="21AF0D0A"/>
    <w:rsid w:val="21CC6CC6"/>
    <w:rsid w:val="21D0786F"/>
    <w:rsid w:val="21DF2D22"/>
    <w:rsid w:val="21E408A9"/>
    <w:rsid w:val="21EA6F2F"/>
    <w:rsid w:val="21EC1864"/>
    <w:rsid w:val="21EF3EC7"/>
    <w:rsid w:val="21F204F5"/>
    <w:rsid w:val="21F430C2"/>
    <w:rsid w:val="21FD05D6"/>
    <w:rsid w:val="21FF50C2"/>
    <w:rsid w:val="220041D9"/>
    <w:rsid w:val="220A5F40"/>
    <w:rsid w:val="220B1D86"/>
    <w:rsid w:val="220B3CA8"/>
    <w:rsid w:val="22123047"/>
    <w:rsid w:val="2219330B"/>
    <w:rsid w:val="22361059"/>
    <w:rsid w:val="2238523E"/>
    <w:rsid w:val="22435553"/>
    <w:rsid w:val="225455D2"/>
    <w:rsid w:val="227331B1"/>
    <w:rsid w:val="22775899"/>
    <w:rsid w:val="227D2BB6"/>
    <w:rsid w:val="22A53EBB"/>
    <w:rsid w:val="22B33D10"/>
    <w:rsid w:val="22B57049"/>
    <w:rsid w:val="230633CA"/>
    <w:rsid w:val="230C1041"/>
    <w:rsid w:val="230F0CBA"/>
    <w:rsid w:val="23163D80"/>
    <w:rsid w:val="231D7E1D"/>
    <w:rsid w:val="232667AF"/>
    <w:rsid w:val="232C1EE7"/>
    <w:rsid w:val="234207E5"/>
    <w:rsid w:val="23494ECF"/>
    <w:rsid w:val="234E4979"/>
    <w:rsid w:val="2352435A"/>
    <w:rsid w:val="23542AC1"/>
    <w:rsid w:val="236203FB"/>
    <w:rsid w:val="23645B24"/>
    <w:rsid w:val="236D42CA"/>
    <w:rsid w:val="2374336A"/>
    <w:rsid w:val="237613B4"/>
    <w:rsid w:val="238910E7"/>
    <w:rsid w:val="239A1546"/>
    <w:rsid w:val="23B1211E"/>
    <w:rsid w:val="23D039F6"/>
    <w:rsid w:val="23D20CE0"/>
    <w:rsid w:val="23D51059"/>
    <w:rsid w:val="23DB4530"/>
    <w:rsid w:val="23EB7FF4"/>
    <w:rsid w:val="23F43032"/>
    <w:rsid w:val="23FA133C"/>
    <w:rsid w:val="240B5FA0"/>
    <w:rsid w:val="24100849"/>
    <w:rsid w:val="24116CB2"/>
    <w:rsid w:val="24122984"/>
    <w:rsid w:val="24194B61"/>
    <w:rsid w:val="242F6132"/>
    <w:rsid w:val="24336E73"/>
    <w:rsid w:val="243B6690"/>
    <w:rsid w:val="24477478"/>
    <w:rsid w:val="244839EA"/>
    <w:rsid w:val="244C4E24"/>
    <w:rsid w:val="245C4A4D"/>
    <w:rsid w:val="24635A19"/>
    <w:rsid w:val="24780534"/>
    <w:rsid w:val="2480073C"/>
    <w:rsid w:val="24846FD6"/>
    <w:rsid w:val="24850BE6"/>
    <w:rsid w:val="24B16B47"/>
    <w:rsid w:val="24C778B4"/>
    <w:rsid w:val="24D25EE9"/>
    <w:rsid w:val="24D32F62"/>
    <w:rsid w:val="24D40A88"/>
    <w:rsid w:val="24D61CD0"/>
    <w:rsid w:val="24DC16EA"/>
    <w:rsid w:val="24E64719"/>
    <w:rsid w:val="24EE3D24"/>
    <w:rsid w:val="24F030F2"/>
    <w:rsid w:val="2500675C"/>
    <w:rsid w:val="250467D9"/>
    <w:rsid w:val="250A44A9"/>
    <w:rsid w:val="250A5253"/>
    <w:rsid w:val="25122D5D"/>
    <w:rsid w:val="251D3FC0"/>
    <w:rsid w:val="25254322"/>
    <w:rsid w:val="25261647"/>
    <w:rsid w:val="25275183"/>
    <w:rsid w:val="25357D1C"/>
    <w:rsid w:val="25381CE0"/>
    <w:rsid w:val="25396321"/>
    <w:rsid w:val="253B0B07"/>
    <w:rsid w:val="253D2630"/>
    <w:rsid w:val="25467197"/>
    <w:rsid w:val="254774AC"/>
    <w:rsid w:val="25560250"/>
    <w:rsid w:val="255761C5"/>
    <w:rsid w:val="2563762C"/>
    <w:rsid w:val="2569105A"/>
    <w:rsid w:val="257007B0"/>
    <w:rsid w:val="257D2ECD"/>
    <w:rsid w:val="25821466"/>
    <w:rsid w:val="25842805"/>
    <w:rsid w:val="25873D4C"/>
    <w:rsid w:val="259322B4"/>
    <w:rsid w:val="25965391"/>
    <w:rsid w:val="25A53853"/>
    <w:rsid w:val="25A6572B"/>
    <w:rsid w:val="25AE3087"/>
    <w:rsid w:val="25AF5988"/>
    <w:rsid w:val="25BC6855"/>
    <w:rsid w:val="25C52C92"/>
    <w:rsid w:val="25D42B08"/>
    <w:rsid w:val="25DA526E"/>
    <w:rsid w:val="25EC2454"/>
    <w:rsid w:val="25EE5B79"/>
    <w:rsid w:val="26197F8E"/>
    <w:rsid w:val="261E6BA2"/>
    <w:rsid w:val="262F7F34"/>
    <w:rsid w:val="263712CE"/>
    <w:rsid w:val="26385E8A"/>
    <w:rsid w:val="263E265D"/>
    <w:rsid w:val="26607A60"/>
    <w:rsid w:val="266D4CF0"/>
    <w:rsid w:val="26773DC1"/>
    <w:rsid w:val="26842EC1"/>
    <w:rsid w:val="268550BF"/>
    <w:rsid w:val="268931AA"/>
    <w:rsid w:val="269F41B3"/>
    <w:rsid w:val="26A175D1"/>
    <w:rsid w:val="26B90BBD"/>
    <w:rsid w:val="26BD1172"/>
    <w:rsid w:val="26C443E1"/>
    <w:rsid w:val="26CD1C32"/>
    <w:rsid w:val="26D0702D"/>
    <w:rsid w:val="26DB30B5"/>
    <w:rsid w:val="26DD00C8"/>
    <w:rsid w:val="26DF742E"/>
    <w:rsid w:val="26F074B1"/>
    <w:rsid w:val="270A253F"/>
    <w:rsid w:val="270C4FC5"/>
    <w:rsid w:val="27127645"/>
    <w:rsid w:val="272301A4"/>
    <w:rsid w:val="27244E5A"/>
    <w:rsid w:val="273121F9"/>
    <w:rsid w:val="27354EC1"/>
    <w:rsid w:val="273B34AE"/>
    <w:rsid w:val="274C02A0"/>
    <w:rsid w:val="274E0EEF"/>
    <w:rsid w:val="2755492F"/>
    <w:rsid w:val="27555BC1"/>
    <w:rsid w:val="27565140"/>
    <w:rsid w:val="276F5D75"/>
    <w:rsid w:val="276F6846"/>
    <w:rsid w:val="278D3D61"/>
    <w:rsid w:val="2791112C"/>
    <w:rsid w:val="279679E3"/>
    <w:rsid w:val="27BA131D"/>
    <w:rsid w:val="27BD1CA7"/>
    <w:rsid w:val="27BD3EC2"/>
    <w:rsid w:val="27C313CD"/>
    <w:rsid w:val="27C61578"/>
    <w:rsid w:val="27CB7F20"/>
    <w:rsid w:val="27DB6949"/>
    <w:rsid w:val="27DD762A"/>
    <w:rsid w:val="27ED7B74"/>
    <w:rsid w:val="27F92A22"/>
    <w:rsid w:val="27FB46DA"/>
    <w:rsid w:val="28275AF0"/>
    <w:rsid w:val="283D6944"/>
    <w:rsid w:val="28427C92"/>
    <w:rsid w:val="28475108"/>
    <w:rsid w:val="284F17D4"/>
    <w:rsid w:val="28575047"/>
    <w:rsid w:val="28745BEF"/>
    <w:rsid w:val="2880617F"/>
    <w:rsid w:val="28817483"/>
    <w:rsid w:val="288307FB"/>
    <w:rsid w:val="288376B0"/>
    <w:rsid w:val="288E20B9"/>
    <w:rsid w:val="28B27CA3"/>
    <w:rsid w:val="28B62261"/>
    <w:rsid w:val="28C76B60"/>
    <w:rsid w:val="28DD7E7C"/>
    <w:rsid w:val="28E61013"/>
    <w:rsid w:val="28F12CF2"/>
    <w:rsid w:val="28F827CB"/>
    <w:rsid w:val="28F90ABD"/>
    <w:rsid w:val="28FB2A87"/>
    <w:rsid w:val="29143B49"/>
    <w:rsid w:val="29290B96"/>
    <w:rsid w:val="292B0388"/>
    <w:rsid w:val="292E2EDE"/>
    <w:rsid w:val="293F5790"/>
    <w:rsid w:val="29512576"/>
    <w:rsid w:val="29514455"/>
    <w:rsid w:val="29591B52"/>
    <w:rsid w:val="29593727"/>
    <w:rsid w:val="296070AC"/>
    <w:rsid w:val="29696464"/>
    <w:rsid w:val="297445E7"/>
    <w:rsid w:val="297F67EF"/>
    <w:rsid w:val="298C36DF"/>
    <w:rsid w:val="299010C2"/>
    <w:rsid w:val="299041AF"/>
    <w:rsid w:val="29997556"/>
    <w:rsid w:val="29AD4EDD"/>
    <w:rsid w:val="29CC761E"/>
    <w:rsid w:val="29DE0E87"/>
    <w:rsid w:val="29E05449"/>
    <w:rsid w:val="29E24ED4"/>
    <w:rsid w:val="29EE3795"/>
    <w:rsid w:val="29F13DA9"/>
    <w:rsid w:val="2A056A4F"/>
    <w:rsid w:val="2A120B13"/>
    <w:rsid w:val="2A390B59"/>
    <w:rsid w:val="2A3E73D9"/>
    <w:rsid w:val="2A502A30"/>
    <w:rsid w:val="2A502FEB"/>
    <w:rsid w:val="2A596352"/>
    <w:rsid w:val="2A71692E"/>
    <w:rsid w:val="2A83594F"/>
    <w:rsid w:val="2A8A2271"/>
    <w:rsid w:val="2A8B37C2"/>
    <w:rsid w:val="2AB71864"/>
    <w:rsid w:val="2ABA427C"/>
    <w:rsid w:val="2AC633CF"/>
    <w:rsid w:val="2AD551AF"/>
    <w:rsid w:val="2AD9612A"/>
    <w:rsid w:val="2AE24705"/>
    <w:rsid w:val="2AF23A16"/>
    <w:rsid w:val="2AF75AE0"/>
    <w:rsid w:val="2AF91248"/>
    <w:rsid w:val="2B0100FD"/>
    <w:rsid w:val="2B081734"/>
    <w:rsid w:val="2B09317D"/>
    <w:rsid w:val="2B0A2EA5"/>
    <w:rsid w:val="2B116592"/>
    <w:rsid w:val="2B181536"/>
    <w:rsid w:val="2B2838DB"/>
    <w:rsid w:val="2B2C6BA2"/>
    <w:rsid w:val="2B341EF0"/>
    <w:rsid w:val="2B3B716B"/>
    <w:rsid w:val="2B3D4992"/>
    <w:rsid w:val="2B3D7387"/>
    <w:rsid w:val="2B544339"/>
    <w:rsid w:val="2B5B15BB"/>
    <w:rsid w:val="2B634FBD"/>
    <w:rsid w:val="2B69638A"/>
    <w:rsid w:val="2B764647"/>
    <w:rsid w:val="2B830CED"/>
    <w:rsid w:val="2B842931"/>
    <w:rsid w:val="2B842DE8"/>
    <w:rsid w:val="2B8815F9"/>
    <w:rsid w:val="2B8F1669"/>
    <w:rsid w:val="2B960AC3"/>
    <w:rsid w:val="2B9C3BC7"/>
    <w:rsid w:val="2BA75E7D"/>
    <w:rsid w:val="2BAE2033"/>
    <w:rsid w:val="2BAF5299"/>
    <w:rsid w:val="2BBD4024"/>
    <w:rsid w:val="2BCA6741"/>
    <w:rsid w:val="2BDD1F05"/>
    <w:rsid w:val="2BDF043E"/>
    <w:rsid w:val="2BEE68D3"/>
    <w:rsid w:val="2C01033F"/>
    <w:rsid w:val="2C091017"/>
    <w:rsid w:val="2C093EC7"/>
    <w:rsid w:val="2C16138C"/>
    <w:rsid w:val="2C181352"/>
    <w:rsid w:val="2C1D1E6D"/>
    <w:rsid w:val="2C2045B2"/>
    <w:rsid w:val="2C210A56"/>
    <w:rsid w:val="2C22657D"/>
    <w:rsid w:val="2C275941"/>
    <w:rsid w:val="2C2E0D4E"/>
    <w:rsid w:val="2C2E1BA9"/>
    <w:rsid w:val="2C31056E"/>
    <w:rsid w:val="2C493B09"/>
    <w:rsid w:val="2C5A7AC4"/>
    <w:rsid w:val="2C66290D"/>
    <w:rsid w:val="2C6B720B"/>
    <w:rsid w:val="2C703257"/>
    <w:rsid w:val="2C710EE2"/>
    <w:rsid w:val="2C797E8C"/>
    <w:rsid w:val="2C895EB5"/>
    <w:rsid w:val="2C981092"/>
    <w:rsid w:val="2C9D3A89"/>
    <w:rsid w:val="2CB2345D"/>
    <w:rsid w:val="2CB92402"/>
    <w:rsid w:val="2CC3566A"/>
    <w:rsid w:val="2CE77059"/>
    <w:rsid w:val="2CEC5E40"/>
    <w:rsid w:val="2D0B6A5D"/>
    <w:rsid w:val="2D11433C"/>
    <w:rsid w:val="2D123224"/>
    <w:rsid w:val="2D2154E0"/>
    <w:rsid w:val="2D2D1B91"/>
    <w:rsid w:val="2D3043FB"/>
    <w:rsid w:val="2D455999"/>
    <w:rsid w:val="2D4C0AA8"/>
    <w:rsid w:val="2D560DCD"/>
    <w:rsid w:val="2D8A7EAC"/>
    <w:rsid w:val="2DA326E8"/>
    <w:rsid w:val="2DBB27E5"/>
    <w:rsid w:val="2DC1265E"/>
    <w:rsid w:val="2DCC46A5"/>
    <w:rsid w:val="2DD60AAE"/>
    <w:rsid w:val="2DEA3ADD"/>
    <w:rsid w:val="2DEC6E42"/>
    <w:rsid w:val="2E060D0E"/>
    <w:rsid w:val="2E0C4DEE"/>
    <w:rsid w:val="2E144526"/>
    <w:rsid w:val="2E1562CD"/>
    <w:rsid w:val="2E2111E7"/>
    <w:rsid w:val="2E230AA6"/>
    <w:rsid w:val="2E262354"/>
    <w:rsid w:val="2E2843FB"/>
    <w:rsid w:val="2E294772"/>
    <w:rsid w:val="2E2E799A"/>
    <w:rsid w:val="2E3063D5"/>
    <w:rsid w:val="2E336C50"/>
    <w:rsid w:val="2E400F3C"/>
    <w:rsid w:val="2E4B2482"/>
    <w:rsid w:val="2E57625B"/>
    <w:rsid w:val="2E5B0E2E"/>
    <w:rsid w:val="2E6279C6"/>
    <w:rsid w:val="2E635A59"/>
    <w:rsid w:val="2E76670C"/>
    <w:rsid w:val="2EAA5F11"/>
    <w:rsid w:val="2EB72AA3"/>
    <w:rsid w:val="2EC600FF"/>
    <w:rsid w:val="2EC639EA"/>
    <w:rsid w:val="2EC733AD"/>
    <w:rsid w:val="2ECB4CA9"/>
    <w:rsid w:val="2ED27DE6"/>
    <w:rsid w:val="2EDE19F1"/>
    <w:rsid w:val="2EE45D6B"/>
    <w:rsid w:val="2EEE2BA1"/>
    <w:rsid w:val="2EF16F7E"/>
    <w:rsid w:val="2EFE507F"/>
    <w:rsid w:val="2EFF2BA5"/>
    <w:rsid w:val="2F0C4C23"/>
    <w:rsid w:val="2F1A79DF"/>
    <w:rsid w:val="2F1C5505"/>
    <w:rsid w:val="2F394689"/>
    <w:rsid w:val="2F3B0811"/>
    <w:rsid w:val="2F594288"/>
    <w:rsid w:val="2F6110DD"/>
    <w:rsid w:val="2F62059B"/>
    <w:rsid w:val="2F66436B"/>
    <w:rsid w:val="2F6856D6"/>
    <w:rsid w:val="2F75131F"/>
    <w:rsid w:val="2F806FFC"/>
    <w:rsid w:val="2F843AFF"/>
    <w:rsid w:val="2F8512FC"/>
    <w:rsid w:val="2F856F8B"/>
    <w:rsid w:val="2F987F32"/>
    <w:rsid w:val="2FA86D99"/>
    <w:rsid w:val="2FAD5F0B"/>
    <w:rsid w:val="2FB120F1"/>
    <w:rsid w:val="2FBA5EDC"/>
    <w:rsid w:val="2FBE78D3"/>
    <w:rsid w:val="2FC736C3"/>
    <w:rsid w:val="2FCD3757"/>
    <w:rsid w:val="2FCF25FE"/>
    <w:rsid w:val="2FDB0F1C"/>
    <w:rsid w:val="2FDE27BA"/>
    <w:rsid w:val="2FE74BAE"/>
    <w:rsid w:val="2FF013B9"/>
    <w:rsid w:val="2FF540FA"/>
    <w:rsid w:val="2FF54C06"/>
    <w:rsid w:val="2FFE2E5D"/>
    <w:rsid w:val="30003A4C"/>
    <w:rsid w:val="30030473"/>
    <w:rsid w:val="30040A11"/>
    <w:rsid w:val="30146793"/>
    <w:rsid w:val="30147BBD"/>
    <w:rsid w:val="301B7CA8"/>
    <w:rsid w:val="30466CDD"/>
    <w:rsid w:val="305731A1"/>
    <w:rsid w:val="306F0A59"/>
    <w:rsid w:val="3082680F"/>
    <w:rsid w:val="309243C0"/>
    <w:rsid w:val="309E140D"/>
    <w:rsid w:val="30A457B2"/>
    <w:rsid w:val="30AD45FE"/>
    <w:rsid w:val="30B52A83"/>
    <w:rsid w:val="30B755D1"/>
    <w:rsid w:val="30C9346B"/>
    <w:rsid w:val="30C95EA8"/>
    <w:rsid w:val="30E402A4"/>
    <w:rsid w:val="30E7256B"/>
    <w:rsid w:val="31012C04"/>
    <w:rsid w:val="310668FC"/>
    <w:rsid w:val="310E70CF"/>
    <w:rsid w:val="31113F0F"/>
    <w:rsid w:val="31327262"/>
    <w:rsid w:val="31375948"/>
    <w:rsid w:val="313F4FFA"/>
    <w:rsid w:val="31402948"/>
    <w:rsid w:val="314760EE"/>
    <w:rsid w:val="315076E8"/>
    <w:rsid w:val="315A745C"/>
    <w:rsid w:val="315B61CA"/>
    <w:rsid w:val="31634B42"/>
    <w:rsid w:val="317319DE"/>
    <w:rsid w:val="319A665C"/>
    <w:rsid w:val="31A72A29"/>
    <w:rsid w:val="31AD2471"/>
    <w:rsid w:val="31AD7BE9"/>
    <w:rsid w:val="31B50B0C"/>
    <w:rsid w:val="31C07AE8"/>
    <w:rsid w:val="31C75008"/>
    <w:rsid w:val="31D50D66"/>
    <w:rsid w:val="31DA4405"/>
    <w:rsid w:val="31DB16A7"/>
    <w:rsid w:val="31F2450F"/>
    <w:rsid w:val="32087FC3"/>
    <w:rsid w:val="32143204"/>
    <w:rsid w:val="32186458"/>
    <w:rsid w:val="321E77E6"/>
    <w:rsid w:val="321F3CD8"/>
    <w:rsid w:val="32236288"/>
    <w:rsid w:val="322D1335"/>
    <w:rsid w:val="32544FB6"/>
    <w:rsid w:val="3260443B"/>
    <w:rsid w:val="32672F3B"/>
    <w:rsid w:val="32676A97"/>
    <w:rsid w:val="32751B8C"/>
    <w:rsid w:val="327A1535"/>
    <w:rsid w:val="327F76D8"/>
    <w:rsid w:val="32851613"/>
    <w:rsid w:val="3288246C"/>
    <w:rsid w:val="32926B0B"/>
    <w:rsid w:val="329454D3"/>
    <w:rsid w:val="32A63A63"/>
    <w:rsid w:val="32A95302"/>
    <w:rsid w:val="32AF0265"/>
    <w:rsid w:val="32BE5501"/>
    <w:rsid w:val="32D47F84"/>
    <w:rsid w:val="32D87995"/>
    <w:rsid w:val="32D92259"/>
    <w:rsid w:val="32D92CDB"/>
    <w:rsid w:val="32DA6D7E"/>
    <w:rsid w:val="32DB1C5F"/>
    <w:rsid w:val="32EA681C"/>
    <w:rsid w:val="32EC5C70"/>
    <w:rsid w:val="32EE1841"/>
    <w:rsid w:val="32F675A7"/>
    <w:rsid w:val="32FF4F22"/>
    <w:rsid w:val="33014A95"/>
    <w:rsid w:val="33022C64"/>
    <w:rsid w:val="3308789D"/>
    <w:rsid w:val="33095DA0"/>
    <w:rsid w:val="331462D9"/>
    <w:rsid w:val="331A61FF"/>
    <w:rsid w:val="331D2CEA"/>
    <w:rsid w:val="332B3F69"/>
    <w:rsid w:val="332C69B5"/>
    <w:rsid w:val="3341340F"/>
    <w:rsid w:val="33460345"/>
    <w:rsid w:val="33514C1C"/>
    <w:rsid w:val="33580FD6"/>
    <w:rsid w:val="335C57D6"/>
    <w:rsid w:val="33812D41"/>
    <w:rsid w:val="33835B53"/>
    <w:rsid w:val="33941B0E"/>
    <w:rsid w:val="33B51A84"/>
    <w:rsid w:val="33B55D30"/>
    <w:rsid w:val="33C42EFC"/>
    <w:rsid w:val="33C61EE3"/>
    <w:rsid w:val="33CC5059"/>
    <w:rsid w:val="33D068BE"/>
    <w:rsid w:val="33D72BA4"/>
    <w:rsid w:val="33E04D53"/>
    <w:rsid w:val="33E915F3"/>
    <w:rsid w:val="33F14E3F"/>
    <w:rsid w:val="33F43719"/>
    <w:rsid w:val="33FE6037"/>
    <w:rsid w:val="34002C60"/>
    <w:rsid w:val="34224B16"/>
    <w:rsid w:val="34226AFD"/>
    <w:rsid w:val="343017E0"/>
    <w:rsid w:val="344057F2"/>
    <w:rsid w:val="344175CA"/>
    <w:rsid w:val="34470F4D"/>
    <w:rsid w:val="344D7F0F"/>
    <w:rsid w:val="3458039D"/>
    <w:rsid w:val="34593FB8"/>
    <w:rsid w:val="345A3198"/>
    <w:rsid w:val="34757B91"/>
    <w:rsid w:val="34790259"/>
    <w:rsid w:val="347D07F4"/>
    <w:rsid w:val="347E1FD2"/>
    <w:rsid w:val="34833825"/>
    <w:rsid w:val="348558FB"/>
    <w:rsid w:val="3490711A"/>
    <w:rsid w:val="34A246FE"/>
    <w:rsid w:val="34AE2A73"/>
    <w:rsid w:val="34BD32E6"/>
    <w:rsid w:val="34C40D15"/>
    <w:rsid w:val="34C617CF"/>
    <w:rsid w:val="34CD748C"/>
    <w:rsid w:val="34DB5183"/>
    <w:rsid w:val="34DC3ECC"/>
    <w:rsid w:val="34DD7416"/>
    <w:rsid w:val="34E24AFB"/>
    <w:rsid w:val="34E54528"/>
    <w:rsid w:val="34EB675E"/>
    <w:rsid w:val="350902DA"/>
    <w:rsid w:val="35132F06"/>
    <w:rsid w:val="35144DC0"/>
    <w:rsid w:val="3518051D"/>
    <w:rsid w:val="352132DA"/>
    <w:rsid w:val="35284C04"/>
    <w:rsid w:val="35310C1F"/>
    <w:rsid w:val="35397B62"/>
    <w:rsid w:val="35414F6E"/>
    <w:rsid w:val="354D5B85"/>
    <w:rsid w:val="35707279"/>
    <w:rsid w:val="3578720D"/>
    <w:rsid w:val="357D4824"/>
    <w:rsid w:val="358160C2"/>
    <w:rsid w:val="35902DB7"/>
    <w:rsid w:val="35A27F45"/>
    <w:rsid w:val="35AD1CD3"/>
    <w:rsid w:val="35AF0108"/>
    <w:rsid w:val="35B12CA3"/>
    <w:rsid w:val="35C169CA"/>
    <w:rsid w:val="35CA69B5"/>
    <w:rsid w:val="35D346B8"/>
    <w:rsid w:val="35F13CF7"/>
    <w:rsid w:val="36120683"/>
    <w:rsid w:val="361909F0"/>
    <w:rsid w:val="36294A38"/>
    <w:rsid w:val="362A49AB"/>
    <w:rsid w:val="362B3081"/>
    <w:rsid w:val="36326BC5"/>
    <w:rsid w:val="36402219"/>
    <w:rsid w:val="36407D2B"/>
    <w:rsid w:val="3649562D"/>
    <w:rsid w:val="36631BE4"/>
    <w:rsid w:val="36747A1D"/>
    <w:rsid w:val="36792EB9"/>
    <w:rsid w:val="367D0F7F"/>
    <w:rsid w:val="368A5F83"/>
    <w:rsid w:val="368D6C58"/>
    <w:rsid w:val="368E703A"/>
    <w:rsid w:val="36C4095C"/>
    <w:rsid w:val="36D64360"/>
    <w:rsid w:val="36E515F1"/>
    <w:rsid w:val="36E82F71"/>
    <w:rsid w:val="36E903C3"/>
    <w:rsid w:val="36FB1EA4"/>
    <w:rsid w:val="370944C7"/>
    <w:rsid w:val="370C7B03"/>
    <w:rsid w:val="37214898"/>
    <w:rsid w:val="37255FFD"/>
    <w:rsid w:val="37323B03"/>
    <w:rsid w:val="374019EB"/>
    <w:rsid w:val="3747333B"/>
    <w:rsid w:val="37494B6F"/>
    <w:rsid w:val="374A4436"/>
    <w:rsid w:val="374A6F7B"/>
    <w:rsid w:val="374C6AA7"/>
    <w:rsid w:val="374E2388"/>
    <w:rsid w:val="375430B6"/>
    <w:rsid w:val="377048B9"/>
    <w:rsid w:val="3776710C"/>
    <w:rsid w:val="37770C22"/>
    <w:rsid w:val="379540A7"/>
    <w:rsid w:val="379C34DB"/>
    <w:rsid w:val="37A662B4"/>
    <w:rsid w:val="37AC319E"/>
    <w:rsid w:val="37C96CE5"/>
    <w:rsid w:val="37CA566B"/>
    <w:rsid w:val="37D2672A"/>
    <w:rsid w:val="37D3697D"/>
    <w:rsid w:val="37E172EC"/>
    <w:rsid w:val="37E623B5"/>
    <w:rsid w:val="37E82428"/>
    <w:rsid w:val="37E87724"/>
    <w:rsid w:val="37F222D9"/>
    <w:rsid w:val="37FA50C2"/>
    <w:rsid w:val="38003798"/>
    <w:rsid w:val="380803DD"/>
    <w:rsid w:val="38080D1C"/>
    <w:rsid w:val="380D40C9"/>
    <w:rsid w:val="380E46BF"/>
    <w:rsid w:val="38170F5F"/>
    <w:rsid w:val="38194CD8"/>
    <w:rsid w:val="38234CA6"/>
    <w:rsid w:val="38241F15"/>
    <w:rsid w:val="38292433"/>
    <w:rsid w:val="38313807"/>
    <w:rsid w:val="383832E4"/>
    <w:rsid w:val="38412DA1"/>
    <w:rsid w:val="384A512D"/>
    <w:rsid w:val="3853724F"/>
    <w:rsid w:val="385F708A"/>
    <w:rsid w:val="386341A5"/>
    <w:rsid w:val="387A2D4D"/>
    <w:rsid w:val="389A08FE"/>
    <w:rsid w:val="38A241A6"/>
    <w:rsid w:val="38A464F9"/>
    <w:rsid w:val="38A528A2"/>
    <w:rsid w:val="38A677FE"/>
    <w:rsid w:val="38B14F10"/>
    <w:rsid w:val="38BF2926"/>
    <w:rsid w:val="38D4441C"/>
    <w:rsid w:val="38E52E0C"/>
    <w:rsid w:val="38FA30DF"/>
    <w:rsid w:val="39046EC4"/>
    <w:rsid w:val="390908A8"/>
    <w:rsid w:val="391060DB"/>
    <w:rsid w:val="391B25BA"/>
    <w:rsid w:val="393950DD"/>
    <w:rsid w:val="393B2A2C"/>
    <w:rsid w:val="39462F2A"/>
    <w:rsid w:val="394F0285"/>
    <w:rsid w:val="3954386D"/>
    <w:rsid w:val="39564958"/>
    <w:rsid w:val="395A201B"/>
    <w:rsid w:val="395D6E46"/>
    <w:rsid w:val="39623641"/>
    <w:rsid w:val="396C150B"/>
    <w:rsid w:val="39730417"/>
    <w:rsid w:val="399034BF"/>
    <w:rsid w:val="399D7242"/>
    <w:rsid w:val="39A15CD6"/>
    <w:rsid w:val="39A60AF6"/>
    <w:rsid w:val="39AF6EAD"/>
    <w:rsid w:val="39B17496"/>
    <w:rsid w:val="39B506F2"/>
    <w:rsid w:val="39C03197"/>
    <w:rsid w:val="39C66799"/>
    <w:rsid w:val="39E03482"/>
    <w:rsid w:val="39F107F1"/>
    <w:rsid w:val="3A021CB9"/>
    <w:rsid w:val="3A074E84"/>
    <w:rsid w:val="3A082F84"/>
    <w:rsid w:val="3A234D7B"/>
    <w:rsid w:val="3A3A1AE8"/>
    <w:rsid w:val="3A3B7187"/>
    <w:rsid w:val="3A4A73CA"/>
    <w:rsid w:val="3A667F7C"/>
    <w:rsid w:val="3A6F38E4"/>
    <w:rsid w:val="3A726921"/>
    <w:rsid w:val="3A7D53E1"/>
    <w:rsid w:val="3A87079F"/>
    <w:rsid w:val="3A8E29D3"/>
    <w:rsid w:val="3A903883"/>
    <w:rsid w:val="3A9E3272"/>
    <w:rsid w:val="3AA50161"/>
    <w:rsid w:val="3AC0143A"/>
    <w:rsid w:val="3AD249E7"/>
    <w:rsid w:val="3ADF3C25"/>
    <w:rsid w:val="3AE11DE1"/>
    <w:rsid w:val="3AE16E49"/>
    <w:rsid w:val="3AFA0DF0"/>
    <w:rsid w:val="3B0F5F1E"/>
    <w:rsid w:val="3B1039F4"/>
    <w:rsid w:val="3B217306"/>
    <w:rsid w:val="3B293484"/>
    <w:rsid w:val="3B2F1426"/>
    <w:rsid w:val="3B381D4F"/>
    <w:rsid w:val="3B433CCB"/>
    <w:rsid w:val="3B4A3779"/>
    <w:rsid w:val="3B5953EB"/>
    <w:rsid w:val="3B69348E"/>
    <w:rsid w:val="3B6E698C"/>
    <w:rsid w:val="3B7874E6"/>
    <w:rsid w:val="3B7B4311"/>
    <w:rsid w:val="3B8E0546"/>
    <w:rsid w:val="3B92543E"/>
    <w:rsid w:val="3B997AE8"/>
    <w:rsid w:val="3B9A4359"/>
    <w:rsid w:val="3B9D79CE"/>
    <w:rsid w:val="3BA96B71"/>
    <w:rsid w:val="3BAB20EB"/>
    <w:rsid w:val="3BAC1821"/>
    <w:rsid w:val="3BAC5E63"/>
    <w:rsid w:val="3BAC628D"/>
    <w:rsid w:val="3BB01BDB"/>
    <w:rsid w:val="3BC60A9D"/>
    <w:rsid w:val="3BD11DBB"/>
    <w:rsid w:val="3BD81646"/>
    <w:rsid w:val="3BE164EA"/>
    <w:rsid w:val="3BE81FCD"/>
    <w:rsid w:val="3BEA0701"/>
    <w:rsid w:val="3BEE28FF"/>
    <w:rsid w:val="3BF61B6B"/>
    <w:rsid w:val="3BFC64A2"/>
    <w:rsid w:val="3C0B0DDB"/>
    <w:rsid w:val="3C4877ED"/>
    <w:rsid w:val="3C4B1FA8"/>
    <w:rsid w:val="3C547B47"/>
    <w:rsid w:val="3C5A58BF"/>
    <w:rsid w:val="3C5B37E7"/>
    <w:rsid w:val="3C6127A9"/>
    <w:rsid w:val="3C636171"/>
    <w:rsid w:val="3C664263"/>
    <w:rsid w:val="3C706B34"/>
    <w:rsid w:val="3C8674DF"/>
    <w:rsid w:val="3C911248"/>
    <w:rsid w:val="3C9A5CBB"/>
    <w:rsid w:val="3CA479E0"/>
    <w:rsid w:val="3CBD3289"/>
    <w:rsid w:val="3CC243E3"/>
    <w:rsid w:val="3CCC214C"/>
    <w:rsid w:val="3CD147A4"/>
    <w:rsid w:val="3CD5706C"/>
    <w:rsid w:val="3CD66855"/>
    <w:rsid w:val="3CDA6FAE"/>
    <w:rsid w:val="3CDF60CE"/>
    <w:rsid w:val="3CE6634A"/>
    <w:rsid w:val="3CF85FDC"/>
    <w:rsid w:val="3CF93E6F"/>
    <w:rsid w:val="3D0329CE"/>
    <w:rsid w:val="3D134DE8"/>
    <w:rsid w:val="3D285477"/>
    <w:rsid w:val="3D3A30E3"/>
    <w:rsid w:val="3D424389"/>
    <w:rsid w:val="3D482D9A"/>
    <w:rsid w:val="3D504798"/>
    <w:rsid w:val="3D5B0736"/>
    <w:rsid w:val="3D5C0760"/>
    <w:rsid w:val="3D5E3B4D"/>
    <w:rsid w:val="3D63018E"/>
    <w:rsid w:val="3D6407A3"/>
    <w:rsid w:val="3D7B2607"/>
    <w:rsid w:val="3D9C2824"/>
    <w:rsid w:val="3DAE5EC2"/>
    <w:rsid w:val="3DB95AEB"/>
    <w:rsid w:val="3DBC024A"/>
    <w:rsid w:val="3DCF659A"/>
    <w:rsid w:val="3DD96D0B"/>
    <w:rsid w:val="3DDF0D0F"/>
    <w:rsid w:val="3DEC0798"/>
    <w:rsid w:val="3DEC564C"/>
    <w:rsid w:val="3DEE5BAB"/>
    <w:rsid w:val="3DFD4AF1"/>
    <w:rsid w:val="3E104487"/>
    <w:rsid w:val="3E1D4AF4"/>
    <w:rsid w:val="3E1E6276"/>
    <w:rsid w:val="3E276F6E"/>
    <w:rsid w:val="3E317495"/>
    <w:rsid w:val="3E4B4094"/>
    <w:rsid w:val="3E4D4B98"/>
    <w:rsid w:val="3E636451"/>
    <w:rsid w:val="3E650719"/>
    <w:rsid w:val="3E661EED"/>
    <w:rsid w:val="3E69030B"/>
    <w:rsid w:val="3E6F5651"/>
    <w:rsid w:val="3E8D3D29"/>
    <w:rsid w:val="3E95498C"/>
    <w:rsid w:val="3EA1684F"/>
    <w:rsid w:val="3EBA2645"/>
    <w:rsid w:val="3ED63527"/>
    <w:rsid w:val="3ED67B55"/>
    <w:rsid w:val="3EE70C7C"/>
    <w:rsid w:val="3EEF6C51"/>
    <w:rsid w:val="3EF075F6"/>
    <w:rsid w:val="3EF74D33"/>
    <w:rsid w:val="3F0120EC"/>
    <w:rsid w:val="3F057D64"/>
    <w:rsid w:val="3F063FF5"/>
    <w:rsid w:val="3F075CC4"/>
    <w:rsid w:val="3F0D6C18"/>
    <w:rsid w:val="3F187CFD"/>
    <w:rsid w:val="3F21712E"/>
    <w:rsid w:val="3F2504D1"/>
    <w:rsid w:val="3F275F2C"/>
    <w:rsid w:val="3F285DF0"/>
    <w:rsid w:val="3F2C29E1"/>
    <w:rsid w:val="3F300C1F"/>
    <w:rsid w:val="3F384C10"/>
    <w:rsid w:val="3F410957"/>
    <w:rsid w:val="3F463D6D"/>
    <w:rsid w:val="3F586511"/>
    <w:rsid w:val="3F5A28C3"/>
    <w:rsid w:val="3F740A45"/>
    <w:rsid w:val="3F89538C"/>
    <w:rsid w:val="3F8E5733"/>
    <w:rsid w:val="3FA163F2"/>
    <w:rsid w:val="3FA4757D"/>
    <w:rsid w:val="3FA5067B"/>
    <w:rsid w:val="3FAA3C10"/>
    <w:rsid w:val="3FB43DF9"/>
    <w:rsid w:val="3FD3204B"/>
    <w:rsid w:val="3FDB4706"/>
    <w:rsid w:val="3FF51B86"/>
    <w:rsid w:val="3FFD6C8D"/>
    <w:rsid w:val="4010076E"/>
    <w:rsid w:val="40193A36"/>
    <w:rsid w:val="401B483B"/>
    <w:rsid w:val="40204729"/>
    <w:rsid w:val="402C3B0D"/>
    <w:rsid w:val="404011A2"/>
    <w:rsid w:val="40402FA6"/>
    <w:rsid w:val="40584539"/>
    <w:rsid w:val="405C20AF"/>
    <w:rsid w:val="405D1A2A"/>
    <w:rsid w:val="40612D9E"/>
    <w:rsid w:val="40635A95"/>
    <w:rsid w:val="40782251"/>
    <w:rsid w:val="408A2001"/>
    <w:rsid w:val="40A23968"/>
    <w:rsid w:val="40B445FE"/>
    <w:rsid w:val="40BA4B7E"/>
    <w:rsid w:val="40C55EA8"/>
    <w:rsid w:val="40C61775"/>
    <w:rsid w:val="40CF687B"/>
    <w:rsid w:val="40DB409D"/>
    <w:rsid w:val="40E35B04"/>
    <w:rsid w:val="40E972DF"/>
    <w:rsid w:val="40ED136E"/>
    <w:rsid w:val="40F24F08"/>
    <w:rsid w:val="41076FBE"/>
    <w:rsid w:val="41126768"/>
    <w:rsid w:val="411E6EBB"/>
    <w:rsid w:val="412160C9"/>
    <w:rsid w:val="41250249"/>
    <w:rsid w:val="412D5718"/>
    <w:rsid w:val="41356808"/>
    <w:rsid w:val="41480E16"/>
    <w:rsid w:val="414B08D8"/>
    <w:rsid w:val="414C2E08"/>
    <w:rsid w:val="414F3F68"/>
    <w:rsid w:val="41582082"/>
    <w:rsid w:val="41821212"/>
    <w:rsid w:val="41872CB2"/>
    <w:rsid w:val="41874A60"/>
    <w:rsid w:val="41982020"/>
    <w:rsid w:val="41A940EA"/>
    <w:rsid w:val="41AE1418"/>
    <w:rsid w:val="41BA6D64"/>
    <w:rsid w:val="41BE544A"/>
    <w:rsid w:val="41C4132E"/>
    <w:rsid w:val="41D35EF7"/>
    <w:rsid w:val="41DA7286"/>
    <w:rsid w:val="41FD3677"/>
    <w:rsid w:val="41FD4053"/>
    <w:rsid w:val="42063A3A"/>
    <w:rsid w:val="4214405D"/>
    <w:rsid w:val="42171D70"/>
    <w:rsid w:val="42183589"/>
    <w:rsid w:val="422A6DE4"/>
    <w:rsid w:val="42341E97"/>
    <w:rsid w:val="42376E3B"/>
    <w:rsid w:val="425753C0"/>
    <w:rsid w:val="42613503"/>
    <w:rsid w:val="42755200"/>
    <w:rsid w:val="427721CF"/>
    <w:rsid w:val="428627B5"/>
    <w:rsid w:val="429A0F55"/>
    <w:rsid w:val="42A31D6D"/>
    <w:rsid w:val="42AA3A13"/>
    <w:rsid w:val="42AC6B19"/>
    <w:rsid w:val="42B20202"/>
    <w:rsid w:val="42B67CE3"/>
    <w:rsid w:val="42BB7663"/>
    <w:rsid w:val="42C24431"/>
    <w:rsid w:val="42C700D1"/>
    <w:rsid w:val="42CB0D1B"/>
    <w:rsid w:val="42CB7EE2"/>
    <w:rsid w:val="42CD30A6"/>
    <w:rsid w:val="42ED2FE9"/>
    <w:rsid w:val="42F779C3"/>
    <w:rsid w:val="42FC7797"/>
    <w:rsid w:val="430D110E"/>
    <w:rsid w:val="430D368B"/>
    <w:rsid w:val="431C167A"/>
    <w:rsid w:val="431E02ED"/>
    <w:rsid w:val="433E55F2"/>
    <w:rsid w:val="4355293C"/>
    <w:rsid w:val="43827BD5"/>
    <w:rsid w:val="438356FB"/>
    <w:rsid w:val="438374A9"/>
    <w:rsid w:val="438C7FE1"/>
    <w:rsid w:val="43970571"/>
    <w:rsid w:val="43994DD7"/>
    <w:rsid w:val="439B2D87"/>
    <w:rsid w:val="43A53412"/>
    <w:rsid w:val="43AC3ED1"/>
    <w:rsid w:val="43BC275F"/>
    <w:rsid w:val="43BD6A68"/>
    <w:rsid w:val="43BE41CB"/>
    <w:rsid w:val="43D70A3E"/>
    <w:rsid w:val="43F16B09"/>
    <w:rsid w:val="43F202D8"/>
    <w:rsid w:val="43F44339"/>
    <w:rsid w:val="43F45BD0"/>
    <w:rsid w:val="43FB478E"/>
    <w:rsid w:val="43FC6D22"/>
    <w:rsid w:val="440873F8"/>
    <w:rsid w:val="441049B7"/>
    <w:rsid w:val="4411001F"/>
    <w:rsid w:val="44112439"/>
    <w:rsid w:val="44142073"/>
    <w:rsid w:val="44204C51"/>
    <w:rsid w:val="44301B45"/>
    <w:rsid w:val="443C78D0"/>
    <w:rsid w:val="443F3F3E"/>
    <w:rsid w:val="44555450"/>
    <w:rsid w:val="445D7297"/>
    <w:rsid w:val="44633349"/>
    <w:rsid w:val="446403A9"/>
    <w:rsid w:val="446A1915"/>
    <w:rsid w:val="446B5E6B"/>
    <w:rsid w:val="44790B63"/>
    <w:rsid w:val="4491109A"/>
    <w:rsid w:val="449C1238"/>
    <w:rsid w:val="449F0024"/>
    <w:rsid w:val="449F5E85"/>
    <w:rsid w:val="44A1052F"/>
    <w:rsid w:val="44AD5B3A"/>
    <w:rsid w:val="44B10EA1"/>
    <w:rsid w:val="44B53FC2"/>
    <w:rsid w:val="44B546FA"/>
    <w:rsid w:val="44BF2CE3"/>
    <w:rsid w:val="44C13F54"/>
    <w:rsid w:val="44C401EC"/>
    <w:rsid w:val="44D80E18"/>
    <w:rsid w:val="44D83825"/>
    <w:rsid w:val="44E14D9A"/>
    <w:rsid w:val="44E16B7D"/>
    <w:rsid w:val="44EA7277"/>
    <w:rsid w:val="44EC452F"/>
    <w:rsid w:val="44FC597B"/>
    <w:rsid w:val="451707F1"/>
    <w:rsid w:val="451A1577"/>
    <w:rsid w:val="451A6CEE"/>
    <w:rsid w:val="451E70F3"/>
    <w:rsid w:val="452901CE"/>
    <w:rsid w:val="452D580C"/>
    <w:rsid w:val="453E08E3"/>
    <w:rsid w:val="45500BC7"/>
    <w:rsid w:val="456078ED"/>
    <w:rsid w:val="456F753C"/>
    <w:rsid w:val="4570761C"/>
    <w:rsid w:val="457C5F26"/>
    <w:rsid w:val="458A4B1F"/>
    <w:rsid w:val="45975CBC"/>
    <w:rsid w:val="45AA3413"/>
    <w:rsid w:val="45C30031"/>
    <w:rsid w:val="45C53E45"/>
    <w:rsid w:val="45D43FEC"/>
    <w:rsid w:val="45D60368"/>
    <w:rsid w:val="45E715CE"/>
    <w:rsid w:val="46001285"/>
    <w:rsid w:val="46050649"/>
    <w:rsid w:val="462211FB"/>
    <w:rsid w:val="462417D4"/>
    <w:rsid w:val="462E5DF2"/>
    <w:rsid w:val="46302433"/>
    <w:rsid w:val="463A4797"/>
    <w:rsid w:val="463C5F52"/>
    <w:rsid w:val="46431172"/>
    <w:rsid w:val="464521E7"/>
    <w:rsid w:val="46455732"/>
    <w:rsid w:val="46495120"/>
    <w:rsid w:val="464D26CA"/>
    <w:rsid w:val="465D66F5"/>
    <w:rsid w:val="466B19C4"/>
    <w:rsid w:val="467D4684"/>
    <w:rsid w:val="468269BA"/>
    <w:rsid w:val="46AB281B"/>
    <w:rsid w:val="46B67B95"/>
    <w:rsid w:val="46C329DE"/>
    <w:rsid w:val="46C97C75"/>
    <w:rsid w:val="46D00C57"/>
    <w:rsid w:val="46D6477E"/>
    <w:rsid w:val="46D851CA"/>
    <w:rsid w:val="46E14C12"/>
    <w:rsid w:val="46E3355B"/>
    <w:rsid w:val="46E94D27"/>
    <w:rsid w:val="46EF27ED"/>
    <w:rsid w:val="46EF355C"/>
    <w:rsid w:val="46F663C7"/>
    <w:rsid w:val="471274C2"/>
    <w:rsid w:val="47183F33"/>
    <w:rsid w:val="471C076D"/>
    <w:rsid w:val="47226D7F"/>
    <w:rsid w:val="47233BB3"/>
    <w:rsid w:val="472657A6"/>
    <w:rsid w:val="47304C90"/>
    <w:rsid w:val="473110DC"/>
    <w:rsid w:val="473F25F0"/>
    <w:rsid w:val="473F3908"/>
    <w:rsid w:val="47406A95"/>
    <w:rsid w:val="474C71FC"/>
    <w:rsid w:val="474D5189"/>
    <w:rsid w:val="474D6260"/>
    <w:rsid w:val="4754581B"/>
    <w:rsid w:val="475A449F"/>
    <w:rsid w:val="475D1DCE"/>
    <w:rsid w:val="47625A6E"/>
    <w:rsid w:val="47644DAE"/>
    <w:rsid w:val="4779309D"/>
    <w:rsid w:val="477F442B"/>
    <w:rsid w:val="478A7058"/>
    <w:rsid w:val="478C6CF3"/>
    <w:rsid w:val="478F28C0"/>
    <w:rsid w:val="479202CF"/>
    <w:rsid w:val="47925F0D"/>
    <w:rsid w:val="47946129"/>
    <w:rsid w:val="47961EA1"/>
    <w:rsid w:val="47963FF7"/>
    <w:rsid w:val="47A3636C"/>
    <w:rsid w:val="47A7459E"/>
    <w:rsid w:val="47A80D71"/>
    <w:rsid w:val="47A85096"/>
    <w:rsid w:val="47AD0D2F"/>
    <w:rsid w:val="47AF44AD"/>
    <w:rsid w:val="47AF4D11"/>
    <w:rsid w:val="47B425AF"/>
    <w:rsid w:val="47B95B8F"/>
    <w:rsid w:val="47C54534"/>
    <w:rsid w:val="47C75C4C"/>
    <w:rsid w:val="47CD0DEC"/>
    <w:rsid w:val="47CD5197"/>
    <w:rsid w:val="47D112E0"/>
    <w:rsid w:val="47DD305F"/>
    <w:rsid w:val="47F00E85"/>
    <w:rsid w:val="47F1579B"/>
    <w:rsid w:val="48041AAC"/>
    <w:rsid w:val="480D3A23"/>
    <w:rsid w:val="483A0C1F"/>
    <w:rsid w:val="4846741F"/>
    <w:rsid w:val="484D0086"/>
    <w:rsid w:val="484E4529"/>
    <w:rsid w:val="485C55E7"/>
    <w:rsid w:val="485C7379"/>
    <w:rsid w:val="48603D4D"/>
    <w:rsid w:val="487D4E0F"/>
    <w:rsid w:val="488E0B1A"/>
    <w:rsid w:val="48954542"/>
    <w:rsid w:val="489C48EF"/>
    <w:rsid w:val="48AB2BB7"/>
    <w:rsid w:val="48AB372A"/>
    <w:rsid w:val="48B06F92"/>
    <w:rsid w:val="48B843DB"/>
    <w:rsid w:val="48CC544E"/>
    <w:rsid w:val="48D72771"/>
    <w:rsid w:val="48D90193"/>
    <w:rsid w:val="48DA7B6B"/>
    <w:rsid w:val="48E54B66"/>
    <w:rsid w:val="48F01FB9"/>
    <w:rsid w:val="49073172"/>
    <w:rsid w:val="49173469"/>
    <w:rsid w:val="49175151"/>
    <w:rsid w:val="492872E4"/>
    <w:rsid w:val="492A4964"/>
    <w:rsid w:val="493A64EB"/>
    <w:rsid w:val="49404145"/>
    <w:rsid w:val="4941303B"/>
    <w:rsid w:val="4941669C"/>
    <w:rsid w:val="4949284A"/>
    <w:rsid w:val="494B6C4D"/>
    <w:rsid w:val="4958156F"/>
    <w:rsid w:val="495D296B"/>
    <w:rsid w:val="496941FF"/>
    <w:rsid w:val="496C2214"/>
    <w:rsid w:val="496D5E51"/>
    <w:rsid w:val="496D6036"/>
    <w:rsid w:val="496D7ED3"/>
    <w:rsid w:val="49706721"/>
    <w:rsid w:val="49790663"/>
    <w:rsid w:val="49822BAA"/>
    <w:rsid w:val="49861160"/>
    <w:rsid w:val="49883A05"/>
    <w:rsid w:val="49933A5A"/>
    <w:rsid w:val="49A14359"/>
    <w:rsid w:val="49AF10F0"/>
    <w:rsid w:val="49B74940"/>
    <w:rsid w:val="49C03205"/>
    <w:rsid w:val="49C04C0E"/>
    <w:rsid w:val="49C11CF5"/>
    <w:rsid w:val="49C2084A"/>
    <w:rsid w:val="49C660D4"/>
    <w:rsid w:val="49D16BE6"/>
    <w:rsid w:val="49EF7646"/>
    <w:rsid w:val="49F044ED"/>
    <w:rsid w:val="49FD12F9"/>
    <w:rsid w:val="49FE5F91"/>
    <w:rsid w:val="4A026F25"/>
    <w:rsid w:val="4A0E4BFD"/>
    <w:rsid w:val="4A113742"/>
    <w:rsid w:val="4A1A5506"/>
    <w:rsid w:val="4A1C041F"/>
    <w:rsid w:val="4A2026B1"/>
    <w:rsid w:val="4A372155"/>
    <w:rsid w:val="4A3749D0"/>
    <w:rsid w:val="4A3D7280"/>
    <w:rsid w:val="4A553B36"/>
    <w:rsid w:val="4A5779BA"/>
    <w:rsid w:val="4A5A2744"/>
    <w:rsid w:val="4A626327"/>
    <w:rsid w:val="4A6726BA"/>
    <w:rsid w:val="4A783AE0"/>
    <w:rsid w:val="4A8A6B0D"/>
    <w:rsid w:val="4A8E3F79"/>
    <w:rsid w:val="4A8F7AF1"/>
    <w:rsid w:val="4AA448D5"/>
    <w:rsid w:val="4ACC7988"/>
    <w:rsid w:val="4ACF669A"/>
    <w:rsid w:val="4AD877C8"/>
    <w:rsid w:val="4ADA535A"/>
    <w:rsid w:val="4AE271AB"/>
    <w:rsid w:val="4AE65A17"/>
    <w:rsid w:val="4AEA67B3"/>
    <w:rsid w:val="4B2E0642"/>
    <w:rsid w:val="4B3734F6"/>
    <w:rsid w:val="4B3B7A64"/>
    <w:rsid w:val="4B4900AE"/>
    <w:rsid w:val="4B6021EA"/>
    <w:rsid w:val="4B6B0F4E"/>
    <w:rsid w:val="4B6F679E"/>
    <w:rsid w:val="4B83273C"/>
    <w:rsid w:val="4B840262"/>
    <w:rsid w:val="4BB5666E"/>
    <w:rsid w:val="4BB906DD"/>
    <w:rsid w:val="4BEB429E"/>
    <w:rsid w:val="4BEB6533"/>
    <w:rsid w:val="4BFB0C29"/>
    <w:rsid w:val="4BFF74B1"/>
    <w:rsid w:val="4C0263CE"/>
    <w:rsid w:val="4C0473C6"/>
    <w:rsid w:val="4C2537F3"/>
    <w:rsid w:val="4C2555A1"/>
    <w:rsid w:val="4C266086"/>
    <w:rsid w:val="4C3618DB"/>
    <w:rsid w:val="4C3673D0"/>
    <w:rsid w:val="4C380B1A"/>
    <w:rsid w:val="4C4F0AB3"/>
    <w:rsid w:val="4C531C47"/>
    <w:rsid w:val="4C586FC6"/>
    <w:rsid w:val="4C5D0796"/>
    <w:rsid w:val="4C6360FE"/>
    <w:rsid w:val="4C72455F"/>
    <w:rsid w:val="4C793B3F"/>
    <w:rsid w:val="4C8E75EA"/>
    <w:rsid w:val="4C8F3363"/>
    <w:rsid w:val="4C9C194B"/>
    <w:rsid w:val="4CC01CF8"/>
    <w:rsid w:val="4CC15AE1"/>
    <w:rsid w:val="4CC35BEB"/>
    <w:rsid w:val="4CC81A5D"/>
    <w:rsid w:val="4CCF60BD"/>
    <w:rsid w:val="4CD02929"/>
    <w:rsid w:val="4CD370C7"/>
    <w:rsid w:val="4CDE5035"/>
    <w:rsid w:val="4CE41265"/>
    <w:rsid w:val="4CEE4C2A"/>
    <w:rsid w:val="4D103667"/>
    <w:rsid w:val="4D144D0B"/>
    <w:rsid w:val="4D185106"/>
    <w:rsid w:val="4D1A59F9"/>
    <w:rsid w:val="4D363E53"/>
    <w:rsid w:val="4D3701CB"/>
    <w:rsid w:val="4D386DDA"/>
    <w:rsid w:val="4D4B7AFC"/>
    <w:rsid w:val="4D715F84"/>
    <w:rsid w:val="4D7851EB"/>
    <w:rsid w:val="4D8F6A66"/>
    <w:rsid w:val="4D9229C5"/>
    <w:rsid w:val="4D930C30"/>
    <w:rsid w:val="4D953FDE"/>
    <w:rsid w:val="4D9B543E"/>
    <w:rsid w:val="4D9C7AE5"/>
    <w:rsid w:val="4D9E1AAF"/>
    <w:rsid w:val="4DA501AA"/>
    <w:rsid w:val="4DAA3EA7"/>
    <w:rsid w:val="4DB36BDD"/>
    <w:rsid w:val="4DB4344C"/>
    <w:rsid w:val="4DB51455"/>
    <w:rsid w:val="4DC62FE4"/>
    <w:rsid w:val="4DC8250B"/>
    <w:rsid w:val="4DE03454"/>
    <w:rsid w:val="4DE3710F"/>
    <w:rsid w:val="4DED4BFE"/>
    <w:rsid w:val="4DEE61D1"/>
    <w:rsid w:val="4E0005F3"/>
    <w:rsid w:val="4E005F07"/>
    <w:rsid w:val="4E0B6496"/>
    <w:rsid w:val="4E0E6509"/>
    <w:rsid w:val="4E186966"/>
    <w:rsid w:val="4E2B1EB6"/>
    <w:rsid w:val="4E3F2CAA"/>
    <w:rsid w:val="4E4854B2"/>
    <w:rsid w:val="4E4C6050"/>
    <w:rsid w:val="4E5263F6"/>
    <w:rsid w:val="4E6951D8"/>
    <w:rsid w:val="4E74636C"/>
    <w:rsid w:val="4E78439B"/>
    <w:rsid w:val="4E7B1363"/>
    <w:rsid w:val="4E8A3DE2"/>
    <w:rsid w:val="4EB038C3"/>
    <w:rsid w:val="4ED65CB0"/>
    <w:rsid w:val="4EE84443"/>
    <w:rsid w:val="4F0352F3"/>
    <w:rsid w:val="4F135B85"/>
    <w:rsid w:val="4F1B712F"/>
    <w:rsid w:val="4F236F63"/>
    <w:rsid w:val="4F2D30F6"/>
    <w:rsid w:val="4F2D4EEE"/>
    <w:rsid w:val="4F3F2683"/>
    <w:rsid w:val="4F431A16"/>
    <w:rsid w:val="4F58517B"/>
    <w:rsid w:val="4F5E5D57"/>
    <w:rsid w:val="4F5F526E"/>
    <w:rsid w:val="4F664600"/>
    <w:rsid w:val="4F6C109F"/>
    <w:rsid w:val="4F7A20A8"/>
    <w:rsid w:val="4F846A83"/>
    <w:rsid w:val="4F8847C5"/>
    <w:rsid w:val="4F8D432D"/>
    <w:rsid w:val="4F90367A"/>
    <w:rsid w:val="4F98252E"/>
    <w:rsid w:val="4F993C1F"/>
    <w:rsid w:val="4F9A241D"/>
    <w:rsid w:val="4F9E6E48"/>
    <w:rsid w:val="4FA52839"/>
    <w:rsid w:val="4FA60096"/>
    <w:rsid w:val="4FA831D2"/>
    <w:rsid w:val="4FB6798D"/>
    <w:rsid w:val="4FBB0580"/>
    <w:rsid w:val="4FBC575D"/>
    <w:rsid w:val="4FC1120E"/>
    <w:rsid w:val="4FCF5F48"/>
    <w:rsid w:val="4FD77F76"/>
    <w:rsid w:val="4FDC68BF"/>
    <w:rsid w:val="4FE72524"/>
    <w:rsid w:val="50093135"/>
    <w:rsid w:val="50100316"/>
    <w:rsid w:val="50107F18"/>
    <w:rsid w:val="50165391"/>
    <w:rsid w:val="501A73E7"/>
    <w:rsid w:val="501D4EFB"/>
    <w:rsid w:val="50241A99"/>
    <w:rsid w:val="502D711A"/>
    <w:rsid w:val="503469BD"/>
    <w:rsid w:val="503844DC"/>
    <w:rsid w:val="5039282F"/>
    <w:rsid w:val="50496D46"/>
    <w:rsid w:val="504E0E81"/>
    <w:rsid w:val="5057648D"/>
    <w:rsid w:val="505B18D4"/>
    <w:rsid w:val="50621059"/>
    <w:rsid w:val="507028FD"/>
    <w:rsid w:val="50831F00"/>
    <w:rsid w:val="508661BD"/>
    <w:rsid w:val="508A55B1"/>
    <w:rsid w:val="508A5DF4"/>
    <w:rsid w:val="508B13F1"/>
    <w:rsid w:val="50940F47"/>
    <w:rsid w:val="50970A38"/>
    <w:rsid w:val="509C1BAA"/>
    <w:rsid w:val="50A8054F"/>
    <w:rsid w:val="50A820D4"/>
    <w:rsid w:val="50AD422D"/>
    <w:rsid w:val="50AD4A4F"/>
    <w:rsid w:val="50AF4CDE"/>
    <w:rsid w:val="50D37CC2"/>
    <w:rsid w:val="50D57015"/>
    <w:rsid w:val="50E84DEF"/>
    <w:rsid w:val="50F56EA0"/>
    <w:rsid w:val="5107796B"/>
    <w:rsid w:val="5108607B"/>
    <w:rsid w:val="51171918"/>
    <w:rsid w:val="511B41EA"/>
    <w:rsid w:val="511F6336"/>
    <w:rsid w:val="51241F2C"/>
    <w:rsid w:val="512C73D2"/>
    <w:rsid w:val="512C7ED2"/>
    <w:rsid w:val="51450494"/>
    <w:rsid w:val="5148134E"/>
    <w:rsid w:val="51510BE7"/>
    <w:rsid w:val="51594493"/>
    <w:rsid w:val="5164091A"/>
    <w:rsid w:val="51677F27"/>
    <w:rsid w:val="518F170F"/>
    <w:rsid w:val="51A056CA"/>
    <w:rsid w:val="51A451BA"/>
    <w:rsid w:val="51B51D64"/>
    <w:rsid w:val="51B80BAA"/>
    <w:rsid w:val="51BF28E4"/>
    <w:rsid w:val="51BF3DA2"/>
    <w:rsid w:val="51C1288B"/>
    <w:rsid w:val="51C20B31"/>
    <w:rsid w:val="51DC2283"/>
    <w:rsid w:val="51E34ACA"/>
    <w:rsid w:val="51E657D3"/>
    <w:rsid w:val="51EA1F0C"/>
    <w:rsid w:val="51FB798D"/>
    <w:rsid w:val="51FC4FF6"/>
    <w:rsid w:val="52081B54"/>
    <w:rsid w:val="520836B9"/>
    <w:rsid w:val="520B6FE7"/>
    <w:rsid w:val="522B58DB"/>
    <w:rsid w:val="52314BF0"/>
    <w:rsid w:val="52393E48"/>
    <w:rsid w:val="523957BE"/>
    <w:rsid w:val="52477F24"/>
    <w:rsid w:val="524B7D2C"/>
    <w:rsid w:val="52501DAB"/>
    <w:rsid w:val="5256651E"/>
    <w:rsid w:val="52691BE6"/>
    <w:rsid w:val="526B23B2"/>
    <w:rsid w:val="52730B44"/>
    <w:rsid w:val="52733A71"/>
    <w:rsid w:val="5277467D"/>
    <w:rsid w:val="52983DB8"/>
    <w:rsid w:val="529C0587"/>
    <w:rsid w:val="52A5743C"/>
    <w:rsid w:val="52AE4870"/>
    <w:rsid w:val="52B1623B"/>
    <w:rsid w:val="52B66E3F"/>
    <w:rsid w:val="52BD5936"/>
    <w:rsid w:val="52C378C2"/>
    <w:rsid w:val="52C7501B"/>
    <w:rsid w:val="52C8137C"/>
    <w:rsid w:val="52C86D86"/>
    <w:rsid w:val="52D27B05"/>
    <w:rsid w:val="52E53CDC"/>
    <w:rsid w:val="52E73435"/>
    <w:rsid w:val="52EF6909"/>
    <w:rsid w:val="52F56F98"/>
    <w:rsid w:val="531620E8"/>
    <w:rsid w:val="531E2D4A"/>
    <w:rsid w:val="53301E1E"/>
    <w:rsid w:val="533802B0"/>
    <w:rsid w:val="5349426B"/>
    <w:rsid w:val="534976B3"/>
    <w:rsid w:val="53570DD0"/>
    <w:rsid w:val="535C7948"/>
    <w:rsid w:val="53605111"/>
    <w:rsid w:val="53626210"/>
    <w:rsid w:val="536C61AC"/>
    <w:rsid w:val="53764934"/>
    <w:rsid w:val="5376752B"/>
    <w:rsid w:val="537979E1"/>
    <w:rsid w:val="53861A20"/>
    <w:rsid w:val="538816E0"/>
    <w:rsid w:val="538E05FD"/>
    <w:rsid w:val="53AE4137"/>
    <w:rsid w:val="53BD18F1"/>
    <w:rsid w:val="53D8114B"/>
    <w:rsid w:val="53E04DBD"/>
    <w:rsid w:val="53EF674A"/>
    <w:rsid w:val="53F669EB"/>
    <w:rsid w:val="54041F40"/>
    <w:rsid w:val="5414048A"/>
    <w:rsid w:val="54172B75"/>
    <w:rsid w:val="541A68A8"/>
    <w:rsid w:val="5420228D"/>
    <w:rsid w:val="54322F51"/>
    <w:rsid w:val="543D1818"/>
    <w:rsid w:val="544B3EE9"/>
    <w:rsid w:val="545D5EF6"/>
    <w:rsid w:val="546538BA"/>
    <w:rsid w:val="5468108F"/>
    <w:rsid w:val="5472334E"/>
    <w:rsid w:val="54756AF5"/>
    <w:rsid w:val="5483555B"/>
    <w:rsid w:val="548A4B3B"/>
    <w:rsid w:val="548B71EB"/>
    <w:rsid w:val="549A6186"/>
    <w:rsid w:val="549F69EF"/>
    <w:rsid w:val="54CB0CB0"/>
    <w:rsid w:val="54E0475B"/>
    <w:rsid w:val="54EA6C0E"/>
    <w:rsid w:val="54F372B3"/>
    <w:rsid w:val="5503044A"/>
    <w:rsid w:val="55163B3A"/>
    <w:rsid w:val="551D1C19"/>
    <w:rsid w:val="55201C9C"/>
    <w:rsid w:val="5523208A"/>
    <w:rsid w:val="552F56E3"/>
    <w:rsid w:val="5539030F"/>
    <w:rsid w:val="5549554B"/>
    <w:rsid w:val="554D1A31"/>
    <w:rsid w:val="55684751"/>
    <w:rsid w:val="556E644F"/>
    <w:rsid w:val="55782BA3"/>
    <w:rsid w:val="55874F5B"/>
    <w:rsid w:val="558E406A"/>
    <w:rsid w:val="5592206E"/>
    <w:rsid w:val="55A27C63"/>
    <w:rsid w:val="55BB0D24"/>
    <w:rsid w:val="55C776C9"/>
    <w:rsid w:val="55D70D09"/>
    <w:rsid w:val="55DB2EFA"/>
    <w:rsid w:val="55DD6540"/>
    <w:rsid w:val="55DF0EB7"/>
    <w:rsid w:val="55E737FF"/>
    <w:rsid w:val="55E93AE3"/>
    <w:rsid w:val="55EB238D"/>
    <w:rsid w:val="55ED4109"/>
    <w:rsid w:val="55F87E98"/>
    <w:rsid w:val="560143A9"/>
    <w:rsid w:val="561B1CE0"/>
    <w:rsid w:val="562B4FD7"/>
    <w:rsid w:val="563716DC"/>
    <w:rsid w:val="563A7E9B"/>
    <w:rsid w:val="56586573"/>
    <w:rsid w:val="566278C5"/>
    <w:rsid w:val="56725887"/>
    <w:rsid w:val="5685346F"/>
    <w:rsid w:val="568B419B"/>
    <w:rsid w:val="569752EE"/>
    <w:rsid w:val="569F23F4"/>
    <w:rsid w:val="56AA5F28"/>
    <w:rsid w:val="56B506F1"/>
    <w:rsid w:val="56B7303F"/>
    <w:rsid w:val="56B934B6"/>
    <w:rsid w:val="56BC09FD"/>
    <w:rsid w:val="56D02B61"/>
    <w:rsid w:val="56D71B8E"/>
    <w:rsid w:val="56DF6C95"/>
    <w:rsid w:val="57042877"/>
    <w:rsid w:val="57165E73"/>
    <w:rsid w:val="571917B9"/>
    <w:rsid w:val="57305C46"/>
    <w:rsid w:val="57394A4D"/>
    <w:rsid w:val="57435475"/>
    <w:rsid w:val="57547004"/>
    <w:rsid w:val="5758495A"/>
    <w:rsid w:val="575C2093"/>
    <w:rsid w:val="57631EDC"/>
    <w:rsid w:val="57643792"/>
    <w:rsid w:val="576D3C31"/>
    <w:rsid w:val="576F0018"/>
    <w:rsid w:val="57725AAD"/>
    <w:rsid w:val="5774562F"/>
    <w:rsid w:val="578F06BB"/>
    <w:rsid w:val="579857A6"/>
    <w:rsid w:val="579F74A6"/>
    <w:rsid w:val="57A2797B"/>
    <w:rsid w:val="57A36349"/>
    <w:rsid w:val="57A70D03"/>
    <w:rsid w:val="57AC4DC9"/>
    <w:rsid w:val="57B44CCE"/>
    <w:rsid w:val="57C514C8"/>
    <w:rsid w:val="57C71C02"/>
    <w:rsid w:val="57D45CF1"/>
    <w:rsid w:val="57E74DAE"/>
    <w:rsid w:val="57F13854"/>
    <w:rsid w:val="580520C8"/>
    <w:rsid w:val="580B3421"/>
    <w:rsid w:val="58187D01"/>
    <w:rsid w:val="581A249A"/>
    <w:rsid w:val="584315C4"/>
    <w:rsid w:val="5846239B"/>
    <w:rsid w:val="586E207E"/>
    <w:rsid w:val="586E3461"/>
    <w:rsid w:val="586E7274"/>
    <w:rsid w:val="588A02D8"/>
    <w:rsid w:val="5891087F"/>
    <w:rsid w:val="589D0BB5"/>
    <w:rsid w:val="58B8581B"/>
    <w:rsid w:val="58BA45A1"/>
    <w:rsid w:val="58C02C27"/>
    <w:rsid w:val="58C12EE1"/>
    <w:rsid w:val="58D864B6"/>
    <w:rsid w:val="58DA784C"/>
    <w:rsid w:val="58DE5456"/>
    <w:rsid w:val="58EB2245"/>
    <w:rsid w:val="590649AC"/>
    <w:rsid w:val="59161F59"/>
    <w:rsid w:val="591744C4"/>
    <w:rsid w:val="592E0EF6"/>
    <w:rsid w:val="594204CF"/>
    <w:rsid w:val="594A2AEB"/>
    <w:rsid w:val="5951357A"/>
    <w:rsid w:val="59544BDF"/>
    <w:rsid w:val="59775A81"/>
    <w:rsid w:val="597B2CA5"/>
    <w:rsid w:val="59811737"/>
    <w:rsid w:val="59854011"/>
    <w:rsid w:val="599223FD"/>
    <w:rsid w:val="59941601"/>
    <w:rsid w:val="59951645"/>
    <w:rsid w:val="59965D30"/>
    <w:rsid w:val="59A117BD"/>
    <w:rsid w:val="59AD702D"/>
    <w:rsid w:val="59B03041"/>
    <w:rsid w:val="59BA45FA"/>
    <w:rsid w:val="59C33F06"/>
    <w:rsid w:val="59C962AE"/>
    <w:rsid w:val="59D10B16"/>
    <w:rsid w:val="59D625D1"/>
    <w:rsid w:val="5A0738B3"/>
    <w:rsid w:val="5A1223DE"/>
    <w:rsid w:val="5A126AC9"/>
    <w:rsid w:val="5A20479B"/>
    <w:rsid w:val="5A234A6D"/>
    <w:rsid w:val="5A47527D"/>
    <w:rsid w:val="5A594B8D"/>
    <w:rsid w:val="5A612F7B"/>
    <w:rsid w:val="5A684349"/>
    <w:rsid w:val="5A690A9C"/>
    <w:rsid w:val="5A6A2C63"/>
    <w:rsid w:val="5A7B0A82"/>
    <w:rsid w:val="5A8E36CC"/>
    <w:rsid w:val="5A9802AF"/>
    <w:rsid w:val="5AAB75B9"/>
    <w:rsid w:val="5AAC3332"/>
    <w:rsid w:val="5AAE5CD6"/>
    <w:rsid w:val="5ABF5916"/>
    <w:rsid w:val="5AC3781F"/>
    <w:rsid w:val="5AC90A7E"/>
    <w:rsid w:val="5AD71A00"/>
    <w:rsid w:val="5AD73617"/>
    <w:rsid w:val="5ADF1BC9"/>
    <w:rsid w:val="5AE20B01"/>
    <w:rsid w:val="5AE76118"/>
    <w:rsid w:val="5AEF10C3"/>
    <w:rsid w:val="5B021EDD"/>
    <w:rsid w:val="5B1036BE"/>
    <w:rsid w:val="5B1B1714"/>
    <w:rsid w:val="5B242EC8"/>
    <w:rsid w:val="5B280C0A"/>
    <w:rsid w:val="5B2C65A4"/>
    <w:rsid w:val="5B351579"/>
    <w:rsid w:val="5B3648FD"/>
    <w:rsid w:val="5B3E6680"/>
    <w:rsid w:val="5B413A7A"/>
    <w:rsid w:val="5B4325A2"/>
    <w:rsid w:val="5B4672E2"/>
    <w:rsid w:val="5B4E481E"/>
    <w:rsid w:val="5B601CC1"/>
    <w:rsid w:val="5B6234AA"/>
    <w:rsid w:val="5B6854AA"/>
    <w:rsid w:val="5B813346"/>
    <w:rsid w:val="5B8172A8"/>
    <w:rsid w:val="5B871DD5"/>
    <w:rsid w:val="5B9601D2"/>
    <w:rsid w:val="5B9F6DE2"/>
    <w:rsid w:val="5BA265DE"/>
    <w:rsid w:val="5BA46CE2"/>
    <w:rsid w:val="5BB95E08"/>
    <w:rsid w:val="5BBA0393"/>
    <w:rsid w:val="5BBD57F6"/>
    <w:rsid w:val="5BCE7981"/>
    <w:rsid w:val="5BD41136"/>
    <w:rsid w:val="5BD54692"/>
    <w:rsid w:val="5BD7618C"/>
    <w:rsid w:val="5BD92F2A"/>
    <w:rsid w:val="5BE32D83"/>
    <w:rsid w:val="5BEA4FCD"/>
    <w:rsid w:val="5BEC1C38"/>
    <w:rsid w:val="5BF84A80"/>
    <w:rsid w:val="5BFA4B6A"/>
    <w:rsid w:val="5C003935"/>
    <w:rsid w:val="5C043425"/>
    <w:rsid w:val="5C124BEB"/>
    <w:rsid w:val="5C1D44E7"/>
    <w:rsid w:val="5C1F498A"/>
    <w:rsid w:val="5C25339C"/>
    <w:rsid w:val="5C2B3CC6"/>
    <w:rsid w:val="5C380531"/>
    <w:rsid w:val="5C4B22BD"/>
    <w:rsid w:val="5C4B3416"/>
    <w:rsid w:val="5C4D0F4D"/>
    <w:rsid w:val="5C4F1B7F"/>
    <w:rsid w:val="5C4F21C6"/>
    <w:rsid w:val="5C504241"/>
    <w:rsid w:val="5C6550CC"/>
    <w:rsid w:val="5C7731D7"/>
    <w:rsid w:val="5C826B51"/>
    <w:rsid w:val="5C93136F"/>
    <w:rsid w:val="5C957AE8"/>
    <w:rsid w:val="5CA61CCA"/>
    <w:rsid w:val="5CA61FE4"/>
    <w:rsid w:val="5CA67A5D"/>
    <w:rsid w:val="5CAA564F"/>
    <w:rsid w:val="5CAC7619"/>
    <w:rsid w:val="5CB526EE"/>
    <w:rsid w:val="5CC31B3E"/>
    <w:rsid w:val="5CC67A06"/>
    <w:rsid w:val="5CD718AB"/>
    <w:rsid w:val="5CDD125B"/>
    <w:rsid w:val="5CF039A9"/>
    <w:rsid w:val="5D131446"/>
    <w:rsid w:val="5D153C3E"/>
    <w:rsid w:val="5D1551BE"/>
    <w:rsid w:val="5D17220F"/>
    <w:rsid w:val="5D213E13"/>
    <w:rsid w:val="5D301FF8"/>
    <w:rsid w:val="5D3543FB"/>
    <w:rsid w:val="5D3A69D3"/>
    <w:rsid w:val="5D3D7B55"/>
    <w:rsid w:val="5D49561A"/>
    <w:rsid w:val="5D4D4B67"/>
    <w:rsid w:val="5D692B4A"/>
    <w:rsid w:val="5D6E1FD6"/>
    <w:rsid w:val="5D760DFE"/>
    <w:rsid w:val="5D7F5AF4"/>
    <w:rsid w:val="5D8F4370"/>
    <w:rsid w:val="5D972077"/>
    <w:rsid w:val="5DA87DE0"/>
    <w:rsid w:val="5DAB1143"/>
    <w:rsid w:val="5DAF2A40"/>
    <w:rsid w:val="5DB17D02"/>
    <w:rsid w:val="5DC0337C"/>
    <w:rsid w:val="5DCF2503"/>
    <w:rsid w:val="5DD43000"/>
    <w:rsid w:val="5DD619A0"/>
    <w:rsid w:val="5DD97B2E"/>
    <w:rsid w:val="5DE33377"/>
    <w:rsid w:val="5DE52DE2"/>
    <w:rsid w:val="5E183CFF"/>
    <w:rsid w:val="5E1E394A"/>
    <w:rsid w:val="5E2B7EEF"/>
    <w:rsid w:val="5E2C0A11"/>
    <w:rsid w:val="5E2E1600"/>
    <w:rsid w:val="5E416216"/>
    <w:rsid w:val="5E4C10B3"/>
    <w:rsid w:val="5E50072C"/>
    <w:rsid w:val="5E52616B"/>
    <w:rsid w:val="5E6623EB"/>
    <w:rsid w:val="5E664F76"/>
    <w:rsid w:val="5E67417C"/>
    <w:rsid w:val="5E6B1C04"/>
    <w:rsid w:val="5E6C3504"/>
    <w:rsid w:val="5E6E2DD8"/>
    <w:rsid w:val="5E8048B9"/>
    <w:rsid w:val="5E912F6A"/>
    <w:rsid w:val="5E914D18"/>
    <w:rsid w:val="5E9345EC"/>
    <w:rsid w:val="5E946DA5"/>
    <w:rsid w:val="5E961741"/>
    <w:rsid w:val="5E9B254F"/>
    <w:rsid w:val="5EA05BE0"/>
    <w:rsid w:val="5EAE7678"/>
    <w:rsid w:val="5EBA601D"/>
    <w:rsid w:val="5ED77D68"/>
    <w:rsid w:val="5ED94EE3"/>
    <w:rsid w:val="5EDC1A1D"/>
    <w:rsid w:val="5EE673AD"/>
    <w:rsid w:val="5EE906B0"/>
    <w:rsid w:val="5EF05EE3"/>
    <w:rsid w:val="5F0B4ACB"/>
    <w:rsid w:val="5F100333"/>
    <w:rsid w:val="5F3176B9"/>
    <w:rsid w:val="5F4B7B56"/>
    <w:rsid w:val="5F5046EA"/>
    <w:rsid w:val="5F5B1DE2"/>
    <w:rsid w:val="5F5F0972"/>
    <w:rsid w:val="5F6441ED"/>
    <w:rsid w:val="5F6661A5"/>
    <w:rsid w:val="5F6A6AC8"/>
    <w:rsid w:val="5F6F6A29"/>
    <w:rsid w:val="5F84250C"/>
    <w:rsid w:val="5F866EC2"/>
    <w:rsid w:val="5F875EC9"/>
    <w:rsid w:val="5F8B48CF"/>
    <w:rsid w:val="5F920EC8"/>
    <w:rsid w:val="5F9A5E4E"/>
    <w:rsid w:val="5F9E1348"/>
    <w:rsid w:val="5FA12D39"/>
    <w:rsid w:val="5FAA42E4"/>
    <w:rsid w:val="5FAC4886"/>
    <w:rsid w:val="5FB66D02"/>
    <w:rsid w:val="5FC058B5"/>
    <w:rsid w:val="5FC41398"/>
    <w:rsid w:val="5FE311ED"/>
    <w:rsid w:val="5FE42E7C"/>
    <w:rsid w:val="5FEC48FC"/>
    <w:rsid w:val="5FF2749D"/>
    <w:rsid w:val="5FF87C5D"/>
    <w:rsid w:val="600315B6"/>
    <w:rsid w:val="60071C9B"/>
    <w:rsid w:val="600E3B45"/>
    <w:rsid w:val="60273055"/>
    <w:rsid w:val="603242D9"/>
    <w:rsid w:val="60522285"/>
    <w:rsid w:val="605C5A30"/>
    <w:rsid w:val="607D63DF"/>
    <w:rsid w:val="609700FC"/>
    <w:rsid w:val="60A3109B"/>
    <w:rsid w:val="60A3539C"/>
    <w:rsid w:val="60AE7E03"/>
    <w:rsid w:val="60B149D0"/>
    <w:rsid w:val="60B70030"/>
    <w:rsid w:val="60BC0397"/>
    <w:rsid w:val="60C627BB"/>
    <w:rsid w:val="60C90799"/>
    <w:rsid w:val="60D443A1"/>
    <w:rsid w:val="60DC2CC3"/>
    <w:rsid w:val="60DD7D2A"/>
    <w:rsid w:val="60E21853"/>
    <w:rsid w:val="60E80F88"/>
    <w:rsid w:val="61366D54"/>
    <w:rsid w:val="613720DD"/>
    <w:rsid w:val="613979C7"/>
    <w:rsid w:val="61447E20"/>
    <w:rsid w:val="614A1A89"/>
    <w:rsid w:val="614E6EF1"/>
    <w:rsid w:val="614F763C"/>
    <w:rsid w:val="615755BD"/>
    <w:rsid w:val="615D2A65"/>
    <w:rsid w:val="61613BEB"/>
    <w:rsid w:val="61693D2A"/>
    <w:rsid w:val="61796574"/>
    <w:rsid w:val="618042CE"/>
    <w:rsid w:val="61880654"/>
    <w:rsid w:val="6189617B"/>
    <w:rsid w:val="619E4563"/>
    <w:rsid w:val="619F63A8"/>
    <w:rsid w:val="61C9247D"/>
    <w:rsid w:val="61CD6067"/>
    <w:rsid w:val="61DD059C"/>
    <w:rsid w:val="61E06BEB"/>
    <w:rsid w:val="61FA38A4"/>
    <w:rsid w:val="61FB44F2"/>
    <w:rsid w:val="62026A91"/>
    <w:rsid w:val="62086C73"/>
    <w:rsid w:val="62122198"/>
    <w:rsid w:val="624060C2"/>
    <w:rsid w:val="625941A1"/>
    <w:rsid w:val="625C0D21"/>
    <w:rsid w:val="62671448"/>
    <w:rsid w:val="62726C0F"/>
    <w:rsid w:val="62751A14"/>
    <w:rsid w:val="628110AA"/>
    <w:rsid w:val="62875A90"/>
    <w:rsid w:val="629047BC"/>
    <w:rsid w:val="629762BF"/>
    <w:rsid w:val="62B13E15"/>
    <w:rsid w:val="62B56ACB"/>
    <w:rsid w:val="62C30852"/>
    <w:rsid w:val="62D376AD"/>
    <w:rsid w:val="62E61DA2"/>
    <w:rsid w:val="62EC0759"/>
    <w:rsid w:val="62EC69C1"/>
    <w:rsid w:val="62FA0C93"/>
    <w:rsid w:val="62FD472A"/>
    <w:rsid w:val="63065CD5"/>
    <w:rsid w:val="63102F38"/>
    <w:rsid w:val="631421D2"/>
    <w:rsid w:val="633012F7"/>
    <w:rsid w:val="6333416A"/>
    <w:rsid w:val="63387D47"/>
    <w:rsid w:val="63414F5F"/>
    <w:rsid w:val="634C61F4"/>
    <w:rsid w:val="635D7C35"/>
    <w:rsid w:val="636C0637"/>
    <w:rsid w:val="63873AE1"/>
    <w:rsid w:val="63AA7892"/>
    <w:rsid w:val="63AB062A"/>
    <w:rsid w:val="63AB319A"/>
    <w:rsid w:val="63AE2A15"/>
    <w:rsid w:val="63B1030F"/>
    <w:rsid w:val="63C65464"/>
    <w:rsid w:val="63CA40E4"/>
    <w:rsid w:val="63D11CD0"/>
    <w:rsid w:val="63D60D6D"/>
    <w:rsid w:val="63DA0F0F"/>
    <w:rsid w:val="63DC4C88"/>
    <w:rsid w:val="63F56BC4"/>
    <w:rsid w:val="63FE1B1D"/>
    <w:rsid w:val="64083EBA"/>
    <w:rsid w:val="640A6B8A"/>
    <w:rsid w:val="641351E8"/>
    <w:rsid w:val="641B5F97"/>
    <w:rsid w:val="64243F39"/>
    <w:rsid w:val="64262637"/>
    <w:rsid w:val="64270A9F"/>
    <w:rsid w:val="643144B1"/>
    <w:rsid w:val="643423CE"/>
    <w:rsid w:val="64430863"/>
    <w:rsid w:val="64441708"/>
    <w:rsid w:val="644B2E9F"/>
    <w:rsid w:val="64601415"/>
    <w:rsid w:val="646107A2"/>
    <w:rsid w:val="6469042C"/>
    <w:rsid w:val="647944D1"/>
    <w:rsid w:val="647D7FBC"/>
    <w:rsid w:val="64802D6E"/>
    <w:rsid w:val="64805613"/>
    <w:rsid w:val="648A0240"/>
    <w:rsid w:val="64A659B2"/>
    <w:rsid w:val="64AD2B0F"/>
    <w:rsid w:val="64B11C70"/>
    <w:rsid w:val="64BD5DA3"/>
    <w:rsid w:val="64C67161"/>
    <w:rsid w:val="64CD2E6D"/>
    <w:rsid w:val="64E42046"/>
    <w:rsid w:val="64EA5182"/>
    <w:rsid w:val="64EC297E"/>
    <w:rsid w:val="64F102BF"/>
    <w:rsid w:val="64FE364A"/>
    <w:rsid w:val="6507754E"/>
    <w:rsid w:val="650D2C1F"/>
    <w:rsid w:val="65123962"/>
    <w:rsid w:val="65337EC4"/>
    <w:rsid w:val="653C01C1"/>
    <w:rsid w:val="654153AA"/>
    <w:rsid w:val="65434131"/>
    <w:rsid w:val="654B7228"/>
    <w:rsid w:val="654D7C2E"/>
    <w:rsid w:val="65505F7C"/>
    <w:rsid w:val="657C5654"/>
    <w:rsid w:val="6593581A"/>
    <w:rsid w:val="65AF1C1C"/>
    <w:rsid w:val="65C17EA5"/>
    <w:rsid w:val="65C200D8"/>
    <w:rsid w:val="65C41297"/>
    <w:rsid w:val="65C60E87"/>
    <w:rsid w:val="65CF5000"/>
    <w:rsid w:val="65D22501"/>
    <w:rsid w:val="65D969F1"/>
    <w:rsid w:val="65F468C3"/>
    <w:rsid w:val="66081D64"/>
    <w:rsid w:val="660B53B0"/>
    <w:rsid w:val="661669E2"/>
    <w:rsid w:val="661B76D3"/>
    <w:rsid w:val="662B74D0"/>
    <w:rsid w:val="662D3578"/>
    <w:rsid w:val="663533F6"/>
    <w:rsid w:val="663F14FE"/>
    <w:rsid w:val="663F7253"/>
    <w:rsid w:val="66415147"/>
    <w:rsid w:val="664D7777"/>
    <w:rsid w:val="666E0E1B"/>
    <w:rsid w:val="667529CC"/>
    <w:rsid w:val="66763171"/>
    <w:rsid w:val="667D51BE"/>
    <w:rsid w:val="667E2883"/>
    <w:rsid w:val="667E6793"/>
    <w:rsid w:val="668313EA"/>
    <w:rsid w:val="66860EDB"/>
    <w:rsid w:val="669C0748"/>
    <w:rsid w:val="66A51361"/>
    <w:rsid w:val="66A80E51"/>
    <w:rsid w:val="66A8260B"/>
    <w:rsid w:val="66AB3962"/>
    <w:rsid w:val="66C12C09"/>
    <w:rsid w:val="66C15989"/>
    <w:rsid w:val="66C739CD"/>
    <w:rsid w:val="66C814F3"/>
    <w:rsid w:val="66DE6A20"/>
    <w:rsid w:val="66E6060C"/>
    <w:rsid w:val="66EB050D"/>
    <w:rsid w:val="67055E1B"/>
    <w:rsid w:val="671059A6"/>
    <w:rsid w:val="672277D6"/>
    <w:rsid w:val="67290209"/>
    <w:rsid w:val="67290ACE"/>
    <w:rsid w:val="672F50CE"/>
    <w:rsid w:val="67307EB3"/>
    <w:rsid w:val="67355406"/>
    <w:rsid w:val="6739040E"/>
    <w:rsid w:val="674E60A1"/>
    <w:rsid w:val="67531912"/>
    <w:rsid w:val="675D60DF"/>
    <w:rsid w:val="676129D2"/>
    <w:rsid w:val="676378A7"/>
    <w:rsid w:val="67644C59"/>
    <w:rsid w:val="677B490E"/>
    <w:rsid w:val="677B7C35"/>
    <w:rsid w:val="6785559A"/>
    <w:rsid w:val="678673E4"/>
    <w:rsid w:val="678A6C8A"/>
    <w:rsid w:val="67955879"/>
    <w:rsid w:val="67B5271A"/>
    <w:rsid w:val="67B57CC9"/>
    <w:rsid w:val="67C021CA"/>
    <w:rsid w:val="67C16637"/>
    <w:rsid w:val="67CD37DA"/>
    <w:rsid w:val="67E916C6"/>
    <w:rsid w:val="67E934CF"/>
    <w:rsid w:val="67EC408F"/>
    <w:rsid w:val="67FE19E3"/>
    <w:rsid w:val="68071BA7"/>
    <w:rsid w:val="68076A48"/>
    <w:rsid w:val="68106CAE"/>
    <w:rsid w:val="68125890"/>
    <w:rsid w:val="682E5386"/>
    <w:rsid w:val="683A1C10"/>
    <w:rsid w:val="683B4874"/>
    <w:rsid w:val="683F7593"/>
    <w:rsid w:val="684352D5"/>
    <w:rsid w:val="684A6664"/>
    <w:rsid w:val="684F3C7A"/>
    <w:rsid w:val="68A67612"/>
    <w:rsid w:val="68AE414D"/>
    <w:rsid w:val="68C6767F"/>
    <w:rsid w:val="68C81889"/>
    <w:rsid w:val="68E424F2"/>
    <w:rsid w:val="68EB171F"/>
    <w:rsid w:val="68F12C01"/>
    <w:rsid w:val="68FA6539"/>
    <w:rsid w:val="69045669"/>
    <w:rsid w:val="69061428"/>
    <w:rsid w:val="690F3409"/>
    <w:rsid w:val="6927078B"/>
    <w:rsid w:val="69286279"/>
    <w:rsid w:val="69393D31"/>
    <w:rsid w:val="693F5EA4"/>
    <w:rsid w:val="69460607"/>
    <w:rsid w:val="694858F0"/>
    <w:rsid w:val="69550BFB"/>
    <w:rsid w:val="696A6B29"/>
    <w:rsid w:val="696E0A9A"/>
    <w:rsid w:val="69715E72"/>
    <w:rsid w:val="69750E21"/>
    <w:rsid w:val="69842192"/>
    <w:rsid w:val="698450AA"/>
    <w:rsid w:val="6985687C"/>
    <w:rsid w:val="699851AD"/>
    <w:rsid w:val="69A048BD"/>
    <w:rsid w:val="69A71034"/>
    <w:rsid w:val="69A83492"/>
    <w:rsid w:val="69A9560C"/>
    <w:rsid w:val="69C27B02"/>
    <w:rsid w:val="69C91F97"/>
    <w:rsid w:val="69E623BC"/>
    <w:rsid w:val="69ED6F02"/>
    <w:rsid w:val="69EE7223"/>
    <w:rsid w:val="69FD14B4"/>
    <w:rsid w:val="6A056DDC"/>
    <w:rsid w:val="6A057393"/>
    <w:rsid w:val="6A0E1913"/>
    <w:rsid w:val="6A143694"/>
    <w:rsid w:val="6A176058"/>
    <w:rsid w:val="6A1C0949"/>
    <w:rsid w:val="6A1E0A41"/>
    <w:rsid w:val="6A2E3F76"/>
    <w:rsid w:val="6A2E73C3"/>
    <w:rsid w:val="6A465FF0"/>
    <w:rsid w:val="6A472B4C"/>
    <w:rsid w:val="6A570A63"/>
    <w:rsid w:val="6A63210D"/>
    <w:rsid w:val="6A7670F5"/>
    <w:rsid w:val="6A8120E5"/>
    <w:rsid w:val="6A987C6F"/>
    <w:rsid w:val="6AAA1DFE"/>
    <w:rsid w:val="6AAF79FF"/>
    <w:rsid w:val="6AC00E5F"/>
    <w:rsid w:val="6AC306AA"/>
    <w:rsid w:val="6AC33F7B"/>
    <w:rsid w:val="6AC60616"/>
    <w:rsid w:val="6AC87871"/>
    <w:rsid w:val="6AD26369"/>
    <w:rsid w:val="6AD959DC"/>
    <w:rsid w:val="6AEB19C5"/>
    <w:rsid w:val="6AF40B09"/>
    <w:rsid w:val="6AF61974"/>
    <w:rsid w:val="6B0B1A2E"/>
    <w:rsid w:val="6B193F82"/>
    <w:rsid w:val="6B33736F"/>
    <w:rsid w:val="6B3453A9"/>
    <w:rsid w:val="6B39476E"/>
    <w:rsid w:val="6B450D39"/>
    <w:rsid w:val="6B4A1FF9"/>
    <w:rsid w:val="6B592AF9"/>
    <w:rsid w:val="6B5C2732"/>
    <w:rsid w:val="6B633598"/>
    <w:rsid w:val="6B747558"/>
    <w:rsid w:val="6B7E44A8"/>
    <w:rsid w:val="6B802B7B"/>
    <w:rsid w:val="6B851761"/>
    <w:rsid w:val="6B9D2F4E"/>
    <w:rsid w:val="6BA22313"/>
    <w:rsid w:val="6BAF67DE"/>
    <w:rsid w:val="6BB32772"/>
    <w:rsid w:val="6BB641D1"/>
    <w:rsid w:val="6BC91283"/>
    <w:rsid w:val="6BDD77EF"/>
    <w:rsid w:val="6BE5007F"/>
    <w:rsid w:val="6BE75F78"/>
    <w:rsid w:val="6BEB1F0C"/>
    <w:rsid w:val="6BFB26B9"/>
    <w:rsid w:val="6C003F58"/>
    <w:rsid w:val="6C0510AF"/>
    <w:rsid w:val="6C0A12A0"/>
    <w:rsid w:val="6C131371"/>
    <w:rsid w:val="6C1E27FB"/>
    <w:rsid w:val="6C2125B9"/>
    <w:rsid w:val="6C45127D"/>
    <w:rsid w:val="6C465394"/>
    <w:rsid w:val="6C477A48"/>
    <w:rsid w:val="6C497C2B"/>
    <w:rsid w:val="6C4D6279"/>
    <w:rsid w:val="6C691929"/>
    <w:rsid w:val="6C6B4DFB"/>
    <w:rsid w:val="6C7653EA"/>
    <w:rsid w:val="6C80161C"/>
    <w:rsid w:val="6C8346BA"/>
    <w:rsid w:val="6C8917F3"/>
    <w:rsid w:val="6C8C7A1A"/>
    <w:rsid w:val="6C8E07EB"/>
    <w:rsid w:val="6C922387"/>
    <w:rsid w:val="6CAA1C24"/>
    <w:rsid w:val="6CC5763D"/>
    <w:rsid w:val="6CD7449F"/>
    <w:rsid w:val="6CEF50C6"/>
    <w:rsid w:val="6CF43A7A"/>
    <w:rsid w:val="6CF803B7"/>
    <w:rsid w:val="6CFC7A9E"/>
    <w:rsid w:val="6CFD633E"/>
    <w:rsid w:val="6D147240"/>
    <w:rsid w:val="6D1A3AF6"/>
    <w:rsid w:val="6D281E21"/>
    <w:rsid w:val="6D295F60"/>
    <w:rsid w:val="6D347596"/>
    <w:rsid w:val="6D596E90"/>
    <w:rsid w:val="6D68758C"/>
    <w:rsid w:val="6D7F1132"/>
    <w:rsid w:val="6D82064E"/>
    <w:rsid w:val="6D860032"/>
    <w:rsid w:val="6DA07862"/>
    <w:rsid w:val="6DAB5AB0"/>
    <w:rsid w:val="6DAE7C8E"/>
    <w:rsid w:val="6DC7004F"/>
    <w:rsid w:val="6DCA32BE"/>
    <w:rsid w:val="6DD864C0"/>
    <w:rsid w:val="6DE33684"/>
    <w:rsid w:val="6DE60B88"/>
    <w:rsid w:val="6DEB5D49"/>
    <w:rsid w:val="6DF33D76"/>
    <w:rsid w:val="6DF40A60"/>
    <w:rsid w:val="6DFD3487"/>
    <w:rsid w:val="6DFF1AAA"/>
    <w:rsid w:val="6E015BBB"/>
    <w:rsid w:val="6E061D25"/>
    <w:rsid w:val="6E0F7A08"/>
    <w:rsid w:val="6E16620A"/>
    <w:rsid w:val="6E182D60"/>
    <w:rsid w:val="6E217E67"/>
    <w:rsid w:val="6E2900AC"/>
    <w:rsid w:val="6E2B7977"/>
    <w:rsid w:val="6E2E4063"/>
    <w:rsid w:val="6E3C285F"/>
    <w:rsid w:val="6E414A73"/>
    <w:rsid w:val="6E562AD8"/>
    <w:rsid w:val="6E5E6D9D"/>
    <w:rsid w:val="6E714591"/>
    <w:rsid w:val="6E772037"/>
    <w:rsid w:val="6E786804"/>
    <w:rsid w:val="6E8250F1"/>
    <w:rsid w:val="6E846A90"/>
    <w:rsid w:val="6E9D5013"/>
    <w:rsid w:val="6EAD16FA"/>
    <w:rsid w:val="6ECB3E6A"/>
    <w:rsid w:val="6ECB4CD8"/>
    <w:rsid w:val="6ECE1BA8"/>
    <w:rsid w:val="6ECF5D6D"/>
    <w:rsid w:val="6EDC418C"/>
    <w:rsid w:val="6EE15A63"/>
    <w:rsid w:val="6EE67590"/>
    <w:rsid w:val="6EEA69AD"/>
    <w:rsid w:val="6EEE6498"/>
    <w:rsid w:val="6EFD1D73"/>
    <w:rsid w:val="6EFD5AB2"/>
    <w:rsid w:val="6F053C43"/>
    <w:rsid w:val="6F075837"/>
    <w:rsid w:val="6F1B6067"/>
    <w:rsid w:val="6F256125"/>
    <w:rsid w:val="6F2620DC"/>
    <w:rsid w:val="6F28453E"/>
    <w:rsid w:val="6F4656AB"/>
    <w:rsid w:val="6F49551F"/>
    <w:rsid w:val="6F4A3F3C"/>
    <w:rsid w:val="6F540B15"/>
    <w:rsid w:val="6F54601A"/>
    <w:rsid w:val="6F555835"/>
    <w:rsid w:val="6F55769C"/>
    <w:rsid w:val="6F5837CB"/>
    <w:rsid w:val="6F597080"/>
    <w:rsid w:val="6F626E48"/>
    <w:rsid w:val="6F630BD6"/>
    <w:rsid w:val="6F812184"/>
    <w:rsid w:val="6F845B2B"/>
    <w:rsid w:val="6F8D5088"/>
    <w:rsid w:val="6F970471"/>
    <w:rsid w:val="6F974654"/>
    <w:rsid w:val="6FA10C39"/>
    <w:rsid w:val="6FA57C61"/>
    <w:rsid w:val="6FC51A41"/>
    <w:rsid w:val="6FC532F8"/>
    <w:rsid w:val="6FE32EFA"/>
    <w:rsid w:val="6FEC1DAE"/>
    <w:rsid w:val="6FF8441E"/>
    <w:rsid w:val="70092D5A"/>
    <w:rsid w:val="70197330"/>
    <w:rsid w:val="702E0D9C"/>
    <w:rsid w:val="70300C7F"/>
    <w:rsid w:val="70312EE4"/>
    <w:rsid w:val="70385739"/>
    <w:rsid w:val="703F7E7D"/>
    <w:rsid w:val="704020FA"/>
    <w:rsid w:val="70457711"/>
    <w:rsid w:val="704A5564"/>
    <w:rsid w:val="70751679"/>
    <w:rsid w:val="708B47AA"/>
    <w:rsid w:val="709616C4"/>
    <w:rsid w:val="70981E9C"/>
    <w:rsid w:val="709F2104"/>
    <w:rsid w:val="70A47E6A"/>
    <w:rsid w:val="70B52D25"/>
    <w:rsid w:val="70C36F04"/>
    <w:rsid w:val="70C740E1"/>
    <w:rsid w:val="70D07EC3"/>
    <w:rsid w:val="70D319E7"/>
    <w:rsid w:val="70D75F53"/>
    <w:rsid w:val="70D80585"/>
    <w:rsid w:val="70EC468E"/>
    <w:rsid w:val="70EE7DA8"/>
    <w:rsid w:val="70F33FDC"/>
    <w:rsid w:val="70FD71A6"/>
    <w:rsid w:val="71072D19"/>
    <w:rsid w:val="71082AAC"/>
    <w:rsid w:val="711D6AEF"/>
    <w:rsid w:val="71202DBA"/>
    <w:rsid w:val="714E3E56"/>
    <w:rsid w:val="71614A1E"/>
    <w:rsid w:val="7176585C"/>
    <w:rsid w:val="71902BFF"/>
    <w:rsid w:val="719A5DCE"/>
    <w:rsid w:val="719B7F30"/>
    <w:rsid w:val="71A74762"/>
    <w:rsid w:val="71A93FA1"/>
    <w:rsid w:val="71AF12E6"/>
    <w:rsid w:val="71BA28B0"/>
    <w:rsid w:val="71BD203C"/>
    <w:rsid w:val="71CC3CC0"/>
    <w:rsid w:val="71CD1C1E"/>
    <w:rsid w:val="71D76943"/>
    <w:rsid w:val="71EC41F4"/>
    <w:rsid w:val="72035AD5"/>
    <w:rsid w:val="720E21AB"/>
    <w:rsid w:val="72127AC6"/>
    <w:rsid w:val="72135D18"/>
    <w:rsid w:val="72172DD6"/>
    <w:rsid w:val="72190E55"/>
    <w:rsid w:val="72370E3A"/>
    <w:rsid w:val="723E4170"/>
    <w:rsid w:val="72422A05"/>
    <w:rsid w:val="724759C2"/>
    <w:rsid w:val="72516841"/>
    <w:rsid w:val="725716A5"/>
    <w:rsid w:val="726A16B0"/>
    <w:rsid w:val="726F7761"/>
    <w:rsid w:val="72780225"/>
    <w:rsid w:val="727C5F33"/>
    <w:rsid w:val="727F77F5"/>
    <w:rsid w:val="72816D82"/>
    <w:rsid w:val="7299539E"/>
    <w:rsid w:val="729C3F60"/>
    <w:rsid w:val="72B37534"/>
    <w:rsid w:val="72B70089"/>
    <w:rsid w:val="72B73C27"/>
    <w:rsid w:val="72C7009D"/>
    <w:rsid w:val="72D354A8"/>
    <w:rsid w:val="72D36A71"/>
    <w:rsid w:val="72DB0E40"/>
    <w:rsid w:val="72E4478C"/>
    <w:rsid w:val="72FD42D3"/>
    <w:rsid w:val="72FF004B"/>
    <w:rsid w:val="72FF2DB8"/>
    <w:rsid w:val="731352DC"/>
    <w:rsid w:val="731F249B"/>
    <w:rsid w:val="73237AF4"/>
    <w:rsid w:val="73253671"/>
    <w:rsid w:val="73306456"/>
    <w:rsid w:val="73317A27"/>
    <w:rsid w:val="73357E69"/>
    <w:rsid w:val="73365490"/>
    <w:rsid w:val="733817AF"/>
    <w:rsid w:val="7351733F"/>
    <w:rsid w:val="73593E7F"/>
    <w:rsid w:val="735B6DB7"/>
    <w:rsid w:val="735C2691"/>
    <w:rsid w:val="735D3FB1"/>
    <w:rsid w:val="736D7FD1"/>
    <w:rsid w:val="737353DE"/>
    <w:rsid w:val="73767F05"/>
    <w:rsid w:val="7379604F"/>
    <w:rsid w:val="73886292"/>
    <w:rsid w:val="73935567"/>
    <w:rsid w:val="73A62438"/>
    <w:rsid w:val="73AC0E24"/>
    <w:rsid w:val="73BA21C4"/>
    <w:rsid w:val="73BA3CC2"/>
    <w:rsid w:val="73BC5F3C"/>
    <w:rsid w:val="73BE02D8"/>
    <w:rsid w:val="73CF5C6F"/>
    <w:rsid w:val="73D50144"/>
    <w:rsid w:val="73E060CE"/>
    <w:rsid w:val="73F602AE"/>
    <w:rsid w:val="74034BE4"/>
    <w:rsid w:val="740D1EA9"/>
    <w:rsid w:val="74165E03"/>
    <w:rsid w:val="741A1A91"/>
    <w:rsid w:val="741E5489"/>
    <w:rsid w:val="741F7825"/>
    <w:rsid w:val="742F7A23"/>
    <w:rsid w:val="74325266"/>
    <w:rsid w:val="74417576"/>
    <w:rsid w:val="7452064E"/>
    <w:rsid w:val="745443C6"/>
    <w:rsid w:val="74685677"/>
    <w:rsid w:val="74895730"/>
    <w:rsid w:val="74943E9C"/>
    <w:rsid w:val="749A50E1"/>
    <w:rsid w:val="749B1FF5"/>
    <w:rsid w:val="749F1AE5"/>
    <w:rsid w:val="74A0551B"/>
    <w:rsid w:val="74A30713"/>
    <w:rsid w:val="74B6122E"/>
    <w:rsid w:val="74C46221"/>
    <w:rsid w:val="74C54CA2"/>
    <w:rsid w:val="74CA6436"/>
    <w:rsid w:val="74DD1818"/>
    <w:rsid w:val="74EB5F77"/>
    <w:rsid w:val="74EE481B"/>
    <w:rsid w:val="74F2284A"/>
    <w:rsid w:val="74F26A6B"/>
    <w:rsid w:val="74FB1883"/>
    <w:rsid w:val="750F7705"/>
    <w:rsid w:val="752014C6"/>
    <w:rsid w:val="75241FEA"/>
    <w:rsid w:val="75275B9B"/>
    <w:rsid w:val="75275C40"/>
    <w:rsid w:val="752D0D38"/>
    <w:rsid w:val="753560F9"/>
    <w:rsid w:val="75482A22"/>
    <w:rsid w:val="75621E17"/>
    <w:rsid w:val="758208D8"/>
    <w:rsid w:val="758A424E"/>
    <w:rsid w:val="758E3C4E"/>
    <w:rsid w:val="75947170"/>
    <w:rsid w:val="75A44310"/>
    <w:rsid w:val="75B52BD6"/>
    <w:rsid w:val="75B72D40"/>
    <w:rsid w:val="75BB6DDA"/>
    <w:rsid w:val="75BC0475"/>
    <w:rsid w:val="75BF50AF"/>
    <w:rsid w:val="75C84C1B"/>
    <w:rsid w:val="75E14175"/>
    <w:rsid w:val="75E1612D"/>
    <w:rsid w:val="75E85141"/>
    <w:rsid w:val="75F76319"/>
    <w:rsid w:val="76094035"/>
    <w:rsid w:val="760A3051"/>
    <w:rsid w:val="760B6D06"/>
    <w:rsid w:val="761262E7"/>
    <w:rsid w:val="76155DFB"/>
    <w:rsid w:val="761757F3"/>
    <w:rsid w:val="76230272"/>
    <w:rsid w:val="76263B40"/>
    <w:rsid w:val="76360227"/>
    <w:rsid w:val="76371C9A"/>
    <w:rsid w:val="763E40F3"/>
    <w:rsid w:val="764D35D7"/>
    <w:rsid w:val="76581B86"/>
    <w:rsid w:val="765A1DB4"/>
    <w:rsid w:val="765A68B9"/>
    <w:rsid w:val="765D1540"/>
    <w:rsid w:val="7662023E"/>
    <w:rsid w:val="76643AE7"/>
    <w:rsid w:val="767A306F"/>
    <w:rsid w:val="768309E0"/>
    <w:rsid w:val="7684793E"/>
    <w:rsid w:val="769767EC"/>
    <w:rsid w:val="76983734"/>
    <w:rsid w:val="76A235BC"/>
    <w:rsid w:val="76B305FF"/>
    <w:rsid w:val="76C02622"/>
    <w:rsid w:val="76C04379"/>
    <w:rsid w:val="76D66190"/>
    <w:rsid w:val="76F352B7"/>
    <w:rsid w:val="76F62536"/>
    <w:rsid w:val="76F63F8E"/>
    <w:rsid w:val="7705394C"/>
    <w:rsid w:val="77097DD0"/>
    <w:rsid w:val="771E4103"/>
    <w:rsid w:val="77541DD9"/>
    <w:rsid w:val="77560455"/>
    <w:rsid w:val="775B3563"/>
    <w:rsid w:val="77737259"/>
    <w:rsid w:val="77750B1E"/>
    <w:rsid w:val="77785FC0"/>
    <w:rsid w:val="777C69F4"/>
    <w:rsid w:val="7782124A"/>
    <w:rsid w:val="779D6D1F"/>
    <w:rsid w:val="77B37656"/>
    <w:rsid w:val="77C3377A"/>
    <w:rsid w:val="77C35AEB"/>
    <w:rsid w:val="77C51D8C"/>
    <w:rsid w:val="77C655DB"/>
    <w:rsid w:val="77C74EAF"/>
    <w:rsid w:val="77DE46D3"/>
    <w:rsid w:val="77E617D9"/>
    <w:rsid w:val="77EB6DF0"/>
    <w:rsid w:val="77EE6703"/>
    <w:rsid w:val="77F43EF6"/>
    <w:rsid w:val="77F54AD9"/>
    <w:rsid w:val="78024049"/>
    <w:rsid w:val="780802FA"/>
    <w:rsid w:val="78177082"/>
    <w:rsid w:val="781A4D19"/>
    <w:rsid w:val="78212811"/>
    <w:rsid w:val="78291AB0"/>
    <w:rsid w:val="78320EC2"/>
    <w:rsid w:val="7843609F"/>
    <w:rsid w:val="784B2D5A"/>
    <w:rsid w:val="785051F3"/>
    <w:rsid w:val="78632E2A"/>
    <w:rsid w:val="78646F86"/>
    <w:rsid w:val="787057C4"/>
    <w:rsid w:val="78727E4E"/>
    <w:rsid w:val="7873289B"/>
    <w:rsid w:val="787B63C5"/>
    <w:rsid w:val="7888098F"/>
    <w:rsid w:val="78880AE2"/>
    <w:rsid w:val="78886D34"/>
    <w:rsid w:val="788A0834"/>
    <w:rsid w:val="789336DE"/>
    <w:rsid w:val="78A23952"/>
    <w:rsid w:val="78AE072B"/>
    <w:rsid w:val="78AE0DB3"/>
    <w:rsid w:val="78B638A1"/>
    <w:rsid w:val="78C12F29"/>
    <w:rsid w:val="78C7160B"/>
    <w:rsid w:val="78CD0CE6"/>
    <w:rsid w:val="78CE6947"/>
    <w:rsid w:val="79017595"/>
    <w:rsid w:val="790C6D01"/>
    <w:rsid w:val="79121A2E"/>
    <w:rsid w:val="791D122B"/>
    <w:rsid w:val="79231E78"/>
    <w:rsid w:val="79294073"/>
    <w:rsid w:val="792B34EF"/>
    <w:rsid w:val="792B7DEB"/>
    <w:rsid w:val="79325BEF"/>
    <w:rsid w:val="793B3DA7"/>
    <w:rsid w:val="79420C91"/>
    <w:rsid w:val="79450781"/>
    <w:rsid w:val="79532003"/>
    <w:rsid w:val="795821A2"/>
    <w:rsid w:val="797445F1"/>
    <w:rsid w:val="79763A5F"/>
    <w:rsid w:val="79821A9D"/>
    <w:rsid w:val="79A75DED"/>
    <w:rsid w:val="79BB0B66"/>
    <w:rsid w:val="79BC3EB0"/>
    <w:rsid w:val="79D02741"/>
    <w:rsid w:val="79E57808"/>
    <w:rsid w:val="79E91A91"/>
    <w:rsid w:val="79F20909"/>
    <w:rsid w:val="7A02015B"/>
    <w:rsid w:val="7A0648A7"/>
    <w:rsid w:val="7A096D9E"/>
    <w:rsid w:val="7A0E5017"/>
    <w:rsid w:val="7A116EA2"/>
    <w:rsid w:val="7A1350B3"/>
    <w:rsid w:val="7A2041A1"/>
    <w:rsid w:val="7A2454C3"/>
    <w:rsid w:val="7A2E7B6A"/>
    <w:rsid w:val="7A3D378A"/>
    <w:rsid w:val="7A4A42A1"/>
    <w:rsid w:val="7A4D2AE1"/>
    <w:rsid w:val="7A527E3C"/>
    <w:rsid w:val="7A886B78"/>
    <w:rsid w:val="7A8D0632"/>
    <w:rsid w:val="7A940CEF"/>
    <w:rsid w:val="7A981A09"/>
    <w:rsid w:val="7AA42D9E"/>
    <w:rsid w:val="7AB908C6"/>
    <w:rsid w:val="7ABD4A62"/>
    <w:rsid w:val="7AC06311"/>
    <w:rsid w:val="7ADB1185"/>
    <w:rsid w:val="7AEF6BF7"/>
    <w:rsid w:val="7AF27FBF"/>
    <w:rsid w:val="7AF97A75"/>
    <w:rsid w:val="7B217224"/>
    <w:rsid w:val="7B354232"/>
    <w:rsid w:val="7B46489C"/>
    <w:rsid w:val="7B5353D8"/>
    <w:rsid w:val="7B53600E"/>
    <w:rsid w:val="7B660B9C"/>
    <w:rsid w:val="7B737828"/>
    <w:rsid w:val="7B7E43E3"/>
    <w:rsid w:val="7B864A64"/>
    <w:rsid w:val="7B973491"/>
    <w:rsid w:val="7BAF222A"/>
    <w:rsid w:val="7BB43953"/>
    <w:rsid w:val="7BB87930"/>
    <w:rsid w:val="7BBF13B3"/>
    <w:rsid w:val="7BD15117"/>
    <w:rsid w:val="7BD27A5D"/>
    <w:rsid w:val="7BD60A58"/>
    <w:rsid w:val="7BDC1EC1"/>
    <w:rsid w:val="7BDF0A19"/>
    <w:rsid w:val="7BE1477E"/>
    <w:rsid w:val="7BED5740"/>
    <w:rsid w:val="7BFD3FCE"/>
    <w:rsid w:val="7C010D1F"/>
    <w:rsid w:val="7C085991"/>
    <w:rsid w:val="7C0F2B75"/>
    <w:rsid w:val="7C1508DF"/>
    <w:rsid w:val="7C2B29AB"/>
    <w:rsid w:val="7C37476C"/>
    <w:rsid w:val="7C445F6B"/>
    <w:rsid w:val="7C465062"/>
    <w:rsid w:val="7C4A252D"/>
    <w:rsid w:val="7C4A67DB"/>
    <w:rsid w:val="7C4F3EB5"/>
    <w:rsid w:val="7C550AA2"/>
    <w:rsid w:val="7C5D397B"/>
    <w:rsid w:val="7C5E2BFE"/>
    <w:rsid w:val="7C6B1D2B"/>
    <w:rsid w:val="7C6C62C5"/>
    <w:rsid w:val="7C75137E"/>
    <w:rsid w:val="7C923CDE"/>
    <w:rsid w:val="7C9C1750"/>
    <w:rsid w:val="7C9F18C8"/>
    <w:rsid w:val="7CA0289E"/>
    <w:rsid w:val="7CBA3AAE"/>
    <w:rsid w:val="7CC443BD"/>
    <w:rsid w:val="7CC72DC3"/>
    <w:rsid w:val="7CE81B50"/>
    <w:rsid w:val="7D1564DB"/>
    <w:rsid w:val="7D1A3036"/>
    <w:rsid w:val="7D1C1DCC"/>
    <w:rsid w:val="7D212011"/>
    <w:rsid w:val="7D282A1A"/>
    <w:rsid w:val="7D2A660C"/>
    <w:rsid w:val="7D366731"/>
    <w:rsid w:val="7D3D1E9B"/>
    <w:rsid w:val="7D513B99"/>
    <w:rsid w:val="7D5176F5"/>
    <w:rsid w:val="7D5353F5"/>
    <w:rsid w:val="7D552799"/>
    <w:rsid w:val="7D6F7660"/>
    <w:rsid w:val="7D746A0E"/>
    <w:rsid w:val="7D7776E4"/>
    <w:rsid w:val="7D7B1F42"/>
    <w:rsid w:val="7D8B6E4D"/>
    <w:rsid w:val="7D8E1243"/>
    <w:rsid w:val="7D917500"/>
    <w:rsid w:val="7D935F5F"/>
    <w:rsid w:val="7DA95783"/>
    <w:rsid w:val="7DAA70EE"/>
    <w:rsid w:val="7DCA16EC"/>
    <w:rsid w:val="7DD32800"/>
    <w:rsid w:val="7DD52BE0"/>
    <w:rsid w:val="7DE467BB"/>
    <w:rsid w:val="7DF52776"/>
    <w:rsid w:val="7DFA7D8C"/>
    <w:rsid w:val="7E012B5A"/>
    <w:rsid w:val="7E09289C"/>
    <w:rsid w:val="7E133C92"/>
    <w:rsid w:val="7E150010"/>
    <w:rsid w:val="7E153D01"/>
    <w:rsid w:val="7E176C01"/>
    <w:rsid w:val="7E1A4D7A"/>
    <w:rsid w:val="7E2D63B4"/>
    <w:rsid w:val="7E35461F"/>
    <w:rsid w:val="7E361EBB"/>
    <w:rsid w:val="7E525835"/>
    <w:rsid w:val="7E5E47BF"/>
    <w:rsid w:val="7E5F4018"/>
    <w:rsid w:val="7E6943E0"/>
    <w:rsid w:val="7E7E10FB"/>
    <w:rsid w:val="7E843835"/>
    <w:rsid w:val="7E8C712F"/>
    <w:rsid w:val="7E993502"/>
    <w:rsid w:val="7E9E1908"/>
    <w:rsid w:val="7EA0044B"/>
    <w:rsid w:val="7EA87DB4"/>
    <w:rsid w:val="7EC35188"/>
    <w:rsid w:val="7EC7646A"/>
    <w:rsid w:val="7ECA3E11"/>
    <w:rsid w:val="7ED405DD"/>
    <w:rsid w:val="7ED62316"/>
    <w:rsid w:val="7EDF1235"/>
    <w:rsid w:val="7EE36A72"/>
    <w:rsid w:val="7EF4608E"/>
    <w:rsid w:val="7EFE1AFE"/>
    <w:rsid w:val="7F0A3FFF"/>
    <w:rsid w:val="7F153328"/>
    <w:rsid w:val="7F196938"/>
    <w:rsid w:val="7F217AD5"/>
    <w:rsid w:val="7F2210EE"/>
    <w:rsid w:val="7F436EBA"/>
    <w:rsid w:val="7F46773E"/>
    <w:rsid w:val="7F4B6252"/>
    <w:rsid w:val="7F531F0C"/>
    <w:rsid w:val="7F547970"/>
    <w:rsid w:val="7F5E2CF2"/>
    <w:rsid w:val="7F7B4EFD"/>
    <w:rsid w:val="7F7D5E5E"/>
    <w:rsid w:val="7F89736C"/>
    <w:rsid w:val="7F9B559F"/>
    <w:rsid w:val="7FAE0E2E"/>
    <w:rsid w:val="7FBA59C5"/>
    <w:rsid w:val="7FCC4CBB"/>
    <w:rsid w:val="7FDB18A6"/>
    <w:rsid w:val="7FDB4950"/>
    <w:rsid w:val="7FE14118"/>
    <w:rsid w:val="7FEE1B73"/>
    <w:rsid w:val="7FF04A62"/>
    <w:rsid w:val="7FF865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jc w:val="left"/>
    </w:pPr>
    <w:rPr>
      <w:rFonts w:asciiTheme="minorHAnsi" w:hAnsiTheme="minorHAnsi" w:eastAsiaTheme="minorEastAsia" w:cstheme="minorBidi"/>
      <w:kern w:val="0"/>
      <w:sz w:val="24"/>
      <w:szCs w:val="24"/>
      <w:lang w:val="en-US" w:eastAsia="zh-CN" w:bidi="ar"/>
    </w:rPr>
  </w:style>
  <w:style w:type="paragraph" w:styleId="4">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5">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17">
    <w:name w:val="Default Paragraph Font"/>
    <w:autoRedefine/>
    <w:semiHidden/>
    <w:qFormat/>
    <w:uiPriority w:val="0"/>
  </w:style>
  <w:style w:type="table" w:default="1" w:styleId="15">
    <w:name w:val="Normal Table"/>
    <w:autoRedefin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style>
  <w:style w:type="paragraph" w:styleId="3">
    <w:name w:val="Body Text Indent"/>
    <w:basedOn w:val="1"/>
    <w:qFormat/>
    <w:uiPriority w:val="0"/>
    <w:pPr>
      <w:ind w:firstLine="720" w:firstLineChars="257"/>
    </w:pPr>
    <w:rPr>
      <w:rFonts w:ascii="Calibri" w:hAnsi="Calibri" w:cs="Times New Roman"/>
      <w:kern w:val="0"/>
      <w:sz w:val="20"/>
    </w:rPr>
  </w:style>
  <w:style w:type="paragraph" w:styleId="6">
    <w:name w:val="Normal Indent"/>
    <w:basedOn w:val="1"/>
    <w:semiHidden/>
    <w:unhideWhenUsed/>
    <w:qFormat/>
    <w:uiPriority w:val="99"/>
    <w:pPr>
      <w:ind w:firstLine="420" w:firstLineChars="200"/>
    </w:pPr>
  </w:style>
  <w:style w:type="paragraph" w:styleId="7">
    <w:name w:val="Body Text"/>
    <w:basedOn w:val="1"/>
    <w:autoRedefine/>
    <w:qFormat/>
    <w:uiPriority w:val="1"/>
    <w:rPr>
      <w:sz w:val="28"/>
      <w:szCs w:val="28"/>
    </w:rPr>
  </w:style>
  <w:style w:type="paragraph" w:styleId="8">
    <w:name w:val="toc 5"/>
    <w:basedOn w:val="1"/>
    <w:next w:val="1"/>
    <w:qFormat/>
    <w:uiPriority w:val="0"/>
    <w:pPr>
      <w:ind w:left="1680" w:leftChars="800"/>
    </w:pPr>
    <w:rPr>
      <w:rFonts w:ascii="Times New Roman" w:hAnsi="Times New Roman" w:eastAsia="宋体" w:cs="Times New Roman"/>
      <w:szCs w:val="24"/>
    </w:rPr>
  </w:style>
  <w:style w:type="paragraph" w:styleId="9">
    <w:name w:val="Body Text Indent 2"/>
    <w:basedOn w:val="1"/>
    <w:qFormat/>
    <w:uiPriority w:val="0"/>
    <w:pPr>
      <w:spacing w:after="120" w:line="480" w:lineRule="auto"/>
      <w:ind w:left="420" w:leftChars="200"/>
    </w:pPr>
  </w:style>
  <w:style w:type="paragraph" w:styleId="10">
    <w:name w:val="footer"/>
    <w:basedOn w:val="1"/>
    <w:next w:val="1"/>
    <w:unhideWhenUsed/>
    <w:qFormat/>
    <w:uiPriority w:val="99"/>
    <w:pPr>
      <w:tabs>
        <w:tab w:val="center" w:pos="4153"/>
        <w:tab w:val="right" w:pos="8306"/>
      </w:tabs>
      <w:snapToGrid w:val="0"/>
    </w:pPr>
    <w:rPr>
      <w:sz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2">
    <w:name w:val="toc 1"/>
    <w:basedOn w:val="1"/>
    <w:next w:val="1"/>
    <w:qFormat/>
    <w:uiPriority w:val="0"/>
  </w:style>
  <w:style w:type="paragraph" w:styleId="13">
    <w:name w:val="toc 2"/>
    <w:basedOn w:val="1"/>
    <w:next w:val="1"/>
    <w:autoRedefine/>
    <w:qFormat/>
    <w:uiPriority w:val="0"/>
    <w:pPr>
      <w:ind w:left="420" w:leftChars="200"/>
    </w:pPr>
  </w:style>
  <w:style w:type="paragraph" w:styleId="14">
    <w:name w:val="Normal (Web)"/>
    <w:basedOn w:val="1"/>
    <w:qFormat/>
    <w:uiPriority w:val="0"/>
    <w:pPr>
      <w:spacing w:before="0" w:beforeAutospacing="1" w:after="0" w:afterAutospacing="1"/>
      <w:ind w:left="0" w:right="0"/>
      <w:jc w:val="left"/>
    </w:pPr>
    <w:rPr>
      <w:kern w:val="0"/>
      <w:sz w:val="24"/>
      <w:lang w:val="en-US" w:eastAsia="zh-CN" w:bidi="ar"/>
    </w:rPr>
  </w:style>
  <w:style w:type="table" w:styleId="16">
    <w:name w:val="Table Grid"/>
    <w:basedOn w:val="15"/>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Strong"/>
    <w:basedOn w:val="17"/>
    <w:autoRedefine/>
    <w:qFormat/>
    <w:uiPriority w:val="0"/>
    <w:rPr>
      <w:b/>
    </w:rPr>
  </w:style>
  <w:style w:type="paragraph" w:customStyle="1" w:styleId="19">
    <w:name w:val="Table Text"/>
    <w:basedOn w:val="1"/>
    <w:autoRedefine/>
    <w:semiHidden/>
    <w:qFormat/>
    <w:uiPriority w:val="0"/>
    <w:rPr>
      <w:rFonts w:ascii="宋体" w:hAnsi="宋体" w:eastAsia="宋体" w:cs="宋体"/>
      <w:sz w:val="18"/>
      <w:szCs w:val="18"/>
      <w:lang w:val="en-US" w:eastAsia="en-US" w:bidi="ar-SA"/>
    </w:rPr>
  </w:style>
  <w:style w:type="character" w:customStyle="1" w:styleId="20">
    <w:name w:val="font41"/>
    <w:basedOn w:val="17"/>
    <w:autoRedefine/>
    <w:qFormat/>
    <w:uiPriority w:val="0"/>
    <w:rPr>
      <w:rFonts w:hint="eastAsia" w:ascii="宋体" w:hAnsi="宋体" w:eastAsia="宋体" w:cs="宋体"/>
      <w:color w:val="000000"/>
      <w:sz w:val="18"/>
      <w:szCs w:val="18"/>
      <w:u w:val="none"/>
    </w:rPr>
  </w:style>
  <w:style w:type="character" w:customStyle="1" w:styleId="21">
    <w:name w:val="font51"/>
    <w:basedOn w:val="17"/>
    <w:autoRedefine/>
    <w:qFormat/>
    <w:uiPriority w:val="0"/>
    <w:rPr>
      <w:rFonts w:hint="eastAsia" w:ascii="宋体" w:hAnsi="宋体" w:eastAsia="宋体" w:cs="宋体"/>
      <w:color w:val="000000"/>
      <w:sz w:val="18"/>
      <w:szCs w:val="18"/>
      <w:u w:val="none"/>
    </w:rPr>
  </w:style>
  <w:style w:type="character" w:customStyle="1" w:styleId="22">
    <w:name w:val="font11"/>
    <w:basedOn w:val="17"/>
    <w:qFormat/>
    <w:uiPriority w:val="0"/>
    <w:rPr>
      <w:rFonts w:hint="eastAsia" w:ascii="宋体" w:hAnsi="宋体" w:eastAsia="宋体" w:cs="宋体"/>
      <w:color w:val="000000"/>
      <w:sz w:val="22"/>
      <w:szCs w:val="22"/>
      <w:u w:val="none"/>
    </w:rPr>
  </w:style>
  <w:style w:type="character" w:customStyle="1" w:styleId="23">
    <w:name w:val="font21"/>
    <w:basedOn w:val="17"/>
    <w:qFormat/>
    <w:uiPriority w:val="0"/>
    <w:rPr>
      <w:rFonts w:hint="eastAsia" w:ascii="宋体" w:hAnsi="宋体" w:eastAsia="宋体" w:cs="宋体"/>
      <w:color w:val="000000"/>
      <w:sz w:val="21"/>
      <w:szCs w:val="21"/>
      <w:u w:val="none"/>
    </w:rPr>
  </w:style>
  <w:style w:type="character" w:customStyle="1" w:styleId="24">
    <w:name w:val="font01"/>
    <w:basedOn w:val="17"/>
    <w:qFormat/>
    <w:uiPriority w:val="0"/>
    <w:rPr>
      <w:rFonts w:hint="eastAsia" w:ascii="宋体" w:hAnsi="宋体" w:eastAsia="宋体" w:cs="宋体"/>
      <w:color w:val="000000"/>
      <w:sz w:val="22"/>
      <w:szCs w:val="22"/>
      <w:u w:val="none"/>
    </w:rPr>
  </w:style>
  <w:style w:type="character" w:customStyle="1" w:styleId="25">
    <w:name w:val="font31"/>
    <w:basedOn w:val="17"/>
    <w:qFormat/>
    <w:uiPriority w:val="0"/>
    <w:rPr>
      <w:rFonts w:ascii="Arial" w:hAnsi="Arial" w:cs="Arial"/>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image" Target="media/image3.emf"/><Relationship Id="rId8" Type="http://schemas.openxmlformats.org/officeDocument/2006/relationships/image" Target="media/image2.emf"/><Relationship Id="rId7" Type="http://schemas.openxmlformats.org/officeDocument/2006/relationships/image" Target="media/image1.emf"/><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2.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6.emf"/><Relationship Id="rId13" Type="http://schemas.openxmlformats.org/officeDocument/2006/relationships/chart" Target="charts/chart2.xml"/><Relationship Id="rId12" Type="http://schemas.openxmlformats.org/officeDocument/2006/relationships/image" Target="media/image5.emf"/><Relationship Id="rId11" Type="http://schemas.openxmlformats.org/officeDocument/2006/relationships/chart" Target="charts/chart1.xml"/><Relationship Id="rId10" Type="http://schemas.openxmlformats.org/officeDocument/2006/relationships/image" Target="media/image4.emf"/><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E:\2025.2.1-2025.4.30\7.7.7&#32489;&#25928;&#25253;&#21578;&#31609;&#22791;&#38454;&#27573;&#21450;&#19994;&#21153;&#38454;&#27573;\1&#27491;&#24335;&#36164;&#26009;&#21450;&#35201;&#27714;&#23454;&#26045;&#38454;&#27573;\000004.8&#21306;&#32489;&#25928;&#35780;&#20215;&#36827;&#22330;&#19994;&#21153;&#21450;&#23567;&#32467;\1&#32489;&#25928;&#35780;&#20215;&#19994;&#21153;2025.4&#19994;&#21153;&#27719;&#24635;\B&#32452;&#24213;&#31295;\B&#32452;9&#21495;&#25919;&#24220;&#21150;&#25972;&#20307;&#25903;&#20986;&#36164;&#26009;\&#25903;&#20184;&#30003;&#35831;&#26126;&#32454;&#25253;&#34920;&#26597;&#35810;&#25919;&#24220;&#21150;.xlsx"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E:\2025.2.1-2025.4.30\7.7.7&#32489;&#25928;&#25253;&#21578;&#31609;&#22791;&#38454;&#27573;&#21450;&#19994;&#21153;&#38454;&#27573;\1&#27491;&#24335;&#36164;&#26009;&#21450;&#35201;&#27714;&#23454;&#26045;&#38454;&#27573;\000004.8&#21306;&#32489;&#25928;&#35780;&#20215;&#36827;&#22330;&#19994;&#21153;&#21450;&#23567;&#32467;\1&#32489;&#25928;&#35780;&#20215;&#19994;&#21153;2025.4&#19994;&#21153;&#27719;&#24635;\B&#32452;&#24213;&#31295;\B&#32452;9&#21495;&#25919;&#24220;&#21150;&#25972;&#20307;&#25903;&#20986;&#36164;&#26009;\&#25903;&#20184;&#30003;&#35831;&#26126;&#32454;&#25253;&#34920;&#26597;&#35810;&#25919;&#24220;&#21150;.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财政直接支付与财政授权支付对比图（金额：元）</a:t>
            </a:r>
          </a:p>
        </c:rich>
      </c:tx>
      <c:layout/>
      <c:overlay val="0"/>
      <c:spPr>
        <a:noFill/>
        <a:ln>
          <a:noFill/>
        </a:ln>
        <a:effectLst/>
      </c:spPr>
    </c:title>
    <c:autoTitleDeleted val="0"/>
    <c:plotArea>
      <c:layout/>
      <c:pieChart>
        <c:varyColors val="1"/>
        <c:ser>
          <c:idx val="0"/>
          <c:order val="0"/>
          <c:tx>
            <c:strRef>
              <c:f>[支付申请明细报表查询政府办.xlsx]新!$D$847</c:f>
              <c:strCache>
                <c:ptCount val="1"/>
                <c:pt idx="0">
                  <c:v>金额</c:v>
                </c:pt>
              </c:strCache>
            </c:strRef>
          </c:tx>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Lbls>
            <c:dLbl>
              <c:idx val="0"/>
              <c:layout/>
              <c:dLblPos val="bestFit"/>
              <c:showLegendKey val="0"/>
              <c:showVal val="1"/>
              <c:showCatName val="0"/>
              <c:showSerName val="0"/>
              <c:showPercent val="1"/>
              <c:showBubbleSize val="0"/>
              <c:extLst>
                <c:ext xmlns:c15="http://schemas.microsoft.com/office/drawing/2012/chart" uri="{CE6537A1-D6FC-4f65-9D91-7224C49458BB}">
                  <c15:layout/>
                  <c15:dlblFieldTable/>
                  <c15:xForSave val="1"/>
                  <c15:showDataLabelsRange val="1"/>
                </c:ext>
              </c:extLst>
            </c:dLbl>
            <c:dLbl>
              <c:idx val="1"/>
              <c:layout/>
              <c:dLblPos val="bestFit"/>
              <c:showLegendKey val="0"/>
              <c:showVal val="1"/>
              <c:showCatName val="0"/>
              <c:showSerName val="0"/>
              <c:showPercent val="1"/>
              <c:showBubbleSize val="0"/>
              <c:extLst>
                <c:ext xmlns:c15="http://schemas.microsoft.com/office/drawing/2012/chart" uri="{CE6537A1-D6FC-4f65-9D91-7224C49458BB}">
                  <c15:layout/>
                  <c15:dlblFieldTable/>
                  <c15:xForSave val="1"/>
                  <c15:showDataLabelsRange val="1"/>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1"/>
            <c:showBubbleSize val="0"/>
            <c:showLeaderLines val="1"/>
            <c:extLst>
              <c:ext xmlns:c15="http://schemas.microsoft.com/office/drawing/2012/chart" uri="{CE6537A1-D6FC-4f65-9D91-7224C49458BB}">
                <c15:layout/>
                <c15:showDataLabelsRange val="1"/>
                <c15:showLeaderLines val="1"/>
                <c15:leaderLines>
                  <c:spPr>
                    <a:ln w="9525" cap="flat" cmpd="sng" algn="ctr">
                      <a:solidFill>
                        <a:schemeClr val="tx1">
                          <a:lumMod val="35000"/>
                          <a:lumOff val="65000"/>
                        </a:schemeClr>
                      </a:solidFill>
                      <a:round/>
                    </a:ln>
                    <a:effectLst/>
                  </c:spPr>
                </c15:leaderLines>
              </c:ext>
            </c:extLst>
          </c:dLbls>
          <c:cat>
            <c:strRef>
              <c:f>[支付申请明细报表查询政府办.xlsx]新!$C$848:$C$849</c:f>
              <c:strCache>
                <c:ptCount val="2"/>
                <c:pt idx="0">
                  <c:v>雁峰区财政局零余额账户</c:v>
                </c:pt>
                <c:pt idx="1">
                  <c:v>雁峰区人民政府办公室</c:v>
                </c:pt>
              </c:strCache>
            </c:strRef>
          </c:cat>
          <c:val>
            <c:numRef>
              <c:f>[支付申请明细报表查询政府办.xlsx]新!$D$848:$D$849</c:f>
              <c:numCache>
                <c:formatCode>_ * #,##0.00_ ;_ * \-#,##0.00_ ;_ * "-"??_ ;_ @_ </c:formatCode>
                <c:ptCount val="2"/>
                <c:pt idx="0">
                  <c:v>3372674</c:v>
                </c:pt>
                <c:pt idx="1">
                  <c:v>20385147.9</c:v>
                </c:pt>
              </c:numCache>
            </c:numRef>
          </c:val>
          <c:extLst>
            <c:ext xmlns:c15="http://schemas.microsoft.com/office/drawing/2012/chart" uri="{02D57815-91ED-43cb-92C2-25804820EDAC}">
              <c15:datalabelsRange>
                <c15:f>新!$C$848:$C$849</c15:f>
                <c15:dlblRangeCache>
                  <c:ptCount val="2"/>
                  <c:pt idx="0">
                    <c:v>雁峰区财政局零余额账户</c:v>
                  </c:pt>
                  <c:pt idx="1">
                    <c:v>雁峰区人民政府办公室</c:v>
                  </c:pt>
                </c15:dlblRangeCache>
              </c15:datalabelsRange>
            </c:ext>
          </c:extLst>
        </c:ser>
        <c:dLbls>
          <c:showLegendKey val="0"/>
          <c:showVal val="1"/>
          <c:showCatName val="0"/>
          <c:showSerName val="0"/>
          <c:showPercent val="0"/>
          <c:showBubbleSize val="0"/>
          <c:showLeaderLines val="1"/>
        </c:dLbls>
        <c:firstSliceAng val="62"/>
      </c:pieChart>
      <c:spPr>
        <a:noFill/>
        <a:ln>
          <a:noFill/>
        </a:ln>
        <a:effectLst/>
      </c:spPr>
    </c:plotArea>
    <c:plotVisOnly val="1"/>
    <c:dispBlanksAs val="gap"/>
    <c:showDLblsOverMax val="0"/>
    <c:extLst>
      <c:ext uri="{0b15fc19-7d7d-44ad-8c2d-2c3a37ce22c3}">
        <chartProps xmlns="https://web.wps.cn/et/2018/main" chartId="{19ca79c1-8c7d-491e-86bd-bc8b88185620}"/>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指标下达数与指标使用数对比图（金额：元）</a:t>
            </a:r>
          </a:p>
        </c:rich>
      </c:tx>
      <c:layout/>
      <c:overlay val="0"/>
      <c:spPr>
        <a:noFill/>
        <a:ln>
          <a:noFill/>
        </a:ln>
        <a:effectLst/>
      </c:spPr>
    </c:title>
    <c:autoTitleDeleted val="0"/>
    <c:plotArea>
      <c:layout/>
      <c:barChart>
        <c:barDir val="col"/>
        <c:grouping val="clustered"/>
        <c:varyColors val="0"/>
        <c:ser>
          <c:idx val="0"/>
          <c:order val="0"/>
          <c:tx>
            <c:strRef>
              <c:f>[支付申请明细报表查询政府办.xlsx]新!$I$830</c:f>
              <c:strCache>
                <c:ptCount val="1"/>
                <c:pt idx="0">
                  <c:v>指标下达数</c:v>
                </c:pt>
              </c:strCache>
            </c:strRef>
          </c:tx>
          <c:spPr>
            <a:solidFill>
              <a:schemeClr val="accent1"/>
            </a:solidFill>
            <a:ln>
              <a:noFill/>
            </a:ln>
            <a:effectLst/>
          </c:spPr>
          <c:invertIfNegative val="0"/>
          <c:dLbls>
            <c:delete val="1"/>
          </c:dLbls>
          <c:cat>
            <c:strRef>
              <c:f>[支付申请明细报表查询政府办.xlsx]新!$H$831:$H$842</c:f>
              <c:strCache>
                <c:ptCount val="12"/>
                <c:pt idx="0">
                  <c:v>1月</c:v>
                </c:pt>
                <c:pt idx="1">
                  <c:v>2月</c:v>
                </c:pt>
                <c:pt idx="2">
                  <c:v>3月</c:v>
                </c:pt>
                <c:pt idx="3">
                  <c:v>4月</c:v>
                </c:pt>
                <c:pt idx="4">
                  <c:v>5月</c:v>
                </c:pt>
                <c:pt idx="5">
                  <c:v>6月</c:v>
                </c:pt>
                <c:pt idx="6">
                  <c:v>7月</c:v>
                </c:pt>
                <c:pt idx="7">
                  <c:v>8月</c:v>
                </c:pt>
                <c:pt idx="8">
                  <c:v>9月</c:v>
                </c:pt>
                <c:pt idx="9">
                  <c:v>10月</c:v>
                </c:pt>
                <c:pt idx="10">
                  <c:v>11月</c:v>
                </c:pt>
                <c:pt idx="11">
                  <c:v>12月</c:v>
                </c:pt>
              </c:strCache>
            </c:strRef>
          </c:cat>
          <c:val>
            <c:numRef>
              <c:f>[支付申请明细报表查询政府办.xlsx]新!$I$831:$I$842</c:f>
              <c:numCache>
                <c:formatCode>_ * #,##0.00_ ;_ * \-#,##0.00_ ;_ * "-"??_ ;_ @_ </c:formatCode>
                <c:ptCount val="12"/>
                <c:pt idx="0">
                  <c:v>16611871.09</c:v>
                </c:pt>
                <c:pt idx="1">
                  <c:v>329000</c:v>
                </c:pt>
                <c:pt idx="2">
                  <c:v>778159</c:v>
                </c:pt>
                <c:pt idx="3">
                  <c:v>3028000</c:v>
                </c:pt>
                <c:pt idx="4">
                  <c:v>820000</c:v>
                </c:pt>
                <c:pt idx="5">
                  <c:v>30000</c:v>
                </c:pt>
                <c:pt idx="6">
                  <c:v>130018.4</c:v>
                </c:pt>
                <c:pt idx="7">
                  <c:v>100000</c:v>
                </c:pt>
                <c:pt idx="8">
                  <c:v>402812.9</c:v>
                </c:pt>
                <c:pt idx="9">
                  <c:v>3210000</c:v>
                </c:pt>
                <c:pt idx="10">
                  <c:v>568000</c:v>
                </c:pt>
                <c:pt idx="11">
                  <c:v>2824848.44</c:v>
                </c:pt>
              </c:numCache>
            </c:numRef>
          </c:val>
        </c:ser>
        <c:ser>
          <c:idx val="1"/>
          <c:order val="1"/>
          <c:tx>
            <c:strRef>
              <c:f>[支付申请明细报表查询政府办.xlsx]新!$J$830</c:f>
              <c:strCache>
                <c:ptCount val="1"/>
                <c:pt idx="0">
                  <c:v>占比1</c:v>
                </c:pt>
              </c:strCache>
            </c:strRef>
          </c:tx>
          <c:spPr>
            <a:solidFill>
              <a:schemeClr val="accent2"/>
            </a:solidFill>
            <a:ln>
              <a:noFill/>
            </a:ln>
            <a:effectLst/>
          </c:spPr>
          <c:invertIfNegative val="0"/>
          <c:dLbls>
            <c:delete val="1"/>
          </c:dLbls>
          <c:cat>
            <c:strRef>
              <c:f>[支付申请明细报表查询政府办.xlsx]新!$H$831:$H$842</c:f>
              <c:strCache>
                <c:ptCount val="12"/>
                <c:pt idx="0">
                  <c:v>1月</c:v>
                </c:pt>
                <c:pt idx="1">
                  <c:v>2月</c:v>
                </c:pt>
                <c:pt idx="2">
                  <c:v>3月</c:v>
                </c:pt>
                <c:pt idx="3">
                  <c:v>4月</c:v>
                </c:pt>
                <c:pt idx="4">
                  <c:v>5月</c:v>
                </c:pt>
                <c:pt idx="5">
                  <c:v>6月</c:v>
                </c:pt>
                <c:pt idx="6">
                  <c:v>7月</c:v>
                </c:pt>
                <c:pt idx="7">
                  <c:v>8月</c:v>
                </c:pt>
                <c:pt idx="8">
                  <c:v>9月</c:v>
                </c:pt>
                <c:pt idx="9">
                  <c:v>10月</c:v>
                </c:pt>
                <c:pt idx="10">
                  <c:v>11月</c:v>
                </c:pt>
                <c:pt idx="11">
                  <c:v>12月</c:v>
                </c:pt>
              </c:strCache>
            </c:strRef>
          </c:cat>
          <c:val>
            <c:numRef>
              <c:f>[支付申请明细报表查询政府办.xlsx]新!$J$831:$J$842</c:f>
              <c:numCache>
                <c:formatCode>0.00%</c:formatCode>
                <c:ptCount val="12"/>
                <c:pt idx="0">
                  <c:v>0.576146716279703</c:v>
                </c:pt>
                <c:pt idx="1">
                  <c:v>0.0114106513726879</c:v>
                </c:pt>
                <c:pt idx="2">
                  <c:v>0.0269887570258949</c:v>
                </c:pt>
                <c:pt idx="3">
                  <c:v>0.105019612025832</c:v>
                </c:pt>
                <c:pt idx="4">
                  <c:v>0.0284399213544196</c:v>
                </c:pt>
                <c:pt idx="5">
                  <c:v>0.00104048492760072</c:v>
                </c:pt>
                <c:pt idx="6">
                  <c:v>0.00450940618369203</c:v>
                </c:pt>
                <c:pt idx="7">
                  <c:v>0.00346828309200239</c:v>
                </c:pt>
                <c:pt idx="8">
                  <c:v>0.0139706917031045</c:v>
                </c:pt>
                <c:pt idx="9">
                  <c:v>0.111331887253277</c:v>
                </c:pt>
                <c:pt idx="10">
                  <c:v>0.0196998479625736</c:v>
                </c:pt>
                <c:pt idx="11">
                  <c:v>0.0979737408192132</c:v>
                </c:pt>
              </c:numCache>
            </c:numRef>
          </c:val>
        </c:ser>
        <c:ser>
          <c:idx val="2"/>
          <c:order val="2"/>
          <c:tx>
            <c:strRef>
              <c:f>[支付申请明细报表查询政府办.xlsx]新!$K$830</c:f>
              <c:strCache>
                <c:ptCount val="1"/>
                <c:pt idx="0">
                  <c:v>指标使用数</c:v>
                </c:pt>
              </c:strCache>
            </c:strRef>
          </c:tx>
          <c:spPr>
            <a:solidFill>
              <a:schemeClr val="accent2"/>
            </a:solidFill>
            <a:ln>
              <a:noFill/>
            </a:ln>
            <a:effectLst/>
          </c:spPr>
          <c:invertIfNegative val="0"/>
          <c:dLbls>
            <c:delete val="1"/>
          </c:dLbls>
          <c:cat>
            <c:strRef>
              <c:f>[支付申请明细报表查询政府办.xlsx]新!$H$831:$H$842</c:f>
              <c:strCache>
                <c:ptCount val="12"/>
                <c:pt idx="0">
                  <c:v>1月</c:v>
                </c:pt>
                <c:pt idx="1">
                  <c:v>2月</c:v>
                </c:pt>
                <c:pt idx="2">
                  <c:v>3月</c:v>
                </c:pt>
                <c:pt idx="3">
                  <c:v>4月</c:v>
                </c:pt>
                <c:pt idx="4">
                  <c:v>5月</c:v>
                </c:pt>
                <c:pt idx="5">
                  <c:v>6月</c:v>
                </c:pt>
                <c:pt idx="6">
                  <c:v>7月</c:v>
                </c:pt>
                <c:pt idx="7">
                  <c:v>8月</c:v>
                </c:pt>
                <c:pt idx="8">
                  <c:v>9月</c:v>
                </c:pt>
                <c:pt idx="9">
                  <c:v>10月</c:v>
                </c:pt>
                <c:pt idx="10">
                  <c:v>11月</c:v>
                </c:pt>
                <c:pt idx="11">
                  <c:v>12月</c:v>
                </c:pt>
              </c:strCache>
            </c:strRef>
          </c:cat>
          <c:val>
            <c:numRef>
              <c:f>[支付申请明细报表查询政府办.xlsx]新!$K$831:$K$842</c:f>
              <c:numCache>
                <c:formatCode>_ * #,##0.00_ ;_ * \-#,##0.00_ ;_ * "-"??_ ;_ @_ </c:formatCode>
                <c:ptCount val="12"/>
                <c:pt idx="0">
                  <c:v>1031074.32</c:v>
                </c:pt>
                <c:pt idx="1">
                  <c:v>6706133.91</c:v>
                </c:pt>
                <c:pt idx="2">
                  <c:v>728093.08</c:v>
                </c:pt>
                <c:pt idx="3">
                  <c:v>1705808.92</c:v>
                </c:pt>
                <c:pt idx="4">
                  <c:v>1745498.98</c:v>
                </c:pt>
                <c:pt idx="5">
                  <c:v>3276634.59</c:v>
                </c:pt>
                <c:pt idx="6">
                  <c:v>1851733.71</c:v>
                </c:pt>
                <c:pt idx="7">
                  <c:v>869095.04</c:v>
                </c:pt>
                <c:pt idx="8">
                  <c:v>1395632.07</c:v>
                </c:pt>
                <c:pt idx="9">
                  <c:v>504912.78</c:v>
                </c:pt>
                <c:pt idx="10">
                  <c:v>1111335.02</c:v>
                </c:pt>
                <c:pt idx="11">
                  <c:v>2831869.48</c:v>
                </c:pt>
              </c:numCache>
            </c:numRef>
          </c:val>
        </c:ser>
        <c:ser>
          <c:idx val="3"/>
          <c:order val="3"/>
          <c:tx>
            <c:strRef>
              <c:f>[支付申请明细报表查询政府办.xlsx]新!$L$830</c:f>
              <c:strCache>
                <c:ptCount val="1"/>
                <c:pt idx="0">
                  <c:v>占比2</c:v>
                </c:pt>
              </c:strCache>
            </c:strRef>
          </c:tx>
          <c:spPr>
            <a:solidFill>
              <a:schemeClr val="accent4"/>
            </a:solidFill>
            <a:ln>
              <a:noFill/>
            </a:ln>
            <a:effectLst/>
          </c:spPr>
          <c:invertIfNegative val="0"/>
          <c:dLbls>
            <c:delete val="1"/>
          </c:dLbls>
          <c:cat>
            <c:strRef>
              <c:f>[支付申请明细报表查询政府办.xlsx]新!$H$831:$H$842</c:f>
              <c:strCache>
                <c:ptCount val="12"/>
                <c:pt idx="0">
                  <c:v>1月</c:v>
                </c:pt>
                <c:pt idx="1">
                  <c:v>2月</c:v>
                </c:pt>
                <c:pt idx="2">
                  <c:v>3月</c:v>
                </c:pt>
                <c:pt idx="3">
                  <c:v>4月</c:v>
                </c:pt>
                <c:pt idx="4">
                  <c:v>5月</c:v>
                </c:pt>
                <c:pt idx="5">
                  <c:v>6月</c:v>
                </c:pt>
                <c:pt idx="6">
                  <c:v>7月</c:v>
                </c:pt>
                <c:pt idx="7">
                  <c:v>8月</c:v>
                </c:pt>
                <c:pt idx="8">
                  <c:v>9月</c:v>
                </c:pt>
                <c:pt idx="9">
                  <c:v>10月</c:v>
                </c:pt>
                <c:pt idx="10">
                  <c:v>11月</c:v>
                </c:pt>
                <c:pt idx="11">
                  <c:v>12月</c:v>
                </c:pt>
              </c:strCache>
            </c:strRef>
          </c:cat>
          <c:val>
            <c:numRef>
              <c:f>[支付申请明细报表查询政府办.xlsx]新!$L$831:$L$842</c:f>
              <c:numCache>
                <c:formatCode>0.00%</c:formatCode>
                <c:ptCount val="12"/>
                <c:pt idx="0">
                  <c:v>0.0433993622959182</c:v>
                </c:pt>
                <c:pt idx="1">
                  <c:v>0.282270569172</c:v>
                </c:pt>
                <c:pt idx="2">
                  <c:v>0.030646457535739</c:v>
                </c:pt>
                <c:pt idx="3">
                  <c:v>0.0717998866722711</c:v>
                </c:pt>
                <c:pt idx="4">
                  <c:v>0.0734704968892792</c:v>
                </c:pt>
                <c:pt idx="5">
                  <c:v>0.137918139288686</c:v>
                </c:pt>
                <c:pt idx="6">
                  <c:v>0.0779420654719194</c:v>
                </c:pt>
                <c:pt idx="7">
                  <c:v>0.0365814275255595</c:v>
                </c:pt>
                <c:pt idx="8">
                  <c:v>0.0587441086087105</c:v>
                </c:pt>
                <c:pt idx="9">
                  <c:v>0.0212524861127947</c:v>
                </c:pt>
                <c:pt idx="10">
                  <c:v>0.0467776475755128</c:v>
                </c:pt>
                <c:pt idx="11">
                  <c:v>0.11919735285161</c:v>
                </c:pt>
              </c:numCache>
            </c:numRef>
          </c:val>
        </c:ser>
        <c:dLbls>
          <c:showLegendKey val="0"/>
          <c:showVal val="0"/>
          <c:showCatName val="0"/>
          <c:showSerName val="0"/>
          <c:showPercent val="0"/>
          <c:showBubbleSize val="0"/>
        </c:dLbls>
        <c:gapWidth val="21"/>
        <c:overlap val="50"/>
        <c:axId val="209681598"/>
        <c:axId val="17835023"/>
      </c:barChart>
      <c:catAx>
        <c:axId val="209681598"/>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835023"/>
        <c:crosses val="autoZero"/>
        <c:auto val="1"/>
        <c:lblAlgn val="ctr"/>
        <c:lblOffset val="100"/>
        <c:noMultiLvlLbl val="0"/>
      </c:catAx>
      <c:valAx>
        <c:axId val="17835023"/>
        <c:scaling>
          <c:orientation val="minMax"/>
        </c:scaling>
        <c:delete val="0"/>
        <c:axPos val="l"/>
        <c:majorGridlines>
          <c:spPr>
            <a:ln w="9525" cap="flat" cmpd="sng" algn="ctr">
              <a:solidFill>
                <a:schemeClr val="lt1">
                  <a:lumMod val="90200"/>
                </a:schemeClr>
              </a:solidFill>
              <a:round/>
            </a:ln>
            <a:effectLst/>
          </c:spPr>
        </c:majorGridlines>
        <c:numFmt formatCode="_ * #,##0.00_ ;_ * \-#,##0.00_ ;_ * &quot;-&quot;??_ ;_ @_ "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09681598"/>
        <c:crosses val="autoZero"/>
        <c:crossBetween val="between"/>
      </c:valAx>
      <c:spPr>
        <a:noFill/>
        <a:ln>
          <a:noFill/>
        </a:ln>
        <a:effectLst/>
      </c:spPr>
    </c:plotArea>
    <c:legend>
      <c:legendPos val="b"/>
      <c:legendEntry>
        <c:idx val="1"/>
        <c:delete val="1"/>
      </c:legendEntry>
      <c:legendEntry>
        <c:idx val="3"/>
        <c:delete val="1"/>
      </c:legendEntry>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b22e565d-831a-463b-9ef4-49ea773baa2d}"/>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15833f4c-07dc-4276-81d7-5738b7708562</errorID>
      <errorWord>[2025]</errorWord>
      <group>L1_Punc</group>
      <groupName>标点问题</groupName>
      <ability>L2_Punc</ability>
      <abilityName>标点符号检查</abilityName>
      <candidateList>
        <item>〔2025〕</item>
      </candidateList>
      <explain/>
      <paraID>59FC2698</paraID>
      <start>5</start>
      <end>11</end>
      <status>unmodified</status>
      <modifiedWord/>
      <trackRevisions>false</trackRevisions>
    </reviewItem>
    <reviewItem>
      <errorID>67996b38-fbf1-4906-b190-a8a49f9b588f</errorID>
      <errorWord>[2025]</errorWord>
      <group>L1_Punc</group>
      <groupName>标点问题</groupName>
      <ability>L2_Punc</ability>
      <abilityName>标点符号检查</abilityName>
      <candidateList>
        <item>〔2025〕</item>
      </candidateList>
      <explain/>
      <paraID>18CF8679</paraID>
      <start>5</start>
      <end>11</end>
      <status>unmodified</status>
      <modifiedWord/>
      <trackRevisions>false</trackRevisions>
    </reviewItem>
    <reviewItem>
      <errorID>d8d15eb0-e2d0-49f4-afad-3a38b2a83892</errorID>
      <errorWord>。</errorWord>
      <group>L1_Grammar</group>
      <groupName>语法问题</groupName>
      <ability>L2_Missing</ability>
      <abilityName>成分残缺</abilityName>
      <candidateList>
        <item>的步骤。</item>
      </candidateList>
      <explain>句子中可能存在主谓宾、修饰语或者必要的词语残缺。</explain>
      <paraID>46E904E7</paraID>
      <start>108</start>
      <end>109</end>
      <status>unmodified</status>
      <modifiedWord/>
      <trackRevisions>false</trackRevisions>
    </reviewItem>
    <reviewItem>
      <errorID>c0153222-3eac-4387-a4cf-20095a90f477</errorID>
      <errorWord>括</errorWord>
      <group>L1_Word</group>
      <groupName>字词问题</groupName>
      <ability>L2_Typo</ability>
      <abilityName>字词错误</abilityName>
      <candidateList>
        <item>括但</item>
      </candidateList>
      <explain/>
      <paraID> 68AC208</paraID>
      <start>32</start>
      <end>33</end>
      <status>unmodified</status>
      <modifiedWord/>
      <trackRevisions>false</trackRevisions>
    </reviewItem>
    <reviewItem>
      <errorID>ca73d6a4-8cef-415b-bef4-401cfa30f18c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7E639943</paraID>
      <start>0</start>
      <end>2</end>
      <status>unmodified</status>
      <modifiedWord/>
      <trackRevisions>false</trackRevisions>
    </reviewItem>
    <reviewItem>
      <errorID>5e79eba6-4b48-4889-a8d7-87c1f1a94e4e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70207DD6</paraID>
      <start>0</start>
      <end>2</end>
      <status>unmodified</status>
      <modifiedWord/>
      <trackRevisions>false</trackRevisions>
    </reviewItem>
    <reviewItem>
      <errorID>83865422-de00-4385-a9c7-9fb94710166b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54B859B</paraID>
      <start>0</start>
      <end>2</end>
      <status>unmodified</status>
      <modifiedWord/>
      <trackRevisions>false</trackRevisions>
    </reviewItem>
    <reviewItem>
      <errorID>8b77ed93-34ce-4052-8607-479451a9e6e1</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393EE0EE</paraID>
      <start>0</start>
      <end>2</end>
      <status>unmodified</status>
      <modifiedWord/>
      <trackRevisions>false</trackRevisions>
    </reviewItem>
    <reviewItem>
      <errorID>482b952b-d9df-4f87-bee5-1a8ed74f3d24</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95FF3AA</paraID>
      <start>0</start>
      <end>2</end>
      <status>unmodified</status>
      <modifiedWord/>
      <trackRevisions>false</trackRevisions>
    </reviewItem>
    <reviewItem>
      <errorID>eb4fbdac-6893-4539-a2e3-44ca00b28df2</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58819D15</paraID>
      <start>0</start>
      <end>2</end>
      <status>unmodified</status>
      <modifiedWord/>
      <trackRevisions>false</trackRevisions>
    </reviewItem>
    <reviewItem>
      <errorID>eb89304b-7c0f-4411-8417-f5cd7165409a</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4C76F82A</paraID>
      <start>0</start>
      <end>2</end>
      <status>unmodified</status>
      <modifiedWord/>
      <trackRevisions>false</trackRevisions>
    </reviewItem>
    <reviewItem>
      <errorID>69b59874-9803-4adc-b866-85421a850fca</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4CD93FB7</paraID>
      <start>0</start>
      <end>2</end>
      <status>unmodified</status>
      <modifiedWord/>
      <trackRevisions>false</trackRevisions>
    </reviewItem>
    <reviewItem>
      <errorID>2a2c4bae-6f63-4388-910c-071093a5a73f</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531721EF</paraID>
      <start>0</start>
      <end>2</end>
      <status>unmodified</status>
      <modifiedWord/>
      <trackRevisions>false</trackRevisions>
    </reviewItem>
    <reviewItem>
      <errorID>7b965ecf-f14d-457f-84bc-ac7f837b936a</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4391BE99</paraID>
      <start>0</start>
      <end>3</end>
      <status>unmodified</status>
      <modifiedWord/>
      <trackRevisions>false</trackRevisions>
    </reviewItem>
    <reviewItem>
      <errorID>f410aa47-a691-466c-8c40-680a061517da</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63EC011E</paraID>
      <start>0</start>
      <end>3</end>
      <status>unmodified</status>
      <modifiedWord/>
      <trackRevisions>false</trackRevisions>
    </reviewItem>
    <reviewItem>
      <errorID>87e090d1-b47a-4e71-beeb-824dd2c4485b</errorID>
      <errorWord>12、</errorWord>
      <group>L1_Format</group>
      <groupName>格式问题</groupName>
      <ability>L2_Ordinal</ability>
      <abilityName>序号格式</abilityName>
      <candidateList>
        <item>12.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4C67DECB</paraID>
      <start>0</start>
      <end>3</end>
      <status>unmodified</status>
      <modifiedWord/>
      <trackRevisions>false</trackRevisions>
    </reviewItem>
    <reviewItem>
      <errorID>421d540b-32b3-4c1f-9ec7-61741be694f6</errorID>
      <errorWord>13、</errorWord>
      <group>L1_Format</group>
      <groupName>格式问题</groupName>
      <ability>L2_Ordinal</ability>
      <abilityName>序号格式</abilityName>
      <candidateList>
        <item>13.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36A5A86A</paraID>
      <start>0</start>
      <end>3</end>
      <status>unmodified</status>
      <modifiedWord/>
      <trackRevisions>false</trackRevisions>
    </reviewItem>
    <reviewItem>
      <errorID>335080a1-ee73-47cb-b338-97a6569c5df6</errorID>
      <errorWord>14、</errorWord>
      <group>L1_Format</group>
      <groupName>格式问题</groupName>
      <ability>L2_Ordinal</ability>
      <abilityName>序号格式</abilityName>
      <candidateList>
        <item>14.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1BAE7B51</paraID>
      <start>0</start>
      <end>3</end>
      <status>unmodified</status>
      <modifiedWord/>
      <trackRevisions>false</trackRevisions>
    </reviewItem>
    <reviewItem>
      <errorID>2c6bd372-4ac7-42a5-a87e-e53d1c6b9b29</errorID>
      <errorWord>15、</errorWord>
      <group>L1_Format</group>
      <groupName>格式问题</groupName>
      <ability>L2_Ordinal</ability>
      <abilityName>序号格式</abilityName>
      <candidateList>
        <item>15.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3AEBA156</paraID>
      <start>0</start>
      <end>3</end>
      <status>unmodified</status>
      <modifiedWord/>
      <trackRevisions>false</trackRevisions>
    </reviewItem>
    <reviewItem>
      <errorID>4cc7a189-0b77-4a8d-a074-aeb77de2d237</errorID>
      <errorWord>16、</errorWord>
      <group>L1_Format</group>
      <groupName>格式问题</groupName>
      <ability>L2_Ordinal</ability>
      <abilityName>序号格式</abilityName>
      <candidateList>
        <item>16.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5D2E8234</paraID>
      <start>0</start>
      <end>3</end>
      <status>unmodified</status>
      <modifiedWord/>
      <trackRevisions>false</trackRevisions>
    </reviewItem>
    <reviewItem>
      <errorID>3c66c774-6146-452d-9b65-ff44a47b1ba8</errorID>
      <errorWord>17、</errorWord>
      <group>L1_Format</group>
      <groupName>格式问题</groupName>
      <ability>L2_Ordinal</ability>
      <abilityName>序号格式</abilityName>
      <candidateList>
        <item>17.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D4C8011</paraID>
      <start>0</start>
      <end>3</end>
      <status>unmodified</status>
      <modifiedWord/>
      <trackRevisions>false</trackRevisions>
    </reviewItem>
    <reviewItem>
      <errorID>8c856aeb-6f4e-4b76-99b5-73714cf6cc74</errorID>
      <errorWord>对于</errorWord>
      <group>L1_Word</group>
      <groupName>字词问题</groupName>
      <ability>L2_Typo</ability>
      <abilityName>字词错误</abilityName>
      <candidateList>
        <item>对</item>
      </candidateList>
      <explain>（對）duì❶回答：～答｜无言以～。❷〈动〉对待；对付：～事不～人｜～症下药｜刀～刀，枪～枪。❸〈动〉朝着；向着（常跟“着”）：～着镜子理理头发｜枪口～着敌人。❹二者相对；彼此相向：～调｜～流｜～立｜～抗。❺对面的；敌对的：～岸｜～方｜～手｜作～。❻〈动〉使两个东西配合或接触：～对子｜把门～上｜～个火儿。❼〈动〉投合；适合：～劲儿｜～心思｜两个人越说越投缘，越说越～脾气。❽〈动〉把两个东西放在一起互相比较，看是否符合；对证：～质｜校～｜～表｜～笔迹｜～号码。❾〈动〉调整使合于一定标准：～好照相机的焦距｜拿胡琴来～～弦。❿〈形〉相合；正确；正常：你的话很～｜～，就这么办｜数目不～，还差得多｜神气不～。○11动掺和（多指液体）：茶壶里～点儿开水｜朱砂里～上一点儿藤黄。○12平均分成两份：～半儿｜～开纸。○13（～儿）〈名〉对子：喜～｜五言～儿。○14（～儿）〈量〉双：一～鹦鹉｜一～儿椅子｜一～模范夫妻。○15介用法基本上跟“对于”相同：～他表示谢意｜决不～困难屈服｜你的话～我有启发｜大家～他这件事很不满意。注意▲“对”和“对于”的用法差不多，但是“对”所保留的动词性较强，因此有些用“对”的句子不能改用“对于”，如上面头两个例子。○16（Duì）〈名〉姓。</explain>
      <paraID> D4C8011</paraID>
      <start>10</start>
      <end>12</end>
      <status>unmodified</status>
      <modifiedWord/>
      <trackRevisions>false</trackRevisions>
    </reviewItem>
    <reviewItem>
      <errorID>63e894db-9fd5-4fb2-b477-1d81193cdb8a</errorID>
      <errorWord>。</errorWord>
      <group>L1_Grammar</group>
      <groupName>语法问题</groupName>
      <ability>L2_Missing</ability>
      <abilityName>成分残缺</abilityName>
      <candidateList>
        <item>作出明确要求。</item>
      </candidateList>
      <explain>句子中可能存在主谓宾、修饰语或者必要的词语残缺。</explain>
      <paraID> D4C8011</paraID>
      <start>30</start>
      <end>31</end>
      <status>unmodified</status>
      <modifiedWord/>
      <trackRevisions>false</trackRevisions>
    </reviewItem>
    <reviewItem>
      <errorID>216b7c7a-8ee2-4fd4-93b1-fd30d7c2a5c1</errorID>
      <errorWord>18、</errorWord>
      <group>L1_Format</group>
      <groupName>格式问题</groupName>
      <ability>L2_Ordinal</ability>
      <abilityName>序号格式</abilityName>
      <candidateList>
        <item>18.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4AF561C1</paraID>
      <start>0</start>
      <end>3</end>
      <status>unmodified</status>
      <modifiedWord/>
      <trackRevisions>false</trackRevisions>
    </reviewItem>
    <reviewItem>
      <errorID>8b9eee6a-d0e0-496e-b494-56ee29bc75ff</errorID>
      <errorWord>19、</errorWord>
      <group>L1_Format</group>
      <groupName>格式问题</groupName>
      <ability>L2_Ordinal</ability>
      <abilityName>序号格式</abilityName>
      <candidateList>
        <item>19.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71A41B9F</paraID>
      <start>0</start>
      <end>3</end>
      <status>unmodified</status>
      <modifiedWord/>
      <trackRevisions>false</trackRevisions>
    </reviewItem>
    <reviewItem>
      <errorID>a5610c4e-20af-42a7-a121-8322dfeb9421</errorID>
      <errorWord>[2017]409号</errorWord>
      <group>L1_Knowledge</group>
      <groupName>知识性问题</groupName>
      <ability>L2_Knowledge</ability>
      <abilityName>其他知识</abilityName>
      <candidateList>
        <item>〔2017〕409号</item>
      </candidateList>
      <explain>发文字号格式错误。</explain>
      <paraID>71A41B9F</paraID>
      <start>20</start>
      <end>30</end>
      <status>unmodified</status>
      <modifiedWord/>
      <trackRevisions>false</trackRevisions>
    </reviewItem>
    <reviewItem>
      <errorID>3b7e04a6-9b6b-40ba-be53-8f99fb0a60b7</errorID>
      <errorWord>20、</errorWord>
      <group>L1_Format</group>
      <groupName>格式问题</groupName>
      <ability>L2_Ordinal</ability>
      <abilityName>序号格式</abilityName>
      <candidateList>
        <item>20.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34DA055C</paraID>
      <start>0</start>
      <end>3</end>
      <status>unmodified</status>
      <modifiedWord/>
      <trackRevisions>false</trackRevisions>
    </reviewItem>
    <reviewItem>
      <errorID>c0dd0d43-572d-4790-bebd-9badad768cf8</errorID>
      <errorWord>[2018]467号</errorWord>
      <group>L1_Knowledge</group>
      <groupName>知识性问题</groupName>
      <ability>L2_Knowledge</ability>
      <abilityName>其他知识</abilityName>
      <candidateList>
        <item>〔2018〕467号</item>
      </candidateList>
      <explain>发文字号格式错误。</explain>
      <paraID>34DA055C</paraID>
      <start>14</start>
      <end>24</end>
      <status>unmodified</status>
      <modifiedWord/>
      <trackRevisions>false</trackRevisions>
    </reviewItem>
    <reviewItem>
      <errorID>e59d38b0-90c9-4cf0-926c-6d6bf5eaae96</errorID>
      <errorWord>21、</errorWord>
      <group>L1_Format</group>
      <groupName>格式问题</groupName>
      <ability>L2_Ordinal</ability>
      <abilityName>序号格式</abilityName>
      <candidateList>
        <item>21.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73E24FFD</paraID>
      <start>0</start>
      <end>3</end>
      <status>unmodified</status>
      <modifiedWord/>
      <trackRevisions>false</trackRevisions>
    </reviewItem>
    <reviewItem>
      <errorID>f4e69381-9f60-435a-b85f-72295c6cd376</errorID>
      <errorWord>[2025]6号</errorWord>
      <group>L1_Knowledge</group>
      <groupName>知识性问题</groupName>
      <ability>L2_Knowledge</ability>
      <abilityName>其他知识</abilityName>
      <candidateList>
        <item>〔2025〕6号</item>
      </candidateList>
      <explain>发文字号格式错误。</explain>
      <paraID>73E24FFD</paraID>
      <start>28</start>
      <end>36</end>
      <status>unmodified</status>
      <modifiedWord/>
      <trackRevisions>false</trackRevisions>
    </reviewItem>
    <reviewItem>
      <errorID>26986304-4731-4637-a9cd-7811c20ec5d8</errorID>
      <errorWord>。</errorWord>
      <group>L1_Grammar</group>
      <groupName>语法问题</groupName>
      <ability>L2_Missing</ability>
      <abilityName>成分残缺</abilityName>
      <candidateList>
        <item>已经印发。</item>
      </candidateList>
      <explain>句子中可能存在主谓宾、修饰语或者必要的词语残缺。</explain>
      <paraID>73E24FFD</paraID>
      <start>59</start>
      <end>60</end>
      <status>unmodified</status>
      <modifiedWord/>
      <trackRevisions>false</trackRevisions>
    </reviewItem>
    <reviewItem>
      <errorID>eeff2246-c775-477f-b6b0-2929ba3f3d56</errorID>
      <errorWord>22、</errorWord>
      <group>L1_Format</group>
      <groupName>格式问题</groupName>
      <ability>L2_Ordinal</ability>
      <abilityName>序号格式</abilityName>
      <candidateList>
        <item>22.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18017CDF</paraID>
      <start>0</start>
      <end>3</end>
      <status>unmodified</status>
      <modifiedWord/>
      <trackRevisions>false</trackRevisions>
    </reviewItem>
    <reviewItem>
      <errorID>595dede3-5299-4637-8691-6b58564c3fd3</errorID>
      <errorWord>23、</errorWord>
      <group>L1_Format</group>
      <groupName>格式问题</groupName>
      <ability>L2_Ordinal</ability>
      <abilityName>序号格式</abilityName>
      <candidateList>
        <item>23.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1CC63EDA</paraID>
      <start>0</start>
      <end>3</end>
      <status>unmodified</status>
      <modifiedWord/>
      <trackRevisions>false</trackRevisions>
    </reviewItem>
    <reviewItem>
      <errorID>68227a0e-2dd9-413c-a2b4-f9a4c844a3a3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288A13F7</paraID>
      <start>0</start>
      <end>2</end>
      <status>unmodified</status>
      <modifiedWord/>
      <trackRevisions>false</trackRevisions>
    </reviewItem>
    <reviewItem>
      <errorID>f86fea39-2d4c-480a-a09e-3033b56180d8</errorID>
      <errorWord>;</errorWord>
      <group>L1_Format</group>
      <groupName>格式问题</groupName>
      <ability>L2_HalfPunc</ability>
      <abilityName>全半角检查</abilityName>
      <candidateList>
        <item>；</item>
      </candidateList>
      <explain>文本全半角错误。</explain>
      <paraID>288A13F7</paraID>
      <start>399</start>
      <end>400</end>
      <status>unmodified</status>
      <modifiedWord/>
      <trackRevisions>false</trackRevisions>
    </reviewItem>
    <reviewItem>
      <errorID>dc5b4c87-376c-4335-985c-421a059e9578</errorID>
      <errorWord>;</errorWord>
      <group>L1_Format</group>
      <groupName>格式问题</groupName>
      <ability>L2_HalfPunc</ability>
      <abilityName>全半角检查</abilityName>
      <candidateList>
        <item>；</item>
      </candidateList>
      <explain>文本全半角错误。</explain>
      <paraID>288A13F7</paraID>
      <start>487</start>
      <end>488</end>
      <status>unmodified</status>
      <modifiedWord/>
      <trackRevisions>false</trackRevisions>
    </reviewItem>
    <reviewItem>
      <errorID>360537eb-9ed7-4099-b5f7-bdf744ab4d94</errorID>
      <errorWord>;</errorWord>
      <group>L1_Format</group>
      <groupName>格式问题</groupName>
      <ability>L2_HalfPunc</ability>
      <abilityName>全半角检查</abilityName>
      <candidateList>
        <item>；</item>
      </candidateList>
      <explain>文本全半角错误。</explain>
      <paraID>288A13F7</paraID>
      <start>514</start>
      <end>515</end>
      <status>unmodified</status>
      <modifiedWord/>
      <trackRevisions>false</trackRevisions>
    </reviewItem>
    <reviewItem>
      <errorID>15aa5022-31ce-4a12-a59d-b57e2611ad01</errorID>
      <errorWord>;</errorWord>
      <group>L1_Format</group>
      <groupName>格式问题</groupName>
      <ability>L2_HalfPunc</ability>
      <abilityName>全半角检查</abilityName>
      <candidateList>
        <item>；</item>
      </candidateList>
      <explain>文本全半角错误。</explain>
      <paraID>288A13F7</paraID>
      <start>531</start>
      <end>532</end>
      <status>unmodified</status>
      <modifiedWord/>
      <trackRevisions>false</trackRevisions>
    </reviewItem>
    <reviewItem>
      <errorID>37b48876-2e86-4f7b-a868-e2c86e01d4f6</errorID>
      <errorWord>;</errorWord>
      <group>L1_Format</group>
      <groupName>格式问题</groupName>
      <ability>L2_HalfPunc</ability>
      <abilityName>全半角检查</abilityName>
      <candidateList>
        <item>；</item>
      </candidateList>
      <explain>文本全半角错误。</explain>
      <paraID>288A13F7</paraID>
      <start>584</start>
      <end>585</end>
      <status>unmodified</status>
      <modifiedWord/>
      <trackRevisions>false</trackRevisions>
    </reviewItem>
    <reviewItem>
      <errorID>28a8b41c-209f-4e80-813a-011e5a2a3866</errorID>
      <errorWord>;</errorWord>
      <group>L1_Format</group>
      <groupName>格式问题</groupName>
      <ability>L2_HalfPunc</ability>
      <abilityName>全半角检查</abilityName>
      <candidateList>
        <item>；</item>
      </candidateList>
      <explain>文本全半角错误。</explain>
      <paraID>288A13F7</paraID>
      <start>618</start>
      <end>619</end>
      <status>unmodified</status>
      <modifiedWord/>
      <trackRevisions>false</trackRevisions>
    </reviewItem>
    <reviewItem>
      <errorID>0e9662b6-ef9f-4d0c-8623-60cb44724b4b</errorID>
      <errorWord>;</errorWord>
      <group>L1_Format</group>
      <groupName>格式问题</groupName>
      <ability>L2_HalfPunc</ability>
      <abilityName>全半角检查</abilityName>
      <candidateList>
        <item>；</item>
      </candidateList>
      <explain>文本全半角错误。</explain>
      <paraID>288A13F7</paraID>
      <start>711</start>
      <end>712</end>
      <status>unmodified</status>
      <modifiedWord/>
      <trackRevisions>false</trackRevisions>
    </reviewItem>
    <reviewItem>
      <errorID>6a902292-35a3-4efa-8b75-436548680a72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70F1384B</paraID>
      <start>0</start>
      <end>2</end>
      <status>unmodified</status>
      <modifiedWord/>
      <trackRevisions>false</trackRevisions>
    </reviewItem>
    <reviewItem>
      <errorID>7919d590-4640-4e17-9f8e-2783b2879ad3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356788DB</paraID>
      <start>0</start>
      <end>2</end>
      <status>unmodified</status>
      <modifiedWord/>
      <trackRevisions>false</trackRevisions>
    </reviewItem>
    <reviewItem>
      <errorID>ff66773f-ba63-479e-b068-ab9dcc68acf1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6D60CD12</paraID>
      <start>0</start>
      <end>2</end>
      <status>unmodified</status>
      <modifiedWord/>
      <trackRevisions>false</trackRevisions>
    </reviewItem>
    <reviewItem>
      <errorID>a5c8e35e-a6ab-43df-9128-3c2b0eae991d</errorID>
      <errorWord>接市</errorWord>
      <group>L1_Word</group>
      <groupName>字词问题</groupName>
      <ability>L2_Typo</ability>
      <abilityName>字词错误</abilityName>
      <candidateList>
        <item>接收</item>
      </candidateList>
      <explain>〈动〉❶收受：～来稿｜～无线电信号。❷根据法令把机构、财产等拿过来：～逆产。❸接纳：～新会员。</explain>
      <paraID>6D60CD12</paraID>
      <start>401</start>
      <end>403</end>
      <status>unmodified</status>
      <modifiedWord/>
      <trackRevisions>false</trackRevisions>
    </reviewItem>
    <reviewItem>
      <errorID>bbb3a270-6798-4a5b-9116-2b51fe8cc9c5</errorID>
      <errorWord>纪录</errorWord>
      <group>L1_Word</group>
      <groupName>字词问题</groupName>
      <ability>L2_Typo</ability>
      <abilityName>字词错误</abilityName>
      <candidateList>
        <item>记录</item>
      </candidateList>
      <explain>❶〈动〉把听到的话或发生的事写下来：～在案。❷〈名〉当场记录下来的材料：会议～。❸〈名〉做记录的人：推举他当～。‖也作纪录。❹同“纪录”▲。</explain>
      <paraID>6D60CD12</paraID>
      <start>508</start>
      <end>510</end>
      <status>modified</status>
      <modifiedWord>记录</modifiedWord>
      <trackRevisions>false</trackRevisions>
    </reviewItem>
    <reviewItem>
      <errorID>c6715977-8b0e-4c56-9d84-97308586339f</errorID>
      <errorWord>拓展</errorWord>
      <group>L1_Word</group>
      <groupName>字词问题</groupName>
      <ability>L2_Typo</ability>
      <abilityName>字词错误</abilityName>
      <candidateList>
        <item>拓宽</item>
      </candidateList>
      <explain>“拓展～视野”搭配不当，建议修改为“拓宽～视野”。</explain>
      <paraID>6D60CD12</paraID>
      <start>569</start>
      <end>571</end>
      <status>modified</status>
      <modifiedWord>拓宽</modifiedWord>
      <trackRevisions>false</trackRevisions>
    </reviewItem>
    <reviewItem>
      <errorID>5139ce0d-ee52-4830-ba88-0946789e1684</errorID>
      <errorWord>项目台帐</errorWord>
      <group>L1_Word</group>
      <groupName>字词问题</groupName>
      <ability>L2_Alias</ability>
      <abilityName>也作/曾用词</abilityName>
      <candidateList>
        <item>项目台账</item>
      </candidateList>
      <explain>词汇[项目台帐]为不规范表述或旧称，其规范书面表述为[项目台账]。</explain>
      <paraID>6D60CD12</paraID>
      <start>710</start>
      <end>714</end>
      <status>unmodified</status>
      <modifiedWord/>
      <trackRevisions>false</trackRevisions>
    </reviewItem>
    <reviewItem>
      <errorID>f72ce0c4-5075-4643-9db8-69e93ff6e0e3</errorID>
      <errorWord>截点</errorWord>
      <group>L1_Word</group>
      <groupName>字词问题</groupName>
      <ability>L2_Typo</ability>
      <abilityName>字词错误</abilityName>
      <candidateList>
        <item>节点</item>
      </candidateList>
      <explain/>
      <paraID>6D60CD12</paraID>
      <start>741</start>
      <end>743</end>
      <status>modified</status>
      <modifiedWord>节点</modifiedWord>
      <trackRevisions>false</trackRevisions>
    </reviewItem>
    <reviewItem>
      <errorID>6365cdab-9bc6-401b-9bcc-2a66cf4a1675</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6D60CD12</paraID>
      <start>869</start>
      <end>870</end>
      <status>modified</status>
      <modifiedWord>地</modifiedWord>
      <trackRevisions>false</trackRevisions>
    </reviewItem>
    <reviewItem>
      <errorID>c5bc4761-11c3-4647-8f81-b96982c66d5e</errorID>
      <errorWord>区委区政府</errorWord>
      <group>L1_Political</group>
      <groupName>政治性问题</groupName>
      <ability>L2_Keyword</ability>
      <abilityName>固定表述</abilityName>
      <candidateList>
        <item>区委、区政府</item>
      </candidateList>
      <explain>注意检查当前固定表述标点是否使用规范。</explain>
      <paraID>6D60CD12</paraID>
      <start>1088</start>
      <end>1094</end>
      <status>modified</status>
      <modifiedWord>区委、区政府</modifiedWord>
      <trackRevisions>false</trackRevisions>
    </reviewItem>
    <reviewItem>
      <errorID>bd8edc31-4ad5-49e8-99f1-052a999718d7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5315006C</paraID>
      <start>0</start>
      <end>2</end>
      <status>unmodified</status>
      <modifiedWord/>
      <trackRevisions>false</trackRevisions>
    </reviewItem>
    <reviewItem>
      <errorID>02b8f6be-7045-4957-bc76-531e32ceac06</errorID>
      <errorWord>会</errorWord>
      <group>L1_Word</group>
      <groupName>字词问题</groupName>
      <ability>L2_Typo</ability>
      <abilityName>字词错误</abilityName>
      <candidateList>
        <item>会议</item>
      </candidateList>
      <explain/>
      <paraID>5315006C</paraID>
      <start>53</start>
      <end>54</end>
      <status>unmodified</status>
      <modifiedWord/>
      <trackRevisions>false</trackRevisions>
    </reviewItem>
    <reviewItem>
      <errorID>5dde24ae-eb0f-4733-a121-75d600e72931</errorID>
      <errorWord>,</errorWord>
      <group>L1_Format</group>
      <groupName>格式问题</groupName>
      <ability>L2_HalfPunc</ability>
      <abilityName>全半角检查</abilityName>
      <candidateList>
        <item>，</item>
      </candidateList>
      <explain>文本全半角错误。</explain>
      <paraID>5315006C</paraID>
      <start>272</start>
      <end>273</end>
      <status>unmodified</status>
      <modifiedWord/>
      <trackRevisions>false</trackRevisions>
    </reviewItem>
    <reviewItem>
      <errorID>b36704cf-df90-4124-9d9e-8047c4aecb80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50D2CFB7</paraID>
      <start>0</start>
      <end>2</end>
      <status>unmodified</status>
      <modifiedWord/>
      <trackRevisions>false</trackRevisions>
    </reviewItem>
    <reviewItem>
      <errorID>2a1d28c6-2153-4830-96e8-780c1c39072c</errorID>
      <errorWord>，</errorWord>
      <group>L1_Word</group>
      <groupName>字词问题</groupName>
      <ability>L2_Typo</ability>
      <abilityName>字词错误</abilityName>
      <candidateList>
        <item>，党</item>
      </candidateList>
      <explain/>
      <paraID>50D2CFB7</paraID>
      <start>271</start>
      <end>272</end>
      <status>unmodified</status>
      <modifiedWord/>
      <trackRevisions>false</trackRevisions>
    </reviewItem>
    <reviewItem>
      <errorID>677c6380-3e85-4a55-bf80-05b643812dbf</errorID>
      <errorWord>纠正对</errorWord>
      <group>L1_Word</group>
      <groupName>字词问题</groupName>
      <ability>L2_Typo</ability>
      <abilityName>字词错误</abilityName>
      <candidateList>
        <item>纠正</item>
      </candidateList>
      <explain/>
      <paraID>50D2CFB7</paraID>
      <start>763</start>
      <end>765</end>
      <status>modified</status>
      <modifiedWord>纠正</modifiedWord>
      <trackRevisions>false</trackRevisions>
    </reviewItem>
    <reviewItem>
      <errorID>d5006526-8782-4c6f-aff4-1d8f47193d96</errorID>
      <errorWord>《党章》</errorWord>
      <group>L1_Political</group>
      <groupName>政治性问题</groupName>
      <ability>L2_Unpolitical</ability>
      <abilityName>政治敏感错误</abilityName>
      <candidateList>
        <item>《中国共产党章程》</item>
      </candidateList>
      <explain/>
      <paraID>50D2CFB7</paraID>
      <start>815</start>
      <end>824</end>
      <status>modified</status>
      <modifiedWord>《中国共产党章程》</modifiedWord>
      <trackRevisions>false</trackRevisions>
    </reviewItem>
    <reviewItem>
      <errorID>04833d1f-9322-4a31-9c19-0039771fadd0</errorID>
      <errorWord>中间</errorWord>
      <group>L1_Word</group>
      <groupName>字词问题</groupName>
      <ability>L2_Typo</ability>
      <abilityName>字词错误</abilityName>
      <candidateList>
        <item>中</item>
      </candidateList>
      <explain>〈动〉❶正对上；恰好合上：～选｜猜～了｜三枪都打～了目标。❷受到；遭受：～毒｜～暑｜胳膊上～了一枪。</explain>
      <paraID>3C622857</paraID>
      <start>341</start>
      <end>343</end>
      <status>ignored</status>
      <modifiedWord/>
      <trackRevisions>false</trackRevisions>
    </reviewItem>
    <reviewItem>
      <errorID>b9039f16-4c1c-4ce7-a5c2-707bdfefe7cf</errorID>
      <errorWord>,</errorWord>
      <group>L1_Format</group>
      <groupName>格式问题</groupName>
      <ability>L2_HalfPunc</ability>
      <abilityName>全半角检查</abilityName>
      <candidateList>
        <item>，</item>
      </candidateList>
      <explain>文本全半角错误。</explain>
      <paraID>1EB6B448</paraID>
      <start>50</start>
      <end>51</end>
      <status>unmodified</status>
      <modifiedWord/>
      <trackRevisions>false</trackRevisions>
    </reviewItem>
    <reviewItem>
      <errorID>4fb5a274-2869-4eb7-bcb2-7dd1e85e955e</errorID>
      <errorWord>-</errorWord>
      <group>L1_Format</group>
      <groupName>格式问题</groupName>
      <ability>L2_HalfPunc</ability>
      <abilityName>全半角检查</abilityName>
      <candidateList>
        <item>－</item>
      </candidateList>
      <explain>文本全半角错误。</explain>
      <paraID>483A402F</paraID>
      <start>7</start>
      <end>8</end>
      <status>unmodified</status>
      <modifiedWord/>
      <trackRevisions>false</trackRevisions>
    </reviewItem>
    <reviewItem>
      <errorID>9d902643-0833-4954-a5dd-14fa41ba7d5d</errorID>
      <errorWord>-</errorWord>
      <group>L1_Format</group>
      <groupName>格式问题</groupName>
      <ability>L2_HalfPunc</ability>
      <abilityName>全半角检查</abilityName>
      <candidateList>
        <item>－</item>
      </candidateList>
      <explain>文本全半角错误。</explain>
      <paraID>5F8EBFE3</paraID>
      <start>7</start>
      <end>8</end>
      <status>unmodified</status>
      <modifiedWord/>
      <trackRevisions>false</trackRevisions>
    </reviewItem>
    <reviewItem>
      <errorID>fbcc9e52-f410-4147-aaa3-88561e83c37d</errorID>
      <errorWord>三公经费</errorWord>
      <group>L1_Political</group>
      <groupName>政治性问题</groupName>
      <ability>L2_Keyword</ability>
      <abilityName>固定表述</abilityName>
      <candidateList>
        <item>“三公”经费</item>
      </candidateList>
      <explain>注意检查当前固定表述标点是否使用规范。</explain>
      <paraID>6C95C375</paraID>
      <start>3</start>
      <end>7</end>
      <status>unmodified</status>
      <modifiedWord/>
      <trackRevisions>false</trackRevisions>
    </reviewItem>
    <reviewItem>
      <errorID>fbc8aaad-0009-424d-b61c-6a378511a8ec</errorID>
      <errorWord>-</errorWord>
      <group>L1_Format</group>
      <groupName>格式问题</groupName>
      <ability>L2_HalfPunc</ability>
      <abilityName>全半角检查</abilityName>
      <candidateList>
        <item>－</item>
      </candidateList>
      <explain>文本全半角错误。</explain>
      <paraID>1100C890</paraID>
      <start>21</start>
      <end>22</end>
      <status>unmodified</status>
      <modifiedWord/>
      <trackRevisions>false</trackRevisions>
    </reviewItem>
    <reviewItem>
      <errorID>1206af26-c0eb-4b62-87fa-a8b587e0e2d8</errorID>
      <errorWord>-</errorWord>
      <group>L1_Format</group>
      <groupName>格式问题</groupName>
      <ability>L2_HalfPunc</ability>
      <abilityName>全半角检查</abilityName>
      <candidateList>
        <item>－</item>
      </candidateList>
      <explain>文本全半角错误。</explain>
      <paraID>1100C890</paraID>
      <start>24</start>
      <end>25</end>
      <status>unmodified</status>
      <modifiedWord/>
      <trackRevisions>false</trackRevisions>
    </reviewItem>
    <reviewItem>
      <errorID>f15ce1c2-b56e-436a-b14b-a12ffd46bf01</errorID>
      <errorWord>提供行</errorWord>
      <group>L1_Word</group>
      <groupName>字词问题</groupName>
      <ability>L2_Typo</ability>
      <abilityName>字词错误</abilityName>
      <candidateList>
        <item>提供</item>
      </candidateList>
      <explain/>
      <paraID>44BF0323</paraID>
      <start>1</start>
      <end>4</end>
      <status>unmodified</status>
      <modifiedWord/>
      <trackRevisions>false</trackRevisions>
    </reviewItem>
    <reviewItem>
      <errorID>61a19abd-a1bb-40ca-b3c3-fad714e6ee3c</errorID>
      <errorWord>区委区政府</errorWord>
      <group>L1_Political</group>
      <groupName>政治性问题</groupName>
      <ability>L2_Keyword</ability>
      <abilityName>固定表述</abilityName>
      <candidateList>
        <item>区委、区政府</item>
      </candidateList>
      <explain>注意检查当前固定表述标点是否使用规范。</explain>
      <paraID>5C6B7CCF</paraID>
      <start>49</start>
      <end>54</end>
      <status>unmodified</status>
      <modifiedWord/>
      <trackRevisions>false</trackRevisions>
    </reviewItem>
    <reviewItem>
      <errorID>ffc8669c-3f77-4c37-89b9-7b5dddd59afd</errorID>
      <errorWord>达</errorWord>
      <group>L1_Word</group>
      <groupName>字词问题</groupName>
      <ability>L2_Typo</ability>
      <abilityName>字词错误</abilityName>
      <candidateList>
        <item>达到</item>
      </candidateList>
      <explain>〈动〉到（多指抽象事物或程度）：达得到｜达不到｜目的没有～｜～国际水平。</explain>
      <paraID>1D71AFB5</paraID>
      <start>450</start>
      <end>452</end>
      <status>modified</status>
      <modifiedWord>达到</modifiedWord>
      <trackRevisions>false</trackRevisions>
    </reviewItem>
    <reviewItem>
      <errorID>5e7e5d6c-4252-4ead-aed9-ea641260c896</errorID>
      <errorWord>（</errorWord>
      <group>L1_Punc</group>
      <groupName>标点问题</groupName>
      <ability>L2_Punc</ability>
      <abilityName>标点符号检查</abilityName>
      <candidateList/>
      <explain/>
      <paraID>6B1AB4AC</paraID>
      <start>64</start>
      <end>65</end>
      <status>unmodified</status>
      <modifiedWord/>
      <trackRevisions>false</trackRevisions>
    </reviewItem>
    <reviewItem>
      <errorID>c0c08bd3-3caf-4519-a427-f0aa288fbab5</errorID>
      <errorWord>（</errorWord>
      <group>L1_Punc</group>
      <groupName>标点问题</groupName>
      <ability>L2_Punc</ability>
      <abilityName>标点符号检查</abilityName>
      <candidateList/>
      <explain/>
      <paraID>4A860969</paraID>
      <start>7</start>
      <end>8</end>
      <status>unmodified</status>
      <modifiedWord/>
      <trackRevisions>false</trackRevisions>
    </reviewItem>
    <reviewItem>
      <errorID>0e83c182-796f-45a9-a49a-7c758a0fa536</errorID>
      <errorWord>"</errorWord>
      <group>L1_Format</group>
      <groupName>格式问题</groupName>
      <ability>L2_HalfPunc</ability>
      <abilityName>全半角检查</abilityName>
      <candidateList>
        <item>“</item>
      </candidateList>
      <explain>文本全半角错误。</explain>
      <paraID>6C87F9FD</paraID>
      <start>70</start>
      <end>71</end>
      <status>unmodified</status>
      <modifiedWord/>
      <trackRevisions>false</trackRevisions>
    </reviewItem>
    <reviewItem>
      <errorID>390d3c92-78bf-4253-bdb4-e53c2e30e66d</errorID>
      <errorWord>"</errorWord>
      <group>L1_Format</group>
      <groupName>格式问题</groupName>
      <ability>L2_HalfPunc</ability>
      <abilityName>全半角检查</abilityName>
      <candidateList>
        <item>”</item>
      </candidateList>
      <explain>文本全半角错误。</explain>
      <paraID>6C87F9FD</paraID>
      <start>74</start>
      <end>75</end>
      <status>unmodified</status>
      <modifiedWord/>
      <trackRevisions>false</trackRevisions>
    </reviewItem>
    <reviewItem>
      <errorID>21feb114-0d88-4d03-a6c2-6330e22b53a1</errorID>
      <errorWord>"</errorWord>
      <group>L1_Format</group>
      <groupName>格式问题</groupName>
      <ability>L2_HalfPunc</ability>
      <abilityName>全半角检查</abilityName>
      <candidateList>
        <item>“</item>
      </candidateList>
      <explain>文本全半角错误。</explain>
      <paraID>6C87F9FD</paraID>
      <start>102</start>
      <end>103</end>
      <status>unmodified</status>
      <modifiedWord/>
      <trackRevisions>false</trackRevisions>
    </reviewItem>
    <reviewItem>
      <errorID>fca8ab41-681d-494b-a579-d1b3cfdc5a01</errorID>
      <errorWord>"</errorWord>
      <group>L1_Format</group>
      <groupName>格式问题</groupName>
      <ability>L2_HalfPunc</ability>
      <abilityName>全半角检查</abilityName>
      <candidateList>
        <item>”</item>
      </candidateList>
      <explain>文本全半角错误。</explain>
      <paraID>6C87F9FD</paraID>
      <start>107</start>
      <end>108</end>
      <status>unmodified</status>
      <modifiedWord/>
      <trackRevisions>false</trackRevisions>
    </reviewItem>
    <reviewItem>
      <errorID>9afb6a5c-5693-4096-8438-ddbb049736ba</errorID>
      <errorWord>"</errorWord>
      <group>L1_Format</group>
      <groupName>格式问题</groupName>
      <ability>L2_HalfPunc</ability>
      <abilityName>全半角检查</abilityName>
      <candidateList>
        <item>“</item>
      </candidateList>
      <explain>文本全半角错误。</explain>
      <paraID>4EDC402C</paraID>
      <start>42</start>
      <end>43</end>
      <status>unmodified</status>
      <modifiedWord/>
      <trackRevisions>false</trackRevisions>
    </reviewItem>
    <reviewItem>
      <errorID>464f09db-3314-479f-ae84-ba8d0d30022d</errorID>
      <errorWord>"</errorWord>
      <group>L1_Format</group>
      <groupName>格式问题</groupName>
      <ability>L2_HalfPunc</ability>
      <abilityName>全半角检查</abilityName>
      <candidateList>
        <item>”</item>
      </candidateList>
      <explain>文本全半角错误。</explain>
      <paraID>4EDC402C</paraID>
      <start>46</start>
      <end>47</end>
      <status>unmodified</status>
      <modifiedWord/>
      <trackRevisions>false</trackRevisions>
    </reviewItem>
    <reviewItem>
      <errorID>00c68fe6-5034-4109-8feb-07b21e552666</errorID>
      <errorWord>"</errorWord>
      <group>L1_Format</group>
      <groupName>格式问题</groupName>
      <ability>L2_HalfPunc</ability>
      <abilityName>全半角检查</abilityName>
      <candidateList>
        <item>“</item>
      </candidateList>
      <explain>文本全半角错误。</explain>
      <paraID>4EDC402C</paraID>
      <start>142</start>
      <end>143</end>
      <status>unmodified</status>
      <modifiedWord/>
      <trackRevisions>false</trackRevisions>
    </reviewItem>
    <reviewItem>
      <errorID>b95a4f16-d680-4926-8705-608dbd824691</errorID>
      <errorWord>"</errorWord>
      <group>L1_Format</group>
      <groupName>格式问题</groupName>
      <ability>L2_HalfPunc</ability>
      <abilityName>全半角检查</abilityName>
      <candidateList>
        <item>”</item>
      </candidateList>
      <explain>文本全半角错误。</explain>
      <paraID>4EDC402C</paraID>
      <start>146</start>
      <end>147</end>
      <status>unmodified</status>
      <modifiedWord/>
      <trackRevisions>false</trackRevisions>
    </reviewItem>
    <reviewItem>
      <errorID>8ffb0b5a-bfe1-4263-9efe-36f0b78c3ef6</errorID>
      <errorWord>达</errorWord>
      <group>L1_Word</group>
      <groupName>字词问题</groupName>
      <ability>L2_Typo</ability>
      <abilityName>字词错误</abilityName>
      <candidateList>
        <item>达到</item>
      </candidateList>
      <explain>〈动〉到（多指抽象事物或程度）：达得到｜达不到｜目的没有～｜～国际水平。</explain>
      <paraID>1FE93F9C</paraID>
      <start>79</start>
      <end>80</end>
      <status>unmodified</status>
      <modifiedWord/>
      <trackRevisions>false</trackRevisions>
    </reviewItem>
    <reviewItem>
      <errorID>675a48f5-6f79-45fc-9c17-d35171f842c9</errorID>
      <errorWord>"</errorWord>
      <group>L1_Format</group>
      <groupName>格式问题</groupName>
      <ability>L2_HalfPunc</ability>
      <abilityName>全半角检查</abilityName>
      <candidateList>
        <item>“</item>
      </candidateList>
      <explain>文本全半角错误。</explain>
      <paraID>305DE804</paraID>
      <start>58</start>
      <end>59</end>
      <status>unmodified</status>
      <modifiedWord/>
      <trackRevisions>false</trackRevisions>
    </reviewItem>
    <reviewItem>
      <errorID>1bdd22b5-0f86-452a-b5f4-1ef7081836f7</errorID>
      <errorWord>"</errorWord>
      <group>L1_Format</group>
      <groupName>格式问题</groupName>
      <ability>L2_HalfPunc</ability>
      <abilityName>全半角检查</abilityName>
      <candidateList>
        <item>”</item>
      </candidateList>
      <explain>文本全半角错误。</explain>
      <paraID>305DE804</paraID>
      <start>61</start>
      <end>62</end>
      <status>unmodified</status>
      <modifiedWord/>
      <trackRevisions>false</trackRevisions>
    </reviewItem>
    <reviewItem>
      <errorID>db6ed7ee-b1a9-452d-8bfe-f128b624fff0</errorID>
      <errorWord>达</errorWord>
      <group>L1_Word</group>
      <groupName>字词问题</groupName>
      <ability>L2_Typo</ability>
      <abilityName>字词错误</abilityName>
      <candidateList>
        <item>达到</item>
      </candidateList>
      <explain>〈动〉到（多指抽象事物或程度）：达得到｜达不到｜目的没有～｜～国际水平。</explain>
      <paraID>305DE804</paraID>
      <start>217</start>
      <end>218</end>
      <status>unmodified</status>
      <modifiedWord/>
      <trackRevisions>false</trackRevisions>
    </reviewItem>
    <reviewItem>
      <errorID>ddfe991e-0df2-46bf-ac8f-8abc7410faa4</errorID>
      <errorWord>"</errorWord>
      <group>L1_Format</group>
      <groupName>格式问题</groupName>
      <ability>L2_HalfPunc</ability>
      <abilityName>全半角检查</abilityName>
      <candidateList>
        <item>“</item>
      </candidateList>
      <explain>文本全半角错误。</explain>
      <paraID>144D1C0B</paraID>
      <start>10</start>
      <end>11</end>
      <status>unmodified</status>
      <modifiedWord/>
      <trackRevisions>false</trackRevisions>
    </reviewItem>
    <reviewItem>
      <errorID>352ee2d8-33f8-49b5-a720-9bf76eb8f021</errorID>
      <errorWord>"</errorWord>
      <group>L1_Format</group>
      <groupName>格式问题</groupName>
      <ability>L2_HalfPunc</ability>
      <abilityName>全半角检查</abilityName>
      <candidateList>
        <item>”</item>
      </candidateList>
      <explain>文本全半角错误。</explain>
      <paraID>144D1C0B</paraID>
      <start>14</start>
      <end>15</end>
      <status>unmodified</status>
      <modifiedWord/>
      <trackRevisions>false</trackRevisions>
    </reviewItem>
    <reviewItem>
      <errorID>6269c6a2-0567-4851-a513-283e8db561af</errorID>
      <errorWord>"</errorWord>
      <group>L1_Format</group>
      <groupName>格式问题</groupName>
      <ability>L2_HalfPunc</ability>
      <abilityName>全半角检查</abilityName>
      <candidateList>
        <item>“</item>
      </candidateList>
      <explain>文本全半角错误。</explain>
      <paraID>144D1C0B</paraID>
      <start>79</start>
      <end>80</end>
      <status>unmodified</status>
      <modifiedWord/>
      <trackRevisions>false</trackRevisions>
    </reviewItem>
    <reviewItem>
      <errorID>2e876348-ab85-45f0-9b81-cb4a07122b13</errorID>
      <errorWord>"</errorWord>
      <group>L1_Format</group>
      <groupName>格式问题</groupName>
      <ability>L2_HalfPunc</ability>
      <abilityName>全半角检查</abilityName>
      <candidateList>
        <item>”</item>
      </candidateList>
      <explain>文本全半角错误。</explain>
      <paraID>144D1C0B</paraID>
      <start>84</start>
      <end>85</end>
      <status>unmodified</status>
      <modifiedWord/>
      <trackRevisions>false</trackRevisions>
    </reviewItem>
    <reviewItem>
      <errorID>d756afce-0191-4c5e-9600-ae2bf3082e98</errorID>
      <errorWord>分</errorWord>
      <group>L1_Word</group>
      <groupName>字词问题</groupName>
      <ability>L2_Typo</ability>
      <abilityName>字词错误</abilityName>
      <candidateList>
        <item>分为</item>
      </candidateList>
      <explain/>
      <paraID>27D5FB03</paraID>
      <start>59</start>
      <end>61</end>
      <status>modified</status>
      <modifiedWord>分为</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53954fc-8b56-4c45-82cf-a765ef7f8ed2}">
  <ds:schemaRefs/>
</ds:datastoreItem>
</file>

<file path=docProps/app.xml><?xml version="1.0" encoding="utf-8"?>
<Properties xmlns="http://schemas.openxmlformats.org/officeDocument/2006/extended-properties" xmlns:vt="http://schemas.openxmlformats.org/officeDocument/2006/docPropsVTypes">
  <Template>Normal.dotm</Template>
  <Pages>40</Pages>
  <Words>8141</Words>
  <Characters>8495</Characters>
  <Lines>0</Lines>
  <Paragraphs>0</Paragraphs>
  <TotalTime>5</TotalTime>
  <ScaleCrop>false</ScaleCrop>
  <LinksUpToDate>false</LinksUpToDate>
  <CharactersWithSpaces>8532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2023-01-11T06:30:00Z</dcterms:created>
  <dc:creator>符敏（书魁）</dc:creator>
  <cp:lastModifiedBy>A.笑笑.</cp:lastModifiedBy>
  <cp:lastPrinted>2025-11-03T02:48:00Z</cp:lastPrinted>
  <dcterms:modified xsi:type="dcterms:W3CDTF">2025-12-18T07:51:47Z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FDC9F4E739834ADFA6FB1DF2947FD14B_13</vt:lpwstr>
  </property>
  <property fmtid="{D5CDD505-2E9C-101B-9397-08002B2CF9AE}" pid="4" name="KSOTemplateDocerSaveRecord">
    <vt:lpwstr>eyJoZGlkIjoiYzBjYzc0N2U5YTU5MWVlNzQ1MTI0MjVjYjZiOWYwZjYiLCJ1c2VySWQiOiI1MjM3NTE4MDgifQ==</vt:lpwstr>
  </property>
</Properties>
</file>