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F846A6">
      <w:pPr>
        <w:widowControl w:val="0"/>
        <w:jc w:val="distribute"/>
        <w:rPr>
          <w:rFonts w:hint="eastAsia" w:ascii="仿宋" w:hAnsi="仿宋" w:eastAsia="仿宋" w:cs="仿宋"/>
          <w:b/>
          <w:bCs/>
          <w:sz w:val="36"/>
          <w:szCs w:val="36"/>
          <w:lang w:eastAsia="zh-CN"/>
        </w:rPr>
      </w:pPr>
      <w:r>
        <w:rPr>
          <w:sz w:val="36"/>
        </w:rPr>
        <mc:AlternateContent>
          <mc:Choice Requires="wps">
            <w:drawing>
              <wp:anchor distT="0" distB="0" distL="114300" distR="114300" simplePos="0" relativeHeight="251662336" behindDoc="0" locked="0" layoutInCell="1" allowOverlap="1">
                <wp:simplePos x="0" y="0"/>
                <wp:positionH relativeFrom="column">
                  <wp:posOffset>5339715</wp:posOffset>
                </wp:positionH>
                <wp:positionV relativeFrom="paragraph">
                  <wp:posOffset>-565150</wp:posOffset>
                </wp:positionV>
                <wp:extent cx="666750" cy="592455"/>
                <wp:effectExtent l="0" t="0" r="0" b="17145"/>
                <wp:wrapNone/>
                <wp:docPr id="40" name="文本框 40"/>
                <wp:cNvGraphicFramePr/>
                <a:graphic xmlns:a="http://schemas.openxmlformats.org/drawingml/2006/main">
                  <a:graphicData uri="http://schemas.microsoft.com/office/word/2010/wordprocessingShape">
                    <wps:wsp>
                      <wps:cNvSpPr txBox="1"/>
                      <wps:spPr>
                        <a:xfrm>
                          <a:off x="0" y="0"/>
                          <a:ext cx="666750" cy="5924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7DD29C4">
                            <w:pPr>
                              <w:jc w:val="center"/>
                              <w:rPr>
                                <w:rFonts w:hint="default"/>
                                <w:b/>
                                <w:bCs/>
                                <w:sz w:val="32"/>
                                <w:szCs w:val="32"/>
                                <w:lang w:val="en-US" w:eastAsia="zh-CN"/>
                              </w:rPr>
                            </w:pPr>
                            <w:r>
                              <w:rPr>
                                <w:rFonts w:hint="eastAsia"/>
                                <w:b/>
                                <w:bCs/>
                                <w:sz w:val="32"/>
                                <w:szCs w:val="32"/>
                                <w:lang w:val="en-US" w:eastAsia="zh-CN"/>
                              </w:rPr>
                              <w:t>A1</w:t>
                            </w:r>
                          </w:p>
                          <w:p w14:paraId="2C473F4B">
                            <w:pPr>
                              <w:jc w:val="center"/>
                              <w:rPr>
                                <w:rFonts w:hint="default"/>
                                <w:b/>
                                <w:bCs/>
                                <w:sz w:val="32"/>
                                <w:szCs w:val="32"/>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0.45pt;margin-top:-44.5pt;height:46.65pt;width:52.5pt;z-index:251662336;mso-width-relative:page;mso-height-relative:page;" fillcolor="#FFFFFF [3201]" filled="t" stroked="f" coordsize="21600,21600" o:gfxdata="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CWtbdrVAAAACQEAAA8AAAAAAAAA&#10;AQAgAAAAIgAAAGRycy9kb3ducmV2LnhtbFBLAQIUABQAAAAIAIdO4kC8koLiTQIAAJAEAAAOAAAA&#10;AAAAAAEAIAAAACQBAABkcnMvZTJvRG9jLnhtbFBLBQYAAAAABgAGAFkBAADjBQAAAAA=&#10;">
                <v:fill on="t" focussize="0,0"/>
                <v:stroke on="f" weight="0.5pt"/>
                <v:imagedata o:title=""/>
                <o:lock v:ext="edit" aspectratio="f"/>
                <v:textbox>
                  <w:txbxContent>
                    <w:p w14:paraId="47DD29C4">
                      <w:pPr>
                        <w:jc w:val="center"/>
                        <w:rPr>
                          <w:rFonts w:hint="default"/>
                          <w:b/>
                          <w:bCs/>
                          <w:sz w:val="32"/>
                          <w:szCs w:val="32"/>
                          <w:lang w:val="en-US" w:eastAsia="zh-CN"/>
                        </w:rPr>
                      </w:pPr>
                      <w:r>
                        <w:rPr>
                          <w:rFonts w:hint="eastAsia"/>
                          <w:b/>
                          <w:bCs/>
                          <w:sz w:val="32"/>
                          <w:szCs w:val="32"/>
                          <w:lang w:val="en-US" w:eastAsia="zh-CN"/>
                        </w:rPr>
                        <w:t>A1</w:t>
                      </w:r>
                    </w:p>
                    <w:p w14:paraId="2C473F4B">
                      <w:pPr>
                        <w:jc w:val="center"/>
                        <w:rPr>
                          <w:rFonts w:hint="default"/>
                          <w:b/>
                          <w:bCs/>
                          <w:sz w:val="32"/>
                          <w:szCs w:val="32"/>
                          <w:lang w:val="en-US" w:eastAsia="zh-CN"/>
                        </w:rPr>
                      </w:pPr>
                    </w:p>
                  </w:txbxContent>
                </v:textbox>
              </v:shape>
            </w:pict>
          </mc:Fallback>
        </mc:AlternateContent>
      </w:r>
      <w:r>
        <w:rPr>
          <w:rFonts w:hint="eastAsia" w:ascii="仿宋" w:hAnsi="仿宋" w:eastAsia="仿宋" w:cs="仿宋"/>
          <w:b/>
          <w:bCs/>
          <w:sz w:val="36"/>
          <w:szCs w:val="36"/>
          <w:lang w:eastAsia="zh-CN"/>
        </w:rPr>
        <w:t>湖南浩元会计师事务所（普通合伙）</w:t>
      </w:r>
    </w:p>
    <w:p w14:paraId="2EE52B05">
      <w:pPr>
        <w:widowControl w:val="0"/>
        <w:jc w:val="center"/>
        <w:rPr>
          <w:rFonts w:hint="eastAsia" w:ascii="仿宋" w:hAnsi="仿宋" w:eastAsia="仿宋" w:cs="仿宋"/>
          <w:b/>
          <w:bCs/>
          <w:sz w:val="36"/>
          <w:szCs w:val="36"/>
          <w:lang w:eastAsia="zh-CN"/>
        </w:rPr>
      </w:pPr>
      <w:r>
        <w:rPr>
          <w:rFonts w:hint="eastAsia" w:ascii="仿宋" w:hAnsi="仿宋" w:eastAsia="仿宋" w:cs="仿宋"/>
          <w:b/>
          <w:bCs/>
          <w:sz w:val="36"/>
          <w:szCs w:val="36"/>
          <w:lang w:eastAsia="zh-CN"/>
        </w:rPr>
        <w:t>HunanHaoyuanCertifiedPublicAccountantsGP</w:t>
      </w:r>
    </w:p>
    <w:p w14:paraId="05C4277D">
      <w:pPr>
        <w:widowControl w:val="0"/>
        <w:jc w:val="center"/>
        <w:rPr>
          <w:rFonts w:hint="eastAsia" w:ascii="仿宋" w:hAnsi="仿宋" w:eastAsia="仿宋" w:cs="仿宋"/>
          <w:sz w:val="32"/>
          <w:szCs w:val="32"/>
          <w:lang w:eastAsia="zh-CN"/>
        </w:rPr>
      </w:pPr>
    </w:p>
    <w:p w14:paraId="2CE24707">
      <w:pPr>
        <w:widowControl w:val="0"/>
        <w:jc w:val="both"/>
        <w:rPr>
          <w:rFonts w:hint="eastAsia" w:ascii="仿宋" w:hAnsi="仿宋" w:eastAsia="仿宋" w:cs="仿宋"/>
          <w:sz w:val="32"/>
          <w:szCs w:val="32"/>
          <w:lang w:eastAsia="zh-CN"/>
        </w:rPr>
      </w:pPr>
    </w:p>
    <w:p w14:paraId="4BA2C105">
      <w:pPr>
        <w:widowControl w:val="0"/>
        <w:jc w:val="both"/>
        <w:rPr>
          <w:rFonts w:hint="eastAsia" w:ascii="仿宋" w:hAnsi="仿宋" w:eastAsia="仿宋" w:cs="仿宋"/>
          <w:sz w:val="32"/>
          <w:szCs w:val="32"/>
          <w:lang w:eastAsia="zh-CN"/>
        </w:rPr>
      </w:pPr>
    </w:p>
    <w:p w14:paraId="7F0AE20D">
      <w:pPr>
        <w:widowControl w:val="0"/>
        <w:jc w:val="center"/>
        <w:rPr>
          <w:rFonts w:hint="eastAsia" w:ascii="方正隶二简体" w:hAnsi="方正隶二简体" w:eastAsia="方正隶二简体" w:cs="方正隶二简体"/>
          <w:sz w:val="72"/>
          <w:szCs w:val="72"/>
          <w:lang w:eastAsia="zh-CN"/>
        </w:rPr>
      </w:pPr>
      <w:r>
        <w:rPr>
          <w:rFonts w:hint="eastAsia" w:ascii="方正隶二简体" w:hAnsi="方正隶二简体" w:eastAsia="方正隶二简体" w:cs="方正隶二简体"/>
          <w:sz w:val="72"/>
          <w:szCs w:val="72"/>
          <w:lang w:val="en-US" w:eastAsia="zh-CN"/>
        </w:rPr>
        <w:t>绩效评价</w:t>
      </w:r>
      <w:r>
        <w:rPr>
          <w:rFonts w:hint="eastAsia" w:ascii="方正隶二简体" w:hAnsi="方正隶二简体" w:eastAsia="方正隶二简体" w:cs="方正隶二简体"/>
          <w:sz w:val="72"/>
          <w:szCs w:val="72"/>
          <w:lang w:eastAsia="zh-CN"/>
        </w:rPr>
        <w:t>报告</w:t>
      </w:r>
    </w:p>
    <w:p w14:paraId="59FC2698">
      <w:pPr>
        <w:widowControl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湘浩元</w:t>
      </w:r>
      <w:r>
        <w:rPr>
          <w:rFonts w:hint="eastAsia" w:ascii="仿宋" w:hAnsi="仿宋" w:eastAsia="仿宋" w:cs="仿宋"/>
          <w:sz w:val="32"/>
          <w:szCs w:val="32"/>
          <w:lang w:val="en-US" w:eastAsia="zh-CN"/>
        </w:rPr>
        <w:t>评</w:t>
      </w:r>
      <w:r>
        <w:rPr>
          <w:rFonts w:hint="eastAsia" w:ascii="仿宋" w:hAnsi="仿宋" w:eastAsia="仿宋" w:cs="仿宋"/>
          <w:sz w:val="32"/>
          <w:szCs w:val="32"/>
          <w:lang w:eastAsia="zh-CN"/>
        </w:rPr>
        <w:t>字[202</w:t>
      </w:r>
      <w:r>
        <w:rPr>
          <w:rFonts w:hint="eastAsia" w:ascii="仿宋" w:hAnsi="仿宋" w:eastAsia="仿宋" w:cs="仿宋"/>
          <w:sz w:val="32"/>
          <w:szCs w:val="32"/>
          <w:lang w:val="en-US" w:eastAsia="zh-CN"/>
        </w:rPr>
        <w:t>5</w:t>
      </w:r>
      <w:r>
        <w:rPr>
          <w:rFonts w:hint="eastAsia" w:ascii="仿宋" w:hAnsi="仿宋" w:eastAsia="仿宋" w:cs="仿宋"/>
          <w:sz w:val="32"/>
          <w:szCs w:val="32"/>
          <w:lang w:eastAsia="zh-CN"/>
        </w:rPr>
        <w:t>]第号</w:t>
      </w:r>
    </w:p>
    <w:p w14:paraId="5FA7B718">
      <w:pPr>
        <w:widowControl w:val="0"/>
        <w:jc w:val="center"/>
        <w:rPr>
          <w:rFonts w:hint="eastAsia" w:ascii="仿宋" w:hAnsi="仿宋" w:eastAsia="仿宋" w:cs="仿宋"/>
          <w:sz w:val="32"/>
          <w:szCs w:val="32"/>
          <w:lang w:eastAsia="zh-CN"/>
        </w:rPr>
      </w:pPr>
    </w:p>
    <w:p w14:paraId="24348FBC">
      <w:pPr>
        <w:widowControl w:val="0"/>
        <w:jc w:val="both"/>
        <w:rPr>
          <w:rFonts w:hint="eastAsia" w:ascii="仿宋" w:hAnsi="仿宋" w:eastAsia="仿宋" w:cs="仿宋"/>
          <w:sz w:val="32"/>
          <w:szCs w:val="32"/>
          <w:lang w:eastAsia="zh-CN"/>
        </w:rPr>
      </w:pPr>
    </w:p>
    <w:p w14:paraId="60A0E5B7">
      <w:pPr>
        <w:widowControl w:val="0"/>
        <w:jc w:val="center"/>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2024年雁峰区财政局</w:t>
      </w:r>
    </w:p>
    <w:p w14:paraId="08E74D41">
      <w:pPr>
        <w:widowControl w:val="0"/>
        <w:jc w:val="center"/>
        <w:rPr>
          <w:rFonts w:hint="default" w:ascii="黑体" w:hAnsi="黑体" w:eastAsia="黑体" w:cs="黑体"/>
          <w:sz w:val="36"/>
          <w:szCs w:val="36"/>
          <w:lang w:val="en-US" w:eastAsia="zh-CN"/>
        </w:rPr>
      </w:pPr>
      <w:r>
        <w:rPr>
          <w:rFonts w:hint="eastAsia" w:ascii="黑体" w:hAnsi="黑体" w:eastAsia="黑体" w:cs="黑体"/>
          <w:sz w:val="36"/>
          <w:szCs w:val="36"/>
          <w:lang w:val="en-US" w:eastAsia="zh-CN"/>
        </w:rPr>
        <w:t>部门整体支出</w:t>
      </w:r>
    </w:p>
    <w:p w14:paraId="4B8D29C5">
      <w:pPr>
        <w:keepNext w:val="0"/>
        <w:keepLines w:val="0"/>
        <w:pageBreakBefore w:val="0"/>
        <w:widowControl/>
        <w:kinsoku/>
        <w:wordWrap/>
        <w:overflowPunct/>
        <w:topLinePunct w:val="0"/>
        <w:autoSpaceDE/>
        <w:autoSpaceDN/>
        <w:bidi w:val="0"/>
        <w:adjustRightInd/>
        <w:snapToGrid/>
        <w:spacing w:before="567" w:line="360" w:lineRule="auto"/>
        <w:jc w:val="both"/>
        <w:textAlignment w:val="auto"/>
        <w:rPr>
          <w:rFonts w:hint="eastAsia" w:ascii="黑体" w:hAnsi="黑体" w:eastAsia="黑体" w:cs="黑体"/>
          <w:sz w:val="52"/>
          <w:szCs w:val="52"/>
          <w:u w:val="none"/>
          <w:lang w:eastAsia="zh-CN"/>
        </w:rPr>
      </w:pPr>
    </w:p>
    <w:p w14:paraId="73DC98AA">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default"/>
          <w:u w:val="none"/>
          <w:lang w:val="en-US" w:eastAsia="zh-CN"/>
        </w:rPr>
      </w:pPr>
    </w:p>
    <w:p w14:paraId="568F0119">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32"/>
          <w:szCs w:val="32"/>
          <w:u w:val="none"/>
          <w:lang w:val="en-US" w:eastAsia="zh-CN"/>
        </w:rPr>
      </w:pPr>
    </w:p>
    <w:p w14:paraId="69164F41">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32"/>
          <w:szCs w:val="32"/>
          <w:u w:val="none"/>
          <w:lang w:val="en-US" w:eastAsia="zh-CN"/>
        </w:rPr>
      </w:pPr>
    </w:p>
    <w:p w14:paraId="40503361">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32"/>
          <w:szCs w:val="32"/>
          <w:u w:val="none"/>
          <w:lang w:val="en-US" w:eastAsia="zh-CN"/>
        </w:rPr>
      </w:pPr>
      <w:r>
        <w:rPr>
          <w:rFonts w:hint="eastAsia" w:ascii="宋体" w:hAnsi="宋体" w:eastAsia="宋体" w:cs="宋体"/>
          <w:b/>
          <w:bCs/>
          <w:sz w:val="32"/>
          <w:szCs w:val="32"/>
          <w:u w:val="none"/>
          <w:lang w:val="en-US" w:eastAsia="zh-CN"/>
        </w:rPr>
        <w:t>项目单位：雁峰区财政局</w:t>
      </w:r>
    </w:p>
    <w:p w14:paraId="4665FB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宋体" w:hAnsi="宋体" w:eastAsia="宋体" w:cs="宋体"/>
          <w:b/>
          <w:bCs/>
          <w:sz w:val="32"/>
          <w:szCs w:val="32"/>
          <w:u w:val="none"/>
          <w:lang w:val="en-US" w:eastAsia="zh-CN"/>
        </w:rPr>
      </w:pPr>
      <w:r>
        <w:rPr>
          <w:rFonts w:hint="eastAsia" w:ascii="宋体" w:hAnsi="宋体" w:eastAsia="宋体" w:cs="宋体"/>
          <w:b/>
          <w:bCs/>
          <w:sz w:val="32"/>
          <w:szCs w:val="32"/>
          <w:u w:val="none"/>
          <w:lang w:val="en-US" w:eastAsia="zh-CN"/>
        </w:rPr>
        <w:t>主管单位</w:t>
      </w:r>
      <w:r>
        <w:rPr>
          <w:rFonts w:hint="eastAsia" w:ascii="宋体" w:hAnsi="宋体" w:eastAsia="宋体" w:cs="宋体"/>
          <w:b/>
          <w:bCs/>
          <w:sz w:val="32"/>
          <w:szCs w:val="32"/>
          <w:highlight w:val="none"/>
          <w:u w:val="none"/>
          <w:lang w:val="en-US" w:eastAsia="zh-CN"/>
        </w:rPr>
        <w:t>：雁峰区人民政府</w:t>
      </w:r>
    </w:p>
    <w:p w14:paraId="7BC40457">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32"/>
          <w:szCs w:val="32"/>
          <w:u w:val="none"/>
          <w:lang w:val="en-US" w:eastAsia="zh-CN"/>
        </w:rPr>
      </w:pPr>
      <w:r>
        <w:rPr>
          <w:rFonts w:hint="eastAsia" w:ascii="宋体" w:hAnsi="宋体" w:eastAsia="宋体" w:cs="宋体"/>
          <w:b/>
          <w:bCs/>
          <w:sz w:val="32"/>
          <w:szCs w:val="32"/>
          <w:u w:val="none"/>
          <w:lang w:val="en-US" w:eastAsia="zh-CN"/>
        </w:rPr>
        <w:t>委托单位：雁峰区财政局</w:t>
      </w:r>
    </w:p>
    <w:p w14:paraId="0179B9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宋体" w:hAnsi="宋体" w:eastAsia="宋体" w:cs="宋体"/>
          <w:b/>
          <w:bCs/>
          <w:sz w:val="32"/>
          <w:szCs w:val="32"/>
          <w:u w:val="none"/>
          <w:lang w:val="en-US" w:eastAsia="zh-CN"/>
        </w:rPr>
      </w:pPr>
      <w:r>
        <w:rPr>
          <w:rFonts w:hint="eastAsia" w:ascii="宋体" w:hAnsi="宋体" w:eastAsia="宋体" w:cs="宋体"/>
          <w:b/>
          <w:bCs/>
          <w:spacing w:val="320"/>
          <w:kern w:val="0"/>
          <w:sz w:val="32"/>
          <w:szCs w:val="32"/>
          <w:u w:val="none"/>
          <w:fitText w:val="1280" w:id="2085554003"/>
          <w:lang w:val="en-US" w:eastAsia="zh-CN"/>
        </w:rPr>
        <w:t>日</w:t>
      </w:r>
      <w:r>
        <w:rPr>
          <w:rFonts w:hint="eastAsia" w:ascii="宋体" w:hAnsi="宋体" w:eastAsia="宋体" w:cs="宋体"/>
          <w:b/>
          <w:bCs/>
          <w:spacing w:val="0"/>
          <w:kern w:val="0"/>
          <w:sz w:val="32"/>
          <w:szCs w:val="32"/>
          <w:u w:val="none"/>
          <w:fitText w:val="1280" w:id="2085554003"/>
          <w:lang w:val="en-US" w:eastAsia="zh-CN"/>
        </w:rPr>
        <w:t>期</w:t>
      </w:r>
      <w:r>
        <w:rPr>
          <w:rFonts w:hint="eastAsia" w:ascii="宋体" w:hAnsi="宋体" w:eastAsia="宋体" w:cs="宋体"/>
          <w:b/>
          <w:bCs/>
          <w:sz w:val="32"/>
          <w:szCs w:val="32"/>
          <w:u w:val="none"/>
          <w:lang w:val="en-US" w:eastAsia="zh-CN"/>
        </w:rPr>
        <w:t>：2025年11月30日</w:t>
      </w:r>
    </w:p>
    <w:p w14:paraId="482C60CD">
      <w:pPr>
        <w:pStyle w:val="10"/>
        <w:tabs>
          <w:tab w:val="right" w:leader="dot" w:pos="8306"/>
        </w:tabs>
        <w:ind w:firstLine="643" w:firstLineChars="200"/>
        <w:jc w:val="center"/>
        <w:rPr>
          <w:rFonts w:hint="default" w:asciiTheme="minorAscii" w:hAnsiTheme="minorAscii" w:eastAsiaTheme="minorEastAsia"/>
          <w:b/>
          <w:bCs/>
          <w:sz w:val="32"/>
          <w:szCs w:val="36"/>
          <w:u w:val="none"/>
          <w:lang w:val="en-US" w:eastAsia="zh-CN"/>
        </w:rPr>
        <w:sectPr>
          <w:headerReference r:id="rId3" w:type="default"/>
          <w:footerReference r:id="rId4" w:type="default"/>
          <w:pgSz w:w="11906" w:h="16838"/>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32" w:charSpace="0"/>
        </w:sectPr>
      </w:pPr>
    </w:p>
    <w:p w14:paraId="3EF9BD3A">
      <w:pPr>
        <w:pStyle w:val="10"/>
        <w:keepNext w:val="0"/>
        <w:keepLines w:val="0"/>
        <w:pageBreakBefore w:val="0"/>
        <w:widowControl/>
        <w:tabs>
          <w:tab w:val="center" w:pos="4210"/>
          <w:tab w:val="left" w:pos="5980"/>
          <w:tab w:val="right" w:leader="dot" w:pos="8300"/>
        </w:tabs>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bCs/>
          <w:sz w:val="44"/>
          <w:szCs w:val="44"/>
          <w:lang w:val="en-US" w:eastAsia="zh-CN"/>
        </w:rPr>
      </w:pPr>
      <w:r>
        <w:rPr>
          <w:rFonts w:hint="eastAsia" w:ascii="方正小标宋简体" w:hAnsi="方正小标宋简体" w:eastAsia="方正小标宋简体" w:cs="方正小标宋简体"/>
          <w:b/>
          <w:bCs/>
          <w:spacing w:val="280"/>
          <w:kern w:val="0"/>
          <w:sz w:val="44"/>
          <w:szCs w:val="44"/>
          <w:fitText w:val="1440" w:id="1955599196"/>
          <w:lang w:val="en-US" w:eastAsia="zh-CN"/>
        </w:rPr>
        <w:t>目</w:t>
      </w:r>
      <w:r>
        <w:rPr>
          <w:rFonts w:hint="eastAsia" w:ascii="方正小标宋简体" w:hAnsi="方正小标宋简体" w:eastAsia="方正小标宋简体" w:cs="方正小标宋简体"/>
          <w:b/>
          <w:bCs/>
          <w:spacing w:val="0"/>
          <w:kern w:val="0"/>
          <w:sz w:val="44"/>
          <w:szCs w:val="44"/>
          <w:fitText w:val="1440" w:id="1955599196"/>
          <w:lang w:val="en-US" w:eastAsia="zh-CN"/>
        </w:rPr>
        <w:t>录</w:t>
      </w:r>
    </w:p>
    <w:p w14:paraId="7C2A529F">
      <w:pPr>
        <w:pStyle w:val="10"/>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TOC \o "1-3" \h \u </w:instrText>
      </w:r>
      <w:r>
        <w:rPr>
          <w:rFonts w:hint="default"/>
          <w:sz w:val="32"/>
          <w:szCs w:val="32"/>
          <w:lang w:val="en-US" w:eastAsia="zh-CN"/>
        </w:rPr>
        <w:fldChar w:fldCharType="separate"/>
      </w:r>
      <w:r>
        <w:rPr>
          <w:rFonts w:hint="default"/>
          <w:sz w:val="32"/>
          <w:szCs w:val="32"/>
          <w:lang w:val="en-US" w:eastAsia="zh-CN"/>
        </w:rPr>
        <w:fldChar w:fldCharType="begin"/>
      </w:r>
      <w:r>
        <w:rPr>
          <w:rFonts w:hint="default"/>
          <w:sz w:val="32"/>
          <w:szCs w:val="32"/>
          <w:lang w:val="en-US" w:eastAsia="zh-CN"/>
        </w:rPr>
        <w:instrText xml:space="preserve"> HYPERLINK \l _Toc184 </w:instrText>
      </w:r>
      <w:r>
        <w:rPr>
          <w:rFonts w:hint="default"/>
          <w:sz w:val="32"/>
          <w:szCs w:val="32"/>
          <w:lang w:val="en-US" w:eastAsia="zh-CN"/>
        </w:rPr>
        <w:fldChar w:fldCharType="separate"/>
      </w:r>
      <w:r>
        <w:rPr>
          <w:rFonts w:hint="eastAsia" w:ascii="黑体" w:hAnsi="黑体" w:eastAsia="黑体" w:cs="黑体"/>
          <w:sz w:val="32"/>
          <w:szCs w:val="32"/>
          <w:lang w:eastAsia="zh-CN"/>
        </w:rPr>
        <w:t>一、</w:t>
      </w:r>
      <w:r>
        <w:rPr>
          <w:rFonts w:hint="eastAsia" w:ascii="黑体" w:hAnsi="黑体" w:eastAsia="黑体" w:cs="黑体"/>
          <w:sz w:val="32"/>
          <w:szCs w:val="32"/>
          <w:lang w:val="en-US" w:eastAsia="zh-CN"/>
        </w:rPr>
        <w:t>绩效评价基本</w:t>
      </w:r>
      <w:r>
        <w:rPr>
          <w:rFonts w:hint="eastAsia" w:ascii="黑体" w:hAnsi="黑体" w:eastAsia="黑体" w:cs="黑体"/>
          <w:sz w:val="32"/>
          <w:szCs w:val="32"/>
        </w:rPr>
        <w:t>情况</w:t>
      </w:r>
      <w:r>
        <w:rPr>
          <w:sz w:val="32"/>
          <w:szCs w:val="32"/>
        </w:rPr>
        <w:tab/>
      </w:r>
      <w:r>
        <w:rPr>
          <w:sz w:val="32"/>
          <w:szCs w:val="32"/>
        </w:rPr>
        <w:fldChar w:fldCharType="begin"/>
      </w:r>
      <w:r>
        <w:rPr>
          <w:sz w:val="32"/>
          <w:szCs w:val="32"/>
        </w:rPr>
        <w:instrText xml:space="preserve"> PAGEREF _Toc184 \h </w:instrText>
      </w:r>
      <w:r>
        <w:rPr>
          <w:sz w:val="32"/>
          <w:szCs w:val="32"/>
        </w:rPr>
        <w:fldChar w:fldCharType="separate"/>
      </w:r>
      <w:r>
        <w:rPr>
          <w:sz w:val="32"/>
          <w:szCs w:val="32"/>
        </w:rPr>
        <w:t>1</w:t>
      </w:r>
      <w:r>
        <w:rPr>
          <w:sz w:val="32"/>
          <w:szCs w:val="32"/>
        </w:rPr>
        <w:fldChar w:fldCharType="end"/>
      </w:r>
      <w:r>
        <w:rPr>
          <w:rFonts w:hint="default"/>
          <w:sz w:val="32"/>
          <w:szCs w:val="32"/>
          <w:lang w:val="en-US" w:eastAsia="zh-CN"/>
        </w:rPr>
        <w:fldChar w:fldCharType="end"/>
      </w:r>
    </w:p>
    <w:p w14:paraId="200A53FA">
      <w:pPr>
        <w:pStyle w:val="11"/>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_Toc12336 </w:instrText>
      </w:r>
      <w:r>
        <w:rPr>
          <w:rFonts w:hint="default"/>
          <w:sz w:val="32"/>
          <w:szCs w:val="32"/>
          <w:lang w:val="en-US" w:eastAsia="zh-CN"/>
        </w:rPr>
        <w:fldChar w:fldCharType="separate"/>
      </w:r>
      <w:r>
        <w:rPr>
          <w:rFonts w:hint="eastAsia" w:ascii="楷体" w:hAnsi="楷体" w:eastAsia="楷体" w:cs="楷体"/>
          <w:bCs/>
          <w:sz w:val="32"/>
          <w:szCs w:val="32"/>
        </w:rPr>
        <w:t>（一）</w:t>
      </w:r>
      <w:r>
        <w:rPr>
          <w:rFonts w:hint="eastAsia" w:ascii="楷体" w:hAnsi="楷体" w:eastAsia="楷体" w:cs="楷体"/>
          <w:bCs/>
          <w:sz w:val="32"/>
          <w:szCs w:val="32"/>
          <w:lang w:val="en-US" w:eastAsia="zh-CN"/>
        </w:rPr>
        <w:t>评价</w:t>
      </w:r>
      <w:r>
        <w:rPr>
          <w:rFonts w:hint="eastAsia" w:ascii="楷体" w:hAnsi="楷体" w:eastAsia="楷体" w:cs="楷体"/>
          <w:bCs/>
          <w:sz w:val="32"/>
          <w:szCs w:val="32"/>
        </w:rPr>
        <w:t>对象和范围</w:t>
      </w:r>
      <w:r>
        <w:rPr>
          <w:sz w:val="32"/>
          <w:szCs w:val="32"/>
        </w:rPr>
        <w:tab/>
      </w:r>
      <w:r>
        <w:rPr>
          <w:sz w:val="32"/>
          <w:szCs w:val="32"/>
        </w:rPr>
        <w:fldChar w:fldCharType="begin"/>
      </w:r>
      <w:r>
        <w:rPr>
          <w:sz w:val="32"/>
          <w:szCs w:val="32"/>
        </w:rPr>
        <w:instrText xml:space="preserve"> PAGEREF _Toc12336 \h </w:instrText>
      </w:r>
      <w:r>
        <w:rPr>
          <w:sz w:val="32"/>
          <w:szCs w:val="32"/>
        </w:rPr>
        <w:fldChar w:fldCharType="separate"/>
      </w:r>
      <w:r>
        <w:rPr>
          <w:sz w:val="32"/>
          <w:szCs w:val="32"/>
        </w:rPr>
        <w:t>1</w:t>
      </w:r>
      <w:r>
        <w:rPr>
          <w:sz w:val="32"/>
          <w:szCs w:val="32"/>
        </w:rPr>
        <w:fldChar w:fldCharType="end"/>
      </w:r>
      <w:r>
        <w:rPr>
          <w:rFonts w:hint="default"/>
          <w:sz w:val="32"/>
          <w:szCs w:val="32"/>
          <w:lang w:val="en-US" w:eastAsia="zh-CN"/>
        </w:rPr>
        <w:fldChar w:fldCharType="end"/>
      </w:r>
    </w:p>
    <w:p w14:paraId="2F739ADD">
      <w:pPr>
        <w:pStyle w:val="11"/>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_Toc26960 </w:instrText>
      </w:r>
      <w:r>
        <w:rPr>
          <w:rFonts w:hint="default"/>
          <w:sz w:val="32"/>
          <w:szCs w:val="32"/>
          <w:lang w:val="en-US" w:eastAsia="zh-CN"/>
        </w:rPr>
        <w:fldChar w:fldCharType="separate"/>
      </w:r>
      <w:r>
        <w:rPr>
          <w:rFonts w:hint="eastAsia" w:ascii="楷体" w:hAnsi="楷体" w:eastAsia="楷体" w:cs="楷体"/>
          <w:bCs/>
          <w:sz w:val="32"/>
          <w:szCs w:val="32"/>
        </w:rPr>
        <w:t>（二）</w:t>
      </w:r>
      <w:r>
        <w:rPr>
          <w:rFonts w:hint="eastAsia" w:ascii="楷体" w:hAnsi="楷体" w:eastAsia="楷体" w:cs="楷体"/>
          <w:bCs/>
          <w:sz w:val="32"/>
          <w:szCs w:val="32"/>
          <w:lang w:val="en-US" w:eastAsia="zh-CN"/>
        </w:rPr>
        <w:t>评价</w:t>
      </w:r>
      <w:r>
        <w:rPr>
          <w:rFonts w:hint="eastAsia" w:ascii="楷体" w:hAnsi="楷体" w:eastAsia="楷体" w:cs="楷体"/>
          <w:bCs/>
          <w:sz w:val="32"/>
          <w:szCs w:val="32"/>
        </w:rPr>
        <w:t>依据</w:t>
      </w:r>
      <w:r>
        <w:rPr>
          <w:sz w:val="32"/>
          <w:szCs w:val="32"/>
        </w:rPr>
        <w:tab/>
      </w:r>
      <w:r>
        <w:rPr>
          <w:sz w:val="32"/>
          <w:szCs w:val="32"/>
        </w:rPr>
        <w:fldChar w:fldCharType="begin"/>
      </w:r>
      <w:r>
        <w:rPr>
          <w:sz w:val="32"/>
          <w:szCs w:val="32"/>
        </w:rPr>
        <w:instrText xml:space="preserve"> PAGEREF _Toc26960 \h </w:instrText>
      </w:r>
      <w:r>
        <w:rPr>
          <w:sz w:val="32"/>
          <w:szCs w:val="32"/>
        </w:rPr>
        <w:fldChar w:fldCharType="separate"/>
      </w:r>
      <w:r>
        <w:rPr>
          <w:sz w:val="32"/>
          <w:szCs w:val="32"/>
        </w:rPr>
        <w:t>2</w:t>
      </w:r>
      <w:r>
        <w:rPr>
          <w:sz w:val="32"/>
          <w:szCs w:val="32"/>
        </w:rPr>
        <w:fldChar w:fldCharType="end"/>
      </w:r>
      <w:r>
        <w:rPr>
          <w:rFonts w:hint="default"/>
          <w:sz w:val="32"/>
          <w:szCs w:val="32"/>
          <w:lang w:val="en-US" w:eastAsia="zh-CN"/>
        </w:rPr>
        <w:fldChar w:fldCharType="end"/>
      </w:r>
    </w:p>
    <w:p w14:paraId="2F617BF2">
      <w:pPr>
        <w:pStyle w:val="11"/>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_Toc2567 </w:instrText>
      </w:r>
      <w:r>
        <w:rPr>
          <w:rFonts w:hint="default"/>
          <w:sz w:val="32"/>
          <w:szCs w:val="32"/>
          <w:lang w:val="en-US" w:eastAsia="zh-CN"/>
        </w:rPr>
        <w:fldChar w:fldCharType="separate"/>
      </w:r>
      <w:r>
        <w:rPr>
          <w:rFonts w:hint="eastAsia" w:ascii="楷体" w:hAnsi="楷体" w:eastAsia="楷体" w:cs="楷体"/>
          <w:bCs/>
          <w:sz w:val="32"/>
          <w:szCs w:val="32"/>
        </w:rPr>
        <w:t>（三）</w:t>
      </w:r>
      <w:r>
        <w:rPr>
          <w:rFonts w:hint="eastAsia" w:ascii="楷体" w:hAnsi="楷体" w:eastAsia="楷体" w:cs="楷体"/>
          <w:bCs/>
          <w:sz w:val="32"/>
          <w:szCs w:val="32"/>
          <w:lang w:val="en-US" w:eastAsia="zh-CN"/>
        </w:rPr>
        <w:t>评价方法和目的</w:t>
      </w:r>
      <w:r>
        <w:rPr>
          <w:sz w:val="32"/>
          <w:szCs w:val="32"/>
        </w:rPr>
        <w:tab/>
      </w:r>
      <w:r>
        <w:rPr>
          <w:sz w:val="32"/>
          <w:szCs w:val="32"/>
        </w:rPr>
        <w:fldChar w:fldCharType="begin"/>
      </w:r>
      <w:r>
        <w:rPr>
          <w:sz w:val="32"/>
          <w:szCs w:val="32"/>
        </w:rPr>
        <w:instrText xml:space="preserve"> PAGEREF _Toc2567 \h </w:instrText>
      </w:r>
      <w:r>
        <w:rPr>
          <w:sz w:val="32"/>
          <w:szCs w:val="32"/>
        </w:rPr>
        <w:fldChar w:fldCharType="separate"/>
      </w:r>
      <w:r>
        <w:rPr>
          <w:sz w:val="32"/>
          <w:szCs w:val="32"/>
        </w:rPr>
        <w:t>3</w:t>
      </w:r>
      <w:r>
        <w:rPr>
          <w:sz w:val="32"/>
          <w:szCs w:val="32"/>
        </w:rPr>
        <w:fldChar w:fldCharType="end"/>
      </w:r>
      <w:r>
        <w:rPr>
          <w:rFonts w:hint="default"/>
          <w:sz w:val="32"/>
          <w:szCs w:val="32"/>
          <w:lang w:val="en-US" w:eastAsia="zh-CN"/>
        </w:rPr>
        <w:fldChar w:fldCharType="end"/>
      </w:r>
    </w:p>
    <w:p w14:paraId="51E03AE4">
      <w:pPr>
        <w:pStyle w:val="10"/>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_Toc7056 </w:instrText>
      </w:r>
      <w:r>
        <w:rPr>
          <w:rFonts w:hint="default"/>
          <w:sz w:val="32"/>
          <w:szCs w:val="32"/>
          <w:lang w:val="en-US" w:eastAsia="zh-CN"/>
        </w:rPr>
        <w:fldChar w:fldCharType="separate"/>
      </w:r>
      <w:r>
        <w:rPr>
          <w:rFonts w:hint="eastAsia" w:ascii="黑体" w:hAnsi="黑体" w:eastAsia="黑体" w:cs="黑体"/>
          <w:sz w:val="32"/>
          <w:szCs w:val="32"/>
          <w:lang w:eastAsia="zh-CN"/>
        </w:rPr>
        <w:t>二、</w:t>
      </w:r>
      <w:r>
        <w:rPr>
          <w:rFonts w:hint="eastAsia" w:ascii="黑体" w:hAnsi="黑体" w:eastAsia="黑体" w:cs="黑体"/>
          <w:sz w:val="32"/>
          <w:szCs w:val="32"/>
          <w:lang w:val="en-US" w:eastAsia="zh-CN"/>
        </w:rPr>
        <w:t>部门基本</w:t>
      </w:r>
      <w:r>
        <w:rPr>
          <w:rFonts w:hint="eastAsia" w:ascii="黑体" w:hAnsi="黑体" w:eastAsia="黑体" w:cs="黑体"/>
          <w:sz w:val="32"/>
          <w:szCs w:val="32"/>
          <w:lang w:eastAsia="zh-CN"/>
        </w:rPr>
        <w:t>情况</w:t>
      </w:r>
      <w:r>
        <w:rPr>
          <w:sz w:val="32"/>
          <w:szCs w:val="32"/>
        </w:rPr>
        <w:tab/>
      </w:r>
      <w:r>
        <w:rPr>
          <w:sz w:val="32"/>
          <w:szCs w:val="32"/>
        </w:rPr>
        <w:fldChar w:fldCharType="begin"/>
      </w:r>
      <w:r>
        <w:rPr>
          <w:sz w:val="32"/>
          <w:szCs w:val="32"/>
        </w:rPr>
        <w:instrText xml:space="preserve"> PAGEREF _Toc7056 \h </w:instrText>
      </w:r>
      <w:r>
        <w:rPr>
          <w:sz w:val="32"/>
          <w:szCs w:val="32"/>
        </w:rPr>
        <w:fldChar w:fldCharType="separate"/>
      </w:r>
      <w:r>
        <w:rPr>
          <w:sz w:val="32"/>
          <w:szCs w:val="32"/>
        </w:rPr>
        <w:t>4</w:t>
      </w:r>
      <w:r>
        <w:rPr>
          <w:sz w:val="32"/>
          <w:szCs w:val="32"/>
        </w:rPr>
        <w:fldChar w:fldCharType="end"/>
      </w:r>
      <w:r>
        <w:rPr>
          <w:rFonts w:hint="default"/>
          <w:sz w:val="32"/>
          <w:szCs w:val="32"/>
          <w:lang w:val="en-US" w:eastAsia="zh-CN"/>
        </w:rPr>
        <w:fldChar w:fldCharType="end"/>
      </w:r>
    </w:p>
    <w:p w14:paraId="0CF5A3E0">
      <w:pPr>
        <w:pStyle w:val="11"/>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_Toc17428 </w:instrText>
      </w:r>
      <w:r>
        <w:rPr>
          <w:rFonts w:hint="default"/>
          <w:sz w:val="32"/>
          <w:szCs w:val="32"/>
          <w:lang w:val="en-US" w:eastAsia="zh-CN"/>
        </w:rPr>
        <w:fldChar w:fldCharType="separate"/>
      </w:r>
      <w:r>
        <w:rPr>
          <w:rFonts w:hint="eastAsia" w:ascii="楷体" w:hAnsi="楷体" w:eastAsia="楷体" w:cs="楷体"/>
          <w:bCs/>
          <w:sz w:val="32"/>
          <w:szCs w:val="32"/>
          <w:lang w:val="en-US" w:eastAsia="zh-CN"/>
        </w:rPr>
        <w:t>（一）</w:t>
      </w:r>
      <w:r>
        <w:rPr>
          <w:rFonts w:hint="eastAsia" w:ascii="楷体" w:hAnsi="楷体" w:eastAsia="楷体" w:cs="楷体"/>
          <w:bCs/>
          <w:sz w:val="32"/>
          <w:szCs w:val="32"/>
          <w:lang w:eastAsia="zh-CN"/>
        </w:rPr>
        <w:t>部门</w:t>
      </w:r>
      <w:r>
        <w:rPr>
          <w:rFonts w:hint="eastAsia" w:ascii="楷体" w:hAnsi="楷体" w:eastAsia="楷体" w:cs="楷体"/>
          <w:bCs/>
          <w:sz w:val="32"/>
          <w:szCs w:val="32"/>
          <w:lang w:val="en-US" w:eastAsia="zh-CN"/>
        </w:rPr>
        <w:t>基本信息</w:t>
      </w:r>
      <w:r>
        <w:rPr>
          <w:sz w:val="32"/>
          <w:szCs w:val="32"/>
        </w:rPr>
        <w:tab/>
      </w:r>
      <w:r>
        <w:rPr>
          <w:sz w:val="32"/>
          <w:szCs w:val="32"/>
        </w:rPr>
        <w:fldChar w:fldCharType="begin"/>
      </w:r>
      <w:r>
        <w:rPr>
          <w:sz w:val="32"/>
          <w:szCs w:val="32"/>
        </w:rPr>
        <w:instrText xml:space="preserve"> PAGEREF _Toc17428 \h </w:instrText>
      </w:r>
      <w:r>
        <w:rPr>
          <w:sz w:val="32"/>
          <w:szCs w:val="32"/>
        </w:rPr>
        <w:fldChar w:fldCharType="separate"/>
      </w:r>
      <w:r>
        <w:rPr>
          <w:sz w:val="32"/>
          <w:szCs w:val="32"/>
        </w:rPr>
        <w:t>4</w:t>
      </w:r>
      <w:r>
        <w:rPr>
          <w:sz w:val="32"/>
          <w:szCs w:val="32"/>
        </w:rPr>
        <w:fldChar w:fldCharType="end"/>
      </w:r>
      <w:r>
        <w:rPr>
          <w:rFonts w:hint="default"/>
          <w:sz w:val="32"/>
          <w:szCs w:val="32"/>
          <w:lang w:val="en-US" w:eastAsia="zh-CN"/>
        </w:rPr>
        <w:fldChar w:fldCharType="end"/>
      </w:r>
    </w:p>
    <w:p w14:paraId="36AE0191">
      <w:pPr>
        <w:pStyle w:val="11"/>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_Toc19100 </w:instrText>
      </w:r>
      <w:r>
        <w:rPr>
          <w:rFonts w:hint="default"/>
          <w:sz w:val="32"/>
          <w:szCs w:val="32"/>
          <w:lang w:val="en-US" w:eastAsia="zh-CN"/>
        </w:rPr>
        <w:fldChar w:fldCharType="separate"/>
      </w:r>
      <w:r>
        <w:rPr>
          <w:rFonts w:hint="eastAsia" w:ascii="楷体" w:hAnsi="楷体" w:eastAsia="楷体" w:cs="楷体"/>
          <w:bCs/>
          <w:sz w:val="32"/>
          <w:szCs w:val="32"/>
          <w:highlight w:val="none"/>
          <w:lang w:eastAsia="zh-CN"/>
        </w:rPr>
        <w:t>（</w:t>
      </w:r>
      <w:r>
        <w:rPr>
          <w:rFonts w:hint="eastAsia" w:ascii="楷体" w:hAnsi="楷体" w:eastAsia="楷体" w:cs="楷体"/>
          <w:bCs/>
          <w:sz w:val="32"/>
          <w:szCs w:val="32"/>
          <w:highlight w:val="none"/>
          <w:lang w:val="en-US" w:eastAsia="zh-CN"/>
        </w:rPr>
        <w:t>二</w:t>
      </w:r>
      <w:r>
        <w:rPr>
          <w:rFonts w:hint="eastAsia" w:ascii="楷体" w:hAnsi="楷体" w:eastAsia="楷体" w:cs="楷体"/>
          <w:bCs/>
          <w:sz w:val="32"/>
          <w:szCs w:val="32"/>
          <w:highlight w:val="none"/>
          <w:lang w:eastAsia="zh-CN"/>
        </w:rPr>
        <w:t>）部门</w:t>
      </w:r>
      <w:r>
        <w:rPr>
          <w:rFonts w:hint="eastAsia" w:ascii="楷体" w:hAnsi="楷体" w:eastAsia="楷体" w:cs="楷体"/>
          <w:bCs/>
          <w:sz w:val="32"/>
          <w:szCs w:val="32"/>
          <w:highlight w:val="none"/>
          <w:lang w:val="en-US" w:eastAsia="zh-CN"/>
        </w:rPr>
        <w:t>主要职责</w:t>
      </w:r>
      <w:r>
        <w:rPr>
          <w:sz w:val="32"/>
          <w:szCs w:val="32"/>
        </w:rPr>
        <w:tab/>
      </w:r>
      <w:r>
        <w:rPr>
          <w:sz w:val="32"/>
          <w:szCs w:val="32"/>
        </w:rPr>
        <w:fldChar w:fldCharType="begin"/>
      </w:r>
      <w:r>
        <w:rPr>
          <w:sz w:val="32"/>
          <w:szCs w:val="32"/>
        </w:rPr>
        <w:instrText xml:space="preserve"> PAGEREF _Toc19100 \h </w:instrText>
      </w:r>
      <w:r>
        <w:rPr>
          <w:sz w:val="32"/>
          <w:szCs w:val="32"/>
        </w:rPr>
        <w:fldChar w:fldCharType="separate"/>
      </w:r>
      <w:r>
        <w:rPr>
          <w:sz w:val="32"/>
          <w:szCs w:val="32"/>
        </w:rPr>
        <w:t>4</w:t>
      </w:r>
      <w:r>
        <w:rPr>
          <w:sz w:val="32"/>
          <w:szCs w:val="32"/>
        </w:rPr>
        <w:fldChar w:fldCharType="end"/>
      </w:r>
      <w:r>
        <w:rPr>
          <w:rFonts w:hint="default"/>
          <w:sz w:val="32"/>
          <w:szCs w:val="32"/>
          <w:lang w:val="en-US" w:eastAsia="zh-CN"/>
        </w:rPr>
        <w:fldChar w:fldCharType="end"/>
      </w:r>
    </w:p>
    <w:p w14:paraId="08D0178C">
      <w:pPr>
        <w:pStyle w:val="11"/>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_Toc12413 </w:instrText>
      </w:r>
      <w:r>
        <w:rPr>
          <w:rFonts w:hint="default"/>
          <w:sz w:val="32"/>
          <w:szCs w:val="32"/>
          <w:lang w:val="en-US" w:eastAsia="zh-CN"/>
        </w:rPr>
        <w:fldChar w:fldCharType="separate"/>
      </w:r>
      <w:r>
        <w:rPr>
          <w:rFonts w:hint="eastAsia" w:ascii="楷体" w:hAnsi="楷体" w:eastAsia="楷体" w:cs="楷体"/>
          <w:bCs/>
          <w:sz w:val="32"/>
          <w:szCs w:val="32"/>
          <w:lang w:eastAsia="zh-CN"/>
        </w:rPr>
        <w:t>（</w:t>
      </w:r>
      <w:r>
        <w:rPr>
          <w:rFonts w:hint="eastAsia" w:ascii="楷体" w:hAnsi="楷体" w:eastAsia="楷体" w:cs="楷体"/>
          <w:bCs/>
          <w:sz w:val="32"/>
          <w:szCs w:val="32"/>
          <w:lang w:val="en-US" w:eastAsia="zh-CN"/>
        </w:rPr>
        <w:t>三</w:t>
      </w:r>
      <w:r>
        <w:rPr>
          <w:rFonts w:hint="eastAsia" w:ascii="楷体" w:hAnsi="楷体" w:eastAsia="楷体" w:cs="楷体"/>
          <w:bCs/>
          <w:sz w:val="32"/>
          <w:szCs w:val="32"/>
          <w:lang w:eastAsia="zh-CN"/>
        </w:rPr>
        <w:t>）</w:t>
      </w:r>
      <w:r>
        <w:rPr>
          <w:rFonts w:hint="eastAsia" w:ascii="楷体" w:hAnsi="楷体" w:eastAsia="楷体" w:cs="楷体"/>
          <w:bCs/>
          <w:sz w:val="32"/>
          <w:szCs w:val="32"/>
          <w:lang w:val="en-US" w:eastAsia="zh-CN"/>
        </w:rPr>
        <w:t>部门</w:t>
      </w:r>
      <w:r>
        <w:rPr>
          <w:rFonts w:hint="eastAsia" w:ascii="楷体" w:hAnsi="楷体" w:eastAsia="楷体" w:cs="楷体"/>
          <w:bCs/>
          <w:sz w:val="32"/>
          <w:szCs w:val="32"/>
          <w:lang w:eastAsia="zh-CN"/>
        </w:rPr>
        <w:t>组织架构与人员</w:t>
      </w:r>
      <w:r>
        <w:rPr>
          <w:sz w:val="32"/>
          <w:szCs w:val="32"/>
        </w:rPr>
        <w:tab/>
      </w:r>
      <w:r>
        <w:rPr>
          <w:sz w:val="32"/>
          <w:szCs w:val="32"/>
        </w:rPr>
        <w:fldChar w:fldCharType="begin"/>
      </w:r>
      <w:r>
        <w:rPr>
          <w:sz w:val="32"/>
          <w:szCs w:val="32"/>
        </w:rPr>
        <w:instrText xml:space="preserve"> PAGEREF _Toc12413 \h </w:instrText>
      </w:r>
      <w:r>
        <w:rPr>
          <w:sz w:val="32"/>
          <w:szCs w:val="32"/>
        </w:rPr>
        <w:fldChar w:fldCharType="separate"/>
      </w:r>
      <w:r>
        <w:rPr>
          <w:sz w:val="32"/>
          <w:szCs w:val="32"/>
        </w:rPr>
        <w:t>7</w:t>
      </w:r>
      <w:r>
        <w:rPr>
          <w:sz w:val="32"/>
          <w:szCs w:val="32"/>
        </w:rPr>
        <w:fldChar w:fldCharType="end"/>
      </w:r>
      <w:r>
        <w:rPr>
          <w:rFonts w:hint="default"/>
          <w:sz w:val="32"/>
          <w:szCs w:val="32"/>
          <w:lang w:val="en-US" w:eastAsia="zh-CN"/>
        </w:rPr>
        <w:fldChar w:fldCharType="end"/>
      </w:r>
    </w:p>
    <w:p w14:paraId="18391939">
      <w:pPr>
        <w:pStyle w:val="11"/>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_Toc25954 </w:instrText>
      </w:r>
      <w:r>
        <w:rPr>
          <w:rFonts w:hint="default"/>
          <w:sz w:val="32"/>
          <w:szCs w:val="32"/>
          <w:lang w:val="en-US" w:eastAsia="zh-CN"/>
        </w:rPr>
        <w:fldChar w:fldCharType="separate"/>
      </w:r>
      <w:r>
        <w:rPr>
          <w:rFonts w:hint="eastAsia" w:ascii="楷体" w:hAnsi="楷体" w:eastAsia="楷体" w:cs="楷体"/>
          <w:bCs/>
          <w:sz w:val="32"/>
          <w:szCs w:val="32"/>
          <w:lang w:val="en-US" w:eastAsia="zh-CN"/>
        </w:rPr>
        <w:t>（四）部门2024年度职责履行及履职效益</w:t>
      </w:r>
      <w:r>
        <w:rPr>
          <w:sz w:val="32"/>
          <w:szCs w:val="32"/>
        </w:rPr>
        <w:tab/>
      </w:r>
      <w:r>
        <w:rPr>
          <w:sz w:val="32"/>
          <w:szCs w:val="32"/>
        </w:rPr>
        <w:fldChar w:fldCharType="begin"/>
      </w:r>
      <w:r>
        <w:rPr>
          <w:sz w:val="32"/>
          <w:szCs w:val="32"/>
        </w:rPr>
        <w:instrText xml:space="preserve"> PAGEREF _Toc25954 \h </w:instrText>
      </w:r>
      <w:r>
        <w:rPr>
          <w:sz w:val="32"/>
          <w:szCs w:val="32"/>
        </w:rPr>
        <w:fldChar w:fldCharType="separate"/>
      </w:r>
      <w:r>
        <w:rPr>
          <w:sz w:val="32"/>
          <w:szCs w:val="32"/>
        </w:rPr>
        <w:t>7</w:t>
      </w:r>
      <w:r>
        <w:rPr>
          <w:sz w:val="32"/>
          <w:szCs w:val="32"/>
        </w:rPr>
        <w:fldChar w:fldCharType="end"/>
      </w:r>
      <w:r>
        <w:rPr>
          <w:rFonts w:hint="default"/>
          <w:sz w:val="32"/>
          <w:szCs w:val="32"/>
          <w:lang w:val="en-US" w:eastAsia="zh-CN"/>
        </w:rPr>
        <w:fldChar w:fldCharType="end"/>
      </w:r>
    </w:p>
    <w:p w14:paraId="7FB3B947">
      <w:pPr>
        <w:pStyle w:val="10"/>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_Toc23115 </w:instrText>
      </w:r>
      <w:r>
        <w:rPr>
          <w:rFonts w:hint="default"/>
          <w:sz w:val="32"/>
          <w:szCs w:val="32"/>
          <w:lang w:val="en-US" w:eastAsia="zh-CN"/>
        </w:rPr>
        <w:fldChar w:fldCharType="separate"/>
      </w:r>
      <w:r>
        <w:rPr>
          <w:rFonts w:hint="eastAsia" w:ascii="黑体" w:hAnsi="黑体" w:eastAsia="黑体" w:cs="黑体"/>
          <w:sz w:val="32"/>
          <w:szCs w:val="32"/>
          <w:lang w:eastAsia="zh-CN"/>
        </w:rPr>
        <w:t>三、部门</w:t>
      </w:r>
      <w:r>
        <w:rPr>
          <w:rFonts w:hint="eastAsia" w:ascii="黑体" w:hAnsi="黑体" w:eastAsia="黑体" w:cs="黑体"/>
          <w:sz w:val="32"/>
          <w:szCs w:val="32"/>
          <w:lang w:val="en-US" w:eastAsia="zh-CN"/>
        </w:rPr>
        <w:t>预算及</w:t>
      </w:r>
      <w:r>
        <w:rPr>
          <w:rFonts w:hint="eastAsia" w:ascii="黑体" w:hAnsi="黑体" w:eastAsia="黑体" w:cs="黑体"/>
          <w:sz w:val="32"/>
          <w:szCs w:val="32"/>
          <w:lang w:eastAsia="zh-CN"/>
        </w:rPr>
        <w:t>整体支出概况</w:t>
      </w:r>
      <w:r>
        <w:rPr>
          <w:sz w:val="32"/>
          <w:szCs w:val="32"/>
        </w:rPr>
        <w:tab/>
      </w:r>
      <w:r>
        <w:rPr>
          <w:sz w:val="32"/>
          <w:szCs w:val="32"/>
        </w:rPr>
        <w:fldChar w:fldCharType="begin"/>
      </w:r>
      <w:r>
        <w:rPr>
          <w:sz w:val="32"/>
          <w:szCs w:val="32"/>
        </w:rPr>
        <w:instrText xml:space="preserve"> PAGEREF _Toc23115 \h </w:instrText>
      </w:r>
      <w:r>
        <w:rPr>
          <w:sz w:val="32"/>
          <w:szCs w:val="32"/>
        </w:rPr>
        <w:fldChar w:fldCharType="separate"/>
      </w:r>
      <w:r>
        <w:rPr>
          <w:sz w:val="32"/>
          <w:szCs w:val="32"/>
        </w:rPr>
        <w:t>9</w:t>
      </w:r>
      <w:r>
        <w:rPr>
          <w:sz w:val="32"/>
          <w:szCs w:val="32"/>
        </w:rPr>
        <w:fldChar w:fldCharType="end"/>
      </w:r>
      <w:r>
        <w:rPr>
          <w:rFonts w:hint="default"/>
          <w:sz w:val="32"/>
          <w:szCs w:val="32"/>
          <w:lang w:val="en-US" w:eastAsia="zh-CN"/>
        </w:rPr>
        <w:fldChar w:fldCharType="end"/>
      </w:r>
    </w:p>
    <w:p w14:paraId="6CB96138">
      <w:pPr>
        <w:pStyle w:val="11"/>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_Toc11064 </w:instrText>
      </w:r>
      <w:r>
        <w:rPr>
          <w:rFonts w:hint="default"/>
          <w:sz w:val="32"/>
          <w:szCs w:val="32"/>
          <w:lang w:val="en-US" w:eastAsia="zh-CN"/>
        </w:rPr>
        <w:fldChar w:fldCharType="separate"/>
      </w:r>
      <w:r>
        <w:rPr>
          <w:rFonts w:hint="eastAsia" w:ascii="楷体" w:hAnsi="楷体" w:eastAsia="楷体" w:cs="楷体"/>
          <w:bCs/>
          <w:sz w:val="32"/>
          <w:szCs w:val="32"/>
          <w:lang w:val="en-US" w:eastAsia="zh-CN"/>
        </w:rPr>
        <w:t>（一）</w:t>
      </w:r>
      <w:r>
        <w:rPr>
          <w:rFonts w:hint="eastAsia" w:ascii="楷体" w:hAnsi="楷体" w:eastAsia="楷体" w:cs="楷体"/>
          <w:bCs/>
          <w:sz w:val="32"/>
          <w:szCs w:val="32"/>
          <w:lang w:eastAsia="zh-CN"/>
        </w:rPr>
        <w:t>预算</w:t>
      </w:r>
      <w:r>
        <w:rPr>
          <w:rFonts w:hint="eastAsia" w:ascii="楷体" w:hAnsi="楷体" w:eastAsia="楷体" w:cs="楷体"/>
          <w:bCs/>
          <w:sz w:val="32"/>
          <w:szCs w:val="32"/>
          <w:lang w:val="en-US" w:eastAsia="zh-CN"/>
        </w:rPr>
        <w:t>配置</w:t>
      </w:r>
      <w:r>
        <w:rPr>
          <w:rFonts w:hint="eastAsia" w:ascii="楷体" w:hAnsi="楷体" w:eastAsia="楷体" w:cs="楷体"/>
          <w:bCs/>
          <w:sz w:val="32"/>
          <w:szCs w:val="32"/>
          <w:lang w:eastAsia="zh-CN"/>
        </w:rPr>
        <w:t>情况</w:t>
      </w:r>
      <w:r>
        <w:rPr>
          <w:rFonts w:hint="eastAsia" w:ascii="楷体" w:hAnsi="楷体" w:eastAsia="楷体" w:cs="楷体"/>
          <w:bCs/>
          <w:sz w:val="32"/>
          <w:szCs w:val="32"/>
          <w:lang w:val="en-US" w:eastAsia="zh-CN"/>
        </w:rPr>
        <w:t>及分析</w:t>
      </w:r>
      <w:r>
        <w:rPr>
          <w:sz w:val="32"/>
          <w:szCs w:val="32"/>
        </w:rPr>
        <w:tab/>
      </w:r>
      <w:r>
        <w:rPr>
          <w:sz w:val="32"/>
          <w:szCs w:val="32"/>
        </w:rPr>
        <w:fldChar w:fldCharType="begin"/>
      </w:r>
      <w:r>
        <w:rPr>
          <w:sz w:val="32"/>
          <w:szCs w:val="32"/>
        </w:rPr>
        <w:instrText xml:space="preserve"> PAGEREF _Toc11064 \h </w:instrText>
      </w:r>
      <w:r>
        <w:rPr>
          <w:sz w:val="32"/>
          <w:szCs w:val="32"/>
        </w:rPr>
        <w:fldChar w:fldCharType="separate"/>
      </w:r>
      <w:r>
        <w:rPr>
          <w:sz w:val="32"/>
          <w:szCs w:val="32"/>
        </w:rPr>
        <w:t>10</w:t>
      </w:r>
      <w:r>
        <w:rPr>
          <w:sz w:val="32"/>
          <w:szCs w:val="32"/>
        </w:rPr>
        <w:fldChar w:fldCharType="end"/>
      </w:r>
      <w:r>
        <w:rPr>
          <w:rFonts w:hint="default"/>
          <w:sz w:val="32"/>
          <w:szCs w:val="32"/>
          <w:lang w:val="en-US" w:eastAsia="zh-CN"/>
        </w:rPr>
        <w:fldChar w:fldCharType="end"/>
      </w:r>
    </w:p>
    <w:p w14:paraId="2ADA5B50">
      <w:pPr>
        <w:pStyle w:val="11"/>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_Toc10791 </w:instrText>
      </w:r>
      <w:r>
        <w:rPr>
          <w:rFonts w:hint="default"/>
          <w:sz w:val="32"/>
          <w:szCs w:val="32"/>
          <w:lang w:val="en-US" w:eastAsia="zh-CN"/>
        </w:rPr>
        <w:fldChar w:fldCharType="separate"/>
      </w:r>
      <w:r>
        <w:rPr>
          <w:rFonts w:hint="eastAsia" w:ascii="楷体" w:hAnsi="楷体" w:eastAsia="楷体" w:cs="楷体"/>
          <w:bCs/>
          <w:sz w:val="32"/>
          <w:szCs w:val="32"/>
          <w:lang w:eastAsia="zh-CN"/>
        </w:rPr>
        <w:t>（二）预算执行</w:t>
      </w:r>
      <w:r>
        <w:rPr>
          <w:rFonts w:hint="eastAsia" w:ascii="楷体" w:hAnsi="楷体" w:eastAsia="楷体" w:cs="楷体"/>
          <w:bCs/>
          <w:sz w:val="32"/>
          <w:szCs w:val="32"/>
          <w:lang w:val="en-US" w:eastAsia="zh-CN"/>
        </w:rPr>
        <w:t>情况及分析</w:t>
      </w:r>
      <w:r>
        <w:rPr>
          <w:sz w:val="32"/>
          <w:szCs w:val="32"/>
        </w:rPr>
        <w:tab/>
      </w:r>
      <w:r>
        <w:rPr>
          <w:sz w:val="32"/>
          <w:szCs w:val="32"/>
        </w:rPr>
        <w:fldChar w:fldCharType="begin"/>
      </w:r>
      <w:r>
        <w:rPr>
          <w:sz w:val="32"/>
          <w:szCs w:val="32"/>
        </w:rPr>
        <w:instrText xml:space="preserve"> PAGEREF _Toc10791 \h </w:instrText>
      </w:r>
      <w:r>
        <w:rPr>
          <w:sz w:val="32"/>
          <w:szCs w:val="32"/>
        </w:rPr>
        <w:fldChar w:fldCharType="separate"/>
      </w:r>
      <w:r>
        <w:rPr>
          <w:sz w:val="32"/>
          <w:szCs w:val="32"/>
        </w:rPr>
        <w:t>10</w:t>
      </w:r>
      <w:r>
        <w:rPr>
          <w:sz w:val="32"/>
          <w:szCs w:val="32"/>
        </w:rPr>
        <w:fldChar w:fldCharType="end"/>
      </w:r>
      <w:r>
        <w:rPr>
          <w:rFonts w:hint="default"/>
          <w:sz w:val="32"/>
          <w:szCs w:val="32"/>
          <w:lang w:val="en-US" w:eastAsia="zh-CN"/>
        </w:rPr>
        <w:fldChar w:fldCharType="end"/>
      </w:r>
    </w:p>
    <w:p w14:paraId="065F960F">
      <w:pPr>
        <w:pStyle w:val="11"/>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_Toc5669 </w:instrText>
      </w:r>
      <w:r>
        <w:rPr>
          <w:rFonts w:hint="default"/>
          <w:sz w:val="32"/>
          <w:szCs w:val="32"/>
          <w:lang w:val="en-US" w:eastAsia="zh-CN"/>
        </w:rPr>
        <w:fldChar w:fldCharType="separate"/>
      </w:r>
      <w:r>
        <w:rPr>
          <w:rFonts w:hint="eastAsia" w:ascii="楷体" w:hAnsi="楷体" w:eastAsia="楷体" w:cs="楷体"/>
          <w:bCs/>
          <w:sz w:val="32"/>
          <w:szCs w:val="32"/>
          <w:lang w:val="en-US" w:eastAsia="zh-CN"/>
        </w:rPr>
        <w:t>（三）整体支出汇总及分析</w:t>
      </w:r>
      <w:r>
        <w:rPr>
          <w:sz w:val="32"/>
          <w:szCs w:val="32"/>
        </w:rPr>
        <w:tab/>
      </w:r>
      <w:r>
        <w:rPr>
          <w:sz w:val="32"/>
          <w:szCs w:val="32"/>
        </w:rPr>
        <w:fldChar w:fldCharType="begin"/>
      </w:r>
      <w:r>
        <w:rPr>
          <w:sz w:val="32"/>
          <w:szCs w:val="32"/>
        </w:rPr>
        <w:instrText xml:space="preserve"> PAGEREF _Toc5669 \h </w:instrText>
      </w:r>
      <w:r>
        <w:rPr>
          <w:sz w:val="32"/>
          <w:szCs w:val="32"/>
        </w:rPr>
        <w:fldChar w:fldCharType="separate"/>
      </w:r>
      <w:r>
        <w:rPr>
          <w:sz w:val="32"/>
          <w:szCs w:val="32"/>
        </w:rPr>
        <w:t>14</w:t>
      </w:r>
      <w:r>
        <w:rPr>
          <w:sz w:val="32"/>
          <w:szCs w:val="32"/>
        </w:rPr>
        <w:fldChar w:fldCharType="end"/>
      </w:r>
      <w:r>
        <w:rPr>
          <w:rFonts w:hint="default"/>
          <w:sz w:val="32"/>
          <w:szCs w:val="32"/>
          <w:lang w:val="en-US" w:eastAsia="zh-CN"/>
        </w:rPr>
        <w:fldChar w:fldCharType="end"/>
      </w:r>
    </w:p>
    <w:p w14:paraId="7DBB01B4">
      <w:pPr>
        <w:pStyle w:val="11"/>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_Toc7672 </w:instrText>
      </w:r>
      <w:r>
        <w:rPr>
          <w:rFonts w:hint="default"/>
          <w:sz w:val="32"/>
          <w:szCs w:val="32"/>
          <w:lang w:val="en-US" w:eastAsia="zh-CN"/>
        </w:rPr>
        <w:fldChar w:fldCharType="separate"/>
      </w:r>
      <w:r>
        <w:rPr>
          <w:rFonts w:hint="eastAsia" w:ascii="楷体" w:hAnsi="楷体" w:eastAsia="楷体" w:cs="楷体"/>
          <w:bCs/>
          <w:sz w:val="32"/>
          <w:szCs w:val="32"/>
          <w:lang w:val="en-US" w:eastAsia="zh-CN"/>
        </w:rPr>
        <w:t>（四）</w:t>
      </w:r>
      <w:r>
        <w:rPr>
          <w:rFonts w:hint="eastAsia" w:ascii="楷体" w:hAnsi="楷体" w:eastAsia="楷体" w:cs="楷体"/>
          <w:bCs/>
          <w:sz w:val="32"/>
          <w:szCs w:val="32"/>
          <w:lang w:eastAsia="zh-CN"/>
        </w:rPr>
        <w:t>预算</w:t>
      </w:r>
      <w:r>
        <w:rPr>
          <w:rFonts w:hint="eastAsia" w:ascii="楷体" w:hAnsi="楷体" w:eastAsia="楷体" w:cs="楷体"/>
          <w:bCs/>
          <w:sz w:val="32"/>
          <w:szCs w:val="32"/>
          <w:lang w:val="en-US" w:eastAsia="zh-CN"/>
        </w:rPr>
        <w:t>管理情况及分析</w:t>
      </w:r>
      <w:r>
        <w:rPr>
          <w:sz w:val="32"/>
          <w:szCs w:val="32"/>
        </w:rPr>
        <w:tab/>
      </w:r>
      <w:r>
        <w:rPr>
          <w:sz w:val="32"/>
          <w:szCs w:val="32"/>
        </w:rPr>
        <w:fldChar w:fldCharType="begin"/>
      </w:r>
      <w:r>
        <w:rPr>
          <w:sz w:val="32"/>
          <w:szCs w:val="32"/>
        </w:rPr>
        <w:instrText xml:space="preserve"> PAGEREF _Toc7672 \h </w:instrText>
      </w:r>
      <w:r>
        <w:rPr>
          <w:sz w:val="32"/>
          <w:szCs w:val="32"/>
        </w:rPr>
        <w:fldChar w:fldCharType="separate"/>
      </w:r>
      <w:r>
        <w:rPr>
          <w:sz w:val="32"/>
          <w:szCs w:val="32"/>
        </w:rPr>
        <w:t>21</w:t>
      </w:r>
      <w:r>
        <w:rPr>
          <w:sz w:val="32"/>
          <w:szCs w:val="32"/>
        </w:rPr>
        <w:fldChar w:fldCharType="end"/>
      </w:r>
      <w:r>
        <w:rPr>
          <w:rFonts w:hint="default"/>
          <w:sz w:val="32"/>
          <w:szCs w:val="32"/>
          <w:lang w:val="en-US" w:eastAsia="zh-CN"/>
        </w:rPr>
        <w:fldChar w:fldCharType="end"/>
      </w:r>
    </w:p>
    <w:p w14:paraId="08919DC5">
      <w:pPr>
        <w:pStyle w:val="11"/>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_Toc20618 </w:instrText>
      </w:r>
      <w:r>
        <w:rPr>
          <w:rFonts w:hint="default"/>
          <w:sz w:val="32"/>
          <w:szCs w:val="32"/>
          <w:lang w:val="en-US" w:eastAsia="zh-CN"/>
        </w:rPr>
        <w:fldChar w:fldCharType="separate"/>
      </w:r>
      <w:r>
        <w:rPr>
          <w:rFonts w:hint="eastAsia" w:ascii="楷体" w:hAnsi="楷体" w:eastAsia="楷体" w:cs="楷体"/>
          <w:bCs/>
          <w:sz w:val="32"/>
          <w:szCs w:val="32"/>
          <w:lang w:val="en-US" w:eastAsia="zh-CN"/>
        </w:rPr>
        <w:t>（五）工资管理情况及分析</w:t>
      </w:r>
      <w:r>
        <w:rPr>
          <w:sz w:val="32"/>
          <w:szCs w:val="32"/>
        </w:rPr>
        <w:tab/>
      </w:r>
      <w:r>
        <w:rPr>
          <w:sz w:val="32"/>
          <w:szCs w:val="32"/>
        </w:rPr>
        <w:fldChar w:fldCharType="begin"/>
      </w:r>
      <w:r>
        <w:rPr>
          <w:sz w:val="32"/>
          <w:szCs w:val="32"/>
        </w:rPr>
        <w:instrText xml:space="preserve"> PAGEREF _Toc20618 \h </w:instrText>
      </w:r>
      <w:r>
        <w:rPr>
          <w:sz w:val="32"/>
          <w:szCs w:val="32"/>
        </w:rPr>
        <w:fldChar w:fldCharType="separate"/>
      </w:r>
      <w:r>
        <w:rPr>
          <w:sz w:val="32"/>
          <w:szCs w:val="32"/>
        </w:rPr>
        <w:t>22</w:t>
      </w:r>
      <w:r>
        <w:rPr>
          <w:sz w:val="32"/>
          <w:szCs w:val="32"/>
        </w:rPr>
        <w:fldChar w:fldCharType="end"/>
      </w:r>
      <w:r>
        <w:rPr>
          <w:rFonts w:hint="default"/>
          <w:sz w:val="32"/>
          <w:szCs w:val="32"/>
          <w:lang w:val="en-US" w:eastAsia="zh-CN"/>
        </w:rPr>
        <w:fldChar w:fldCharType="end"/>
      </w:r>
    </w:p>
    <w:p w14:paraId="47CFC23A">
      <w:pPr>
        <w:pStyle w:val="11"/>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_Toc4710 </w:instrText>
      </w:r>
      <w:r>
        <w:rPr>
          <w:rFonts w:hint="default"/>
          <w:sz w:val="32"/>
          <w:szCs w:val="32"/>
          <w:lang w:val="en-US" w:eastAsia="zh-CN"/>
        </w:rPr>
        <w:fldChar w:fldCharType="separate"/>
      </w:r>
      <w:r>
        <w:rPr>
          <w:rFonts w:hint="eastAsia" w:ascii="楷体" w:hAnsi="楷体" w:eastAsia="楷体" w:cs="楷体"/>
          <w:bCs/>
          <w:sz w:val="32"/>
          <w:szCs w:val="32"/>
          <w:lang w:val="en-US" w:eastAsia="zh-CN"/>
        </w:rPr>
        <w:t>（六）项目支出管理情况及分析</w:t>
      </w:r>
      <w:r>
        <w:rPr>
          <w:sz w:val="32"/>
          <w:szCs w:val="32"/>
        </w:rPr>
        <w:tab/>
      </w:r>
      <w:r>
        <w:rPr>
          <w:sz w:val="32"/>
          <w:szCs w:val="32"/>
        </w:rPr>
        <w:fldChar w:fldCharType="begin"/>
      </w:r>
      <w:r>
        <w:rPr>
          <w:sz w:val="32"/>
          <w:szCs w:val="32"/>
        </w:rPr>
        <w:instrText xml:space="preserve"> PAGEREF _Toc4710 \h </w:instrText>
      </w:r>
      <w:r>
        <w:rPr>
          <w:sz w:val="32"/>
          <w:szCs w:val="32"/>
        </w:rPr>
        <w:fldChar w:fldCharType="separate"/>
      </w:r>
      <w:r>
        <w:rPr>
          <w:sz w:val="32"/>
          <w:szCs w:val="32"/>
        </w:rPr>
        <w:t>23</w:t>
      </w:r>
      <w:r>
        <w:rPr>
          <w:sz w:val="32"/>
          <w:szCs w:val="32"/>
        </w:rPr>
        <w:fldChar w:fldCharType="end"/>
      </w:r>
      <w:r>
        <w:rPr>
          <w:rFonts w:hint="default"/>
          <w:sz w:val="32"/>
          <w:szCs w:val="32"/>
          <w:lang w:val="en-US" w:eastAsia="zh-CN"/>
        </w:rPr>
        <w:fldChar w:fldCharType="end"/>
      </w:r>
    </w:p>
    <w:p w14:paraId="6F1D3238">
      <w:pPr>
        <w:pStyle w:val="11"/>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_Toc22798 </w:instrText>
      </w:r>
      <w:r>
        <w:rPr>
          <w:rFonts w:hint="default"/>
          <w:sz w:val="32"/>
          <w:szCs w:val="32"/>
          <w:lang w:val="en-US" w:eastAsia="zh-CN"/>
        </w:rPr>
        <w:fldChar w:fldCharType="separate"/>
      </w:r>
      <w:r>
        <w:rPr>
          <w:rFonts w:hint="eastAsia" w:ascii="楷体" w:hAnsi="楷体" w:eastAsia="楷体" w:cs="楷体"/>
          <w:bCs/>
          <w:sz w:val="32"/>
          <w:szCs w:val="32"/>
          <w:lang w:val="en-US" w:eastAsia="zh-CN"/>
        </w:rPr>
        <w:t>（七）</w:t>
      </w:r>
      <w:r>
        <w:rPr>
          <w:rFonts w:hint="eastAsia" w:ascii="楷体" w:hAnsi="楷体" w:eastAsia="楷体" w:cs="楷体"/>
          <w:bCs/>
          <w:sz w:val="32"/>
          <w:szCs w:val="32"/>
          <w:highlight w:val="none"/>
          <w:lang w:val="en-US" w:eastAsia="zh-CN"/>
        </w:rPr>
        <w:t>固定资产管理情况及分析</w:t>
      </w:r>
      <w:r>
        <w:rPr>
          <w:sz w:val="32"/>
          <w:szCs w:val="32"/>
        </w:rPr>
        <w:tab/>
      </w:r>
      <w:r>
        <w:rPr>
          <w:sz w:val="32"/>
          <w:szCs w:val="32"/>
        </w:rPr>
        <w:fldChar w:fldCharType="begin"/>
      </w:r>
      <w:r>
        <w:rPr>
          <w:sz w:val="32"/>
          <w:szCs w:val="32"/>
        </w:rPr>
        <w:instrText xml:space="preserve"> PAGEREF _Toc22798 \h </w:instrText>
      </w:r>
      <w:r>
        <w:rPr>
          <w:sz w:val="32"/>
          <w:szCs w:val="32"/>
        </w:rPr>
        <w:fldChar w:fldCharType="separate"/>
      </w:r>
      <w:r>
        <w:rPr>
          <w:sz w:val="32"/>
          <w:szCs w:val="32"/>
        </w:rPr>
        <w:t>25</w:t>
      </w:r>
      <w:r>
        <w:rPr>
          <w:sz w:val="32"/>
          <w:szCs w:val="32"/>
        </w:rPr>
        <w:fldChar w:fldCharType="end"/>
      </w:r>
      <w:r>
        <w:rPr>
          <w:rFonts w:hint="default"/>
          <w:sz w:val="32"/>
          <w:szCs w:val="32"/>
          <w:lang w:val="en-US" w:eastAsia="zh-CN"/>
        </w:rPr>
        <w:fldChar w:fldCharType="end"/>
      </w:r>
    </w:p>
    <w:p w14:paraId="72E46C2A">
      <w:pPr>
        <w:pStyle w:val="11"/>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_Toc21907 </w:instrText>
      </w:r>
      <w:r>
        <w:rPr>
          <w:rFonts w:hint="default"/>
          <w:sz w:val="32"/>
          <w:szCs w:val="32"/>
          <w:lang w:val="en-US" w:eastAsia="zh-CN"/>
        </w:rPr>
        <w:fldChar w:fldCharType="separate"/>
      </w:r>
      <w:r>
        <w:rPr>
          <w:rFonts w:hint="eastAsia" w:ascii="楷体" w:hAnsi="楷体" w:eastAsia="楷体" w:cs="楷体"/>
          <w:bCs/>
          <w:sz w:val="32"/>
          <w:szCs w:val="32"/>
          <w:highlight w:val="none"/>
          <w:lang w:val="en-US" w:eastAsia="zh-CN"/>
        </w:rPr>
        <w:t>（八）厉行节约保障措施的执行情况及其政策效果</w:t>
      </w:r>
      <w:r>
        <w:rPr>
          <w:sz w:val="32"/>
          <w:szCs w:val="32"/>
        </w:rPr>
        <w:tab/>
      </w:r>
      <w:r>
        <w:rPr>
          <w:sz w:val="32"/>
          <w:szCs w:val="32"/>
        </w:rPr>
        <w:fldChar w:fldCharType="begin"/>
      </w:r>
      <w:r>
        <w:rPr>
          <w:sz w:val="32"/>
          <w:szCs w:val="32"/>
        </w:rPr>
        <w:instrText xml:space="preserve"> PAGEREF _Toc21907 \h </w:instrText>
      </w:r>
      <w:r>
        <w:rPr>
          <w:sz w:val="32"/>
          <w:szCs w:val="32"/>
        </w:rPr>
        <w:fldChar w:fldCharType="separate"/>
      </w:r>
      <w:r>
        <w:rPr>
          <w:sz w:val="32"/>
          <w:szCs w:val="32"/>
        </w:rPr>
        <w:t>64</w:t>
      </w:r>
      <w:r>
        <w:rPr>
          <w:sz w:val="32"/>
          <w:szCs w:val="32"/>
        </w:rPr>
        <w:fldChar w:fldCharType="end"/>
      </w:r>
      <w:r>
        <w:rPr>
          <w:rFonts w:hint="default"/>
          <w:sz w:val="32"/>
          <w:szCs w:val="32"/>
          <w:lang w:val="en-US" w:eastAsia="zh-CN"/>
        </w:rPr>
        <w:fldChar w:fldCharType="end"/>
      </w:r>
    </w:p>
    <w:p w14:paraId="28EF41E6">
      <w:pPr>
        <w:pStyle w:val="10"/>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_Toc20218 </w:instrText>
      </w:r>
      <w:r>
        <w:rPr>
          <w:rFonts w:hint="default"/>
          <w:sz w:val="32"/>
          <w:szCs w:val="32"/>
          <w:lang w:val="en-US" w:eastAsia="zh-CN"/>
        </w:rPr>
        <w:fldChar w:fldCharType="separate"/>
      </w:r>
      <w:r>
        <w:rPr>
          <w:rFonts w:hint="eastAsia" w:ascii="黑体" w:hAnsi="黑体" w:eastAsia="黑体" w:cs="黑体"/>
          <w:sz w:val="32"/>
          <w:szCs w:val="32"/>
          <w:highlight w:val="none"/>
          <w:lang w:val="en-US" w:eastAsia="zh-CN"/>
        </w:rPr>
        <w:t>四</w:t>
      </w:r>
      <w:r>
        <w:rPr>
          <w:rFonts w:hint="eastAsia" w:ascii="黑体" w:hAnsi="黑体" w:eastAsia="黑体" w:cs="黑体"/>
          <w:sz w:val="32"/>
          <w:szCs w:val="32"/>
          <w:highlight w:val="none"/>
          <w:lang w:eastAsia="zh-CN"/>
        </w:rPr>
        <w:t>、</w:t>
      </w:r>
      <w:r>
        <w:rPr>
          <w:rFonts w:hint="eastAsia" w:ascii="黑体" w:hAnsi="黑体" w:eastAsia="黑体" w:cs="黑体"/>
          <w:sz w:val="32"/>
          <w:szCs w:val="32"/>
          <w:highlight w:val="none"/>
          <w:lang w:val="en-US" w:eastAsia="zh-CN"/>
        </w:rPr>
        <w:t>部门</w:t>
      </w:r>
      <w:r>
        <w:rPr>
          <w:rFonts w:hint="eastAsia" w:ascii="黑体" w:hAnsi="黑体" w:eastAsia="黑体" w:cs="黑体"/>
          <w:sz w:val="32"/>
          <w:szCs w:val="32"/>
          <w:highlight w:val="none"/>
          <w:lang w:eastAsia="zh-CN"/>
        </w:rPr>
        <w:t>绩效目标</w:t>
      </w:r>
      <w:r>
        <w:rPr>
          <w:sz w:val="32"/>
          <w:szCs w:val="32"/>
        </w:rPr>
        <w:tab/>
      </w:r>
      <w:r>
        <w:rPr>
          <w:sz w:val="32"/>
          <w:szCs w:val="32"/>
        </w:rPr>
        <w:fldChar w:fldCharType="begin"/>
      </w:r>
      <w:r>
        <w:rPr>
          <w:sz w:val="32"/>
          <w:szCs w:val="32"/>
        </w:rPr>
        <w:instrText xml:space="preserve"> PAGEREF _Toc20218 \h </w:instrText>
      </w:r>
      <w:r>
        <w:rPr>
          <w:sz w:val="32"/>
          <w:szCs w:val="32"/>
        </w:rPr>
        <w:fldChar w:fldCharType="separate"/>
      </w:r>
      <w:r>
        <w:rPr>
          <w:sz w:val="32"/>
          <w:szCs w:val="32"/>
        </w:rPr>
        <w:t>65</w:t>
      </w:r>
      <w:r>
        <w:rPr>
          <w:sz w:val="32"/>
          <w:szCs w:val="32"/>
        </w:rPr>
        <w:fldChar w:fldCharType="end"/>
      </w:r>
      <w:r>
        <w:rPr>
          <w:rFonts w:hint="default"/>
          <w:sz w:val="32"/>
          <w:szCs w:val="32"/>
          <w:lang w:val="en-US" w:eastAsia="zh-CN"/>
        </w:rPr>
        <w:fldChar w:fldCharType="end"/>
      </w:r>
    </w:p>
    <w:p w14:paraId="544212DC">
      <w:pPr>
        <w:pStyle w:val="11"/>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_Toc13453 </w:instrText>
      </w:r>
      <w:r>
        <w:rPr>
          <w:rFonts w:hint="default"/>
          <w:sz w:val="32"/>
          <w:szCs w:val="32"/>
          <w:lang w:val="en-US" w:eastAsia="zh-CN"/>
        </w:rPr>
        <w:fldChar w:fldCharType="separate"/>
      </w:r>
      <w:r>
        <w:rPr>
          <w:rFonts w:hint="eastAsia" w:ascii="楷体" w:hAnsi="楷体" w:eastAsia="楷体" w:cs="楷体"/>
          <w:bCs/>
          <w:sz w:val="32"/>
          <w:szCs w:val="32"/>
          <w:lang w:eastAsia="zh-CN"/>
        </w:rPr>
        <w:t>（一）总体目标</w:t>
      </w:r>
      <w:r>
        <w:rPr>
          <w:sz w:val="32"/>
          <w:szCs w:val="32"/>
        </w:rPr>
        <w:tab/>
      </w:r>
      <w:r>
        <w:rPr>
          <w:sz w:val="32"/>
          <w:szCs w:val="32"/>
        </w:rPr>
        <w:fldChar w:fldCharType="begin"/>
      </w:r>
      <w:r>
        <w:rPr>
          <w:sz w:val="32"/>
          <w:szCs w:val="32"/>
        </w:rPr>
        <w:instrText xml:space="preserve"> PAGEREF _Toc13453 \h </w:instrText>
      </w:r>
      <w:r>
        <w:rPr>
          <w:sz w:val="32"/>
          <w:szCs w:val="32"/>
        </w:rPr>
        <w:fldChar w:fldCharType="separate"/>
      </w:r>
      <w:r>
        <w:rPr>
          <w:sz w:val="32"/>
          <w:szCs w:val="32"/>
        </w:rPr>
        <w:t>65</w:t>
      </w:r>
      <w:r>
        <w:rPr>
          <w:sz w:val="32"/>
          <w:szCs w:val="32"/>
        </w:rPr>
        <w:fldChar w:fldCharType="end"/>
      </w:r>
      <w:r>
        <w:rPr>
          <w:rFonts w:hint="default"/>
          <w:sz w:val="32"/>
          <w:szCs w:val="32"/>
          <w:lang w:val="en-US" w:eastAsia="zh-CN"/>
        </w:rPr>
        <w:fldChar w:fldCharType="end"/>
      </w:r>
    </w:p>
    <w:p w14:paraId="3FAA7624">
      <w:pPr>
        <w:pStyle w:val="11"/>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_Toc29291 </w:instrText>
      </w:r>
      <w:r>
        <w:rPr>
          <w:rFonts w:hint="default"/>
          <w:sz w:val="32"/>
          <w:szCs w:val="32"/>
          <w:lang w:val="en-US" w:eastAsia="zh-CN"/>
        </w:rPr>
        <w:fldChar w:fldCharType="separate"/>
      </w:r>
      <w:r>
        <w:rPr>
          <w:rFonts w:hint="eastAsia" w:ascii="楷体" w:hAnsi="楷体" w:eastAsia="楷体" w:cs="楷体"/>
          <w:bCs/>
          <w:sz w:val="32"/>
          <w:szCs w:val="32"/>
          <w:lang w:eastAsia="zh-CN"/>
        </w:rPr>
        <w:t>（二）分类目标</w:t>
      </w:r>
      <w:r>
        <w:rPr>
          <w:sz w:val="32"/>
          <w:szCs w:val="32"/>
        </w:rPr>
        <w:tab/>
      </w:r>
      <w:r>
        <w:rPr>
          <w:sz w:val="32"/>
          <w:szCs w:val="32"/>
        </w:rPr>
        <w:fldChar w:fldCharType="begin"/>
      </w:r>
      <w:r>
        <w:rPr>
          <w:sz w:val="32"/>
          <w:szCs w:val="32"/>
        </w:rPr>
        <w:instrText xml:space="preserve"> PAGEREF _Toc29291 \h </w:instrText>
      </w:r>
      <w:r>
        <w:rPr>
          <w:sz w:val="32"/>
          <w:szCs w:val="32"/>
        </w:rPr>
        <w:fldChar w:fldCharType="separate"/>
      </w:r>
      <w:r>
        <w:rPr>
          <w:sz w:val="32"/>
          <w:szCs w:val="32"/>
        </w:rPr>
        <w:t>65</w:t>
      </w:r>
      <w:r>
        <w:rPr>
          <w:sz w:val="32"/>
          <w:szCs w:val="32"/>
        </w:rPr>
        <w:fldChar w:fldCharType="end"/>
      </w:r>
      <w:r>
        <w:rPr>
          <w:rFonts w:hint="default"/>
          <w:sz w:val="32"/>
          <w:szCs w:val="32"/>
          <w:lang w:val="en-US" w:eastAsia="zh-CN"/>
        </w:rPr>
        <w:fldChar w:fldCharType="end"/>
      </w:r>
    </w:p>
    <w:p w14:paraId="0AE0F7F2">
      <w:pPr>
        <w:pStyle w:val="10"/>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_Toc317 </w:instrText>
      </w:r>
      <w:r>
        <w:rPr>
          <w:rFonts w:hint="default"/>
          <w:sz w:val="32"/>
          <w:szCs w:val="32"/>
          <w:lang w:val="en-US" w:eastAsia="zh-CN"/>
        </w:rPr>
        <w:fldChar w:fldCharType="separate"/>
      </w:r>
      <w:r>
        <w:rPr>
          <w:rFonts w:hint="eastAsia" w:ascii="黑体" w:hAnsi="黑体" w:eastAsia="黑体" w:cs="黑体"/>
          <w:sz w:val="32"/>
          <w:szCs w:val="32"/>
          <w:highlight w:val="none"/>
          <w:lang w:val="en-US" w:eastAsia="zh-CN"/>
        </w:rPr>
        <w:t>五、部门</w:t>
      </w:r>
      <w:r>
        <w:rPr>
          <w:rFonts w:hint="eastAsia" w:ascii="黑体" w:hAnsi="黑体" w:eastAsia="黑体" w:cs="黑体"/>
          <w:sz w:val="32"/>
          <w:szCs w:val="32"/>
          <w:highlight w:val="none"/>
          <w:lang w:eastAsia="zh-CN"/>
        </w:rPr>
        <w:t>绩效考评情况</w:t>
      </w:r>
      <w:r>
        <w:rPr>
          <w:sz w:val="32"/>
          <w:szCs w:val="32"/>
        </w:rPr>
        <w:tab/>
      </w:r>
      <w:r>
        <w:rPr>
          <w:sz w:val="32"/>
          <w:szCs w:val="32"/>
        </w:rPr>
        <w:fldChar w:fldCharType="begin"/>
      </w:r>
      <w:r>
        <w:rPr>
          <w:sz w:val="32"/>
          <w:szCs w:val="32"/>
        </w:rPr>
        <w:instrText xml:space="preserve"> PAGEREF _Toc317 \h </w:instrText>
      </w:r>
      <w:r>
        <w:rPr>
          <w:sz w:val="32"/>
          <w:szCs w:val="32"/>
        </w:rPr>
        <w:fldChar w:fldCharType="separate"/>
      </w:r>
      <w:r>
        <w:rPr>
          <w:sz w:val="32"/>
          <w:szCs w:val="32"/>
        </w:rPr>
        <w:t>66</w:t>
      </w:r>
      <w:r>
        <w:rPr>
          <w:sz w:val="32"/>
          <w:szCs w:val="32"/>
        </w:rPr>
        <w:fldChar w:fldCharType="end"/>
      </w:r>
      <w:r>
        <w:rPr>
          <w:rFonts w:hint="default"/>
          <w:sz w:val="32"/>
          <w:szCs w:val="32"/>
          <w:lang w:val="en-US" w:eastAsia="zh-CN"/>
        </w:rPr>
        <w:fldChar w:fldCharType="end"/>
      </w:r>
    </w:p>
    <w:p w14:paraId="00227897">
      <w:pPr>
        <w:pStyle w:val="11"/>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_Toc32505 </w:instrText>
      </w:r>
      <w:r>
        <w:rPr>
          <w:rFonts w:hint="default"/>
          <w:sz w:val="32"/>
          <w:szCs w:val="32"/>
          <w:lang w:val="en-US" w:eastAsia="zh-CN"/>
        </w:rPr>
        <w:fldChar w:fldCharType="separate"/>
      </w:r>
      <w:r>
        <w:rPr>
          <w:rFonts w:hint="eastAsia" w:ascii="楷体" w:hAnsi="楷体" w:eastAsia="楷体" w:cs="楷体"/>
          <w:bCs/>
          <w:sz w:val="32"/>
          <w:szCs w:val="32"/>
          <w:lang w:val="en-US" w:eastAsia="zh-CN"/>
        </w:rPr>
        <w:t>（一）评价框架</w:t>
      </w:r>
      <w:r>
        <w:rPr>
          <w:sz w:val="32"/>
          <w:szCs w:val="32"/>
        </w:rPr>
        <w:tab/>
      </w:r>
      <w:r>
        <w:rPr>
          <w:sz w:val="32"/>
          <w:szCs w:val="32"/>
        </w:rPr>
        <w:fldChar w:fldCharType="begin"/>
      </w:r>
      <w:r>
        <w:rPr>
          <w:sz w:val="32"/>
          <w:szCs w:val="32"/>
        </w:rPr>
        <w:instrText xml:space="preserve"> PAGEREF _Toc32505 \h </w:instrText>
      </w:r>
      <w:r>
        <w:rPr>
          <w:sz w:val="32"/>
          <w:szCs w:val="32"/>
        </w:rPr>
        <w:fldChar w:fldCharType="separate"/>
      </w:r>
      <w:r>
        <w:rPr>
          <w:sz w:val="32"/>
          <w:szCs w:val="32"/>
        </w:rPr>
        <w:t>66</w:t>
      </w:r>
      <w:r>
        <w:rPr>
          <w:sz w:val="32"/>
          <w:szCs w:val="32"/>
        </w:rPr>
        <w:fldChar w:fldCharType="end"/>
      </w:r>
      <w:r>
        <w:rPr>
          <w:rFonts w:hint="default"/>
          <w:sz w:val="32"/>
          <w:szCs w:val="32"/>
          <w:lang w:val="en-US" w:eastAsia="zh-CN"/>
        </w:rPr>
        <w:fldChar w:fldCharType="end"/>
      </w:r>
    </w:p>
    <w:p w14:paraId="4801DDB5">
      <w:pPr>
        <w:pStyle w:val="11"/>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_Toc15582 </w:instrText>
      </w:r>
      <w:r>
        <w:rPr>
          <w:rFonts w:hint="default"/>
          <w:sz w:val="32"/>
          <w:szCs w:val="32"/>
          <w:lang w:val="en-US" w:eastAsia="zh-CN"/>
        </w:rPr>
        <w:fldChar w:fldCharType="separate"/>
      </w:r>
      <w:r>
        <w:rPr>
          <w:rFonts w:hint="eastAsia" w:ascii="楷体" w:hAnsi="楷体" w:eastAsia="楷体" w:cs="楷体"/>
          <w:bCs/>
          <w:sz w:val="32"/>
          <w:szCs w:val="32"/>
          <w:highlight w:val="none"/>
          <w:lang w:val="en-US" w:eastAsia="zh-CN"/>
        </w:rPr>
        <w:t>（二）评价分析</w:t>
      </w:r>
      <w:r>
        <w:rPr>
          <w:sz w:val="32"/>
          <w:szCs w:val="32"/>
        </w:rPr>
        <w:tab/>
      </w:r>
      <w:r>
        <w:rPr>
          <w:sz w:val="32"/>
          <w:szCs w:val="32"/>
        </w:rPr>
        <w:fldChar w:fldCharType="begin"/>
      </w:r>
      <w:r>
        <w:rPr>
          <w:sz w:val="32"/>
          <w:szCs w:val="32"/>
        </w:rPr>
        <w:instrText xml:space="preserve"> PAGEREF _Toc15582 \h </w:instrText>
      </w:r>
      <w:r>
        <w:rPr>
          <w:sz w:val="32"/>
          <w:szCs w:val="32"/>
        </w:rPr>
        <w:fldChar w:fldCharType="separate"/>
      </w:r>
      <w:r>
        <w:rPr>
          <w:sz w:val="32"/>
          <w:szCs w:val="32"/>
        </w:rPr>
        <w:t>68</w:t>
      </w:r>
      <w:r>
        <w:rPr>
          <w:sz w:val="32"/>
          <w:szCs w:val="32"/>
        </w:rPr>
        <w:fldChar w:fldCharType="end"/>
      </w:r>
      <w:r>
        <w:rPr>
          <w:rFonts w:hint="default"/>
          <w:sz w:val="32"/>
          <w:szCs w:val="32"/>
          <w:lang w:val="en-US" w:eastAsia="zh-CN"/>
        </w:rPr>
        <w:fldChar w:fldCharType="end"/>
      </w:r>
    </w:p>
    <w:p w14:paraId="2E4C4468">
      <w:pPr>
        <w:pStyle w:val="11"/>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_Toc31951 </w:instrText>
      </w:r>
      <w:r>
        <w:rPr>
          <w:rFonts w:hint="default"/>
          <w:sz w:val="32"/>
          <w:szCs w:val="32"/>
          <w:lang w:val="en-US" w:eastAsia="zh-CN"/>
        </w:rPr>
        <w:fldChar w:fldCharType="separate"/>
      </w:r>
      <w:r>
        <w:rPr>
          <w:rFonts w:hint="eastAsia" w:ascii="楷体" w:hAnsi="楷体" w:eastAsia="楷体" w:cs="楷体"/>
          <w:bCs/>
          <w:sz w:val="32"/>
          <w:szCs w:val="32"/>
          <w:lang w:val="en-US" w:eastAsia="zh-CN"/>
        </w:rPr>
        <w:t>（三）评价结果</w:t>
      </w:r>
      <w:r>
        <w:rPr>
          <w:sz w:val="32"/>
          <w:szCs w:val="32"/>
        </w:rPr>
        <w:tab/>
      </w:r>
      <w:r>
        <w:rPr>
          <w:sz w:val="32"/>
          <w:szCs w:val="32"/>
        </w:rPr>
        <w:fldChar w:fldCharType="begin"/>
      </w:r>
      <w:r>
        <w:rPr>
          <w:sz w:val="32"/>
          <w:szCs w:val="32"/>
        </w:rPr>
        <w:instrText xml:space="preserve"> PAGEREF _Toc31951 \h </w:instrText>
      </w:r>
      <w:r>
        <w:rPr>
          <w:sz w:val="32"/>
          <w:szCs w:val="32"/>
        </w:rPr>
        <w:fldChar w:fldCharType="separate"/>
      </w:r>
      <w:r>
        <w:rPr>
          <w:sz w:val="32"/>
          <w:szCs w:val="32"/>
        </w:rPr>
        <w:t>81</w:t>
      </w:r>
      <w:r>
        <w:rPr>
          <w:sz w:val="32"/>
          <w:szCs w:val="32"/>
        </w:rPr>
        <w:fldChar w:fldCharType="end"/>
      </w:r>
      <w:r>
        <w:rPr>
          <w:rFonts w:hint="default"/>
          <w:sz w:val="32"/>
          <w:szCs w:val="32"/>
          <w:lang w:val="en-US" w:eastAsia="zh-CN"/>
        </w:rPr>
        <w:fldChar w:fldCharType="end"/>
      </w:r>
    </w:p>
    <w:p w14:paraId="16BCD676">
      <w:pPr>
        <w:pStyle w:val="10"/>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_Toc13136 </w:instrText>
      </w:r>
      <w:r>
        <w:rPr>
          <w:rFonts w:hint="default"/>
          <w:sz w:val="32"/>
          <w:szCs w:val="32"/>
          <w:lang w:val="en-US" w:eastAsia="zh-CN"/>
        </w:rPr>
        <w:fldChar w:fldCharType="separate"/>
      </w:r>
      <w:r>
        <w:rPr>
          <w:rFonts w:hint="eastAsia" w:ascii="黑体" w:hAnsi="黑体" w:eastAsia="黑体" w:cs="黑体"/>
          <w:sz w:val="32"/>
          <w:szCs w:val="32"/>
          <w:lang w:eastAsia="zh-CN"/>
        </w:rPr>
        <w:t>六、</w:t>
      </w:r>
      <w:r>
        <w:rPr>
          <w:rFonts w:hint="eastAsia" w:ascii="黑体" w:hAnsi="黑体" w:eastAsia="黑体" w:cs="黑体"/>
          <w:sz w:val="32"/>
          <w:szCs w:val="32"/>
          <w:lang w:val="en-US" w:eastAsia="zh-CN"/>
        </w:rPr>
        <w:t>主要</w:t>
      </w:r>
      <w:r>
        <w:rPr>
          <w:rFonts w:hint="eastAsia" w:ascii="黑体" w:hAnsi="黑体" w:eastAsia="黑体" w:cs="黑体"/>
          <w:sz w:val="32"/>
          <w:szCs w:val="32"/>
          <w:lang w:eastAsia="zh-CN"/>
        </w:rPr>
        <w:t>问题与改进建议</w:t>
      </w:r>
      <w:r>
        <w:rPr>
          <w:sz w:val="32"/>
          <w:szCs w:val="32"/>
        </w:rPr>
        <w:tab/>
      </w:r>
      <w:r>
        <w:rPr>
          <w:sz w:val="32"/>
          <w:szCs w:val="32"/>
        </w:rPr>
        <w:fldChar w:fldCharType="begin"/>
      </w:r>
      <w:r>
        <w:rPr>
          <w:sz w:val="32"/>
          <w:szCs w:val="32"/>
        </w:rPr>
        <w:instrText xml:space="preserve"> PAGEREF _Toc13136 \h </w:instrText>
      </w:r>
      <w:r>
        <w:rPr>
          <w:sz w:val="32"/>
          <w:szCs w:val="32"/>
        </w:rPr>
        <w:fldChar w:fldCharType="separate"/>
      </w:r>
      <w:r>
        <w:rPr>
          <w:sz w:val="32"/>
          <w:szCs w:val="32"/>
        </w:rPr>
        <w:t>81</w:t>
      </w:r>
      <w:r>
        <w:rPr>
          <w:sz w:val="32"/>
          <w:szCs w:val="32"/>
        </w:rPr>
        <w:fldChar w:fldCharType="end"/>
      </w:r>
      <w:r>
        <w:rPr>
          <w:rFonts w:hint="default"/>
          <w:sz w:val="32"/>
          <w:szCs w:val="32"/>
          <w:lang w:val="en-US" w:eastAsia="zh-CN"/>
        </w:rPr>
        <w:fldChar w:fldCharType="end"/>
      </w:r>
    </w:p>
    <w:p w14:paraId="488A6F67">
      <w:pPr>
        <w:pStyle w:val="11"/>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_Toc17218 </w:instrText>
      </w:r>
      <w:r>
        <w:rPr>
          <w:rFonts w:hint="default"/>
          <w:sz w:val="32"/>
          <w:szCs w:val="32"/>
          <w:lang w:val="en-US" w:eastAsia="zh-CN"/>
        </w:rPr>
        <w:fldChar w:fldCharType="separate"/>
      </w:r>
      <w:r>
        <w:rPr>
          <w:rFonts w:hint="eastAsia" w:ascii="楷体" w:hAnsi="楷体" w:eastAsia="楷体" w:cs="楷体"/>
          <w:bCs/>
          <w:sz w:val="32"/>
          <w:szCs w:val="32"/>
          <w:lang w:val="en-US" w:eastAsia="zh-CN"/>
        </w:rPr>
        <w:t>（一）预算配置与执行方面存在的问题及建议</w:t>
      </w:r>
      <w:r>
        <w:rPr>
          <w:sz w:val="32"/>
          <w:szCs w:val="32"/>
        </w:rPr>
        <w:tab/>
      </w:r>
      <w:r>
        <w:rPr>
          <w:sz w:val="32"/>
          <w:szCs w:val="32"/>
        </w:rPr>
        <w:fldChar w:fldCharType="begin"/>
      </w:r>
      <w:r>
        <w:rPr>
          <w:sz w:val="32"/>
          <w:szCs w:val="32"/>
        </w:rPr>
        <w:instrText xml:space="preserve"> PAGEREF _Toc17218 \h </w:instrText>
      </w:r>
      <w:r>
        <w:rPr>
          <w:sz w:val="32"/>
          <w:szCs w:val="32"/>
        </w:rPr>
        <w:fldChar w:fldCharType="separate"/>
      </w:r>
      <w:r>
        <w:rPr>
          <w:sz w:val="32"/>
          <w:szCs w:val="32"/>
        </w:rPr>
        <w:t>81</w:t>
      </w:r>
      <w:r>
        <w:rPr>
          <w:sz w:val="32"/>
          <w:szCs w:val="32"/>
        </w:rPr>
        <w:fldChar w:fldCharType="end"/>
      </w:r>
      <w:r>
        <w:rPr>
          <w:rFonts w:hint="default"/>
          <w:sz w:val="32"/>
          <w:szCs w:val="32"/>
          <w:lang w:val="en-US" w:eastAsia="zh-CN"/>
        </w:rPr>
        <w:fldChar w:fldCharType="end"/>
      </w:r>
    </w:p>
    <w:p w14:paraId="4EFC92A9">
      <w:pPr>
        <w:pStyle w:val="11"/>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_Toc30134 </w:instrText>
      </w:r>
      <w:r>
        <w:rPr>
          <w:rFonts w:hint="default"/>
          <w:sz w:val="32"/>
          <w:szCs w:val="32"/>
          <w:lang w:val="en-US" w:eastAsia="zh-CN"/>
        </w:rPr>
        <w:fldChar w:fldCharType="separate"/>
      </w:r>
      <w:r>
        <w:rPr>
          <w:rFonts w:hint="eastAsia" w:ascii="楷体" w:hAnsi="楷体" w:eastAsia="楷体" w:cs="楷体"/>
          <w:bCs/>
          <w:sz w:val="32"/>
          <w:szCs w:val="32"/>
          <w:lang w:val="en-US" w:eastAsia="zh-CN"/>
        </w:rPr>
        <w:t>（二）管理程序方面存在的问题及建议</w:t>
      </w:r>
      <w:r>
        <w:rPr>
          <w:sz w:val="32"/>
          <w:szCs w:val="32"/>
        </w:rPr>
        <w:tab/>
      </w:r>
      <w:r>
        <w:rPr>
          <w:sz w:val="32"/>
          <w:szCs w:val="32"/>
        </w:rPr>
        <w:fldChar w:fldCharType="begin"/>
      </w:r>
      <w:r>
        <w:rPr>
          <w:sz w:val="32"/>
          <w:szCs w:val="32"/>
        </w:rPr>
        <w:instrText xml:space="preserve"> PAGEREF _Toc30134 \h </w:instrText>
      </w:r>
      <w:r>
        <w:rPr>
          <w:sz w:val="32"/>
          <w:szCs w:val="32"/>
        </w:rPr>
        <w:fldChar w:fldCharType="separate"/>
      </w:r>
      <w:r>
        <w:rPr>
          <w:sz w:val="32"/>
          <w:szCs w:val="32"/>
        </w:rPr>
        <w:t>93</w:t>
      </w:r>
      <w:r>
        <w:rPr>
          <w:sz w:val="32"/>
          <w:szCs w:val="32"/>
        </w:rPr>
        <w:fldChar w:fldCharType="end"/>
      </w:r>
      <w:r>
        <w:rPr>
          <w:rFonts w:hint="default"/>
          <w:sz w:val="32"/>
          <w:szCs w:val="32"/>
          <w:lang w:val="en-US" w:eastAsia="zh-CN"/>
        </w:rPr>
        <w:fldChar w:fldCharType="end"/>
      </w:r>
    </w:p>
    <w:p w14:paraId="4A36B34A">
      <w:pPr>
        <w:pStyle w:val="11"/>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_Toc367 </w:instrText>
      </w:r>
      <w:r>
        <w:rPr>
          <w:rFonts w:hint="default"/>
          <w:sz w:val="32"/>
          <w:szCs w:val="32"/>
          <w:lang w:val="en-US" w:eastAsia="zh-CN"/>
        </w:rPr>
        <w:fldChar w:fldCharType="separate"/>
      </w:r>
      <w:r>
        <w:rPr>
          <w:rFonts w:hint="eastAsia" w:ascii="楷体" w:hAnsi="楷体" w:eastAsia="楷体" w:cs="楷体"/>
          <w:bCs/>
          <w:sz w:val="32"/>
          <w:szCs w:val="32"/>
          <w:lang w:val="en-US" w:eastAsia="zh-CN"/>
        </w:rPr>
        <w:t>（三）人员经费管理方面存在的问题及建议</w:t>
      </w:r>
      <w:r>
        <w:rPr>
          <w:sz w:val="32"/>
          <w:szCs w:val="32"/>
        </w:rPr>
        <w:tab/>
      </w:r>
      <w:r>
        <w:rPr>
          <w:sz w:val="32"/>
          <w:szCs w:val="32"/>
        </w:rPr>
        <w:fldChar w:fldCharType="begin"/>
      </w:r>
      <w:r>
        <w:rPr>
          <w:sz w:val="32"/>
          <w:szCs w:val="32"/>
        </w:rPr>
        <w:instrText xml:space="preserve"> PAGEREF _Toc367 \h </w:instrText>
      </w:r>
      <w:r>
        <w:rPr>
          <w:sz w:val="32"/>
          <w:szCs w:val="32"/>
        </w:rPr>
        <w:fldChar w:fldCharType="separate"/>
      </w:r>
      <w:r>
        <w:rPr>
          <w:sz w:val="32"/>
          <w:szCs w:val="32"/>
        </w:rPr>
        <w:t>95</w:t>
      </w:r>
      <w:r>
        <w:rPr>
          <w:sz w:val="32"/>
          <w:szCs w:val="32"/>
        </w:rPr>
        <w:fldChar w:fldCharType="end"/>
      </w:r>
      <w:r>
        <w:rPr>
          <w:rFonts w:hint="default"/>
          <w:sz w:val="32"/>
          <w:szCs w:val="32"/>
          <w:lang w:val="en-US" w:eastAsia="zh-CN"/>
        </w:rPr>
        <w:fldChar w:fldCharType="end"/>
      </w:r>
    </w:p>
    <w:p w14:paraId="7FD67802">
      <w:pPr>
        <w:keepNext w:val="0"/>
        <w:keepLines w:val="0"/>
        <w:pageBreakBefore w:val="0"/>
        <w:widowControl/>
        <w:tabs>
          <w:tab w:val="left" w:pos="475"/>
        </w:tabs>
        <w:kinsoku/>
        <w:wordWrap/>
        <w:overflowPunct/>
        <w:topLinePunct w:val="0"/>
        <w:autoSpaceDE/>
        <w:autoSpaceDN/>
        <w:bidi w:val="0"/>
        <w:adjustRightInd/>
        <w:snapToGrid/>
        <w:spacing w:line="560" w:lineRule="exact"/>
        <w:textAlignment w:val="auto"/>
        <w:rPr>
          <w:rFonts w:hint="default"/>
          <w:sz w:val="28"/>
          <w:szCs w:val="28"/>
          <w:lang w:val="en-US" w:eastAsia="zh-CN"/>
        </w:rPr>
      </w:pPr>
      <w:r>
        <w:rPr>
          <w:rFonts w:hint="default"/>
          <w:sz w:val="32"/>
          <w:szCs w:val="32"/>
          <w:lang w:val="en-US" w:eastAsia="zh-CN"/>
        </w:rPr>
        <w:fldChar w:fldCharType="end"/>
      </w:r>
    </w:p>
    <w:p w14:paraId="6A3BD969">
      <w:pPr>
        <w:pStyle w:val="11"/>
        <w:tabs>
          <w:tab w:val="left" w:pos="2694"/>
        </w:tabs>
        <w:rPr>
          <w:rFonts w:hint="default" w:asciiTheme="minorHAnsi" w:hAnsiTheme="minorHAnsi" w:eastAsiaTheme="minorEastAsia" w:cstheme="minorBidi"/>
          <w:kern w:val="0"/>
          <w:sz w:val="28"/>
          <w:szCs w:val="28"/>
          <w:lang w:val="en-US" w:eastAsia="zh-CN" w:bidi="ar"/>
        </w:rPr>
      </w:pPr>
    </w:p>
    <w:p w14:paraId="6C01F959">
      <w:pPr>
        <w:bidi w:val="0"/>
        <w:rPr>
          <w:rFonts w:hint="default"/>
          <w:lang w:val="en-US" w:eastAsia="zh-CN"/>
        </w:rPr>
      </w:pPr>
    </w:p>
    <w:p w14:paraId="23CB58C1">
      <w:pPr>
        <w:tabs>
          <w:tab w:val="left" w:pos="7025"/>
        </w:tabs>
        <w:bidi w:val="0"/>
        <w:jc w:val="left"/>
        <w:rPr>
          <w:rFonts w:hint="default"/>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32" w:charSpace="0"/>
        </w:sectPr>
      </w:pPr>
    </w:p>
    <w:p w14:paraId="72E8929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880" w:firstLineChars="200"/>
        <w:jc w:val="center"/>
        <w:textAlignment w:val="auto"/>
        <w:outlineLvl w:val="9"/>
        <w:rPr>
          <w:rFonts w:hint="eastAsia" w:ascii="方正小标宋简体" w:hAnsi="方正小标宋简体" w:eastAsia="方正小标宋简体" w:cs="方正小标宋简体"/>
          <w:b w:val="0"/>
          <w:bCs w:val="0"/>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lang w:val="en-US" w:eastAsia="zh-CN"/>
        </w:rPr>
        <w:t>2024年雁峰区财政局部门整体支出绩效评价报告</w:t>
      </w:r>
    </w:p>
    <w:p w14:paraId="1A4E3C1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880" w:firstLineChars="200"/>
        <w:jc w:val="center"/>
        <w:textAlignment w:val="auto"/>
        <w:outlineLvl w:val="9"/>
        <w:rPr>
          <w:rFonts w:hint="eastAsia" w:ascii="方正小标宋简体" w:hAnsi="方正小标宋简体" w:eastAsia="方正小标宋简体" w:cs="方正小标宋简体"/>
          <w:b w:val="0"/>
          <w:bCs w:val="0"/>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lang w:val="en-US" w:eastAsia="zh-CN"/>
        </w:rPr>
        <w:t>（征求意见稿）</w:t>
      </w:r>
    </w:p>
    <w:p w14:paraId="18CF867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righ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eastAsia="zh-CN"/>
        </w:rPr>
        <w:t>湘浩元</w:t>
      </w:r>
      <w:r>
        <w:rPr>
          <w:rFonts w:hint="eastAsia" w:ascii="仿宋" w:hAnsi="仿宋" w:eastAsia="仿宋" w:cs="仿宋"/>
          <w:sz w:val="32"/>
          <w:szCs w:val="32"/>
          <w:lang w:val="en-US" w:eastAsia="zh-CN"/>
        </w:rPr>
        <w:t>评</w:t>
      </w:r>
      <w:r>
        <w:rPr>
          <w:rFonts w:hint="eastAsia" w:ascii="仿宋" w:hAnsi="仿宋" w:eastAsia="仿宋" w:cs="仿宋"/>
          <w:sz w:val="32"/>
          <w:szCs w:val="32"/>
          <w:lang w:eastAsia="zh-CN"/>
        </w:rPr>
        <w:t>字[202</w:t>
      </w:r>
      <w:r>
        <w:rPr>
          <w:rFonts w:hint="eastAsia" w:ascii="仿宋" w:hAnsi="仿宋" w:eastAsia="仿宋" w:cs="仿宋"/>
          <w:sz w:val="32"/>
          <w:szCs w:val="32"/>
          <w:lang w:val="en-US" w:eastAsia="zh-CN"/>
        </w:rPr>
        <w:t>5</w:t>
      </w:r>
      <w:r>
        <w:rPr>
          <w:rFonts w:hint="eastAsia" w:ascii="仿宋" w:hAnsi="仿宋" w:eastAsia="仿宋" w:cs="仿宋"/>
          <w:sz w:val="32"/>
          <w:szCs w:val="32"/>
          <w:lang w:eastAsia="zh-CN"/>
        </w:rPr>
        <w:t>]第号</w:t>
      </w:r>
    </w:p>
    <w:p w14:paraId="68460854">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雁峰区财政局：</w:t>
      </w:r>
    </w:p>
    <w:p w14:paraId="69ABBD9D">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我们接受委托，对2024年雁峰区财政局（以下简称“区财政局”）的部门整体支出进行了绩效评价。建立健全内部控制制度，保护资金与资产的安全和完整，保证会计资料和其他绩效评价的相关资料的真实性、合法性和完整性，是区财政局的责任。我们的责任是在区财政局提供资料基础上，对2024年的部门整体支出绩效进行评价。</w:t>
      </w:r>
    </w:p>
    <w:p w14:paraId="46E904E7">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在评价过程中，我们按照《中国注册会计师执业准则》相关规定进行，根据独立、客观、公正的原则，实施了包括听取情况介绍、进行实地核查、发放调查问卷、对照复核等方式，对有关情况和基础材料进行核实与分析等我们认为必要的评价程序。绩效评价工作已完成，现报告如下</w:t>
      </w:r>
      <w:bookmarkStart w:id="0" w:name="_Toc11075"/>
      <w:r>
        <w:rPr>
          <w:rFonts w:hint="eastAsia" w:ascii="仿宋" w:hAnsi="仿宋" w:eastAsia="仿宋" w:cs="仿宋"/>
          <w:sz w:val="32"/>
          <w:szCs w:val="32"/>
          <w:lang w:val="en-US" w:eastAsia="zh-CN"/>
        </w:rPr>
        <w:t>：</w:t>
      </w:r>
    </w:p>
    <w:p w14:paraId="63EE632F">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0"/>
        <w:rPr>
          <w:rFonts w:hint="eastAsia" w:ascii="仿宋" w:hAnsi="仿宋" w:eastAsia="仿宋" w:cs="仿宋"/>
          <w:sz w:val="32"/>
          <w:szCs w:val="32"/>
        </w:rPr>
      </w:pPr>
      <w:bookmarkStart w:id="1" w:name="_Toc184"/>
      <w:bookmarkStart w:id="2" w:name="_Toc18591"/>
      <w:bookmarkStart w:id="3" w:name="_Toc20127"/>
      <w:bookmarkStart w:id="4" w:name="_Toc9891"/>
      <w:r>
        <w:rPr>
          <w:rFonts w:hint="eastAsia" w:ascii="黑体" w:hAnsi="黑体" w:eastAsia="黑体" w:cs="黑体"/>
          <w:sz w:val="32"/>
          <w:szCs w:val="32"/>
          <w:lang w:eastAsia="zh-CN"/>
        </w:rPr>
        <w:t>一、</w:t>
      </w:r>
      <w:r>
        <w:rPr>
          <w:rFonts w:hint="eastAsia" w:ascii="黑体" w:hAnsi="黑体" w:eastAsia="黑体" w:cs="黑体"/>
          <w:sz w:val="32"/>
          <w:szCs w:val="32"/>
          <w:lang w:val="en-US" w:eastAsia="zh-CN"/>
        </w:rPr>
        <w:t>绩效评价基本</w:t>
      </w:r>
      <w:r>
        <w:rPr>
          <w:rFonts w:hint="eastAsia" w:ascii="黑体" w:hAnsi="黑体" w:eastAsia="黑体" w:cs="黑体"/>
          <w:sz w:val="32"/>
          <w:szCs w:val="32"/>
        </w:rPr>
        <w:t>情况</w:t>
      </w:r>
      <w:bookmarkEnd w:id="1"/>
      <w:bookmarkEnd w:id="2"/>
      <w:bookmarkEnd w:id="3"/>
      <w:bookmarkEnd w:id="4"/>
    </w:p>
    <w:p w14:paraId="2FBD8C1C">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楷体" w:hAnsi="楷体" w:eastAsia="楷体" w:cs="楷体"/>
          <w:b/>
          <w:bCs/>
          <w:sz w:val="32"/>
          <w:szCs w:val="32"/>
        </w:rPr>
      </w:pPr>
      <w:bookmarkStart w:id="5" w:name="_Toc13350"/>
      <w:bookmarkStart w:id="6" w:name="_Toc12336"/>
      <w:bookmarkStart w:id="7" w:name="_Toc2812"/>
      <w:bookmarkStart w:id="8" w:name="_Toc26464"/>
      <w:bookmarkStart w:id="9" w:name="_Toc3257"/>
      <w:r>
        <w:rPr>
          <w:rFonts w:hint="eastAsia" w:ascii="楷体" w:hAnsi="楷体" w:eastAsia="楷体" w:cs="楷体"/>
          <w:b/>
          <w:bCs/>
          <w:sz w:val="32"/>
          <w:szCs w:val="32"/>
        </w:rPr>
        <w:t>（一）</w:t>
      </w:r>
      <w:r>
        <w:rPr>
          <w:rFonts w:hint="eastAsia" w:ascii="楷体" w:hAnsi="楷体" w:eastAsia="楷体" w:cs="楷体"/>
          <w:b/>
          <w:bCs/>
          <w:sz w:val="32"/>
          <w:szCs w:val="32"/>
          <w:lang w:val="en-US" w:eastAsia="zh-CN"/>
        </w:rPr>
        <w:t>评价</w:t>
      </w:r>
      <w:r>
        <w:rPr>
          <w:rFonts w:hint="eastAsia" w:ascii="楷体" w:hAnsi="楷体" w:eastAsia="楷体" w:cs="楷体"/>
          <w:b/>
          <w:bCs/>
          <w:sz w:val="32"/>
          <w:szCs w:val="32"/>
        </w:rPr>
        <w:t>对象和范围</w:t>
      </w:r>
      <w:bookmarkEnd w:id="5"/>
      <w:bookmarkEnd w:id="6"/>
      <w:bookmarkEnd w:id="7"/>
      <w:bookmarkEnd w:id="8"/>
      <w:bookmarkEnd w:id="9"/>
    </w:p>
    <w:p w14:paraId="068AC20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val="en-US" w:eastAsia="zh-CN"/>
        </w:rPr>
      </w:pPr>
      <w:bookmarkStart w:id="10" w:name="_Toc7691"/>
      <w:bookmarkStart w:id="11" w:name="_Toc8069"/>
      <w:bookmarkStart w:id="12" w:name="_Toc29635"/>
      <w:r>
        <w:rPr>
          <w:rFonts w:hint="eastAsia" w:ascii="仿宋" w:hAnsi="仿宋" w:eastAsia="仿宋" w:cs="仿宋"/>
          <w:sz w:val="32"/>
          <w:szCs w:val="32"/>
          <w:lang w:val="en-US" w:eastAsia="zh-CN"/>
        </w:rPr>
        <w:t>评价对象为2024年雁峰区财政局整体支出绩效。评价范围包括不限于目标设定、预算配置、预算执行情况、预算管理、职责履行、履职效益和新增财政支出、一般性支出、会议支出、办公经费支出、机构编制和工资管理、厉行节约保障措施等方面的执行情况及其政策效果，以及项目支出的管理、使用、结余、效益情况。</w:t>
      </w:r>
    </w:p>
    <w:bookmarkEnd w:id="10"/>
    <w:bookmarkEnd w:id="11"/>
    <w:bookmarkEnd w:id="12"/>
    <w:p w14:paraId="408394BC">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楷体" w:hAnsi="楷体" w:eastAsia="楷体" w:cs="楷体"/>
          <w:b/>
          <w:bCs/>
          <w:sz w:val="32"/>
          <w:szCs w:val="32"/>
        </w:rPr>
      </w:pPr>
      <w:bookmarkStart w:id="13" w:name="_Toc26960"/>
      <w:bookmarkStart w:id="14" w:name="_Toc1228"/>
      <w:bookmarkStart w:id="15" w:name="_Toc7231"/>
      <w:bookmarkStart w:id="16" w:name="_Toc24072"/>
      <w:bookmarkStart w:id="17" w:name="_Toc25241"/>
      <w:bookmarkStart w:id="18" w:name="_Toc4694"/>
      <w:bookmarkStart w:id="19" w:name="_Hlk172128948"/>
      <w:r>
        <w:rPr>
          <w:rFonts w:hint="eastAsia" w:ascii="楷体" w:hAnsi="楷体" w:eastAsia="楷体" w:cs="楷体"/>
          <w:b/>
          <w:bCs/>
          <w:sz w:val="32"/>
          <w:szCs w:val="32"/>
        </w:rPr>
        <w:t>（二）</w:t>
      </w:r>
      <w:r>
        <w:rPr>
          <w:rFonts w:hint="eastAsia" w:ascii="楷体" w:hAnsi="楷体" w:eastAsia="楷体" w:cs="楷体"/>
          <w:b/>
          <w:bCs/>
          <w:sz w:val="32"/>
          <w:szCs w:val="32"/>
          <w:lang w:val="en-US" w:eastAsia="zh-CN"/>
        </w:rPr>
        <w:t>评价</w:t>
      </w:r>
      <w:r>
        <w:rPr>
          <w:rFonts w:hint="eastAsia" w:ascii="楷体" w:hAnsi="楷体" w:eastAsia="楷体" w:cs="楷体"/>
          <w:b/>
          <w:bCs/>
          <w:sz w:val="32"/>
          <w:szCs w:val="32"/>
        </w:rPr>
        <w:t>依据</w:t>
      </w:r>
      <w:bookmarkEnd w:id="13"/>
      <w:bookmarkEnd w:id="14"/>
    </w:p>
    <w:p w14:paraId="7E639943">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1、《中共中央国务院关于全面实施预算绩效管理的意见》（中发〔2018〕34号）；</w:t>
      </w:r>
    </w:p>
    <w:p w14:paraId="70207DD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2、《中共湖南省委办公厅湖南省人民政府办公厅关于全面实施预算绩效管理的实施意见》（湘办发〔2019〕10号）；</w:t>
      </w:r>
    </w:p>
    <w:p w14:paraId="054B859B">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3、《财政部关于印发〈项目支出绩效评价管理办法〉的通知》（财预〔2020〕10号）。</w:t>
      </w:r>
    </w:p>
    <w:p w14:paraId="393EE0EE">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4、财政部</w:t>
      </w:r>
      <w:r>
        <w:rPr>
          <w:rFonts w:hint="eastAsia" w:ascii="仿宋" w:hAnsi="仿宋" w:eastAsia="仿宋" w:cs="仿宋"/>
          <w:sz w:val="32"/>
          <w:szCs w:val="32"/>
          <w:lang w:val="en-US" w:eastAsia="zh-CN"/>
        </w:rPr>
        <w:t>关于印发</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地方政府债券发行管理办法</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财库</w:t>
      </w:r>
      <w:r>
        <w:rPr>
          <w:rFonts w:hint="eastAsia" w:ascii="仿宋" w:hAnsi="仿宋" w:eastAsia="仿宋" w:cs="仿宋"/>
          <w:sz w:val="32"/>
          <w:szCs w:val="32"/>
          <w:lang w:eastAsia="zh-CN"/>
        </w:rPr>
        <w:t>〔202</w:t>
      </w:r>
      <w:r>
        <w:rPr>
          <w:rFonts w:hint="eastAsia" w:ascii="仿宋" w:hAnsi="仿宋" w:eastAsia="仿宋" w:cs="仿宋"/>
          <w:sz w:val="32"/>
          <w:szCs w:val="32"/>
          <w:lang w:val="en-US" w:eastAsia="zh-CN"/>
        </w:rPr>
        <w:t>0</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43号。</w:t>
      </w:r>
    </w:p>
    <w:p w14:paraId="095FF3A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5、《中华人民共和国预算法》</w:t>
      </w:r>
    </w:p>
    <w:p w14:paraId="58819D15">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6、《财政专项资金管理办法》</w:t>
      </w:r>
    </w:p>
    <w:p w14:paraId="4C76F82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7、关于印发《衡阳市市直机关会议费管理办法》的通知衡财行〔2018〕463号。</w:t>
      </w:r>
    </w:p>
    <w:p w14:paraId="4CD93FB7">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8、关于印发《行政事业单位内部控制规范（试行）》的通知财会〔2012〕21号。</w:t>
      </w:r>
    </w:p>
    <w:p w14:paraId="531721EF">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9、事业单位国有资产管理暂行办法（2019修订）。</w:t>
      </w:r>
    </w:p>
    <w:p w14:paraId="4391BE99">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10、关于印发《湖南省省直党政机关和参公事业单位国有资产管理办法》的通知湘政办发〔2021〕59号。</w:t>
      </w:r>
    </w:p>
    <w:p w14:paraId="63EC011E">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11、关于印发《衡阳市市直行政事业单位国有资产配置管理办法》的通知衡财资〔2021〕482号。</w:t>
      </w:r>
    </w:p>
    <w:p w14:paraId="4C67DECB">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12、关于印发《湖南省省级行政事业单位通用办公设备和办公家具配置限额标准》的通知湘政资〔2020〕15号。</w:t>
      </w:r>
    </w:p>
    <w:p w14:paraId="36A5A86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13、关于修改《事业单位国有资产管理暂行办法》的决定财政部令第100号。</w:t>
      </w:r>
    </w:p>
    <w:p w14:paraId="1BAE7B5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14、关于印发《衡阳市市直机关差旅费管理办法》的通知衡财行〔2019〕248号。</w:t>
      </w:r>
    </w:p>
    <w:p w14:paraId="3AEBA15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15、违反中央八项规定精神问题月报数据填报说明。</w:t>
      </w:r>
    </w:p>
    <w:p w14:paraId="5D2E8234">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16、党政机关厉行节约反对浪费条例2013。</w:t>
      </w:r>
    </w:p>
    <w:p w14:paraId="0D4C801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17、中央八项规定中对于国家公职人员涉及财务的80项禁止行为。</w:t>
      </w:r>
    </w:p>
    <w:p w14:paraId="4AF561C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18、关于《明确市直党政机关公务活动用餐有关事项》的通知衡财行〔2018〕467号。</w:t>
      </w:r>
    </w:p>
    <w:p w14:paraId="71A41B9F">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19、衡阳市市直机关培训费管理办法衡财行[2017]409号。</w:t>
      </w:r>
    </w:p>
    <w:p w14:paraId="34DA055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w:t>
      </w:r>
      <w:r>
        <w:rPr>
          <w:rFonts w:hint="default" w:ascii="仿宋" w:hAnsi="仿宋" w:eastAsia="仿宋" w:cs="仿宋"/>
          <w:sz w:val="32"/>
          <w:szCs w:val="32"/>
          <w:lang w:val="en-US" w:eastAsia="zh-CN"/>
        </w:rPr>
        <w:t>、</w:t>
      </w:r>
      <w:r>
        <w:rPr>
          <w:rFonts w:hint="eastAsia" w:ascii="仿宋" w:hAnsi="仿宋" w:eastAsia="仿宋" w:cs="仿宋"/>
          <w:sz w:val="32"/>
          <w:szCs w:val="32"/>
          <w:lang w:val="en-US" w:eastAsia="zh-CN"/>
        </w:rPr>
        <w:t>衡阳市财政局文件衡财行[2018]467号关于明确市直党政机关公务活动用餐有关事项的通知。</w:t>
      </w:r>
    </w:p>
    <w:p w14:paraId="73E24FFD">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21、中共衡阳市委办公室衡阳市人民政府办公室文件衡办发[2025]6号《衡阳市委党政机关国内公务接待管理办法》的通知。</w:t>
      </w:r>
    </w:p>
    <w:p w14:paraId="18017CDF">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22、</w:t>
      </w:r>
      <w:r>
        <w:rPr>
          <w:rFonts w:hint="eastAsia" w:ascii="仿宋" w:hAnsi="仿宋" w:eastAsia="仿宋" w:cs="仿宋"/>
          <w:sz w:val="32"/>
          <w:szCs w:val="32"/>
          <w:lang w:eastAsia="zh-CN"/>
        </w:rPr>
        <w:t>预算批复时确定的绩效目标及指标，预算部门年度预算执行情况，年度决算报告等相关材料。</w:t>
      </w:r>
    </w:p>
    <w:p w14:paraId="1CC63ED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23、</w:t>
      </w:r>
      <w:r>
        <w:rPr>
          <w:rFonts w:hint="eastAsia" w:ascii="仿宋" w:hAnsi="仿宋" w:eastAsia="仿宋" w:cs="仿宋"/>
          <w:sz w:val="32"/>
          <w:szCs w:val="32"/>
          <w:lang w:eastAsia="zh-CN"/>
        </w:rPr>
        <w:t>其他与本次</w:t>
      </w:r>
      <w:r>
        <w:rPr>
          <w:rFonts w:hint="eastAsia" w:ascii="仿宋" w:hAnsi="仿宋" w:eastAsia="仿宋" w:cs="仿宋"/>
          <w:sz w:val="32"/>
          <w:szCs w:val="32"/>
          <w:lang w:val="en-US" w:eastAsia="zh-CN"/>
        </w:rPr>
        <w:t>绩效评价</w:t>
      </w:r>
      <w:r>
        <w:rPr>
          <w:rFonts w:hint="eastAsia" w:ascii="仿宋" w:hAnsi="仿宋" w:eastAsia="仿宋" w:cs="仿宋"/>
          <w:sz w:val="32"/>
          <w:szCs w:val="32"/>
          <w:lang w:eastAsia="zh-CN"/>
        </w:rPr>
        <w:t>有关的政策文件。</w:t>
      </w:r>
    </w:p>
    <w:p w14:paraId="15E7EDE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firstLine="643" w:firstLineChars="200"/>
        <w:jc w:val="both"/>
        <w:textAlignment w:val="auto"/>
        <w:outlineLvl w:val="1"/>
        <w:rPr>
          <w:rFonts w:hint="default" w:ascii="楷体" w:hAnsi="楷体" w:eastAsia="楷体" w:cs="楷体"/>
          <w:b/>
          <w:bCs/>
          <w:sz w:val="32"/>
          <w:szCs w:val="32"/>
          <w:lang w:val="en-US"/>
        </w:rPr>
      </w:pPr>
      <w:bookmarkStart w:id="20" w:name="_Toc2567"/>
      <w:r>
        <w:rPr>
          <w:rFonts w:hint="eastAsia" w:ascii="楷体" w:hAnsi="楷体" w:eastAsia="楷体" w:cs="楷体"/>
          <w:b/>
          <w:bCs/>
          <w:sz w:val="32"/>
          <w:szCs w:val="32"/>
        </w:rPr>
        <w:t>（三）</w:t>
      </w:r>
      <w:bookmarkEnd w:id="15"/>
      <w:bookmarkEnd w:id="16"/>
      <w:r>
        <w:rPr>
          <w:rFonts w:hint="eastAsia" w:ascii="楷体" w:hAnsi="楷体" w:eastAsia="楷体" w:cs="楷体"/>
          <w:b/>
          <w:bCs/>
          <w:sz w:val="32"/>
          <w:szCs w:val="32"/>
          <w:lang w:val="en-US" w:eastAsia="zh-CN"/>
        </w:rPr>
        <w:t>评价方法和目的</w:t>
      </w:r>
      <w:bookmarkEnd w:id="17"/>
      <w:bookmarkEnd w:id="18"/>
      <w:bookmarkEnd w:id="20"/>
    </w:p>
    <w:p w14:paraId="242A6CB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我们</w:t>
      </w:r>
      <w:r>
        <w:rPr>
          <w:rFonts w:hint="eastAsia" w:ascii="仿宋" w:hAnsi="仿宋" w:eastAsia="仿宋" w:cs="仿宋"/>
          <w:sz w:val="32"/>
          <w:szCs w:val="32"/>
          <w:lang w:eastAsia="zh-CN"/>
        </w:rPr>
        <w:t>通过</w:t>
      </w:r>
      <w:r>
        <w:rPr>
          <w:rFonts w:hint="eastAsia" w:ascii="仿宋" w:hAnsi="仿宋" w:eastAsia="仿宋" w:cs="仿宋"/>
          <w:sz w:val="32"/>
          <w:szCs w:val="32"/>
          <w:lang w:val="en-US" w:eastAsia="zh-CN"/>
        </w:rPr>
        <w:t>听取情况介绍、进行实地核查、发放调查问卷、对照复核及分析等方式，对区财政局提供的相关资料</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进行核对与审查，分析与评价内部管理及控制情况，贯彻落实厉行节约、严控“三公”经费、降低一般运行经费、加强项目支出管理、核实资金结余情况，</w:t>
      </w:r>
      <w:r>
        <w:rPr>
          <w:rFonts w:hint="eastAsia" w:ascii="仿宋" w:hAnsi="仿宋" w:eastAsia="仿宋" w:cs="仿宋"/>
          <w:sz w:val="32"/>
          <w:szCs w:val="32"/>
          <w:highlight w:val="none"/>
          <w:lang w:val="en-US" w:eastAsia="zh-CN"/>
        </w:rPr>
        <w:t>强化政府责任与透明度，全面衡量公共资金使用的经济性、效率性、效益性和可持续性，系统性地检视资金使用全流程，确保公共资源发挥</w:t>
      </w:r>
      <w:r>
        <w:rPr>
          <w:rFonts w:hint="eastAsia" w:ascii="仿宋" w:hAnsi="仿宋" w:eastAsia="仿宋" w:cs="仿宋"/>
          <w:sz w:val="32"/>
          <w:szCs w:val="32"/>
          <w:lang w:val="en-US" w:eastAsia="zh-CN"/>
        </w:rPr>
        <w:t>最大价值，同时为政策调整和预算优化提供依据。</w:t>
      </w:r>
    </w:p>
    <w:bookmarkEnd w:id="0"/>
    <w:bookmarkEnd w:id="19"/>
    <w:p w14:paraId="76AE3A38">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jc w:val="both"/>
        <w:textAlignment w:val="auto"/>
        <w:outlineLvl w:val="0"/>
        <w:rPr>
          <w:rFonts w:hint="eastAsia" w:ascii="黑体" w:hAnsi="黑体" w:eastAsia="黑体" w:cs="黑体"/>
          <w:sz w:val="32"/>
          <w:szCs w:val="32"/>
          <w:lang w:eastAsia="zh-CN"/>
        </w:rPr>
      </w:pPr>
      <w:bookmarkStart w:id="21" w:name="_Toc7056"/>
      <w:bookmarkStart w:id="22" w:name="_Toc32697"/>
      <w:bookmarkStart w:id="23" w:name="_Toc21063"/>
      <w:r>
        <w:rPr>
          <w:rFonts w:hint="eastAsia" w:ascii="黑体" w:hAnsi="黑体" w:eastAsia="黑体" w:cs="黑体"/>
          <w:sz w:val="32"/>
          <w:szCs w:val="32"/>
          <w:lang w:val="en-US" w:eastAsia="zh-CN"/>
        </w:rPr>
        <w:t>部门基本</w:t>
      </w:r>
      <w:r>
        <w:rPr>
          <w:rFonts w:hint="eastAsia" w:ascii="黑体" w:hAnsi="黑体" w:eastAsia="黑体" w:cs="黑体"/>
          <w:sz w:val="32"/>
          <w:szCs w:val="32"/>
          <w:lang w:eastAsia="zh-CN"/>
        </w:rPr>
        <w:t>情况</w:t>
      </w:r>
      <w:bookmarkEnd w:id="21"/>
      <w:bookmarkEnd w:id="22"/>
      <w:bookmarkEnd w:id="23"/>
    </w:p>
    <w:p w14:paraId="2A24FB9A">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楷体" w:hAnsi="楷体" w:eastAsia="楷体" w:cs="楷体"/>
          <w:b/>
          <w:bCs/>
          <w:sz w:val="32"/>
          <w:szCs w:val="32"/>
          <w:lang w:val="en-US" w:eastAsia="zh-CN"/>
        </w:rPr>
      </w:pPr>
      <w:bookmarkStart w:id="24" w:name="_Toc17428"/>
      <w:r>
        <w:rPr>
          <w:rFonts w:hint="eastAsia" w:ascii="楷体" w:hAnsi="楷体" w:eastAsia="楷体" w:cs="楷体"/>
          <w:b/>
          <w:bCs/>
          <w:sz w:val="32"/>
          <w:szCs w:val="32"/>
          <w:lang w:eastAsia="zh-CN"/>
        </w:rPr>
        <w:t>部门</w:t>
      </w:r>
      <w:r>
        <w:rPr>
          <w:rFonts w:hint="eastAsia" w:ascii="楷体" w:hAnsi="楷体" w:eastAsia="楷体" w:cs="楷体"/>
          <w:b/>
          <w:bCs/>
          <w:sz w:val="32"/>
          <w:szCs w:val="32"/>
          <w:lang w:val="en-US" w:eastAsia="zh-CN"/>
        </w:rPr>
        <w:t>基本信息</w:t>
      </w:r>
      <w:bookmarkEnd w:id="24"/>
    </w:p>
    <w:p w14:paraId="3664BA6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楷体" w:hAnsi="楷体" w:eastAsia="楷体" w:cs="楷体"/>
          <w:b/>
          <w:bCs/>
          <w:sz w:val="32"/>
          <w:szCs w:val="32"/>
          <w:lang w:val="en-US" w:eastAsia="zh-CN"/>
        </w:rPr>
      </w:pPr>
      <w:r>
        <w:rPr>
          <w:rFonts w:hint="default" w:ascii="仿宋" w:hAnsi="仿宋" w:eastAsia="仿宋" w:cs="仿宋"/>
          <w:sz w:val="32"/>
          <w:szCs w:val="32"/>
          <w:lang w:val="en-US" w:eastAsia="zh-CN"/>
        </w:rPr>
        <w:t>统一社会信用代码11430403006254108F</w:t>
      </w:r>
      <w:r>
        <w:rPr>
          <w:rFonts w:hint="eastAsia" w:ascii="仿宋" w:hAnsi="仿宋" w:eastAsia="仿宋" w:cs="仿宋"/>
          <w:sz w:val="32"/>
          <w:szCs w:val="32"/>
          <w:lang w:val="en-US" w:eastAsia="zh-CN"/>
        </w:rPr>
        <w:t>，</w:t>
      </w:r>
      <w:r>
        <w:rPr>
          <w:rFonts w:hint="default" w:ascii="仿宋" w:hAnsi="仿宋" w:eastAsia="仿宋" w:cs="仿宋"/>
          <w:sz w:val="32"/>
          <w:szCs w:val="32"/>
          <w:lang w:val="en-US" w:eastAsia="zh-CN"/>
        </w:rPr>
        <w:t>预算级次</w:t>
      </w:r>
      <w:r>
        <w:rPr>
          <w:rFonts w:hint="eastAsia" w:ascii="仿宋" w:hAnsi="仿宋" w:eastAsia="仿宋" w:cs="仿宋"/>
          <w:sz w:val="32"/>
          <w:szCs w:val="32"/>
          <w:lang w:val="en-US" w:eastAsia="zh-CN"/>
        </w:rPr>
        <w:t>为</w:t>
      </w:r>
      <w:r>
        <w:rPr>
          <w:rFonts w:hint="default" w:ascii="仿宋" w:hAnsi="仿宋" w:eastAsia="仿宋" w:cs="仿宋"/>
          <w:sz w:val="32"/>
          <w:szCs w:val="32"/>
          <w:lang w:val="en-US" w:eastAsia="zh-CN"/>
        </w:rPr>
        <w:t>县区级</w:t>
      </w:r>
      <w:r>
        <w:rPr>
          <w:rFonts w:hint="eastAsia" w:ascii="仿宋" w:hAnsi="仿宋" w:eastAsia="仿宋" w:cs="仿宋"/>
          <w:sz w:val="32"/>
          <w:szCs w:val="32"/>
          <w:lang w:val="en-US" w:eastAsia="zh-CN"/>
        </w:rPr>
        <w:t>，</w:t>
      </w:r>
      <w:r>
        <w:rPr>
          <w:rFonts w:hint="default" w:ascii="仿宋" w:hAnsi="仿宋" w:eastAsia="仿宋" w:cs="仿宋"/>
          <w:sz w:val="32"/>
          <w:szCs w:val="32"/>
          <w:lang w:val="en-US" w:eastAsia="zh-CN"/>
        </w:rPr>
        <w:t>单位预算级次</w:t>
      </w:r>
      <w:r>
        <w:rPr>
          <w:rFonts w:hint="eastAsia" w:ascii="仿宋" w:hAnsi="仿宋" w:eastAsia="仿宋" w:cs="仿宋"/>
          <w:sz w:val="32"/>
          <w:szCs w:val="32"/>
          <w:lang w:val="en-US" w:eastAsia="zh-CN"/>
        </w:rPr>
        <w:t>为</w:t>
      </w:r>
      <w:r>
        <w:rPr>
          <w:rFonts w:hint="default" w:ascii="仿宋" w:hAnsi="仿宋" w:eastAsia="仿宋" w:cs="仿宋"/>
          <w:sz w:val="32"/>
          <w:szCs w:val="32"/>
          <w:lang w:val="en-US" w:eastAsia="zh-CN"/>
        </w:rPr>
        <w:t>一级预算单位</w:t>
      </w:r>
      <w:r>
        <w:rPr>
          <w:rFonts w:hint="eastAsia" w:ascii="仿宋" w:hAnsi="仿宋" w:eastAsia="仿宋" w:cs="仿宋"/>
          <w:sz w:val="32"/>
          <w:szCs w:val="32"/>
          <w:lang w:val="en-US" w:eastAsia="zh-CN"/>
        </w:rPr>
        <w:t>，</w:t>
      </w:r>
      <w:r>
        <w:rPr>
          <w:rFonts w:hint="default" w:ascii="仿宋" w:hAnsi="仿宋" w:eastAsia="仿宋" w:cs="仿宋"/>
          <w:sz w:val="32"/>
          <w:szCs w:val="32"/>
          <w:lang w:val="en-US" w:eastAsia="zh-CN"/>
        </w:rPr>
        <w:t>单位经费保障方式</w:t>
      </w:r>
      <w:r>
        <w:rPr>
          <w:rFonts w:hint="eastAsia" w:ascii="仿宋" w:hAnsi="仿宋" w:eastAsia="仿宋" w:cs="仿宋"/>
          <w:sz w:val="32"/>
          <w:szCs w:val="32"/>
          <w:lang w:val="en-US" w:eastAsia="zh-CN"/>
        </w:rPr>
        <w:t>为</w:t>
      </w:r>
      <w:r>
        <w:rPr>
          <w:rFonts w:hint="default" w:ascii="仿宋" w:hAnsi="仿宋" w:eastAsia="仿宋" w:cs="仿宋"/>
          <w:sz w:val="32"/>
          <w:szCs w:val="32"/>
          <w:lang w:val="en-US" w:eastAsia="zh-CN"/>
        </w:rPr>
        <w:t>全额</w:t>
      </w:r>
      <w:r>
        <w:rPr>
          <w:rFonts w:hint="eastAsia" w:ascii="仿宋" w:hAnsi="仿宋" w:eastAsia="仿宋" w:cs="仿宋"/>
          <w:sz w:val="32"/>
          <w:szCs w:val="32"/>
          <w:lang w:val="en-US" w:eastAsia="zh-CN"/>
        </w:rPr>
        <w:t>。</w:t>
      </w:r>
    </w:p>
    <w:p w14:paraId="5EE58AC6">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楷体" w:hAnsi="楷体" w:eastAsia="楷体" w:cs="楷体"/>
          <w:b/>
          <w:bCs/>
          <w:sz w:val="32"/>
          <w:szCs w:val="32"/>
          <w:highlight w:val="none"/>
          <w:lang w:val="en-US" w:eastAsia="zh-CN"/>
        </w:rPr>
      </w:pPr>
      <w:bookmarkStart w:id="25" w:name="_Toc19100"/>
      <w:r>
        <w:rPr>
          <w:rFonts w:hint="eastAsia" w:ascii="楷体" w:hAnsi="楷体" w:eastAsia="楷体" w:cs="楷体"/>
          <w:b/>
          <w:bCs/>
          <w:sz w:val="32"/>
          <w:szCs w:val="32"/>
          <w:highlight w:val="none"/>
          <w:lang w:eastAsia="zh-CN"/>
        </w:rPr>
        <w:t>（</w:t>
      </w:r>
      <w:r>
        <w:rPr>
          <w:rFonts w:hint="eastAsia" w:ascii="楷体" w:hAnsi="楷体" w:eastAsia="楷体" w:cs="楷体"/>
          <w:b/>
          <w:bCs/>
          <w:sz w:val="32"/>
          <w:szCs w:val="32"/>
          <w:highlight w:val="none"/>
          <w:lang w:val="en-US" w:eastAsia="zh-CN"/>
        </w:rPr>
        <w:t>二</w:t>
      </w:r>
      <w:r>
        <w:rPr>
          <w:rFonts w:hint="eastAsia" w:ascii="楷体" w:hAnsi="楷体" w:eastAsia="楷体" w:cs="楷体"/>
          <w:b/>
          <w:bCs/>
          <w:sz w:val="32"/>
          <w:szCs w:val="32"/>
          <w:highlight w:val="none"/>
          <w:lang w:eastAsia="zh-CN"/>
        </w:rPr>
        <w:t>）部门</w:t>
      </w:r>
      <w:r>
        <w:rPr>
          <w:rFonts w:hint="eastAsia" w:ascii="楷体" w:hAnsi="楷体" w:eastAsia="楷体" w:cs="楷体"/>
          <w:b/>
          <w:bCs/>
          <w:sz w:val="32"/>
          <w:szCs w:val="32"/>
          <w:highlight w:val="none"/>
          <w:lang w:val="en-US" w:eastAsia="zh-CN"/>
        </w:rPr>
        <w:t>主要职责</w:t>
      </w:r>
      <w:bookmarkEnd w:id="25"/>
    </w:p>
    <w:p w14:paraId="232026CC">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bCs/>
          <w:sz w:val="32"/>
          <w:szCs w:val="32"/>
          <w:lang w:eastAsia="zh-CN"/>
        </w:rPr>
      </w:pPr>
      <w:r>
        <w:rPr>
          <w:rFonts w:hint="eastAsia" w:ascii="仿宋" w:hAnsi="仿宋" w:eastAsia="仿宋" w:cs="仿宋"/>
          <w:b/>
          <w:bCs/>
          <w:sz w:val="32"/>
          <w:szCs w:val="32"/>
          <w:lang w:val="en-US" w:eastAsia="zh-CN"/>
        </w:rPr>
        <w:t>一是</w:t>
      </w:r>
      <w:r>
        <w:rPr>
          <w:rFonts w:hint="eastAsia" w:ascii="仿宋" w:hAnsi="仿宋" w:eastAsia="仿宋" w:cs="仿宋"/>
          <w:b/>
          <w:bCs/>
          <w:sz w:val="32"/>
          <w:szCs w:val="32"/>
          <w:lang w:eastAsia="zh-CN"/>
        </w:rPr>
        <w:t>贯彻执行国家财政、税收、国有资本金基础管理和财务会计管理的各项法律法规；</w:t>
      </w:r>
      <w:r>
        <w:rPr>
          <w:rFonts w:hint="eastAsia" w:ascii="仿宋" w:hAnsi="仿宋" w:eastAsia="仿宋" w:cs="仿宋"/>
          <w:b w:val="0"/>
          <w:bCs w:val="0"/>
          <w:sz w:val="32"/>
          <w:szCs w:val="32"/>
          <w:lang w:eastAsia="zh-CN"/>
        </w:rPr>
        <w:t>根据国家的有关政策法规和要求，拟订和监督执行全区财政预算、地方税收、财务、会计、国有资本金基础管理等方面的规定和基本建设财务管理制度。</w:t>
      </w:r>
      <w:r>
        <w:rPr>
          <w:rFonts w:hint="eastAsia" w:ascii="仿宋" w:hAnsi="仿宋" w:eastAsia="仿宋" w:cs="仿宋"/>
          <w:b/>
          <w:bCs/>
          <w:sz w:val="32"/>
          <w:szCs w:val="32"/>
          <w:lang w:val="en-US" w:eastAsia="zh-CN"/>
        </w:rPr>
        <w:t>二是</w:t>
      </w:r>
      <w:r>
        <w:rPr>
          <w:rFonts w:hint="eastAsia" w:ascii="仿宋" w:hAnsi="仿宋" w:eastAsia="仿宋" w:cs="仿宋"/>
          <w:b/>
          <w:bCs/>
          <w:sz w:val="32"/>
          <w:szCs w:val="32"/>
          <w:lang w:eastAsia="zh-CN"/>
        </w:rPr>
        <w:t>根据全区国民经济和社会发展战略，拟订全区财政发展战略和中长期财政规划，制定年度财政预算草案，执行区人大批准的地方预算，监督指导各乡、镇、街道及区直部门预算的执行，</w:t>
      </w:r>
      <w:r>
        <w:rPr>
          <w:rFonts w:hint="eastAsia" w:ascii="仿宋" w:hAnsi="仿宋" w:eastAsia="仿宋" w:cs="仿宋"/>
          <w:b w:val="0"/>
          <w:bCs w:val="0"/>
          <w:sz w:val="32"/>
          <w:szCs w:val="32"/>
          <w:lang w:eastAsia="zh-CN"/>
        </w:rPr>
        <w:t>审编年度财政决算，对社会财力进行综合平衡，参与研究制定全区综合经济规划，提出运用财税政策调控经济运行和综合平衡社会财力的建议；管理本级行政机关和财政供给经费事业单位银行开户；管理全区行政事业性收费票据和罚没收入票据；管理政府性资金和专项资金。</w:t>
      </w:r>
      <w:r>
        <w:rPr>
          <w:rFonts w:hint="eastAsia" w:ascii="仿宋" w:hAnsi="仿宋" w:eastAsia="仿宋" w:cs="仿宋"/>
          <w:b/>
          <w:bCs/>
          <w:sz w:val="32"/>
          <w:szCs w:val="32"/>
          <w:lang w:val="en-US" w:eastAsia="zh-CN"/>
        </w:rPr>
        <w:t>三是</w:t>
      </w:r>
      <w:r>
        <w:rPr>
          <w:rFonts w:hint="eastAsia" w:ascii="仿宋" w:hAnsi="仿宋" w:eastAsia="仿宋" w:cs="仿宋"/>
          <w:b/>
          <w:bCs/>
          <w:sz w:val="32"/>
          <w:szCs w:val="32"/>
          <w:lang w:eastAsia="zh-CN"/>
        </w:rPr>
        <w:t>负责行政事业性收费和罚没收入及国有资源(资产)有偿使用收入的征收管理。</w:t>
      </w:r>
      <w:r>
        <w:rPr>
          <w:rFonts w:hint="eastAsia" w:ascii="仿宋" w:hAnsi="仿宋" w:eastAsia="仿宋" w:cs="仿宋"/>
          <w:b/>
          <w:bCs/>
          <w:sz w:val="32"/>
          <w:szCs w:val="32"/>
          <w:lang w:val="en-US" w:eastAsia="zh-CN"/>
        </w:rPr>
        <w:t>四是</w:t>
      </w:r>
      <w:r>
        <w:rPr>
          <w:rFonts w:hint="eastAsia" w:ascii="仿宋" w:hAnsi="仿宋" w:eastAsia="仿宋" w:cs="仿宋"/>
          <w:b/>
          <w:bCs/>
          <w:sz w:val="32"/>
          <w:szCs w:val="32"/>
          <w:lang w:eastAsia="zh-CN"/>
        </w:rPr>
        <w:t>根据全区国民经济发展计划和市财政局下达的考核指标，结合地方预算安排，确定全区财政税收收入计划，</w:t>
      </w:r>
      <w:r>
        <w:rPr>
          <w:rFonts w:hint="eastAsia" w:ascii="仿宋" w:hAnsi="仿宋" w:eastAsia="仿宋" w:cs="仿宋"/>
          <w:b w:val="0"/>
          <w:bCs w:val="0"/>
          <w:sz w:val="32"/>
          <w:szCs w:val="32"/>
          <w:lang w:eastAsia="zh-CN"/>
        </w:rPr>
        <w:t>并组织实施、管理和监督。</w:t>
      </w:r>
      <w:r>
        <w:rPr>
          <w:rFonts w:hint="eastAsia" w:ascii="仿宋" w:hAnsi="仿宋" w:eastAsia="仿宋" w:cs="仿宋"/>
          <w:b/>
          <w:bCs/>
          <w:sz w:val="32"/>
          <w:szCs w:val="32"/>
          <w:lang w:val="en-US" w:eastAsia="zh-CN"/>
        </w:rPr>
        <w:t>五是</w:t>
      </w:r>
      <w:r>
        <w:rPr>
          <w:rFonts w:hint="eastAsia" w:ascii="仿宋" w:hAnsi="仿宋" w:eastAsia="仿宋" w:cs="仿宋"/>
          <w:b/>
          <w:bCs/>
          <w:sz w:val="32"/>
          <w:szCs w:val="32"/>
          <w:lang w:eastAsia="zh-CN"/>
        </w:rPr>
        <w:t>拟订区对乡、镇、街道的财政预算管理体制，合理划分财力；</w:t>
      </w:r>
      <w:r>
        <w:rPr>
          <w:rFonts w:hint="eastAsia" w:ascii="仿宋" w:hAnsi="仿宋" w:eastAsia="仿宋" w:cs="仿宋"/>
          <w:b w:val="0"/>
          <w:bCs w:val="0"/>
          <w:sz w:val="32"/>
          <w:szCs w:val="32"/>
          <w:lang w:eastAsia="zh-CN"/>
        </w:rPr>
        <w:t>指导和监督乡、镇、街道财政工作，监督预算执行。</w:t>
      </w:r>
      <w:r>
        <w:rPr>
          <w:rFonts w:hint="eastAsia" w:ascii="仿宋" w:hAnsi="仿宋" w:eastAsia="仿宋" w:cs="仿宋"/>
          <w:b/>
          <w:bCs/>
          <w:sz w:val="32"/>
          <w:szCs w:val="32"/>
          <w:lang w:val="en-US" w:eastAsia="zh-CN"/>
        </w:rPr>
        <w:t>六是</w:t>
      </w:r>
      <w:r>
        <w:rPr>
          <w:rFonts w:hint="eastAsia" w:ascii="仿宋" w:hAnsi="仿宋" w:eastAsia="仿宋" w:cs="仿宋"/>
          <w:b/>
          <w:bCs/>
          <w:sz w:val="32"/>
          <w:szCs w:val="32"/>
          <w:lang w:eastAsia="zh-CN"/>
        </w:rPr>
        <w:t>管理和监督区级公共财政支出；</w:t>
      </w:r>
      <w:r>
        <w:rPr>
          <w:rFonts w:hint="eastAsia" w:ascii="仿宋" w:hAnsi="仿宋" w:eastAsia="仿宋" w:cs="仿宋"/>
          <w:b w:val="0"/>
          <w:bCs w:val="0"/>
          <w:sz w:val="32"/>
          <w:szCs w:val="32"/>
          <w:lang w:eastAsia="zh-CN"/>
        </w:rPr>
        <w:t>拟订和执行政府采购制度，指导政府采购工作；积极稳妥推进政府购买服务工作，负责职责范围内对有关行业、领域的安全生产工作实施监督管理。</w:t>
      </w:r>
      <w:r>
        <w:rPr>
          <w:rFonts w:hint="eastAsia" w:ascii="仿宋" w:hAnsi="仿宋" w:eastAsia="仿宋" w:cs="仿宋"/>
          <w:b/>
          <w:bCs/>
          <w:sz w:val="32"/>
          <w:szCs w:val="32"/>
          <w:lang w:val="en-US" w:eastAsia="zh-CN"/>
        </w:rPr>
        <w:t>七是</w:t>
      </w:r>
      <w:r>
        <w:rPr>
          <w:rFonts w:hint="eastAsia" w:ascii="仿宋" w:hAnsi="仿宋" w:eastAsia="仿宋" w:cs="仿宋"/>
          <w:b/>
          <w:bCs/>
          <w:sz w:val="32"/>
          <w:szCs w:val="32"/>
          <w:lang w:eastAsia="zh-CN"/>
        </w:rPr>
        <w:t>办理和监督由区级财政承担的全区经济贸易、农业支出、行政和公共支出、社会保障支出，</w:t>
      </w:r>
      <w:r>
        <w:rPr>
          <w:rFonts w:hint="eastAsia" w:ascii="仿宋" w:hAnsi="仿宋" w:eastAsia="仿宋" w:cs="仿宋"/>
          <w:b w:val="0"/>
          <w:bCs w:val="0"/>
          <w:sz w:val="32"/>
          <w:szCs w:val="32"/>
          <w:lang w:eastAsia="zh-CN"/>
        </w:rPr>
        <w:t>包括基本建设项目拨款、科技三项费用、支农资金等；统一管理全区基本建设财务。</w:t>
      </w:r>
      <w:r>
        <w:rPr>
          <w:rFonts w:hint="eastAsia" w:ascii="仿宋" w:hAnsi="仿宋" w:eastAsia="仿宋" w:cs="仿宋"/>
          <w:b/>
          <w:bCs/>
          <w:sz w:val="32"/>
          <w:szCs w:val="32"/>
          <w:lang w:val="en-US" w:eastAsia="zh-CN"/>
        </w:rPr>
        <w:t>八是</w:t>
      </w:r>
      <w:r>
        <w:rPr>
          <w:rFonts w:hint="eastAsia" w:ascii="仿宋" w:hAnsi="仿宋" w:eastAsia="仿宋" w:cs="仿宋"/>
          <w:b/>
          <w:bCs/>
          <w:sz w:val="32"/>
          <w:szCs w:val="32"/>
          <w:lang w:eastAsia="zh-CN"/>
        </w:rPr>
        <w:t>参与全区社会保障制度改革，拟定并组织实施全区社会保障资金(基金)财务管理制度；</w:t>
      </w:r>
      <w:r>
        <w:rPr>
          <w:rFonts w:hint="eastAsia" w:ascii="仿宋" w:hAnsi="仿宋" w:eastAsia="仿宋" w:cs="仿宋"/>
          <w:b w:val="0"/>
          <w:bCs w:val="0"/>
          <w:sz w:val="32"/>
          <w:szCs w:val="32"/>
          <w:lang w:eastAsia="zh-CN"/>
        </w:rPr>
        <w:t>管理和监督区级财政社会保障支出；对社会保障资金(基金)的使用实施财政监督；管理区级社会保障资金(基金)专户；负责区境内融资担保机构的行业管理工作，受区政府委托办理融资业务。</w:t>
      </w:r>
      <w:r>
        <w:rPr>
          <w:rFonts w:hint="eastAsia" w:ascii="仿宋" w:hAnsi="仿宋" w:eastAsia="仿宋" w:cs="仿宋"/>
          <w:b/>
          <w:bCs/>
          <w:sz w:val="32"/>
          <w:szCs w:val="32"/>
          <w:lang w:val="en-US" w:eastAsia="zh-CN"/>
        </w:rPr>
        <w:t>九是</w:t>
      </w:r>
      <w:r>
        <w:rPr>
          <w:rFonts w:hint="eastAsia" w:ascii="仿宋" w:hAnsi="仿宋" w:eastAsia="仿宋" w:cs="仿宋"/>
          <w:b/>
          <w:bCs/>
          <w:sz w:val="32"/>
          <w:szCs w:val="32"/>
          <w:lang w:eastAsia="zh-CN"/>
        </w:rPr>
        <w:t>负责管理全区的会计工作，监督和规范会计行为，</w:t>
      </w:r>
      <w:r>
        <w:rPr>
          <w:rFonts w:hint="eastAsia" w:ascii="仿宋" w:hAnsi="仿宋" w:eastAsia="仿宋" w:cs="仿宋"/>
          <w:b w:val="0"/>
          <w:bCs w:val="0"/>
          <w:sz w:val="32"/>
          <w:szCs w:val="32"/>
          <w:lang w:eastAsia="zh-CN"/>
        </w:rPr>
        <w:t>组织实施国家统一的会计制度，监督和规范会计行为；指导和管理社会审计。</w:t>
      </w:r>
      <w:r>
        <w:rPr>
          <w:rFonts w:hint="eastAsia" w:ascii="仿宋" w:hAnsi="仿宋" w:eastAsia="仿宋" w:cs="仿宋"/>
          <w:b/>
          <w:bCs/>
          <w:sz w:val="32"/>
          <w:szCs w:val="32"/>
          <w:lang w:val="en-US" w:eastAsia="zh-CN"/>
        </w:rPr>
        <w:t>十是</w:t>
      </w:r>
      <w:r>
        <w:rPr>
          <w:rFonts w:hint="eastAsia" w:ascii="仿宋" w:hAnsi="仿宋" w:eastAsia="仿宋" w:cs="仿宋"/>
          <w:b/>
          <w:bCs/>
          <w:sz w:val="32"/>
          <w:szCs w:val="32"/>
          <w:lang w:eastAsia="zh-CN"/>
        </w:rPr>
        <w:t>管理政府性债务，执行国家债务管理的方针、政策；拟订政府债务管理的实施办法和规章制度；</w:t>
      </w:r>
      <w:r>
        <w:rPr>
          <w:rFonts w:hint="eastAsia" w:ascii="仿宋" w:hAnsi="仿宋" w:eastAsia="仿宋" w:cs="仿宋"/>
          <w:b w:val="0"/>
          <w:bCs w:val="0"/>
          <w:sz w:val="32"/>
          <w:szCs w:val="32"/>
          <w:lang w:eastAsia="zh-CN"/>
        </w:rPr>
        <w:t>统一管理政府的国内外债权债务，研究政府债务情况，拟订防范政府债务风险的措施。</w:t>
      </w:r>
      <w:r>
        <w:rPr>
          <w:rFonts w:hint="eastAsia" w:ascii="仿宋" w:hAnsi="仿宋" w:eastAsia="仿宋" w:cs="仿宋"/>
          <w:b/>
          <w:bCs/>
          <w:sz w:val="32"/>
          <w:szCs w:val="32"/>
          <w:lang w:val="en-US" w:eastAsia="zh-CN"/>
        </w:rPr>
        <w:t>十一是</w:t>
      </w:r>
      <w:r>
        <w:rPr>
          <w:rFonts w:hint="eastAsia" w:ascii="仿宋" w:hAnsi="仿宋" w:eastAsia="仿宋" w:cs="仿宋"/>
          <w:b/>
          <w:bCs/>
          <w:sz w:val="32"/>
          <w:szCs w:val="32"/>
          <w:lang w:eastAsia="zh-CN"/>
        </w:rPr>
        <w:t>负责拟订财政投资评审工作相关制度和办法；负责组织财政性投资项目的概(预)算、结算、决算的评审工作；</w:t>
      </w:r>
      <w:r>
        <w:rPr>
          <w:rFonts w:hint="eastAsia" w:ascii="仿宋" w:hAnsi="仿宋" w:eastAsia="仿宋" w:cs="仿宋"/>
          <w:b w:val="0"/>
          <w:bCs w:val="0"/>
          <w:sz w:val="32"/>
          <w:szCs w:val="32"/>
          <w:lang w:eastAsia="zh-CN"/>
        </w:rPr>
        <w:t>负责财政性投资的市场研究分析、投资风险分析和效益分析工作，为实施财政投资决策提供基础信息服务；实施对财政性基本建设资金使用的监督和管理，参与工程项目的后评价工作。</w:t>
      </w:r>
      <w:r>
        <w:rPr>
          <w:rFonts w:hint="eastAsia" w:ascii="仿宋" w:hAnsi="仿宋" w:eastAsia="仿宋" w:cs="仿宋"/>
          <w:b/>
          <w:bCs/>
          <w:sz w:val="32"/>
          <w:szCs w:val="32"/>
          <w:lang w:val="en-US" w:eastAsia="zh-CN"/>
        </w:rPr>
        <w:t>十二是</w:t>
      </w:r>
      <w:r>
        <w:rPr>
          <w:rFonts w:hint="eastAsia" w:ascii="仿宋" w:hAnsi="仿宋" w:eastAsia="仿宋" w:cs="仿宋"/>
          <w:b/>
          <w:bCs/>
          <w:sz w:val="32"/>
          <w:szCs w:val="32"/>
          <w:lang w:eastAsia="zh-CN"/>
        </w:rPr>
        <w:t>监督检查财政方针政策、法律法规的执行情况，监督区级部门的财务活动，</w:t>
      </w:r>
      <w:r>
        <w:rPr>
          <w:rFonts w:hint="eastAsia" w:ascii="仿宋" w:hAnsi="仿宋" w:eastAsia="仿宋" w:cs="仿宋"/>
          <w:b w:val="0"/>
          <w:bCs w:val="0"/>
          <w:sz w:val="32"/>
          <w:szCs w:val="32"/>
          <w:lang w:eastAsia="zh-CN"/>
        </w:rPr>
        <w:t>检查反映财政收支管理中的重大问题，对违反财经纪律的事项进行检查和处理。</w:t>
      </w:r>
      <w:r>
        <w:rPr>
          <w:rFonts w:hint="eastAsia" w:ascii="仿宋" w:hAnsi="仿宋" w:eastAsia="仿宋" w:cs="仿宋"/>
          <w:b/>
          <w:bCs/>
          <w:sz w:val="32"/>
          <w:szCs w:val="32"/>
          <w:lang w:val="en-US" w:eastAsia="zh-CN"/>
        </w:rPr>
        <w:t>十三是</w:t>
      </w:r>
      <w:r>
        <w:rPr>
          <w:rFonts w:hint="eastAsia" w:ascii="仿宋" w:hAnsi="仿宋" w:eastAsia="仿宋" w:cs="仿宋"/>
          <w:b/>
          <w:bCs/>
          <w:sz w:val="32"/>
          <w:szCs w:val="32"/>
          <w:lang w:eastAsia="zh-CN"/>
        </w:rPr>
        <w:t>协调相关部门抓好镇、街的机构改革、教育布局调整、化解乡村债务等配套改革；</w:t>
      </w:r>
      <w:r>
        <w:rPr>
          <w:rFonts w:hint="eastAsia" w:ascii="仿宋" w:hAnsi="仿宋" w:eastAsia="仿宋" w:cs="仿宋"/>
          <w:b w:val="0"/>
          <w:bCs w:val="0"/>
          <w:sz w:val="32"/>
          <w:szCs w:val="32"/>
          <w:lang w:eastAsia="zh-CN"/>
        </w:rPr>
        <w:t>研究制定农村基层政权运转、义务教育投入的保障机制。</w:t>
      </w:r>
      <w:r>
        <w:rPr>
          <w:rFonts w:hint="eastAsia" w:ascii="仿宋" w:hAnsi="仿宋" w:eastAsia="仿宋" w:cs="仿宋"/>
          <w:b/>
          <w:bCs/>
          <w:sz w:val="32"/>
          <w:szCs w:val="32"/>
          <w:lang w:val="en-US" w:eastAsia="zh-CN"/>
        </w:rPr>
        <w:t>十四是</w:t>
      </w:r>
      <w:r>
        <w:rPr>
          <w:rFonts w:hint="eastAsia" w:ascii="仿宋" w:hAnsi="仿宋" w:eastAsia="仿宋" w:cs="仿宋"/>
          <w:b/>
          <w:bCs/>
          <w:sz w:val="32"/>
          <w:szCs w:val="32"/>
          <w:lang w:eastAsia="zh-CN"/>
        </w:rPr>
        <w:t>制定全区财政系统教育规划，组织指导全区财政干部培训；</w:t>
      </w:r>
      <w:r>
        <w:rPr>
          <w:rFonts w:hint="eastAsia" w:ascii="仿宋" w:hAnsi="仿宋" w:eastAsia="仿宋" w:cs="仿宋"/>
          <w:b w:val="0"/>
          <w:bCs w:val="0"/>
          <w:sz w:val="32"/>
          <w:szCs w:val="32"/>
          <w:lang w:eastAsia="zh-CN"/>
        </w:rPr>
        <w:t>负责财政宣传和财政信息工作。</w:t>
      </w:r>
      <w:r>
        <w:rPr>
          <w:rFonts w:hint="eastAsia" w:ascii="仿宋" w:hAnsi="仿宋" w:eastAsia="仿宋" w:cs="仿宋"/>
          <w:b/>
          <w:bCs/>
          <w:sz w:val="32"/>
          <w:szCs w:val="32"/>
          <w:lang w:val="en-US" w:eastAsia="zh-CN"/>
        </w:rPr>
        <w:t>十五是</w:t>
      </w:r>
      <w:r>
        <w:rPr>
          <w:rFonts w:hint="eastAsia" w:ascii="仿宋" w:hAnsi="仿宋" w:eastAsia="仿宋" w:cs="仿宋"/>
          <w:b/>
          <w:bCs/>
          <w:sz w:val="32"/>
          <w:szCs w:val="32"/>
          <w:lang w:eastAsia="zh-CN"/>
        </w:rPr>
        <w:t>承担经济和信息、安全生产、国有资产监管等方面的部门预算有关工作，研究提出相关财政管理办法；</w:t>
      </w:r>
      <w:r>
        <w:rPr>
          <w:rFonts w:hint="eastAsia" w:ascii="仿宋" w:hAnsi="仿宋" w:eastAsia="仿宋" w:cs="仿宋"/>
          <w:b w:val="0"/>
          <w:bCs w:val="0"/>
          <w:sz w:val="32"/>
          <w:szCs w:val="32"/>
          <w:lang w:eastAsia="zh-CN"/>
        </w:rPr>
        <w:t>参与研究支持企业改革和发展的措施，研究提出区财政支持有关行业的政策建议；承担国有资本经营预算的有关工作；组织实施企业财务制度和企业财务会计报告编制工作，负责有关区属企业财务监管；负责财政预算内行政、事业单位和社会团体的非贸易外汇管理。</w:t>
      </w:r>
      <w:r>
        <w:rPr>
          <w:rFonts w:hint="eastAsia" w:ascii="仿宋" w:hAnsi="仿宋" w:eastAsia="仿宋" w:cs="仿宋"/>
          <w:b/>
          <w:bCs/>
          <w:sz w:val="32"/>
          <w:szCs w:val="32"/>
          <w:lang w:val="en-US" w:eastAsia="zh-CN"/>
        </w:rPr>
        <w:t>十六是</w:t>
      </w:r>
      <w:r>
        <w:rPr>
          <w:rFonts w:hint="eastAsia" w:ascii="仿宋" w:hAnsi="仿宋" w:eastAsia="仿宋" w:cs="仿宋"/>
          <w:b/>
          <w:bCs/>
          <w:sz w:val="32"/>
          <w:szCs w:val="32"/>
          <w:lang w:eastAsia="zh-CN"/>
        </w:rPr>
        <w:t>负责国有资产管理工作。</w:t>
      </w:r>
      <w:r>
        <w:rPr>
          <w:rFonts w:hint="eastAsia" w:ascii="仿宋" w:hAnsi="仿宋" w:eastAsia="仿宋" w:cs="仿宋"/>
          <w:b w:val="0"/>
          <w:bCs w:val="0"/>
          <w:sz w:val="32"/>
          <w:szCs w:val="32"/>
          <w:lang w:eastAsia="zh-CN"/>
        </w:rPr>
        <w:t>根据授权，集中统一履行区本级国有金融资本出资人职责，拟订并组织实施区本级国有金融资本管理规章制度；拟订行政事业单位国有资产管理规章制度并组织实施，按规定管理行政事业单位和规定范围内的其他国有资产；承担有关资产评估工作；拟订需要区统一规定的开支标准和开支要求。</w:t>
      </w:r>
      <w:r>
        <w:rPr>
          <w:rFonts w:hint="eastAsia" w:ascii="仿宋" w:hAnsi="仿宋" w:eastAsia="仿宋" w:cs="仿宋"/>
          <w:b/>
          <w:bCs/>
          <w:sz w:val="32"/>
          <w:szCs w:val="32"/>
          <w:lang w:val="en-US" w:eastAsia="zh-CN"/>
        </w:rPr>
        <w:t>十七是</w:t>
      </w:r>
      <w:r>
        <w:rPr>
          <w:rFonts w:hint="eastAsia" w:ascii="仿宋" w:hAnsi="仿宋" w:eastAsia="仿宋" w:cs="仿宋"/>
          <w:b/>
          <w:bCs/>
          <w:sz w:val="32"/>
          <w:szCs w:val="32"/>
          <w:lang w:eastAsia="zh-CN"/>
        </w:rPr>
        <w:t>参与制定地方金融工作管理的办法、制度，研究提出促进金融事业发展的措施；</w:t>
      </w:r>
      <w:r>
        <w:rPr>
          <w:rFonts w:hint="eastAsia" w:ascii="仿宋" w:hAnsi="仿宋" w:eastAsia="仿宋" w:cs="仿宋"/>
          <w:b w:val="0"/>
          <w:bCs w:val="0"/>
          <w:sz w:val="32"/>
          <w:szCs w:val="32"/>
          <w:lang w:eastAsia="zh-CN"/>
        </w:rPr>
        <w:t>负责地方金融机构和区本级投融资公司的财务监管；按规定管理地方金融类企业国有资产；负责涉农等政策性保险的相关工作；承担地方政府性债务的融资管理工作。</w:t>
      </w:r>
      <w:r>
        <w:rPr>
          <w:rFonts w:hint="eastAsia" w:ascii="仿宋" w:hAnsi="仿宋" w:eastAsia="仿宋" w:cs="仿宋"/>
          <w:b/>
          <w:bCs/>
          <w:sz w:val="32"/>
          <w:szCs w:val="32"/>
          <w:lang w:val="en-US" w:eastAsia="zh-CN"/>
        </w:rPr>
        <w:t>十八是</w:t>
      </w:r>
      <w:r>
        <w:rPr>
          <w:rFonts w:hint="eastAsia" w:ascii="仿宋" w:hAnsi="仿宋" w:eastAsia="仿宋" w:cs="仿宋"/>
          <w:b/>
          <w:bCs/>
          <w:sz w:val="32"/>
          <w:szCs w:val="32"/>
          <w:lang w:eastAsia="zh-CN"/>
        </w:rPr>
        <w:t>承担区深化经济体制改革领导小组的日常工作，</w:t>
      </w:r>
      <w:r>
        <w:rPr>
          <w:rFonts w:hint="eastAsia" w:ascii="仿宋" w:hAnsi="仿宋" w:eastAsia="仿宋" w:cs="仿宋"/>
          <w:b w:val="0"/>
          <w:bCs w:val="0"/>
          <w:sz w:val="32"/>
          <w:szCs w:val="32"/>
          <w:lang w:eastAsia="zh-CN"/>
        </w:rPr>
        <w:t>配合完善“村账乡代管”和“组账村代管”。</w:t>
      </w:r>
      <w:r>
        <w:rPr>
          <w:rFonts w:hint="eastAsia" w:ascii="仿宋" w:hAnsi="仿宋" w:eastAsia="仿宋" w:cs="仿宋"/>
          <w:b/>
          <w:bCs/>
          <w:sz w:val="32"/>
          <w:szCs w:val="32"/>
          <w:lang w:val="en-US" w:eastAsia="zh-CN"/>
        </w:rPr>
        <w:t>十九是</w:t>
      </w:r>
      <w:r>
        <w:rPr>
          <w:rFonts w:hint="eastAsia" w:ascii="仿宋" w:hAnsi="仿宋" w:eastAsia="仿宋" w:cs="仿宋"/>
          <w:b/>
          <w:bCs/>
          <w:sz w:val="32"/>
          <w:szCs w:val="32"/>
          <w:lang w:eastAsia="zh-CN"/>
        </w:rPr>
        <w:t>负责本行业、领域的应急管理工作，对本行业、领域的安全生产工作实施监督管理。</w:t>
      </w:r>
      <w:r>
        <w:rPr>
          <w:rFonts w:hint="eastAsia" w:ascii="仿宋" w:hAnsi="仿宋" w:eastAsia="仿宋" w:cs="仿宋"/>
          <w:b/>
          <w:bCs/>
          <w:sz w:val="32"/>
          <w:szCs w:val="32"/>
          <w:lang w:val="en-US" w:eastAsia="zh-CN"/>
        </w:rPr>
        <w:t>二十是</w:t>
      </w:r>
      <w:r>
        <w:rPr>
          <w:rFonts w:hint="eastAsia" w:ascii="仿宋" w:hAnsi="仿宋" w:eastAsia="仿宋" w:cs="仿宋"/>
          <w:b/>
          <w:bCs/>
          <w:sz w:val="32"/>
          <w:szCs w:val="32"/>
          <w:lang w:eastAsia="zh-CN"/>
        </w:rPr>
        <w:t>完成区委、区政府交办的其他任务。</w:t>
      </w:r>
    </w:p>
    <w:p w14:paraId="40CF435B">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楷体" w:hAnsi="楷体" w:eastAsia="楷体" w:cs="楷体"/>
          <w:b/>
          <w:bCs/>
          <w:sz w:val="32"/>
          <w:szCs w:val="32"/>
          <w:lang w:eastAsia="zh-CN"/>
        </w:rPr>
      </w:pPr>
      <w:bookmarkStart w:id="26" w:name="_Toc12413"/>
      <w:r>
        <w:rPr>
          <w:rFonts w:hint="eastAsia" w:ascii="楷体" w:hAnsi="楷体" w:eastAsia="楷体" w:cs="楷体"/>
          <w:b/>
          <w:bCs/>
          <w:sz w:val="32"/>
          <w:szCs w:val="32"/>
          <w:lang w:eastAsia="zh-CN"/>
        </w:rPr>
        <w:t>（</w:t>
      </w:r>
      <w:r>
        <w:rPr>
          <w:rFonts w:hint="eastAsia" w:ascii="楷体" w:hAnsi="楷体" w:eastAsia="楷体" w:cs="楷体"/>
          <w:b/>
          <w:bCs/>
          <w:sz w:val="32"/>
          <w:szCs w:val="32"/>
          <w:lang w:val="en-US" w:eastAsia="zh-CN"/>
        </w:rPr>
        <w:t>三</w:t>
      </w:r>
      <w:r>
        <w:rPr>
          <w:rFonts w:hint="eastAsia" w:ascii="楷体" w:hAnsi="楷体" w:eastAsia="楷体" w:cs="楷体"/>
          <w:b/>
          <w:bCs/>
          <w:sz w:val="32"/>
          <w:szCs w:val="32"/>
          <w:lang w:eastAsia="zh-CN"/>
        </w:rPr>
        <w:t>）</w:t>
      </w:r>
      <w:r>
        <w:rPr>
          <w:rFonts w:hint="eastAsia" w:ascii="楷体" w:hAnsi="楷体" w:eastAsia="楷体" w:cs="楷体"/>
          <w:b/>
          <w:bCs/>
          <w:sz w:val="32"/>
          <w:szCs w:val="32"/>
          <w:lang w:val="en-US" w:eastAsia="zh-CN"/>
        </w:rPr>
        <w:t>部门</w:t>
      </w:r>
      <w:r>
        <w:rPr>
          <w:rFonts w:hint="eastAsia" w:ascii="楷体" w:hAnsi="楷体" w:eastAsia="楷体" w:cs="楷体"/>
          <w:b/>
          <w:bCs/>
          <w:sz w:val="32"/>
          <w:szCs w:val="32"/>
          <w:lang w:eastAsia="zh-CN"/>
        </w:rPr>
        <w:t>组织架构与人员</w:t>
      </w:r>
      <w:bookmarkEnd w:id="26"/>
    </w:p>
    <w:p w14:paraId="70F1384B">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default" w:ascii="仿宋" w:hAnsi="仿宋" w:eastAsia="仿宋" w:cs="仿宋"/>
          <w:sz w:val="32"/>
          <w:szCs w:val="32"/>
          <w:highlight w:val="none"/>
          <w:lang w:val="en-US" w:eastAsia="zh-CN"/>
        </w:rPr>
      </w:pPr>
      <w:r>
        <w:rPr>
          <w:rFonts w:hint="eastAsia" w:ascii="仿宋" w:hAnsi="仿宋" w:eastAsia="仿宋" w:cs="仿宋"/>
          <w:b/>
          <w:bCs/>
          <w:sz w:val="32"/>
          <w:szCs w:val="32"/>
          <w:highlight w:val="none"/>
          <w:lang w:val="en-US" w:eastAsia="zh-CN"/>
        </w:rPr>
        <w:t>1.内部机构设置</w:t>
      </w:r>
    </w:p>
    <w:p w14:paraId="749AA5D4">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仿宋" w:hAnsi="仿宋" w:eastAsia="仿宋"/>
          <w:bCs/>
          <w:kern w:val="0"/>
          <w:sz w:val="32"/>
          <w:szCs w:val="32"/>
          <w:highlight w:val="none"/>
          <w:lang w:val="en-US" w:eastAsia="zh-CN"/>
        </w:rPr>
      </w:pPr>
      <w:r>
        <w:rPr>
          <w:rFonts w:hint="eastAsia" w:ascii="仿宋" w:hAnsi="仿宋" w:eastAsia="仿宋"/>
          <w:bCs/>
          <w:kern w:val="0"/>
          <w:sz w:val="32"/>
          <w:szCs w:val="32"/>
          <w:highlight w:val="none"/>
          <w:lang w:eastAsia="zh-CN"/>
        </w:rPr>
        <w:t>区财政局常委会机关设置办事机构、工作机构</w:t>
      </w:r>
      <w:r>
        <w:rPr>
          <w:rFonts w:hint="eastAsia" w:ascii="仿宋" w:hAnsi="仿宋" w:eastAsia="仿宋"/>
          <w:bCs/>
          <w:kern w:val="0"/>
          <w:sz w:val="32"/>
          <w:szCs w:val="32"/>
          <w:highlight w:val="none"/>
          <w:lang w:val="en-US" w:eastAsia="zh-CN"/>
        </w:rPr>
        <w:t>15</w:t>
      </w:r>
      <w:r>
        <w:rPr>
          <w:rFonts w:hint="eastAsia" w:ascii="仿宋" w:hAnsi="仿宋" w:eastAsia="仿宋"/>
          <w:bCs/>
          <w:kern w:val="0"/>
          <w:sz w:val="32"/>
          <w:szCs w:val="32"/>
          <w:highlight w:val="none"/>
          <w:lang w:eastAsia="zh-CN"/>
        </w:rPr>
        <w:t>个，</w:t>
      </w:r>
      <w:r>
        <w:rPr>
          <w:rFonts w:hint="eastAsia" w:ascii="仿宋" w:hAnsi="仿宋" w:eastAsia="仿宋"/>
          <w:bCs/>
          <w:kern w:val="0"/>
          <w:sz w:val="32"/>
          <w:szCs w:val="32"/>
          <w:highlight w:val="none"/>
          <w:lang w:val="en-US" w:eastAsia="zh-CN"/>
        </w:rPr>
        <w:t>分别为办公室、预算股、国库股、综合股（津补贴办公室）、企业外经国资股、会计股、行政政法股、教科文股、经济建设股、社会保障股、监督评价股、镇街财政管理股、农业农村股、金融债务股及政府采购管理股。</w:t>
      </w:r>
    </w:p>
    <w:p w14:paraId="1956EBC8">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2.编制及实有人员</w:t>
      </w:r>
    </w:p>
    <w:p w14:paraId="1D868EC5">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仿宋" w:hAnsi="仿宋" w:eastAsia="仿宋" w:cs="仿宋"/>
          <w:sz w:val="32"/>
          <w:szCs w:val="32"/>
          <w:highlight w:val="none"/>
          <w:lang w:val="en-US" w:eastAsia="zh-CN"/>
        </w:rPr>
      </w:pPr>
      <w:r>
        <w:rPr>
          <w:rFonts w:hint="eastAsia" w:ascii="仿宋" w:hAnsi="仿宋" w:eastAsia="仿宋" w:cs="仿宋"/>
          <w:sz w:val="32"/>
          <w:szCs w:val="32"/>
          <w:lang w:val="en-US" w:eastAsia="zh-CN"/>
        </w:rPr>
        <w:t>截至2024年12月31日，区财政局退休</w:t>
      </w:r>
      <w:r>
        <w:rPr>
          <w:rFonts w:hint="eastAsia" w:ascii="仿宋" w:hAnsi="仿宋" w:eastAsia="仿宋" w:cs="仿宋"/>
          <w:sz w:val="32"/>
          <w:szCs w:val="32"/>
          <w:highlight w:val="none"/>
          <w:lang w:val="en-US" w:eastAsia="zh-CN"/>
        </w:rPr>
        <w:t>人员23人。临聘人员6人。</w:t>
      </w:r>
      <w:r>
        <w:rPr>
          <w:rFonts w:hint="eastAsia" w:ascii="仿宋" w:hAnsi="仿宋" w:eastAsia="仿宋" w:cs="仿宋"/>
          <w:sz w:val="32"/>
          <w:szCs w:val="32"/>
          <w:lang w:val="en-US" w:eastAsia="zh-CN"/>
        </w:rPr>
        <w:t>编制32个，在编在岗职工36人，</w:t>
      </w:r>
      <w:r>
        <w:rPr>
          <w:rFonts w:hint="eastAsia" w:ascii="仿宋" w:hAnsi="仿宋" w:eastAsia="仿宋" w:cs="仿宋"/>
          <w:sz w:val="32"/>
          <w:szCs w:val="32"/>
          <w:highlight w:val="none"/>
          <w:lang w:val="en-US" w:eastAsia="zh-CN"/>
        </w:rPr>
        <w:t>人员控制率112.50%。</w:t>
      </w:r>
    </w:p>
    <w:p w14:paraId="5F8F430B">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楷体" w:hAnsi="楷体" w:eastAsia="楷体" w:cs="楷体"/>
          <w:b/>
          <w:bCs/>
          <w:sz w:val="32"/>
          <w:szCs w:val="32"/>
          <w:lang w:val="en-US" w:eastAsia="zh-CN"/>
        </w:rPr>
      </w:pPr>
      <w:bookmarkStart w:id="27" w:name="_Toc25954"/>
      <w:r>
        <w:rPr>
          <w:rFonts w:hint="eastAsia" w:ascii="楷体" w:hAnsi="楷体" w:eastAsia="楷体" w:cs="楷体"/>
          <w:b/>
          <w:bCs/>
          <w:sz w:val="32"/>
          <w:szCs w:val="32"/>
          <w:lang w:val="en-US" w:eastAsia="zh-CN"/>
        </w:rPr>
        <w:t>部门2024年度职责履行及履职效益</w:t>
      </w:r>
      <w:bookmarkEnd w:id="27"/>
    </w:p>
    <w:p w14:paraId="57FEB868">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val="0"/>
          <w:bCs w:val="0"/>
          <w:snapToGrid w:val="0"/>
          <w:color w:val="auto"/>
          <w:kern w:val="0"/>
          <w:sz w:val="32"/>
          <w:szCs w:val="32"/>
          <w:lang w:val="en-US" w:eastAsia="zh-CN" w:bidi="ar-SA"/>
        </w:rPr>
      </w:pPr>
      <w:r>
        <w:rPr>
          <w:rFonts w:hint="eastAsia" w:ascii="仿宋" w:hAnsi="仿宋" w:eastAsia="仿宋" w:cs="仿宋"/>
          <w:b/>
          <w:bCs/>
          <w:i w:val="0"/>
          <w:iCs w:val="0"/>
          <w:caps w:val="0"/>
          <w:spacing w:val="0"/>
          <w:sz w:val="32"/>
          <w:szCs w:val="32"/>
          <w:shd w:val="clear" w:fill="FFFFFF"/>
          <w:lang w:val="en-US" w:eastAsia="zh-CN"/>
        </w:rPr>
        <w:t>1.</w:t>
      </w:r>
      <w:r>
        <w:rPr>
          <w:rFonts w:hint="eastAsia" w:ascii="仿宋" w:hAnsi="仿宋" w:eastAsia="仿宋" w:cs="仿宋"/>
          <w:b/>
          <w:bCs/>
          <w:i w:val="0"/>
          <w:iCs w:val="0"/>
          <w:caps w:val="0"/>
          <w:spacing w:val="0"/>
          <w:sz w:val="32"/>
          <w:szCs w:val="32"/>
          <w:shd w:val="clear" w:fill="FFFFFF"/>
          <w:lang w:eastAsia="zh-CN"/>
        </w:rPr>
        <w:t>紧盯预期抓增收，财政保障实力稳步增强。</w:t>
      </w:r>
      <w:r>
        <w:rPr>
          <w:rFonts w:hint="eastAsia" w:ascii="仿宋" w:hAnsi="仿宋" w:eastAsia="仿宋" w:cs="仿宋"/>
          <w:kern w:val="2"/>
          <w:sz w:val="32"/>
          <w:szCs w:val="32"/>
          <w:lang w:val="en-US" w:eastAsia="zh-CN" w:bidi="ar-SA"/>
        </w:rPr>
        <w:t>这一年，坚持把“做大蛋糕”作为基本功。</w:t>
      </w:r>
      <w:r>
        <w:rPr>
          <w:rFonts w:hint="eastAsia" w:ascii="仿宋" w:hAnsi="仿宋" w:eastAsia="仿宋" w:cs="仿宋"/>
          <w:b/>
          <w:bCs/>
          <w:snapToGrid w:val="0"/>
          <w:color w:val="auto"/>
          <w:kern w:val="0"/>
          <w:sz w:val="32"/>
          <w:szCs w:val="32"/>
          <w:lang w:val="en-US" w:eastAsia="zh-CN" w:bidi="ar-SA"/>
        </w:rPr>
        <w:t>一是多措并举抓收入。</w:t>
      </w:r>
      <w:r>
        <w:rPr>
          <w:rFonts w:hint="eastAsia" w:ascii="仿宋" w:hAnsi="仿宋" w:eastAsia="仿宋" w:cs="仿宋"/>
          <w:b w:val="0"/>
          <w:bCs w:val="0"/>
          <w:snapToGrid w:val="0"/>
          <w:color w:val="auto"/>
          <w:kern w:val="0"/>
          <w:sz w:val="32"/>
          <w:szCs w:val="32"/>
          <w:lang w:val="en-US" w:eastAsia="zh-CN" w:bidi="ar-SA"/>
        </w:rPr>
        <w:t>围绕区委、区政府的决策部署，</w:t>
      </w:r>
      <w:r>
        <w:rPr>
          <w:rFonts w:hint="eastAsia" w:ascii="仿宋" w:hAnsi="仿宋" w:eastAsia="仿宋" w:cs="仿宋"/>
          <w:kern w:val="2"/>
          <w:sz w:val="32"/>
          <w:szCs w:val="32"/>
          <w:lang w:val="en-US" w:eastAsia="zh-CN" w:bidi="ar-SA"/>
        </w:rPr>
        <w:t>强化对重点行业、重点税源的跟踪服务，出台“一企一策”工作方案，</w:t>
      </w:r>
      <w:r>
        <w:rPr>
          <w:rFonts w:hint="eastAsia" w:ascii="仿宋" w:hAnsi="仿宋" w:eastAsia="仿宋" w:cs="仿宋"/>
          <w:b w:val="0"/>
          <w:bCs w:val="0"/>
          <w:snapToGrid w:val="0"/>
          <w:color w:val="auto"/>
          <w:kern w:val="0"/>
          <w:sz w:val="32"/>
          <w:szCs w:val="32"/>
          <w:lang w:val="en-US" w:eastAsia="zh-CN" w:bidi="ar-SA"/>
        </w:rPr>
        <w:t>2024年</w:t>
      </w:r>
      <w:r>
        <w:rPr>
          <w:rFonts w:hint="eastAsia" w:ascii="仿宋" w:hAnsi="仿宋" w:eastAsia="仿宋" w:cs="仿宋"/>
          <w:b w:val="0"/>
          <w:bCs w:val="0"/>
          <w:sz w:val="32"/>
          <w:szCs w:val="32"/>
          <w:lang w:val="en-US" w:eastAsia="zh-CN"/>
        </w:rPr>
        <w:t>区地方一般公共预算收入累计完成7.66亿元，</w:t>
      </w:r>
      <w:r>
        <w:rPr>
          <w:rFonts w:hint="eastAsia" w:ascii="仿宋" w:hAnsi="仿宋" w:eastAsia="仿宋" w:cs="仿宋"/>
          <w:sz w:val="32"/>
          <w:szCs w:val="32"/>
          <w:lang w:val="en-US" w:eastAsia="zh-CN"/>
        </w:rPr>
        <w:t>其中：</w:t>
      </w:r>
      <w:r>
        <w:rPr>
          <w:rFonts w:hint="eastAsia" w:ascii="仿宋" w:hAnsi="仿宋" w:eastAsia="仿宋" w:cs="仿宋"/>
          <w:b w:val="0"/>
          <w:bCs w:val="0"/>
          <w:snapToGrid w:val="0"/>
          <w:color w:val="auto"/>
          <w:kern w:val="0"/>
          <w:sz w:val="32"/>
          <w:szCs w:val="32"/>
          <w:lang w:val="en-US" w:eastAsia="zh-CN" w:bidi="ar-SA"/>
        </w:rPr>
        <w:t>市区两级税收累计完成7亿元，税占比91.37%，排名五城区第一</w:t>
      </w:r>
      <w:r>
        <w:rPr>
          <w:rFonts w:hint="eastAsia" w:ascii="仿宋" w:hAnsi="仿宋" w:eastAsia="仿宋" w:cs="仿宋"/>
          <w:b w:val="0"/>
          <w:bCs w:val="0"/>
          <w:color w:val="auto"/>
          <w:kern w:val="0"/>
          <w:sz w:val="32"/>
          <w:szCs w:val="32"/>
          <w:lang w:val="en-US" w:eastAsia="zh-CN" w:bidi="ar"/>
        </w:rPr>
        <w:t>。</w:t>
      </w:r>
      <w:r>
        <w:rPr>
          <w:rFonts w:hint="eastAsia" w:ascii="仿宋" w:hAnsi="仿宋" w:eastAsia="仿宋" w:cs="仿宋"/>
          <w:b/>
          <w:bCs/>
          <w:color w:val="auto"/>
          <w:kern w:val="0"/>
          <w:sz w:val="32"/>
          <w:szCs w:val="32"/>
          <w:lang w:val="en-US" w:eastAsia="zh-CN" w:bidi="ar"/>
        </w:rPr>
        <w:t>二是多策并用争资金。</w:t>
      </w:r>
      <w:r>
        <w:rPr>
          <w:rFonts w:hint="eastAsia" w:ascii="仿宋" w:hAnsi="仿宋" w:eastAsia="仿宋" w:cs="仿宋"/>
          <w:b w:val="0"/>
          <w:bCs w:val="0"/>
          <w:snapToGrid w:val="0"/>
          <w:color w:val="auto"/>
          <w:spacing w:val="4"/>
          <w:kern w:val="0"/>
          <w:position w:val="1"/>
          <w:sz w:val="32"/>
          <w:szCs w:val="32"/>
          <w:highlight w:val="none"/>
          <w:lang w:val="en-US" w:eastAsia="zh-CN" w:bidi="ar-SA"/>
        </w:rPr>
        <w:t>今年争取财力性转移支付到位2.92亿元，超年初预算0.69亿元；主动跟进省厅兑现化债激励政策，顶格争取省级新增一般债券限额奖励1.6亿元。</w:t>
      </w:r>
      <w:r>
        <w:rPr>
          <w:rFonts w:hint="eastAsia" w:ascii="仿宋" w:hAnsi="仿宋" w:eastAsia="仿宋" w:cs="仿宋"/>
          <w:b/>
          <w:bCs/>
          <w:snapToGrid w:val="0"/>
          <w:color w:val="auto"/>
          <w:spacing w:val="4"/>
          <w:kern w:val="0"/>
          <w:position w:val="1"/>
          <w:sz w:val="32"/>
          <w:szCs w:val="32"/>
          <w:highlight w:val="none"/>
          <w:lang w:val="en-US" w:eastAsia="zh-CN" w:bidi="ar-SA"/>
        </w:rPr>
        <w:t>三是全力以赴保考核。</w:t>
      </w:r>
      <w:r>
        <w:rPr>
          <w:rFonts w:hint="eastAsia" w:ascii="仿宋" w:hAnsi="仿宋" w:eastAsia="仿宋" w:cs="仿宋"/>
          <w:b w:val="0"/>
          <w:bCs w:val="0"/>
          <w:snapToGrid w:val="0"/>
          <w:color w:val="auto"/>
          <w:kern w:val="0"/>
          <w:sz w:val="32"/>
          <w:szCs w:val="32"/>
          <w:lang w:val="en-US" w:eastAsia="zh-CN" w:bidi="ar-SA"/>
        </w:rPr>
        <w:t>2024年8月成功实现县级财政运行红色风险摘帽；</w:t>
      </w:r>
      <w:r>
        <w:rPr>
          <w:rFonts w:hint="eastAsia" w:ascii="仿宋" w:hAnsi="仿宋" w:eastAsia="仿宋" w:cs="仿宋"/>
          <w:sz w:val="32"/>
          <w:szCs w:val="32"/>
          <w:lang w:val="en-US" w:eastAsia="zh-CN"/>
        </w:rPr>
        <w:t>持续做好防范化解地方债务风险工作，债务风险等级连续6年保持在“绿色、相对安全”范围；</w:t>
      </w:r>
      <w:r>
        <w:rPr>
          <w:rFonts w:hint="eastAsia" w:ascii="仿宋" w:hAnsi="仿宋" w:eastAsia="仿宋" w:cs="仿宋"/>
          <w:b w:val="0"/>
          <w:bCs w:val="0"/>
          <w:snapToGrid w:val="0"/>
          <w:color w:val="auto"/>
          <w:spacing w:val="4"/>
          <w:kern w:val="0"/>
          <w:position w:val="1"/>
          <w:sz w:val="32"/>
          <w:szCs w:val="32"/>
          <w:highlight w:val="none"/>
          <w:lang w:val="en-US" w:eastAsia="zh-CN" w:bidi="ar-SA"/>
        </w:rPr>
        <w:t>荣获预算绩效管理工作先进单位等省级荣誉6个</w:t>
      </w:r>
      <w:r>
        <w:rPr>
          <w:rFonts w:hint="eastAsia" w:ascii="仿宋" w:hAnsi="仿宋" w:eastAsia="仿宋" w:cs="仿宋"/>
          <w:b w:val="0"/>
          <w:bCs w:val="0"/>
          <w:snapToGrid w:val="0"/>
          <w:color w:val="auto"/>
          <w:kern w:val="0"/>
          <w:sz w:val="32"/>
          <w:szCs w:val="32"/>
          <w:lang w:val="en-US" w:eastAsia="zh-CN" w:bidi="ar-SA"/>
        </w:rPr>
        <w:t>。</w:t>
      </w:r>
    </w:p>
    <w:p w14:paraId="061D27BC">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仿宋"/>
          <w:b w:val="0"/>
          <w:bCs w:val="0"/>
          <w:sz w:val="32"/>
          <w:szCs w:val="32"/>
        </w:rPr>
      </w:pPr>
      <w:r>
        <w:rPr>
          <w:rFonts w:hint="eastAsia" w:ascii="仿宋" w:hAnsi="仿宋" w:eastAsia="仿宋" w:cs="仿宋"/>
          <w:b/>
          <w:bCs/>
          <w:i w:val="0"/>
          <w:iCs w:val="0"/>
          <w:caps w:val="0"/>
          <w:spacing w:val="0"/>
          <w:sz w:val="32"/>
          <w:szCs w:val="32"/>
          <w:shd w:val="clear" w:fill="FFFFFF"/>
          <w:lang w:val="en-US" w:eastAsia="zh-CN"/>
        </w:rPr>
        <w:t>2.</w:t>
      </w:r>
      <w:r>
        <w:rPr>
          <w:rFonts w:hint="eastAsia" w:ascii="仿宋" w:hAnsi="仿宋" w:eastAsia="仿宋" w:cs="仿宋"/>
          <w:b/>
          <w:bCs/>
          <w:i w:val="0"/>
          <w:iCs w:val="0"/>
          <w:caps w:val="0"/>
          <w:spacing w:val="0"/>
          <w:sz w:val="32"/>
          <w:szCs w:val="32"/>
          <w:shd w:val="clear" w:fill="FFFFFF"/>
          <w:lang w:eastAsia="zh-CN"/>
        </w:rPr>
        <w:t>优化结构强支出，</w:t>
      </w:r>
      <w:r>
        <w:rPr>
          <w:rFonts w:hint="eastAsia" w:ascii="仿宋" w:hAnsi="仿宋" w:eastAsia="仿宋" w:cs="仿宋"/>
          <w:b/>
          <w:bCs/>
          <w:i w:val="0"/>
          <w:iCs w:val="0"/>
          <w:caps w:val="0"/>
          <w:spacing w:val="0"/>
          <w:sz w:val="32"/>
          <w:szCs w:val="32"/>
          <w:shd w:val="clear" w:fill="FFFFFF"/>
        </w:rPr>
        <w:t>重点领域</w:t>
      </w:r>
      <w:r>
        <w:rPr>
          <w:rFonts w:hint="eastAsia" w:ascii="仿宋" w:hAnsi="仿宋" w:eastAsia="仿宋" w:cs="仿宋"/>
          <w:b/>
          <w:bCs/>
          <w:i w:val="0"/>
          <w:iCs w:val="0"/>
          <w:caps w:val="0"/>
          <w:spacing w:val="0"/>
          <w:sz w:val="32"/>
          <w:szCs w:val="32"/>
          <w:shd w:val="clear" w:fill="FFFFFF"/>
          <w:lang w:eastAsia="zh-CN"/>
        </w:rPr>
        <w:t>保障坚实有力。</w:t>
      </w:r>
      <w:r>
        <w:rPr>
          <w:rFonts w:hint="eastAsia" w:ascii="仿宋" w:hAnsi="仿宋" w:eastAsia="仿宋" w:cs="仿宋"/>
          <w:kern w:val="2"/>
          <w:sz w:val="32"/>
          <w:szCs w:val="32"/>
          <w:lang w:val="en-US" w:eastAsia="zh-CN" w:bidi="ar-SA"/>
        </w:rPr>
        <w:t>这一年，坚决落实区委高质量发展部署要求，财政资金政策向全区高质量发展聚焦用力，确保把“真金白银”用在了刀刃上、紧要处。</w:t>
      </w:r>
      <w:r>
        <w:rPr>
          <w:rFonts w:hint="eastAsia" w:ascii="仿宋" w:hAnsi="仿宋" w:eastAsia="仿宋" w:cs="仿宋"/>
          <w:b/>
          <w:bCs/>
          <w:kern w:val="2"/>
          <w:sz w:val="32"/>
          <w:szCs w:val="32"/>
          <w:lang w:val="en-US" w:eastAsia="zh-CN" w:bidi="ar-SA"/>
        </w:rPr>
        <w:t>一是兜牢“三保”底线。</w:t>
      </w:r>
      <w:r>
        <w:rPr>
          <w:rFonts w:hint="eastAsia" w:ascii="仿宋" w:hAnsi="仿宋" w:eastAsia="仿宋" w:cs="仿宋"/>
          <w:kern w:val="2"/>
          <w:sz w:val="32"/>
          <w:szCs w:val="32"/>
          <w:lang w:val="en-US" w:eastAsia="zh-CN" w:bidi="ar-SA"/>
        </w:rPr>
        <w:t>统筹财政资源，加强库款调度，</w:t>
      </w:r>
      <w:r>
        <w:rPr>
          <w:rFonts w:hint="eastAsia" w:ascii="仿宋" w:hAnsi="仿宋" w:eastAsia="仿宋" w:cs="仿宋"/>
          <w:b w:val="0"/>
          <w:bCs w:val="0"/>
          <w:snapToGrid w:val="0"/>
          <w:color w:val="auto"/>
          <w:kern w:val="0"/>
          <w:sz w:val="32"/>
          <w:szCs w:val="32"/>
          <w:lang w:val="en-US" w:eastAsia="zh-CN" w:bidi="ar-SA"/>
        </w:rPr>
        <w:t>2024年累计区级一般公共预算支出12.39亿元，增长5.15%，其中“三保”支出占比83.44%（剔除一次性支出）。</w:t>
      </w:r>
      <w:r>
        <w:rPr>
          <w:rFonts w:hint="eastAsia" w:ascii="仿宋" w:hAnsi="仿宋" w:eastAsia="仿宋" w:cs="仿宋"/>
          <w:b/>
          <w:bCs/>
          <w:snapToGrid w:val="0"/>
          <w:color w:val="auto"/>
          <w:kern w:val="0"/>
          <w:sz w:val="32"/>
          <w:szCs w:val="32"/>
          <w:lang w:val="en-US" w:eastAsia="zh-CN" w:bidi="ar-SA"/>
        </w:rPr>
        <w:t>二是惠农资金落地</w:t>
      </w:r>
      <w:r>
        <w:rPr>
          <w:rFonts w:hint="eastAsia" w:ascii="仿宋" w:hAnsi="仿宋" w:eastAsia="仿宋" w:cs="仿宋"/>
          <w:b/>
          <w:bCs/>
          <w:kern w:val="2"/>
          <w:sz w:val="32"/>
          <w:szCs w:val="32"/>
          <w:lang w:val="en-US" w:eastAsia="zh-CN" w:bidi="ar-SA"/>
        </w:rPr>
        <w:t>。</w:t>
      </w:r>
      <w:r>
        <w:rPr>
          <w:rFonts w:hint="eastAsia" w:ascii="仿宋" w:hAnsi="仿宋" w:eastAsia="仿宋" w:cs="仿宋"/>
          <w:kern w:val="2"/>
          <w:sz w:val="32"/>
          <w:szCs w:val="32"/>
          <w:lang w:val="en-US" w:eastAsia="zh-CN" w:bidi="ar-SA"/>
        </w:rPr>
        <w:t>2024年区惠农补贴资金发放项目65项，涉及116813人，共发放财政补贴资金7512.76万元；落实财政乡村衔接资金2112.28万元，有力巩固了拓展脱贫攻坚成果同乡村振兴有效衔接。</w:t>
      </w:r>
      <w:r>
        <w:rPr>
          <w:rFonts w:hint="eastAsia" w:ascii="仿宋" w:hAnsi="仿宋" w:eastAsia="仿宋" w:cs="仿宋"/>
          <w:b/>
          <w:bCs/>
          <w:kern w:val="2"/>
          <w:sz w:val="32"/>
          <w:szCs w:val="32"/>
          <w:lang w:val="en-US" w:eastAsia="zh-CN" w:bidi="ar-SA"/>
        </w:rPr>
        <w:t>三是助力旅发大会。</w:t>
      </w:r>
      <w:r>
        <w:rPr>
          <w:rFonts w:hint="eastAsia" w:ascii="仿宋" w:hAnsi="仿宋" w:eastAsia="仿宋" w:cs="仿宋"/>
          <w:kern w:val="2"/>
          <w:sz w:val="32"/>
          <w:szCs w:val="32"/>
          <w:lang w:val="en-US" w:eastAsia="zh-CN" w:bidi="ar-SA"/>
        </w:rPr>
        <w:t>全力筹措资金，</w:t>
      </w:r>
      <w:r>
        <w:rPr>
          <w:rFonts w:hint="eastAsia" w:ascii="仿宋" w:hAnsi="仿宋" w:eastAsia="仿宋" w:cs="仿宋"/>
          <w:snapToGrid w:val="0"/>
          <w:color w:val="000000"/>
          <w:spacing w:val="2"/>
          <w:kern w:val="0"/>
          <w:sz w:val="32"/>
          <w:szCs w:val="32"/>
          <w:lang w:val="en-US" w:eastAsia="zh-CN" w:bidi="ar-SA"/>
        </w:rPr>
        <w:t>拨付南岳第一峰项目资金1.38亿元。</w:t>
      </w:r>
    </w:p>
    <w:p w14:paraId="5DA72767">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val="0"/>
          <w:bCs w:val="0"/>
          <w:sz w:val="32"/>
          <w:szCs w:val="32"/>
          <w:lang w:eastAsia="zh-CN"/>
        </w:rPr>
      </w:pPr>
      <w:r>
        <w:rPr>
          <w:rFonts w:hint="eastAsia" w:ascii="仿宋" w:hAnsi="仿宋" w:eastAsia="仿宋" w:cs="仿宋"/>
          <w:b/>
          <w:bCs/>
          <w:i w:val="0"/>
          <w:iCs w:val="0"/>
          <w:caps w:val="0"/>
          <w:spacing w:val="0"/>
          <w:sz w:val="32"/>
          <w:szCs w:val="32"/>
          <w:shd w:val="clear" w:fill="FFFFFF"/>
          <w:lang w:val="en-US" w:eastAsia="zh-CN"/>
        </w:rPr>
        <w:t>3.</w:t>
      </w:r>
      <w:r>
        <w:rPr>
          <w:rFonts w:hint="eastAsia" w:ascii="仿宋" w:hAnsi="仿宋" w:eastAsia="仿宋" w:cs="仿宋"/>
          <w:b/>
          <w:bCs/>
          <w:i w:val="0"/>
          <w:iCs w:val="0"/>
          <w:caps w:val="0"/>
          <w:spacing w:val="0"/>
          <w:sz w:val="32"/>
          <w:szCs w:val="32"/>
          <w:shd w:val="clear" w:fill="FFFFFF"/>
          <w:lang w:eastAsia="zh-CN"/>
        </w:rPr>
        <w:t>坚定不移抓改革，财政管理水平持续提高。</w:t>
      </w:r>
      <w:r>
        <w:rPr>
          <w:rFonts w:hint="eastAsia" w:ascii="仿宋" w:hAnsi="仿宋" w:eastAsia="仿宋" w:cs="仿宋"/>
          <w:b w:val="0"/>
          <w:bCs w:val="0"/>
          <w:kern w:val="0"/>
          <w:sz w:val="32"/>
          <w:szCs w:val="32"/>
          <w:lang w:val="en-US" w:eastAsia="zh-CN" w:bidi="ar"/>
        </w:rPr>
        <w:t>这一年，勇立潮头，锐意创新，把深化财政体制改革作为推动财政工作的第一动力。</w:t>
      </w:r>
      <w:r>
        <w:rPr>
          <w:rFonts w:hint="eastAsia" w:ascii="仿宋" w:hAnsi="仿宋" w:eastAsia="仿宋" w:cs="仿宋"/>
          <w:b/>
          <w:bCs/>
          <w:i w:val="0"/>
          <w:iCs w:val="0"/>
          <w:caps w:val="0"/>
          <w:spacing w:val="0"/>
          <w:sz w:val="32"/>
          <w:szCs w:val="32"/>
          <w:shd w:val="clear" w:fill="FFFFFF"/>
          <w:lang w:eastAsia="zh-CN"/>
        </w:rPr>
        <w:t>一是</w:t>
      </w:r>
      <w:r>
        <w:rPr>
          <w:rFonts w:hint="eastAsia" w:ascii="仿宋" w:hAnsi="仿宋" w:eastAsia="仿宋" w:cs="仿宋"/>
          <w:b/>
          <w:bCs/>
          <w:sz w:val="32"/>
          <w:szCs w:val="32"/>
          <w:lang w:val="en-US" w:eastAsia="zh-CN"/>
        </w:rPr>
        <w:t>深化财税体制改革，</w:t>
      </w:r>
      <w:r>
        <w:rPr>
          <w:rFonts w:hint="eastAsia" w:ascii="仿宋" w:hAnsi="仿宋" w:eastAsia="仿宋" w:cs="仿宋"/>
          <w:b w:val="0"/>
          <w:bCs w:val="0"/>
          <w:sz w:val="32"/>
          <w:szCs w:val="32"/>
          <w:lang w:val="en-US" w:eastAsia="zh-CN"/>
        </w:rPr>
        <w:t>根据省市文件精神，结合我区实情，明确“以零为基”“以事定钱”“以效促用”的原则，打破基数观念和支出固化格局，一切资金安排从实际需要出发，确保有限的资金用在紧要处。</w:t>
      </w:r>
      <w:r>
        <w:rPr>
          <w:rFonts w:hint="eastAsia" w:ascii="仿宋" w:hAnsi="仿宋" w:eastAsia="仿宋" w:cs="仿宋"/>
          <w:b/>
          <w:bCs/>
          <w:sz w:val="32"/>
          <w:szCs w:val="32"/>
          <w:lang w:val="en-US" w:eastAsia="zh-CN"/>
        </w:rPr>
        <w:t>二是加强绩效管理应用。</w:t>
      </w:r>
      <w:r>
        <w:rPr>
          <w:rFonts w:hint="eastAsia" w:ascii="仿宋" w:hAnsi="仿宋" w:eastAsia="仿宋" w:cs="仿宋"/>
          <w:b w:val="0"/>
          <w:bCs w:val="0"/>
          <w:i w:val="0"/>
          <w:iCs w:val="0"/>
          <w:caps w:val="0"/>
          <w:color w:val="222222"/>
          <w:spacing w:val="0"/>
          <w:sz w:val="32"/>
          <w:szCs w:val="32"/>
          <w:shd w:val="clear" w:fill="FFFFFF"/>
        </w:rPr>
        <w:t>建立全过程预算绩效管理体系，强化绩效评价结果应用，将评价结果与预算安排挂钩，</w:t>
      </w:r>
      <w:r>
        <w:rPr>
          <w:rFonts w:hint="eastAsia" w:ascii="仿宋" w:hAnsi="仿宋" w:eastAsia="仿宋" w:cs="仿宋"/>
          <w:b w:val="0"/>
          <w:bCs w:val="0"/>
          <w:i w:val="0"/>
          <w:iCs w:val="0"/>
          <w:caps w:val="0"/>
          <w:color w:val="222222"/>
          <w:spacing w:val="0"/>
          <w:sz w:val="32"/>
          <w:szCs w:val="32"/>
          <w:shd w:val="clear" w:fill="FFFFFF"/>
          <w:lang w:eastAsia="zh-CN"/>
        </w:rPr>
        <w:t>根据评价等级实行不同级别的预算保障</w:t>
      </w:r>
      <w:r>
        <w:rPr>
          <w:rFonts w:hint="eastAsia" w:ascii="仿宋" w:hAnsi="仿宋" w:eastAsia="仿宋" w:cs="仿宋"/>
          <w:b w:val="0"/>
          <w:bCs w:val="0"/>
          <w:i w:val="0"/>
          <w:iCs w:val="0"/>
          <w:caps w:val="0"/>
          <w:color w:val="222222"/>
          <w:spacing w:val="0"/>
          <w:sz w:val="32"/>
          <w:szCs w:val="32"/>
          <w:shd w:val="clear" w:fill="FFFFFF"/>
        </w:rPr>
        <w:t>，有效</w:t>
      </w:r>
      <w:r>
        <w:rPr>
          <w:rFonts w:hint="eastAsia" w:ascii="仿宋" w:hAnsi="仿宋" w:eastAsia="仿宋" w:cs="仿宋"/>
          <w:b w:val="0"/>
          <w:bCs w:val="0"/>
          <w:i w:val="0"/>
          <w:iCs w:val="0"/>
          <w:caps w:val="0"/>
          <w:color w:val="222222"/>
          <w:spacing w:val="0"/>
          <w:sz w:val="32"/>
          <w:szCs w:val="32"/>
          <w:shd w:val="clear" w:fill="FFFFFF"/>
          <w:lang w:eastAsia="zh-CN"/>
        </w:rPr>
        <w:t>提高</w:t>
      </w:r>
      <w:r>
        <w:rPr>
          <w:rFonts w:hint="eastAsia" w:ascii="仿宋" w:hAnsi="仿宋" w:eastAsia="仿宋" w:cs="仿宋"/>
          <w:b w:val="0"/>
          <w:bCs w:val="0"/>
          <w:i w:val="0"/>
          <w:iCs w:val="0"/>
          <w:caps w:val="0"/>
          <w:color w:val="222222"/>
          <w:spacing w:val="0"/>
          <w:sz w:val="32"/>
          <w:szCs w:val="32"/>
          <w:shd w:val="clear" w:fill="FFFFFF"/>
        </w:rPr>
        <w:t>财政资金的使用效益。</w:t>
      </w:r>
      <w:r>
        <w:rPr>
          <w:rFonts w:hint="eastAsia" w:ascii="仿宋" w:hAnsi="仿宋" w:eastAsia="仿宋" w:cs="仿宋"/>
          <w:b/>
          <w:bCs/>
          <w:i w:val="0"/>
          <w:iCs w:val="0"/>
          <w:caps w:val="0"/>
          <w:color w:val="222222"/>
          <w:spacing w:val="0"/>
          <w:sz w:val="32"/>
          <w:szCs w:val="32"/>
          <w:shd w:val="clear" w:fill="FFFFFF"/>
          <w:lang w:eastAsia="zh-CN"/>
        </w:rPr>
        <w:t>三是优化财政评审管理。</w:t>
      </w:r>
      <w:r>
        <w:rPr>
          <w:rFonts w:hint="eastAsia" w:ascii="仿宋" w:hAnsi="仿宋" w:eastAsia="仿宋" w:cs="仿宋"/>
          <w:b w:val="0"/>
          <w:bCs w:val="0"/>
          <w:sz w:val="32"/>
          <w:szCs w:val="32"/>
          <w:lang w:eastAsia="zh-CN"/>
        </w:rPr>
        <w:t>今年共完成项目评审123个，核减金额7525.06万元，核减率13.34%</w:t>
      </w:r>
      <w:r>
        <w:rPr>
          <w:rFonts w:hint="eastAsia" w:ascii="仿宋" w:hAnsi="仿宋" w:eastAsia="仿宋" w:cs="仿宋"/>
          <w:b w:val="0"/>
          <w:bCs w:val="0"/>
          <w:sz w:val="32"/>
          <w:szCs w:val="32"/>
          <w:lang w:val="en-US" w:eastAsia="zh-CN"/>
        </w:rPr>
        <w:t>；同时结合市局新出台的评审管理办法，提请区政府审议并通过《雁峰区财政投资评审管理办法》《雁峰区政府投资建设项目工程变更管理办法》，从体制机制上再次规范财政评审行为</w:t>
      </w:r>
      <w:r>
        <w:rPr>
          <w:rFonts w:hint="eastAsia" w:ascii="仿宋" w:hAnsi="仿宋" w:eastAsia="仿宋" w:cs="仿宋"/>
          <w:b w:val="0"/>
          <w:bCs w:val="0"/>
          <w:sz w:val="32"/>
          <w:szCs w:val="32"/>
          <w:lang w:eastAsia="zh-CN"/>
        </w:rPr>
        <w:t>。</w:t>
      </w:r>
    </w:p>
    <w:p w14:paraId="7F4E2644">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sz w:val="32"/>
          <w:szCs w:val="32"/>
          <w:lang w:eastAsia="zh-CN"/>
        </w:rPr>
      </w:pPr>
      <w:r>
        <w:rPr>
          <w:rFonts w:hint="eastAsia" w:ascii="仿宋" w:hAnsi="仿宋" w:eastAsia="仿宋" w:cs="仿宋"/>
          <w:b/>
          <w:bCs/>
          <w:i w:val="0"/>
          <w:iCs w:val="0"/>
          <w:caps w:val="0"/>
          <w:spacing w:val="0"/>
          <w:sz w:val="32"/>
          <w:szCs w:val="32"/>
          <w:shd w:val="clear" w:fill="FFFFFF"/>
          <w:lang w:val="en-US" w:eastAsia="zh-CN"/>
        </w:rPr>
        <w:t>4.</w:t>
      </w:r>
      <w:r>
        <w:rPr>
          <w:rFonts w:hint="eastAsia" w:ascii="仿宋" w:hAnsi="仿宋" w:eastAsia="仿宋" w:cs="仿宋"/>
          <w:b/>
          <w:bCs/>
          <w:i w:val="0"/>
          <w:iCs w:val="0"/>
          <w:caps w:val="0"/>
          <w:spacing w:val="0"/>
          <w:sz w:val="32"/>
          <w:szCs w:val="32"/>
          <w:shd w:val="clear" w:fill="FFFFFF"/>
          <w:lang w:eastAsia="zh-CN"/>
        </w:rPr>
        <w:t>精准施策筑防线，</w:t>
      </w:r>
      <w:r>
        <w:rPr>
          <w:rFonts w:hint="eastAsia" w:ascii="仿宋" w:hAnsi="仿宋" w:eastAsia="仿宋" w:cs="仿宋"/>
          <w:b/>
          <w:bCs/>
          <w:i w:val="0"/>
          <w:iCs w:val="0"/>
          <w:caps w:val="0"/>
          <w:spacing w:val="0"/>
          <w:sz w:val="32"/>
          <w:szCs w:val="32"/>
          <w:shd w:val="clear" w:fill="FFFFFF"/>
        </w:rPr>
        <w:t>财政运行</w:t>
      </w:r>
      <w:r>
        <w:rPr>
          <w:rFonts w:hint="eastAsia" w:ascii="仿宋" w:hAnsi="仿宋" w:eastAsia="仿宋" w:cs="仿宋"/>
          <w:b/>
          <w:bCs/>
          <w:i w:val="0"/>
          <w:iCs w:val="0"/>
          <w:caps w:val="0"/>
          <w:spacing w:val="0"/>
          <w:sz w:val="32"/>
          <w:szCs w:val="32"/>
          <w:shd w:val="clear" w:fill="FFFFFF"/>
          <w:lang w:eastAsia="zh-CN"/>
        </w:rPr>
        <w:t>风险有效防范。</w:t>
      </w:r>
      <w:r>
        <w:rPr>
          <w:rFonts w:hint="eastAsia" w:ascii="仿宋" w:hAnsi="仿宋" w:eastAsia="仿宋" w:cs="仿宋"/>
          <w:kern w:val="2"/>
          <w:sz w:val="32"/>
          <w:szCs w:val="32"/>
          <w:lang w:val="en-US" w:eastAsia="zh-CN" w:bidi="ar-SA"/>
        </w:rPr>
        <w:t>这一年，牢固树立底线思维和忧患意识，坚持统筹发展和安全，加大财政领域风险防控力度，财政可持续性显著增强。</w:t>
      </w:r>
      <w:r>
        <w:rPr>
          <w:rFonts w:hint="eastAsia" w:ascii="仿宋" w:hAnsi="仿宋" w:eastAsia="仿宋" w:cs="仿宋"/>
          <w:b/>
          <w:bCs/>
          <w:kern w:val="2"/>
          <w:sz w:val="32"/>
          <w:szCs w:val="32"/>
          <w:lang w:val="en-US" w:eastAsia="zh-CN" w:bidi="ar-SA"/>
        </w:rPr>
        <w:t>一是严格财经纪律底线。</w:t>
      </w:r>
      <w:r>
        <w:rPr>
          <w:rFonts w:hint="eastAsia" w:ascii="仿宋" w:hAnsi="仿宋" w:eastAsia="仿宋" w:cs="仿宋"/>
          <w:kern w:val="2"/>
          <w:sz w:val="32"/>
          <w:szCs w:val="32"/>
          <w:lang w:val="en-US" w:eastAsia="zh-CN" w:bidi="ar-SA"/>
        </w:rPr>
        <w:t>牢固树立“过紧日子”思想，多次召开专题调度会，出台《</w:t>
      </w:r>
      <w:r>
        <w:rPr>
          <w:rFonts w:hint="eastAsia" w:ascii="仿宋" w:hAnsi="仿宋" w:eastAsia="仿宋" w:cs="仿宋"/>
          <w:color w:val="auto"/>
          <w:sz w:val="32"/>
          <w:szCs w:val="32"/>
          <w:lang w:bidi="en-US"/>
        </w:rPr>
        <w:t>雁峰区严肃财经纪律专项整治工作方案》，</w:t>
      </w:r>
      <w:r>
        <w:rPr>
          <w:rFonts w:hint="eastAsia" w:ascii="仿宋" w:hAnsi="仿宋" w:eastAsia="仿宋" w:cs="仿宋"/>
          <w:sz w:val="32"/>
          <w:szCs w:val="32"/>
          <w:lang w:eastAsia="zh-CN"/>
        </w:rPr>
        <w:t>成立专项工作领导小组，</w:t>
      </w:r>
      <w:r>
        <w:rPr>
          <w:rFonts w:hint="eastAsia" w:ascii="仿宋" w:hAnsi="仿宋" w:eastAsia="仿宋" w:cs="仿宋"/>
          <w:color w:val="auto"/>
          <w:sz w:val="32"/>
          <w:szCs w:val="32"/>
          <w:lang w:bidi="en-US"/>
        </w:rPr>
        <w:t>组织开展全区财会监督专项行动，推动实现重点领域资金使用合规高效</w:t>
      </w:r>
      <w:r>
        <w:rPr>
          <w:rFonts w:hint="eastAsia" w:ascii="仿宋" w:hAnsi="仿宋" w:eastAsia="仿宋" w:cs="仿宋"/>
          <w:color w:val="auto"/>
          <w:sz w:val="32"/>
          <w:szCs w:val="32"/>
          <w:lang w:eastAsia="zh-CN" w:bidi="en-US"/>
        </w:rPr>
        <w:t>；</w:t>
      </w:r>
      <w:r>
        <w:rPr>
          <w:rFonts w:hint="eastAsia" w:ascii="仿宋" w:hAnsi="仿宋" w:eastAsia="仿宋" w:cs="仿宋"/>
          <w:b/>
          <w:bCs/>
          <w:color w:val="auto"/>
          <w:sz w:val="32"/>
          <w:szCs w:val="32"/>
          <w:lang w:eastAsia="zh-CN" w:bidi="en-US"/>
        </w:rPr>
        <w:t>二是推动平台公司转型。</w:t>
      </w:r>
      <w:r>
        <w:rPr>
          <w:rFonts w:hint="eastAsia" w:ascii="仿宋" w:hAnsi="仿宋" w:eastAsia="仿宋" w:cs="仿宋"/>
          <w:sz w:val="32"/>
          <w:szCs w:val="32"/>
          <w:lang w:eastAsia="zh-CN"/>
        </w:rPr>
        <w:t>主动衔接上级部门学习转型经验，督促平台公司夯实转型手续，力争提前至2024年推进融资平台公司“双压降”工作</w:t>
      </w:r>
      <w:r>
        <w:rPr>
          <w:rFonts w:hint="eastAsia" w:ascii="仿宋" w:hAnsi="仿宋" w:eastAsia="仿宋" w:cs="仿宋"/>
          <w:sz w:val="32"/>
          <w:szCs w:val="32"/>
        </w:rPr>
        <w:t>。</w:t>
      </w:r>
      <w:r>
        <w:rPr>
          <w:rFonts w:hint="eastAsia" w:ascii="仿宋" w:hAnsi="仿宋" w:eastAsia="仿宋" w:cs="仿宋"/>
          <w:b/>
          <w:bCs/>
          <w:sz w:val="32"/>
          <w:szCs w:val="32"/>
          <w:lang w:eastAsia="zh-CN"/>
        </w:rPr>
        <w:t>三是守好财评监管底线。</w:t>
      </w:r>
      <w:r>
        <w:rPr>
          <w:rFonts w:hint="eastAsia" w:ascii="仿宋" w:hAnsi="仿宋" w:eastAsia="仿宋" w:cs="仿宋"/>
          <w:snapToGrid w:val="0"/>
          <w:color w:val="000000"/>
          <w:spacing w:val="2"/>
          <w:kern w:val="0"/>
          <w:sz w:val="32"/>
          <w:szCs w:val="32"/>
          <w:lang w:val="en-US" w:eastAsia="zh-CN" w:bidi="ar-SA"/>
        </w:rPr>
        <w:t>靠前服务重点项目，推动项目前期工作与评审有效衔接，同时全力做好评审指导，确保项目尽快完成结算扫尾工作，在守好财评监管底线的同时，提高评审效率和质量。</w:t>
      </w:r>
    </w:p>
    <w:p w14:paraId="54591DE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取得的效益如下：</w:t>
      </w:r>
      <w:r>
        <w:rPr>
          <w:rFonts w:hint="eastAsia" w:ascii="仿宋" w:hAnsi="仿宋" w:eastAsia="仿宋" w:cs="仿宋"/>
          <w:b/>
          <w:bCs/>
          <w:sz w:val="32"/>
          <w:szCs w:val="32"/>
          <w:lang w:val="en-US" w:eastAsia="zh-CN"/>
        </w:rPr>
        <w:t>财政收入稳步增长，</w:t>
      </w:r>
      <w:r>
        <w:rPr>
          <w:rFonts w:hint="eastAsia" w:ascii="仿宋" w:hAnsi="仿宋" w:eastAsia="仿宋" w:cs="仿宋"/>
          <w:b w:val="0"/>
          <w:bCs w:val="0"/>
          <w:sz w:val="32"/>
          <w:szCs w:val="32"/>
          <w:lang w:val="en-US" w:eastAsia="zh-CN"/>
        </w:rPr>
        <w:t>争资争项成果丰硕，风险防范扎实有效。</w:t>
      </w:r>
      <w:r>
        <w:rPr>
          <w:rFonts w:hint="eastAsia" w:ascii="仿宋" w:hAnsi="仿宋" w:eastAsia="仿宋" w:cs="仿宋"/>
          <w:b/>
          <w:bCs/>
          <w:sz w:val="32"/>
          <w:szCs w:val="32"/>
          <w:lang w:val="en-US" w:eastAsia="zh-CN"/>
        </w:rPr>
        <w:t>支出结构持续优化，</w:t>
      </w:r>
      <w:r>
        <w:rPr>
          <w:rFonts w:hint="eastAsia" w:ascii="仿宋" w:hAnsi="仿宋" w:eastAsia="仿宋" w:cs="仿宋"/>
          <w:b w:val="0"/>
          <w:bCs w:val="0"/>
          <w:sz w:val="32"/>
          <w:szCs w:val="32"/>
          <w:lang w:val="en-US" w:eastAsia="zh-CN"/>
        </w:rPr>
        <w:t>民生底线牢牢兜住，重点领域保障有力</w:t>
      </w:r>
      <w:r>
        <w:rPr>
          <w:rFonts w:hint="eastAsia" w:ascii="仿宋" w:hAnsi="仿宋" w:eastAsia="仿宋" w:cs="仿宋"/>
          <w:b/>
          <w:bCs/>
          <w:sz w:val="32"/>
          <w:szCs w:val="32"/>
          <w:lang w:val="en-US" w:eastAsia="zh-CN"/>
        </w:rPr>
        <w:t>。财税改革纵深推进，</w:t>
      </w:r>
      <w:r>
        <w:rPr>
          <w:rFonts w:hint="eastAsia" w:ascii="仿宋" w:hAnsi="仿宋" w:eastAsia="仿宋" w:cs="仿宋"/>
          <w:b w:val="0"/>
          <w:bCs w:val="0"/>
          <w:sz w:val="32"/>
          <w:szCs w:val="32"/>
          <w:lang w:val="en-US" w:eastAsia="zh-CN"/>
        </w:rPr>
        <w:t>绩效管理全面加强，评审效能显著提升。</w:t>
      </w:r>
      <w:r>
        <w:rPr>
          <w:rFonts w:hint="eastAsia" w:ascii="仿宋" w:hAnsi="仿宋" w:eastAsia="仿宋" w:cs="仿宋"/>
          <w:b/>
          <w:bCs/>
          <w:sz w:val="32"/>
          <w:szCs w:val="32"/>
          <w:lang w:val="en-US" w:eastAsia="zh-CN"/>
        </w:rPr>
        <w:t>财经纪律严格执行，</w:t>
      </w:r>
      <w:r>
        <w:rPr>
          <w:rFonts w:hint="eastAsia" w:ascii="仿宋" w:hAnsi="仿宋" w:eastAsia="仿宋" w:cs="仿宋"/>
          <w:b w:val="0"/>
          <w:bCs w:val="0"/>
          <w:sz w:val="32"/>
          <w:szCs w:val="32"/>
          <w:lang w:val="en-US" w:eastAsia="zh-CN"/>
        </w:rPr>
        <w:t>平台转型加速推进，财政运行安全稳健。</w:t>
      </w:r>
    </w:p>
    <w:p w14:paraId="05CEE2B3">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jc w:val="both"/>
        <w:textAlignment w:val="auto"/>
        <w:outlineLvl w:val="0"/>
        <w:rPr>
          <w:rFonts w:hint="eastAsia" w:ascii="黑体" w:hAnsi="黑体" w:eastAsia="黑体" w:cs="黑体"/>
          <w:sz w:val="32"/>
          <w:szCs w:val="32"/>
          <w:lang w:eastAsia="zh-CN"/>
        </w:rPr>
      </w:pPr>
      <w:bookmarkStart w:id="28" w:name="_Toc23115"/>
      <w:r>
        <w:rPr>
          <w:rFonts w:hint="eastAsia" w:ascii="黑体" w:hAnsi="黑体" w:eastAsia="黑体" w:cs="黑体"/>
          <w:sz w:val="32"/>
          <w:szCs w:val="32"/>
          <w:lang w:eastAsia="zh-CN"/>
        </w:rPr>
        <w:t>部门</w:t>
      </w:r>
      <w:r>
        <w:rPr>
          <w:rFonts w:hint="eastAsia" w:ascii="黑体" w:hAnsi="黑体" w:eastAsia="黑体" w:cs="黑体"/>
          <w:sz w:val="32"/>
          <w:szCs w:val="32"/>
          <w:lang w:val="en-US" w:eastAsia="zh-CN"/>
        </w:rPr>
        <w:t>预算及</w:t>
      </w:r>
      <w:r>
        <w:rPr>
          <w:rFonts w:hint="eastAsia" w:ascii="黑体" w:hAnsi="黑体" w:eastAsia="黑体" w:cs="黑体"/>
          <w:sz w:val="32"/>
          <w:szCs w:val="32"/>
          <w:lang w:eastAsia="zh-CN"/>
        </w:rPr>
        <w:t>整体支出概况</w:t>
      </w:r>
      <w:bookmarkEnd w:id="28"/>
    </w:p>
    <w:p w14:paraId="5E93927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分析逻辑流程：年初预算数→全年预算数（调整后预算数）→账套数→重分类数，重分类后与决算数进行对比分析。</w:t>
      </w:r>
    </w:p>
    <w:p w14:paraId="10336602">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楷体" w:hAnsi="楷体" w:eastAsia="楷体" w:cs="楷体"/>
          <w:b/>
          <w:bCs/>
          <w:sz w:val="32"/>
          <w:szCs w:val="32"/>
          <w:lang w:val="en-US" w:eastAsia="zh-CN"/>
        </w:rPr>
      </w:pPr>
      <w:bookmarkStart w:id="29" w:name="_Toc11064"/>
      <w:r>
        <w:rPr>
          <w:rFonts w:hint="eastAsia" w:ascii="楷体" w:hAnsi="楷体" w:eastAsia="楷体" w:cs="楷体"/>
          <w:b/>
          <w:bCs/>
          <w:sz w:val="32"/>
          <w:szCs w:val="32"/>
          <w:lang w:eastAsia="zh-CN"/>
        </w:rPr>
        <w:t>预算</w:t>
      </w:r>
      <w:r>
        <w:rPr>
          <w:rFonts w:hint="eastAsia" w:ascii="楷体" w:hAnsi="楷体" w:eastAsia="楷体" w:cs="楷体"/>
          <w:b/>
          <w:bCs/>
          <w:sz w:val="32"/>
          <w:szCs w:val="32"/>
          <w:lang w:val="en-US" w:eastAsia="zh-CN"/>
        </w:rPr>
        <w:t>配置</w:t>
      </w:r>
      <w:r>
        <w:rPr>
          <w:rFonts w:hint="eastAsia" w:ascii="楷体" w:hAnsi="楷体" w:eastAsia="楷体" w:cs="楷体"/>
          <w:b/>
          <w:bCs/>
          <w:sz w:val="32"/>
          <w:szCs w:val="32"/>
          <w:lang w:eastAsia="zh-CN"/>
        </w:rPr>
        <w:t>情况</w:t>
      </w:r>
      <w:r>
        <w:rPr>
          <w:rFonts w:hint="eastAsia" w:ascii="楷体" w:hAnsi="楷体" w:eastAsia="楷体" w:cs="楷体"/>
          <w:b/>
          <w:bCs/>
          <w:sz w:val="32"/>
          <w:szCs w:val="32"/>
          <w:lang w:val="en-US" w:eastAsia="zh-CN"/>
        </w:rPr>
        <w:t>及分析</w:t>
      </w:r>
      <w:bookmarkEnd w:id="29"/>
    </w:p>
    <w:p w14:paraId="06B55FC9">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default" w:ascii="楷体" w:hAnsi="楷体" w:eastAsia="楷体" w:cs="楷体"/>
          <w:b/>
          <w:bCs/>
          <w:sz w:val="32"/>
          <w:szCs w:val="32"/>
          <w:lang w:val="en-US" w:eastAsia="zh-CN"/>
        </w:rPr>
      </w:pPr>
      <w:r>
        <w:rPr>
          <w:rFonts w:hint="eastAsia" w:ascii="仿宋" w:hAnsi="仿宋" w:eastAsia="仿宋" w:cs="仿宋"/>
          <w:b/>
          <w:bCs/>
          <w:sz w:val="32"/>
          <w:szCs w:val="32"/>
          <w:lang w:val="en-US" w:eastAsia="zh-CN"/>
        </w:rPr>
        <w:t>1.预算配置情况</w:t>
      </w:r>
    </w:p>
    <w:p w14:paraId="725D31D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楷体" w:hAnsi="楷体" w:eastAsia="楷体" w:cs="楷体"/>
          <w:b w:val="0"/>
          <w:bCs w:val="0"/>
          <w:sz w:val="32"/>
          <w:szCs w:val="32"/>
          <w:lang w:eastAsia="zh-CN"/>
        </w:rPr>
      </w:pPr>
      <w:r>
        <w:rPr>
          <w:rFonts w:hint="eastAsia" w:ascii="仿宋" w:hAnsi="仿宋" w:eastAsia="仿宋" w:cs="仿宋"/>
          <w:b w:val="0"/>
          <w:bCs w:val="0"/>
          <w:sz w:val="32"/>
          <w:szCs w:val="32"/>
          <w:lang w:eastAsia="zh-CN"/>
        </w:rPr>
        <w:t>年初预算额</w:t>
      </w:r>
      <w:r>
        <w:rPr>
          <w:rFonts w:hint="eastAsia" w:ascii="仿宋" w:hAnsi="仿宋" w:eastAsia="仿宋" w:cs="仿宋"/>
          <w:b w:val="0"/>
          <w:bCs w:val="0"/>
          <w:sz w:val="32"/>
          <w:szCs w:val="32"/>
          <w:highlight w:val="none"/>
          <w:lang w:eastAsia="zh-CN"/>
        </w:rPr>
        <w:t>度</w:t>
      </w:r>
      <w:r>
        <w:rPr>
          <w:rFonts w:hint="eastAsia" w:ascii="仿宋" w:hAnsi="仿宋" w:eastAsia="仿宋" w:cs="仿宋"/>
          <w:b w:val="0"/>
          <w:bCs w:val="0"/>
          <w:sz w:val="32"/>
          <w:szCs w:val="32"/>
          <w:highlight w:val="none"/>
          <w:lang w:val="en-US" w:eastAsia="zh-CN"/>
        </w:rPr>
        <w:t>11,960,700.00</w:t>
      </w:r>
      <w:r>
        <w:rPr>
          <w:rFonts w:hint="eastAsia" w:ascii="仿宋" w:hAnsi="仿宋" w:eastAsia="仿宋" w:cs="仿宋"/>
          <w:b w:val="0"/>
          <w:bCs w:val="0"/>
          <w:sz w:val="32"/>
          <w:szCs w:val="32"/>
          <w:highlight w:val="none"/>
          <w:lang w:eastAsia="zh-CN"/>
        </w:rPr>
        <w:t>元，</w:t>
      </w:r>
      <w:r>
        <w:rPr>
          <w:rFonts w:hint="eastAsia" w:ascii="仿宋" w:hAnsi="仿宋" w:eastAsia="仿宋" w:cs="仿宋"/>
          <w:b w:val="0"/>
          <w:bCs w:val="0"/>
          <w:sz w:val="32"/>
          <w:szCs w:val="32"/>
          <w:highlight w:val="none"/>
          <w:lang w:val="en-US" w:eastAsia="zh-CN"/>
        </w:rPr>
        <w:t>预算调整后额度9,780,078.33元</w:t>
      </w:r>
      <w:r>
        <w:rPr>
          <w:rFonts w:hint="eastAsia" w:ascii="仿宋" w:hAnsi="仿宋" w:eastAsia="仿宋" w:cs="仿宋"/>
          <w:b w:val="0"/>
          <w:bCs w:val="0"/>
          <w:sz w:val="32"/>
          <w:szCs w:val="32"/>
          <w:highlight w:val="none"/>
          <w:lang w:eastAsia="zh-CN"/>
        </w:rPr>
        <w:t>。</w:t>
      </w:r>
    </w:p>
    <w:p w14:paraId="7B87E637">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lang w:val="en-US" w:eastAsia="zh-CN"/>
        </w:rPr>
        <w:t>2.预算配置</w:t>
      </w:r>
      <w:r>
        <w:rPr>
          <w:rFonts w:hint="eastAsia" w:ascii="仿宋" w:hAnsi="仿宋" w:eastAsia="仿宋" w:cs="仿宋"/>
          <w:b/>
          <w:bCs/>
          <w:sz w:val="32"/>
          <w:szCs w:val="32"/>
          <w:lang w:eastAsia="zh-CN"/>
        </w:rPr>
        <w:t>分析</w:t>
      </w:r>
      <w:r>
        <w:rPr>
          <w:rFonts w:hint="eastAsia" w:ascii="仿宋" w:hAnsi="仿宋" w:eastAsia="仿宋" w:cs="仿宋"/>
          <w:b/>
          <w:bCs/>
          <w:sz w:val="32"/>
          <w:szCs w:val="32"/>
          <w:lang w:val="en-US" w:eastAsia="zh-CN"/>
        </w:rPr>
        <w:t>及调整，</w:t>
      </w:r>
      <w:r>
        <w:rPr>
          <w:rFonts w:hint="eastAsia" w:ascii="仿宋" w:hAnsi="仿宋" w:eastAsia="仿宋" w:cs="仿宋"/>
          <w:b/>
          <w:bCs/>
          <w:sz w:val="32"/>
          <w:szCs w:val="32"/>
          <w:highlight w:val="none"/>
          <w:lang w:val="en-US" w:eastAsia="zh-CN"/>
        </w:rPr>
        <w:t>未提供预算调整的批复。</w:t>
      </w:r>
    </w:p>
    <w:p w14:paraId="0277EEE6">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Chars="0" w:firstLine="640" w:firstLineChars="200"/>
        <w:jc w:val="both"/>
        <w:textAlignment w:val="auto"/>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配置对比表如下：</w:t>
      </w:r>
    </w:p>
    <w:p w14:paraId="5B1306EB">
      <w:pPr>
        <w:pStyle w:val="4"/>
        <w:numPr>
          <w:ilvl w:val="0"/>
          <w:numId w:val="0"/>
        </w:numPr>
        <w:jc w:val="center"/>
      </w:pPr>
      <w:r>
        <w:drawing>
          <wp:inline distT="0" distB="0" distL="114300" distR="114300">
            <wp:extent cx="3733800" cy="838200"/>
            <wp:effectExtent l="9525" t="9525" r="9525" b="9525"/>
            <wp:docPr id="8" name="图片 1"/>
            <wp:cNvGraphicFramePr/>
            <a:graphic xmlns:a="http://schemas.openxmlformats.org/drawingml/2006/main">
              <a:graphicData uri="http://schemas.openxmlformats.org/drawingml/2006/picture">
                <pic:pic xmlns:pic="http://schemas.openxmlformats.org/drawingml/2006/picture">
                  <pic:nvPicPr>
                    <pic:cNvPr id="8" name="图片 1"/>
                    <pic:cNvPicPr/>
                  </pic:nvPicPr>
                  <pic:blipFill>
                    <a:blip r:embed="rId7"/>
                  </pic:blipFill>
                  <pic:spPr>
                    <a:xfrm>
                      <a:off x="0" y="0"/>
                      <a:ext cx="3733800" cy="838200"/>
                    </a:xfrm>
                    <a:prstGeom prst="rect">
                      <a:avLst/>
                    </a:prstGeom>
                    <a:solidFill>
                      <a:srgbClr val="FFFFFF"/>
                    </a:solidFill>
                    <a:ln w="9525">
                      <a:solidFill>
                        <a:srgbClr val="000000"/>
                      </a:solidFill>
                    </a:ln>
                  </pic:spPr>
                </pic:pic>
              </a:graphicData>
            </a:graphic>
          </wp:inline>
        </w:drawing>
      </w:r>
    </w:p>
    <w:p w14:paraId="49459220">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预算调整率为18.23%，调整明细如下：</w:t>
      </w:r>
    </w:p>
    <w:p w14:paraId="41626721">
      <w:pPr>
        <w:pStyle w:val="4"/>
        <w:numPr>
          <w:ilvl w:val="0"/>
          <w:numId w:val="0"/>
        </w:numPr>
        <w:jc w:val="center"/>
      </w:pPr>
      <w:r>
        <w:drawing>
          <wp:inline distT="0" distB="0" distL="114300" distR="114300">
            <wp:extent cx="6248400" cy="1038225"/>
            <wp:effectExtent l="9525" t="9525" r="9525" b="19050"/>
            <wp:docPr id="10" name="图片 2"/>
            <wp:cNvGraphicFramePr/>
            <a:graphic xmlns:a="http://schemas.openxmlformats.org/drawingml/2006/main">
              <a:graphicData uri="http://schemas.openxmlformats.org/drawingml/2006/picture">
                <pic:pic xmlns:pic="http://schemas.openxmlformats.org/drawingml/2006/picture">
                  <pic:nvPicPr>
                    <pic:cNvPr id="10" name="图片 2"/>
                    <pic:cNvPicPr/>
                  </pic:nvPicPr>
                  <pic:blipFill>
                    <a:blip r:embed="rId8"/>
                  </pic:blipFill>
                  <pic:spPr>
                    <a:xfrm>
                      <a:off x="0" y="0"/>
                      <a:ext cx="6248400" cy="1038225"/>
                    </a:xfrm>
                    <a:prstGeom prst="rect">
                      <a:avLst/>
                    </a:prstGeom>
                    <a:solidFill>
                      <a:srgbClr val="FFFFFF"/>
                    </a:solidFill>
                    <a:ln w="9525">
                      <a:solidFill>
                        <a:srgbClr val="000000"/>
                      </a:solidFill>
                    </a:ln>
                  </pic:spPr>
                </pic:pic>
              </a:graphicData>
            </a:graphic>
          </wp:inline>
        </w:drawing>
      </w:r>
    </w:p>
    <w:p w14:paraId="72D9FC1C">
      <w:pPr>
        <w:rPr>
          <w:rFonts w:hint="eastAsia" w:ascii="楷体" w:hAnsi="楷体" w:eastAsia="楷体" w:cs="楷体"/>
          <w:b/>
          <w:bCs/>
          <w:sz w:val="32"/>
          <w:szCs w:val="32"/>
          <w:lang w:eastAsia="zh-CN"/>
        </w:rPr>
      </w:pPr>
      <w:r>
        <w:drawing>
          <wp:inline distT="0" distB="0" distL="114300" distR="114300">
            <wp:extent cx="6248400" cy="1038225"/>
            <wp:effectExtent l="9525" t="9525" r="9525" b="19050"/>
            <wp:docPr id="4"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9"/>
                  </pic:blipFill>
                  <pic:spPr>
                    <a:xfrm>
                      <a:off x="0" y="0"/>
                      <a:ext cx="6248400" cy="1038225"/>
                    </a:xfrm>
                    <a:prstGeom prst="rect">
                      <a:avLst/>
                    </a:prstGeom>
                    <a:solidFill>
                      <a:srgbClr val="FFFFFF"/>
                    </a:solidFill>
                    <a:ln w="9525">
                      <a:solidFill>
                        <a:srgbClr val="000000"/>
                      </a:solidFill>
                    </a:ln>
                  </pic:spPr>
                </pic:pic>
              </a:graphicData>
            </a:graphic>
          </wp:inline>
        </w:drawing>
      </w:r>
    </w:p>
    <w:p w14:paraId="06FF73EE">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楷体" w:hAnsi="楷体" w:eastAsia="楷体" w:cs="楷体"/>
          <w:b/>
          <w:bCs/>
          <w:sz w:val="32"/>
          <w:szCs w:val="32"/>
          <w:lang w:eastAsia="zh-CN"/>
        </w:rPr>
      </w:pPr>
      <w:bookmarkStart w:id="30" w:name="_Toc10791"/>
      <w:r>
        <w:rPr>
          <w:rFonts w:hint="eastAsia" w:ascii="楷体" w:hAnsi="楷体" w:eastAsia="楷体" w:cs="楷体"/>
          <w:b/>
          <w:bCs/>
          <w:sz w:val="32"/>
          <w:szCs w:val="32"/>
          <w:lang w:eastAsia="zh-CN"/>
        </w:rPr>
        <w:t>预算执行</w:t>
      </w:r>
      <w:r>
        <w:rPr>
          <w:rFonts w:hint="eastAsia" w:ascii="楷体" w:hAnsi="楷体" w:eastAsia="楷体" w:cs="楷体"/>
          <w:b/>
          <w:bCs/>
          <w:sz w:val="32"/>
          <w:szCs w:val="32"/>
          <w:lang w:val="en-US" w:eastAsia="zh-CN"/>
        </w:rPr>
        <w:t>情况及分析</w:t>
      </w:r>
      <w:bookmarkEnd w:id="30"/>
    </w:p>
    <w:p w14:paraId="3AAAF8B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1.预算执行基本信息</w:t>
      </w:r>
    </w:p>
    <w:p w14:paraId="1EB6B44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400"/>
        <w:jc w:val="both"/>
        <w:textAlignment w:val="auto"/>
        <w:outlineLvl w:val="9"/>
        <w:rPr>
          <w:rFonts w:hint="default"/>
          <w:lang w:val="en-US" w:eastAsia="zh-CN"/>
        </w:rPr>
      </w:pPr>
      <w:r>
        <w:rPr>
          <w:rFonts w:hint="eastAsia" w:ascii="仿宋" w:hAnsi="仿宋" w:eastAsia="仿宋" w:cs="仿宋"/>
          <w:b w:val="0"/>
          <w:bCs w:val="0"/>
          <w:sz w:val="32"/>
          <w:szCs w:val="32"/>
          <w:highlight w:val="none"/>
          <w:lang w:val="en-US" w:eastAsia="zh-CN"/>
        </w:rPr>
        <w:t>（1）收入来源总计9,780,078.33元，其中一般公共预算财政拨款8,911,373.09元，其他收入868,705.24元。</w:t>
      </w:r>
    </w:p>
    <w:p w14:paraId="1F2EC73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400"/>
        <w:jc w:val="both"/>
        <w:textAlignment w:val="auto"/>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（2）预算资金指标支付汇总</w:t>
      </w:r>
    </w:p>
    <w:p w14:paraId="1367F00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center"/>
        <w:textAlignment w:val="auto"/>
        <w:outlineLvl w:val="9"/>
        <w:rPr>
          <w:rFonts w:hint="eastAsia" w:ascii="仿宋" w:hAnsi="仿宋" w:eastAsia="仿宋" w:cs="仿宋"/>
          <w:b w:val="0"/>
          <w:bCs w:val="0"/>
          <w:sz w:val="32"/>
          <w:szCs w:val="32"/>
          <w:highlight w:val="none"/>
          <w:lang w:val="en-US" w:eastAsia="zh-CN"/>
        </w:rPr>
      </w:pPr>
      <w:r>
        <w:drawing>
          <wp:inline distT="0" distB="0" distL="114300" distR="114300">
            <wp:extent cx="4038600" cy="771525"/>
            <wp:effectExtent l="9525" t="9525" r="9525" b="19050"/>
            <wp:docPr id="12" name="图片 3"/>
            <wp:cNvGraphicFramePr/>
            <a:graphic xmlns:a="http://schemas.openxmlformats.org/drawingml/2006/main">
              <a:graphicData uri="http://schemas.openxmlformats.org/drawingml/2006/picture">
                <pic:pic xmlns:pic="http://schemas.openxmlformats.org/drawingml/2006/picture">
                  <pic:nvPicPr>
                    <pic:cNvPr id="12" name="图片 3"/>
                    <pic:cNvPicPr/>
                  </pic:nvPicPr>
                  <pic:blipFill>
                    <a:blip r:embed="rId10"/>
                  </pic:blipFill>
                  <pic:spPr>
                    <a:xfrm>
                      <a:off x="0" y="0"/>
                      <a:ext cx="4038600" cy="771525"/>
                    </a:xfrm>
                    <a:prstGeom prst="rect">
                      <a:avLst/>
                    </a:prstGeom>
                    <a:solidFill>
                      <a:srgbClr val="FFFFFF"/>
                    </a:solidFill>
                    <a:ln w="9525">
                      <a:solidFill>
                        <a:srgbClr val="000000"/>
                      </a:solidFill>
                    </a:ln>
                  </pic:spPr>
                </pic:pic>
              </a:graphicData>
            </a:graphic>
          </wp:inline>
        </w:drawing>
      </w:r>
    </w:p>
    <w:p w14:paraId="2825EB9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仿宋" w:hAnsi="仿宋" w:eastAsia="仿宋" w:cs="仿宋"/>
          <w:b w:val="0"/>
          <w:bCs w:val="0"/>
          <w:sz w:val="32"/>
          <w:szCs w:val="32"/>
          <w:highlight w:val="none"/>
          <w:lang w:val="en-US" w:eastAsia="zh-CN"/>
        </w:rPr>
      </w:pPr>
      <w:r>
        <w:drawing>
          <wp:inline distT="0" distB="0" distL="114300" distR="114300">
            <wp:extent cx="4930775" cy="2743200"/>
            <wp:effectExtent l="4445" t="4445" r="17780" b="14605"/>
            <wp:docPr id="2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DDC514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firstLine="643" w:firstLineChars="200"/>
        <w:jc w:val="both"/>
        <w:textAlignment w:val="auto"/>
        <w:outlineLvl w:val="9"/>
        <w:rPr>
          <w:rFonts w:hint="default"/>
          <w:lang w:val="en-US" w:eastAsia="zh-CN"/>
        </w:rPr>
      </w:pPr>
      <w:r>
        <w:rPr>
          <w:rFonts w:hint="eastAsia" w:ascii="仿宋" w:hAnsi="仿宋" w:eastAsia="仿宋" w:cs="仿宋"/>
          <w:b/>
          <w:bCs/>
          <w:sz w:val="32"/>
          <w:szCs w:val="32"/>
          <w:lang w:val="en-US" w:eastAsia="zh-CN"/>
        </w:rPr>
        <w:t>2.预算执行分析</w:t>
      </w:r>
    </w:p>
    <w:p w14:paraId="35B64B8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outlineLvl w:val="9"/>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eastAsia="zh-CN"/>
        </w:rPr>
        <w:t>（</w:t>
      </w:r>
      <w:r>
        <w:rPr>
          <w:rFonts w:hint="eastAsia" w:ascii="仿宋" w:hAnsi="仿宋" w:eastAsia="仿宋" w:cs="仿宋"/>
          <w:b/>
          <w:bCs/>
          <w:sz w:val="32"/>
          <w:szCs w:val="32"/>
          <w:highlight w:val="none"/>
          <w:lang w:val="en-US" w:eastAsia="zh-CN"/>
        </w:rPr>
        <w:t>1</w:t>
      </w:r>
      <w:r>
        <w:rPr>
          <w:rFonts w:hint="eastAsia" w:ascii="仿宋" w:hAnsi="仿宋" w:eastAsia="仿宋" w:cs="仿宋"/>
          <w:b/>
          <w:bCs/>
          <w:sz w:val="32"/>
          <w:szCs w:val="32"/>
          <w:highlight w:val="none"/>
          <w:lang w:eastAsia="zh-CN"/>
        </w:rPr>
        <w:t>）</w:t>
      </w:r>
      <w:r>
        <w:rPr>
          <w:rFonts w:hint="eastAsia" w:ascii="仿宋" w:hAnsi="仿宋" w:eastAsia="仿宋" w:cs="仿宋"/>
          <w:b/>
          <w:bCs/>
          <w:sz w:val="32"/>
          <w:szCs w:val="32"/>
          <w:highlight w:val="none"/>
          <w:lang w:val="en-US" w:eastAsia="zh-CN"/>
        </w:rPr>
        <w:t>预算整体执行率为100.00%。详情如下：</w:t>
      </w:r>
    </w:p>
    <w:p w14:paraId="2B138D0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0" w:firstLineChars="0"/>
        <w:jc w:val="center"/>
        <w:textAlignment w:val="auto"/>
        <w:outlineLvl w:val="9"/>
        <w:rPr>
          <w:rFonts w:hint="default" w:ascii="仿宋" w:hAnsi="仿宋" w:eastAsia="仿宋" w:cs="仿宋"/>
          <w:b/>
          <w:bCs/>
          <w:sz w:val="32"/>
          <w:szCs w:val="32"/>
          <w:lang w:val="en-US" w:eastAsia="zh-CN"/>
        </w:rPr>
      </w:pPr>
      <w:r>
        <w:drawing>
          <wp:inline distT="0" distB="0" distL="114300" distR="114300">
            <wp:extent cx="6210300" cy="1038225"/>
            <wp:effectExtent l="9525" t="9525" r="9525" b="19050"/>
            <wp:docPr id="11" name="图片 7"/>
            <wp:cNvGraphicFramePr/>
            <a:graphic xmlns:a="http://schemas.openxmlformats.org/drawingml/2006/main">
              <a:graphicData uri="http://schemas.openxmlformats.org/drawingml/2006/picture">
                <pic:pic xmlns:pic="http://schemas.openxmlformats.org/drawingml/2006/picture">
                  <pic:nvPicPr>
                    <pic:cNvPr id="11" name="图片 7"/>
                    <pic:cNvPicPr/>
                  </pic:nvPicPr>
                  <pic:blipFill>
                    <a:blip r:embed="rId12"/>
                  </pic:blipFill>
                  <pic:spPr>
                    <a:xfrm>
                      <a:off x="0" y="0"/>
                      <a:ext cx="6210300" cy="1038225"/>
                    </a:xfrm>
                    <a:prstGeom prst="rect">
                      <a:avLst/>
                    </a:prstGeom>
                    <a:solidFill>
                      <a:srgbClr val="FFFFFF"/>
                    </a:solidFill>
                    <a:ln w="9525">
                      <a:solidFill>
                        <a:srgbClr val="000000"/>
                      </a:solidFill>
                    </a:ln>
                  </pic:spPr>
                </pic:pic>
              </a:graphicData>
            </a:graphic>
          </wp:inline>
        </w:drawing>
      </w:r>
    </w:p>
    <w:p w14:paraId="78AFAB5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eastAsia="zh-CN"/>
        </w:rPr>
        <w:t>（</w:t>
      </w:r>
      <w:r>
        <w:rPr>
          <w:rFonts w:hint="eastAsia" w:ascii="仿宋" w:hAnsi="仿宋" w:eastAsia="仿宋" w:cs="仿宋"/>
          <w:b/>
          <w:bCs/>
          <w:sz w:val="32"/>
          <w:szCs w:val="32"/>
          <w:lang w:val="en-US" w:eastAsia="zh-CN"/>
        </w:rPr>
        <w:t>2</w:t>
      </w:r>
      <w:r>
        <w:rPr>
          <w:rFonts w:hint="eastAsia" w:ascii="仿宋" w:hAnsi="仿宋" w:eastAsia="仿宋" w:cs="仿宋"/>
          <w:b/>
          <w:bCs/>
          <w:sz w:val="32"/>
          <w:szCs w:val="32"/>
          <w:lang w:eastAsia="zh-CN"/>
        </w:rPr>
        <w:t>）进度匹配度</w:t>
      </w:r>
      <w:r>
        <w:rPr>
          <w:rFonts w:hint="eastAsia" w:ascii="仿宋" w:hAnsi="仿宋" w:eastAsia="仿宋" w:cs="仿宋"/>
          <w:b/>
          <w:bCs/>
          <w:sz w:val="32"/>
          <w:szCs w:val="32"/>
          <w:lang w:val="en-US" w:eastAsia="zh-CN"/>
        </w:rPr>
        <w:t>与效率。</w:t>
      </w:r>
      <w:r>
        <w:rPr>
          <w:rFonts w:hint="eastAsia" w:ascii="仿宋" w:hAnsi="仿宋" w:eastAsia="仿宋" w:cs="仿宋"/>
          <w:b w:val="0"/>
          <w:bCs w:val="0"/>
          <w:sz w:val="32"/>
          <w:szCs w:val="32"/>
          <w:lang w:val="en-US" w:eastAsia="zh-CN"/>
        </w:rPr>
        <w:t>资金支付及时，不存在项目等钱情况。2024年12月资金指标使用数占比21.24%，高于其他月份。指标下达数与指标使用数对比详情列示如下：</w:t>
      </w:r>
    </w:p>
    <w:p w14:paraId="3017C704">
      <w:pPr>
        <w:pStyle w:val="4"/>
        <w:jc w:val="center"/>
        <w:rPr>
          <w:rFonts w:hint="eastAsia" w:ascii="仿宋" w:hAnsi="仿宋" w:eastAsia="仿宋" w:cs="仿宋"/>
          <w:b w:val="0"/>
          <w:bCs w:val="0"/>
          <w:sz w:val="32"/>
          <w:szCs w:val="32"/>
          <w:lang w:val="en-US" w:eastAsia="zh-CN"/>
        </w:rPr>
      </w:pPr>
      <w:r>
        <w:drawing>
          <wp:inline distT="0" distB="0" distL="114300" distR="114300">
            <wp:extent cx="5391150" cy="2581275"/>
            <wp:effectExtent l="9525" t="9525" r="9525" b="19050"/>
            <wp:docPr id="7" name="图片 2"/>
            <wp:cNvGraphicFramePr/>
            <a:graphic xmlns:a="http://schemas.openxmlformats.org/drawingml/2006/main">
              <a:graphicData uri="http://schemas.openxmlformats.org/drawingml/2006/picture">
                <pic:pic xmlns:pic="http://schemas.openxmlformats.org/drawingml/2006/picture">
                  <pic:nvPicPr>
                    <pic:cNvPr id="7" name="图片 2"/>
                    <pic:cNvPicPr/>
                  </pic:nvPicPr>
                  <pic:blipFill>
                    <a:blip r:embed="rId13"/>
                  </pic:blipFill>
                  <pic:spPr>
                    <a:xfrm>
                      <a:off x="0" y="0"/>
                      <a:ext cx="5391150" cy="2581275"/>
                    </a:xfrm>
                    <a:prstGeom prst="rect">
                      <a:avLst/>
                    </a:prstGeom>
                    <a:solidFill>
                      <a:srgbClr val="FFFFFF"/>
                    </a:solidFill>
                    <a:ln w="9525">
                      <a:solidFill>
                        <a:srgbClr val="000000"/>
                      </a:solidFill>
                    </a:ln>
                  </pic:spPr>
                </pic:pic>
              </a:graphicData>
            </a:graphic>
          </wp:inline>
        </w:drawing>
      </w:r>
    </w:p>
    <w:p w14:paraId="3F9EEB01">
      <w:pPr>
        <w:jc w:val="center"/>
        <w:rPr>
          <w:rFonts w:hint="eastAsia" w:ascii="仿宋" w:hAnsi="仿宋" w:eastAsia="仿宋" w:cs="仿宋"/>
          <w:b/>
          <w:bCs/>
          <w:sz w:val="32"/>
          <w:szCs w:val="32"/>
          <w:lang w:val="en-US" w:eastAsia="zh-CN"/>
        </w:rPr>
      </w:pPr>
      <w:r>
        <w:drawing>
          <wp:inline distT="0" distB="0" distL="114300" distR="114300">
            <wp:extent cx="4702175" cy="2743200"/>
            <wp:effectExtent l="4445" t="4445" r="17780" b="14605"/>
            <wp:docPr id="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37B0A4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outlineLvl w:val="9"/>
        <w:rPr>
          <w:rFonts w:hint="eastAsia"/>
          <w:lang w:val="en-US" w:eastAsia="zh-CN"/>
        </w:rPr>
      </w:pPr>
      <w:r>
        <w:rPr>
          <w:rFonts w:hint="eastAsia" w:ascii="仿宋" w:hAnsi="仿宋" w:eastAsia="仿宋" w:cs="仿宋"/>
          <w:b/>
          <w:bCs/>
          <w:sz w:val="32"/>
          <w:szCs w:val="32"/>
          <w:highlight w:val="none"/>
          <w:lang w:eastAsia="zh-CN"/>
        </w:rPr>
        <w:t>（</w:t>
      </w:r>
      <w:r>
        <w:rPr>
          <w:rFonts w:hint="eastAsia" w:ascii="仿宋" w:hAnsi="仿宋" w:eastAsia="仿宋" w:cs="仿宋"/>
          <w:b/>
          <w:bCs/>
          <w:sz w:val="32"/>
          <w:szCs w:val="32"/>
          <w:highlight w:val="none"/>
          <w:lang w:val="en-US" w:eastAsia="zh-CN"/>
        </w:rPr>
        <w:t>3</w:t>
      </w:r>
      <w:r>
        <w:rPr>
          <w:rFonts w:hint="eastAsia" w:ascii="仿宋" w:hAnsi="仿宋" w:eastAsia="仿宋" w:cs="仿宋"/>
          <w:b/>
          <w:bCs/>
          <w:sz w:val="32"/>
          <w:szCs w:val="32"/>
          <w:highlight w:val="none"/>
          <w:lang w:eastAsia="zh-CN"/>
        </w:rPr>
        <w:t>）</w:t>
      </w:r>
      <w:r>
        <w:rPr>
          <w:rFonts w:hint="eastAsia" w:ascii="仿宋" w:hAnsi="仿宋" w:eastAsia="仿宋" w:cs="仿宋"/>
          <w:b/>
          <w:bCs/>
          <w:sz w:val="32"/>
          <w:szCs w:val="32"/>
          <w:highlight w:val="none"/>
          <w:lang w:val="en-US" w:eastAsia="zh-CN"/>
        </w:rPr>
        <w:t>资金</w:t>
      </w:r>
      <w:r>
        <w:rPr>
          <w:rFonts w:hint="eastAsia" w:ascii="仿宋" w:hAnsi="仿宋" w:eastAsia="仿宋" w:cs="仿宋"/>
          <w:b/>
          <w:bCs/>
          <w:sz w:val="32"/>
          <w:szCs w:val="32"/>
          <w:highlight w:val="none"/>
          <w:lang w:eastAsia="zh-CN"/>
        </w:rPr>
        <w:t>合规性检查。</w:t>
      </w:r>
      <w:r>
        <w:rPr>
          <w:rFonts w:hint="eastAsia" w:ascii="仿宋" w:hAnsi="仿宋" w:eastAsia="仿宋" w:cs="仿宋"/>
          <w:b w:val="0"/>
          <w:bCs w:val="0"/>
          <w:sz w:val="32"/>
          <w:szCs w:val="32"/>
          <w:lang w:val="en-US" w:eastAsia="zh-CN"/>
        </w:rPr>
        <w:t>从预算约束、用途合规、程序合规、报销凭证完整性与合规性四个方面进行核查，在检查凭证过程中，</w:t>
      </w:r>
      <w:r>
        <w:rPr>
          <w:rFonts w:hint="eastAsia" w:ascii="仿宋" w:hAnsi="仿宋" w:eastAsia="仿宋" w:cs="仿宋"/>
          <w:b w:val="0"/>
          <w:bCs w:val="0"/>
          <w:sz w:val="32"/>
          <w:szCs w:val="32"/>
          <w:highlight w:val="none"/>
          <w:lang w:val="en-US" w:eastAsia="zh-CN"/>
        </w:rPr>
        <w:t>我们发现存</w:t>
      </w:r>
      <w:r>
        <w:rPr>
          <w:rFonts w:hint="eastAsia" w:ascii="仿宋" w:hAnsi="仿宋" w:eastAsia="仿宋" w:cs="仿宋"/>
          <w:b w:val="0"/>
          <w:bCs w:val="0"/>
          <w:sz w:val="32"/>
          <w:szCs w:val="32"/>
          <w:lang w:val="en-US" w:eastAsia="zh-CN"/>
        </w:rPr>
        <w:t>在基本支出挤占项目支出的情况。详情见后附各类支出情况汇总及分析。</w:t>
      </w:r>
    </w:p>
    <w:p w14:paraId="439DA66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outlineLvl w:val="9"/>
        <w:rPr>
          <w:rFonts w:hint="default" w:ascii="仿宋" w:hAnsi="仿宋" w:eastAsia="仿宋" w:cs="仿宋"/>
          <w:b w:val="0"/>
          <w:bCs w:val="0"/>
          <w:sz w:val="32"/>
          <w:szCs w:val="32"/>
          <w:highlight w:val="yellow"/>
          <w:lang w:val="en-US" w:eastAsia="zh-CN"/>
        </w:rPr>
      </w:pPr>
      <w:r>
        <w:rPr>
          <w:rFonts w:hint="eastAsia" w:ascii="仿宋" w:hAnsi="仿宋" w:eastAsia="仿宋" w:cs="仿宋"/>
          <w:b/>
          <w:bCs/>
          <w:sz w:val="32"/>
          <w:szCs w:val="32"/>
          <w:highlight w:val="none"/>
          <w:lang w:eastAsia="zh-CN"/>
        </w:rPr>
        <w:t>（</w:t>
      </w:r>
      <w:r>
        <w:rPr>
          <w:rFonts w:hint="eastAsia" w:ascii="仿宋" w:hAnsi="仿宋" w:eastAsia="仿宋" w:cs="仿宋"/>
          <w:b/>
          <w:bCs/>
          <w:sz w:val="32"/>
          <w:szCs w:val="32"/>
          <w:highlight w:val="none"/>
          <w:lang w:val="en-US" w:eastAsia="zh-CN"/>
        </w:rPr>
        <w:t>4</w:t>
      </w:r>
      <w:r>
        <w:rPr>
          <w:rFonts w:hint="eastAsia" w:ascii="仿宋" w:hAnsi="仿宋" w:eastAsia="仿宋" w:cs="仿宋"/>
          <w:b/>
          <w:bCs/>
          <w:sz w:val="32"/>
          <w:szCs w:val="32"/>
          <w:highlight w:val="none"/>
          <w:lang w:eastAsia="zh-CN"/>
        </w:rPr>
        <w:t>）成本控制。</w:t>
      </w:r>
      <w:r>
        <w:rPr>
          <w:rFonts w:hint="eastAsia" w:ascii="仿宋" w:hAnsi="仿宋" w:eastAsia="仿宋" w:cs="仿宋"/>
          <w:b w:val="0"/>
          <w:bCs w:val="0"/>
          <w:sz w:val="32"/>
          <w:szCs w:val="32"/>
          <w:lang w:val="en-US" w:eastAsia="zh-CN"/>
        </w:rPr>
        <w:t>基本支出的绩效评价侧重成本控制和合规性。项目支出的绩效评价关联项目目标，如会议是否推动了政策落地、办公经费是否支撑了专项任务完成等。详情见后附各类支出情况汇总及分析。</w:t>
      </w:r>
    </w:p>
    <w:p w14:paraId="69415CA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outlineLvl w:val="9"/>
        <w:rPr>
          <w:rFonts w:hint="default" w:ascii="仿宋" w:hAnsi="仿宋" w:eastAsia="仿宋" w:cs="仿宋"/>
          <w:b w:val="0"/>
          <w:bCs w:val="0"/>
          <w:sz w:val="32"/>
          <w:szCs w:val="32"/>
          <w:highlight w:val="none"/>
          <w:lang w:val="en-US" w:eastAsia="zh-CN"/>
        </w:rPr>
      </w:pPr>
      <w:r>
        <w:rPr>
          <w:rFonts w:hint="eastAsia" w:ascii="仿宋" w:hAnsi="仿宋" w:eastAsia="仿宋" w:cs="仿宋"/>
          <w:b/>
          <w:bCs/>
          <w:sz w:val="32"/>
          <w:szCs w:val="32"/>
          <w:highlight w:val="none"/>
          <w:lang w:eastAsia="zh-CN"/>
        </w:rPr>
        <w:t>（</w:t>
      </w:r>
      <w:r>
        <w:rPr>
          <w:rFonts w:hint="eastAsia" w:ascii="仿宋" w:hAnsi="仿宋" w:eastAsia="仿宋" w:cs="仿宋"/>
          <w:b/>
          <w:bCs/>
          <w:sz w:val="32"/>
          <w:szCs w:val="32"/>
          <w:highlight w:val="none"/>
          <w:lang w:val="en-US" w:eastAsia="zh-CN"/>
        </w:rPr>
        <w:t>5</w:t>
      </w:r>
      <w:r>
        <w:rPr>
          <w:rFonts w:hint="eastAsia" w:ascii="仿宋" w:hAnsi="仿宋" w:eastAsia="仿宋" w:cs="仿宋"/>
          <w:b/>
          <w:bCs/>
          <w:sz w:val="32"/>
          <w:szCs w:val="32"/>
          <w:highlight w:val="none"/>
          <w:lang w:eastAsia="zh-CN"/>
        </w:rPr>
        <w:t>）对产出的影响。</w:t>
      </w:r>
      <w:r>
        <w:rPr>
          <w:rFonts w:hint="eastAsia" w:ascii="仿宋" w:hAnsi="仿宋" w:eastAsia="仿宋" w:cs="仿宋"/>
          <w:b w:val="0"/>
          <w:bCs w:val="0"/>
          <w:sz w:val="32"/>
          <w:szCs w:val="32"/>
          <w:highlight w:val="none"/>
          <w:lang w:val="en-US" w:eastAsia="zh-CN"/>
        </w:rPr>
        <w:t>未存在因预算执行合规与否、快慢情况直接影响绩效产出目标的实现的情况。</w:t>
      </w:r>
    </w:p>
    <w:p w14:paraId="7FE879F2">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643" w:firstLineChars="200"/>
        <w:jc w:val="both"/>
        <w:textAlignment w:val="auto"/>
        <w:outlineLvl w:val="9"/>
      </w:pPr>
      <w:r>
        <w:rPr>
          <w:rFonts w:hint="eastAsia" w:ascii="仿宋" w:hAnsi="仿宋" w:eastAsia="仿宋" w:cs="仿宋"/>
          <w:b/>
          <w:bCs/>
          <w:sz w:val="32"/>
          <w:szCs w:val="32"/>
          <w:lang w:eastAsia="zh-CN"/>
        </w:rPr>
        <w:t>（</w:t>
      </w:r>
      <w:r>
        <w:rPr>
          <w:rFonts w:hint="eastAsia" w:ascii="仿宋" w:hAnsi="仿宋" w:eastAsia="仿宋" w:cs="仿宋"/>
          <w:b/>
          <w:bCs/>
          <w:sz w:val="32"/>
          <w:szCs w:val="32"/>
          <w:lang w:val="en-US" w:eastAsia="zh-CN"/>
        </w:rPr>
        <w:t>6</w:t>
      </w:r>
      <w:r>
        <w:rPr>
          <w:rFonts w:hint="eastAsia" w:ascii="仿宋" w:hAnsi="仿宋" w:eastAsia="仿宋" w:cs="仿宋"/>
          <w:b/>
          <w:bCs/>
          <w:sz w:val="32"/>
          <w:szCs w:val="32"/>
          <w:lang w:eastAsia="zh-CN"/>
        </w:rPr>
        <w:t>）</w:t>
      </w:r>
      <w:r>
        <w:rPr>
          <w:rFonts w:hint="eastAsia" w:ascii="仿宋" w:hAnsi="仿宋" w:eastAsia="仿宋" w:cs="仿宋"/>
          <w:b/>
          <w:bCs/>
          <w:sz w:val="32"/>
          <w:szCs w:val="32"/>
          <w:lang w:val="en-US" w:eastAsia="zh-CN"/>
        </w:rPr>
        <w:t>本年度决算数与上年度决算数对比，减少率26.03%。</w:t>
      </w:r>
    </w:p>
    <w:p w14:paraId="79E74D19">
      <w:pPr>
        <w:pStyle w:val="7"/>
      </w:pPr>
      <w:r>
        <w:drawing>
          <wp:inline distT="0" distB="0" distL="114300" distR="114300">
            <wp:extent cx="5340985" cy="3404235"/>
            <wp:effectExtent l="9525" t="9525" r="21590" b="15240"/>
            <wp:docPr id="6" name="图片 5"/>
            <wp:cNvGraphicFramePr/>
            <a:graphic xmlns:a="http://schemas.openxmlformats.org/drawingml/2006/main">
              <a:graphicData uri="http://schemas.openxmlformats.org/drawingml/2006/picture">
                <pic:pic xmlns:pic="http://schemas.openxmlformats.org/drawingml/2006/picture">
                  <pic:nvPicPr>
                    <pic:cNvPr id="6" name="图片 5"/>
                    <pic:cNvPicPr/>
                  </pic:nvPicPr>
                  <pic:blipFill>
                    <a:blip r:embed="rId15"/>
                  </pic:blipFill>
                  <pic:spPr>
                    <a:xfrm>
                      <a:off x="0" y="0"/>
                      <a:ext cx="5340985" cy="3404235"/>
                    </a:xfrm>
                    <a:prstGeom prst="rect">
                      <a:avLst/>
                    </a:prstGeom>
                    <a:solidFill>
                      <a:srgbClr val="FFFFFF"/>
                    </a:solidFill>
                    <a:ln w="9525">
                      <a:solidFill>
                        <a:srgbClr val="000000"/>
                      </a:solidFill>
                    </a:ln>
                  </pic:spPr>
                </pic:pic>
              </a:graphicData>
            </a:graphic>
          </wp:inline>
        </w:drawing>
      </w:r>
    </w:p>
    <w:p w14:paraId="7E2AC06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（7）本年度全年预算数、账套数、决算数、重分类决算数汇总对比表列示如下：</w:t>
      </w:r>
    </w:p>
    <w:p w14:paraId="76FD44F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仿宋" w:hAnsi="仿宋" w:eastAsia="仿宋" w:cs="仿宋"/>
          <w:b/>
          <w:bCs/>
          <w:sz w:val="32"/>
          <w:szCs w:val="32"/>
          <w:lang w:val="en-US" w:eastAsia="zh-CN"/>
        </w:rPr>
      </w:pPr>
      <w:r>
        <w:drawing>
          <wp:inline distT="0" distB="0" distL="114300" distR="114300">
            <wp:extent cx="5801995" cy="1047750"/>
            <wp:effectExtent l="9525" t="9525" r="17780" b="9525"/>
            <wp:docPr id="42" name="图片 8"/>
            <wp:cNvGraphicFramePr/>
            <a:graphic xmlns:a="http://schemas.openxmlformats.org/drawingml/2006/main">
              <a:graphicData uri="http://schemas.openxmlformats.org/drawingml/2006/picture">
                <pic:pic xmlns:pic="http://schemas.openxmlformats.org/drawingml/2006/picture">
                  <pic:nvPicPr>
                    <pic:cNvPr id="42" name="图片 8"/>
                    <pic:cNvPicPr/>
                  </pic:nvPicPr>
                  <pic:blipFill>
                    <a:blip r:embed="rId16"/>
                  </pic:blipFill>
                  <pic:spPr>
                    <a:xfrm>
                      <a:off x="0" y="0"/>
                      <a:ext cx="5801995" cy="1047750"/>
                    </a:xfrm>
                    <a:prstGeom prst="rect">
                      <a:avLst/>
                    </a:prstGeom>
                    <a:solidFill>
                      <a:srgbClr val="FFFFFF"/>
                    </a:solidFill>
                    <a:ln w="9525">
                      <a:solidFill>
                        <a:srgbClr val="000000"/>
                      </a:solidFill>
                    </a:ln>
                  </pic:spPr>
                </pic:pic>
              </a:graphicData>
            </a:graphic>
          </wp:inline>
        </w:drawing>
      </w:r>
    </w:p>
    <w:p w14:paraId="4A06AE8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仿宋" w:hAnsi="仿宋" w:eastAsia="仿宋" w:cs="仿宋"/>
          <w:b/>
          <w:bCs/>
          <w:sz w:val="32"/>
          <w:szCs w:val="32"/>
          <w:lang w:val="en-US" w:eastAsia="zh-CN"/>
        </w:rPr>
      </w:pPr>
      <w:r>
        <w:drawing>
          <wp:inline distT="0" distB="0" distL="114300" distR="114300">
            <wp:extent cx="5839460" cy="1087120"/>
            <wp:effectExtent l="9525" t="9525" r="18415" b="27305"/>
            <wp:docPr id="43" name="图片 12"/>
            <wp:cNvGraphicFramePr/>
            <a:graphic xmlns:a="http://schemas.openxmlformats.org/drawingml/2006/main">
              <a:graphicData uri="http://schemas.openxmlformats.org/drawingml/2006/picture">
                <pic:pic xmlns:pic="http://schemas.openxmlformats.org/drawingml/2006/picture">
                  <pic:nvPicPr>
                    <pic:cNvPr id="43" name="图片 12"/>
                    <pic:cNvPicPr/>
                  </pic:nvPicPr>
                  <pic:blipFill>
                    <a:blip r:embed="rId17"/>
                  </pic:blipFill>
                  <pic:spPr>
                    <a:xfrm>
                      <a:off x="0" y="0"/>
                      <a:ext cx="5839460" cy="1087120"/>
                    </a:xfrm>
                    <a:prstGeom prst="rect">
                      <a:avLst/>
                    </a:prstGeom>
                    <a:solidFill>
                      <a:srgbClr val="FFFFFF"/>
                    </a:solidFill>
                    <a:ln w="9525">
                      <a:solidFill>
                        <a:srgbClr val="000000"/>
                      </a:solidFill>
                    </a:ln>
                  </pic:spPr>
                </pic:pic>
              </a:graphicData>
            </a:graphic>
          </wp:inline>
        </w:drawing>
      </w:r>
    </w:p>
    <w:p w14:paraId="3FAAD2F4">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b/>
          <w:bCs/>
          <w:sz w:val="32"/>
          <w:szCs w:val="32"/>
          <w:lang w:val="en-US" w:eastAsia="zh-CN"/>
        </w:rPr>
      </w:pPr>
    </w:p>
    <w:p w14:paraId="006EBD55">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b/>
          <w:bCs/>
          <w:sz w:val="32"/>
          <w:szCs w:val="32"/>
          <w:lang w:val="en-US" w:eastAsia="zh-CN"/>
        </w:rPr>
      </w:pPr>
    </w:p>
    <w:p w14:paraId="49F5B10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pPr>
      <w:r>
        <w:drawing>
          <wp:inline distT="0" distB="0" distL="114300" distR="114300">
            <wp:extent cx="4693285" cy="4267200"/>
            <wp:effectExtent l="4445" t="4445" r="7620" b="14605"/>
            <wp:docPr id="44"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6DABC4C">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仿宋" w:hAnsi="仿宋" w:eastAsia="仿宋" w:cs="仿宋"/>
          <w:b w:val="0"/>
          <w:bCs w:val="0"/>
          <w:sz w:val="32"/>
          <w:szCs w:val="32"/>
          <w:lang w:val="en-US" w:eastAsia="zh-CN"/>
        </w:rPr>
      </w:pPr>
      <w:bookmarkStart w:id="31" w:name="_Toc5669"/>
      <w:r>
        <w:rPr>
          <w:rFonts w:hint="eastAsia" w:ascii="楷体" w:hAnsi="楷体" w:eastAsia="楷体" w:cs="楷体"/>
          <w:b/>
          <w:bCs/>
          <w:sz w:val="32"/>
          <w:szCs w:val="32"/>
          <w:lang w:val="en-US" w:eastAsia="zh-CN"/>
        </w:rPr>
        <w:t>整体支出汇总及分析</w:t>
      </w:r>
      <w:bookmarkEnd w:id="31"/>
    </w:p>
    <w:p w14:paraId="6E70744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支出检查范围及内容：是否符合预算用途和相关财经法规条例，有无超范围、超标准支出，报销凭证完整性与合规性，政府采购程序是否规范，招投标是否合规，重大项目开支和大额资金使用是否经单位党组集体研究决策，资金支付是否有完整的审批程序和手续等。</w:t>
      </w:r>
    </w:p>
    <w:p w14:paraId="4645D98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1.整体支出情况</w:t>
      </w:r>
    </w:p>
    <w:p w14:paraId="4B71BD5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（1）整体支出分类及范围</w:t>
      </w:r>
    </w:p>
    <w:p w14:paraId="0E4BBAD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区财政局的整体支出分为三大类，分别为基本支出-人员经费、基本支出-公用经费（一般性支出）与项目支出。</w:t>
      </w:r>
      <w:r>
        <w:rPr>
          <w:rFonts w:hint="eastAsia" w:ascii="仿宋" w:hAnsi="仿宋" w:eastAsia="仿宋" w:cs="仿宋"/>
          <w:b/>
          <w:bCs/>
          <w:sz w:val="32"/>
          <w:szCs w:val="32"/>
          <w:lang w:val="en-US" w:eastAsia="zh-CN"/>
        </w:rPr>
        <w:t>一是基本支出-人员经费</w:t>
      </w:r>
      <w:r>
        <w:rPr>
          <w:rFonts w:hint="eastAsia" w:ascii="仿宋" w:hAnsi="仿宋" w:eastAsia="仿宋" w:cs="仿宋"/>
          <w:b w:val="0"/>
          <w:bCs w:val="0"/>
          <w:sz w:val="32"/>
          <w:szCs w:val="32"/>
          <w:lang w:val="en-US" w:eastAsia="zh-CN"/>
        </w:rPr>
        <w:t>包括基本工资、津贴补贴、社会保障缴费、住房公积金、奖金、对家庭和个人的补助、津贴补贴、其他保障、劳务费等。</w:t>
      </w:r>
      <w:r>
        <w:rPr>
          <w:rFonts w:hint="eastAsia" w:ascii="仿宋" w:hAnsi="仿宋" w:eastAsia="仿宋" w:cs="仿宋"/>
          <w:b/>
          <w:bCs/>
          <w:sz w:val="32"/>
          <w:szCs w:val="32"/>
          <w:lang w:val="en-US" w:eastAsia="zh-CN"/>
        </w:rPr>
        <w:t>二是基本支出-公用经费</w:t>
      </w:r>
      <w:r>
        <w:rPr>
          <w:rFonts w:hint="eastAsia" w:ascii="仿宋" w:hAnsi="仿宋" w:eastAsia="仿宋" w:cs="仿宋"/>
          <w:b w:val="0"/>
          <w:bCs w:val="0"/>
          <w:sz w:val="32"/>
          <w:szCs w:val="32"/>
          <w:lang w:val="en-US" w:eastAsia="zh-CN"/>
        </w:rPr>
        <w:t>包括办公经费、工会经费、食堂餐费、培训费、公车费、报告咨询、差旅费、保洁费、会议费、装修维修费、党建等。</w:t>
      </w:r>
      <w:r>
        <w:rPr>
          <w:rFonts w:hint="eastAsia" w:ascii="仿宋" w:hAnsi="仿宋" w:eastAsia="仿宋" w:cs="仿宋"/>
          <w:b/>
          <w:bCs/>
          <w:sz w:val="32"/>
          <w:szCs w:val="32"/>
          <w:lang w:val="en-US" w:eastAsia="zh-CN"/>
        </w:rPr>
        <w:t>三是项目支出</w:t>
      </w:r>
      <w:r>
        <w:rPr>
          <w:rFonts w:hint="eastAsia" w:ascii="仿宋" w:hAnsi="仿宋" w:eastAsia="仿宋" w:cs="仿宋"/>
          <w:b w:val="0"/>
          <w:bCs w:val="0"/>
          <w:sz w:val="32"/>
          <w:szCs w:val="32"/>
          <w:lang w:val="en-US" w:eastAsia="zh-CN"/>
        </w:rPr>
        <w:t>包括绩效评价、采购询价、采购全流程系统、预算一体化、专项审计、非税软件、财力评估、软件网络维护、咨询服务、律师咨询费、加班餐费、资产清查业务培训费、网络宣传等。</w:t>
      </w:r>
    </w:p>
    <w:p w14:paraId="2EBD698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（2）各类支出从账套数到重分类数的调整过程</w:t>
      </w:r>
    </w:p>
    <w:p w14:paraId="44719A0C">
      <w:pPr>
        <w:keepNext w:val="0"/>
        <w:keepLines w:val="0"/>
        <w:pageBreakBefore w:val="0"/>
        <w:widowControl w:val="0"/>
        <w:numPr>
          <w:ilvl w:val="0"/>
          <w:numId w:val="0"/>
        </w:numPr>
        <w:kinsoku/>
        <w:wordWrap/>
        <w:overflowPunct/>
        <w:topLinePunct w:val="0"/>
        <w:autoSpaceDE/>
        <w:autoSpaceDN/>
        <w:bidi w:val="0"/>
        <w:adjustRightInd/>
        <w:snapToGrid/>
        <w:spacing w:line="20" w:lineRule="atLeast"/>
        <w:ind w:firstLine="480" w:firstLineChars="200"/>
        <w:jc w:val="center"/>
        <w:textAlignment w:val="auto"/>
        <w:outlineLvl w:val="9"/>
        <w:rPr>
          <w:rFonts w:hint="eastAsia" w:ascii="仿宋" w:hAnsi="仿宋" w:eastAsia="仿宋" w:cs="仿宋"/>
          <w:b/>
          <w:bCs/>
          <w:sz w:val="32"/>
          <w:szCs w:val="32"/>
          <w:lang w:val="en-US" w:eastAsia="zh-CN"/>
        </w:rPr>
      </w:pPr>
      <w:r>
        <w:drawing>
          <wp:inline distT="0" distB="0" distL="114300" distR="114300">
            <wp:extent cx="5563235" cy="2668905"/>
            <wp:effectExtent l="9525" t="9525" r="27940" b="26670"/>
            <wp:docPr id="46" name="图片 1"/>
            <wp:cNvGraphicFramePr/>
            <a:graphic xmlns:a="http://schemas.openxmlformats.org/drawingml/2006/main">
              <a:graphicData uri="http://schemas.openxmlformats.org/drawingml/2006/picture">
                <pic:pic xmlns:pic="http://schemas.openxmlformats.org/drawingml/2006/picture">
                  <pic:nvPicPr>
                    <pic:cNvPr id="46" name="图片 1"/>
                    <pic:cNvPicPr/>
                  </pic:nvPicPr>
                  <pic:blipFill>
                    <a:blip r:embed="rId19"/>
                  </pic:blipFill>
                  <pic:spPr>
                    <a:xfrm>
                      <a:off x="0" y="0"/>
                      <a:ext cx="5563235" cy="2668905"/>
                    </a:xfrm>
                    <a:prstGeom prst="rect">
                      <a:avLst/>
                    </a:prstGeom>
                    <a:solidFill>
                      <a:srgbClr val="FFFFFF"/>
                    </a:solidFill>
                    <a:ln w="9525">
                      <a:solidFill>
                        <a:srgbClr val="000000"/>
                      </a:solidFill>
                    </a:ln>
                  </pic:spPr>
                </pic:pic>
              </a:graphicData>
            </a:graphic>
          </wp:inline>
        </w:drawing>
      </w:r>
    </w:p>
    <w:p w14:paraId="764ACBA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outlineLvl w:val="9"/>
        <w:rPr>
          <w:rFonts w:hint="eastAsia" w:ascii="仿宋" w:hAnsi="仿宋" w:eastAsia="仿宋" w:cs="仿宋"/>
          <w:b/>
          <w:bCs/>
          <w:sz w:val="32"/>
          <w:szCs w:val="32"/>
          <w:lang w:val="en-US" w:eastAsia="zh-CN"/>
        </w:rPr>
      </w:pPr>
      <w:r>
        <w:drawing>
          <wp:inline distT="0" distB="0" distL="114300" distR="114300">
            <wp:extent cx="4851400" cy="5524500"/>
            <wp:effectExtent l="9525" t="9525" r="15875" b="9525"/>
            <wp:docPr id="3" name="图片 2"/>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20"/>
                  </pic:blipFill>
                  <pic:spPr>
                    <a:xfrm>
                      <a:off x="0" y="0"/>
                      <a:ext cx="4851400" cy="5524500"/>
                    </a:xfrm>
                    <a:prstGeom prst="rect">
                      <a:avLst/>
                    </a:prstGeom>
                    <a:solidFill>
                      <a:srgbClr val="FFFFFF"/>
                    </a:solidFill>
                    <a:ln w="9525">
                      <a:solidFill>
                        <a:srgbClr val="000000"/>
                      </a:solidFill>
                    </a:ln>
                  </pic:spPr>
                </pic:pic>
              </a:graphicData>
            </a:graphic>
          </wp:inline>
        </w:drawing>
      </w:r>
    </w:p>
    <w:p w14:paraId="56AB774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outlineLvl w:val="9"/>
        <w:rPr>
          <w:rFonts w:hint="eastAsia" w:ascii="仿宋" w:hAnsi="仿宋" w:eastAsia="仿宋" w:cs="仿宋"/>
          <w:b/>
          <w:bCs/>
          <w:sz w:val="32"/>
          <w:szCs w:val="32"/>
          <w:lang w:val="en-US" w:eastAsia="zh-CN"/>
        </w:rPr>
      </w:pPr>
      <w:r>
        <w:drawing>
          <wp:inline distT="0" distB="0" distL="114300" distR="114300">
            <wp:extent cx="5591175" cy="4735195"/>
            <wp:effectExtent l="9525" t="9525" r="19050" b="17780"/>
            <wp:docPr id="36" name="图片 2"/>
            <wp:cNvGraphicFramePr/>
            <a:graphic xmlns:a="http://schemas.openxmlformats.org/drawingml/2006/main">
              <a:graphicData uri="http://schemas.openxmlformats.org/drawingml/2006/picture">
                <pic:pic xmlns:pic="http://schemas.openxmlformats.org/drawingml/2006/picture">
                  <pic:nvPicPr>
                    <pic:cNvPr id="36" name="图片 2"/>
                    <pic:cNvPicPr/>
                  </pic:nvPicPr>
                  <pic:blipFill>
                    <a:blip r:embed="rId21"/>
                  </pic:blipFill>
                  <pic:spPr>
                    <a:xfrm>
                      <a:off x="0" y="0"/>
                      <a:ext cx="5591175" cy="4735195"/>
                    </a:xfrm>
                    <a:prstGeom prst="rect">
                      <a:avLst/>
                    </a:prstGeom>
                    <a:solidFill>
                      <a:srgbClr val="FFFFFF"/>
                    </a:solidFill>
                    <a:ln w="9525">
                      <a:solidFill>
                        <a:srgbClr val="000000"/>
                      </a:solidFill>
                    </a:ln>
                  </pic:spPr>
                </pic:pic>
              </a:graphicData>
            </a:graphic>
          </wp:inline>
        </w:drawing>
      </w:r>
    </w:p>
    <w:p w14:paraId="0606499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（3）各类支出重分类数与决算数的对比分析</w:t>
      </w:r>
    </w:p>
    <w:p w14:paraId="37A37286">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由下表可知，重分类数与决算数相比项目支出减少1,634,354.81元，减少率49.69%。人员经费增加1,235,927.19元，增长率20.11%。公用经费增加398,427.62元，增长率115.30%。原因为人员经费与公用经费指标不够用，使用项目支出指标。</w:t>
      </w:r>
    </w:p>
    <w:p w14:paraId="2A6B8DC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outlineLvl w:val="9"/>
        <w:rPr>
          <w:rFonts w:hint="eastAsia" w:ascii="仿宋" w:hAnsi="仿宋" w:eastAsia="仿宋" w:cs="仿宋"/>
          <w:b/>
          <w:bCs/>
          <w:sz w:val="32"/>
          <w:szCs w:val="32"/>
          <w:lang w:val="en-US" w:eastAsia="zh-CN"/>
        </w:rPr>
      </w:pPr>
      <w:r>
        <w:drawing>
          <wp:inline distT="0" distB="0" distL="114300" distR="114300">
            <wp:extent cx="5572125" cy="1047750"/>
            <wp:effectExtent l="9525" t="9525" r="19050" b="9525"/>
            <wp:docPr id="47" name="图片 14"/>
            <wp:cNvGraphicFramePr/>
            <a:graphic xmlns:a="http://schemas.openxmlformats.org/drawingml/2006/main">
              <a:graphicData uri="http://schemas.openxmlformats.org/drawingml/2006/picture">
                <pic:pic xmlns:pic="http://schemas.openxmlformats.org/drawingml/2006/picture">
                  <pic:nvPicPr>
                    <pic:cNvPr id="47" name="图片 14"/>
                    <pic:cNvPicPr/>
                  </pic:nvPicPr>
                  <pic:blipFill>
                    <a:blip r:embed="rId22"/>
                  </pic:blipFill>
                  <pic:spPr>
                    <a:xfrm>
                      <a:off x="0" y="0"/>
                      <a:ext cx="5572125" cy="1047750"/>
                    </a:xfrm>
                    <a:prstGeom prst="rect">
                      <a:avLst/>
                    </a:prstGeom>
                    <a:solidFill>
                      <a:srgbClr val="FFFFFF"/>
                    </a:solidFill>
                    <a:ln w="9525">
                      <a:solidFill>
                        <a:srgbClr val="000000"/>
                      </a:solidFill>
                    </a:ln>
                  </pic:spPr>
                </pic:pic>
              </a:graphicData>
            </a:graphic>
          </wp:inline>
        </w:drawing>
      </w:r>
    </w:p>
    <w:p w14:paraId="483A402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2.基本支出-人员经费重分类数汇总及分析</w:t>
      </w:r>
    </w:p>
    <w:p w14:paraId="5824283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详见后附工资管理情况及分析</w:t>
      </w:r>
    </w:p>
    <w:p w14:paraId="03CABAE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center"/>
        <w:textAlignment w:val="auto"/>
        <w:outlineLvl w:val="9"/>
        <w:rPr>
          <w:rFonts w:hint="eastAsia" w:ascii="仿宋" w:hAnsi="仿宋" w:eastAsia="仿宋" w:cs="仿宋"/>
          <w:b/>
          <w:bCs/>
          <w:sz w:val="32"/>
          <w:szCs w:val="32"/>
          <w:lang w:val="en-US" w:eastAsia="zh-CN"/>
        </w:rPr>
      </w:pPr>
      <w:r>
        <w:drawing>
          <wp:inline distT="0" distB="0" distL="114300" distR="114300">
            <wp:extent cx="5915025" cy="2038350"/>
            <wp:effectExtent l="9525" t="9525" r="19050" b="9525"/>
            <wp:docPr id="38" name="图片 2"/>
            <wp:cNvGraphicFramePr/>
            <a:graphic xmlns:a="http://schemas.openxmlformats.org/drawingml/2006/main">
              <a:graphicData uri="http://schemas.openxmlformats.org/drawingml/2006/picture">
                <pic:pic xmlns:pic="http://schemas.openxmlformats.org/drawingml/2006/picture">
                  <pic:nvPicPr>
                    <pic:cNvPr id="38" name="图片 2"/>
                    <pic:cNvPicPr/>
                  </pic:nvPicPr>
                  <pic:blipFill>
                    <a:blip r:embed="rId23"/>
                  </pic:blipFill>
                  <pic:spPr>
                    <a:xfrm>
                      <a:off x="0" y="0"/>
                      <a:ext cx="5915025" cy="2038350"/>
                    </a:xfrm>
                    <a:prstGeom prst="rect">
                      <a:avLst/>
                    </a:prstGeom>
                    <a:solidFill>
                      <a:srgbClr val="FFFFFF"/>
                    </a:solidFill>
                    <a:ln w="9525">
                      <a:solidFill>
                        <a:srgbClr val="000000"/>
                      </a:solidFill>
                    </a:ln>
                  </pic:spPr>
                </pic:pic>
              </a:graphicData>
            </a:graphic>
          </wp:inline>
        </w:drawing>
      </w:r>
    </w:p>
    <w:p w14:paraId="074A526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3.基本支出-公用经费重分类数汇总及分析</w:t>
      </w:r>
    </w:p>
    <w:p w14:paraId="3E25505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pPr>
      <w:r>
        <w:drawing>
          <wp:inline distT="0" distB="0" distL="114300" distR="114300">
            <wp:extent cx="4686935" cy="2228850"/>
            <wp:effectExtent l="9525" t="9525" r="27940" b="9525"/>
            <wp:docPr id="39" name="图片 3"/>
            <wp:cNvGraphicFramePr/>
            <a:graphic xmlns:a="http://schemas.openxmlformats.org/drawingml/2006/main">
              <a:graphicData uri="http://schemas.openxmlformats.org/drawingml/2006/picture">
                <pic:pic xmlns:pic="http://schemas.openxmlformats.org/drawingml/2006/picture">
                  <pic:nvPicPr>
                    <pic:cNvPr id="39" name="图片 3"/>
                    <pic:cNvPicPr/>
                  </pic:nvPicPr>
                  <pic:blipFill>
                    <a:blip r:embed="rId24"/>
                  </pic:blipFill>
                  <pic:spPr>
                    <a:xfrm>
                      <a:off x="0" y="0"/>
                      <a:ext cx="4686935" cy="2228850"/>
                    </a:xfrm>
                    <a:prstGeom prst="rect">
                      <a:avLst/>
                    </a:prstGeom>
                    <a:solidFill>
                      <a:srgbClr val="FFFFFF"/>
                    </a:solidFill>
                    <a:ln w="9525">
                      <a:solidFill>
                        <a:srgbClr val="000000"/>
                      </a:solidFill>
                    </a:ln>
                  </pic:spPr>
                </pic:pic>
              </a:graphicData>
            </a:graphic>
          </wp:inline>
        </w:drawing>
      </w:r>
    </w:p>
    <w:p w14:paraId="0A42E79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 w:hAnsi="仿宋" w:eastAsia="仿宋" w:cs="仿宋"/>
          <w:b/>
          <w:bCs/>
          <w:color w:val="auto"/>
          <w:sz w:val="32"/>
          <w:szCs w:val="32"/>
          <w:highlight w:val="none"/>
          <w:lang w:val="en-US" w:eastAsia="zh-CN"/>
        </w:rPr>
      </w:pPr>
      <w:r>
        <w:rPr>
          <w:rFonts w:hint="eastAsia" w:ascii="仿宋" w:hAnsi="仿宋" w:eastAsia="仿宋" w:cs="仿宋"/>
          <w:sz w:val="32"/>
          <w:szCs w:val="32"/>
          <w:highlight w:val="none"/>
          <w:lang w:val="en-US" w:eastAsia="zh-CN"/>
        </w:rPr>
        <w:t>检查凭证存在以下情况：</w:t>
      </w:r>
    </w:p>
    <w:p w14:paraId="131FCB1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一是</w:t>
      </w:r>
      <w:r>
        <w:rPr>
          <w:rFonts w:hint="eastAsia" w:ascii="仿宋" w:hAnsi="仿宋" w:eastAsia="仿宋" w:cs="仿宋"/>
          <w:b w:val="0"/>
          <w:bCs w:val="0"/>
          <w:sz w:val="32"/>
          <w:szCs w:val="32"/>
          <w:lang w:val="en-US" w:eastAsia="zh-CN"/>
        </w:rPr>
        <w:t>2024年2月13号凭证4,800.00元，</w:t>
      </w:r>
      <w:r>
        <w:rPr>
          <w:rFonts w:hint="eastAsia" w:ascii="仿宋" w:hAnsi="仿宋" w:eastAsia="仿宋" w:cs="仿宋"/>
          <w:b/>
          <w:bCs/>
          <w:sz w:val="32"/>
          <w:szCs w:val="32"/>
          <w:lang w:val="en-US" w:eastAsia="zh-CN"/>
        </w:rPr>
        <w:t>支付2024年困难党员、困难职工、困难儿童慰问后附补助人员清单，</w:t>
      </w:r>
      <w:r>
        <w:rPr>
          <w:rFonts w:hint="eastAsia" w:ascii="仿宋" w:hAnsi="仿宋" w:eastAsia="仿宋" w:cs="仿宋"/>
          <w:b w:val="0"/>
          <w:bCs w:val="0"/>
          <w:sz w:val="32"/>
          <w:szCs w:val="32"/>
          <w:lang w:val="en-US" w:eastAsia="zh-CN"/>
        </w:rPr>
        <w:t>国库支付单支付李孟瑶，</w:t>
      </w:r>
      <w:r>
        <w:rPr>
          <w:rFonts w:hint="eastAsia" w:ascii="仿宋" w:hAnsi="仿宋" w:eastAsia="仿宋" w:cs="仿宋"/>
          <w:b/>
          <w:bCs/>
          <w:sz w:val="32"/>
          <w:szCs w:val="32"/>
          <w:lang w:val="en-US" w:eastAsia="zh-CN"/>
        </w:rPr>
        <w:t>后附表上无领款人员签收，无其他附件说明。支付凭证不完整，支付方式不合理，</w:t>
      </w:r>
      <w:r>
        <w:rPr>
          <w:rFonts w:hint="eastAsia" w:ascii="仿宋" w:hAnsi="仿宋" w:eastAsia="仿宋" w:cs="仿宋"/>
          <w:b w:val="0"/>
          <w:bCs w:val="0"/>
          <w:sz w:val="32"/>
          <w:szCs w:val="32"/>
          <w:lang w:val="en-US" w:eastAsia="zh-CN"/>
        </w:rPr>
        <w:t>这笔慰问支出更符合工会经费的使用范围。</w:t>
      </w:r>
      <w:r>
        <w:rPr>
          <w:rFonts w:hint="eastAsia" w:ascii="仿宋" w:hAnsi="仿宋" w:eastAsia="仿宋" w:cs="仿宋"/>
          <w:b/>
          <w:bCs/>
          <w:sz w:val="32"/>
          <w:szCs w:val="32"/>
          <w:lang w:val="en-US" w:eastAsia="zh-CN"/>
        </w:rPr>
        <w:t>二是</w:t>
      </w:r>
      <w:r>
        <w:rPr>
          <w:rFonts w:hint="eastAsia" w:ascii="仿宋" w:hAnsi="仿宋" w:eastAsia="仿宋" w:cs="仿宋"/>
          <w:b w:val="0"/>
          <w:bCs w:val="0"/>
          <w:sz w:val="32"/>
          <w:szCs w:val="32"/>
          <w:highlight w:val="none"/>
          <w:lang w:val="en-US" w:eastAsia="zh-CN"/>
        </w:rPr>
        <w:t>2024年8月记14号凭证支付八一慰问费4,400.00元，慰问成员属在职职工，</w:t>
      </w:r>
      <w:r>
        <w:rPr>
          <w:rFonts w:hint="eastAsia" w:ascii="仿宋" w:hAnsi="仿宋" w:eastAsia="仿宋" w:cs="仿宋"/>
          <w:b/>
          <w:bCs/>
          <w:sz w:val="32"/>
          <w:szCs w:val="32"/>
          <w:highlight w:val="none"/>
          <w:lang w:val="en-US" w:eastAsia="zh-CN"/>
        </w:rPr>
        <w:t>“八一慰问费”属于工会经费的正当支出范围，必须使用工会经费支付。使用国库支付违反了财政资金的专款专用原则。三是</w:t>
      </w:r>
      <w:r>
        <w:rPr>
          <w:rFonts w:hint="eastAsia" w:ascii="仿宋" w:hAnsi="仿宋" w:eastAsia="仿宋" w:cs="仿宋"/>
          <w:b w:val="0"/>
          <w:bCs w:val="0"/>
          <w:sz w:val="32"/>
          <w:szCs w:val="32"/>
          <w:highlight w:val="none"/>
          <w:lang w:val="en-US" w:eastAsia="zh-CN"/>
        </w:rPr>
        <w:t>存在</w:t>
      </w:r>
      <w:r>
        <w:rPr>
          <w:rFonts w:hint="eastAsia" w:ascii="仿宋" w:hAnsi="仿宋" w:eastAsia="仿宋" w:cs="仿宋"/>
          <w:b/>
          <w:bCs/>
          <w:sz w:val="32"/>
          <w:szCs w:val="32"/>
          <w:highlight w:val="none"/>
          <w:lang w:val="en-US" w:eastAsia="zh-CN"/>
        </w:rPr>
        <w:t>加班餐费分管领导未签字审批，供应合同未盖章的情况。</w:t>
      </w:r>
      <w:r>
        <w:rPr>
          <w:rFonts w:hint="eastAsia" w:ascii="仿宋" w:hAnsi="仿宋" w:eastAsia="仿宋" w:cs="仿宋"/>
          <w:b w:val="0"/>
          <w:bCs w:val="0"/>
          <w:sz w:val="32"/>
          <w:szCs w:val="32"/>
          <w:highlight w:val="none"/>
          <w:lang w:val="en-US" w:eastAsia="zh-CN"/>
        </w:rPr>
        <w:t>如2024年10月6号凭证后附其中一份合同供应商未盖公章，供应商为衡阳市德胜数码有限公司，金额200元。2024年11月13号凭证加班用餐审批表上无分管领导审批。2024年12月43号凭证加班用餐审批表上未填人数，无分管领导审批。</w:t>
      </w:r>
      <w:r>
        <w:rPr>
          <w:rFonts w:hint="eastAsia" w:ascii="仿宋" w:hAnsi="仿宋" w:eastAsia="仿宋" w:cs="仿宋"/>
          <w:b/>
          <w:bCs/>
          <w:sz w:val="32"/>
          <w:szCs w:val="32"/>
          <w:highlight w:val="none"/>
          <w:lang w:val="en-US" w:eastAsia="zh-CN"/>
        </w:rPr>
        <w:t>四是</w:t>
      </w:r>
      <w:r>
        <w:rPr>
          <w:rFonts w:hint="eastAsia" w:ascii="仿宋" w:hAnsi="仿宋" w:eastAsia="仿宋" w:cs="仿宋"/>
          <w:b w:val="0"/>
          <w:bCs w:val="0"/>
          <w:sz w:val="32"/>
          <w:szCs w:val="32"/>
          <w:highlight w:val="none"/>
          <w:lang w:val="en-US" w:eastAsia="zh-CN"/>
        </w:rPr>
        <w:t>2024年2月29号凭证支付百菲特系统2年服务费1800元，</w:t>
      </w:r>
      <w:r>
        <w:rPr>
          <w:rFonts w:hint="eastAsia" w:ascii="仿宋" w:hAnsi="仿宋" w:eastAsia="仿宋" w:cs="仿宋"/>
          <w:b/>
          <w:bCs/>
          <w:sz w:val="32"/>
          <w:szCs w:val="32"/>
          <w:highlight w:val="none"/>
          <w:lang w:val="en-US" w:eastAsia="zh-CN"/>
        </w:rPr>
        <w:t>合同、验收单、发票、凭证均未标明服务费的起止日期。五是</w:t>
      </w:r>
      <w:r>
        <w:rPr>
          <w:rFonts w:hint="eastAsia" w:ascii="仿宋" w:hAnsi="仿宋" w:eastAsia="仿宋" w:cs="仿宋"/>
          <w:b w:val="0"/>
          <w:bCs w:val="0"/>
          <w:sz w:val="32"/>
          <w:szCs w:val="32"/>
          <w:highlight w:val="none"/>
          <w:lang w:val="en-US" w:eastAsia="zh-CN"/>
        </w:rPr>
        <w:t>2024年12月73号凭证后附申购审批表上申购产品名称为2023年核算云运营服务费用3489.00元，购置用途手写改成2024年核算云运营服务费用，</w:t>
      </w:r>
      <w:r>
        <w:rPr>
          <w:rFonts w:hint="eastAsia" w:ascii="仿宋" w:hAnsi="仿宋" w:eastAsia="仿宋" w:cs="仿宋"/>
          <w:b/>
          <w:bCs/>
          <w:sz w:val="32"/>
          <w:szCs w:val="32"/>
          <w:highlight w:val="none"/>
          <w:lang w:val="en-US" w:eastAsia="zh-CN"/>
        </w:rPr>
        <w:t>后附电子合同未标明服务截止日期，发票未注明服务截止日期。</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8"/>
        <w:gridCol w:w="4258"/>
      </w:tblGrid>
      <w:tr w14:paraId="5D104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8" w:type="dxa"/>
          </w:tcPr>
          <w:p w14:paraId="23A08F6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drawing>
                <wp:inline distT="0" distB="0" distL="114300" distR="114300">
                  <wp:extent cx="2561590" cy="3625215"/>
                  <wp:effectExtent l="0" t="0" r="10160" b="13335"/>
                  <wp:docPr id="13" name="图片 13" descr="空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空_01"/>
                          <pic:cNvPicPr>
                            <a:picLocks noChangeAspect="1"/>
                          </pic:cNvPicPr>
                        </pic:nvPicPr>
                        <pic:blipFill>
                          <a:blip r:embed="rId25"/>
                          <a:stretch>
                            <a:fillRect/>
                          </a:stretch>
                        </pic:blipFill>
                        <pic:spPr>
                          <a:xfrm>
                            <a:off x="0" y="0"/>
                            <a:ext cx="2561590" cy="3625215"/>
                          </a:xfrm>
                          <a:prstGeom prst="rect">
                            <a:avLst/>
                          </a:prstGeom>
                        </pic:spPr>
                      </pic:pic>
                    </a:graphicData>
                  </a:graphic>
                </wp:inline>
              </w:drawing>
            </w:r>
          </w:p>
        </w:tc>
        <w:tc>
          <w:tcPr>
            <w:tcW w:w="4258" w:type="dxa"/>
          </w:tcPr>
          <w:p w14:paraId="6E3D4B1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drawing>
                <wp:inline distT="0" distB="0" distL="114300" distR="114300">
                  <wp:extent cx="2561590" cy="3625215"/>
                  <wp:effectExtent l="0" t="0" r="10160" b="13335"/>
                  <wp:docPr id="16" name="图片 16" descr="空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空_02"/>
                          <pic:cNvPicPr>
                            <a:picLocks noChangeAspect="1"/>
                          </pic:cNvPicPr>
                        </pic:nvPicPr>
                        <pic:blipFill>
                          <a:blip r:embed="rId26"/>
                          <a:stretch>
                            <a:fillRect/>
                          </a:stretch>
                        </pic:blipFill>
                        <pic:spPr>
                          <a:xfrm>
                            <a:off x="0" y="0"/>
                            <a:ext cx="2561590" cy="3625215"/>
                          </a:xfrm>
                          <a:prstGeom prst="rect">
                            <a:avLst/>
                          </a:prstGeom>
                        </pic:spPr>
                      </pic:pic>
                    </a:graphicData>
                  </a:graphic>
                </wp:inline>
              </w:drawing>
            </w:r>
          </w:p>
        </w:tc>
      </w:tr>
      <w:tr w14:paraId="6E9EC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8" w:type="dxa"/>
          </w:tcPr>
          <w:p w14:paraId="0BA14FD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drawing>
                <wp:inline distT="0" distB="0" distL="114300" distR="114300">
                  <wp:extent cx="2561590" cy="3625215"/>
                  <wp:effectExtent l="0" t="0" r="10160" b="13335"/>
                  <wp:docPr id="17" name="图片 17" descr="空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空_03"/>
                          <pic:cNvPicPr>
                            <a:picLocks noChangeAspect="1"/>
                          </pic:cNvPicPr>
                        </pic:nvPicPr>
                        <pic:blipFill>
                          <a:blip r:embed="rId27"/>
                          <a:stretch>
                            <a:fillRect/>
                          </a:stretch>
                        </pic:blipFill>
                        <pic:spPr>
                          <a:xfrm>
                            <a:off x="0" y="0"/>
                            <a:ext cx="2561590" cy="3625215"/>
                          </a:xfrm>
                          <a:prstGeom prst="rect">
                            <a:avLst/>
                          </a:prstGeom>
                        </pic:spPr>
                      </pic:pic>
                    </a:graphicData>
                  </a:graphic>
                </wp:inline>
              </w:drawing>
            </w:r>
          </w:p>
        </w:tc>
        <w:tc>
          <w:tcPr>
            <w:tcW w:w="4258" w:type="dxa"/>
          </w:tcPr>
          <w:p w14:paraId="33F5F58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drawing>
                <wp:inline distT="0" distB="0" distL="114300" distR="114300">
                  <wp:extent cx="2566670" cy="4141470"/>
                  <wp:effectExtent l="0" t="0" r="5080" b="11430"/>
                  <wp:docPr id="18" name="图片 18" descr="空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空_04"/>
                          <pic:cNvPicPr>
                            <a:picLocks noChangeAspect="1"/>
                          </pic:cNvPicPr>
                        </pic:nvPicPr>
                        <pic:blipFill>
                          <a:blip r:embed="rId28"/>
                          <a:stretch>
                            <a:fillRect/>
                          </a:stretch>
                        </pic:blipFill>
                        <pic:spPr>
                          <a:xfrm>
                            <a:off x="0" y="0"/>
                            <a:ext cx="2566670" cy="4141470"/>
                          </a:xfrm>
                          <a:prstGeom prst="rect">
                            <a:avLst/>
                          </a:prstGeom>
                        </pic:spPr>
                      </pic:pic>
                    </a:graphicData>
                  </a:graphic>
                </wp:inline>
              </w:drawing>
            </w:r>
          </w:p>
        </w:tc>
      </w:tr>
      <w:tr w14:paraId="760EE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8" w:type="dxa"/>
          </w:tcPr>
          <w:p w14:paraId="2545BA1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drawing>
                <wp:inline distT="0" distB="0" distL="114300" distR="114300">
                  <wp:extent cx="2566670" cy="1813560"/>
                  <wp:effectExtent l="0" t="0" r="5080" b="15240"/>
                  <wp:docPr id="19" name="图片 19" descr="空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空_05"/>
                          <pic:cNvPicPr>
                            <a:picLocks noChangeAspect="1"/>
                          </pic:cNvPicPr>
                        </pic:nvPicPr>
                        <pic:blipFill>
                          <a:blip r:embed="rId29"/>
                          <a:stretch>
                            <a:fillRect/>
                          </a:stretch>
                        </pic:blipFill>
                        <pic:spPr>
                          <a:xfrm>
                            <a:off x="0" y="0"/>
                            <a:ext cx="2566670" cy="1813560"/>
                          </a:xfrm>
                          <a:prstGeom prst="rect">
                            <a:avLst/>
                          </a:prstGeom>
                        </pic:spPr>
                      </pic:pic>
                    </a:graphicData>
                  </a:graphic>
                </wp:inline>
              </w:drawing>
            </w:r>
          </w:p>
        </w:tc>
        <w:tc>
          <w:tcPr>
            <w:tcW w:w="4258" w:type="dxa"/>
          </w:tcPr>
          <w:p w14:paraId="0EA7B2A8">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b w:val="0"/>
                <w:bCs w:val="0"/>
                <w:sz w:val="32"/>
                <w:szCs w:val="32"/>
                <w:vertAlign w:val="baseline"/>
                <w:lang w:val="en-US" w:eastAsia="zh-CN"/>
              </w:rPr>
            </w:pPr>
          </w:p>
        </w:tc>
      </w:tr>
    </w:tbl>
    <w:p w14:paraId="6C95C37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4.三公经费重分类数汇总及分析</w:t>
      </w:r>
    </w:p>
    <w:p w14:paraId="4BA221A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highlight w:val="none"/>
          <w:lang w:val="en-US" w:eastAsia="zh-CN"/>
        </w:rPr>
        <w:t>（1）区财政局2024年度无因公出国（境）费。（2）区财政局2024年度无公车运行费。</w:t>
      </w:r>
      <w:r>
        <w:rPr>
          <w:rFonts w:hint="eastAsia" w:ascii="仿宋" w:hAnsi="仿宋" w:eastAsia="仿宋" w:cs="仿宋"/>
          <w:b/>
          <w:bCs/>
          <w:sz w:val="32"/>
          <w:szCs w:val="32"/>
          <w:highlight w:val="none"/>
          <w:lang w:val="en-US" w:eastAsia="zh-CN"/>
        </w:rPr>
        <w:t>与交通费相关联</w:t>
      </w:r>
      <w:r>
        <w:rPr>
          <w:rFonts w:hint="eastAsia" w:ascii="仿宋" w:hAnsi="仿宋" w:eastAsia="仿宋" w:cs="仿宋"/>
          <w:b/>
          <w:bCs/>
          <w:sz w:val="32"/>
          <w:szCs w:val="32"/>
          <w:lang w:val="en-US" w:eastAsia="zh-CN"/>
        </w:rPr>
        <w:t>事项：</w:t>
      </w:r>
      <w:r>
        <w:rPr>
          <w:rFonts w:hint="eastAsia" w:ascii="仿宋" w:hAnsi="仿宋" w:eastAsia="仿宋" w:cs="仿宋"/>
          <w:b w:val="0"/>
          <w:bCs w:val="0"/>
          <w:sz w:val="32"/>
          <w:szCs w:val="32"/>
          <w:lang w:val="en-US" w:eastAsia="zh-CN"/>
        </w:rPr>
        <w:t>另存在交通补贴造表发放，发放表未见人力资源部或组织部审批盖章，有本部门领导签字。（3）</w:t>
      </w:r>
      <w:r>
        <w:rPr>
          <w:rFonts w:hint="eastAsia" w:ascii="仿宋" w:hAnsi="仿宋" w:eastAsia="仿宋" w:cs="仿宋"/>
          <w:b w:val="0"/>
          <w:bCs w:val="0"/>
          <w:sz w:val="32"/>
          <w:szCs w:val="32"/>
          <w:highlight w:val="none"/>
          <w:lang w:val="en-US" w:eastAsia="zh-CN"/>
        </w:rPr>
        <w:t>区财政局2024年度无公务接待费。</w:t>
      </w:r>
    </w:p>
    <w:p w14:paraId="0DCCA9D0">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5.会议费情况汇总</w:t>
      </w:r>
    </w:p>
    <w:p w14:paraId="3BCB1E4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default" w:ascii="仿宋" w:hAnsi="仿宋" w:eastAsia="仿宋" w:cs="仿宋"/>
          <w:b w:val="0"/>
          <w:bCs w:val="0"/>
          <w:sz w:val="32"/>
          <w:szCs w:val="32"/>
          <w:highlight w:val="yellow"/>
          <w:lang w:val="en-US" w:eastAsia="zh-CN"/>
        </w:rPr>
      </w:pPr>
      <w:r>
        <w:rPr>
          <w:rFonts w:hint="eastAsia" w:ascii="仿宋" w:hAnsi="仿宋" w:eastAsia="仿宋" w:cs="仿宋"/>
          <w:b w:val="0"/>
          <w:bCs w:val="0"/>
          <w:sz w:val="32"/>
          <w:szCs w:val="32"/>
          <w:highlight w:val="none"/>
          <w:lang w:val="en-US" w:eastAsia="zh-CN"/>
        </w:rPr>
        <w:t>无会议费。</w:t>
      </w:r>
    </w:p>
    <w:p w14:paraId="24A35BE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6.办公经费情况汇总</w:t>
      </w:r>
    </w:p>
    <w:p w14:paraId="516A0BF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outlineLvl w:val="9"/>
        <w:rPr>
          <w:rFonts w:hint="eastAsia" w:ascii="仿宋" w:hAnsi="仿宋" w:eastAsia="仿宋" w:cs="仿宋"/>
          <w:b w:val="0"/>
          <w:bCs w:val="0"/>
          <w:sz w:val="32"/>
          <w:szCs w:val="32"/>
          <w:lang w:val="en-US" w:eastAsia="zh-CN"/>
        </w:rPr>
      </w:pPr>
      <w:r>
        <w:drawing>
          <wp:inline distT="0" distB="0" distL="114300" distR="114300">
            <wp:extent cx="5526405" cy="1638300"/>
            <wp:effectExtent l="9525" t="9525" r="26670" b="9525"/>
            <wp:docPr id="41" name="图片 4"/>
            <wp:cNvGraphicFramePr/>
            <a:graphic xmlns:a="http://schemas.openxmlformats.org/drawingml/2006/main">
              <a:graphicData uri="http://schemas.openxmlformats.org/drawingml/2006/picture">
                <pic:pic xmlns:pic="http://schemas.openxmlformats.org/drawingml/2006/picture">
                  <pic:nvPicPr>
                    <pic:cNvPr id="41" name="图片 4"/>
                    <pic:cNvPicPr/>
                  </pic:nvPicPr>
                  <pic:blipFill>
                    <a:blip r:embed="rId30"/>
                  </pic:blipFill>
                  <pic:spPr>
                    <a:xfrm>
                      <a:off x="0" y="0"/>
                      <a:ext cx="5526405" cy="1638300"/>
                    </a:xfrm>
                    <a:prstGeom prst="rect">
                      <a:avLst/>
                    </a:prstGeom>
                    <a:solidFill>
                      <a:srgbClr val="FFFFFF"/>
                    </a:solidFill>
                    <a:ln w="9525">
                      <a:solidFill>
                        <a:srgbClr val="000000"/>
                      </a:solidFill>
                    </a:ln>
                  </pic:spPr>
                </pic:pic>
              </a:graphicData>
            </a:graphic>
          </wp:inline>
        </w:drawing>
      </w:r>
    </w:p>
    <w:p w14:paraId="3BEF255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highlight w:val="none"/>
          <w:lang w:val="en-US" w:eastAsia="zh-CN"/>
        </w:rPr>
        <w:t>基本支出-公用经费-办公经费重分类数</w:t>
      </w:r>
      <w:r>
        <w:rPr>
          <w:rFonts w:hint="eastAsia" w:ascii="仿宋" w:hAnsi="仿宋" w:eastAsia="仿宋" w:cs="仿宋"/>
          <w:b w:val="0"/>
          <w:bCs w:val="0"/>
          <w:sz w:val="32"/>
          <w:szCs w:val="32"/>
          <w:lang w:val="en-US" w:eastAsia="zh-CN"/>
        </w:rPr>
        <w:t>270，974.19元，存在业务发生时间早于政府采购协议签订时间的情况。如2024年12月68号、99号、101号、102号，关于财评中心办公资料打印、局机关购买办公用品、局机关打印机耗材及维修、局机关禁毒、宪法宣传资料等零星支出。解释原因为习惯性允许小额零星支出的业务发生时间早于采购合同签订时间。暂未找到相关文件依据。</w:t>
      </w:r>
    </w:p>
    <w:p w14:paraId="1448D1C7">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7.新增财政性支出情况汇总</w:t>
      </w:r>
    </w:p>
    <w:p w14:paraId="1D7F44F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 w:hAnsi="仿宋" w:eastAsia="仿宋" w:cs="仿宋"/>
          <w:b/>
          <w:bCs/>
          <w:sz w:val="32"/>
          <w:szCs w:val="32"/>
          <w:lang w:eastAsia="zh-CN"/>
        </w:rPr>
      </w:pPr>
      <w:r>
        <w:rPr>
          <w:rFonts w:hint="eastAsia" w:ascii="仿宋" w:hAnsi="仿宋" w:eastAsia="仿宋" w:cs="仿宋"/>
          <w:sz w:val="32"/>
          <w:szCs w:val="32"/>
          <w:lang w:val="en-US" w:eastAsia="zh-CN"/>
        </w:rPr>
        <w:t>无新增财政性支出。</w:t>
      </w:r>
    </w:p>
    <w:p w14:paraId="5FA83342">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楷体" w:hAnsi="楷体" w:eastAsia="楷体" w:cs="楷体"/>
          <w:b/>
          <w:bCs/>
          <w:sz w:val="32"/>
          <w:szCs w:val="32"/>
          <w:lang w:val="en-US" w:eastAsia="zh-CN"/>
        </w:rPr>
      </w:pPr>
      <w:bookmarkStart w:id="32" w:name="_Toc7672"/>
      <w:r>
        <w:rPr>
          <w:rFonts w:hint="eastAsia" w:ascii="楷体" w:hAnsi="楷体" w:eastAsia="楷体" w:cs="楷体"/>
          <w:b/>
          <w:bCs/>
          <w:sz w:val="32"/>
          <w:szCs w:val="32"/>
          <w:lang w:eastAsia="zh-CN"/>
        </w:rPr>
        <w:t>预算</w:t>
      </w:r>
      <w:r>
        <w:rPr>
          <w:rFonts w:hint="eastAsia" w:ascii="楷体" w:hAnsi="楷体" w:eastAsia="楷体" w:cs="楷体"/>
          <w:b/>
          <w:bCs/>
          <w:sz w:val="32"/>
          <w:szCs w:val="32"/>
          <w:lang w:val="en-US" w:eastAsia="zh-CN"/>
        </w:rPr>
        <w:t>管理情况及分析</w:t>
      </w:r>
      <w:bookmarkEnd w:id="32"/>
    </w:p>
    <w:p w14:paraId="7107F7A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1.预算管理情况</w:t>
      </w:r>
    </w:p>
    <w:p w14:paraId="4FB2880D">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default"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1）部门在预算管理方面建立的制度：提供了财务管理制度。未提供其他管理制度，如：预算管理制度，内部控制制度，政府采购管理制度，合同管理制度，专项资金管理办法，绩效管理制度，信息化管理制度，决算与财务报告制度，监督与审计制度，工会管理制度等。</w:t>
      </w:r>
    </w:p>
    <w:p w14:paraId="5B140CF2">
      <w:pPr>
        <w:keepNext w:val="0"/>
        <w:keepLines w:val="0"/>
        <w:pageBreakBefore w:val="0"/>
        <w:widowControl/>
        <w:kinsoku/>
        <w:wordWrap/>
        <w:overflowPunct/>
        <w:topLinePunct w:val="0"/>
        <w:autoSpaceDE/>
        <w:autoSpaceDN/>
        <w:bidi w:val="0"/>
        <w:adjustRightInd w:val="0"/>
        <w:snapToGrid w:val="0"/>
        <w:spacing w:line="560" w:lineRule="exact"/>
        <w:ind w:left="0" w:leftChars="0" w:firstLine="643" w:firstLineChars="200"/>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bCs/>
          <w:color w:val="auto"/>
          <w:sz w:val="32"/>
          <w:szCs w:val="32"/>
          <w:highlight w:val="none"/>
          <w:lang w:val="en-US" w:eastAsia="zh-CN"/>
        </w:rPr>
        <w:t>（2）预算管理相关的信息化工具：</w:t>
      </w:r>
      <w:r>
        <w:rPr>
          <w:rFonts w:hint="eastAsia" w:ascii="Times New Roman" w:hAnsi="Times New Roman" w:eastAsia="仿宋_GB2312" w:cs="Times New Roman"/>
          <w:color w:val="auto"/>
          <w:sz w:val="32"/>
          <w:szCs w:val="32"/>
          <w:highlight w:val="none"/>
          <w:lang w:val="en-US" w:eastAsia="zh-CN"/>
        </w:rPr>
        <w:t>使用财政预算一体化信息系统。</w:t>
      </w:r>
    </w:p>
    <w:p w14:paraId="60BB84EB">
      <w:pPr>
        <w:keepNext w:val="0"/>
        <w:keepLines w:val="0"/>
        <w:pageBreakBefore w:val="0"/>
        <w:widowControl/>
        <w:kinsoku/>
        <w:wordWrap/>
        <w:overflowPunct/>
        <w:topLinePunct w:val="0"/>
        <w:autoSpaceDE/>
        <w:autoSpaceDN/>
        <w:bidi w:val="0"/>
        <w:adjustRightInd w:val="0"/>
        <w:snapToGrid w:val="0"/>
        <w:spacing w:line="560" w:lineRule="exact"/>
        <w:ind w:left="0" w:leftChars="0" w:firstLine="643" w:firstLineChars="200"/>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bCs/>
          <w:color w:val="auto"/>
          <w:sz w:val="32"/>
          <w:szCs w:val="32"/>
          <w:highlight w:val="none"/>
          <w:lang w:val="en-US" w:eastAsia="zh-CN"/>
        </w:rPr>
        <w:t>（3）预算信息公开情况：</w:t>
      </w:r>
      <w:r>
        <w:rPr>
          <w:rFonts w:hint="eastAsia" w:ascii="Times New Roman" w:hAnsi="Times New Roman" w:eastAsia="仿宋_GB2312" w:cs="Times New Roman"/>
          <w:b w:val="0"/>
          <w:bCs w:val="0"/>
          <w:color w:val="auto"/>
          <w:sz w:val="32"/>
          <w:szCs w:val="32"/>
          <w:highlight w:val="none"/>
          <w:lang w:val="en-US" w:eastAsia="zh-CN"/>
        </w:rPr>
        <w:t>在雁峰区</w:t>
      </w:r>
      <w:r>
        <w:rPr>
          <w:rFonts w:hint="eastAsia" w:ascii="Times New Roman" w:hAnsi="Times New Roman" w:eastAsia="仿宋_GB2312" w:cs="Times New Roman"/>
          <w:color w:val="auto"/>
          <w:sz w:val="32"/>
          <w:szCs w:val="32"/>
          <w:highlight w:val="none"/>
          <w:lang w:val="en-US" w:eastAsia="zh-CN"/>
        </w:rPr>
        <w:t>政府网上可以查到区财政局的预算公开信息。</w:t>
      </w:r>
    </w:p>
    <w:p w14:paraId="74AE0D6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default"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2.预算管理分析</w:t>
      </w:r>
    </w:p>
    <w:p w14:paraId="5771DDC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default" w:ascii="仿宋" w:hAnsi="仿宋" w:eastAsia="仿宋" w:cs="仿宋"/>
          <w:b w:val="0"/>
          <w:bCs w:val="0"/>
          <w:sz w:val="32"/>
          <w:szCs w:val="32"/>
          <w:highlight w:val="none"/>
          <w:lang w:val="en-US" w:eastAsia="zh-CN"/>
        </w:rPr>
      </w:pPr>
      <w:r>
        <w:rPr>
          <w:rFonts w:hint="eastAsia" w:ascii="仿宋" w:hAnsi="仿宋" w:eastAsia="仿宋" w:cs="仿宋"/>
          <w:b/>
          <w:bCs/>
          <w:sz w:val="32"/>
          <w:szCs w:val="32"/>
          <w:lang w:val="en-US" w:eastAsia="zh-CN"/>
        </w:rPr>
        <w:t>（1）制度健全性</w:t>
      </w:r>
      <w:r>
        <w:rPr>
          <w:rFonts w:hint="eastAsia" w:ascii="仿宋" w:hAnsi="仿宋" w:eastAsia="仿宋" w:cs="仿宋"/>
          <w:b w:val="0"/>
          <w:bCs w:val="0"/>
          <w:sz w:val="32"/>
          <w:szCs w:val="32"/>
          <w:lang w:val="en-US" w:eastAsia="zh-CN"/>
        </w:rPr>
        <w:t>：</w:t>
      </w:r>
      <w:r>
        <w:rPr>
          <w:rFonts w:hint="eastAsia" w:ascii="仿宋" w:hAnsi="仿宋" w:eastAsia="仿宋" w:cs="仿宋"/>
          <w:b w:val="0"/>
          <w:bCs w:val="0"/>
          <w:sz w:val="32"/>
          <w:szCs w:val="32"/>
          <w:highlight w:val="none"/>
          <w:lang w:val="en-US" w:eastAsia="zh-CN"/>
        </w:rPr>
        <w:t>财务管理制度未覆盖预算编制、调整、核算等关键环节，部分制度缺失。</w:t>
      </w:r>
    </w:p>
    <w:p w14:paraId="02209DA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default" w:ascii="仿宋" w:hAnsi="仿宋" w:eastAsia="仿宋" w:cs="仿宋"/>
          <w:b w:val="0"/>
          <w:bCs w:val="0"/>
          <w:sz w:val="32"/>
          <w:szCs w:val="32"/>
          <w:highlight w:val="none"/>
          <w:lang w:val="en-US" w:eastAsia="zh-CN"/>
        </w:rPr>
      </w:pPr>
      <w:r>
        <w:rPr>
          <w:rFonts w:hint="eastAsia" w:ascii="仿宋" w:hAnsi="仿宋" w:eastAsia="仿宋" w:cs="仿宋"/>
          <w:b/>
          <w:bCs/>
          <w:sz w:val="32"/>
          <w:szCs w:val="32"/>
          <w:lang w:val="en-US" w:eastAsia="zh-CN"/>
        </w:rPr>
        <w:t>（2）执行有效性：</w:t>
      </w:r>
      <w:r>
        <w:rPr>
          <w:rFonts w:hint="eastAsia" w:ascii="仿宋" w:hAnsi="仿宋" w:eastAsia="仿宋" w:cs="仿宋"/>
          <w:b w:val="0"/>
          <w:bCs w:val="0"/>
          <w:sz w:val="32"/>
          <w:szCs w:val="32"/>
          <w:highlight w:val="none"/>
          <w:lang w:val="en-US" w:eastAsia="zh-CN"/>
        </w:rPr>
        <w:t>按照财务管理制度基本有效执行。存在不足之处详见整体支出汇总及分析。</w:t>
      </w:r>
    </w:p>
    <w:p w14:paraId="1100C89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bCs/>
          <w:sz w:val="32"/>
          <w:szCs w:val="32"/>
          <w:highlight w:val="none"/>
          <w:lang w:val="en-US" w:eastAsia="zh-CN"/>
        </w:rPr>
        <w:t>（3）监控预警能力：</w:t>
      </w:r>
      <w:r>
        <w:rPr>
          <w:rFonts w:hint="eastAsia" w:ascii="仿宋" w:hAnsi="仿宋" w:eastAsia="仿宋" w:cs="仿宋"/>
          <w:b w:val="0"/>
          <w:bCs w:val="0"/>
          <w:sz w:val="32"/>
          <w:szCs w:val="32"/>
          <w:highlight w:val="none"/>
          <w:lang w:val="en-US" w:eastAsia="zh-CN"/>
        </w:rPr>
        <w:t>政府会计系统通过“指标-支出-核算”一体化管理，在一定程度上实现了预算执行全流程监控。</w:t>
      </w:r>
    </w:p>
    <w:p w14:paraId="3F30896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（4）信息化支撑：</w:t>
      </w:r>
      <w:r>
        <w:rPr>
          <w:rFonts w:hint="eastAsia" w:ascii="仿宋" w:hAnsi="仿宋" w:eastAsia="仿宋" w:cs="仿宋"/>
          <w:b w:val="0"/>
          <w:bCs w:val="0"/>
          <w:sz w:val="32"/>
          <w:szCs w:val="32"/>
          <w:lang w:val="en-US" w:eastAsia="zh-CN"/>
        </w:rPr>
        <w:t>实现预算编制、执行、核算、决算全流程线上化，有效支撑了预算管理和监控。</w:t>
      </w:r>
    </w:p>
    <w:p w14:paraId="234E29E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default" w:ascii="仿宋" w:hAnsi="仿宋" w:eastAsia="仿宋" w:cs="仿宋"/>
          <w:b w:val="0"/>
          <w:bCs w:val="0"/>
          <w:sz w:val="32"/>
          <w:szCs w:val="32"/>
          <w:highlight w:val="none"/>
          <w:lang w:val="en-US" w:eastAsia="zh-CN"/>
        </w:rPr>
      </w:pPr>
      <w:r>
        <w:rPr>
          <w:rFonts w:hint="eastAsia" w:ascii="仿宋" w:hAnsi="仿宋" w:eastAsia="仿宋" w:cs="仿宋"/>
          <w:b/>
          <w:bCs/>
          <w:sz w:val="32"/>
          <w:szCs w:val="32"/>
          <w:lang w:val="en-US" w:eastAsia="zh-CN"/>
        </w:rPr>
        <w:t>（5）管理规范性：未提供预算调整批复文件。存在基本支出挤项目支出的情况</w:t>
      </w:r>
      <w:r>
        <w:rPr>
          <w:rFonts w:hint="eastAsia" w:ascii="仿宋" w:hAnsi="仿宋" w:eastAsia="仿宋" w:cs="仿宋"/>
          <w:b w:val="0"/>
          <w:bCs w:val="0"/>
          <w:sz w:val="32"/>
          <w:szCs w:val="32"/>
          <w:highlight w:val="none"/>
          <w:lang w:val="en-US" w:eastAsia="zh-CN"/>
        </w:rPr>
        <w:t>。详见整体支出汇总及分析。</w:t>
      </w:r>
    </w:p>
    <w:p w14:paraId="2F3BF7F0">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楷体" w:hAnsi="楷体" w:eastAsia="楷体" w:cs="楷体"/>
          <w:b/>
          <w:bCs/>
          <w:sz w:val="32"/>
          <w:szCs w:val="32"/>
          <w:lang w:val="en-US" w:eastAsia="zh-CN"/>
        </w:rPr>
      </w:pPr>
      <w:bookmarkStart w:id="33" w:name="_Toc20618"/>
      <w:r>
        <w:rPr>
          <w:rFonts w:hint="eastAsia" w:ascii="楷体" w:hAnsi="楷体" w:eastAsia="楷体" w:cs="楷体"/>
          <w:b/>
          <w:bCs/>
          <w:sz w:val="32"/>
          <w:szCs w:val="32"/>
          <w:lang w:val="en-US" w:eastAsia="zh-CN"/>
        </w:rPr>
        <w:t>工资管理情况及分析</w:t>
      </w:r>
      <w:bookmarkEnd w:id="33"/>
    </w:p>
    <w:p w14:paraId="584EFA1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1.未提供相关文件：</w:t>
      </w:r>
      <w:r>
        <w:rPr>
          <w:rFonts w:hint="eastAsia" w:ascii="仿宋" w:hAnsi="仿宋" w:eastAsia="仿宋" w:cs="仿宋"/>
          <w:b w:val="0"/>
          <w:bCs w:val="0"/>
          <w:sz w:val="32"/>
          <w:szCs w:val="32"/>
          <w:lang w:val="en-US" w:eastAsia="zh-CN"/>
        </w:rPr>
        <w:t>未提供发放职工津贴与车补的相关文件。未提供工资流程及工资管理制度。未提供相关审计检查文件或资料。</w:t>
      </w:r>
    </w:p>
    <w:p w14:paraId="56A4563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outlineLvl w:val="9"/>
        <w:rPr>
          <w:rFonts w:hint="default"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2.检查凭证过程，发现存在以下情况：一是</w:t>
      </w:r>
      <w:r>
        <w:rPr>
          <w:rFonts w:hint="default" w:ascii="仿宋" w:hAnsi="仿宋" w:eastAsia="仿宋" w:cs="仿宋"/>
          <w:b/>
          <w:bCs/>
          <w:sz w:val="32"/>
          <w:szCs w:val="32"/>
          <w:highlight w:val="none"/>
          <w:lang w:val="en-US" w:eastAsia="zh-CN"/>
        </w:rPr>
        <w:t>统发工资后附国库支付单，</w:t>
      </w:r>
      <w:r>
        <w:rPr>
          <w:rFonts w:hint="eastAsia" w:ascii="仿宋" w:hAnsi="仿宋" w:eastAsia="仿宋" w:cs="仿宋"/>
          <w:b/>
          <w:bCs/>
          <w:sz w:val="32"/>
          <w:szCs w:val="32"/>
          <w:highlight w:val="none"/>
          <w:lang w:val="en-US" w:eastAsia="zh-CN"/>
        </w:rPr>
        <w:t>有</w:t>
      </w:r>
      <w:r>
        <w:rPr>
          <w:rFonts w:hint="default" w:ascii="仿宋" w:hAnsi="仿宋" w:eastAsia="仿宋" w:cs="仿宋"/>
          <w:b/>
          <w:bCs/>
          <w:sz w:val="32"/>
          <w:szCs w:val="32"/>
          <w:highlight w:val="none"/>
          <w:lang w:val="en-US" w:eastAsia="zh-CN"/>
        </w:rPr>
        <w:t>工资明细，无回单，无审批。</w:t>
      </w:r>
      <w:r>
        <w:rPr>
          <w:rFonts w:hint="eastAsia" w:ascii="仿宋" w:hAnsi="仿宋" w:eastAsia="仿宋" w:cs="仿宋"/>
          <w:b/>
          <w:bCs/>
          <w:sz w:val="32"/>
          <w:szCs w:val="32"/>
          <w:highlight w:val="none"/>
          <w:lang w:val="en-US" w:eastAsia="zh-CN"/>
        </w:rPr>
        <w:t>二是</w:t>
      </w:r>
      <w:r>
        <w:rPr>
          <w:rFonts w:hint="default" w:ascii="仿宋" w:hAnsi="仿宋" w:eastAsia="仿宋" w:cs="仿宋"/>
          <w:b/>
          <w:bCs/>
          <w:sz w:val="32"/>
          <w:szCs w:val="32"/>
          <w:highlight w:val="none"/>
          <w:lang w:val="en-US" w:eastAsia="zh-CN"/>
        </w:rPr>
        <w:t>后附计提五险一金表无人力资源审批签字</w:t>
      </w:r>
      <w:r>
        <w:rPr>
          <w:rFonts w:hint="eastAsia" w:ascii="仿宋" w:hAnsi="仿宋" w:eastAsia="仿宋" w:cs="仿宋"/>
          <w:b/>
          <w:bCs/>
          <w:sz w:val="32"/>
          <w:szCs w:val="32"/>
          <w:highlight w:val="none"/>
          <w:lang w:val="en-US" w:eastAsia="zh-CN"/>
        </w:rPr>
        <w:t>。</w:t>
      </w:r>
      <w:r>
        <w:rPr>
          <w:rFonts w:hint="default" w:ascii="仿宋" w:hAnsi="仿宋" w:eastAsia="仿宋" w:cs="仿宋"/>
          <w:b/>
          <w:bCs/>
          <w:sz w:val="32"/>
          <w:szCs w:val="32"/>
          <w:highlight w:val="none"/>
          <w:lang w:val="en-US" w:eastAsia="zh-CN"/>
        </w:rPr>
        <w:t>社会保险单的申报表上无经办人签字及审核，无公章。</w:t>
      </w:r>
      <w:r>
        <w:rPr>
          <w:rFonts w:hint="eastAsia" w:ascii="仿宋" w:hAnsi="仿宋" w:eastAsia="仿宋" w:cs="仿宋"/>
          <w:b/>
          <w:bCs/>
          <w:color w:val="auto"/>
          <w:sz w:val="32"/>
          <w:szCs w:val="32"/>
          <w:highlight w:val="none"/>
          <w:lang w:val="en-US" w:eastAsia="zh-CN"/>
        </w:rPr>
        <w:t>三是</w:t>
      </w:r>
      <w:r>
        <w:rPr>
          <w:rFonts w:hint="default" w:ascii="仿宋" w:hAnsi="仿宋" w:eastAsia="仿宋" w:cs="仿宋"/>
          <w:b/>
          <w:bCs/>
          <w:color w:val="auto"/>
          <w:sz w:val="32"/>
          <w:szCs w:val="32"/>
          <w:highlight w:val="none"/>
          <w:lang w:val="en-US" w:eastAsia="zh-CN"/>
        </w:rPr>
        <w:t>住房</w:t>
      </w:r>
      <w:r>
        <w:rPr>
          <w:rFonts w:hint="default" w:ascii="仿宋" w:hAnsi="仿宋" w:eastAsia="仿宋" w:cs="仿宋"/>
          <w:b/>
          <w:bCs/>
          <w:sz w:val="32"/>
          <w:szCs w:val="32"/>
          <w:highlight w:val="none"/>
          <w:lang w:val="en-US" w:eastAsia="zh-CN"/>
        </w:rPr>
        <w:t>公积</w:t>
      </w:r>
      <w:r>
        <w:rPr>
          <w:rFonts w:hint="eastAsia" w:ascii="仿宋" w:hAnsi="仿宋" w:eastAsia="仿宋" w:cs="仿宋"/>
          <w:b/>
          <w:bCs/>
          <w:sz w:val="32"/>
          <w:szCs w:val="32"/>
          <w:highlight w:val="none"/>
          <w:lang w:val="en-US" w:eastAsia="zh-CN"/>
        </w:rPr>
        <w:t>金及</w:t>
      </w:r>
      <w:r>
        <w:rPr>
          <w:rFonts w:hint="default" w:ascii="仿宋" w:hAnsi="仿宋" w:eastAsia="仿宋" w:cs="仿宋"/>
          <w:b/>
          <w:bCs/>
          <w:sz w:val="32"/>
          <w:szCs w:val="32"/>
          <w:highlight w:val="none"/>
          <w:lang w:val="en-US" w:eastAsia="zh-CN"/>
        </w:rPr>
        <w:t>交通补贴</w:t>
      </w:r>
      <w:r>
        <w:rPr>
          <w:rFonts w:hint="eastAsia" w:ascii="仿宋" w:hAnsi="仿宋" w:eastAsia="仿宋" w:cs="仿宋"/>
          <w:b/>
          <w:bCs/>
          <w:sz w:val="32"/>
          <w:szCs w:val="32"/>
          <w:highlight w:val="none"/>
          <w:lang w:val="en-US" w:eastAsia="zh-CN"/>
        </w:rPr>
        <w:t>津贴</w:t>
      </w:r>
      <w:r>
        <w:rPr>
          <w:rFonts w:hint="default" w:ascii="仿宋" w:hAnsi="仿宋" w:eastAsia="仿宋" w:cs="仿宋"/>
          <w:b/>
          <w:bCs/>
          <w:sz w:val="32"/>
          <w:szCs w:val="32"/>
          <w:highlight w:val="none"/>
          <w:lang w:val="en-US" w:eastAsia="zh-CN"/>
        </w:rPr>
        <w:t>缺乏人力资源或组织部门的审核盖章</w:t>
      </w:r>
      <w:r>
        <w:rPr>
          <w:rFonts w:hint="eastAsia" w:ascii="仿宋" w:hAnsi="仿宋" w:eastAsia="仿宋" w:cs="仿宋"/>
          <w:b/>
          <w:bCs/>
          <w:sz w:val="32"/>
          <w:szCs w:val="32"/>
          <w:highlight w:val="none"/>
          <w:lang w:val="en-US" w:eastAsia="zh-CN"/>
        </w:rPr>
        <w:t>。</w:t>
      </w:r>
      <w:r>
        <w:rPr>
          <w:rFonts w:hint="default" w:ascii="仿宋" w:hAnsi="仿宋" w:eastAsia="仿宋" w:cs="仿宋"/>
          <w:b/>
          <w:bCs/>
          <w:sz w:val="32"/>
          <w:szCs w:val="32"/>
          <w:highlight w:val="none"/>
          <w:lang w:val="en-US" w:eastAsia="zh-CN"/>
        </w:rPr>
        <w:t>衡阳市住房公积金管理中心汇（补）缴书上无单位经办人签字，无业务经办人签字，无单位公章。</w:t>
      </w:r>
      <w:r>
        <w:rPr>
          <w:rFonts w:hint="eastAsia" w:ascii="仿宋" w:hAnsi="仿宋" w:eastAsia="仿宋" w:cs="仿宋"/>
          <w:b/>
          <w:bCs/>
          <w:sz w:val="32"/>
          <w:szCs w:val="32"/>
          <w:highlight w:val="none"/>
          <w:lang w:val="en-US" w:eastAsia="zh-CN"/>
        </w:rPr>
        <w:t>四是</w:t>
      </w:r>
      <w:r>
        <w:rPr>
          <w:rFonts w:hint="default" w:ascii="仿宋" w:hAnsi="仿宋" w:eastAsia="仿宋" w:cs="仿宋"/>
          <w:b/>
          <w:bCs/>
          <w:sz w:val="32"/>
          <w:szCs w:val="32"/>
          <w:highlight w:val="none"/>
          <w:lang w:val="en-US" w:eastAsia="zh-CN"/>
        </w:rPr>
        <w:t>发放退休人员补贴由本单位领导签字，无人力资源审核。2024年2月22号凭证国</w:t>
      </w:r>
      <w:r>
        <w:rPr>
          <w:rFonts w:hint="default" w:ascii="仿宋" w:hAnsi="仿宋" w:eastAsia="仿宋" w:cs="仿宋"/>
          <w:b/>
          <w:bCs/>
          <w:sz w:val="32"/>
          <w:szCs w:val="32"/>
          <w:lang w:val="en-US" w:eastAsia="zh-CN"/>
        </w:rPr>
        <w:t>库发放21个退休人员春节慰问金。打到工资内部户1，无银行回单。</w:t>
      </w:r>
      <w:r>
        <w:rPr>
          <w:rFonts w:hint="eastAsia" w:ascii="仿宋" w:hAnsi="仿宋" w:eastAsia="仿宋" w:cs="仿宋"/>
          <w:b/>
          <w:bCs/>
          <w:sz w:val="32"/>
          <w:szCs w:val="32"/>
          <w:highlight w:val="none"/>
          <w:lang w:val="en-US" w:eastAsia="zh-CN"/>
        </w:rPr>
        <w:t>五是发放困难人员补助，无直接收款人签字确认。</w:t>
      </w:r>
      <w:r>
        <w:rPr>
          <w:rFonts w:hint="default" w:ascii="仿宋" w:hAnsi="仿宋" w:eastAsia="仿宋" w:cs="仿宋"/>
          <w:b/>
          <w:bCs/>
          <w:sz w:val="32"/>
          <w:szCs w:val="32"/>
          <w:highlight w:val="none"/>
          <w:lang w:val="en-US" w:eastAsia="zh-CN"/>
        </w:rPr>
        <w:t>2024年2月13号凭证后附补助人员清单，国库支付单支付李孟瑶，后附表上无领款人员签收，无其他附件说明。</w:t>
      </w:r>
      <w:r>
        <w:rPr>
          <w:rFonts w:hint="eastAsia" w:ascii="仿宋" w:hAnsi="仿宋" w:eastAsia="仿宋" w:cs="仿宋"/>
          <w:b/>
          <w:bCs/>
          <w:sz w:val="32"/>
          <w:szCs w:val="32"/>
          <w:highlight w:val="none"/>
          <w:lang w:val="en-US" w:eastAsia="zh-CN"/>
        </w:rPr>
        <w:t>六是</w:t>
      </w:r>
      <w:r>
        <w:rPr>
          <w:rFonts w:hint="default" w:ascii="仿宋" w:hAnsi="仿宋" w:eastAsia="仿宋" w:cs="仿宋"/>
          <w:b/>
          <w:bCs/>
          <w:sz w:val="32"/>
          <w:szCs w:val="32"/>
          <w:highlight w:val="none"/>
          <w:lang w:val="en-US" w:eastAsia="zh-CN"/>
        </w:rPr>
        <w:t>2024年12月37号凭证后附事业单位工作人员正常增加薪级工资花名册未盖章。</w:t>
      </w:r>
      <w:r>
        <w:rPr>
          <w:rFonts w:hint="eastAsia" w:ascii="仿宋" w:hAnsi="仿宋" w:eastAsia="仿宋" w:cs="仿宋"/>
          <w:b/>
          <w:bCs/>
          <w:sz w:val="32"/>
          <w:szCs w:val="32"/>
          <w:highlight w:val="none"/>
          <w:lang w:val="en-US" w:eastAsia="zh-CN"/>
        </w:rPr>
        <w:t>七是车补及津贴扣除五险一金</w:t>
      </w:r>
      <w:r>
        <w:rPr>
          <w:rFonts w:hint="default" w:ascii="仿宋" w:hAnsi="仿宋" w:eastAsia="仿宋" w:cs="仿宋"/>
          <w:b/>
          <w:bCs/>
          <w:sz w:val="32"/>
          <w:szCs w:val="32"/>
          <w:highlight w:val="none"/>
          <w:lang w:val="en-US" w:eastAsia="zh-CN"/>
        </w:rPr>
        <w:t>后</w:t>
      </w:r>
      <w:r>
        <w:rPr>
          <w:rFonts w:hint="eastAsia" w:ascii="仿宋" w:hAnsi="仿宋" w:eastAsia="仿宋" w:cs="仿宋"/>
          <w:b/>
          <w:bCs/>
          <w:sz w:val="32"/>
          <w:szCs w:val="32"/>
          <w:highlight w:val="none"/>
          <w:lang w:val="en-US" w:eastAsia="zh-CN"/>
        </w:rPr>
        <w:t>存在负数现象，及本期津贴不足以支付五险一金的情况，</w:t>
      </w:r>
      <w:r>
        <w:rPr>
          <w:rFonts w:hint="default" w:ascii="仿宋" w:hAnsi="仿宋" w:eastAsia="仿宋" w:cs="仿宋"/>
          <w:b/>
          <w:bCs/>
          <w:sz w:val="32"/>
          <w:szCs w:val="32"/>
          <w:highlight w:val="none"/>
          <w:lang w:val="en-US" w:eastAsia="zh-CN"/>
        </w:rPr>
        <w:t>附明细表有需补扣情况，未在记账凭证中反映</w:t>
      </w:r>
      <w:r>
        <w:rPr>
          <w:rFonts w:hint="eastAsia" w:ascii="仿宋" w:hAnsi="仿宋" w:eastAsia="仿宋" w:cs="仿宋"/>
          <w:b/>
          <w:bCs/>
          <w:sz w:val="32"/>
          <w:szCs w:val="32"/>
          <w:highlight w:val="none"/>
          <w:lang w:val="en-US" w:eastAsia="zh-CN"/>
        </w:rPr>
        <w:t>。</w:t>
      </w:r>
    </w:p>
    <w:p w14:paraId="11FF4B96">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仿宋" w:hAnsi="仿宋" w:eastAsia="仿宋" w:cs="仿宋"/>
          <w:b/>
          <w:bCs/>
          <w:sz w:val="32"/>
          <w:szCs w:val="32"/>
          <w:lang w:val="en-US" w:eastAsia="zh-CN"/>
        </w:rPr>
      </w:pPr>
      <w:bookmarkStart w:id="34" w:name="_Toc4710"/>
      <w:r>
        <w:rPr>
          <w:rFonts w:hint="eastAsia" w:ascii="楷体" w:hAnsi="楷体" w:eastAsia="楷体" w:cs="楷体"/>
          <w:b/>
          <w:bCs/>
          <w:sz w:val="32"/>
          <w:szCs w:val="32"/>
          <w:lang w:val="en-US" w:eastAsia="zh-CN"/>
        </w:rPr>
        <w:t>项目支出管理情况及分析</w:t>
      </w:r>
      <w:bookmarkEnd w:id="34"/>
    </w:p>
    <w:p w14:paraId="46964CD1">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区财政局未提供项目管理制度，未提供政府采购管理制度。</w:t>
      </w:r>
    </w:p>
    <w:p w14:paraId="7DBF440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1.项目支出内容</w:t>
      </w:r>
      <w:r>
        <w:rPr>
          <w:rFonts w:hint="eastAsia" w:ascii="仿宋" w:hAnsi="仿宋" w:eastAsia="仿宋" w:cs="仿宋"/>
          <w:sz w:val="32"/>
          <w:szCs w:val="32"/>
          <w:lang w:val="en-US" w:eastAsia="zh-CN"/>
        </w:rPr>
        <w:t>包括</w:t>
      </w:r>
      <w:r>
        <w:rPr>
          <w:rFonts w:hint="eastAsia" w:ascii="仿宋" w:hAnsi="仿宋" w:eastAsia="仿宋" w:cs="仿宋"/>
          <w:b w:val="0"/>
          <w:bCs w:val="0"/>
          <w:sz w:val="32"/>
          <w:szCs w:val="32"/>
          <w:lang w:val="en-US" w:eastAsia="zh-CN"/>
        </w:rPr>
        <w:t>绩效评价、采购询价、采购全流程系统、预算一体化、专项审计、非税软件、财力评估、软件网络维护、咨询服务、律师咨询费、加班餐费、资产清查业务培训费、网络宣传</w:t>
      </w:r>
      <w:r>
        <w:rPr>
          <w:rFonts w:hint="eastAsia" w:ascii="仿宋" w:hAnsi="仿宋" w:eastAsia="仿宋" w:cs="仿宋"/>
          <w:sz w:val="32"/>
          <w:szCs w:val="32"/>
          <w:lang w:val="en-US" w:eastAsia="zh-CN"/>
        </w:rPr>
        <w:t>等。</w:t>
      </w:r>
    </w:p>
    <w:p w14:paraId="35F0601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仿宋" w:hAnsi="仿宋" w:eastAsia="仿宋" w:cs="仿宋"/>
          <w:sz w:val="32"/>
          <w:szCs w:val="32"/>
          <w:lang w:val="en-US" w:eastAsia="zh-CN"/>
        </w:rPr>
      </w:pPr>
      <w:r>
        <w:drawing>
          <wp:inline distT="0" distB="0" distL="114300" distR="114300">
            <wp:extent cx="4495800" cy="3038475"/>
            <wp:effectExtent l="9525" t="9525" r="9525" b="19050"/>
            <wp:docPr id="45" name="图片 4"/>
            <wp:cNvGraphicFramePr/>
            <a:graphic xmlns:a="http://schemas.openxmlformats.org/drawingml/2006/main">
              <a:graphicData uri="http://schemas.openxmlformats.org/drawingml/2006/picture">
                <pic:pic xmlns:pic="http://schemas.openxmlformats.org/drawingml/2006/picture">
                  <pic:nvPicPr>
                    <pic:cNvPr id="45" name="图片 4"/>
                    <pic:cNvPicPr/>
                  </pic:nvPicPr>
                  <pic:blipFill>
                    <a:blip r:embed="rId31"/>
                  </pic:blipFill>
                  <pic:spPr>
                    <a:xfrm>
                      <a:off x="0" y="0"/>
                      <a:ext cx="4495800" cy="3038475"/>
                    </a:xfrm>
                    <a:prstGeom prst="rect">
                      <a:avLst/>
                    </a:prstGeom>
                    <a:solidFill>
                      <a:srgbClr val="FFFFFF"/>
                    </a:solidFill>
                    <a:ln w="9525">
                      <a:solidFill>
                        <a:srgbClr val="000000"/>
                      </a:solidFill>
                    </a:ln>
                  </pic:spPr>
                </pic:pic>
              </a:graphicData>
            </a:graphic>
          </wp:inline>
        </w:drawing>
      </w:r>
    </w:p>
    <w:p w14:paraId="568AA2B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lang w:val="en-US" w:eastAsia="zh-CN"/>
        </w:rPr>
        <w:t>2.项目支出取得效益</w:t>
      </w:r>
    </w:p>
    <w:p w14:paraId="0E9DD47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outlineLvl w:val="9"/>
        <w:rPr>
          <w:rFonts w:hint="eastAsia" w:ascii="仿宋" w:hAnsi="仿宋" w:eastAsia="仿宋" w:cs="仿宋"/>
          <w:b/>
          <w:bCs/>
          <w:sz w:val="32"/>
          <w:szCs w:val="32"/>
          <w:highlight w:val="none"/>
          <w:lang w:val="en-US" w:eastAsia="zh-CN"/>
        </w:rPr>
      </w:pPr>
      <w:r>
        <w:rPr>
          <w:rFonts w:hint="eastAsia" w:ascii="仿宋" w:hAnsi="仿宋" w:eastAsia="仿宋" w:cs="仿宋"/>
          <w:b w:val="0"/>
          <w:bCs w:val="0"/>
          <w:sz w:val="32"/>
          <w:szCs w:val="32"/>
          <w:highlight w:val="none"/>
          <w:lang w:val="en-US" w:eastAsia="zh-CN"/>
        </w:rPr>
        <w:t>区财政局的项目支出在</w:t>
      </w:r>
      <w:r>
        <w:rPr>
          <w:rFonts w:hint="eastAsia" w:ascii="仿宋" w:hAnsi="仿宋" w:eastAsia="仿宋" w:cs="仿宋"/>
          <w:b/>
          <w:bCs/>
          <w:sz w:val="32"/>
          <w:szCs w:val="32"/>
          <w:highlight w:val="none"/>
          <w:lang w:val="en-US" w:eastAsia="zh-CN"/>
        </w:rPr>
        <w:t>管理提质、风险防控、民生保障和服务优化等方面发挥了重要作用，</w:t>
      </w:r>
      <w:r>
        <w:rPr>
          <w:rFonts w:hint="eastAsia" w:ascii="仿宋" w:hAnsi="仿宋" w:eastAsia="仿宋" w:cs="仿宋"/>
          <w:b w:val="0"/>
          <w:bCs w:val="0"/>
          <w:sz w:val="32"/>
          <w:szCs w:val="32"/>
          <w:highlight w:val="none"/>
          <w:lang w:val="en-US" w:eastAsia="zh-CN"/>
        </w:rPr>
        <w:t>有力支撑了</w:t>
      </w:r>
      <w:r>
        <w:rPr>
          <w:rFonts w:hint="eastAsia" w:ascii="仿宋" w:hAnsi="仿宋" w:eastAsia="仿宋" w:cs="仿宋"/>
          <w:b/>
          <w:bCs/>
          <w:sz w:val="32"/>
          <w:szCs w:val="32"/>
          <w:highlight w:val="none"/>
          <w:lang w:val="en-US" w:eastAsia="zh-CN"/>
        </w:rPr>
        <w:t>财政高质量发展和区域经济社会稳定运行。</w:t>
      </w:r>
      <w:r>
        <w:rPr>
          <w:rFonts w:hint="eastAsia" w:ascii="仿宋" w:hAnsi="仿宋" w:eastAsia="仿宋" w:cs="仿宋"/>
          <w:b w:val="0"/>
          <w:bCs w:val="0"/>
          <w:sz w:val="32"/>
          <w:szCs w:val="32"/>
          <w:highlight w:val="none"/>
          <w:lang w:val="en-US" w:eastAsia="zh-CN"/>
        </w:rPr>
        <w:t>体现在以下五个方面。</w:t>
      </w:r>
      <w:r>
        <w:rPr>
          <w:rFonts w:hint="eastAsia" w:ascii="仿宋" w:hAnsi="仿宋" w:eastAsia="仿宋" w:cs="仿宋"/>
          <w:b/>
          <w:bCs/>
          <w:sz w:val="32"/>
          <w:szCs w:val="32"/>
          <w:highlight w:val="none"/>
          <w:lang w:val="en-US" w:eastAsia="zh-CN"/>
        </w:rPr>
        <w:t>一是提升财政管理效能。</w:t>
      </w:r>
      <w:r>
        <w:rPr>
          <w:rFonts w:hint="eastAsia" w:ascii="仿宋" w:hAnsi="仿宋" w:eastAsia="仿宋" w:cs="仿宋"/>
          <w:b w:val="0"/>
          <w:bCs w:val="0"/>
          <w:sz w:val="32"/>
          <w:szCs w:val="32"/>
          <w:highlight w:val="none"/>
          <w:lang w:val="en-US" w:eastAsia="zh-CN"/>
        </w:rPr>
        <w:t>通过预算一体化、绩效评价、采购全流程系统等项目，深化财税体制改革，强化预算绩效管理，优化财政评审流程，有效提高了财政资金配置效率和使用效益。</w:t>
      </w:r>
      <w:r>
        <w:rPr>
          <w:rFonts w:hint="eastAsia" w:ascii="仿宋" w:hAnsi="仿宋" w:eastAsia="仿宋" w:cs="仿宋"/>
          <w:b/>
          <w:bCs/>
          <w:sz w:val="32"/>
          <w:szCs w:val="32"/>
          <w:highlight w:val="none"/>
          <w:lang w:val="en-US" w:eastAsia="zh-CN"/>
        </w:rPr>
        <w:t>二是增强风险防控能力。</w:t>
      </w:r>
      <w:r>
        <w:rPr>
          <w:rFonts w:hint="eastAsia" w:ascii="仿宋" w:hAnsi="仿宋" w:eastAsia="仿宋" w:cs="仿宋"/>
          <w:b w:val="0"/>
          <w:bCs w:val="0"/>
          <w:sz w:val="32"/>
          <w:szCs w:val="32"/>
          <w:highlight w:val="none"/>
          <w:lang w:val="en-US" w:eastAsia="zh-CN"/>
        </w:rPr>
        <w:t>通过专项审计、财力评估、严肃财经纪律专项整治等工作，严格财经纪律底线，推动平台公司转型，防范化解地方债务风险，确保财政运行安全稳健。</w:t>
      </w:r>
      <w:r>
        <w:rPr>
          <w:rFonts w:hint="eastAsia" w:ascii="仿宋" w:hAnsi="仿宋" w:eastAsia="仿宋" w:cs="仿宋"/>
          <w:b/>
          <w:bCs/>
          <w:sz w:val="32"/>
          <w:szCs w:val="32"/>
          <w:highlight w:val="none"/>
          <w:lang w:val="en-US" w:eastAsia="zh-CN"/>
        </w:rPr>
        <w:t>三是保障重点领域支出。</w:t>
      </w:r>
      <w:r>
        <w:rPr>
          <w:rFonts w:hint="eastAsia" w:ascii="仿宋" w:hAnsi="仿宋" w:eastAsia="仿宋" w:cs="仿宋"/>
          <w:b w:val="0"/>
          <w:bCs w:val="0"/>
          <w:sz w:val="32"/>
          <w:szCs w:val="32"/>
          <w:highlight w:val="none"/>
          <w:lang w:val="en-US" w:eastAsia="zh-CN"/>
        </w:rPr>
        <w:t>统筹安排资金用于民生保障、乡村振兴、旅发大会等重点领域，牢牢兜住“三保”底线，巩固拓展脱贫攻坚成果，支持重大项目建设和经济社会发展。</w:t>
      </w:r>
      <w:r>
        <w:rPr>
          <w:rFonts w:hint="eastAsia" w:ascii="仿宋" w:hAnsi="仿宋" w:eastAsia="仿宋" w:cs="仿宋"/>
          <w:b/>
          <w:bCs/>
          <w:sz w:val="32"/>
          <w:szCs w:val="32"/>
          <w:highlight w:val="none"/>
          <w:lang w:val="en-US" w:eastAsia="zh-CN"/>
        </w:rPr>
        <w:t>四是优化公共服务支撑。</w:t>
      </w:r>
      <w:r>
        <w:rPr>
          <w:rFonts w:hint="eastAsia" w:ascii="仿宋" w:hAnsi="仿宋" w:eastAsia="仿宋" w:cs="仿宋"/>
          <w:b w:val="0"/>
          <w:bCs w:val="0"/>
          <w:sz w:val="32"/>
          <w:szCs w:val="32"/>
          <w:highlight w:val="none"/>
          <w:lang w:val="en-US" w:eastAsia="zh-CN"/>
        </w:rPr>
        <w:t>通过软件网络维护、咨询服务、律师咨询、资产清查业务培训等项目，提升财政服务的专业化、规范化水平，保障财政业务高效运转。</w:t>
      </w:r>
      <w:r>
        <w:rPr>
          <w:rFonts w:hint="eastAsia" w:ascii="仿宋" w:hAnsi="仿宋" w:eastAsia="仿宋" w:cs="仿宋"/>
          <w:b/>
          <w:bCs/>
          <w:sz w:val="32"/>
          <w:szCs w:val="32"/>
          <w:highlight w:val="none"/>
          <w:lang w:val="en-US" w:eastAsia="zh-CN"/>
        </w:rPr>
        <w:t>五是提高政策落实效率。</w:t>
      </w:r>
      <w:r>
        <w:rPr>
          <w:rFonts w:hint="eastAsia" w:ascii="仿宋" w:hAnsi="仿宋" w:eastAsia="仿宋" w:cs="仿宋"/>
          <w:b w:val="0"/>
          <w:bCs w:val="0"/>
          <w:sz w:val="32"/>
          <w:szCs w:val="32"/>
          <w:highlight w:val="none"/>
          <w:lang w:val="en-US" w:eastAsia="zh-CN"/>
        </w:rPr>
        <w:t>借助非税软件、网络宣传、加班餐费等支出，保障各项工作顺利推进，确保财政政策及时落地，提升财政工作的整体效能。</w:t>
      </w:r>
    </w:p>
    <w:p w14:paraId="2D3ADE8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outlineLvl w:val="1"/>
        <w:rPr>
          <w:rFonts w:hint="eastAsia" w:ascii="楷体" w:hAnsi="楷体" w:eastAsia="楷体" w:cs="楷体"/>
          <w:b/>
          <w:bCs/>
          <w:sz w:val="32"/>
          <w:szCs w:val="32"/>
          <w:highlight w:val="none"/>
          <w:lang w:val="en-US" w:eastAsia="zh-CN"/>
        </w:rPr>
      </w:pPr>
      <w:bookmarkStart w:id="35" w:name="_Toc22798"/>
      <w:r>
        <w:rPr>
          <w:rFonts w:hint="eastAsia" w:ascii="仿宋" w:hAnsi="仿宋" w:eastAsia="仿宋" w:cs="仿宋"/>
          <w:b/>
          <w:bCs/>
          <w:sz w:val="32"/>
          <w:szCs w:val="32"/>
          <w:highlight w:val="none"/>
          <w:lang w:val="en-US" w:eastAsia="zh-CN"/>
        </w:rPr>
        <w:t>（七）</w:t>
      </w:r>
      <w:r>
        <w:rPr>
          <w:rFonts w:hint="eastAsia" w:ascii="楷体" w:hAnsi="楷体" w:eastAsia="楷体" w:cs="楷体"/>
          <w:b/>
          <w:bCs/>
          <w:sz w:val="32"/>
          <w:szCs w:val="32"/>
          <w:highlight w:val="none"/>
          <w:lang w:val="en-US" w:eastAsia="zh-CN"/>
        </w:rPr>
        <w:t>固定资产管理情况及分析</w:t>
      </w:r>
      <w:bookmarkEnd w:id="35"/>
    </w:p>
    <w:p w14:paraId="0B5938C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default"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资产管理系统信息不完善，无型号、规格、使用人、管理人、对应记账日期及凭证号等信息。本年度未发生增减变动，详情见下：</w:t>
      </w:r>
    </w:p>
    <w:p w14:paraId="7982619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1.固定资产2024年原值及折旧变动情况（金额：元）</w:t>
      </w:r>
    </w:p>
    <w:tbl>
      <w:tblPr>
        <w:tblStyle w:val="14"/>
        <w:tblW w:w="877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76"/>
        <w:gridCol w:w="1710"/>
        <w:gridCol w:w="1695"/>
        <w:gridCol w:w="1714"/>
        <w:gridCol w:w="1680"/>
      </w:tblGrid>
      <w:tr w14:paraId="652D2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980" w:type="dxa"/>
            <w:tcBorders>
              <w:top w:val="single" w:color="4F81BD" w:sz="4" w:space="0"/>
              <w:left w:val="single" w:color="4F81BD" w:sz="4" w:space="0"/>
              <w:bottom w:val="single" w:color="4F81BD" w:sz="8" w:space="0"/>
              <w:right w:val="single" w:color="95B3D7" w:sz="4" w:space="0"/>
            </w:tcBorders>
            <w:shd w:val="clear" w:color="auto" w:fill="auto"/>
            <w:vAlign w:val="center"/>
          </w:tcPr>
          <w:p w14:paraId="36661F7C">
            <w:pPr>
              <w:keepNext w:val="0"/>
              <w:keepLines w:val="0"/>
              <w:widowControl/>
              <w:suppressLineNumbers w:val="0"/>
              <w:jc w:val="center"/>
              <w:textAlignment w:val="center"/>
              <w:outlineLvl w:val="9"/>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项目名称</w:t>
            </w:r>
          </w:p>
        </w:tc>
        <w:tc>
          <w:tcPr>
            <w:tcW w:w="1710" w:type="dxa"/>
            <w:tcBorders>
              <w:top w:val="single" w:color="4F81BD" w:sz="4" w:space="0"/>
              <w:left w:val="single" w:color="95B3D7" w:sz="4" w:space="0"/>
              <w:bottom w:val="single" w:color="4F81BD" w:sz="8" w:space="0"/>
              <w:right w:val="single" w:color="95B3D7" w:sz="4" w:space="0"/>
            </w:tcBorders>
            <w:shd w:val="clear" w:color="auto" w:fill="auto"/>
            <w:noWrap/>
            <w:vAlign w:val="center"/>
          </w:tcPr>
          <w:p w14:paraId="1B51A98D">
            <w:pPr>
              <w:keepNext w:val="0"/>
              <w:keepLines w:val="0"/>
              <w:widowControl/>
              <w:suppressLineNumbers w:val="0"/>
              <w:jc w:val="center"/>
              <w:textAlignment w:val="center"/>
              <w:outlineLvl w:val="9"/>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期初余额</w:t>
            </w:r>
          </w:p>
        </w:tc>
        <w:tc>
          <w:tcPr>
            <w:tcW w:w="1695" w:type="dxa"/>
            <w:tcBorders>
              <w:top w:val="single" w:color="4F81BD" w:sz="4" w:space="0"/>
              <w:left w:val="single" w:color="95B3D7" w:sz="4" w:space="0"/>
              <w:bottom w:val="single" w:color="4F81BD" w:sz="8" w:space="0"/>
              <w:right w:val="single" w:color="95B3D7" w:sz="4" w:space="0"/>
            </w:tcBorders>
            <w:shd w:val="clear" w:color="auto" w:fill="auto"/>
            <w:noWrap/>
            <w:vAlign w:val="center"/>
          </w:tcPr>
          <w:p w14:paraId="46A0F1C8">
            <w:pPr>
              <w:keepNext w:val="0"/>
              <w:keepLines w:val="0"/>
              <w:widowControl/>
              <w:suppressLineNumbers w:val="0"/>
              <w:jc w:val="center"/>
              <w:textAlignment w:val="center"/>
              <w:outlineLvl w:val="9"/>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2024年增加额</w:t>
            </w:r>
          </w:p>
        </w:tc>
        <w:tc>
          <w:tcPr>
            <w:tcW w:w="1714" w:type="dxa"/>
            <w:tcBorders>
              <w:top w:val="single" w:color="4F81BD" w:sz="4" w:space="0"/>
              <w:left w:val="single" w:color="95B3D7" w:sz="4" w:space="0"/>
              <w:bottom w:val="single" w:color="4F81BD" w:sz="8" w:space="0"/>
              <w:right w:val="single" w:color="95B3D7" w:sz="4" w:space="0"/>
            </w:tcBorders>
            <w:shd w:val="clear" w:color="auto" w:fill="auto"/>
            <w:noWrap/>
            <w:vAlign w:val="center"/>
          </w:tcPr>
          <w:p w14:paraId="0E02BAF5">
            <w:pPr>
              <w:keepNext w:val="0"/>
              <w:keepLines w:val="0"/>
              <w:widowControl/>
              <w:suppressLineNumbers w:val="0"/>
              <w:jc w:val="center"/>
              <w:textAlignment w:val="center"/>
              <w:outlineLvl w:val="9"/>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2024年减少额</w:t>
            </w:r>
          </w:p>
        </w:tc>
        <w:tc>
          <w:tcPr>
            <w:tcW w:w="1680" w:type="dxa"/>
            <w:tcBorders>
              <w:top w:val="single" w:color="4F81BD" w:sz="4" w:space="0"/>
              <w:left w:val="single" w:color="95B3D7" w:sz="4" w:space="0"/>
              <w:bottom w:val="single" w:color="4F81BD" w:sz="8" w:space="0"/>
              <w:right w:val="single" w:color="4F81BD" w:sz="4" w:space="0"/>
            </w:tcBorders>
            <w:shd w:val="clear" w:color="auto" w:fill="auto"/>
            <w:noWrap/>
            <w:vAlign w:val="center"/>
          </w:tcPr>
          <w:p w14:paraId="1B7F4B4E">
            <w:pPr>
              <w:keepNext w:val="0"/>
              <w:keepLines w:val="0"/>
              <w:widowControl/>
              <w:suppressLineNumbers w:val="0"/>
              <w:jc w:val="center"/>
              <w:textAlignment w:val="center"/>
              <w:outlineLvl w:val="9"/>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期末余额</w:t>
            </w:r>
          </w:p>
        </w:tc>
      </w:tr>
      <w:tr w14:paraId="29F7E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980" w:type="dxa"/>
            <w:tcBorders>
              <w:top w:val="single" w:color="4F81BD" w:sz="8" w:space="0"/>
              <w:left w:val="single" w:color="4F81BD" w:sz="4" w:space="0"/>
              <w:bottom w:val="single" w:color="95B3D7" w:sz="4" w:space="0"/>
              <w:right w:val="single" w:color="95B3D7" w:sz="4" w:space="0"/>
            </w:tcBorders>
            <w:shd w:val="clear" w:color="DCE6F1" w:fill="DCE6F1"/>
            <w:vAlign w:val="center"/>
          </w:tcPr>
          <w:p w14:paraId="7803B8EA">
            <w:pPr>
              <w:keepNext w:val="0"/>
              <w:keepLines w:val="0"/>
              <w:widowControl/>
              <w:suppressLineNumbers w:val="0"/>
              <w:jc w:val="center"/>
              <w:textAlignment w:val="center"/>
              <w:outlineLvl w:val="9"/>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固定资产原值</w:t>
            </w:r>
          </w:p>
        </w:tc>
        <w:tc>
          <w:tcPr>
            <w:tcW w:w="0" w:type="auto"/>
            <w:tcBorders>
              <w:top w:val="single" w:color="4F81BD" w:sz="8" w:space="0"/>
              <w:left w:val="single" w:color="95B3D7" w:sz="4" w:space="0"/>
              <w:bottom w:val="single" w:color="95B3D7" w:sz="4" w:space="0"/>
              <w:right w:val="single" w:color="4F81BD" w:sz="4" w:space="0"/>
            </w:tcBorders>
            <w:shd w:val="clear" w:color="DCE6F1" w:fill="DCE6F1"/>
            <w:noWrap/>
            <w:vAlign w:val="bottom"/>
          </w:tcPr>
          <w:p w14:paraId="5E781C0E">
            <w:pPr>
              <w:keepNext w:val="0"/>
              <w:keepLines w:val="0"/>
              <w:widowControl/>
              <w:suppressLineNumbers w:val="0"/>
              <w:jc w:val="center"/>
              <w:textAlignment w:val="bottom"/>
              <w:outlineLvl w:val="9"/>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1,277,669.01</w:t>
            </w:r>
          </w:p>
        </w:tc>
        <w:tc>
          <w:tcPr>
            <w:tcW w:w="0" w:type="auto"/>
            <w:tcBorders>
              <w:top w:val="single" w:color="4F81BD" w:sz="8" w:space="0"/>
              <w:left w:val="single" w:color="95B3D7" w:sz="4" w:space="0"/>
              <w:bottom w:val="single" w:color="95B3D7" w:sz="4" w:space="0"/>
              <w:right w:val="single" w:color="95B3D7" w:sz="4" w:space="0"/>
            </w:tcBorders>
            <w:shd w:val="clear" w:color="DCE6F1" w:fill="DCE6F1"/>
            <w:noWrap/>
            <w:vAlign w:val="center"/>
          </w:tcPr>
          <w:p w14:paraId="4A84C98B">
            <w:pPr>
              <w:jc w:val="center"/>
              <w:outlineLvl w:val="9"/>
              <w:rPr>
                <w:rFonts w:hint="eastAsia" w:ascii="宋体" w:hAnsi="宋体" w:eastAsia="宋体" w:cs="宋体"/>
                <w:i w:val="0"/>
                <w:iCs w:val="0"/>
                <w:color w:val="000000"/>
                <w:sz w:val="24"/>
                <w:szCs w:val="24"/>
                <w:u w:val="none"/>
              </w:rPr>
            </w:pPr>
          </w:p>
        </w:tc>
        <w:tc>
          <w:tcPr>
            <w:tcW w:w="0" w:type="auto"/>
            <w:tcBorders>
              <w:top w:val="single" w:color="4F81BD" w:sz="8" w:space="0"/>
              <w:left w:val="single" w:color="95B3D7" w:sz="4" w:space="0"/>
              <w:bottom w:val="single" w:color="95B3D7" w:sz="4" w:space="0"/>
              <w:right w:val="single" w:color="95B3D7" w:sz="4" w:space="0"/>
            </w:tcBorders>
            <w:shd w:val="clear" w:color="DCE6F1" w:fill="DCE6F1"/>
            <w:noWrap/>
            <w:vAlign w:val="bottom"/>
          </w:tcPr>
          <w:p w14:paraId="2ADFEA9B">
            <w:pPr>
              <w:jc w:val="center"/>
              <w:outlineLvl w:val="9"/>
              <w:rPr>
                <w:rFonts w:hint="eastAsia" w:ascii="宋体" w:hAnsi="宋体" w:eastAsia="宋体" w:cs="宋体"/>
                <w:i w:val="0"/>
                <w:iCs w:val="0"/>
                <w:color w:val="000000"/>
                <w:sz w:val="24"/>
                <w:szCs w:val="24"/>
                <w:u w:val="none"/>
              </w:rPr>
            </w:pPr>
          </w:p>
        </w:tc>
        <w:tc>
          <w:tcPr>
            <w:tcW w:w="0" w:type="auto"/>
            <w:tcBorders>
              <w:top w:val="single" w:color="4F81BD" w:sz="8" w:space="0"/>
              <w:left w:val="single" w:color="95B3D7" w:sz="4" w:space="0"/>
              <w:bottom w:val="single" w:color="95B3D7" w:sz="4" w:space="0"/>
              <w:right w:val="single" w:color="4F81BD" w:sz="4" w:space="0"/>
            </w:tcBorders>
            <w:shd w:val="clear" w:color="DCE6F1" w:fill="DCE6F1"/>
            <w:noWrap/>
            <w:vAlign w:val="bottom"/>
          </w:tcPr>
          <w:p w14:paraId="755331F0">
            <w:pPr>
              <w:keepNext w:val="0"/>
              <w:keepLines w:val="0"/>
              <w:widowControl/>
              <w:suppressLineNumbers w:val="0"/>
              <w:jc w:val="center"/>
              <w:textAlignment w:val="bottom"/>
              <w:outlineLvl w:val="9"/>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1,277,669.01</w:t>
            </w:r>
          </w:p>
        </w:tc>
      </w:tr>
      <w:tr w14:paraId="0F7C8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80" w:type="dxa"/>
            <w:tcBorders>
              <w:top w:val="single" w:color="95B3D7" w:sz="4" w:space="0"/>
              <w:left w:val="single" w:color="4F81BD" w:sz="4" w:space="0"/>
              <w:bottom w:val="single" w:color="95B3D7" w:sz="4" w:space="0"/>
              <w:right w:val="single" w:color="95B3D7" w:sz="4" w:space="0"/>
            </w:tcBorders>
            <w:shd w:val="clear" w:color="auto" w:fill="auto"/>
            <w:vAlign w:val="center"/>
          </w:tcPr>
          <w:p w14:paraId="40E6A6B7">
            <w:pPr>
              <w:keepNext w:val="0"/>
              <w:keepLines w:val="0"/>
              <w:widowControl/>
              <w:suppressLineNumbers w:val="0"/>
              <w:jc w:val="center"/>
              <w:textAlignment w:val="center"/>
              <w:outlineLvl w:val="9"/>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累计折旧</w:t>
            </w:r>
          </w:p>
        </w:tc>
        <w:tc>
          <w:tcPr>
            <w:tcW w:w="0" w:type="auto"/>
            <w:tcBorders>
              <w:top w:val="single" w:color="95B3D7" w:sz="4" w:space="0"/>
              <w:left w:val="single" w:color="95B3D7" w:sz="4" w:space="0"/>
              <w:bottom w:val="single" w:color="95B3D7" w:sz="4" w:space="0"/>
              <w:right w:val="single" w:color="95B3D7" w:sz="4" w:space="0"/>
            </w:tcBorders>
            <w:shd w:val="clear" w:color="auto" w:fill="auto"/>
            <w:noWrap/>
            <w:vAlign w:val="bottom"/>
          </w:tcPr>
          <w:p w14:paraId="29CB72EF">
            <w:pPr>
              <w:keepNext w:val="0"/>
              <w:keepLines w:val="0"/>
              <w:widowControl/>
              <w:suppressLineNumbers w:val="0"/>
              <w:jc w:val="center"/>
              <w:textAlignment w:val="bottom"/>
              <w:outlineLvl w:val="9"/>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1,141,138.26</w:t>
            </w:r>
          </w:p>
        </w:tc>
        <w:tc>
          <w:tcPr>
            <w:tcW w:w="0" w:type="auto"/>
            <w:tcBorders>
              <w:top w:val="single" w:color="95B3D7" w:sz="4" w:space="0"/>
              <w:left w:val="single" w:color="95B3D7" w:sz="4" w:space="0"/>
              <w:bottom w:val="single" w:color="95B3D7" w:sz="4" w:space="0"/>
              <w:right w:val="single" w:color="95B3D7" w:sz="4" w:space="0"/>
            </w:tcBorders>
            <w:shd w:val="clear" w:color="auto" w:fill="auto"/>
            <w:noWrap/>
            <w:vAlign w:val="bottom"/>
          </w:tcPr>
          <w:p w14:paraId="7D1E52B6">
            <w:pPr>
              <w:jc w:val="center"/>
              <w:outlineLvl w:val="9"/>
              <w:rPr>
                <w:rFonts w:hint="eastAsia" w:ascii="宋体" w:hAnsi="宋体" w:eastAsia="宋体" w:cs="宋体"/>
                <w:i w:val="0"/>
                <w:iCs w:val="0"/>
                <w:color w:val="000000"/>
                <w:sz w:val="24"/>
                <w:szCs w:val="24"/>
                <w:u w:val="none"/>
              </w:rPr>
            </w:pPr>
          </w:p>
        </w:tc>
        <w:tc>
          <w:tcPr>
            <w:tcW w:w="0" w:type="auto"/>
            <w:tcBorders>
              <w:top w:val="single" w:color="95B3D7" w:sz="4" w:space="0"/>
              <w:left w:val="single" w:color="95B3D7" w:sz="4" w:space="0"/>
              <w:bottom w:val="single" w:color="95B3D7" w:sz="4" w:space="0"/>
              <w:right w:val="single" w:color="95B3D7" w:sz="4" w:space="0"/>
            </w:tcBorders>
            <w:shd w:val="clear" w:color="auto" w:fill="auto"/>
            <w:noWrap/>
            <w:vAlign w:val="bottom"/>
          </w:tcPr>
          <w:p w14:paraId="17181788">
            <w:pPr>
              <w:jc w:val="center"/>
              <w:outlineLvl w:val="9"/>
              <w:rPr>
                <w:rFonts w:hint="eastAsia" w:ascii="宋体" w:hAnsi="宋体" w:eastAsia="宋体" w:cs="宋体"/>
                <w:i w:val="0"/>
                <w:iCs w:val="0"/>
                <w:color w:val="000000"/>
                <w:sz w:val="24"/>
                <w:szCs w:val="24"/>
                <w:u w:val="none"/>
              </w:rPr>
            </w:pPr>
          </w:p>
        </w:tc>
        <w:tc>
          <w:tcPr>
            <w:tcW w:w="0" w:type="auto"/>
            <w:tcBorders>
              <w:top w:val="single" w:color="95B3D7" w:sz="4" w:space="0"/>
              <w:left w:val="single" w:color="95B3D7" w:sz="4" w:space="0"/>
              <w:bottom w:val="single" w:color="95B3D7" w:sz="4" w:space="0"/>
              <w:right w:val="single" w:color="4F81BD" w:sz="4" w:space="0"/>
            </w:tcBorders>
            <w:shd w:val="clear" w:color="auto" w:fill="auto"/>
            <w:noWrap/>
            <w:vAlign w:val="bottom"/>
          </w:tcPr>
          <w:p w14:paraId="2B4AB64B">
            <w:pPr>
              <w:keepNext w:val="0"/>
              <w:keepLines w:val="0"/>
              <w:widowControl/>
              <w:suppressLineNumbers w:val="0"/>
              <w:jc w:val="center"/>
              <w:textAlignment w:val="bottom"/>
              <w:outlineLvl w:val="9"/>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1,141,138.26</w:t>
            </w:r>
          </w:p>
        </w:tc>
      </w:tr>
      <w:tr w14:paraId="49023D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980" w:type="dxa"/>
            <w:tcBorders>
              <w:top w:val="single" w:color="95B3D7" w:sz="4" w:space="0"/>
              <w:left w:val="single" w:color="4F81BD" w:sz="4" w:space="0"/>
              <w:bottom w:val="single" w:color="4F81BD" w:sz="4" w:space="0"/>
              <w:right w:val="single" w:color="95B3D7" w:sz="4" w:space="0"/>
            </w:tcBorders>
            <w:shd w:val="clear" w:color="DCE6F1" w:fill="DCE6F1"/>
            <w:vAlign w:val="center"/>
          </w:tcPr>
          <w:p w14:paraId="3CEF7FE7">
            <w:pPr>
              <w:keepNext w:val="0"/>
              <w:keepLines w:val="0"/>
              <w:widowControl/>
              <w:suppressLineNumbers w:val="0"/>
              <w:jc w:val="center"/>
              <w:textAlignment w:val="center"/>
              <w:outlineLvl w:val="9"/>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固定资产净值</w:t>
            </w:r>
          </w:p>
        </w:tc>
        <w:tc>
          <w:tcPr>
            <w:tcW w:w="0" w:type="auto"/>
            <w:tcBorders>
              <w:top w:val="single" w:color="95B3D7" w:sz="4" w:space="0"/>
              <w:left w:val="single" w:color="95B3D7" w:sz="4" w:space="0"/>
              <w:bottom w:val="single" w:color="4F81BD" w:sz="4" w:space="0"/>
              <w:right w:val="single" w:color="95B3D7" w:sz="4" w:space="0"/>
            </w:tcBorders>
            <w:shd w:val="clear" w:color="DCE6F1" w:fill="DCE6F1"/>
            <w:noWrap/>
            <w:vAlign w:val="bottom"/>
          </w:tcPr>
          <w:p w14:paraId="677DE9E2">
            <w:pPr>
              <w:keepNext w:val="0"/>
              <w:keepLines w:val="0"/>
              <w:widowControl/>
              <w:suppressLineNumbers w:val="0"/>
              <w:jc w:val="center"/>
              <w:textAlignment w:val="bottom"/>
              <w:outlineLvl w:val="9"/>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136,530.75</w:t>
            </w:r>
          </w:p>
        </w:tc>
        <w:tc>
          <w:tcPr>
            <w:tcW w:w="0" w:type="auto"/>
            <w:tcBorders>
              <w:top w:val="single" w:color="95B3D7" w:sz="4" w:space="0"/>
              <w:left w:val="single" w:color="95B3D7" w:sz="4" w:space="0"/>
              <w:bottom w:val="single" w:color="4F81BD" w:sz="4" w:space="0"/>
              <w:right w:val="single" w:color="95B3D7" w:sz="4" w:space="0"/>
            </w:tcBorders>
            <w:shd w:val="clear" w:color="DCE6F1" w:fill="DCE6F1"/>
            <w:noWrap/>
            <w:vAlign w:val="bottom"/>
          </w:tcPr>
          <w:p w14:paraId="3851F142">
            <w:pPr>
              <w:jc w:val="center"/>
              <w:outlineLvl w:val="9"/>
              <w:rPr>
                <w:rFonts w:hint="eastAsia" w:ascii="宋体" w:hAnsi="宋体" w:eastAsia="宋体" w:cs="宋体"/>
                <w:i w:val="0"/>
                <w:iCs w:val="0"/>
                <w:color w:val="000000"/>
                <w:sz w:val="24"/>
                <w:szCs w:val="24"/>
                <w:u w:val="none"/>
              </w:rPr>
            </w:pPr>
          </w:p>
        </w:tc>
        <w:tc>
          <w:tcPr>
            <w:tcW w:w="0" w:type="auto"/>
            <w:tcBorders>
              <w:top w:val="single" w:color="95B3D7" w:sz="4" w:space="0"/>
              <w:left w:val="single" w:color="95B3D7" w:sz="4" w:space="0"/>
              <w:bottom w:val="single" w:color="4F81BD" w:sz="4" w:space="0"/>
              <w:right w:val="single" w:color="95B3D7" w:sz="4" w:space="0"/>
            </w:tcBorders>
            <w:shd w:val="clear" w:color="DCE6F1" w:fill="DCE6F1"/>
            <w:noWrap/>
            <w:vAlign w:val="bottom"/>
          </w:tcPr>
          <w:p w14:paraId="5B801094">
            <w:pPr>
              <w:jc w:val="center"/>
              <w:outlineLvl w:val="9"/>
              <w:rPr>
                <w:rFonts w:hint="eastAsia" w:ascii="宋体" w:hAnsi="宋体" w:eastAsia="宋体" w:cs="宋体"/>
                <w:i w:val="0"/>
                <w:iCs w:val="0"/>
                <w:color w:val="000000"/>
                <w:sz w:val="24"/>
                <w:szCs w:val="24"/>
                <w:u w:val="none"/>
              </w:rPr>
            </w:pPr>
          </w:p>
        </w:tc>
        <w:tc>
          <w:tcPr>
            <w:tcW w:w="0" w:type="auto"/>
            <w:tcBorders>
              <w:top w:val="single" w:color="95B3D7" w:sz="4" w:space="0"/>
              <w:left w:val="single" w:color="95B3D7" w:sz="4" w:space="0"/>
              <w:bottom w:val="single" w:color="4F81BD" w:sz="4" w:space="0"/>
              <w:right w:val="single" w:color="4F81BD" w:sz="4" w:space="0"/>
            </w:tcBorders>
            <w:shd w:val="clear" w:color="DCE6F1" w:fill="DCE6F1"/>
            <w:noWrap/>
            <w:vAlign w:val="bottom"/>
          </w:tcPr>
          <w:p w14:paraId="67840428">
            <w:pPr>
              <w:keepNext w:val="0"/>
              <w:keepLines w:val="0"/>
              <w:widowControl/>
              <w:suppressLineNumbers w:val="0"/>
              <w:jc w:val="center"/>
              <w:textAlignment w:val="bottom"/>
              <w:outlineLvl w:val="9"/>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136,530.75</w:t>
            </w:r>
          </w:p>
        </w:tc>
      </w:tr>
    </w:tbl>
    <w:p w14:paraId="19FF506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default"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2.固定资产明细（金额：元）</w:t>
      </w:r>
    </w:p>
    <w:tbl>
      <w:tblPr>
        <w:tblStyle w:val="14"/>
        <w:tblW w:w="10555" w:type="dxa"/>
        <w:tblInd w:w="-76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04"/>
        <w:gridCol w:w="751"/>
        <w:gridCol w:w="655"/>
        <w:gridCol w:w="658"/>
        <w:gridCol w:w="767"/>
        <w:gridCol w:w="1397"/>
        <w:gridCol w:w="450"/>
        <w:gridCol w:w="1569"/>
        <w:gridCol w:w="1513"/>
        <w:gridCol w:w="1391"/>
      </w:tblGrid>
      <w:tr w14:paraId="282FD7C3">
        <w:tblPrEx>
          <w:shd w:val="clear" w:color="auto" w:fill="auto"/>
          <w:tblCellMar>
            <w:top w:w="0" w:type="dxa"/>
            <w:left w:w="108" w:type="dxa"/>
            <w:bottom w:w="0" w:type="dxa"/>
            <w:right w:w="108" w:type="dxa"/>
          </w:tblCellMar>
        </w:tblPrEx>
        <w:trPr>
          <w:trHeight w:val="1155" w:hRule="atLeast"/>
        </w:trPr>
        <w:tc>
          <w:tcPr>
            <w:tcW w:w="1404" w:type="dxa"/>
            <w:tcBorders>
              <w:top w:val="single" w:color="4F81BD" w:sz="4" w:space="0"/>
              <w:left w:val="single" w:color="4F81BD" w:sz="4" w:space="0"/>
              <w:bottom w:val="single" w:color="4F81BD" w:sz="8" w:space="0"/>
              <w:right w:val="single" w:color="95B3D7" w:sz="4" w:space="0"/>
            </w:tcBorders>
            <w:shd w:val="clear" w:color="auto" w:fill="auto"/>
            <w:vAlign w:val="center"/>
          </w:tcPr>
          <w:p w14:paraId="3A8CBFC9">
            <w:pPr>
              <w:keepNext w:val="0"/>
              <w:keepLines w:val="0"/>
              <w:widowControl/>
              <w:suppressLineNumbers w:val="0"/>
              <w:jc w:val="center"/>
              <w:textAlignment w:val="center"/>
              <w:rPr>
                <w:rFonts w:ascii="Calibri" w:hAnsi="Calibri" w:cs="Calibri"/>
                <w:b/>
                <w:bCs/>
                <w:i w:val="0"/>
                <w:iCs w:val="0"/>
                <w:color w:val="000000"/>
                <w:sz w:val="24"/>
                <w:szCs w:val="24"/>
                <w:u w:val="none"/>
              </w:rPr>
            </w:pPr>
            <w:r>
              <w:rPr>
                <w:rFonts w:hint="default" w:ascii="Calibri" w:hAnsi="Calibri" w:eastAsia="宋体" w:cs="Calibri"/>
                <w:b/>
                <w:bCs/>
                <w:i w:val="0"/>
                <w:iCs w:val="0"/>
                <w:color w:val="000000"/>
                <w:kern w:val="0"/>
                <w:sz w:val="24"/>
                <w:szCs w:val="24"/>
                <w:u w:val="none"/>
                <w:lang w:val="en-US" w:eastAsia="zh-CN" w:bidi="ar"/>
              </w:rPr>
              <w:t>资产分类</w:t>
            </w:r>
          </w:p>
        </w:tc>
        <w:tc>
          <w:tcPr>
            <w:tcW w:w="751" w:type="dxa"/>
            <w:tcBorders>
              <w:top w:val="single" w:color="4F81BD" w:sz="4" w:space="0"/>
              <w:left w:val="single" w:color="95B3D7" w:sz="4" w:space="0"/>
              <w:bottom w:val="single" w:color="4F81BD" w:sz="8" w:space="0"/>
              <w:right w:val="single" w:color="95B3D7" w:sz="4" w:space="0"/>
            </w:tcBorders>
            <w:shd w:val="clear" w:color="auto" w:fill="auto"/>
            <w:vAlign w:val="center"/>
          </w:tcPr>
          <w:p w14:paraId="68F8CE42">
            <w:pPr>
              <w:keepNext w:val="0"/>
              <w:keepLines w:val="0"/>
              <w:widowControl/>
              <w:suppressLineNumbers w:val="0"/>
              <w:jc w:val="center"/>
              <w:textAlignment w:val="center"/>
              <w:rPr>
                <w:rFonts w:hint="default" w:ascii="Calibri" w:hAnsi="Calibri" w:cs="Calibri"/>
                <w:b/>
                <w:bCs/>
                <w:i w:val="0"/>
                <w:iCs w:val="0"/>
                <w:color w:val="000000"/>
                <w:sz w:val="24"/>
                <w:szCs w:val="24"/>
                <w:u w:val="none"/>
              </w:rPr>
            </w:pPr>
            <w:r>
              <w:rPr>
                <w:rFonts w:hint="default" w:ascii="Calibri" w:hAnsi="Calibri" w:eastAsia="宋体" w:cs="Calibri"/>
                <w:b/>
                <w:bCs/>
                <w:i w:val="0"/>
                <w:iCs w:val="0"/>
                <w:color w:val="000000"/>
                <w:kern w:val="0"/>
                <w:sz w:val="24"/>
                <w:szCs w:val="24"/>
                <w:u w:val="none"/>
                <w:lang w:val="en-US" w:eastAsia="zh-CN" w:bidi="ar"/>
              </w:rPr>
              <w:t>资产名称</w:t>
            </w:r>
          </w:p>
        </w:tc>
        <w:tc>
          <w:tcPr>
            <w:tcW w:w="655" w:type="dxa"/>
            <w:tcBorders>
              <w:top w:val="single" w:color="4F81BD" w:sz="4" w:space="0"/>
              <w:left w:val="single" w:color="95B3D7" w:sz="4" w:space="0"/>
              <w:bottom w:val="single" w:color="4F81BD" w:sz="8" w:space="0"/>
              <w:right w:val="single" w:color="95B3D7" w:sz="4" w:space="0"/>
            </w:tcBorders>
            <w:shd w:val="clear" w:color="auto" w:fill="auto"/>
            <w:vAlign w:val="center"/>
          </w:tcPr>
          <w:p w14:paraId="596736B8">
            <w:pPr>
              <w:keepNext w:val="0"/>
              <w:keepLines w:val="0"/>
              <w:widowControl/>
              <w:suppressLineNumbers w:val="0"/>
              <w:jc w:val="center"/>
              <w:textAlignment w:val="center"/>
              <w:rPr>
                <w:rFonts w:hint="default" w:ascii="Calibri" w:hAnsi="Calibri" w:cs="Calibri"/>
                <w:b/>
                <w:bCs/>
                <w:i w:val="0"/>
                <w:iCs w:val="0"/>
                <w:color w:val="000000"/>
                <w:sz w:val="24"/>
                <w:szCs w:val="24"/>
                <w:u w:val="none"/>
              </w:rPr>
            </w:pPr>
            <w:r>
              <w:rPr>
                <w:rFonts w:hint="default" w:ascii="Calibri" w:hAnsi="Calibri" w:eastAsia="宋体" w:cs="Calibri"/>
                <w:b/>
                <w:bCs/>
                <w:i w:val="0"/>
                <w:iCs w:val="0"/>
                <w:color w:val="000000"/>
                <w:kern w:val="0"/>
                <w:sz w:val="24"/>
                <w:szCs w:val="24"/>
                <w:u w:val="none"/>
                <w:lang w:val="en-US" w:eastAsia="zh-CN" w:bidi="ar"/>
              </w:rPr>
              <w:t>数量/面积</w:t>
            </w:r>
          </w:p>
        </w:tc>
        <w:tc>
          <w:tcPr>
            <w:tcW w:w="658" w:type="dxa"/>
            <w:tcBorders>
              <w:top w:val="single" w:color="4F81BD" w:sz="4" w:space="0"/>
              <w:left w:val="single" w:color="95B3D7" w:sz="4" w:space="0"/>
              <w:bottom w:val="single" w:color="4F81BD" w:sz="8" w:space="0"/>
              <w:right w:val="single" w:color="95B3D7" w:sz="4" w:space="0"/>
            </w:tcBorders>
            <w:shd w:val="clear" w:color="auto" w:fill="auto"/>
            <w:vAlign w:val="center"/>
          </w:tcPr>
          <w:p w14:paraId="7B36CB00">
            <w:pPr>
              <w:keepNext w:val="0"/>
              <w:keepLines w:val="0"/>
              <w:widowControl/>
              <w:suppressLineNumbers w:val="0"/>
              <w:jc w:val="center"/>
              <w:textAlignment w:val="center"/>
              <w:rPr>
                <w:rFonts w:hint="default" w:ascii="Calibri" w:hAnsi="Calibri" w:cs="Calibri"/>
                <w:b/>
                <w:bCs/>
                <w:i w:val="0"/>
                <w:iCs w:val="0"/>
                <w:color w:val="000000"/>
                <w:sz w:val="24"/>
                <w:szCs w:val="24"/>
                <w:u w:val="none"/>
              </w:rPr>
            </w:pPr>
            <w:r>
              <w:rPr>
                <w:rFonts w:hint="default" w:ascii="Calibri" w:hAnsi="Calibri" w:eastAsia="宋体" w:cs="Calibri"/>
                <w:b/>
                <w:bCs/>
                <w:i w:val="0"/>
                <w:iCs w:val="0"/>
                <w:color w:val="000000"/>
                <w:kern w:val="0"/>
                <w:sz w:val="24"/>
                <w:szCs w:val="24"/>
                <w:u w:val="none"/>
                <w:lang w:val="en-US" w:eastAsia="zh-CN" w:bidi="ar"/>
              </w:rPr>
              <w:t>计量单位</w:t>
            </w:r>
          </w:p>
        </w:tc>
        <w:tc>
          <w:tcPr>
            <w:tcW w:w="767" w:type="dxa"/>
            <w:tcBorders>
              <w:top w:val="single" w:color="4F81BD" w:sz="4" w:space="0"/>
              <w:left w:val="single" w:color="95B3D7" w:sz="4" w:space="0"/>
              <w:bottom w:val="single" w:color="4F81BD" w:sz="8" w:space="0"/>
              <w:right w:val="single" w:color="95B3D7" w:sz="4" w:space="0"/>
            </w:tcBorders>
            <w:shd w:val="clear" w:color="auto" w:fill="auto"/>
            <w:vAlign w:val="center"/>
          </w:tcPr>
          <w:p w14:paraId="5D332A51">
            <w:pPr>
              <w:keepNext w:val="0"/>
              <w:keepLines w:val="0"/>
              <w:widowControl/>
              <w:suppressLineNumbers w:val="0"/>
              <w:jc w:val="center"/>
              <w:textAlignment w:val="center"/>
              <w:rPr>
                <w:rFonts w:hint="default" w:ascii="Calibri" w:hAnsi="Calibri" w:cs="Calibri"/>
                <w:b/>
                <w:bCs/>
                <w:i w:val="0"/>
                <w:iCs w:val="0"/>
                <w:color w:val="000000"/>
                <w:sz w:val="24"/>
                <w:szCs w:val="24"/>
                <w:u w:val="none"/>
              </w:rPr>
            </w:pPr>
            <w:r>
              <w:rPr>
                <w:rFonts w:hint="default" w:ascii="Calibri" w:hAnsi="Calibri" w:eastAsia="宋体" w:cs="Calibri"/>
                <w:b/>
                <w:bCs/>
                <w:i w:val="0"/>
                <w:iCs w:val="0"/>
                <w:color w:val="000000"/>
                <w:kern w:val="0"/>
                <w:sz w:val="24"/>
                <w:szCs w:val="24"/>
                <w:u w:val="none"/>
                <w:lang w:val="en-US" w:eastAsia="zh-CN" w:bidi="ar"/>
              </w:rPr>
              <w:t>取得方式</w:t>
            </w:r>
          </w:p>
        </w:tc>
        <w:tc>
          <w:tcPr>
            <w:tcW w:w="1397" w:type="dxa"/>
            <w:tcBorders>
              <w:top w:val="single" w:color="4F81BD" w:sz="4" w:space="0"/>
              <w:left w:val="single" w:color="95B3D7" w:sz="4" w:space="0"/>
              <w:bottom w:val="single" w:color="4F81BD" w:sz="8" w:space="0"/>
              <w:right w:val="single" w:color="95B3D7" w:sz="4" w:space="0"/>
            </w:tcBorders>
            <w:shd w:val="clear" w:color="auto" w:fill="auto"/>
            <w:vAlign w:val="center"/>
          </w:tcPr>
          <w:p w14:paraId="277C77AA">
            <w:pPr>
              <w:keepNext w:val="0"/>
              <w:keepLines w:val="0"/>
              <w:widowControl/>
              <w:suppressLineNumbers w:val="0"/>
              <w:jc w:val="center"/>
              <w:textAlignment w:val="center"/>
              <w:rPr>
                <w:rFonts w:hint="default" w:ascii="Calibri" w:hAnsi="Calibri" w:cs="Calibri"/>
                <w:b/>
                <w:bCs/>
                <w:i w:val="0"/>
                <w:iCs w:val="0"/>
                <w:color w:val="000000"/>
                <w:sz w:val="24"/>
                <w:szCs w:val="24"/>
                <w:u w:val="none"/>
              </w:rPr>
            </w:pPr>
            <w:r>
              <w:rPr>
                <w:rFonts w:hint="default" w:ascii="Calibri" w:hAnsi="Calibri" w:eastAsia="宋体" w:cs="Calibri"/>
                <w:b/>
                <w:bCs/>
                <w:i w:val="0"/>
                <w:iCs w:val="0"/>
                <w:color w:val="000000"/>
                <w:kern w:val="0"/>
                <w:sz w:val="24"/>
                <w:szCs w:val="24"/>
                <w:u w:val="none"/>
                <w:lang w:val="en-US" w:eastAsia="zh-CN" w:bidi="ar"/>
              </w:rPr>
              <w:t>取得日期</w:t>
            </w:r>
          </w:p>
        </w:tc>
        <w:tc>
          <w:tcPr>
            <w:tcW w:w="450" w:type="dxa"/>
            <w:tcBorders>
              <w:top w:val="single" w:color="4F81BD" w:sz="4" w:space="0"/>
              <w:left w:val="single" w:color="95B3D7" w:sz="4" w:space="0"/>
              <w:bottom w:val="single" w:color="4F81BD" w:sz="8" w:space="0"/>
              <w:right w:val="single" w:color="95B3D7" w:sz="4" w:space="0"/>
            </w:tcBorders>
            <w:shd w:val="clear" w:color="auto" w:fill="auto"/>
            <w:vAlign w:val="center"/>
          </w:tcPr>
          <w:p w14:paraId="0D0CFE93">
            <w:pPr>
              <w:keepNext w:val="0"/>
              <w:keepLines w:val="0"/>
              <w:widowControl/>
              <w:suppressLineNumbers w:val="0"/>
              <w:jc w:val="center"/>
              <w:textAlignment w:val="center"/>
              <w:rPr>
                <w:rFonts w:hint="default" w:ascii="Calibri" w:hAnsi="Calibri" w:cs="Calibri"/>
                <w:b/>
                <w:bCs/>
                <w:i w:val="0"/>
                <w:iCs w:val="0"/>
                <w:color w:val="000000"/>
                <w:sz w:val="24"/>
                <w:szCs w:val="24"/>
                <w:u w:val="none"/>
              </w:rPr>
            </w:pPr>
            <w:r>
              <w:rPr>
                <w:rFonts w:hint="default" w:ascii="Calibri" w:hAnsi="Calibri" w:eastAsia="宋体" w:cs="Calibri"/>
                <w:b/>
                <w:bCs/>
                <w:i w:val="0"/>
                <w:iCs w:val="0"/>
                <w:color w:val="000000"/>
                <w:kern w:val="0"/>
                <w:sz w:val="24"/>
                <w:szCs w:val="24"/>
                <w:u w:val="none"/>
                <w:lang w:val="en-US" w:eastAsia="zh-CN" w:bidi="ar"/>
              </w:rPr>
              <w:t>存放地点</w:t>
            </w:r>
          </w:p>
        </w:tc>
        <w:tc>
          <w:tcPr>
            <w:tcW w:w="1569" w:type="dxa"/>
            <w:tcBorders>
              <w:top w:val="single" w:color="4F81BD" w:sz="4" w:space="0"/>
              <w:left w:val="single" w:color="95B3D7" w:sz="4" w:space="0"/>
              <w:bottom w:val="single" w:color="4F81BD" w:sz="8" w:space="0"/>
              <w:right w:val="single" w:color="95B3D7" w:sz="4" w:space="0"/>
            </w:tcBorders>
            <w:shd w:val="clear" w:color="auto" w:fill="auto"/>
            <w:vAlign w:val="center"/>
          </w:tcPr>
          <w:p w14:paraId="5BC30F85">
            <w:pPr>
              <w:keepNext w:val="0"/>
              <w:keepLines w:val="0"/>
              <w:widowControl/>
              <w:suppressLineNumbers w:val="0"/>
              <w:jc w:val="center"/>
              <w:textAlignment w:val="center"/>
              <w:rPr>
                <w:rFonts w:hint="default" w:ascii="Calibri" w:hAnsi="Calibri" w:cs="Calibri"/>
                <w:b/>
                <w:bCs/>
                <w:i w:val="0"/>
                <w:iCs w:val="0"/>
                <w:color w:val="000000"/>
                <w:sz w:val="24"/>
                <w:szCs w:val="24"/>
                <w:u w:val="none"/>
              </w:rPr>
            </w:pPr>
            <w:r>
              <w:rPr>
                <w:rFonts w:hint="default" w:ascii="Calibri" w:hAnsi="Calibri" w:eastAsia="宋体" w:cs="Calibri"/>
                <w:b/>
                <w:bCs/>
                <w:i w:val="0"/>
                <w:iCs w:val="0"/>
                <w:color w:val="000000"/>
                <w:kern w:val="0"/>
                <w:sz w:val="24"/>
                <w:szCs w:val="24"/>
                <w:u w:val="none"/>
                <w:lang w:val="en-US" w:eastAsia="zh-CN" w:bidi="ar"/>
              </w:rPr>
              <w:t>资产原值（元）</w:t>
            </w:r>
          </w:p>
        </w:tc>
        <w:tc>
          <w:tcPr>
            <w:tcW w:w="1513" w:type="dxa"/>
            <w:tcBorders>
              <w:top w:val="single" w:color="4F81BD" w:sz="4" w:space="0"/>
              <w:left w:val="single" w:color="95B3D7" w:sz="4" w:space="0"/>
              <w:bottom w:val="single" w:color="4F81BD" w:sz="8" w:space="0"/>
              <w:right w:val="single" w:color="95B3D7" w:sz="4" w:space="0"/>
            </w:tcBorders>
            <w:shd w:val="clear" w:color="auto" w:fill="auto"/>
            <w:vAlign w:val="center"/>
          </w:tcPr>
          <w:p w14:paraId="09886535">
            <w:pPr>
              <w:keepNext w:val="0"/>
              <w:keepLines w:val="0"/>
              <w:widowControl/>
              <w:suppressLineNumbers w:val="0"/>
              <w:jc w:val="center"/>
              <w:textAlignment w:val="center"/>
              <w:rPr>
                <w:rFonts w:hint="default" w:ascii="Calibri" w:hAnsi="Calibri" w:cs="Calibri"/>
                <w:b/>
                <w:bCs/>
                <w:i w:val="0"/>
                <w:iCs w:val="0"/>
                <w:color w:val="000000"/>
                <w:sz w:val="24"/>
                <w:szCs w:val="24"/>
                <w:u w:val="none"/>
              </w:rPr>
            </w:pPr>
            <w:r>
              <w:rPr>
                <w:rFonts w:hint="default" w:ascii="Calibri" w:hAnsi="Calibri" w:eastAsia="宋体" w:cs="Calibri"/>
                <w:b/>
                <w:bCs/>
                <w:i w:val="0"/>
                <w:iCs w:val="0"/>
                <w:color w:val="000000"/>
                <w:kern w:val="0"/>
                <w:sz w:val="24"/>
                <w:szCs w:val="24"/>
                <w:u w:val="none"/>
                <w:lang w:val="en-US" w:eastAsia="zh-CN" w:bidi="ar"/>
              </w:rPr>
              <w:t>当前累计折旧</w:t>
            </w:r>
          </w:p>
        </w:tc>
        <w:tc>
          <w:tcPr>
            <w:tcW w:w="1391" w:type="dxa"/>
            <w:tcBorders>
              <w:top w:val="single" w:color="4F81BD" w:sz="4" w:space="0"/>
              <w:left w:val="single" w:color="95B3D7" w:sz="4" w:space="0"/>
              <w:bottom w:val="single" w:color="4F81BD" w:sz="8" w:space="0"/>
              <w:right w:val="single" w:color="4F81BD" w:sz="4" w:space="0"/>
            </w:tcBorders>
            <w:shd w:val="clear" w:color="auto" w:fill="auto"/>
            <w:vAlign w:val="center"/>
          </w:tcPr>
          <w:p w14:paraId="44DC81F8">
            <w:pPr>
              <w:keepNext w:val="0"/>
              <w:keepLines w:val="0"/>
              <w:widowControl/>
              <w:suppressLineNumbers w:val="0"/>
              <w:jc w:val="center"/>
              <w:textAlignment w:val="center"/>
              <w:rPr>
                <w:rFonts w:hint="default" w:ascii="Calibri" w:hAnsi="Calibri" w:cs="Calibri"/>
                <w:b/>
                <w:bCs/>
                <w:i w:val="0"/>
                <w:iCs w:val="0"/>
                <w:color w:val="000000"/>
                <w:sz w:val="24"/>
                <w:szCs w:val="24"/>
                <w:u w:val="none"/>
              </w:rPr>
            </w:pPr>
            <w:r>
              <w:rPr>
                <w:rFonts w:hint="default" w:ascii="Calibri" w:hAnsi="Calibri" w:eastAsia="宋体" w:cs="Calibri"/>
                <w:b/>
                <w:bCs/>
                <w:i w:val="0"/>
                <w:iCs w:val="0"/>
                <w:color w:val="000000"/>
                <w:kern w:val="0"/>
                <w:sz w:val="24"/>
                <w:szCs w:val="24"/>
                <w:u w:val="none"/>
                <w:lang w:val="en-US" w:eastAsia="zh-CN" w:bidi="ar"/>
              </w:rPr>
              <w:t>账面净值</w:t>
            </w:r>
          </w:p>
        </w:tc>
      </w:tr>
      <w:tr w14:paraId="4C9F0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4F81BD" w:sz="8" w:space="0"/>
              <w:left w:val="single" w:color="4F81BD" w:sz="4" w:space="0"/>
              <w:bottom w:val="single" w:color="95B3D7" w:sz="4" w:space="0"/>
              <w:right w:val="single" w:color="95B3D7" w:sz="4" w:space="0"/>
            </w:tcBorders>
            <w:shd w:val="clear" w:color="DCE6F1" w:fill="DCE6F1"/>
            <w:noWrap/>
            <w:vAlign w:val="center"/>
          </w:tcPr>
          <w:p w14:paraId="610B3B5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设备/信息化设备/计算机/台式计算机</w:t>
            </w:r>
          </w:p>
        </w:tc>
        <w:tc>
          <w:tcPr>
            <w:tcW w:w="751" w:type="dxa"/>
            <w:tcBorders>
              <w:top w:val="single" w:color="4F81BD" w:sz="8" w:space="0"/>
              <w:left w:val="single" w:color="95B3D7" w:sz="4" w:space="0"/>
              <w:bottom w:val="single" w:color="95B3D7" w:sz="4" w:space="0"/>
              <w:right w:val="single" w:color="95B3D7" w:sz="4" w:space="0"/>
            </w:tcBorders>
            <w:shd w:val="clear" w:color="DCE6F1" w:fill="DCE6F1"/>
            <w:noWrap/>
            <w:vAlign w:val="center"/>
          </w:tcPr>
          <w:p w14:paraId="476433A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电脑</w:t>
            </w:r>
          </w:p>
        </w:tc>
        <w:tc>
          <w:tcPr>
            <w:tcW w:w="655" w:type="dxa"/>
            <w:tcBorders>
              <w:top w:val="single" w:color="4F81BD" w:sz="8" w:space="0"/>
              <w:left w:val="single" w:color="95B3D7" w:sz="4" w:space="0"/>
              <w:bottom w:val="single" w:color="95B3D7" w:sz="4" w:space="0"/>
              <w:right w:val="single" w:color="95B3D7" w:sz="4" w:space="0"/>
            </w:tcBorders>
            <w:shd w:val="clear" w:color="DCE6F1" w:fill="DCE6F1"/>
            <w:noWrap/>
            <w:vAlign w:val="center"/>
          </w:tcPr>
          <w:p w14:paraId="577A789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4F81BD" w:sz="8" w:space="0"/>
              <w:left w:val="single" w:color="95B3D7" w:sz="4" w:space="0"/>
              <w:bottom w:val="single" w:color="95B3D7" w:sz="4" w:space="0"/>
              <w:right w:val="single" w:color="95B3D7" w:sz="4" w:space="0"/>
            </w:tcBorders>
            <w:shd w:val="clear" w:color="DCE6F1" w:fill="DCE6F1"/>
            <w:noWrap/>
            <w:vAlign w:val="center"/>
          </w:tcPr>
          <w:p w14:paraId="3AEB678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4F81BD" w:sz="8" w:space="0"/>
              <w:left w:val="single" w:color="95B3D7" w:sz="4" w:space="0"/>
              <w:bottom w:val="single" w:color="95B3D7" w:sz="4" w:space="0"/>
              <w:right w:val="single" w:color="95B3D7" w:sz="4" w:space="0"/>
            </w:tcBorders>
            <w:shd w:val="clear" w:color="DCE6F1" w:fill="DCE6F1"/>
            <w:noWrap/>
            <w:vAlign w:val="center"/>
          </w:tcPr>
          <w:p w14:paraId="3AABFA7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4F81BD" w:sz="8" w:space="0"/>
              <w:left w:val="single" w:color="95B3D7" w:sz="4" w:space="0"/>
              <w:bottom w:val="single" w:color="95B3D7" w:sz="4" w:space="0"/>
              <w:right w:val="single" w:color="95B3D7" w:sz="4" w:space="0"/>
            </w:tcBorders>
            <w:shd w:val="clear" w:color="DCE6F1" w:fill="DCE6F1"/>
            <w:noWrap/>
            <w:vAlign w:val="center"/>
          </w:tcPr>
          <w:p w14:paraId="79CC565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2014-06-30</w:t>
            </w:r>
          </w:p>
        </w:tc>
        <w:tc>
          <w:tcPr>
            <w:tcW w:w="450" w:type="dxa"/>
            <w:tcBorders>
              <w:top w:val="single" w:color="4F81BD" w:sz="8" w:space="0"/>
              <w:left w:val="single" w:color="95B3D7" w:sz="4" w:space="0"/>
              <w:bottom w:val="single" w:color="95B3D7" w:sz="4" w:space="0"/>
              <w:right w:val="single" w:color="95B3D7" w:sz="4" w:space="0"/>
            </w:tcBorders>
            <w:shd w:val="clear" w:color="DCE6F1" w:fill="DCE6F1"/>
            <w:noWrap/>
            <w:vAlign w:val="center"/>
          </w:tcPr>
          <w:p w14:paraId="1D73280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国库支付中心</w:t>
            </w:r>
          </w:p>
        </w:tc>
        <w:tc>
          <w:tcPr>
            <w:tcW w:w="1569" w:type="dxa"/>
            <w:tcBorders>
              <w:top w:val="single" w:color="4F81BD" w:sz="8" w:space="0"/>
              <w:left w:val="single" w:color="95B3D7" w:sz="4" w:space="0"/>
              <w:bottom w:val="single" w:color="95B3D7" w:sz="4" w:space="0"/>
              <w:right w:val="single" w:color="95B3D7" w:sz="4" w:space="0"/>
            </w:tcBorders>
            <w:shd w:val="clear" w:color="DCE6F1" w:fill="DCE6F1"/>
            <w:noWrap/>
            <w:vAlign w:val="center"/>
          </w:tcPr>
          <w:p w14:paraId="761071F8">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5,870.00 </w:t>
            </w:r>
          </w:p>
        </w:tc>
        <w:tc>
          <w:tcPr>
            <w:tcW w:w="1513" w:type="dxa"/>
            <w:tcBorders>
              <w:top w:val="single" w:color="4F81BD" w:sz="8" w:space="0"/>
              <w:left w:val="single" w:color="95B3D7" w:sz="4" w:space="0"/>
              <w:bottom w:val="single" w:color="95B3D7" w:sz="4" w:space="0"/>
              <w:right w:val="single" w:color="95B3D7" w:sz="4" w:space="0"/>
            </w:tcBorders>
            <w:shd w:val="clear" w:color="DCE6F1" w:fill="DCE6F1"/>
            <w:noWrap/>
            <w:vAlign w:val="center"/>
          </w:tcPr>
          <w:p w14:paraId="140E0F6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5,870.00 </w:t>
            </w:r>
          </w:p>
        </w:tc>
        <w:tc>
          <w:tcPr>
            <w:tcW w:w="1391" w:type="dxa"/>
            <w:tcBorders>
              <w:top w:val="single" w:color="4F81BD" w:sz="8" w:space="0"/>
              <w:left w:val="single" w:color="95B3D7" w:sz="4" w:space="0"/>
              <w:bottom w:val="single" w:color="95B3D7" w:sz="4" w:space="0"/>
              <w:right w:val="single" w:color="4F81BD" w:sz="4" w:space="0"/>
            </w:tcBorders>
            <w:shd w:val="clear" w:color="DCE6F1" w:fill="DCE6F1"/>
            <w:noWrap/>
            <w:vAlign w:val="center"/>
          </w:tcPr>
          <w:p w14:paraId="272A819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2A0DF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4038414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设备/办公设备/打印机/其他打印机</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C4A219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打印机</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74C37F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12F5FF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881B53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48F3FC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2014-06-30</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C619C2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会计股</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D7DC6A3">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1,950.00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9B4019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1,950.00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220EE40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6F03D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017407C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家具和用具/家具/柜类/文件柜</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99311D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文件柜</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1455EB0">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929D29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6D10BE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149880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2014-06-30</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DCAC78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DFE8E7A">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580.00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B662AE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427.16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7605FDF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152.84 </w:t>
            </w:r>
          </w:p>
        </w:tc>
      </w:tr>
      <w:tr w14:paraId="52CF3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1793C5A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设备/办公设备/打印机/其他打印机</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998DA8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打印机</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01FDDF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C6889C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BA060F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D791B8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2014-06-30</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E41D52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行政政法股</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158B87F">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1,960.00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5B35C3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1,960.00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06BD6AD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6163E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5B0C49F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设备/信息化设备/计算机/台式计算机</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565447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电脑</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4136AC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97728A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2BBA2A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930C42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2014-06-30</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8768BF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A66D067">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4,890.00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6DBF3A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4,890.00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79037F5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75AD9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0D1210A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设备/信息化设备/计算机/台式计算机</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6D7EB4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电脑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F235DD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A9BC12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405B71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2DA955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2014-07-31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7BB371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非税股</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E04D301">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4,200.00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F3D519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4,200.00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6E7F84D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4959D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583F155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设备/信息化设备/计算机/台式计算机</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5CF488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电脑</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B03539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B7BAC7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E6A44F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EC1E68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2014-07-31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CB08CF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综合股</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0FB7F76">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4,200.00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B75ADE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4,200.00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6A4F02D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37429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42D2D43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设备/信息化设备/计算机/台式计算机</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C8A5CD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电脑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AFDBA6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926084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760592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CC1C75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2014-07-31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1E8027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乡财中心</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8E48B0A">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4,200.00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86E1CC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4,200.00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00803340">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6CDB9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4BBABE2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设备/信息化设备/计算机/台式计算机</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07CBCA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电脑</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56E49E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00BF78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503A71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11D27B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2014-07-31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2F2FC1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办公室</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366EA54">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4,200.00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CE4D8E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4,200.00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0A934A8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78AA0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122E7ED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设备/信息化设备/计算机/台式计算机</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109BBB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电脑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9190F7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5F5414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616FFF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7E490B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2014-07-31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5FE243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社保股</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18DA8D2">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4,200.00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15C4F6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4,200.00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1D9E8D9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5A81D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2DE6FB3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设备/办公设备/打印机/其他打印机</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B84916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打印机</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2D50A5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188856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15FF88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C56623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2014-10-30</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C19C76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国库支付中心</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7E72AC0">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1,950.00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0C7DFF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1,950.00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396885B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76BF5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234F707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设备/办公设备/打印机/其他打印机</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E21E86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打印机</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C71663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6032D0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D9B9B4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367379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2014-10-30</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4C7EFA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乡财中心</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83E0CE3">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1,950.00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15F99B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1,950.00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6C70662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2C11D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0CC5B7A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D4979F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桌子</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58B5ED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D35C6E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98DC50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88D490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2014-12-31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A901E2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FB636E4">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1,960.00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65567E0">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1,378.34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2876A61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581.66 </w:t>
            </w:r>
          </w:p>
        </w:tc>
      </w:tr>
      <w:tr w14:paraId="185A1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74E4BFD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570D3F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桌子</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C6DC8B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690DC0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E5AE8E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E6DFD0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2014-12-31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3C7F39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90B9F9F">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1,960.00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F91190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1,378.34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38CF953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581.66 </w:t>
            </w:r>
          </w:p>
        </w:tc>
      </w:tr>
      <w:tr w14:paraId="6C995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6971E7E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4BC387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办公桌</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5DEF1A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787829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E7DE07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208DA8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2014-12-31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811B52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652627A">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1,960.00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1CC315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1,378.34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635302F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581.66 </w:t>
            </w:r>
          </w:p>
        </w:tc>
      </w:tr>
      <w:tr w14:paraId="35B20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07E2B2B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F0749A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办公桌</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963B98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AAD067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FE8B53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3098FC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2014-12-31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D2E407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03BA9E8">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1,960.00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90232F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1,378.34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7ABF636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581.66 </w:t>
            </w:r>
          </w:p>
        </w:tc>
      </w:tr>
      <w:tr w14:paraId="1A704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6EF41BE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0F74AE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办公桌</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B39527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B032F0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FE1872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18DA6A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2014-12-31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A09731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B405073">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1,960.00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487D43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1,378.34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01E369A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581.66 </w:t>
            </w:r>
          </w:p>
        </w:tc>
      </w:tr>
      <w:tr w14:paraId="1E8BE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0B8A102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85D8CD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办公桌</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14D007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5AADF5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9D4E1C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9AE8F4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2014-12-31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EC2378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25E196B">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1,960.00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F390D7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1,378.34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4BF3DDD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581.66 </w:t>
            </w:r>
          </w:p>
        </w:tc>
      </w:tr>
      <w:tr w14:paraId="3D3AA9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3E7F4B2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14338D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办公桌</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736BB1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3B35B6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B38EF5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5E48F0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2014-12-31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803D22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E438B15">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1,960.00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7A56B7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1,378.34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1F54501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581.66 </w:t>
            </w:r>
          </w:p>
        </w:tc>
      </w:tr>
      <w:tr w14:paraId="26CB5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0825753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9A4A96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办公桌</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73010E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7E71A7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6B16CF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81A55E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2014-12-31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126855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22DACFD">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1,960.00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C01C05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1,378.34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2516AFE0">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581.66 </w:t>
            </w:r>
          </w:p>
        </w:tc>
      </w:tr>
      <w:tr w14:paraId="0E705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11476B2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2EF915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办公桌</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C0E704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554483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D84823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CBB3C0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2014-12-31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B55C20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A9923BE">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1,960.00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A4F077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1,378.34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023B987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581.66 </w:t>
            </w:r>
          </w:p>
        </w:tc>
      </w:tr>
      <w:tr w14:paraId="63444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5A6383E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5FB6CE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办公桌</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31D0C7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8F2804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071819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17C09A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2014-12-31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73A6B4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55308E6">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1,960.00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9637EC0">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1,378.34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7F31896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581.66 </w:t>
            </w:r>
          </w:p>
        </w:tc>
      </w:tr>
      <w:tr w14:paraId="5F000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4DA4295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015A23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办公桌</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8F4AB5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E9A553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E036B8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4B7EE9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2014-12-31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FD07FD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E588656">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1,960.00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AFCCFD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1,378.34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10EAA82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581.66 </w:t>
            </w:r>
          </w:p>
        </w:tc>
      </w:tr>
      <w:tr w14:paraId="410E89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35EE3DE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2C1518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办公桌</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216E31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3CA155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27F430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0A0750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2014-12-31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B875FF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429F8D6">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1,960.00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2A1766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1,378.34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7F6A7BD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581.66 </w:t>
            </w:r>
          </w:p>
        </w:tc>
      </w:tr>
      <w:tr w14:paraId="703FD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30240BA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0B4D51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办公桌</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7FEDED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6E7C73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BFC35A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512E6B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2014-12-31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B8122C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C2FD127">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1,960.00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0882B3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1,378.34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6FA33B3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581.66 </w:t>
            </w:r>
          </w:p>
        </w:tc>
      </w:tr>
      <w:tr w14:paraId="227E4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372774B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B9A3F7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办公桌</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B35E2A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0A1FCA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A6B04A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A69968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2014-12-31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C1AA63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5BBD59C">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1,960.00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65228E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1,378.34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11DD6E5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581.66 </w:t>
            </w:r>
          </w:p>
        </w:tc>
      </w:tr>
      <w:tr w14:paraId="7B9EF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170DC24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1B2825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办公桌</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425E5B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38F430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33618E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CBE074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2014-12-31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1CA438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DB0423C">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1,960.00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DD58CA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1,378.34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29FD41E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581.66 </w:t>
            </w:r>
          </w:p>
        </w:tc>
      </w:tr>
      <w:tr w14:paraId="1BF52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2F1D7F8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12FF85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办公桌</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BB4FAD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5EFBBC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0E5963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0D9EF2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2014-12-31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1FE033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BF432BE">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1,960.00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0E9240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1,378.34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4B93F7C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581.66 </w:t>
            </w:r>
          </w:p>
        </w:tc>
      </w:tr>
      <w:tr w14:paraId="1ACA0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2D0971D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8BBB05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办公桌</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CABF15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55D142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168554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0DA465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2014-12-31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7FAD1A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E86F222">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1,960.00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BC9334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1,378.34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227012F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581.66 </w:t>
            </w:r>
          </w:p>
        </w:tc>
      </w:tr>
      <w:tr w14:paraId="346C1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5E0EE62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FB3B8B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办公桌</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245DA2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6CA64E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A8B5A8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772656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2014-12-31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8CEF5F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C6ED25A">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1,960.00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3AB2C2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1,378.34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0920FA4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581.66 </w:t>
            </w:r>
          </w:p>
        </w:tc>
      </w:tr>
      <w:tr w14:paraId="296A8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45A7C3B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8F7D12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办公桌</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46F40B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B45B34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AC496D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86DA0B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2014-12-31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133B93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770C0DB">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1,960.00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A891A4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1,378.34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6510B14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581.66 </w:t>
            </w:r>
          </w:p>
        </w:tc>
      </w:tr>
      <w:tr w14:paraId="2DE64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620EDA8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479793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书柜</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505223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DE8DC8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7D5637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534980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2014-12-31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A16CAE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C2D7124">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4,380.00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DBE7E3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3,079.63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68DCADB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1,300.37 </w:t>
            </w:r>
          </w:p>
        </w:tc>
      </w:tr>
      <w:tr w14:paraId="0B155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7A5C3E8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9DB206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办公桌</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DF2698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FC721A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F1A0CB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CF5027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2014-12-31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1CDC20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3526B93">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1,960.00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B751DF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1,378.34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35FA160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581.66 </w:t>
            </w:r>
          </w:p>
        </w:tc>
      </w:tr>
      <w:tr w14:paraId="492F1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52E07EE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83BABE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办公桌</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3ABF4B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9B1DCB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1FD6A5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28E55D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2014-12-31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844B6C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881F24F">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1,960.00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B12D12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1,378.34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6509C270">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581.66 </w:t>
            </w:r>
          </w:p>
        </w:tc>
      </w:tr>
      <w:tr w14:paraId="6E61B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4AF7BEA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2D301E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办公桌</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EA3065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64F0F0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78D2C3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505FE8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2014-12-31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F4B989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94280C7">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1,960.00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CF0E28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1,378.34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6DDFD01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581.66 </w:t>
            </w:r>
          </w:p>
        </w:tc>
      </w:tr>
      <w:tr w14:paraId="62004A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42BC9A9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662F61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书柜</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EBF28D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8E52E7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83A3CC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DBC8D5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2014-12-31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479AFD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78DEEE9">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4,380.00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D4B6AA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3,079.63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62B6D04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1,300.37 </w:t>
            </w:r>
          </w:p>
        </w:tc>
      </w:tr>
      <w:tr w14:paraId="6EA98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0B08823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BD4CF7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办公桌</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E17E36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B97E07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558E4E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1CB48D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2014-12-31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5B6A7D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4227066">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1,960.00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61D8C9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1,378.34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2C3D493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581.66 </w:t>
            </w:r>
          </w:p>
        </w:tc>
      </w:tr>
      <w:tr w14:paraId="37692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0479D4A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2A34F3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办公桌</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924540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6B68AE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4E45D9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644FD6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2014-12-31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8059D2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B7E1984">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1,960.00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EBC9F1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1,378.34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6317F51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581.66 </w:t>
            </w:r>
          </w:p>
        </w:tc>
      </w:tr>
      <w:tr w14:paraId="240FE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4416035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D6E76E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办公桌</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AE70C9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AE6496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A6A681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253482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2014-12-31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B684A3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29D9B4D">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1,960.00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842C1F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1,378.34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70D26A8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581.66 </w:t>
            </w:r>
          </w:p>
        </w:tc>
      </w:tr>
      <w:tr w14:paraId="12E30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49D84EB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8E9DFF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书柜</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9CF384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815047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AF9793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0EF888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2014-12-31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7C394A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57A3B5B">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4,380.00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7FD0C3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3,079.63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1592B3D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1,300.37 </w:t>
            </w:r>
          </w:p>
        </w:tc>
      </w:tr>
      <w:tr w14:paraId="4C339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2AEB88A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C3A10B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办公桌</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E938F90">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11C077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4411A5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9CCB0C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2014-12-31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206EB3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DAB220F">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1,960.00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B413D8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1,378.34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6871F05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581.66 </w:t>
            </w:r>
          </w:p>
        </w:tc>
      </w:tr>
      <w:tr w14:paraId="3EC45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70EE129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3B9897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办公桌</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648F54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997C1D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0B93C2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E7054D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2014-12-31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75C3B7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389EC7E">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1,960.00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C08B40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1,378.34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4C14978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581.66 </w:t>
            </w:r>
          </w:p>
        </w:tc>
      </w:tr>
      <w:tr w14:paraId="4E03E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6CE07CD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CA1D75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书柜</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4122C3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23B9C7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15CEF3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8F1095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2014-12-31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351574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90DBDA6">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4,380.00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ADF04C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3,079.63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44E34FF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1,300.37 </w:t>
            </w:r>
          </w:p>
        </w:tc>
      </w:tr>
      <w:tr w14:paraId="4A9F2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63C4F8D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3CBC32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办公桌</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EA5785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E6D4BC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782D05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B17493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2014-12-31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D8F5BD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D41714B">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1,960.00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586C2B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1,378.34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42BEAC1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581.66 </w:t>
            </w:r>
          </w:p>
        </w:tc>
      </w:tr>
      <w:tr w14:paraId="01085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2E86D8A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9AE595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办公桌</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B3B5CA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C0DDDD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4F8A1F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9C00CB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2014-12-31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C2649F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A546AE5">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1,960.00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2415B6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1,378.34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472E6F3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581.66 </w:t>
            </w:r>
          </w:p>
        </w:tc>
      </w:tr>
      <w:tr w14:paraId="0714F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76CE8EC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5270FC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办公桌</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853036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09D342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A10642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68B233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2014-12-31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CCD925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A8A7F0B">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1,960.00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B83CF7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1,378.34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10CCEB6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581.66 </w:t>
            </w:r>
          </w:p>
        </w:tc>
      </w:tr>
      <w:tr w14:paraId="40751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413034C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5DA5F5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书柜</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A2E0FE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7D15BC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3A560C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DC0CB6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2014-12-31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B63FF5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384AF44">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4,380.00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A8E4B1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3,079.63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07B1C99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1,300.37 </w:t>
            </w:r>
          </w:p>
        </w:tc>
      </w:tr>
      <w:tr w14:paraId="29889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5101FED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1C1012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书柜</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D40D6F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E5AA6F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4E2772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6CD9D4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2014-12-31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B068A8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EF8081F">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4,380.00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D94845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3,079.63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7612A8F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1,300.37 </w:t>
            </w:r>
          </w:p>
        </w:tc>
      </w:tr>
      <w:tr w14:paraId="06F9F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2D5ED47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F3177E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书柜</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2669D5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54D0B2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6B60CE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7305B5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2014-12-31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F5C0E9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583B8FE">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4,380.00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9696CC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3,079.63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5B9B017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1,300.37 </w:t>
            </w:r>
          </w:p>
        </w:tc>
      </w:tr>
      <w:tr w14:paraId="4F5AC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0E8419B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B0839A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大班桌</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695180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0087AF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AE1E9D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55EE2B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2014-12-31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C6CBA2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F3877B5">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2,950.00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408199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2,074.32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4554E97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875.68 </w:t>
            </w:r>
          </w:p>
        </w:tc>
      </w:tr>
      <w:tr w14:paraId="767C5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3A55EB3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家具和用具/家具/椅凳类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44D35B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老板椅</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46A15F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861294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F12001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3C0964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2014-12-31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E14E62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04E4A9D">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1,750.00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F557E9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1,230.39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0BA5FF2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519.61 </w:t>
            </w:r>
          </w:p>
        </w:tc>
      </w:tr>
      <w:tr w14:paraId="789615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6931A5E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593D92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书柜</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8FBDCD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5D20D5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BB0693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1E90AA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2014-12-31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0216F2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08EE271">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2,190.00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042C01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1,539.91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04AD51D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650.09 </w:t>
            </w:r>
          </w:p>
        </w:tc>
      </w:tr>
      <w:tr w14:paraId="176F9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0CDC214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C112EF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书柜</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A3F544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DE6FF9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6D5231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59374E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2014-12-31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AB3DE2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A0C5B44">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4,380.00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33C3930">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3,079.63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03104BB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1,300.37 </w:t>
            </w:r>
          </w:p>
        </w:tc>
      </w:tr>
      <w:tr w14:paraId="450CE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7EEF89E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116ED8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大班桌</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9DB945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7F3D6B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BAB344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E0AEA8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2014-12-31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448E1C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928F9D4">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2,950.00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8D128E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2,074.32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764D4C2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875.68 </w:t>
            </w:r>
          </w:p>
        </w:tc>
      </w:tr>
      <w:tr w14:paraId="1525F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1C60808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家具和用具/家具/椅凳类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21BFF1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老板椅</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3C64600">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41CD92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5897A4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D80B0F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2014-12-31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9874D5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3B48E45">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1,750.00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EC6D7F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1,230.39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0F9B8E2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519.61 </w:t>
            </w:r>
          </w:p>
        </w:tc>
      </w:tr>
      <w:tr w14:paraId="51EBB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375F7D6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0706E3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书柜</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1F27F4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AB60FE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02A289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C030FA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2014-12-31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E7143A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A3B78D6">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4,380.00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67BA0E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3,079.63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6E8C447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1,300.37 </w:t>
            </w:r>
          </w:p>
        </w:tc>
      </w:tr>
      <w:tr w14:paraId="20E88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33A5885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A739E6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书柜</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0D33E2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F98A16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A62177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B76146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2014-12-31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21B451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F8A42AC">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4,380.00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D2B6A0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3,079.63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4C3CF1B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1,300.37 </w:t>
            </w:r>
          </w:p>
        </w:tc>
      </w:tr>
      <w:tr w14:paraId="69CA7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588F1B3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22891C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书柜</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E97667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783B85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7A49C4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39D3ED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2014-12-31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742212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128263B">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2,190.00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89EFBC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1,539.91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4FE4E24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650.09 </w:t>
            </w:r>
          </w:p>
        </w:tc>
      </w:tr>
      <w:tr w14:paraId="49FA2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5F421B6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F448AC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书柜</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6BD4F2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EBE876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CEBFD3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DA802A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2014-12-31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3A71A7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83927C0">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4,380.00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4F4DC60">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3,079.63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5105CB5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1,300.37 </w:t>
            </w:r>
          </w:p>
        </w:tc>
      </w:tr>
      <w:tr w14:paraId="1FABD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177DE0B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设备/办公设备/输入输出设备</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32493D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A3激光打印机</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2BAE49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AB7246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3F39CF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EC31FD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2015-01-13</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5B68C3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国库支付中心</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0CCBCF2">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4,850.00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9837EB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4,850.00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5F8EC70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0C547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0F7CF5D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设备/办公设备/复印机</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19A0A9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打复印一体机</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307883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7DE8BB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C758CF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42A85C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2015-01-13</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A837F7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外经企业股</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53379B7">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1,980.00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52E688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1,980.00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49F5562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75E3D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185ABE4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设备/办公设备/复印机</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986437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打复印一体机</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FD7DD6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366886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8D6673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160344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2015-01-13</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A7AE60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C0B48F1">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1,980.00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FB1803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1,980.00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3714598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75D64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1020DDF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设备/信息化设备/计算机/台式计算机</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5F1E5D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电脑</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6BD5C00">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DD82C3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1510B9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0915AA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2015-01-13</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5AC168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财政事务中心</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D18F58D">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5,300.00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4BC208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5,300.00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44FF07E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69C07B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48E8308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88DFFC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联想电脑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B0B815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60FD62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BEA52E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CEF156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2015-02-28</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A24DB3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社保股</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356609A">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5,450.00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AC3C98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5,450.00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01B8766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30026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0FA8F86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5CA0E7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茶水柜</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CF1EF4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CFF8E5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90A3DE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275613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2015-06-15</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932672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A23226A">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980.00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621503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656.41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29F824E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323.59 </w:t>
            </w:r>
          </w:p>
        </w:tc>
      </w:tr>
      <w:tr w14:paraId="516FA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247E7F5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AC9AAB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茶水柜</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4E3A08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E4C616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DCAE65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457971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2015-06-15</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694592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08FBAC2">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980.00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281441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656.41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4159040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323.59 </w:t>
            </w:r>
          </w:p>
        </w:tc>
      </w:tr>
      <w:tr w14:paraId="2C0D5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3B5D8E1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0FE13F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书柜</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4E8C0B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216DFC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F1D2DD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ACE1F4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2015-06-15</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39966A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166D1FC">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4,380.00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124BA9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2,934.47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2D46F8F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1,445.53 </w:t>
            </w:r>
          </w:p>
        </w:tc>
      </w:tr>
      <w:tr w14:paraId="2BE4D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4A2F7D3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6B58CF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茶水柜</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EE12E4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B6D61F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EF4BCE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4FE4B7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2015-06-15</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87D03A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98DFF92">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980.00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4EA3A2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656.41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123640E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323.59 </w:t>
            </w:r>
          </w:p>
        </w:tc>
      </w:tr>
      <w:tr w14:paraId="41ADA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6EBF63C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4A3FC9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书柜</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1650C7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968BBB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930926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CE3DF9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2015-06-15</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496C29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3D27C63">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4,380.00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E73B22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2,934.47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6BE9DD6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1,445.53 </w:t>
            </w:r>
          </w:p>
        </w:tc>
      </w:tr>
      <w:tr w14:paraId="2604E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1BBFBDF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C41307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茶水柜</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D949DD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CA86A7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F97245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C5646B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2015-06-15</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5ADC74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7B0B4A3">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980.00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DF0444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656.41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280206C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323.59 </w:t>
            </w:r>
          </w:p>
        </w:tc>
      </w:tr>
      <w:tr w14:paraId="49CAF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3929A1A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BACBC8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书柜</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A0A53A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8516FD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C5459F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568676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2015-06-15</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823DEB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8AEE1D6">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4,380.00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3E31D9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2,934.47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01457610">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1,445.53 </w:t>
            </w:r>
          </w:p>
        </w:tc>
      </w:tr>
      <w:tr w14:paraId="28C2E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4A4793A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81EDB8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茶水柜</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108CC00">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52B776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7FC4DD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182DBE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2015-06-15</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90EE06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20FD1EE">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980.00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AE0242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656.41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0D9B7D1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323.59 </w:t>
            </w:r>
          </w:p>
        </w:tc>
      </w:tr>
      <w:tr w14:paraId="73FA7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2C4962D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26B407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书柜</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A640A8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3C8483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41759B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E95D3F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2015-06-15</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40416D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0E0F18D">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4,380.00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BF1E01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2,934.47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7D52A43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1,445.53 </w:t>
            </w:r>
          </w:p>
        </w:tc>
      </w:tr>
      <w:tr w14:paraId="7989D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414CA9D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D1FE32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茶水柜</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F5255C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56E2B1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75CFD0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64D633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2015-06-15</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204F20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570CD91">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980.00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CE5EF9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656.41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3EB6446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323.59 </w:t>
            </w:r>
          </w:p>
        </w:tc>
      </w:tr>
      <w:tr w14:paraId="0D5A1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4E6A6BE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86935E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书柜</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CD1F52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609680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0DDD62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4BFD5F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2015-06-15</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48C321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97CBF72">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4,380.00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B231B3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2,934.47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7BBCA3D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1,445.53 </w:t>
            </w:r>
          </w:p>
        </w:tc>
      </w:tr>
      <w:tr w14:paraId="251D0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6FEE1E5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AF1150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茶水柜</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AFBCA8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F42894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2A6A52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8D9841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2015-06-15</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E520A1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763C76A">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980.00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9A001E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656.41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56893E6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323.59 </w:t>
            </w:r>
          </w:p>
        </w:tc>
      </w:tr>
      <w:tr w14:paraId="00874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668C19B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548B1D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茶水柜</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17804E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4922AD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A57071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9916F5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2015-06-15</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A09981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5C5572B">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980.00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E02C62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656.41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023F35C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323.59 </w:t>
            </w:r>
          </w:p>
        </w:tc>
      </w:tr>
      <w:tr w14:paraId="124D2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77207ED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F66B80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茶水柜</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AE680A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1CB3DD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F11587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A04C10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2015-06-15</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F0F2FC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3A21F2E">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980.00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E91C0A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656.41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1222B4F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323.59 </w:t>
            </w:r>
          </w:p>
        </w:tc>
      </w:tr>
      <w:tr w14:paraId="1E7192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1609AEA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174BDD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茶水柜</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9ED122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208A83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8449C3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88C462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2015-06-15</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D8A85C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1F7CDFE">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980.00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4BCDA6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656.41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0DF5405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323.59 </w:t>
            </w:r>
          </w:p>
        </w:tc>
      </w:tr>
      <w:tr w14:paraId="5C285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1EB23E1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92E6EC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茶水柜</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1EC111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59A498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854BCB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4256A4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2015-06-15</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B31878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0560585">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980.00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FFF9FE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656.41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3C99CC4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323.59 </w:t>
            </w:r>
          </w:p>
        </w:tc>
      </w:tr>
      <w:tr w14:paraId="58627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109F097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4A9E59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茶水柜</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FFE2EC0">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E4DB7C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7734F6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7B740B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2015-06-15</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2116E1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A129FE3">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980.00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FFD1AA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656.41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74224EB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323.59 </w:t>
            </w:r>
          </w:p>
        </w:tc>
      </w:tr>
      <w:tr w14:paraId="50617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279540E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CBD881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茶水柜</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B2C7D9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855E62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D40200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资产配置/其他</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53727F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2015-06-15</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BCA7D2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财政事务中心</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699AF8F">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980.00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8054FE0">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656.41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266C64D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323.59 </w:t>
            </w:r>
          </w:p>
        </w:tc>
      </w:tr>
      <w:tr w14:paraId="2BD12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33968CE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9B3486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茶水柜</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228640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7F5661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9CB232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D28FC6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2015-06-15</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88ACE7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D6D3CB3">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980.00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F3AB1D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656.41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53325AB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323.59 </w:t>
            </w:r>
          </w:p>
        </w:tc>
      </w:tr>
      <w:tr w14:paraId="0C130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4BDEA40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D61DEB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茶水柜</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6FD3CB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DDD013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D1BE38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CAD3BD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2015-06-15</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7F4309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D08938C">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980.00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3CA63C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656.41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5450AEB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323.59 </w:t>
            </w:r>
          </w:p>
        </w:tc>
      </w:tr>
      <w:tr w14:paraId="5A1CF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0E9F8FE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家具和用具/家具/沙发类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04DD9B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沙发床</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E4380A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6E75FB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E2CAD4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FD195A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2015-06-15</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0CFD70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324788B">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1,980.00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5CBEA6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1,326.38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42F2F87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653.62 </w:t>
            </w:r>
          </w:p>
        </w:tc>
      </w:tr>
      <w:tr w14:paraId="516E9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21209C9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7898D6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大茶几</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72C912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4203F2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E0A6F3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F41AFB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2015-06-15</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0A4D75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9F5BB9A">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650.00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7F5648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435.62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398340F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214.38 </w:t>
            </w:r>
          </w:p>
        </w:tc>
      </w:tr>
      <w:tr w14:paraId="7B2E2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7CB5C96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955D08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茶水柜</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E08387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10FFA5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4B858D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F80A3B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2015-06-15</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4FC2C4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CBD60B5">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980.00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512175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656.41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23D9133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323.59 </w:t>
            </w:r>
          </w:p>
        </w:tc>
      </w:tr>
      <w:tr w14:paraId="1A2F4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02B97CC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EF204D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茶水柜</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2147D8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E78C70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3BEA87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52F514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2015-06-15</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80104D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C0CDD94">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980.00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02D770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656.41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3F1E219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323.59 </w:t>
            </w:r>
          </w:p>
        </w:tc>
      </w:tr>
      <w:tr w14:paraId="41527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7AF03C7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2D3D65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茶水柜</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E0E540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002620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22DF9E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EDFD3D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2015-06-15</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4205E2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3958301">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980.00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3E58BA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656.41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0C7225E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323.59 </w:t>
            </w:r>
          </w:p>
        </w:tc>
      </w:tr>
      <w:tr w14:paraId="11FA1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0FCD095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8FD2C6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茶水柜</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F9FDB1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04ECC5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8F5A53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250506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2015-06-15</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F225C0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07D9819">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980.00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25A8B8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656.41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0EBE9D3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323.59 </w:t>
            </w:r>
          </w:p>
        </w:tc>
      </w:tr>
      <w:tr w14:paraId="31C3C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77A00DC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家具和用具/家具/柜类/文件柜</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D2E934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文件柜</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734325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3.00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361A48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5C09F8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F8A82F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2015-06-15</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B76A68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EA5DCCF">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2,400.00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21FBDF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1,607.67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0319C4D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792.33 </w:t>
            </w:r>
          </w:p>
        </w:tc>
      </w:tr>
      <w:tr w14:paraId="7868A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42DFE73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设备/信息化设备/计算机/台式计算机</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A81036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乡财服务器</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6BF160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387660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BA1EBB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99E42E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2015-06-15</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13AC11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BA6D451">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19,560.00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F90CBF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19,560.00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54BC7E2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1EA6B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0C503B7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设备/信息化设备/网络设备/路由器</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439357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非税局路由器</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CFB0DE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113BED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628F3D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A5CDC9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2015-06-15</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7C8E36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219990E">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1,680.00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D6C2C6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1,680.00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6DD1056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1990C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2DE6267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设备/广播、电视、电影设备/其他广播、电视、电影设 备</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422CBD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视频会议室设备</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D9E567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7CF151E">
            <w:pPr>
              <w:jc w:val="left"/>
              <w:rPr>
                <w:rFonts w:hint="default" w:ascii="Calibri" w:hAnsi="Calibri" w:cs="Calibri"/>
                <w:i w:val="0"/>
                <w:iCs w:val="0"/>
                <w:color w:val="000000"/>
                <w:sz w:val="24"/>
                <w:szCs w:val="24"/>
                <w:u w:val="none"/>
              </w:rPr>
            </w:pP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90A499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DC9A3B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2015-09-30</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9F5CCE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8820EFE">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49,660.00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6B500F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49,660.00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1BFD6E3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7CB57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2862448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6CC873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笔记本电脑</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175FB4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1D0588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82196A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472B43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2015-09-30</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F5516F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办公室</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E922FB8">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7,500.00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25FC90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7,500.00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376B097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38A3C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7F3AAB8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设备/办公设备/复印机</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990768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复印机</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C51084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B8F765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9F2152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B41B09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2015-10-30</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95612B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FF131DE">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1,980.00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CFD7FD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1,980.00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6D06D34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2BE5B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590F263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设备/信息化设备/计算机/台式计算机</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A0BEC7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电脑</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EE393E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66C88F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D61819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3236C4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2015-12-31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30380E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国库支付中心</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3DDE9A8">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5,500.00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AF48B0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5,500.00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62BBDD1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1DB1D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72671EF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设备/信息化设备/计算机/台式计算机</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81ADEC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电脑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86F049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36C418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5D850F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9DB4D7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2015-12-31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B73697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教科文股</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82C569A">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5,500.00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4A5CE5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5,500.00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5D337E3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5E252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58BF2CA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0AB45A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台式电脑</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A4C624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BC6018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4F77E4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5B90B8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2016-01-21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5EDF94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国库支付中心</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F3AE844">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5,500.00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6853F5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5,500.00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54AA74D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3637E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3318763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87000D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台式电脑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200D26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40CF12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62AA48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B763F7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2016-01-21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72BE91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F58F9C0">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5,500.00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0941E5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5,500.00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30B26CD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083C9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41AAA2C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BF8030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台式电脑</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06EE43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888DD3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32E260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6331FE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2016-02-05</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EE722B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国库支付中心</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D42DAD1">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4,800.00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209A55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4,800.00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019673B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1DE45063">
        <w:tblPrEx>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464A4C6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设备/办公设备/打印机/其他打印机</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0C74B5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打印机</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1132FA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806D47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6C28F8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1DBD03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2016-02-05</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BF2E99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社保股</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EF2AF05">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1,980.00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DA5EDD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1,980.00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66D8123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52598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60D1258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83DB6C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台式电脑</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B635E6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A277C0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2B2C07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83370D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2016-04-18</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5E1B11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社保股</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05CD7B9">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5,500.00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DC6841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5,500.00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4DB01CC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23AED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5366EB5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C65462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笔记本电脑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0BC6DB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938678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CF44ED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4D3E89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2016-04-18</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CA112F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社保股</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3B8D1F6">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6,300.00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15D457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6,300.00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7289015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4EC98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7AD4C19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设备/办公设备/打印机/其他打印机</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5B08F3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打印机</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4B847C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F20584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F26410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CCD63A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2016-04-18</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142C7B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教科文股</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32EE3A2">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1,680.00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80A4DC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1,680.00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5B8ED4A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27A80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2D6FF3D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73A272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大班桌</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B34865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6455A7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45888A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4D4DF1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2016-04-18</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C21DD2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1EF4E3F">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2,950.00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9E08F9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1,812.93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4DCA307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1,137.07 </w:t>
            </w:r>
          </w:p>
        </w:tc>
      </w:tr>
      <w:tr w14:paraId="17E68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05B999A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家具和用具/家具/椅凳类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265AB3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中班椅</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7656F6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1FAAD7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AE4303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E1E969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2016-04-18</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05574A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018FB57">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1,750.00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082D97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1,075.67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32BE3E1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674.33 </w:t>
            </w:r>
          </w:p>
        </w:tc>
      </w:tr>
      <w:tr w14:paraId="52F6D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16436F9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32188F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档案柜</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2A7461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5.00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01409D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2837FD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1DAF05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2016-04-18</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787A2C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C166586">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3,900.00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AB6F230">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2,396.80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2FA44B2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1,503.20 </w:t>
            </w:r>
          </w:p>
        </w:tc>
      </w:tr>
      <w:tr w14:paraId="79287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65539D9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设备/办公设备/输入输出设备</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51941B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凭证打印机</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A08F0A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989EE7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B78555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C917F4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2016-05-25</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AEC7D2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综合股</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8EDEBA3">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4,800.00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6E473A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4,800.00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0ACE6EF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0D806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1A2A47F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设备/办公设备/打印机/其他打印机</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E71C2F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打印机</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E7E96D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511FD7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A525E5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DD5275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2016-05-26</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F0E978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社保股</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5BBDAAA">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1,780.00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BC966C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1,780.00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3F8E9FF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5F75A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0FC9287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设备/办公设备/打印机/其他打印机</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C14C39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打印机</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69B1EA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641626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6F4661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4E0A04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2016-05-26</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03182F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社保股</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2A6CB1D">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1,950.00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C3E0BD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1,950.00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0BA3D35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403CB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2BFBE10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设备/信息化设备/其他信息化设备</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E736E6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预算软件系统</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B835C2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2414149">
            <w:pPr>
              <w:jc w:val="left"/>
              <w:rPr>
                <w:rFonts w:hint="default" w:ascii="Calibri" w:hAnsi="Calibri" w:cs="Calibri"/>
                <w:i w:val="0"/>
                <w:iCs w:val="0"/>
                <w:color w:val="000000"/>
                <w:sz w:val="24"/>
                <w:szCs w:val="24"/>
                <w:u w:val="none"/>
              </w:rPr>
            </w:pP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773C81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DEB5E3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2016-06-14</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66B3D7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EB4F009">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65,000.00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C08140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65,000.00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1CB83FD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41990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3ED06E5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设备/办公设备/输入输出设备</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92FF16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打印一体机</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D3CF91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BBBCEF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AAF318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42CC9E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2016-12-05</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3B3C12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监督股</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798B6CB">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1,850.00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EAE14F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1,850.00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048F5E1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7F3C1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355AA63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38ADB9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票据柜</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3AEF8D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D5BFB5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C4B865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2D6F7A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2016-12-07</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AC5254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A47B8AE">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828.00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FA2BE1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472.12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77479BD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355.88 </w:t>
            </w:r>
          </w:p>
        </w:tc>
      </w:tr>
      <w:tr w14:paraId="5A7B2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38ADD2A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FAB263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保险柜</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2F13E6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430C91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9E47B7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A5C47D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2016-12-07</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AD33B4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22217DB">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1,680.00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AD693F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958.19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1F463C4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721.81 </w:t>
            </w:r>
          </w:p>
        </w:tc>
      </w:tr>
      <w:tr w14:paraId="7C5A9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17814D4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357DFD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办公桌</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700BD4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894910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0D798E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FB232F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2016-12-07</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98662B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FC3AD82">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780.00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34E78C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444.87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18B62A0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335.13 </w:t>
            </w:r>
          </w:p>
        </w:tc>
      </w:tr>
      <w:tr w14:paraId="67C69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6892928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5AEC17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办公桌</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CBC9FA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9C73A6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8B8A7F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8B737A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2016-12-07</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85534A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A2BFE84">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780.00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362600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444.87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1AD1B3E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335.13 </w:t>
            </w:r>
          </w:p>
        </w:tc>
      </w:tr>
      <w:tr w14:paraId="575BD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4A85CBC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885DEA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办公桌</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3B519D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EEC830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B44B5E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A58697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2016-12-07</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D7CE90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CCE07D3">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780.00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4D6152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444.87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3D0CEC10">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335.13 </w:t>
            </w:r>
          </w:p>
        </w:tc>
      </w:tr>
      <w:tr w14:paraId="52408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1737926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526520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办公桌</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CF13C2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E48A3C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6C5EAC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6064AA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2016-12-07</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15493B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66E7F83">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780.00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50FB61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444.87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1F3B469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335.13 </w:t>
            </w:r>
          </w:p>
        </w:tc>
      </w:tr>
      <w:tr w14:paraId="7D52D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4A8D706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BC2F82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笔记本电脑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8D6083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778019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519174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E3CC72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2017-01-10</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7A285C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乡财中心</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065E815">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4,300.00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94F8C6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4,300.00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3B6CA88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7CCC7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2471C75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0BEC2A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台式机</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E4A702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F02B8F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E09753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4B6BD7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2017-01-10</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C4047D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财评中心</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1D456F3">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4,350.00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876F58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2,456.80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21A8972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1,893.20 </w:t>
            </w:r>
          </w:p>
        </w:tc>
      </w:tr>
      <w:tr w14:paraId="2BE30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71D12C2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AFDD93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联想笔记本电脑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BCAC6A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42EA07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5D93AA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79FAF4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2017-03-09</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4198F7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乡财中心</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7B52F12">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4,850.00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3517A7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4,850.00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4745BA0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3D061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0842991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设备/办公设备/照相机及器材</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AB1278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DV摄像及配件</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2D5A84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F42A01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183C3D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7740B6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2017-03-09</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C92ADF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预算股</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DBC3642">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4,970.00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9DA911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4,970.00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7991B6C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6EE85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346D9D1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D02367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联想笔记本电脑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28B696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8B9481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AEEB25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1849B4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2017-03-09</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71DC26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财政事务中心</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F9B7128">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4,850.00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D14B1B0">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4,850.00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211EF18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0B35A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1E52EC0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58832D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笔记本电脑</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A58ECB0">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308FCC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620BC6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7A2298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2017-04-27</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DF21E8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办公室</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3CA76EE">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4,980.00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2F2B07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4,980.00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14DEA30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1BF59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416086D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家具和用具/家具/柜类/文件柜</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E8A5D4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保密文件柜</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644979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028C76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B01F1D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BD1D50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2017-06-28</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DE68B6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86FA716">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2,280.00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692805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1,224.67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4A484BC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1,055.33 </w:t>
            </w:r>
          </w:p>
        </w:tc>
      </w:tr>
      <w:tr w14:paraId="42DAA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62FAEBD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家具和用具/家具/柜类/文件柜</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81C90B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保密文件柜</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F3832C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22C372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23E8E4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8F84BD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2017-06-28</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C55065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09D1E50">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2,280.00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C9912A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1,224.67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4FFF813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1,055.33 </w:t>
            </w:r>
          </w:p>
        </w:tc>
      </w:tr>
      <w:tr w14:paraId="5D215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5246D20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654C64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联想电脑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054BA7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40E129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23847F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59FA75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2017-06-28</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415ADB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办公室</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B58BF59">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4,850.00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F04718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4,850.00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28559ED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1020F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4540AAE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设备/信息化设备/计算机/台式计算机</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B93DE0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电脑</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E58D0B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D0C7F9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0FE0CB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7B58AF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2017-08-14</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48D681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预算股</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03E7D04">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4,850.00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3F2DF1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4,850.00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28D8F3D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283EE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1888FC4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设备/办公设备/打印机/其他打印机</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14EE8E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打印机</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CEC25A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4BC7F2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6E42F0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ECA738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2017-08-14</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5FCD80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农业股</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2ECE2C1">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1,850.00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C698A7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1,850.00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070F611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0F02D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1BA6CD0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设备/办公设备/打印机/其他打印机</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CB88BD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打印机</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6DA532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8B6B9E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8757EC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54941A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2017-08-22</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0BCE3B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7E84BB2">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1,850.00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776DDE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1,850.00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7513097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7BA14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2B67B42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设备/信息化设备/计算机/台式计算机</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35D484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电脑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50B72F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67494C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602E1A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206F21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2017-09-01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65F6F7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A176430">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4,850.00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1628720">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4,850.00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41FDE5B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4D89C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0706BC0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设备/信息化设备/计算机/台式计算机</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B4CC08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电脑</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1CA72F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DD6A8C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71ACEA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7FC147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2017-10-27</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ACBEA8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预算股</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513E776">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4,750.00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25F15A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4,750.00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0E09310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57F2C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6E81194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设备/信息化设备/计算机/台式计算机</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492D0F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电脑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A501B8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6D39D8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86BD0C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6CA054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2017-11-10</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E89E0D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办公室</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FD86E82">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4,750.00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90530C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4,750.00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3FF51750">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6E392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71DAEF5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FA91F4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联想服务器和软件</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46528D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AD36C1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CC7F16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307206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2017-11-16</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28DBBA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3BEA225">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19,600.00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E613B7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19,600.00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2C46E7D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7D7BF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012D636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设备/信息化设备/其他信息化设备</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581251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金碟财务软件</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E83371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4915EA0">
            <w:pPr>
              <w:jc w:val="left"/>
              <w:rPr>
                <w:rFonts w:hint="default" w:ascii="Calibri" w:hAnsi="Calibri" w:cs="Calibri"/>
                <w:i w:val="0"/>
                <w:iCs w:val="0"/>
                <w:color w:val="000000"/>
                <w:sz w:val="24"/>
                <w:szCs w:val="24"/>
                <w:u w:val="none"/>
              </w:rPr>
            </w:pP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D36396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88737D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2017-12-19</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141EA2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社保股</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2D7E31F">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3,500.00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D7F975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3,500.00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0E59C9F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04975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22B2956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设备/办公设备/输入输出设备</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0EB224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激光打印机</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FC285C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3D0B94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1FB516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C5644B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2017-12-26</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0FFC09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预算股</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AF93482">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1,980.00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3547D8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1,980.00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62CB106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215AE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3FC4D6A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设备/办公设备/输入输出设备</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526AD1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激光打印机</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42482E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54233F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D65536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2C1B65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2017-12-26</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821B0A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财政事务中心</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36A1B5E">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1,980.00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015ACE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1,980.00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36EBD88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3A0FE7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5CED529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40D912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笔记本电脑</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D17F22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161694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87B1BF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265487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2018-01-17</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BAC2DC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办公室</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FD9285A">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11,790.00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EFBBB8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11,790.00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20D52F3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5314A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5AB3620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92577C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笔记本电脑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34BB42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2BB424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23A41F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55AE26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2018-01-17</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F9193A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办公室</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87301B1">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11,790.00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A8E855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11,790.00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1801879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3DB03E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13E2C74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721900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笔记本电脑</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8FC320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75CF43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3E5BB5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20C525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2018-01-17</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FC99D5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办公室</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BD12F0F">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11,790.00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3D62AA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11,790.00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2466F4B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36469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6D1FB6A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C93789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笔记本电脑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446202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D5DCC0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B59F0F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F0ADDA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2018-01-17</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9BC070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办公室</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91B3E0D">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11,790.00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6636DA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11,790.00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64ADF93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4E35B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4BCEF1C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A3226B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笔记本电脑</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57C977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15F60C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CEE9D1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62C7EB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2018-01-17</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AB43C3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办公室</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2A91C54">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11,790.00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2C76BE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11,790.00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2DF31A3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2DA2C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0B02B62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368533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笔记本电脑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EC2B420">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5EAE1C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80C34E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136673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2018-01-17</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8EF185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办公室</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7B0A8BF">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11,790.00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01476F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11,790.00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415D341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50A95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05D46DD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135B51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笔记本电脑</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401EB1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CCB68A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34AC90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4A2F3D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2018-01-17</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8AFC4E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办公室</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2EB9805">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11,790.00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CABC440">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11,790.00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53A169C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6FF43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3DEF055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EE554C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笔记本电脑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F104B2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7B5E95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97860E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C66D40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2018-01-17</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CDA14E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办公室</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5019CD7">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11,790.00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41D38D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11,790.00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2144451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35803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0246735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E8E133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笔记本电脑</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C1A1D5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C66E6F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E2FF85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40E823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2018-01-17</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245A81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国库支付中心</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E2E6C9B">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11,790.00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302442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11,790.00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03449AD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5E958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4506EC2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58CEB1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笔记本电脑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A6C26A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BA304E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317C05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6BB5F5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2018-01-17</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7E99CF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办公室</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9626E4A">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11,790.00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982F76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11,790.00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38F18DB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7EE1C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400D1FF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08621E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笔记本电脑</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CD6D2F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6573C5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D05F39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5FCD6E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2018-01-17</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8BD8C5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国库支付中心</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9D25C4F">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8,860.00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62918C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8,860.00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700BFC6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3D681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64E1577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83D69B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笔记本电脑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36C882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2BCC15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83FEB1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2BD23D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2018-01-17</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DE7E93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预算股</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D644C58">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8,860.00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E964E5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8,860.00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2F01475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533C8A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2D716CA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917FD4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笔记本电脑</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D61479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214266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F6035B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0E470D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2018-01-17</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4F11D0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预算股</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35C03D4">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8,860.00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47807F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8,860.00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38B62E8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42430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7B0D51F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273152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笔记本电脑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9D769D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383F0E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35196A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B7CB0B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2018-01-17</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020862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预算股</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E68CD98">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8,860.00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0567FE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8,860.00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5B60649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74E0D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45071DA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3B5A6F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笔记本电脑</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F5DA3F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34BAF2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ED1B18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B44F16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2018-01-17</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87C62D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行政政法股</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93BB08B">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8,860.00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1346F7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8,860.00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3C39BCB0">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47D48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2A9FFCB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B13522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笔记本电脑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12AE92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42711F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E5C030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467400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2018-01-17</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3863E5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外经企业股</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0A22F68">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8,860.00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FAAD62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8,860.00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6FC713F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2F975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6475AD5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2A2215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笔记本电脑</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9FA94A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FD2E8F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890D39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938C6F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2018-01-17</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6700B2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经建股</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A793E9C">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8,860.00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300FB4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8,860.00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420BEBD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4AA70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015E8CD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85EDDC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笔记本电脑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7B7162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3C7606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8BA94A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0F8CC8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2018-01-17</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D57498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非税、综合股</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0B52B8E">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8,860.00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1D56F7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8,860.00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021EB0B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19537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79EAB1C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359DF1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笔记本电脑</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EEE840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10C31B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4100C0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5F2B52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2018-01-17</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EB43D4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乡财中心</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FED1B3E">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8,860.00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37D92A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8,860.00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29A7843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09713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63EB387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4BC8EA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笔记本电脑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16B654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9E06DC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CAAA3E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D22DE1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2018-01-17</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511DB0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国库支付中心</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70350E4">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8,860.00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6EDA05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8,860.00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29517A1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17E433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7F491E7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292453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笔记本电脑</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A63FDD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D698EC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BC1212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D289DE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2018-01-17</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84F972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国库支付中心</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E3B3BF1">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8,860.00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243E86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8,860.00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7F37B62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2AC0E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2E9D4DD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140DBC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笔记本电脑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59B62E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1FD33E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FBC3CE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A78112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2018-01-17</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487553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国库支付中心</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EBB4613">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8,860.00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63FE0F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8,860.00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469A2F4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028B7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3A1B17C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8B1919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笔记本电脑</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41F2DF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B3F706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64F503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880A1C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2018-01-17</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873AAD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国库支付中心</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184AFA7">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8,860.00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CDDD29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8,860.00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77ECDCA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40FAB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319946B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722C4F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笔记本电脑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6456710">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0CA881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A8F7B7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24A132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2018-01-17</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4F92E2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国库支付中心</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D7C8405">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8,860.00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4D55DE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8,860.00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741E467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18A0D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108594B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71925A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笔记本电脑</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E881B0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FEE429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99BA08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E3ECD6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2018-01-17</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5788C2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办公室</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5FFBA18">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8,860.00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06B9D5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8,860.00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0CA0CF9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5CA45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70CF8A6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C254F8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笔记本电脑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7A41B1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D9491D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1AE6FD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59DBDC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2018-01-17</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34D3F1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办公室</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B00654B">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8,860.00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0D3EF3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8,860.00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5B81C7B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28B9C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38B7DC2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CF68CC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笔记本电脑</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93F50B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CE06E7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63DFB3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CCFE39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2018-01-17</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176AB0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教科文股</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58F149A">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8,860.00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1DB3020">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8,860.00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70941B8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7EE58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3D914BC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582284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笔记本电脑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751E10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4E6CE6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C51201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62AA92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2018-01-17</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338F77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农业股</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D1797CF">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8,860.00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464045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8,860.00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0037AA7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055AD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141CCC3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823FCC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笔记本电脑</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070210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2D6D1A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2A5850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B6E5E5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2018-01-17</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1AE74E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农业股</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1522404">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8,860.00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58FD50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8,860.00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21BBC6E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46585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5809E2C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442655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笔记本电脑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63B191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70E05E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279740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608B2F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2018-01-17</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FC9DE8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社保</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3D4A28A">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8,860.00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878119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8,860.00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7D1C6D0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3B2EE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11093DA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5CF726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笔记本电脑</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B8E233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9FB4E1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EFF3EA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A2AC46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2018-01-17</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01B4E9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社保</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F323F14">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8,860.00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CEC94A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8,860.00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444993E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13F73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4EED505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2C3C53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笔记本电脑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89B335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49C58D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7718CA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09F32C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2018-01-17</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FFA109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非税、综合股</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CA5B33A">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8,860.00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9341A3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8,860.00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1E31E290">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219A5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184AD16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953533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笔记本电脑</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732497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003E25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54C03B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63A795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2018-01-17</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42B8BB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经建股</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072E6E8">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8,860.00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E2BBFE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8,860.00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53532DD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39AA8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05110CB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B60D91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笔记本电脑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B5C76C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58CCA2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73D60A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523CB9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2018-01-17</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459749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国库支付中心</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0CBC6B5">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8,860.00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A56ABC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8,860.00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23C9978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4A5EE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6C6F0A7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设备/办公设备/打印机/其他打印机</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B21AB2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打印机</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6208FF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171F31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069B3B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602DD0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2018-01-22</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793230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国库支付中心</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FDDD3C6">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3,110.00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06D794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3,110.00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36E8B6C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28727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61F05FD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设备/信息化设备/计算机/台式计算机</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0DDD0B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电脑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CFF8F9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29A9A8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F3A5EC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9AE027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2018-01-22</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FE0AAC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国库支付中心</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798C32E">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4,350.00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758064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4,350.00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5FE8751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37B6D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503813D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设备/信息化设备/计算机/台式计算机</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5A9F4B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电脑</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C3D0A7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21024D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FDE27B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BB88E3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2018-01-22</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86B1B3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国库支付中心</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0C33885">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4,350.00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3CC0CC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4,350.00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1710367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58A1A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12967E6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设备/信息化设备/计算机/台式计算机</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9ED85E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电脑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8A09A6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6D41AA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541814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E56573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2018-01-22</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9B9B1B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国库支付中心</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F15669A">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4,350.00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DC1E84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4,350.00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1B8DEA5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03D32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690B7F7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设备/信息化设备/计算机/台式计算机</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088443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电脑</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77F068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334089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D324AA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8CEDE1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2018-01-22</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6811B9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国库支付中心</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68F890A">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4,350.00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826249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4,350.00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25AF4AB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73D1C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0C3BE42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设备/信息化设备/计算机/台式计算机</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83DB92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电脑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830471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5CC155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C0B2D2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053C48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2018-01-22</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33F5E3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国库支付中心</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0CB7361">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4,350.00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09BB5F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4,350.00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6050AE9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17759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4092DA8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设备/信息化设备/其他信息化设备</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BCA509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财务管理软件</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9F591C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013CCEB">
            <w:pPr>
              <w:jc w:val="left"/>
              <w:rPr>
                <w:rFonts w:hint="default" w:ascii="Calibri" w:hAnsi="Calibri" w:cs="Calibri"/>
                <w:i w:val="0"/>
                <w:iCs w:val="0"/>
                <w:color w:val="000000"/>
                <w:sz w:val="24"/>
                <w:szCs w:val="24"/>
                <w:u w:val="none"/>
              </w:rPr>
            </w:pP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2F2BE7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06BE8C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2018-01-22</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1A356E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BE8A95B">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3,500.00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B7BCC2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3,500.00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06B1B65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02B91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316725F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设备/办公设备/输入输出设备</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0EAF42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激光打印机</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BEF1500">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B17EC7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CF7F41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40CF01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2018-01-22</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A12726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社保股</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DBB3946">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1,980.00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E128D40">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1,980.00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6ED4600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7BDCB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57577D2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设备/办公设备/打印机/其他打印机</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A49AA0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打印机</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22ED95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3.00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3F4849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A2EB79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3984DD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2018-01-22</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731922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3477A2E">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4,665.00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F5EF680">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4,665.00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13BD1EA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2D407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1ABBF8A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设备/办公设备/复印机</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10DA47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A3复印机</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2F895E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352FE4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45EB76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4DB449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2018-01-27</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92106E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预算股</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9F0FF07">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15,845.00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827A38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15,845.00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6683819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34448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3549BBA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设备/信息化设备/网络设备/交换设备</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578897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千兆交换机</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BDB3CC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5EA240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F78976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F6AB95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2018-01-27</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15ACA1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中心机房</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7CA6A02">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5,250.00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272517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5,250.00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31FD578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46B99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482C80A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设备/信息化设备/网络设备/交换设备</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7343E8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千兆交换机</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1D2666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9CC1C1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34CF93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2F9979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2018-01-27</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5E3442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中心机房</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FB99610">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5,250.00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0A8834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5,250.00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721B1AF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416E8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7AD7DD9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设备/办公设备/打印机/其他打印机</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B92E0A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打印机</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A24895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BF6A9C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70B241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03167D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2018-02-11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26897A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国库支付中心</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535EBF4">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15,845.00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EEB3E5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15,845.00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5B4EDF9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67BDAB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2AA66ED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设备/办公设备/打印机/其他打印机</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4E9AE7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打印机</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A98BCF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9A04FF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483A88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5ABDAC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2018-02-11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835868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1A60274">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15,845.00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4C0C65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15,845.00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4DFEAA0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21EA8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2237809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设备/办公设备/输入输出设备</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BD6DE1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票据针式打印机</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3E7737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EB345D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D6638B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0DF70D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2018-05-29</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551896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695F735">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2,780.00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D3A8F8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2,780.00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3E08C7B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69111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69EFD34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设备/信息化设备/计算机/台式计算机</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0F4F19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电脑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D4D387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AC057F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8EC986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73F7A3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2018-05-29</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33A46F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采购办</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D4890F5">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4,150.00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DAF3E7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4,150.00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7CC2679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55DBB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20B40BA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设备/办公设备/输入输出设备</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EEB963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彩色打印机</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F06858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C9802D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AFA4BA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55D89F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2018-07-18</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A91480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国库支付中心</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9C77497">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1,650.00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4689FE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1,650.00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74E6A8E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56313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59864DD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设备/办公设备/打印机/其他打印机</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5C5731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打印机</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4A2938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41E644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DA2365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09118D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2018-07-18</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ED25B9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E4F10CC">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1,950.00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F4C43B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1,950.00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1BA3C73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74AC7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2E13E76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5E29FB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办公桌</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4E392F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F18ED5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3E50A1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FC4198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2018-07-18</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8CDE2F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9622389">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2,000.00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F2DC66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929.91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3F68820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1,070.09 </w:t>
            </w:r>
          </w:p>
        </w:tc>
      </w:tr>
      <w:tr w14:paraId="44B38E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0220756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F9BBDF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电脑桌</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E2A182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17E2F1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964DAE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D18DCD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2018-07-18</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7BBD65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EB91CF8">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800.00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915F56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371.80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2B83136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428.20 </w:t>
            </w:r>
          </w:p>
        </w:tc>
      </w:tr>
      <w:tr w14:paraId="2FB3B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0BBE32F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设备/办公设备/输入输出设备</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3459BD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彩色打印机</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9AA48B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1EA2DA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209F6E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23C24B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2018-07-18</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C3AE9F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办公室</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4E166B5">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1,650.00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04AF53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1,650.00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71E3AA40">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6B3AC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1E696D1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设备/信息化设备/计算机/台式计算机</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B15D31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电脑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2BAAF6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2034D2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4A34DC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D2AEAD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2018-07-18</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4DE1DC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办公室</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25058A9">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5,130.00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1A69BA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5,130.00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0F24B51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57255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25980EF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家具和用具/家具/架类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129D23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货架</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C3809A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8E50E4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7FA255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0B4539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2018-07-18</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27B1C6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C51ABDD">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1,200.00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C283DF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558.10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76E46D90">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641.90 </w:t>
            </w:r>
          </w:p>
        </w:tc>
      </w:tr>
      <w:tr w14:paraId="01D71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27C5F3B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设备/办公设备/输入输出设备</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6AF197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票据打印机</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9EBCD30">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B7AB68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AC9D3A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7D8707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2018-08-06</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E66B63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国库支付中心</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D594708">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2,780.00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1AFCD0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2,780.00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4D9406D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6C80D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0D50D12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280939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笔记本电脑</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99370F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BF57E5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D198C4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5B176B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2018-08-06</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84B316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办公室</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FE06A71">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17,720.00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B55B9B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17,720.00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2F78A2B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45739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29A4AFF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0D7E15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票据柜</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C933AB0">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DC3451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B5394B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4FA899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2018-10-26</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1ECD7A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08890FC">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1,532.00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AF00D8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686.81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25E31F4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845.19 </w:t>
            </w:r>
          </w:p>
        </w:tc>
      </w:tr>
      <w:tr w14:paraId="6DF0D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6959209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90D971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联想电脑</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27A2F9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B25DCA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91540A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212AB6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2018-11-27</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A32C06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行政政法股</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D8A5465">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4,850.00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1D1773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4,850.00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2C6870D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46A67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6C86030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B05FC2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笔记本电脑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6EC341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474A01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8F9E03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06A15B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2018-12-14</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6D6878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国库支付中心</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EBB001A">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5,800.00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96557F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5,800.00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719B169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58F2D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462B5B3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3FFD72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办公桌</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FC7F5A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4BEEEE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FAFC18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372851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2018-12-20</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74191F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6895ED5">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1,700.00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C8A1D3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743.32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4826EA0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956.68 </w:t>
            </w:r>
          </w:p>
        </w:tc>
      </w:tr>
      <w:tr w14:paraId="632A5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0EF9A24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家具和用具/家具/椅凳类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EB6333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办公椅</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651577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3.00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389FC2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D215EF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9985BF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2018-12-20</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38B383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FA57897">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780.00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0621FA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340.87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4D5AC32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439.13 </w:t>
            </w:r>
          </w:p>
        </w:tc>
      </w:tr>
      <w:tr w14:paraId="19D5D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2471B7C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27A925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办公桌</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B2342F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4.00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9CD588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FA7119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44FC75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2018-12-20</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A63FF5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A037395">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3,400.00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2703C8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1,486.83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0D57434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1,913.17 </w:t>
            </w:r>
          </w:p>
        </w:tc>
      </w:tr>
      <w:tr w14:paraId="268A3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4A2DFA1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家具和用具/家具/椅凳类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18822E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办公椅</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E9B417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6AC7B6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776E1F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18CE49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2018-12-20</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BA65C7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5463E94">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520.00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E625B3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227.45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1F3F436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292.55 </w:t>
            </w:r>
          </w:p>
        </w:tc>
      </w:tr>
      <w:tr w14:paraId="70AB7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71BFF3E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BCF9B9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台式电脑</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94B9F0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74D318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95F269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A31937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2018-12-26</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9BE19A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国库支付中心</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481B0B4">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4,750.00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6318FC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4,750.00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1223312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4150D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582FA2B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7353A4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台式电脑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8AE166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E31E6D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3AFBE8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D5194D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2018-12-26</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D90CF2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投资评审中心</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FB6E861">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4,750.00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131C0F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4,750.00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5FF2628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35D5A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1E20EE5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36F02F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台式电脑</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4DFEA0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626108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4F0C98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C752C3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2018-12-26</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31C996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非税股</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D59FC34">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4,750.00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D30F5A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4,750.00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1AFDD11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6DA6D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67D5BEA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0C2870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台式电脑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882E71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6C943D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BAA604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AD062A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2018-12-26</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9D7A22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行政政法股</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B3BA813">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4,750.00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DC3F68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4,750.00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68DCE6A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5389B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7BA5B0B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E5E8B2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台式电脑</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E72FF2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AB78EF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04E8CD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CE3A56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2018-12-26</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A9AC12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采购办</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A87B0FF">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4,750.00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EF734B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4,750.00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3FF3F42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1EA5D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5F27523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BFDE06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台式电脑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A387DD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6A89DB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457462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D9172C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2018-12-26</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E2DD66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预算股</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026FD8C">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4,750.00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031BA5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4,750.00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241CEA6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73C37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3681BE3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D10DF8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台式电脑</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A592B7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B91FAB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DDF595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AD59BD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2018-12-26</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D1D0E4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农业股</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231DB9F">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4,750.00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20AF02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4,750.00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4A72EAD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4D96E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726851F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设备/信息化设备/计算机/台式计算机</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FF49D0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电脑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7AEBF5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D76B8C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AE2692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72C646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2019-03-31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C32CB0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会计股</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BD09DD7">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4,750.00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3FAE49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4,750.00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086C60A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098C3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618F589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设备/信息化设备/计算机/台式计算机</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F6459F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电脑</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0AC184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8CECE4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295B56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129222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2019-03-31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74F681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监督股</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B386445">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4,750.00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C49839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4,750.00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0043180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53B3A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4318EC1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设备/信息化设备/计算机/台式计算机</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7CC6F0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电脑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03698D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461D90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821EF5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C17255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2019-03-31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D73C47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办公室</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F099437">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4,750.00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794E91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4,750.00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0E8656E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6F203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4F5B75A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设备/信息化设备/计算机/台式计算机</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DD6280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电脑</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B0F9E5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BEC69E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B225CC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24CD6A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2019-03-31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95ADB2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外经企业股</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BEBA0E6">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4,750.00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83BA4F0">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4,750.00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1B8FE60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51AAB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73A9EE2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61E253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电脑桌</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55B112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4.00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80FD9A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FC1A04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CEC343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2019-03-31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F3A26D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财评中心</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30B7758">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3,200.00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BA90A9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1,346.24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69A9DD2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1,853.76 </w:t>
            </w:r>
          </w:p>
        </w:tc>
      </w:tr>
      <w:tr w14:paraId="65640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444E898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CF4DB4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涉密电脑</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0E002A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9F8CD3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F3F83E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117985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2019-04-30</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A07705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办公室</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7C14DFF">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9,990.00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EA7EAC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9,990.00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211FA32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0D71F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551738E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设备/广播、电视、电影设备/电视设备/普通电视设备（电视机）</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FC4A2A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海信液晶电视机</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532F13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4ADB88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部</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F0114B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402D02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2019-05-05</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D67212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办公室</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A6DF97A">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3,999.00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8D2078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3,999.00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447D058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2A866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3D23605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设备/信息化设备/其他信息化设备</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282DD4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惠普1005复印一体机</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725801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8763E11">
            <w:pPr>
              <w:jc w:val="left"/>
              <w:rPr>
                <w:rFonts w:hint="default" w:ascii="Calibri" w:hAnsi="Calibri" w:cs="Calibri"/>
                <w:i w:val="0"/>
                <w:iCs w:val="0"/>
                <w:color w:val="000000"/>
                <w:sz w:val="24"/>
                <w:szCs w:val="24"/>
                <w:u w:val="none"/>
              </w:rPr>
            </w:pP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172E46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8753E6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2019-06-26</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4CE6AD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采购办</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17BEB84">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1,960.00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6EE52D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1,960.00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602DF75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25A9C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0C29329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设备/信息化设备/其他信息化设备</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B98A40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惠普1005复印一体机</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76D670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1C7DF71">
            <w:pPr>
              <w:jc w:val="left"/>
              <w:rPr>
                <w:rFonts w:hint="default" w:ascii="Calibri" w:hAnsi="Calibri" w:cs="Calibri"/>
                <w:i w:val="0"/>
                <w:iCs w:val="0"/>
                <w:color w:val="000000"/>
                <w:sz w:val="24"/>
                <w:szCs w:val="24"/>
                <w:u w:val="none"/>
              </w:rPr>
            </w:pP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A8965A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8C98B5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2019-06-26</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8A4EF4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预算股</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E088D88">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1,960.00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F0A893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1,960.00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72111DC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r>
      <w:tr w14:paraId="11261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3A139A2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设备/信息化设备/其他信息化设备</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F9FC6B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惠普打印机</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73BD23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3.00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9BF5171">
            <w:pPr>
              <w:jc w:val="left"/>
              <w:rPr>
                <w:rFonts w:hint="default" w:ascii="Calibri" w:hAnsi="Calibri" w:cs="Calibri"/>
                <w:i w:val="0"/>
                <w:iCs w:val="0"/>
                <w:color w:val="000000"/>
                <w:sz w:val="24"/>
                <w:szCs w:val="24"/>
                <w:u w:val="none"/>
              </w:rPr>
            </w:pP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A98897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E6CD4E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2019-08-01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9A7695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财评中心</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44C9735">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5,940.00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447E7C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5,767.50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7DCE8DD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172.50 </w:t>
            </w:r>
          </w:p>
        </w:tc>
      </w:tr>
      <w:tr w14:paraId="13B04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4139204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设备/办公设备/输入输出设备/液晶显示器</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7A5E05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飞利浦显示器</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B91238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BDC8F65">
            <w:pPr>
              <w:jc w:val="left"/>
              <w:rPr>
                <w:rFonts w:hint="default" w:ascii="Calibri" w:hAnsi="Calibri" w:cs="Calibri"/>
                <w:i w:val="0"/>
                <w:iCs w:val="0"/>
                <w:color w:val="000000"/>
                <w:sz w:val="24"/>
                <w:szCs w:val="24"/>
                <w:u w:val="none"/>
              </w:rPr>
            </w:pP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3125C7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17B1E9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2019-11-14</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145C18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办公室</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CE89BDA">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1,750.00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AFFB1A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1,631.24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350844B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118.76 </w:t>
            </w:r>
          </w:p>
        </w:tc>
      </w:tr>
      <w:tr w14:paraId="37ECC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7238BDF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设备/办公设备/输入输出设备</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883421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惠普打印机</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BF865E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B1D739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2A2E2C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E98234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2019-12-26</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12251C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财评中心</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24F7343">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1,980.00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FE25EC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1,818.56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25C70360">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161.44 </w:t>
            </w:r>
          </w:p>
        </w:tc>
      </w:tr>
      <w:tr w14:paraId="25AB1F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2A8B542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设备/办公设备/输入输出设备</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1C3515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惠普打印机</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7DB5AA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E36EEB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8AF3A8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799094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2019-12-26</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CD6AB5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农业股</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2482B33">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1,980.00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4CEAD7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1,818.56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5A2ECA7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161.44 </w:t>
            </w:r>
          </w:p>
        </w:tc>
      </w:tr>
      <w:tr w14:paraId="03EA8A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68689E6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设备/办公设备/输入输出设备</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C403E7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得实针式打印机</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D452AA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0A08CB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F3B9FC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680E21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2019-12-26</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62A0D1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办公室</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70BAD53">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3,800.00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3D704C0">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3,490.06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6843082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309.94 </w:t>
            </w:r>
          </w:p>
        </w:tc>
      </w:tr>
      <w:tr w14:paraId="2DD78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1E990F4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设备/办公设备/其他办公设备</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1BC83F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联想电脑4900</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51D021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84A486F">
            <w:pPr>
              <w:jc w:val="left"/>
              <w:rPr>
                <w:rFonts w:hint="default" w:ascii="Calibri" w:hAnsi="Calibri" w:cs="Calibri"/>
                <w:i w:val="0"/>
                <w:iCs w:val="0"/>
                <w:color w:val="000000"/>
                <w:sz w:val="24"/>
                <w:szCs w:val="24"/>
                <w:u w:val="none"/>
              </w:rPr>
            </w:pP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E546C1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EF1C37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2019-12-27</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76308B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国库支付中心</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7992CB8">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4,950.00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4FB5CB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4,546.19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1E0EF72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403.81 </w:t>
            </w:r>
          </w:p>
        </w:tc>
      </w:tr>
      <w:tr w14:paraId="32667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4FDA5A3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设备/办公设备/文印设备/速印机</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32305D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碎纸机</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4F59CC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A966D4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55A044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3ADC9E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2019-12-27</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F072CA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办公室</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AF49538">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1,003.00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3A7250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921.13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64F4CE8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81.87 </w:t>
            </w:r>
          </w:p>
        </w:tc>
      </w:tr>
      <w:tr w14:paraId="7EFB5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759FD4B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设备/办公设备/其他办公设备</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2CA90D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档案柜</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6D39A4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F31759C">
            <w:pPr>
              <w:jc w:val="left"/>
              <w:rPr>
                <w:rFonts w:hint="default" w:ascii="Calibri" w:hAnsi="Calibri" w:cs="Calibri"/>
                <w:i w:val="0"/>
                <w:iCs w:val="0"/>
                <w:color w:val="000000"/>
                <w:sz w:val="24"/>
                <w:szCs w:val="24"/>
                <w:u w:val="none"/>
              </w:rPr>
            </w:pP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5A9DD2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099CE4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2019-12-27</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6C19D2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财评中心</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607698F">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1,656.00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4A5F9D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1,145.92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2694A23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510.08 </w:t>
            </w:r>
          </w:p>
        </w:tc>
      </w:tr>
      <w:tr w14:paraId="4F821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440783A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3CC26F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办公桌办公椅</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4CCD28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4.00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76CE6A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0F12C8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83BBFA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2020-01-31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802C2D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办公室</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C5E342B">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3,900.00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87BED9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1,424.58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427ACEC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2,475.42 </w:t>
            </w:r>
          </w:p>
        </w:tc>
      </w:tr>
      <w:tr w14:paraId="3B219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00063DA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88BBDE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联想T4900V</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F7EC74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D074BF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A339F3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DFFD2C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2020-04-30</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A8F628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办公室</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69BA435">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4,880.00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D57EAC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4,215.12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1ED9BF7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664.88 </w:t>
            </w:r>
          </w:p>
        </w:tc>
      </w:tr>
      <w:tr w14:paraId="537E0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1D304EC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AB9BDA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联想T4900V电脑</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154AF7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DF342C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5534A3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1AD2C8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2020-04-30</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D482FB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非税、综合股</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EF6C140">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4,880.00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FA4F4A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4,215.12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6FD77AB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664.88 </w:t>
            </w:r>
          </w:p>
        </w:tc>
      </w:tr>
      <w:tr w14:paraId="261CB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71E4130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4FC523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联想T4900V电脑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B40157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2B73D2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66B799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CD7A67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2020-04-30</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970FBC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外经企业股</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86E1148">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4,880.00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FE9580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4,215.12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4CF8ADE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664.88 </w:t>
            </w:r>
          </w:p>
        </w:tc>
      </w:tr>
      <w:tr w14:paraId="26834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3EBE013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03AF56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联想T4900V电脑</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702B5C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0859B1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1148CE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33AA28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2020-04-30</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5EBA68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财政事务中心</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A333E82">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4,880.00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84FF03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4,215.12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0B859E60">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664.88 </w:t>
            </w:r>
          </w:p>
        </w:tc>
      </w:tr>
      <w:tr w14:paraId="32DB2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7E7A8A5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设备/信息化设备/其他信息化设备</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5A0BB6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佳能2900打印机</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44AB67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7F0522A">
            <w:pPr>
              <w:jc w:val="left"/>
              <w:rPr>
                <w:rFonts w:hint="default" w:ascii="Calibri" w:hAnsi="Calibri" w:cs="Calibri"/>
                <w:i w:val="0"/>
                <w:iCs w:val="0"/>
                <w:color w:val="000000"/>
                <w:sz w:val="24"/>
                <w:szCs w:val="24"/>
                <w:u w:val="none"/>
              </w:rPr>
            </w:pP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9B59F6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3B31FC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2020-04-30</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29C57A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办公室</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001788A">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1,200.00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0E092C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1,036.35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151B034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163.65 </w:t>
            </w:r>
          </w:p>
        </w:tc>
      </w:tr>
      <w:tr w14:paraId="558C4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55099B1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设备/信息化设备/其他信息化设备</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46DD73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佳能2900打印机</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F7CBA40">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B3FC13A">
            <w:pPr>
              <w:jc w:val="left"/>
              <w:rPr>
                <w:rFonts w:hint="default" w:ascii="Calibri" w:hAnsi="Calibri" w:cs="Calibri"/>
                <w:i w:val="0"/>
                <w:iCs w:val="0"/>
                <w:color w:val="000000"/>
                <w:sz w:val="24"/>
                <w:szCs w:val="24"/>
                <w:u w:val="none"/>
              </w:rPr>
            </w:pP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CB74FE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17F71E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2020-04-30</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F0E2F8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财评中心</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91CCEE0">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1,200.00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B86D02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1,036.35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063CA6C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163.65 </w:t>
            </w:r>
          </w:p>
        </w:tc>
      </w:tr>
      <w:tr w14:paraId="60ED2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765115E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设备/信息化设备/其他信息化设备</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052712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佳能2900打印机</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7CD744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58D12C5">
            <w:pPr>
              <w:jc w:val="left"/>
              <w:rPr>
                <w:rFonts w:hint="default" w:ascii="Calibri" w:hAnsi="Calibri" w:cs="Calibri"/>
                <w:i w:val="0"/>
                <w:iCs w:val="0"/>
                <w:color w:val="000000"/>
                <w:sz w:val="24"/>
                <w:szCs w:val="24"/>
                <w:u w:val="none"/>
              </w:rPr>
            </w:pP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C4E5B4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6F76DB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2020-04-30</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919030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非税、综合股</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A07A473">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1,200.00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41778B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1,036.35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78E1247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163.65 </w:t>
            </w:r>
          </w:p>
        </w:tc>
      </w:tr>
      <w:tr w14:paraId="0B0C5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742FA79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设备/信息化设备/其他信息化设备</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411A2A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惠普m1005一体机</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AE162E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86C51BF">
            <w:pPr>
              <w:jc w:val="left"/>
              <w:rPr>
                <w:rFonts w:hint="default" w:ascii="Calibri" w:hAnsi="Calibri" w:cs="Calibri"/>
                <w:i w:val="0"/>
                <w:iCs w:val="0"/>
                <w:color w:val="000000"/>
                <w:sz w:val="24"/>
                <w:szCs w:val="24"/>
                <w:u w:val="none"/>
              </w:rPr>
            </w:pP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8A272E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D9E2BC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2020-04-30</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E4A4A4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财政事务中心</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4098028">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1,980.00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66EDAF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1,710.24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23DC4CF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269.76 </w:t>
            </w:r>
          </w:p>
        </w:tc>
      </w:tr>
      <w:tr w14:paraId="3CA2A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4B05626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E39E77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联想T4900电脑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D50261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0CBFF8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C6057F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3AF108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2020-05-31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EAD4C3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非税、综合股</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8BFD0EE">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4,880.00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EABBC3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4,148.60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0475168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731.40 </w:t>
            </w:r>
          </w:p>
        </w:tc>
      </w:tr>
      <w:tr w14:paraId="087AC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7A8E683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设备/信息化设备/其他信息化设备</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C59D08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佳能2900打印机</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CE3C08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543FCF4">
            <w:pPr>
              <w:jc w:val="left"/>
              <w:rPr>
                <w:rFonts w:hint="default" w:ascii="Calibri" w:hAnsi="Calibri" w:cs="Calibri"/>
                <w:i w:val="0"/>
                <w:iCs w:val="0"/>
                <w:color w:val="000000"/>
                <w:sz w:val="24"/>
                <w:szCs w:val="24"/>
                <w:u w:val="none"/>
              </w:rPr>
            </w:pP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CF5AD2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A50AFA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2020-05-31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32F423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国库支付中心</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F1F57E9">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1,200.00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4F04B9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1,020.10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3EBBC450">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179.90 </w:t>
            </w:r>
          </w:p>
        </w:tc>
      </w:tr>
      <w:tr w14:paraId="1149FC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01E76E8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90A0E0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联系T4900</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5C2CE7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E2D63D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A04254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688EC2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2020-06-30</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E2C37C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外经企业股</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5FB52C3">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4,880.00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7F8CD9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4,081.66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73EB108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798.34 </w:t>
            </w:r>
          </w:p>
        </w:tc>
      </w:tr>
      <w:tr w14:paraId="7315C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3DF80F8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E9E307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联系T4900</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9546C5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5E633F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876B58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A61726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2020-06-30</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501D4A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社保股</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01D1955">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4,880.00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06D9A6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4,081.66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2A8A98F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798.34 </w:t>
            </w:r>
          </w:p>
        </w:tc>
      </w:tr>
      <w:tr w14:paraId="28904F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6D15FF9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1C2D6C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台式电脑 启天M428</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CD0DA0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074D6A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368165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629CB3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2020-07-31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4B39BB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办公室</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C40679A">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4,850.00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F0F7E2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3,990.36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239C9E9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859.64 </w:t>
            </w:r>
          </w:p>
        </w:tc>
      </w:tr>
      <w:tr w14:paraId="441A8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0CDDAFD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设备/办公设备/其他办公设备</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C4642D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两节文件柜</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CA826A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E1BDDFE">
            <w:pPr>
              <w:jc w:val="left"/>
              <w:rPr>
                <w:rFonts w:hint="default" w:ascii="Calibri" w:hAnsi="Calibri" w:cs="Calibri"/>
                <w:i w:val="0"/>
                <w:iCs w:val="0"/>
                <w:color w:val="000000"/>
                <w:sz w:val="24"/>
                <w:szCs w:val="24"/>
                <w:u w:val="none"/>
              </w:rPr>
            </w:pP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DACF58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C591B2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2020-09-30</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FC98C0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非税、综合股</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6C23EC9">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768.00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221001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610.88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1F20C4A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157.12 </w:t>
            </w:r>
          </w:p>
        </w:tc>
      </w:tr>
      <w:tr w14:paraId="2C32F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7EF3FE8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设备/办公设备/其他办公设备</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9CD842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两节文件柜</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743201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F3DDB56">
            <w:pPr>
              <w:jc w:val="left"/>
              <w:rPr>
                <w:rFonts w:hint="default" w:ascii="Calibri" w:hAnsi="Calibri" w:cs="Calibri"/>
                <w:i w:val="0"/>
                <w:iCs w:val="0"/>
                <w:color w:val="000000"/>
                <w:sz w:val="24"/>
                <w:szCs w:val="24"/>
                <w:u w:val="none"/>
              </w:rPr>
            </w:pP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47953E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5A0E77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2020-09-30</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E0A575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非税、综合股</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B5C5F4D">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768.00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75A8E6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610.88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7B06742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157.12 </w:t>
            </w:r>
          </w:p>
        </w:tc>
      </w:tr>
      <w:tr w14:paraId="3B0A0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79C61D3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设备/办公设备/其他办公设备</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EB9E78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五节文件柜</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5C5362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2B0A9DA">
            <w:pPr>
              <w:jc w:val="left"/>
              <w:rPr>
                <w:rFonts w:hint="default" w:ascii="Calibri" w:hAnsi="Calibri" w:cs="Calibri"/>
                <w:i w:val="0"/>
                <w:iCs w:val="0"/>
                <w:color w:val="000000"/>
                <w:sz w:val="24"/>
                <w:szCs w:val="24"/>
                <w:u w:val="none"/>
              </w:rPr>
            </w:pP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2730D2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3481D2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2020-09-30</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12E962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办公室</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6B3215B">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768.00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C358E6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610.88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506C806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157.12 </w:t>
            </w:r>
          </w:p>
        </w:tc>
      </w:tr>
      <w:tr w14:paraId="36467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0E33174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设备/办公设备/文印设备/速印机</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870B08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三木碎纸机</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D7AF1A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025804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A13EA8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D75B21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2020-09-30</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E83FA0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办公室</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F8DFB8A">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918.00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0B4AAE0">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873.12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17DA723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44.88 </w:t>
            </w:r>
          </w:p>
        </w:tc>
      </w:tr>
      <w:tr w14:paraId="4B4C2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74CAFE4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设备/信息化设备/其他信息化设备</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E17E18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多功能打印机</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AD7797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DE4A97A">
            <w:pPr>
              <w:jc w:val="left"/>
              <w:rPr>
                <w:rFonts w:hint="default" w:ascii="Calibri" w:hAnsi="Calibri" w:cs="Calibri"/>
                <w:i w:val="0"/>
                <w:iCs w:val="0"/>
                <w:color w:val="000000"/>
                <w:sz w:val="24"/>
                <w:szCs w:val="24"/>
                <w:u w:val="none"/>
              </w:rPr>
            </w:pP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FC9320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13D219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2020-12-31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E7E302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办公室</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F354259">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1,980.00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98B875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1,493.18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0652DD0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486.82 </w:t>
            </w:r>
          </w:p>
        </w:tc>
      </w:tr>
      <w:tr w14:paraId="0DD65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4F86E46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7E6F8A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台式电脑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6D6A44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19B727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3A089D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49F22E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2021-01-31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810255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办公室</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061259D">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4,375.00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DDCA3C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3,239.46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23B9343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1,135.54 </w:t>
            </w:r>
          </w:p>
        </w:tc>
      </w:tr>
      <w:tr w14:paraId="10D54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500E958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设备/信息化设备/其他信息化设备</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66CD1D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惠普1005打印一体机</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FDE406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8069470">
            <w:pPr>
              <w:jc w:val="left"/>
              <w:rPr>
                <w:rFonts w:hint="default" w:ascii="Calibri" w:hAnsi="Calibri" w:cs="Calibri"/>
                <w:i w:val="0"/>
                <w:iCs w:val="0"/>
                <w:color w:val="000000"/>
                <w:sz w:val="24"/>
                <w:szCs w:val="24"/>
                <w:u w:val="none"/>
              </w:rPr>
            </w:pP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70258A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E019AB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2021-01-31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63D222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办公室</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F55532A">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1,960.00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A54C3B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1,451.40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22F498F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508.60 </w:t>
            </w:r>
          </w:p>
        </w:tc>
      </w:tr>
      <w:tr w14:paraId="757FB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18D84B6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设备/信息化设备/其他信息化设备</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135B9B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智多星工程造价软件</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6A8B9A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C280D6F">
            <w:pPr>
              <w:jc w:val="left"/>
              <w:rPr>
                <w:rFonts w:hint="default" w:ascii="Calibri" w:hAnsi="Calibri" w:cs="Calibri"/>
                <w:i w:val="0"/>
                <w:iCs w:val="0"/>
                <w:color w:val="000000"/>
                <w:sz w:val="24"/>
                <w:szCs w:val="24"/>
                <w:u w:val="none"/>
              </w:rPr>
            </w:pP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F1FB6C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8A4E6D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2021-01-31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42C2CB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财评中心</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D563D3A">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5,800.00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8A3606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4,294.38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70E51AC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1,505.62 </w:t>
            </w:r>
          </w:p>
        </w:tc>
      </w:tr>
      <w:tr w14:paraId="1A982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6C91576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设备/办公设备/输入输出设备</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8A894E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针式打印机</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1396AE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09C737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DEE335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C71B7E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2021-03-31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5D8A4E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办公室</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826DD14">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2,880.00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15DBFA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2,053.54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5CE7505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826.46 </w:t>
            </w:r>
          </w:p>
        </w:tc>
      </w:tr>
      <w:tr w14:paraId="2DFA1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6D409AB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设备/办公设备/输入输出设备</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CC8878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针式打印机</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5FF426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F43291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D492CE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8B2C02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2021-03-31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1DDD73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行政政法股</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A6BDF4E">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2,880.00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B9A2BB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2,053.54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02B5991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826.46 </w:t>
            </w:r>
          </w:p>
        </w:tc>
      </w:tr>
      <w:tr w14:paraId="017F4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36326BE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设备/办公设备/输入输出设备</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C2FEF0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针式打印机</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9AD2EF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A523CA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45156F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7E9AF2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2021-03-31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4945E8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外经企业股</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FF8803D">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2,880.00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164407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2,053.54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6E04AC4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826.46 </w:t>
            </w:r>
          </w:p>
        </w:tc>
      </w:tr>
      <w:tr w14:paraId="54510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086966D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设备/办公设备/输入输出设备</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5613D4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针式打印机</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E9A42D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72674B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682C91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522058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2021-03-31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6DA383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预算股</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2A82BB7">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2,880.00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886957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2,053.54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1BB369E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826.46 </w:t>
            </w:r>
          </w:p>
        </w:tc>
      </w:tr>
      <w:tr w14:paraId="1127D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50AA1D9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设备/办公设备/输入输出设备</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2B9E23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针式打印机</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82AA1F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0BCF1E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A95688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21389A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2021-03-31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9660EB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采购办</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D7F5E44">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2,880.00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6AE872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2,053.54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580E8C5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826.46 </w:t>
            </w:r>
          </w:p>
        </w:tc>
      </w:tr>
      <w:tr w14:paraId="6D3A42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638E8B7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设备/办公设备/输入输出设备</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D50930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针式打印机</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34EAE9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061712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67BF00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578F91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2021-03-31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725A7A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国库支付中心</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7D1157E">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2,880.00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9E0971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2,053.54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223532A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826.46 </w:t>
            </w:r>
          </w:p>
        </w:tc>
      </w:tr>
      <w:tr w14:paraId="085E7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436D2EA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设备/办公设备/输入输出设备</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E09464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针式打印机</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34EB56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ED56B1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50CDD8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564AF0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2021-03-31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01942D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国库支付中心</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3385B4F">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2,880.00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71BAEF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2,053.54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64C1AB8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826.46 </w:t>
            </w:r>
          </w:p>
        </w:tc>
      </w:tr>
      <w:tr w14:paraId="74A94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6378E50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设备/办公设备/输入输出设备</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B4B1C6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针式打印机</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2FC290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838263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E8B41E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4E3383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2021-03-31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93EFF1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国库支付中心</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7CD7716">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2,880.00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4F174D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2,053.54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0405E0E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826.46 </w:t>
            </w:r>
          </w:p>
        </w:tc>
      </w:tr>
      <w:tr w14:paraId="7982F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62BC53D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设备/办公设备/输入输出设备</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7D8877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针式打印机</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0360E0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3E5429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DDADD2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A1B21E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2021-03-31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3DA680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办公室</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EA4AB8C">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2,880.00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A3D44E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2,053.54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51AE4C4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826.46 </w:t>
            </w:r>
          </w:p>
        </w:tc>
      </w:tr>
      <w:tr w14:paraId="6D12D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7FB5479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设备/办公设备/输入输出设备</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2F8AD9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针式打印机</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81EF99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232D83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C262D9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03EC0A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2021-03-31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D7677D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国库支付中心</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133B1C3">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2,880.00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F0EDC6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2,053.54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3DC9F8E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826.46 </w:t>
            </w:r>
          </w:p>
        </w:tc>
      </w:tr>
      <w:tr w14:paraId="0C7B3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58CC7B1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3A6704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凭证柜</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F023E6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556F00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E6CE05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71FC4B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2021-03-31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A24B7D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办公室</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439853F">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685.00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DAD557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196.86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2F6E4FF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488.14 </w:t>
            </w:r>
          </w:p>
        </w:tc>
      </w:tr>
      <w:tr w14:paraId="05223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68330AB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8511F9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凭证柜</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38E8D8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3D8F6C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B94157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FE9FFD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2021-03-31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858B32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办公室</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14B529B">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685.00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DF9DE4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196.86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337F399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488.14 </w:t>
            </w:r>
          </w:p>
        </w:tc>
      </w:tr>
      <w:tr w14:paraId="06332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159CFC3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D68126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凭证柜</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47E74A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429DD0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211C3B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23AAD3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2021-03-31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5B600C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社保股</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9F49082">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685.00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913001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196.86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69A3028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488.14 </w:t>
            </w:r>
          </w:p>
        </w:tc>
      </w:tr>
      <w:tr w14:paraId="1D2CF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3BAC56D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576E55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凭证柜</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A60FFF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CF3BFA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3F8DC3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F03BDC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2021-03-31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3F1699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行政政法股</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433D138">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980.00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5E61BF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281.62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1697DFC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698.38 </w:t>
            </w:r>
          </w:p>
        </w:tc>
      </w:tr>
      <w:tr w14:paraId="0D92B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5839CBA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设备/办公设备/输入输出设备</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CA7850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打印一体机</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4AD986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156A36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373D4D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BA48F5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2021-03-31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EF9E83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财评中心</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A81B753">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1,960.00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3F5A36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1,397.38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6CD7BC0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562.62 </w:t>
            </w:r>
          </w:p>
        </w:tc>
      </w:tr>
      <w:tr w14:paraId="3A626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1CB7A4C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A361B4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台式电脑 组装</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82DD19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3BCE3F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2BD411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EACF8D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2021-04-30</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B84BEC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财政事务中心</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87CEC6E">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4,814.50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081CD7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3,366.27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42BF2DD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1,448.23 </w:t>
            </w:r>
          </w:p>
        </w:tc>
      </w:tr>
      <w:tr w14:paraId="2C663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1AF8505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0EBFCF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5节档案柜</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5807FC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FB38D9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9932A7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4D5314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2021-04-30</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DEA86A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办公室</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0B343A6">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685.00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7F4D22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193.05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6AC94F4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491.95 </w:t>
            </w:r>
          </w:p>
        </w:tc>
      </w:tr>
      <w:tr w14:paraId="2B43B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29E753C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B3C8B9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5节档案柜</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FCA397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F3AB61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C237A2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916CF8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2021-04-30</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2EF3A7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办公室</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B8B2030">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685.00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494545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193.05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3910C1B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491.95 </w:t>
            </w:r>
          </w:p>
        </w:tc>
      </w:tr>
      <w:tr w14:paraId="3E6AD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2B5A127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家具和用具/家具/沙发类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E59D5A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沙发</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4E81B9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08CFD1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7ED760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4166AD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2021-12-31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8050D4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办公室</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785D453">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2,600.00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A5D204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617.56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4626A38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1,982.44 </w:t>
            </w:r>
          </w:p>
        </w:tc>
      </w:tr>
      <w:tr w14:paraId="3D1F8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1B7C1D6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53BCA0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台式机</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B50D47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E9C1B6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DF6940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90E5AD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2021-12-31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77DD53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财政局</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96C03E2">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8,800.00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923EB2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5,184.06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18EAA9C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3,615.94 </w:t>
            </w:r>
          </w:p>
        </w:tc>
      </w:tr>
      <w:tr w14:paraId="234F0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73E0304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93997B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台式电脑</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79DF66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1846C0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30DC13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695F5D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9C3D58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东701（国库支付中心）</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EF68BB6">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5122C4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7C09D8C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r>
      <w:tr w14:paraId="4E2C8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7A308A6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3B4504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茶几</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7A1BC8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7852AC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05BD42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D15B94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D92C86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东701（国库支付中心）</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59D7364">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CB1F43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1EFFEBB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2.00 </w:t>
            </w:r>
          </w:p>
        </w:tc>
      </w:tr>
      <w:tr w14:paraId="749E5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115E45F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家具和用具/家具/椅凳类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6CE6E1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会议椅</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C34A2D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0C6D8B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D5E8B9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63657E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1D543D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东701（国库支付中心）</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775BFB6">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A5A115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287763E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2.00 </w:t>
            </w:r>
          </w:p>
        </w:tc>
      </w:tr>
      <w:tr w14:paraId="20758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0110686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家具和用具/家具/椅凳类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33E9B7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办公椅</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153CAB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DA6DCC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47E93B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CDA9B7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DC817D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东701（国库支付中心）</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346BA64">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A2E1810">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27D9B77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2.00 </w:t>
            </w:r>
          </w:p>
        </w:tc>
      </w:tr>
      <w:tr w14:paraId="470F5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6FCBF56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家具和用具/家具/沙发类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C6838C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三人位皮沙发</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C808B1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3948C9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E810F5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2687D6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EAE4EE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东701（国库支付中心）</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D691C78">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DF8D37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3BA8964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2.00 </w:t>
            </w:r>
          </w:p>
        </w:tc>
      </w:tr>
      <w:tr w14:paraId="15479E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3AA1E18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3FAFAB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茶几</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FC7D42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471CE0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2C36D8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40D64C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F74C02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东701（国库支付中心）</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043D898">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AE0FBD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4CF287D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r>
      <w:tr w14:paraId="7C52F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0B2EF80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17DF47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茶几</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BA1FFF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BFB592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9C057C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ED9A72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0E9A53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南715</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F929AD5">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4A01F4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532AC12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r>
      <w:tr w14:paraId="7166B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1E83CC7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家具和用具/家具/沙发类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E3385D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三人位沙发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93D517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ACCAFD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8F54D2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3DB694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390E8E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南715</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F846986">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78E291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4B13E8F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r>
      <w:tr w14:paraId="6DD7D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7B7D773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家具和用具/家具/椅凳类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F4754C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会议椅</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DB61AF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BB1B98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AA5A47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AE5F5C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726A9B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南715</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7197684">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73E7C4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7893A840">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2.00 </w:t>
            </w:r>
          </w:p>
        </w:tc>
      </w:tr>
      <w:tr w14:paraId="4BAAC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52C7320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家具和用具/家具/椅凳类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8D757A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办公椅</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F314FA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3.00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8596F6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17C59B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C99C3C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05166E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南715</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A181064">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0C3F21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634D1140">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3.00 </w:t>
            </w:r>
          </w:p>
        </w:tc>
      </w:tr>
      <w:tr w14:paraId="5F953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64B517D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家具和用具/家具/沙发类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277219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三人位沙发</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60BAAB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7CC1BE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20F33E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A86776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FD51DD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南716</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858E1F3">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C9529E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35C9C2F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r>
      <w:tr w14:paraId="6A8B6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3922212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5CA625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台式电脑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4A79A5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11A6AB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066D44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4423F8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F054CB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南716</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ADE7024">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1D88C3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3F29D25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r>
      <w:tr w14:paraId="1CAA8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1FDC03B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家具和用具/家具/椅凳类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0ED155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会议椅</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8DE9AC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3.00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196C09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3CCD81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EFF295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823666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南716</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72198B4">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9D107E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7CF78EC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3.00 </w:t>
            </w:r>
          </w:p>
        </w:tc>
      </w:tr>
      <w:tr w14:paraId="53E1DB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4E1567B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家具和用具/家具/椅凳类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D6C090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办公椅</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C1839A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3.00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52854A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FBBB87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878314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474130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南716</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44249E8">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1F7CBE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5BCD616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3.00 </w:t>
            </w:r>
          </w:p>
        </w:tc>
      </w:tr>
      <w:tr w14:paraId="11EEBC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2C21A14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FAEDAB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茶几</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07DA84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CB49A4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E8C26B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69EB0E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2801C8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南716</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21D09CB">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E212E7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3DC80CC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r>
      <w:tr w14:paraId="2C193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1B2CABE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家具和用具/家具/沙发类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710955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三人位沙发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2A3C5B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77EBEB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CADB8C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7AF6E5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27AF97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南718</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48BF0D4">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DC3DE4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03F0961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r>
      <w:tr w14:paraId="2C9A5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039CAB6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家具和用具/家具/椅凳类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FEC83D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会议椅</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007FA9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3.00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83C848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94A8B2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8A2A89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CC7B15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南718</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663E697">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BFAF7D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754FECC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3.00 </w:t>
            </w:r>
          </w:p>
        </w:tc>
      </w:tr>
      <w:tr w14:paraId="00A5A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5C9B666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家具和用具/家具/椅凳类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11E26E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办公椅</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3B6BEB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E652AF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E3A9DF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72C9FA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A157AB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南718</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732A450">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981D59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2F7A5F1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r>
      <w:tr w14:paraId="796B4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76210A6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C95749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茶几</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304A88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148FC1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BBC717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51FEBC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DF9A18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南718</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CDEBE8B">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B91413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3BEC9BA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r>
      <w:tr w14:paraId="4693A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324D6D8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6EF37D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台式电脑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68BD97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2B2826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36246C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2D52B1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1B0E10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南718</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61D9661">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8919DA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37E9FAA0">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r>
      <w:tr w14:paraId="24D99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554F3CC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家具和用具/家具/沙发类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42BE70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三人位沙发</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D4B20D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9B7822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C189A2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8FB2DE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DA419E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南719</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06926F7">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80F3D2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4D0B9F5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r>
      <w:tr w14:paraId="3848B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1D64F42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654B83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茶几</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04A48C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113124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E99A9E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17F7DE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69C307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南719</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DA1D0C7">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048CB7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43CB4FF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2.00 </w:t>
            </w:r>
          </w:p>
        </w:tc>
      </w:tr>
      <w:tr w14:paraId="7092A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19CCEFD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家具和用具/家具/椅凳类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E9C004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会议椅</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32A3E7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68C852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56B1F0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D794E6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A1394A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南719</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417634C">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B99B2C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0453CD3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r>
      <w:tr w14:paraId="0F0E6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40BF83F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家具和用具/家具/椅凳类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8D952D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办公椅</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45B4DE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4.00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5B3D7D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F3BAA9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D2364F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2221E0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南719</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DB47C45">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A6730B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10FF8BE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4.00 </w:t>
            </w:r>
          </w:p>
        </w:tc>
      </w:tr>
      <w:tr w14:paraId="14E7E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6512F45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34E986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茶几</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88E7EA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094B82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390D8E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3C83D1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7FE68A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南720</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BEE50D3">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437875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6D4E9D3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2.00 </w:t>
            </w:r>
          </w:p>
        </w:tc>
      </w:tr>
      <w:tr w14:paraId="64C5C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7E5F9F2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家具和用具/家具/沙发类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8D964B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三人位沙发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0A8C5F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747B97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D479BA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8400F0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93F807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南720</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AC9AC7D">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1B2DFD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1B94DE8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r>
      <w:tr w14:paraId="7E599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6C75D47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家具和用具/家具/椅凳类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D603E5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会议椅</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74949D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5C35E6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0D00A4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BAEE6C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815705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南720</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76EF412">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965D89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56D86D0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2.00 </w:t>
            </w:r>
          </w:p>
        </w:tc>
      </w:tr>
      <w:tr w14:paraId="36551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70778E5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家具和用具/家具/椅凳类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3E1EAC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办公椅</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14FBEB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35D969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F42BCD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B2638D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437AE3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南720</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E0AFC23">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89198B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5378C9C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r>
      <w:tr w14:paraId="46BC9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4AB315F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B27CA5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台式电脑</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9DF776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31D51B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BA0C0D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C1FFF3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8FB8C8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南720</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63662F8">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D34EB5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271D166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r>
      <w:tr w14:paraId="7FD52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505EE73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家具和用具/家具/沙发类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743373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三人位沙发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CEDCD5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472B01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3D883E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968E09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C59868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南721</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51D0B93">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8EB0B4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3230EF1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r>
      <w:tr w14:paraId="2476B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3CA3817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家具和用具/家具/椅凳类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530AF4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会议椅</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FF7B77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C24B20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22A1DE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575051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200805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南721</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02C9DAC">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406FA2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4487D86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2.00 </w:t>
            </w:r>
          </w:p>
        </w:tc>
      </w:tr>
      <w:tr w14:paraId="721EF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5533CA8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家具和用具/家具/椅凳类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5EF9EC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办公椅</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7A90A3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E519F9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019609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459BE9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B81C96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南721</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17CEBB1">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E60169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7590AE8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2.00 </w:t>
            </w:r>
          </w:p>
        </w:tc>
      </w:tr>
      <w:tr w14:paraId="1E406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771F5C2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设备/信息化设备/计算机/移动工作站</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5D0D2D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台式电脑</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4F30A1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3EAF86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2881B9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018475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6F771D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南721</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A4CE724">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52E63A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1586581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r>
      <w:tr w14:paraId="26FD7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5DE7C88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家具和用具/家具/沙发类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87A19C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三人位沙发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F6B4D0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C965CC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A4A190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DEA089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9868EB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南722</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48D3458">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DFF255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11B5087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r>
      <w:tr w14:paraId="69319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3FA272D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9DEA25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茶几</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336B94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203481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4A3F5E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C558B8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71E72C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南722</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1D684DB">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25EA7B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790B020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r>
      <w:tr w14:paraId="29306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70E7EB2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家具和用具/家具/椅凳类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1652CB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会议椅</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4F80C0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C51067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3806F4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298D4D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7B0CDC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南722</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2569BDE">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ECF7BC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0E1CE06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2.00 </w:t>
            </w:r>
          </w:p>
        </w:tc>
      </w:tr>
      <w:tr w14:paraId="692CA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6B515A4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家具和用具/家具/椅凳类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0AB2A6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办公椅</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50DB01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49D2CE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68ADF0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D5C008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D96FF3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南722</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9DABE4E">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DF4F9D0">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00B2A13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2.00 </w:t>
            </w:r>
          </w:p>
        </w:tc>
      </w:tr>
      <w:tr w14:paraId="5B9122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0413762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家具和用具/家具/沙发类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D2CC90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三人位沙发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B39335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959383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89A5EC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D33711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BCF639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南723</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2AA1972">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3BBA98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1E5F33D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r>
      <w:tr w14:paraId="7AC4C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5163B36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B521A1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茶几</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6A09AB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347BD9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53C3CB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681B1F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2E6E4E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南723</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18D767E">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F8E930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7FBC639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2.00 </w:t>
            </w:r>
          </w:p>
        </w:tc>
      </w:tr>
      <w:tr w14:paraId="342F0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2CA247A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家具和用具/家具/椅凳类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26AE5C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会议椅</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8965FF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D90322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930E76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C2B1B6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41FC83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南723</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07E7DE1">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53C266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091E77F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r>
      <w:tr w14:paraId="290CF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5FAFF97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设备/办公设备/文印设备/速印机</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E3569E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碎纸机</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54E510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FA2232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6CA66D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965E97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66851F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南723</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B8EE9F1">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204522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596DB5E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r>
      <w:tr w14:paraId="31BB5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00DEEB0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家具和用具/家具/椅凳类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1F6301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办公椅</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A72F55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3.00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5EF83B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E1692C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113EF7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8A09C5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南723</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965F717">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9D32EA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3E07C2C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3.00 </w:t>
            </w:r>
          </w:p>
        </w:tc>
      </w:tr>
      <w:tr w14:paraId="0B106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4871D2F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家具和用具/家具/沙发类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7C0765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三人位沙发</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E7FC55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16ADBE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E4A619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C46CE0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1171AA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南724</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08DB787">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CDE22C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18DA633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r>
      <w:tr w14:paraId="56E80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69B7760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家具和用具/家具/椅凳类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8CCACF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办公椅</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9B1235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3.00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AA01C4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413C36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C09636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905C68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南724</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EA486D6">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33589E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50AFFE1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3.00 </w:t>
            </w:r>
          </w:p>
        </w:tc>
      </w:tr>
      <w:tr w14:paraId="67088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1C94072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家具和用具/家具/椅凳类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90B6A0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办公椅</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7E86E8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4.00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2D1668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38D952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92A481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55CF6F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南726</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0942752">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2585C0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5EABE50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4.00 </w:t>
            </w:r>
          </w:p>
        </w:tc>
      </w:tr>
      <w:tr w14:paraId="515D1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47F0F03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家具和用具/家具/椅凳类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8021AE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会议椅</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78F9A8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70D769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EF6B79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3A8786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EE63FF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南726</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BF0FC2E">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0DB54E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14AB7C8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r>
      <w:tr w14:paraId="1B40F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31870AB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家具和用具/家具/椅凳类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FBB51B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大班椅</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B41F55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EC91E4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7A9A20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47256A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3C4146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南727</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E8A8187">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6B4F0A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013FAD4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r>
      <w:tr w14:paraId="79AD7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7A0C715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设备/办公设备/文印设备/速印机</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70DD74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碎纸机</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BF8F98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503E9E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CD55A5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C746F9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D71E5A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南727</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2D29A97">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67B2F4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0347438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r>
      <w:tr w14:paraId="546FF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3171CAF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家具和用具/家具/椅凳类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FCF19E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会议椅</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8A8905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820593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06C37C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36D95B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2E85D7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南727</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5BD722B">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F87C2B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5E20F0D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2.00 </w:t>
            </w:r>
          </w:p>
        </w:tc>
      </w:tr>
      <w:tr w14:paraId="5B749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24E9D26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家具和用具/家具/沙发类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6092A9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三人位沙发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E47F87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5FA92F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8E5050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44FF21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93AABA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南728</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3D58D1F">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4BC436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6828A6D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2.00 </w:t>
            </w:r>
          </w:p>
        </w:tc>
      </w:tr>
      <w:tr w14:paraId="445143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73DEED1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765525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茶几</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8BF981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D1F285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52201A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1A3FEF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274FBB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南728</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93EED2B">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783090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716FE21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r>
      <w:tr w14:paraId="04DD7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0A67883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家具和用具/家具/椅凳类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F6F572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会议椅</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595CC5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4.00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D42D44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1E3578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143135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DCB775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南728</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FA30396">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E3876B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111098E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4.00 </w:t>
            </w:r>
          </w:p>
        </w:tc>
      </w:tr>
      <w:tr w14:paraId="1C8EA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5319271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家具和用具/家具/椅凳类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6E1B05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办公椅</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003AC9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EDD521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F0C65C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3A1707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EFED70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南728</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916A5BC">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FF98E5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4717661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r>
      <w:tr w14:paraId="3CFD1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0435222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家具和用具/家具/沙发类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3DCD0C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皮沙发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3C236F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AC0EBB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60E202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D40703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0C274E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南729</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E2B0F95">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5C2A660">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607E3A7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r>
      <w:tr w14:paraId="62D78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5F6192B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家具和用具/家具/椅凳类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BDFDB7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办公椅</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AA7A96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365D18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EA64CB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CBB14E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2D5FB3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南729</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A3D6F0C">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F289AB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0A08171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2.00 </w:t>
            </w:r>
          </w:p>
        </w:tc>
      </w:tr>
      <w:tr w14:paraId="5FA8C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5EE0FB2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家具和用具/家具/椅凳类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1BA24A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藤椅</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BC73BC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70B221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9D3A26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161CE3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1E86B7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南729</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FC18B35">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B61C42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580536D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r>
      <w:tr w14:paraId="46900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20B61A3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家具和用具/家具/沙发类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23E20B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皮沙发</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F1DCDF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D135D2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7C1C05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20D14B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CC580E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南730</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3D42764">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37FDEC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2B3BA3C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2.00 </w:t>
            </w:r>
          </w:p>
        </w:tc>
      </w:tr>
      <w:tr w14:paraId="168AC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5D9C9CA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家具和用具/家具/椅凳类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884649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办公椅</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0B051D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FAD2CD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A4AB32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790E66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04CDBF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南730</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5C228AC">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C04B81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17949A2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2.00 </w:t>
            </w:r>
          </w:p>
        </w:tc>
      </w:tr>
      <w:tr w14:paraId="694F5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5655D57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D4F11A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茶几</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06F0FF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8EA931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5CBECA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F7F8FA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ED71B1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南731</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EC8A8D6">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F2D8BA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5578512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2.00 </w:t>
            </w:r>
          </w:p>
        </w:tc>
      </w:tr>
      <w:tr w14:paraId="01556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4ADD946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家具和用具/家具/沙发类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D4DBDB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三人位沙发</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E18551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57B0B2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020AA2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C7929B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D85DBD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南731</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9DA00D9">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A6BD70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76BEF16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2.00 </w:t>
            </w:r>
          </w:p>
        </w:tc>
      </w:tr>
      <w:tr w14:paraId="485C0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087C657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99D1CF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会议桌</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03CAFA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48E398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F281E9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4D4D46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02EC14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东704</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762403E">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04133C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5DEF3F8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r>
      <w:tr w14:paraId="40925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38CABF1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家具和用具/家具/椅凳类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A43376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会议椅</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C2433C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31.00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937E7E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0C6909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A89C15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DFE3BE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东704</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DF38D30">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31.00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CE9F1F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3BF126B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31.00 </w:t>
            </w:r>
          </w:p>
        </w:tc>
      </w:tr>
      <w:tr w14:paraId="0CCBE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2A680C4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8807CA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茶水柜</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6FF2AD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C222EA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013AE8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29ECC1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32AC9F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东704</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D0CB4B5">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8010F6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0CC7D68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r>
      <w:tr w14:paraId="57147E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26F5107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F7AC9D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小方几</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9568EB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3.00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6A2BEA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3F65D0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EECA10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2F3343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东704</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BD89C49">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E483E0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0AEA35B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3.00 </w:t>
            </w:r>
          </w:p>
        </w:tc>
      </w:tr>
      <w:tr w14:paraId="7D546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32ADA95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家具和用具/家具/椅凳类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8F0007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会议椅</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7E00D40">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8A1EC2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812E90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D5EA7E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2E4841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南725</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473125F">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57D6AE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1CD55FD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r>
      <w:tr w14:paraId="37BE3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5E562EE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E11A91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茶几</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359AE6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015BF8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8ACE5E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980DE7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2E78A8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南725</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F7617FB">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C8092A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4346465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r>
      <w:tr w14:paraId="3219D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2C220FA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家具和用具/家具/沙发类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5DD6A1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布艺沙发</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3D4C90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8CDD30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32E2C9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7F489F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D39740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南725</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27E5B6E">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E6B542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0ABD560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r>
      <w:tr w14:paraId="5933F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6099D78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家具和用具/家具/台、桌类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12F960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会议桌</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40658D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52837E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E71794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183617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816685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东705</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2CA5CC7">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B74922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485E303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r>
      <w:tr w14:paraId="0EC81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11A4302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家具和用具/家具/椅凳类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FC4722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会议椅</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4135FE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31.00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496238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E0C046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AB14B9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60479A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东705</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302AC2F">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31.00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1C13CA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6DDD608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31.00 </w:t>
            </w:r>
          </w:p>
        </w:tc>
      </w:tr>
      <w:tr w14:paraId="1A989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557AE55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家具和用具/家具/椅凳类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3181D2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会议椅</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DF5BB4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999A41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D50FD0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222AA4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880D37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南717</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B210214">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312444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5A56D1B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2.00 </w:t>
            </w:r>
          </w:p>
        </w:tc>
      </w:tr>
      <w:tr w14:paraId="1AAD4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0759034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家具和用具/家具/椅凳类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7C9A47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办公椅</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4E9B03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C89238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7841A7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资产配置/盘盈</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2F2DA8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2022-02-01</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164555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南717</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67DB833">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ACFF660">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7D77D02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 </w:t>
            </w:r>
          </w:p>
        </w:tc>
      </w:tr>
      <w:tr w14:paraId="0AC8D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17DDDAC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设备/办公设备/其他办公设备</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0EF0A8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奔图激光打印机</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08B8F4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98BB7B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A52392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59E40B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2022-05-05</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921C55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南717</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994B739">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2,400.00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5ED2B5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1,266.54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5403C57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1,133.46 </w:t>
            </w:r>
          </w:p>
        </w:tc>
      </w:tr>
      <w:tr w14:paraId="4C34C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2AB3D27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家具和用具/家具/柜类/文件柜</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59671B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文件柜</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D2E0E3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C13223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个</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1CCA6D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3C03E6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2022-05-05</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FA49D4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南726</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3811554">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950.00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FCA4F9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200.64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7322C1E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749.36 </w:t>
            </w:r>
          </w:p>
        </w:tc>
      </w:tr>
      <w:tr w14:paraId="525AB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279C6D9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家具和用具/家具/柜类/文件柜</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E79F4B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保密文件柜</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1BE55B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C47572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C48C01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697653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2022-06-08</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A17AEB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南717</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C3C877B">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3,380.80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1FA928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694.86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6F66AED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2,685.94 </w:t>
            </w:r>
          </w:p>
        </w:tc>
      </w:tr>
      <w:tr w14:paraId="71D6F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25F4F77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设备/办公设备/其他办公设备</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673C2C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装订机</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64C79D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9AE751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57264E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C01A95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2022-06-08</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5C6202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南726</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BED3787">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879.71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951C3A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452.14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1D80F13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427.57 </w:t>
            </w:r>
          </w:p>
        </w:tc>
      </w:tr>
      <w:tr w14:paraId="7E165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145469E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家具和用具/家具/柜类/文件柜</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3C2DCC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文件柜</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E2C10A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7B61A3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4E2BF4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852AFE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2022-06-08</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1ABEDE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南730</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15D13C4">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1,500.00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BF2FCD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308.21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1D509F7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1,191.79 </w:t>
            </w:r>
          </w:p>
        </w:tc>
      </w:tr>
      <w:tr w14:paraId="566E1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551CC83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家具和用具/家具/柜类/文件柜</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BB92C5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文件柜</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5A092F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45C139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ACE1C3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88B359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2022-09-07</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F635F9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东701</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A868356">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2,000.00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2EBE0E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377.74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7E52DA2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1,622.26 </w:t>
            </w:r>
          </w:p>
        </w:tc>
      </w:tr>
      <w:tr w14:paraId="617A29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3E2B9CE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家具和用具/家具/柜类/文件柜</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40C86C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文件柜</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693C7C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EB1893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554EC1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57146B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2022-09-07</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EA805A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南720</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5B13FB8">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4EC5A3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189.04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151F5C2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810.96 </w:t>
            </w:r>
          </w:p>
        </w:tc>
      </w:tr>
      <w:tr w14:paraId="544C9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5DBC3DF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EA25EB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书柜</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F73E60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EA4FDF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3D7416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C100BE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2022-09-07</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9A1A71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南726</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1628AB7">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1,200.00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07697E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226.78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1CE4561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973.22 </w:t>
            </w:r>
          </w:p>
        </w:tc>
      </w:tr>
      <w:tr w14:paraId="15EE8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3A40010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C2CB17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书柜</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1CFD3C3">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485EA8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024D12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96C54C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2022-09-07</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B052BE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南720</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7059C37">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1,200.00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9677480">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226.78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078F4D50">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973.22 </w:t>
            </w:r>
          </w:p>
        </w:tc>
      </w:tr>
      <w:tr w14:paraId="56B20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3F9D7E3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AEFA21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书柜</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C3C714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5582D6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7CA6E8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614F2C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2022-09-07</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2FE27B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东701</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94FE1CF">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2,400.00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73CA0F0">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453.22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18A6C35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1,946.78 </w:t>
            </w:r>
          </w:p>
        </w:tc>
      </w:tr>
      <w:tr w14:paraId="0C73C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5BD5AA2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家具和用具/家具/柜类/文件柜</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B83241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文件柜</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119193B">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51FB2A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01830A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6E1A6C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2022-09-07</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215C13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南721</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12D19C3">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572DD8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189.04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5E3DDA0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810.96 </w:t>
            </w:r>
          </w:p>
        </w:tc>
      </w:tr>
      <w:tr w14:paraId="7C6BE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29A31F4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B9F6E1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书柜</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F11F532">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FE9066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4C1475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723BB6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2022-09-07</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6037F6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南728</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9727015">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1,200.00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87B277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226.78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007245F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973.22 </w:t>
            </w:r>
          </w:p>
        </w:tc>
      </w:tr>
      <w:tr w14:paraId="120EF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48935A0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02AD0D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书柜</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35C8B6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1E87F0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D78524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2D5099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2022-09-07</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2CC936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南715</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5EB4C43">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1,200.00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76899BC">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226.78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35B147D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973.22 </w:t>
            </w:r>
          </w:p>
        </w:tc>
      </w:tr>
      <w:tr w14:paraId="1D85A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1C4B307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家具和用具/家具/柜类/文件柜</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C4BE26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文件柜</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FADF3A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F75658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B877DC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0C5607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2022-09-07</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264C2B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南728</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D705E04">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AF08E9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189.04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3FF852D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810.96 </w:t>
            </w:r>
          </w:p>
        </w:tc>
      </w:tr>
      <w:tr w14:paraId="4EFAD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232AD63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家具和用具/家具/柜类/文件柜</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EDB46C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文件柜</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C139DC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A0434C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60AE33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71A4D9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2022-09-07</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152592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南715</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2F3129E">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009B590">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189.04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3384B49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810.96 </w:t>
            </w:r>
          </w:p>
        </w:tc>
      </w:tr>
      <w:tr w14:paraId="5EC0F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1A0A7FF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家具和用具/家具/柜类/文件柜</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43C114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文件柜</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5B9E929">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63DF4AA">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AAC6BC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22DFE27">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2022-09-07</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431EF1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南726</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54A25D09">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61CC57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189.04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1068449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810.96 </w:t>
            </w:r>
          </w:p>
        </w:tc>
      </w:tr>
      <w:tr w14:paraId="6E37D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052BB0D8">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FAC018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书柜</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8065964">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6103E1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294270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925E84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2022-09-07</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6862CA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南721</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27CE9E9">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1,200.00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74CA7F5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226.78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5121747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973.22 </w:t>
            </w:r>
          </w:p>
        </w:tc>
      </w:tr>
      <w:tr w14:paraId="17C93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3C37CF1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家具和用具/家具/柜类/其他柜类</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2A42E28D">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书柜</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539886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B8527C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0C8C07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4420474">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2022-09-07</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A65CBE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南718</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7D241BE2">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1,200.00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6115B6E">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226.78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0C3C3D6A">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973.22 </w:t>
            </w:r>
          </w:p>
        </w:tc>
      </w:tr>
      <w:tr w14:paraId="355A1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02E0F2D0">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家具和用具/家具/柜类/文件柜</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D33768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文件柜</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4D36835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4967473">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件</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0810C0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659A06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2022-09-07</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0FD0B0F">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南718</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2F120120">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1,000.00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6299B86D">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183.48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59381E86">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816.52 </w:t>
            </w:r>
          </w:p>
        </w:tc>
      </w:tr>
      <w:tr w14:paraId="6F360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DCE6F1" w:fill="DCE6F1"/>
            <w:noWrap/>
            <w:vAlign w:val="center"/>
          </w:tcPr>
          <w:p w14:paraId="074721D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设备/通信设备/视频会议系统设备/其他视频会议系统设 备</w:t>
            </w:r>
          </w:p>
        </w:tc>
        <w:tc>
          <w:tcPr>
            <w:tcW w:w="751"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F34F461">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会议室音频设备</w:t>
            </w:r>
          </w:p>
        </w:tc>
        <w:tc>
          <w:tcPr>
            <w:tcW w:w="655"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EB3893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603054CD">
            <w:pPr>
              <w:jc w:val="left"/>
              <w:rPr>
                <w:rFonts w:hint="default" w:ascii="Calibri" w:hAnsi="Calibri" w:cs="Calibri"/>
                <w:i w:val="0"/>
                <w:iCs w:val="0"/>
                <w:color w:val="000000"/>
                <w:sz w:val="24"/>
                <w:szCs w:val="24"/>
                <w:u w:val="none"/>
              </w:rPr>
            </w:pPr>
          </w:p>
        </w:tc>
        <w:tc>
          <w:tcPr>
            <w:tcW w:w="76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0A11FB6">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41387F2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2022-11-15</w:t>
            </w:r>
          </w:p>
        </w:tc>
        <w:tc>
          <w:tcPr>
            <w:tcW w:w="450"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3928737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东705</w:t>
            </w:r>
          </w:p>
        </w:tc>
        <w:tc>
          <w:tcPr>
            <w:tcW w:w="1569"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05495329">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24,450.00 </w:t>
            </w:r>
          </w:p>
        </w:tc>
        <w:tc>
          <w:tcPr>
            <w:tcW w:w="1513" w:type="dxa"/>
            <w:tcBorders>
              <w:top w:val="single" w:color="95B3D7" w:sz="4" w:space="0"/>
              <w:left w:val="single" w:color="95B3D7" w:sz="4" w:space="0"/>
              <w:bottom w:val="single" w:color="95B3D7" w:sz="4" w:space="0"/>
              <w:right w:val="single" w:color="95B3D7" w:sz="4" w:space="0"/>
            </w:tcBorders>
            <w:shd w:val="clear" w:color="DCE6F1" w:fill="DCE6F1"/>
            <w:noWrap/>
            <w:vAlign w:val="center"/>
          </w:tcPr>
          <w:p w14:paraId="1834683F">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13,040.00 </w:t>
            </w:r>
          </w:p>
        </w:tc>
        <w:tc>
          <w:tcPr>
            <w:tcW w:w="1391" w:type="dxa"/>
            <w:tcBorders>
              <w:top w:val="single" w:color="95B3D7" w:sz="4" w:space="0"/>
              <w:left w:val="single" w:color="95B3D7" w:sz="4" w:space="0"/>
              <w:bottom w:val="single" w:color="95B3D7" w:sz="4" w:space="0"/>
              <w:right w:val="single" w:color="4F81BD" w:sz="4" w:space="0"/>
            </w:tcBorders>
            <w:shd w:val="clear" w:color="DCE6F1" w:fill="DCE6F1"/>
            <w:noWrap/>
            <w:vAlign w:val="center"/>
          </w:tcPr>
          <w:p w14:paraId="627BFE07">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11,410.00 </w:t>
            </w:r>
          </w:p>
        </w:tc>
      </w:tr>
      <w:tr w14:paraId="4CE33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95B3D7" w:sz="4" w:space="0"/>
              <w:right w:val="single" w:color="95B3D7" w:sz="4" w:space="0"/>
            </w:tcBorders>
            <w:shd w:val="clear" w:color="auto" w:fill="auto"/>
            <w:noWrap/>
            <w:vAlign w:val="center"/>
          </w:tcPr>
          <w:p w14:paraId="0AF4AA15">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设备/办公设备/文印设备/速印机</w:t>
            </w:r>
          </w:p>
        </w:tc>
        <w:tc>
          <w:tcPr>
            <w:tcW w:w="751"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59941A02">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碎纸机</w:t>
            </w:r>
          </w:p>
        </w:tc>
        <w:tc>
          <w:tcPr>
            <w:tcW w:w="655"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13FFF311">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658"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7C0400C">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台</w:t>
            </w:r>
          </w:p>
        </w:tc>
        <w:tc>
          <w:tcPr>
            <w:tcW w:w="76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3859EEB">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资产配置/购置</w:t>
            </w:r>
          </w:p>
        </w:tc>
        <w:tc>
          <w:tcPr>
            <w:tcW w:w="1397"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60AD8EE">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2022-12-26</w:t>
            </w:r>
          </w:p>
        </w:tc>
        <w:tc>
          <w:tcPr>
            <w:tcW w:w="450"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11269F9">
            <w:pPr>
              <w:keepNext w:val="0"/>
              <w:keepLines w:val="0"/>
              <w:widowControl/>
              <w:suppressLineNumbers w:val="0"/>
              <w:jc w:val="lef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南726</w:t>
            </w:r>
          </w:p>
        </w:tc>
        <w:tc>
          <w:tcPr>
            <w:tcW w:w="1569"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05B42618">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1,599.00 </w:t>
            </w:r>
          </w:p>
        </w:tc>
        <w:tc>
          <w:tcPr>
            <w:tcW w:w="1513" w:type="dxa"/>
            <w:tcBorders>
              <w:top w:val="single" w:color="95B3D7" w:sz="4" w:space="0"/>
              <w:left w:val="single" w:color="95B3D7" w:sz="4" w:space="0"/>
              <w:bottom w:val="single" w:color="95B3D7" w:sz="4" w:space="0"/>
              <w:right w:val="single" w:color="95B3D7" w:sz="4" w:space="0"/>
            </w:tcBorders>
            <w:shd w:val="clear" w:color="auto" w:fill="auto"/>
            <w:noWrap/>
            <w:vAlign w:val="center"/>
          </w:tcPr>
          <w:p w14:paraId="3B42F4C5">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688.51 </w:t>
            </w:r>
          </w:p>
        </w:tc>
        <w:tc>
          <w:tcPr>
            <w:tcW w:w="1391" w:type="dxa"/>
            <w:tcBorders>
              <w:top w:val="single" w:color="95B3D7" w:sz="4" w:space="0"/>
              <w:left w:val="single" w:color="95B3D7" w:sz="4" w:space="0"/>
              <w:bottom w:val="single" w:color="95B3D7" w:sz="4" w:space="0"/>
              <w:right w:val="single" w:color="4F81BD" w:sz="4" w:space="0"/>
            </w:tcBorders>
            <w:shd w:val="clear" w:color="auto" w:fill="auto"/>
            <w:noWrap/>
            <w:vAlign w:val="center"/>
          </w:tcPr>
          <w:p w14:paraId="669A71A8">
            <w:pPr>
              <w:keepNext w:val="0"/>
              <w:keepLines w:val="0"/>
              <w:widowControl/>
              <w:suppressLineNumbers w:val="0"/>
              <w:jc w:val="right"/>
              <w:textAlignment w:val="center"/>
              <w:rPr>
                <w:rFonts w:hint="default" w:ascii="Calibri" w:hAnsi="Calibri"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 xml:space="preserve"> 910.49 </w:t>
            </w:r>
          </w:p>
        </w:tc>
      </w:tr>
      <w:tr w14:paraId="21A0C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04" w:type="dxa"/>
            <w:tcBorders>
              <w:top w:val="single" w:color="95B3D7" w:sz="4" w:space="0"/>
              <w:left w:val="single" w:color="4F81BD" w:sz="4" w:space="0"/>
              <w:bottom w:val="single" w:color="4F81BD" w:sz="4" w:space="0"/>
              <w:right w:val="single" w:color="95B3D7" w:sz="4" w:space="0"/>
            </w:tcBorders>
            <w:shd w:val="clear" w:color="auto" w:fill="auto"/>
            <w:noWrap/>
            <w:vAlign w:val="center"/>
          </w:tcPr>
          <w:p w14:paraId="6667C56A">
            <w:pPr>
              <w:keepNext w:val="0"/>
              <w:keepLines w:val="0"/>
              <w:widowControl/>
              <w:suppressLineNumbers w:val="0"/>
              <w:jc w:val="left"/>
              <w:textAlignment w:val="center"/>
              <w:rPr>
                <w:rFonts w:hint="default" w:ascii="Calibri" w:hAnsi="Calibri" w:eastAsia="宋体" w:cs="Calibri"/>
                <w:i w:val="0"/>
                <w:iCs w:val="0"/>
                <w:color w:val="000000"/>
                <w:kern w:val="0"/>
                <w:sz w:val="24"/>
                <w:szCs w:val="24"/>
                <w:u w:val="none"/>
                <w:lang w:val="en-US" w:eastAsia="zh-CN" w:bidi="ar"/>
              </w:rPr>
            </w:pPr>
          </w:p>
        </w:tc>
        <w:tc>
          <w:tcPr>
            <w:tcW w:w="751" w:type="dxa"/>
            <w:tcBorders>
              <w:top w:val="single" w:color="95B3D7" w:sz="4" w:space="0"/>
              <w:left w:val="single" w:color="95B3D7" w:sz="4" w:space="0"/>
              <w:bottom w:val="single" w:color="4F81BD" w:sz="4" w:space="0"/>
              <w:right w:val="single" w:color="95B3D7" w:sz="4" w:space="0"/>
            </w:tcBorders>
            <w:shd w:val="clear" w:color="auto" w:fill="auto"/>
            <w:noWrap/>
            <w:vAlign w:val="center"/>
          </w:tcPr>
          <w:p w14:paraId="19A00CFA">
            <w:pPr>
              <w:keepNext w:val="0"/>
              <w:keepLines w:val="0"/>
              <w:widowControl/>
              <w:suppressLineNumbers w:val="0"/>
              <w:jc w:val="left"/>
              <w:textAlignment w:val="center"/>
              <w:rPr>
                <w:rFonts w:hint="default" w:ascii="Calibri" w:hAnsi="Calibri" w:eastAsia="宋体" w:cs="Calibri"/>
                <w:i w:val="0"/>
                <w:iCs w:val="0"/>
                <w:color w:val="000000"/>
                <w:kern w:val="0"/>
                <w:sz w:val="24"/>
                <w:szCs w:val="24"/>
                <w:u w:val="none"/>
                <w:lang w:val="en-US" w:eastAsia="zh-CN" w:bidi="ar"/>
              </w:rPr>
            </w:pPr>
          </w:p>
        </w:tc>
        <w:tc>
          <w:tcPr>
            <w:tcW w:w="655" w:type="dxa"/>
            <w:tcBorders>
              <w:top w:val="single" w:color="95B3D7" w:sz="4" w:space="0"/>
              <w:left w:val="single" w:color="95B3D7" w:sz="4" w:space="0"/>
              <w:bottom w:val="single" w:color="4F81BD" w:sz="4" w:space="0"/>
              <w:right w:val="single" w:color="95B3D7" w:sz="4" w:space="0"/>
            </w:tcBorders>
            <w:shd w:val="clear" w:color="auto" w:fill="auto"/>
            <w:noWrap/>
            <w:vAlign w:val="center"/>
          </w:tcPr>
          <w:p w14:paraId="6094DEEB">
            <w:pPr>
              <w:keepNext w:val="0"/>
              <w:keepLines w:val="0"/>
              <w:widowControl/>
              <w:suppressLineNumbers w:val="0"/>
              <w:jc w:val="right"/>
              <w:textAlignment w:val="center"/>
              <w:rPr>
                <w:rFonts w:hint="default" w:ascii="Calibri" w:hAnsi="Calibri" w:eastAsia="宋体" w:cs="Calibri"/>
                <w:i w:val="0"/>
                <w:iCs w:val="0"/>
                <w:color w:val="000000"/>
                <w:kern w:val="0"/>
                <w:sz w:val="24"/>
                <w:szCs w:val="24"/>
                <w:u w:val="none"/>
                <w:lang w:val="en-US" w:eastAsia="zh-CN" w:bidi="ar"/>
              </w:rPr>
            </w:pPr>
          </w:p>
        </w:tc>
        <w:tc>
          <w:tcPr>
            <w:tcW w:w="658" w:type="dxa"/>
            <w:tcBorders>
              <w:top w:val="single" w:color="95B3D7" w:sz="4" w:space="0"/>
              <w:left w:val="single" w:color="95B3D7" w:sz="4" w:space="0"/>
              <w:bottom w:val="single" w:color="4F81BD" w:sz="4" w:space="0"/>
              <w:right w:val="single" w:color="95B3D7" w:sz="4" w:space="0"/>
            </w:tcBorders>
            <w:shd w:val="clear" w:color="auto" w:fill="auto"/>
            <w:noWrap/>
            <w:vAlign w:val="center"/>
          </w:tcPr>
          <w:p w14:paraId="51C4D2AA">
            <w:pPr>
              <w:keepNext w:val="0"/>
              <w:keepLines w:val="0"/>
              <w:widowControl/>
              <w:suppressLineNumbers w:val="0"/>
              <w:jc w:val="left"/>
              <w:textAlignment w:val="center"/>
              <w:rPr>
                <w:rFonts w:hint="default" w:ascii="Calibri" w:hAnsi="Calibri" w:eastAsia="宋体" w:cs="Calibri"/>
                <w:i w:val="0"/>
                <w:iCs w:val="0"/>
                <w:color w:val="000000"/>
                <w:kern w:val="0"/>
                <w:sz w:val="24"/>
                <w:szCs w:val="24"/>
                <w:u w:val="none"/>
                <w:lang w:val="en-US" w:eastAsia="zh-CN" w:bidi="ar"/>
              </w:rPr>
            </w:pPr>
          </w:p>
        </w:tc>
        <w:tc>
          <w:tcPr>
            <w:tcW w:w="767" w:type="dxa"/>
            <w:tcBorders>
              <w:top w:val="single" w:color="95B3D7" w:sz="4" w:space="0"/>
              <w:left w:val="single" w:color="95B3D7" w:sz="4" w:space="0"/>
              <w:bottom w:val="single" w:color="4F81BD" w:sz="4" w:space="0"/>
              <w:right w:val="single" w:color="95B3D7" w:sz="4" w:space="0"/>
            </w:tcBorders>
            <w:shd w:val="clear" w:color="auto" w:fill="auto"/>
            <w:noWrap/>
            <w:vAlign w:val="center"/>
          </w:tcPr>
          <w:p w14:paraId="57A41129">
            <w:pPr>
              <w:keepNext w:val="0"/>
              <w:keepLines w:val="0"/>
              <w:widowControl/>
              <w:suppressLineNumbers w:val="0"/>
              <w:jc w:val="left"/>
              <w:textAlignment w:val="center"/>
              <w:rPr>
                <w:rFonts w:hint="default" w:ascii="Calibri" w:hAnsi="Calibri" w:eastAsia="宋体" w:cs="Calibri"/>
                <w:i w:val="0"/>
                <w:iCs w:val="0"/>
                <w:color w:val="000000"/>
                <w:kern w:val="0"/>
                <w:sz w:val="24"/>
                <w:szCs w:val="24"/>
                <w:u w:val="none"/>
                <w:lang w:val="en-US" w:eastAsia="zh-CN" w:bidi="ar"/>
              </w:rPr>
            </w:pPr>
          </w:p>
        </w:tc>
        <w:tc>
          <w:tcPr>
            <w:tcW w:w="1397" w:type="dxa"/>
            <w:tcBorders>
              <w:top w:val="single" w:color="95B3D7" w:sz="4" w:space="0"/>
              <w:left w:val="single" w:color="95B3D7" w:sz="4" w:space="0"/>
              <w:bottom w:val="single" w:color="4F81BD" w:sz="4" w:space="0"/>
              <w:right w:val="single" w:color="95B3D7" w:sz="4" w:space="0"/>
            </w:tcBorders>
            <w:shd w:val="clear" w:color="auto" w:fill="auto"/>
            <w:noWrap/>
            <w:vAlign w:val="center"/>
          </w:tcPr>
          <w:p w14:paraId="2BD95505">
            <w:pPr>
              <w:keepNext w:val="0"/>
              <w:keepLines w:val="0"/>
              <w:widowControl/>
              <w:suppressLineNumbers w:val="0"/>
              <w:jc w:val="left"/>
              <w:textAlignment w:val="center"/>
              <w:rPr>
                <w:rFonts w:hint="eastAsia" w:ascii="Calibri" w:hAnsi="Calibri" w:eastAsia="宋体" w:cs="Calibri"/>
                <w:i w:val="0"/>
                <w:iCs w:val="0"/>
                <w:color w:val="000000"/>
                <w:kern w:val="0"/>
                <w:sz w:val="24"/>
                <w:szCs w:val="24"/>
                <w:u w:val="none"/>
                <w:lang w:val="en-US" w:eastAsia="zh-CN" w:bidi="ar"/>
              </w:rPr>
            </w:pPr>
          </w:p>
          <w:p w14:paraId="21535A6B">
            <w:pPr>
              <w:keepNext w:val="0"/>
              <w:keepLines w:val="0"/>
              <w:widowControl/>
              <w:suppressLineNumbers w:val="0"/>
              <w:jc w:val="left"/>
              <w:textAlignment w:val="center"/>
              <w:rPr>
                <w:rFonts w:hint="default" w:ascii="Calibri" w:hAnsi="Calibri" w:eastAsia="宋体" w:cs="Calibri"/>
                <w:i w:val="0"/>
                <w:iCs w:val="0"/>
                <w:color w:val="000000"/>
                <w:kern w:val="0"/>
                <w:sz w:val="24"/>
                <w:szCs w:val="24"/>
                <w:u w:val="none"/>
                <w:lang w:val="en-US" w:eastAsia="zh-CN" w:bidi="ar"/>
              </w:rPr>
            </w:pPr>
            <w:r>
              <w:rPr>
                <w:rFonts w:hint="eastAsia" w:ascii="Calibri" w:hAnsi="Calibri" w:eastAsia="宋体" w:cs="Calibri"/>
                <w:i w:val="0"/>
                <w:iCs w:val="0"/>
                <w:color w:val="000000"/>
                <w:kern w:val="0"/>
                <w:sz w:val="24"/>
                <w:szCs w:val="24"/>
                <w:u w:val="none"/>
                <w:lang w:val="en-US" w:eastAsia="zh-CN" w:bidi="ar"/>
              </w:rPr>
              <w:t>合计</w:t>
            </w:r>
          </w:p>
        </w:tc>
        <w:tc>
          <w:tcPr>
            <w:tcW w:w="450" w:type="dxa"/>
            <w:tcBorders>
              <w:top w:val="single" w:color="95B3D7" w:sz="4" w:space="0"/>
              <w:left w:val="single" w:color="95B3D7" w:sz="4" w:space="0"/>
              <w:bottom w:val="single" w:color="4F81BD" w:sz="4" w:space="0"/>
              <w:right w:val="single" w:color="95B3D7" w:sz="4" w:space="0"/>
            </w:tcBorders>
            <w:shd w:val="clear" w:color="auto" w:fill="auto"/>
            <w:noWrap/>
            <w:vAlign w:val="center"/>
          </w:tcPr>
          <w:p w14:paraId="498A53EB">
            <w:pPr>
              <w:keepNext w:val="0"/>
              <w:keepLines w:val="0"/>
              <w:widowControl/>
              <w:suppressLineNumbers w:val="0"/>
              <w:jc w:val="left"/>
              <w:textAlignment w:val="center"/>
              <w:rPr>
                <w:rFonts w:hint="default" w:ascii="Calibri" w:hAnsi="Calibri" w:eastAsia="宋体" w:cs="Calibri"/>
                <w:i w:val="0"/>
                <w:iCs w:val="0"/>
                <w:color w:val="000000"/>
                <w:kern w:val="0"/>
                <w:sz w:val="24"/>
                <w:szCs w:val="24"/>
                <w:u w:val="none"/>
                <w:lang w:val="en-US" w:eastAsia="zh-CN" w:bidi="ar"/>
              </w:rPr>
            </w:pPr>
          </w:p>
        </w:tc>
        <w:tc>
          <w:tcPr>
            <w:tcW w:w="1569" w:type="dxa"/>
            <w:tcBorders>
              <w:top w:val="single" w:color="95B3D7" w:sz="4" w:space="0"/>
              <w:left w:val="single" w:color="95B3D7" w:sz="4" w:space="0"/>
              <w:bottom w:val="single" w:color="4F81BD" w:sz="4" w:space="0"/>
              <w:right w:val="single" w:color="95B3D7" w:sz="4" w:space="0"/>
            </w:tcBorders>
            <w:shd w:val="clear" w:color="auto" w:fill="auto"/>
            <w:noWrap/>
            <w:vAlign w:val="center"/>
          </w:tcPr>
          <w:p w14:paraId="30E012DF">
            <w:pPr>
              <w:keepNext w:val="0"/>
              <w:keepLines w:val="0"/>
              <w:widowControl/>
              <w:suppressLineNumbers w:val="0"/>
              <w:jc w:val="center"/>
              <w:textAlignment w:val="center"/>
              <w:rPr>
                <w:rFonts w:hint="default" w:ascii="Calibri" w:hAnsi="Calibri" w:eastAsia="宋体" w:cs="Calibri"/>
                <w:i w:val="0"/>
                <w:iCs w:val="0"/>
                <w:color w:val="000000"/>
                <w:kern w:val="0"/>
                <w:sz w:val="24"/>
                <w:szCs w:val="24"/>
                <w:u w:val="none"/>
                <w:lang w:val="en-US" w:eastAsia="zh-CN" w:bidi="ar"/>
              </w:rPr>
            </w:pPr>
          </w:p>
          <w:p w14:paraId="63DB13CF">
            <w:pPr>
              <w:keepNext w:val="0"/>
              <w:keepLines w:val="0"/>
              <w:widowControl/>
              <w:suppressLineNumbers w:val="0"/>
              <w:jc w:val="center"/>
              <w:textAlignment w:val="center"/>
              <w:rPr>
                <w:rFonts w:hint="default" w:ascii="Calibri" w:hAnsi="Calibri" w:eastAsia="宋体" w:cs="Calibri"/>
                <w:i w:val="0"/>
                <w:iCs w:val="0"/>
                <w:color w:val="000000"/>
                <w:kern w:val="0"/>
                <w:sz w:val="24"/>
                <w:szCs w:val="24"/>
                <w:u w:val="none"/>
                <w:lang w:val="en-US" w:eastAsia="zh-CN" w:bidi="ar"/>
              </w:rPr>
            </w:pPr>
            <w:r>
              <w:rPr>
                <w:rFonts w:hint="default" w:ascii="Calibri" w:hAnsi="Calibri" w:eastAsia="宋体" w:cs="Calibri"/>
                <w:i w:val="0"/>
                <w:iCs w:val="0"/>
                <w:color w:val="000000"/>
                <w:kern w:val="0"/>
                <w:sz w:val="24"/>
                <w:szCs w:val="24"/>
                <w:u w:val="none"/>
                <w:lang w:val="en-US" w:eastAsia="zh-CN" w:bidi="ar"/>
              </w:rPr>
              <w:t>1</w:t>
            </w:r>
            <w:r>
              <w:rPr>
                <w:rFonts w:hint="eastAsia" w:ascii="Calibri" w:hAnsi="Calibri" w:eastAsia="宋体" w:cs="Calibri"/>
                <w:i w:val="0"/>
                <w:iCs w:val="0"/>
                <w:color w:val="000000"/>
                <w:kern w:val="0"/>
                <w:sz w:val="24"/>
                <w:szCs w:val="24"/>
                <w:u w:val="none"/>
                <w:lang w:val="en-US" w:eastAsia="zh-CN" w:bidi="ar"/>
              </w:rPr>
              <w:t>,</w:t>
            </w:r>
            <w:r>
              <w:rPr>
                <w:rFonts w:hint="default" w:ascii="Calibri" w:hAnsi="Calibri" w:eastAsia="宋体" w:cs="Calibri"/>
                <w:i w:val="0"/>
                <w:iCs w:val="0"/>
                <w:color w:val="000000"/>
                <w:kern w:val="0"/>
                <w:sz w:val="24"/>
                <w:szCs w:val="24"/>
                <w:u w:val="none"/>
                <w:lang w:val="en-US" w:eastAsia="zh-CN" w:bidi="ar"/>
              </w:rPr>
              <w:t>277</w:t>
            </w:r>
            <w:r>
              <w:rPr>
                <w:rFonts w:hint="eastAsia" w:ascii="Calibri" w:hAnsi="Calibri" w:eastAsia="宋体" w:cs="Calibri"/>
                <w:i w:val="0"/>
                <w:iCs w:val="0"/>
                <w:color w:val="000000"/>
                <w:kern w:val="0"/>
                <w:sz w:val="24"/>
                <w:szCs w:val="24"/>
                <w:u w:val="none"/>
                <w:lang w:val="en-US" w:eastAsia="zh-CN" w:bidi="ar"/>
              </w:rPr>
              <w:t>,</w:t>
            </w:r>
            <w:r>
              <w:rPr>
                <w:rFonts w:hint="default" w:ascii="Calibri" w:hAnsi="Calibri" w:eastAsia="宋体" w:cs="Calibri"/>
                <w:i w:val="0"/>
                <w:iCs w:val="0"/>
                <w:color w:val="000000"/>
                <w:kern w:val="0"/>
                <w:sz w:val="24"/>
                <w:szCs w:val="24"/>
                <w:u w:val="none"/>
                <w:lang w:val="en-US" w:eastAsia="zh-CN" w:bidi="ar"/>
              </w:rPr>
              <w:t>669.01</w:t>
            </w:r>
          </w:p>
        </w:tc>
        <w:tc>
          <w:tcPr>
            <w:tcW w:w="1513" w:type="dxa"/>
            <w:tcBorders>
              <w:top w:val="single" w:color="95B3D7" w:sz="4" w:space="0"/>
              <w:left w:val="single" w:color="95B3D7" w:sz="4" w:space="0"/>
              <w:bottom w:val="single" w:color="4F81BD" w:sz="4" w:space="0"/>
              <w:right w:val="single" w:color="95B3D7" w:sz="4" w:space="0"/>
            </w:tcBorders>
            <w:shd w:val="clear" w:color="auto" w:fill="auto"/>
            <w:noWrap/>
            <w:vAlign w:val="center"/>
          </w:tcPr>
          <w:p w14:paraId="21461626">
            <w:pPr>
              <w:keepNext w:val="0"/>
              <w:keepLines w:val="0"/>
              <w:widowControl/>
              <w:suppressLineNumbers w:val="0"/>
              <w:jc w:val="right"/>
              <w:textAlignment w:val="center"/>
              <w:rPr>
                <w:rFonts w:hint="default" w:ascii="Calibri" w:hAnsi="Calibri" w:eastAsia="宋体" w:cs="Calibri"/>
                <w:i w:val="0"/>
                <w:iCs w:val="0"/>
                <w:color w:val="000000"/>
                <w:kern w:val="0"/>
                <w:sz w:val="24"/>
                <w:szCs w:val="24"/>
                <w:u w:val="none"/>
                <w:lang w:val="en-US" w:eastAsia="zh-CN" w:bidi="ar"/>
              </w:rPr>
            </w:pPr>
            <w:r>
              <w:rPr>
                <w:rFonts w:hint="default" w:ascii="Calibri" w:hAnsi="Calibri" w:eastAsia="宋体" w:cs="Calibri"/>
                <w:i w:val="0"/>
                <w:iCs w:val="0"/>
                <w:color w:val="000000"/>
                <w:kern w:val="0"/>
                <w:sz w:val="24"/>
                <w:szCs w:val="24"/>
                <w:u w:val="none"/>
                <w:lang w:val="en-US" w:eastAsia="zh-CN" w:bidi="ar"/>
              </w:rPr>
              <w:t xml:space="preserve"> 1,141,138.26 </w:t>
            </w:r>
          </w:p>
        </w:tc>
        <w:tc>
          <w:tcPr>
            <w:tcW w:w="1391" w:type="dxa"/>
            <w:tcBorders>
              <w:top w:val="single" w:color="95B3D7" w:sz="4" w:space="0"/>
              <w:left w:val="single" w:color="95B3D7" w:sz="4" w:space="0"/>
              <w:bottom w:val="single" w:color="4F81BD" w:sz="4" w:space="0"/>
              <w:right w:val="single" w:color="4F81BD" w:sz="4" w:space="0"/>
            </w:tcBorders>
            <w:shd w:val="clear" w:color="auto" w:fill="auto"/>
            <w:noWrap/>
            <w:vAlign w:val="center"/>
          </w:tcPr>
          <w:p w14:paraId="45D9B74C">
            <w:pPr>
              <w:keepNext w:val="0"/>
              <w:keepLines w:val="0"/>
              <w:widowControl/>
              <w:suppressLineNumbers w:val="0"/>
              <w:jc w:val="right"/>
              <w:textAlignment w:val="center"/>
              <w:rPr>
                <w:rFonts w:hint="default" w:ascii="Calibri" w:hAnsi="Calibri" w:eastAsia="宋体" w:cs="Calibri"/>
                <w:i w:val="0"/>
                <w:iCs w:val="0"/>
                <w:color w:val="000000"/>
                <w:kern w:val="0"/>
                <w:sz w:val="24"/>
                <w:szCs w:val="24"/>
                <w:u w:val="none"/>
                <w:lang w:val="en-US" w:eastAsia="zh-CN" w:bidi="ar"/>
              </w:rPr>
            </w:pPr>
            <w:r>
              <w:rPr>
                <w:rFonts w:hint="default" w:ascii="Calibri" w:hAnsi="Calibri" w:eastAsia="宋体" w:cs="Calibri"/>
                <w:i w:val="0"/>
                <w:iCs w:val="0"/>
                <w:color w:val="000000"/>
                <w:kern w:val="0"/>
                <w:sz w:val="24"/>
                <w:szCs w:val="24"/>
                <w:u w:val="none"/>
                <w:lang w:val="en-US" w:eastAsia="zh-CN" w:bidi="ar"/>
              </w:rPr>
              <w:t xml:space="preserve"> 136,530.75 </w:t>
            </w:r>
          </w:p>
        </w:tc>
      </w:tr>
    </w:tbl>
    <w:p w14:paraId="18BA6412">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楷体" w:hAnsi="楷体" w:eastAsia="楷体" w:cs="楷体"/>
          <w:b/>
          <w:bCs/>
          <w:sz w:val="32"/>
          <w:szCs w:val="32"/>
          <w:highlight w:val="none"/>
          <w:lang w:val="en-US" w:eastAsia="zh-CN"/>
        </w:rPr>
      </w:pPr>
    </w:p>
    <w:p w14:paraId="5786403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1"/>
        <w:rPr>
          <w:rFonts w:hint="eastAsia" w:ascii="楷体" w:hAnsi="楷体" w:eastAsia="楷体" w:cs="楷体"/>
          <w:b/>
          <w:bCs/>
          <w:sz w:val="32"/>
          <w:szCs w:val="32"/>
          <w:highlight w:val="none"/>
          <w:lang w:val="en-US" w:eastAsia="zh-CN"/>
        </w:rPr>
      </w:pPr>
      <w:bookmarkStart w:id="36" w:name="_Toc21907"/>
      <w:r>
        <w:rPr>
          <w:rFonts w:hint="eastAsia" w:ascii="楷体" w:hAnsi="楷体" w:eastAsia="楷体" w:cs="楷体"/>
          <w:b/>
          <w:bCs/>
          <w:sz w:val="32"/>
          <w:szCs w:val="32"/>
          <w:highlight w:val="none"/>
          <w:lang w:val="en-US" w:eastAsia="zh-CN"/>
        </w:rPr>
        <w:t>（八）厉行节约保障措施的执行情况及其政策效果</w:t>
      </w:r>
      <w:bookmarkEnd w:id="36"/>
    </w:p>
    <w:p w14:paraId="2CD7ABC0">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default" w:ascii="黑体" w:hAnsi="黑体" w:eastAsia="黑体" w:cs="黑体"/>
          <w:sz w:val="32"/>
          <w:szCs w:val="32"/>
          <w:highlight w:val="none"/>
          <w:lang w:val="en-US" w:eastAsia="zh-CN"/>
        </w:rPr>
      </w:pPr>
      <w:r>
        <w:rPr>
          <w:rFonts w:hint="eastAsia" w:ascii="仿宋" w:hAnsi="仿宋" w:eastAsia="仿宋" w:cs="仿宋"/>
          <w:b/>
          <w:bCs/>
          <w:sz w:val="32"/>
          <w:szCs w:val="32"/>
          <w:lang w:val="en-US" w:eastAsia="zh-CN"/>
        </w:rPr>
        <w:t>未提供</w:t>
      </w:r>
      <w:r>
        <w:rPr>
          <w:rFonts w:hint="eastAsia" w:ascii="仿宋" w:hAnsi="仿宋" w:eastAsia="仿宋" w:cs="仿宋"/>
          <w:b w:val="0"/>
          <w:bCs w:val="0"/>
          <w:sz w:val="32"/>
          <w:szCs w:val="32"/>
          <w:lang w:val="en-US" w:eastAsia="zh-CN"/>
        </w:rPr>
        <w:t>关于厉行节约保障措施的执行情况及其政策效果的工作总结。</w:t>
      </w:r>
    </w:p>
    <w:p w14:paraId="7E5B6A5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0"/>
        <w:rPr>
          <w:rFonts w:hint="eastAsia" w:ascii="楷体" w:hAnsi="楷体" w:eastAsia="楷体" w:cs="楷体"/>
          <w:b/>
          <w:bCs/>
          <w:sz w:val="32"/>
          <w:szCs w:val="32"/>
          <w:highlight w:val="none"/>
          <w:lang w:eastAsia="zh-CN"/>
        </w:rPr>
      </w:pPr>
      <w:bookmarkStart w:id="37" w:name="_Toc20218"/>
      <w:r>
        <w:rPr>
          <w:rFonts w:hint="eastAsia" w:ascii="黑体" w:hAnsi="黑体" w:eastAsia="黑体" w:cs="黑体"/>
          <w:sz w:val="32"/>
          <w:szCs w:val="32"/>
          <w:highlight w:val="none"/>
          <w:lang w:val="en-US" w:eastAsia="zh-CN"/>
        </w:rPr>
        <w:t>四</w:t>
      </w:r>
      <w:r>
        <w:rPr>
          <w:rFonts w:hint="eastAsia" w:ascii="黑体" w:hAnsi="黑体" w:eastAsia="黑体" w:cs="黑体"/>
          <w:sz w:val="32"/>
          <w:szCs w:val="32"/>
          <w:highlight w:val="none"/>
          <w:lang w:eastAsia="zh-CN"/>
        </w:rPr>
        <w:t>、</w:t>
      </w:r>
      <w:r>
        <w:rPr>
          <w:rFonts w:hint="eastAsia" w:ascii="黑体" w:hAnsi="黑体" w:eastAsia="黑体" w:cs="黑体"/>
          <w:sz w:val="32"/>
          <w:szCs w:val="32"/>
          <w:highlight w:val="none"/>
          <w:lang w:val="en-US" w:eastAsia="zh-CN"/>
        </w:rPr>
        <w:t>部门</w:t>
      </w:r>
      <w:r>
        <w:rPr>
          <w:rFonts w:hint="eastAsia" w:ascii="黑体" w:hAnsi="黑体" w:eastAsia="黑体" w:cs="黑体"/>
          <w:sz w:val="32"/>
          <w:szCs w:val="32"/>
          <w:highlight w:val="none"/>
          <w:lang w:eastAsia="zh-CN"/>
        </w:rPr>
        <w:t>绩效目标</w:t>
      </w:r>
      <w:bookmarkEnd w:id="37"/>
    </w:p>
    <w:p w14:paraId="5A6DA203">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仿宋" w:hAnsi="仿宋" w:eastAsia="仿宋" w:cs="仿宋"/>
          <w:b w:val="0"/>
          <w:bCs w:val="0"/>
          <w:sz w:val="32"/>
          <w:szCs w:val="32"/>
          <w:lang w:eastAsia="zh-CN"/>
        </w:rPr>
      </w:pPr>
      <w:bookmarkStart w:id="38" w:name="_Toc13453"/>
      <w:r>
        <w:rPr>
          <w:rFonts w:hint="eastAsia" w:ascii="楷体" w:hAnsi="楷体" w:eastAsia="楷体" w:cs="楷体"/>
          <w:b/>
          <w:bCs/>
          <w:sz w:val="32"/>
          <w:szCs w:val="32"/>
          <w:lang w:eastAsia="zh-CN"/>
        </w:rPr>
        <w:t>（一）总体目标</w:t>
      </w:r>
      <w:bookmarkEnd w:id="38"/>
    </w:p>
    <w:p w14:paraId="4EF95680">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构建增长稳健、结构优化、管理高效、风险可控的可持续财政体系，为区域高质量发展与民生福祉提供坚实财力保障。</w:t>
      </w:r>
      <w:r>
        <w:rPr>
          <w:rFonts w:hint="eastAsia" w:ascii="仿宋" w:hAnsi="仿宋" w:eastAsia="仿宋" w:cs="仿宋"/>
          <w:b/>
          <w:bCs/>
          <w:sz w:val="32"/>
          <w:szCs w:val="32"/>
          <w:lang w:val="en-US" w:eastAsia="zh-CN"/>
        </w:rPr>
        <w:t>一是</w:t>
      </w:r>
      <w:r>
        <w:rPr>
          <w:rFonts w:hint="eastAsia" w:ascii="仿宋" w:hAnsi="仿宋" w:eastAsia="仿宋" w:cs="仿宋"/>
          <w:b/>
          <w:bCs/>
          <w:sz w:val="32"/>
          <w:szCs w:val="32"/>
          <w:lang w:eastAsia="zh-CN"/>
        </w:rPr>
        <w:t>收入质量与规模。</w:t>
      </w:r>
      <w:r>
        <w:rPr>
          <w:rFonts w:hint="eastAsia" w:ascii="仿宋" w:hAnsi="仿宋" w:eastAsia="仿宋" w:cs="仿宋"/>
          <w:b w:val="0"/>
          <w:bCs w:val="0"/>
          <w:sz w:val="32"/>
          <w:szCs w:val="32"/>
          <w:lang w:eastAsia="zh-CN"/>
        </w:rPr>
        <w:t>区地方一般公共预算收入完成额≥7.66亿元，税收占比保持五城区领先水平（≥91%）。</w:t>
      </w:r>
      <w:r>
        <w:rPr>
          <w:rFonts w:hint="eastAsia" w:ascii="仿宋" w:hAnsi="仿宋" w:eastAsia="仿宋" w:cs="仿宋"/>
          <w:b/>
          <w:bCs/>
          <w:sz w:val="32"/>
          <w:szCs w:val="32"/>
          <w:lang w:val="en-US" w:eastAsia="zh-CN"/>
        </w:rPr>
        <w:t>二是</w:t>
      </w:r>
      <w:r>
        <w:rPr>
          <w:rFonts w:hint="eastAsia" w:ascii="仿宋" w:hAnsi="仿宋" w:eastAsia="仿宋" w:cs="仿宋"/>
          <w:b/>
          <w:bCs/>
          <w:sz w:val="32"/>
          <w:szCs w:val="32"/>
          <w:lang w:eastAsia="zh-CN"/>
        </w:rPr>
        <w:t>支出保障与效能。</w:t>
      </w:r>
      <w:r>
        <w:rPr>
          <w:rFonts w:hint="eastAsia" w:ascii="仿宋" w:hAnsi="仿宋" w:eastAsia="仿宋" w:cs="仿宋"/>
          <w:b w:val="0"/>
          <w:bCs w:val="0"/>
          <w:sz w:val="32"/>
          <w:szCs w:val="32"/>
          <w:lang w:eastAsia="zh-CN"/>
        </w:rPr>
        <w:t>区级一般公共预算支出完成额≥12.39亿元，“三保”支出占比（剔除一次性支出）≥83%。</w:t>
      </w:r>
      <w:r>
        <w:rPr>
          <w:rFonts w:hint="eastAsia" w:ascii="仿宋" w:hAnsi="仿宋" w:eastAsia="仿宋" w:cs="仿宋"/>
          <w:b/>
          <w:bCs/>
          <w:sz w:val="32"/>
          <w:szCs w:val="32"/>
          <w:lang w:val="en-US" w:eastAsia="zh-CN"/>
        </w:rPr>
        <w:t>三是</w:t>
      </w:r>
      <w:r>
        <w:rPr>
          <w:rFonts w:hint="eastAsia" w:ascii="仿宋" w:hAnsi="仿宋" w:eastAsia="仿宋" w:cs="仿宋"/>
          <w:b/>
          <w:bCs/>
          <w:sz w:val="32"/>
          <w:szCs w:val="32"/>
          <w:lang w:eastAsia="zh-CN"/>
        </w:rPr>
        <w:t>风险防控与可持续。</w:t>
      </w:r>
      <w:r>
        <w:rPr>
          <w:rFonts w:hint="eastAsia" w:ascii="仿宋" w:hAnsi="仿宋" w:eastAsia="仿宋" w:cs="仿宋"/>
          <w:b w:val="0"/>
          <w:bCs w:val="0"/>
          <w:sz w:val="32"/>
          <w:szCs w:val="32"/>
          <w:lang w:eastAsia="zh-CN"/>
        </w:rPr>
        <w:t>债务风险等级持续保持“绿色、相对安全”，年度化债任务及“双压降”工作完成率100%。</w:t>
      </w:r>
      <w:r>
        <w:rPr>
          <w:rFonts w:hint="eastAsia" w:ascii="仿宋" w:hAnsi="仿宋" w:eastAsia="仿宋" w:cs="仿宋"/>
          <w:b/>
          <w:bCs/>
          <w:sz w:val="32"/>
          <w:szCs w:val="32"/>
          <w:lang w:val="en-US" w:eastAsia="zh-CN"/>
        </w:rPr>
        <w:t>四是</w:t>
      </w:r>
      <w:r>
        <w:rPr>
          <w:rFonts w:hint="eastAsia" w:ascii="仿宋" w:hAnsi="仿宋" w:eastAsia="仿宋" w:cs="仿宋"/>
          <w:b/>
          <w:bCs/>
          <w:sz w:val="32"/>
          <w:szCs w:val="32"/>
          <w:lang w:eastAsia="zh-CN"/>
        </w:rPr>
        <w:t>管理效率与效益。</w:t>
      </w:r>
      <w:r>
        <w:rPr>
          <w:rFonts w:hint="eastAsia" w:ascii="仿宋" w:hAnsi="仿宋" w:eastAsia="仿宋" w:cs="仿宋"/>
          <w:b w:val="0"/>
          <w:bCs w:val="0"/>
          <w:sz w:val="32"/>
          <w:szCs w:val="32"/>
          <w:lang w:eastAsia="zh-CN"/>
        </w:rPr>
        <w:t>财政投资评审综合核减率≥13%，预算绩效管理成果获省级及以上荣誉。</w:t>
      </w:r>
    </w:p>
    <w:p w14:paraId="383502E9">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楷体" w:hAnsi="楷体" w:eastAsia="楷体" w:cs="楷体"/>
          <w:b/>
          <w:bCs/>
          <w:sz w:val="32"/>
          <w:szCs w:val="32"/>
          <w:lang w:eastAsia="zh-CN"/>
        </w:rPr>
      </w:pPr>
      <w:bookmarkStart w:id="39" w:name="_Toc29291"/>
      <w:r>
        <w:rPr>
          <w:rFonts w:hint="eastAsia" w:ascii="楷体" w:hAnsi="楷体" w:eastAsia="楷体" w:cs="楷体"/>
          <w:b/>
          <w:bCs/>
          <w:sz w:val="32"/>
          <w:szCs w:val="32"/>
          <w:lang w:eastAsia="zh-CN"/>
        </w:rPr>
        <w:t>分类目标</w:t>
      </w:r>
      <w:bookmarkEnd w:id="39"/>
    </w:p>
    <w:p w14:paraId="1A9DEC1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outlineLvl w:val="9"/>
        <w:rPr>
          <w:rFonts w:hint="eastAsia" w:ascii="楷体" w:hAnsi="楷体" w:eastAsia="楷体" w:cs="楷体"/>
          <w:b/>
          <w:bCs/>
          <w:sz w:val="32"/>
          <w:szCs w:val="32"/>
          <w:lang w:eastAsia="zh-CN"/>
        </w:rPr>
      </w:pPr>
      <w:r>
        <w:rPr>
          <w:rFonts w:hint="eastAsia" w:ascii="仿宋" w:hAnsi="仿宋" w:eastAsia="仿宋" w:cs="仿宋"/>
          <w:b/>
          <w:bCs/>
          <w:sz w:val="32"/>
          <w:szCs w:val="32"/>
          <w:lang w:val="en-US" w:eastAsia="zh-CN"/>
        </w:rPr>
        <w:t>一是</w:t>
      </w:r>
      <w:r>
        <w:rPr>
          <w:rFonts w:hint="eastAsia" w:ascii="仿宋" w:hAnsi="仿宋" w:eastAsia="仿宋" w:cs="仿宋"/>
          <w:b/>
          <w:bCs/>
          <w:sz w:val="32"/>
          <w:szCs w:val="32"/>
          <w:lang w:eastAsia="zh-CN"/>
        </w:rPr>
        <w:t>财政收入保障目标。</w:t>
      </w:r>
      <w:r>
        <w:rPr>
          <w:rFonts w:hint="eastAsia" w:ascii="仿宋" w:hAnsi="仿宋" w:eastAsia="仿宋" w:cs="仿宋"/>
          <w:b w:val="0"/>
          <w:bCs w:val="0"/>
          <w:sz w:val="32"/>
          <w:szCs w:val="32"/>
          <w:lang w:eastAsia="zh-CN"/>
        </w:rPr>
        <w:t>目标描述：确保财政收入量质齐升，积极向上争取资金与政策，为区域发展提供稳定的财力支撑。</w:t>
      </w:r>
      <w:r>
        <w:rPr>
          <w:rFonts w:hint="eastAsia" w:ascii="仿宋" w:hAnsi="仿宋" w:eastAsia="仿宋" w:cs="仿宋"/>
          <w:b/>
          <w:bCs/>
          <w:sz w:val="32"/>
          <w:szCs w:val="32"/>
          <w:lang w:eastAsia="zh-CN"/>
        </w:rPr>
        <w:t>对应量化指标：1.地方一般公共预算收入完成率≥100%。2.争取财力性转移支付资金超年初预算额≥0.69亿元。3.成功争取省级新增一般债券限额≥1.6亿元。4.重点税源企业跟踪服务覆盖率与“一企一策”方案出台率=100%。</w:t>
      </w:r>
      <w:r>
        <w:rPr>
          <w:rFonts w:hint="eastAsia" w:ascii="仿宋" w:hAnsi="仿宋" w:eastAsia="仿宋" w:cs="仿宋"/>
          <w:b/>
          <w:bCs/>
          <w:sz w:val="32"/>
          <w:szCs w:val="32"/>
          <w:lang w:val="en-US" w:eastAsia="zh-CN"/>
        </w:rPr>
        <w:t>二是</w:t>
      </w:r>
      <w:r>
        <w:rPr>
          <w:rFonts w:hint="eastAsia" w:ascii="仿宋" w:hAnsi="仿宋" w:eastAsia="仿宋" w:cs="仿宋"/>
          <w:b/>
          <w:bCs/>
          <w:sz w:val="32"/>
          <w:szCs w:val="32"/>
          <w:lang w:eastAsia="zh-CN"/>
        </w:rPr>
        <w:t>财政支出优化目标。</w:t>
      </w:r>
      <w:r>
        <w:rPr>
          <w:rFonts w:hint="eastAsia" w:ascii="仿宋" w:hAnsi="仿宋" w:eastAsia="仿宋" w:cs="仿宋"/>
          <w:b w:val="0"/>
          <w:bCs w:val="0"/>
          <w:sz w:val="32"/>
          <w:szCs w:val="32"/>
          <w:lang w:eastAsia="zh-CN"/>
        </w:rPr>
        <w:t>目标描述：优化财政支出结构，坚决兜牢“三保”底线，精准保障重大战略、重点领域和民生改善项目。</w:t>
      </w:r>
      <w:r>
        <w:rPr>
          <w:rFonts w:hint="eastAsia" w:ascii="仿宋" w:hAnsi="仿宋" w:eastAsia="仿宋" w:cs="仿宋"/>
          <w:b/>
          <w:bCs/>
          <w:sz w:val="32"/>
          <w:szCs w:val="32"/>
          <w:lang w:eastAsia="zh-CN"/>
        </w:rPr>
        <w:t>对应量化指标：1.民生及“三保”支出占一般公共预算支出比重≥83%。2.惠农补贴资金发放准确率与及时率=100%。3.财政衔接推进乡村振兴资金到位率=100%。4.重大活动（如旅发大会）及重点项目资金保障及时率=100%。</w:t>
      </w:r>
      <w:r>
        <w:rPr>
          <w:rFonts w:hint="eastAsia" w:ascii="仿宋" w:hAnsi="仿宋" w:eastAsia="仿宋" w:cs="仿宋"/>
          <w:b/>
          <w:bCs/>
          <w:sz w:val="32"/>
          <w:szCs w:val="32"/>
          <w:lang w:val="en-US" w:eastAsia="zh-CN"/>
        </w:rPr>
        <w:t>三是</w:t>
      </w:r>
      <w:r>
        <w:rPr>
          <w:rFonts w:hint="eastAsia" w:ascii="仿宋" w:hAnsi="仿宋" w:eastAsia="仿宋" w:cs="仿宋"/>
          <w:b/>
          <w:bCs/>
          <w:sz w:val="32"/>
          <w:szCs w:val="32"/>
          <w:lang w:eastAsia="zh-CN"/>
        </w:rPr>
        <w:t>财政管理增效目标。</w:t>
      </w:r>
      <w:r>
        <w:rPr>
          <w:rFonts w:hint="eastAsia" w:ascii="仿宋" w:hAnsi="仿宋" w:eastAsia="仿宋" w:cs="仿宋"/>
          <w:b w:val="0"/>
          <w:bCs w:val="0"/>
          <w:sz w:val="32"/>
          <w:szCs w:val="32"/>
          <w:lang w:eastAsia="zh-CN"/>
        </w:rPr>
        <w:t>目标描述：深化财税体制改革，强化预算绩效管理，提升财政评审效能，实现“花钱必问效、无效必问责”。</w:t>
      </w:r>
      <w:r>
        <w:rPr>
          <w:rFonts w:hint="eastAsia" w:ascii="仿宋" w:hAnsi="仿宋" w:eastAsia="仿宋" w:cs="仿宋"/>
          <w:b/>
          <w:bCs/>
          <w:sz w:val="32"/>
          <w:szCs w:val="32"/>
          <w:lang w:eastAsia="zh-CN"/>
        </w:rPr>
        <w:t>对应量化指标：1.全过程预算绩效管理体系覆盖率（区级部门）=100%。2.绩效评价结果与预算安排挂钩项目占比≥</w:t>
      </w:r>
      <w:r>
        <w:rPr>
          <w:rFonts w:hint="eastAsia" w:ascii="仿宋" w:hAnsi="仿宋" w:eastAsia="仿宋" w:cs="仿宋"/>
          <w:b/>
          <w:bCs/>
          <w:sz w:val="32"/>
          <w:szCs w:val="32"/>
          <w:lang w:val="en-US" w:eastAsia="zh-CN"/>
        </w:rPr>
        <w:t>95</w:t>
      </w:r>
      <w:r>
        <w:rPr>
          <w:rFonts w:hint="eastAsia" w:ascii="仿宋" w:hAnsi="仿宋" w:eastAsia="仿宋" w:cs="仿宋"/>
          <w:b/>
          <w:bCs/>
          <w:sz w:val="32"/>
          <w:szCs w:val="32"/>
          <w:lang w:eastAsia="zh-CN"/>
        </w:rPr>
        <w:t>%。3.完成财政投资评审项目数≥123个，平均评审周期缩短</w:t>
      </w:r>
      <w:r>
        <w:rPr>
          <w:rFonts w:hint="eastAsia" w:ascii="仿宋" w:hAnsi="仿宋" w:eastAsia="仿宋" w:cs="仿宋"/>
          <w:b/>
          <w:bCs/>
          <w:sz w:val="32"/>
          <w:szCs w:val="32"/>
          <w:lang w:val="en-US" w:eastAsia="zh-CN"/>
        </w:rPr>
        <w:t>30</w:t>
      </w:r>
      <w:r>
        <w:rPr>
          <w:rFonts w:hint="eastAsia" w:ascii="仿宋" w:hAnsi="仿宋" w:eastAsia="仿宋" w:cs="仿宋"/>
          <w:b/>
          <w:bCs/>
          <w:sz w:val="32"/>
          <w:szCs w:val="32"/>
          <w:lang w:eastAsia="zh-CN"/>
        </w:rPr>
        <w:t>%。4.财政投资评审核减金额≥7500万元。</w:t>
      </w:r>
      <w:r>
        <w:rPr>
          <w:rFonts w:hint="eastAsia" w:ascii="仿宋" w:hAnsi="仿宋" w:eastAsia="仿宋" w:cs="仿宋"/>
          <w:b/>
          <w:bCs/>
          <w:sz w:val="32"/>
          <w:szCs w:val="32"/>
          <w:lang w:val="en-US" w:eastAsia="zh-CN"/>
        </w:rPr>
        <w:t>四是</w:t>
      </w:r>
      <w:r>
        <w:rPr>
          <w:rFonts w:hint="eastAsia" w:ascii="仿宋" w:hAnsi="仿宋" w:eastAsia="仿宋" w:cs="仿宋"/>
          <w:b/>
          <w:bCs/>
          <w:sz w:val="32"/>
          <w:szCs w:val="32"/>
          <w:lang w:eastAsia="zh-CN"/>
        </w:rPr>
        <w:t>财政风险防控目标。</w:t>
      </w:r>
      <w:r>
        <w:rPr>
          <w:rFonts w:hint="eastAsia" w:ascii="仿宋" w:hAnsi="仿宋" w:eastAsia="仿宋" w:cs="仿宋"/>
          <w:b w:val="0"/>
          <w:bCs w:val="0"/>
          <w:sz w:val="32"/>
          <w:szCs w:val="32"/>
          <w:lang w:eastAsia="zh-CN"/>
        </w:rPr>
        <w:t>目标描述：严守财经纪律，有效防范化解地方政府债务风险，确保财政运行长期安全稳健。</w:t>
      </w:r>
      <w:r>
        <w:rPr>
          <w:rFonts w:hint="eastAsia" w:ascii="仿宋" w:hAnsi="仿宋" w:eastAsia="仿宋" w:cs="仿宋"/>
          <w:b/>
          <w:bCs/>
          <w:sz w:val="32"/>
          <w:szCs w:val="32"/>
          <w:lang w:eastAsia="zh-CN"/>
        </w:rPr>
        <w:t>对应量化指标：1.政府债务风险等级持续保持“绿色”。2.财会监督专项行动发现问题整改率=100%。3.融资平台公司“双压降”工作按计划或提前完成。4.全区性财经纪律专项整治工作方案制定与执行率=100%。</w:t>
      </w:r>
      <w:r>
        <w:rPr>
          <w:rFonts w:hint="eastAsia" w:ascii="仿宋" w:hAnsi="仿宋" w:eastAsia="仿宋" w:cs="仿宋"/>
          <w:b/>
          <w:bCs/>
          <w:sz w:val="32"/>
          <w:szCs w:val="32"/>
          <w:lang w:val="en-US" w:eastAsia="zh-CN"/>
        </w:rPr>
        <w:t>五是</w:t>
      </w:r>
      <w:r>
        <w:rPr>
          <w:rFonts w:hint="eastAsia" w:ascii="仿宋" w:hAnsi="仿宋" w:eastAsia="仿宋" w:cs="仿宋"/>
          <w:b/>
          <w:bCs/>
          <w:sz w:val="32"/>
          <w:szCs w:val="32"/>
          <w:lang w:eastAsia="zh-CN"/>
        </w:rPr>
        <w:t>体制机制创新目标。</w:t>
      </w:r>
      <w:r>
        <w:rPr>
          <w:rFonts w:hint="eastAsia" w:ascii="仿宋" w:hAnsi="仿宋" w:eastAsia="仿宋" w:cs="仿宋"/>
          <w:b w:val="0"/>
          <w:bCs w:val="0"/>
          <w:sz w:val="32"/>
          <w:szCs w:val="32"/>
          <w:lang w:eastAsia="zh-CN"/>
        </w:rPr>
        <w:t>目标描述：推进财政体制机制改革，完善制度建设，从源头上规范财政管理行为。</w:t>
      </w:r>
      <w:r>
        <w:rPr>
          <w:rFonts w:hint="eastAsia" w:ascii="仿宋" w:hAnsi="仿宋" w:eastAsia="仿宋" w:cs="仿宋"/>
          <w:b/>
          <w:bCs/>
          <w:sz w:val="32"/>
          <w:szCs w:val="32"/>
          <w:lang w:eastAsia="zh-CN"/>
        </w:rPr>
        <w:t>对应量化指标：1.重要财政管理制度（如评审、工程变更管理办法）年度出台数≥2项。2.零基预算改革在区级预算部门覆盖率=100%。3.预算编制与执行符合“以零为基”“以事定钱”原则的项目占比逐年提升。</w:t>
      </w:r>
    </w:p>
    <w:p w14:paraId="308B02B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0"/>
        <w:rPr>
          <w:rFonts w:hint="eastAsia" w:ascii="黑体" w:hAnsi="黑体" w:eastAsia="黑体" w:cs="黑体"/>
          <w:sz w:val="32"/>
          <w:szCs w:val="32"/>
          <w:highlight w:val="none"/>
          <w:lang w:eastAsia="zh-CN"/>
        </w:rPr>
      </w:pPr>
      <w:bookmarkStart w:id="40" w:name="_Toc317"/>
      <w:bookmarkStart w:id="41" w:name="_Toc29770"/>
      <w:bookmarkStart w:id="42" w:name="_Toc6424"/>
      <w:r>
        <w:rPr>
          <w:rFonts w:hint="eastAsia" w:ascii="黑体" w:hAnsi="黑体" w:eastAsia="黑体" w:cs="黑体"/>
          <w:sz w:val="32"/>
          <w:szCs w:val="32"/>
          <w:highlight w:val="none"/>
          <w:lang w:val="en-US" w:eastAsia="zh-CN"/>
        </w:rPr>
        <w:t>五、部门</w:t>
      </w:r>
      <w:r>
        <w:rPr>
          <w:rFonts w:hint="eastAsia" w:ascii="黑体" w:hAnsi="黑体" w:eastAsia="黑体" w:cs="黑体"/>
          <w:sz w:val="32"/>
          <w:szCs w:val="32"/>
          <w:highlight w:val="none"/>
          <w:lang w:eastAsia="zh-CN"/>
        </w:rPr>
        <w:t>绩效考评情况</w:t>
      </w:r>
      <w:bookmarkEnd w:id="40"/>
      <w:bookmarkEnd w:id="41"/>
      <w:bookmarkEnd w:id="42"/>
    </w:p>
    <w:p w14:paraId="1FC593C9">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楷体" w:hAnsi="楷体" w:eastAsia="楷体" w:cs="楷体"/>
          <w:b/>
          <w:bCs/>
          <w:sz w:val="32"/>
          <w:szCs w:val="32"/>
          <w:lang w:val="en-US" w:eastAsia="zh-CN"/>
        </w:rPr>
      </w:pPr>
      <w:bookmarkStart w:id="43" w:name="_Toc10865"/>
      <w:bookmarkStart w:id="44" w:name="_Toc32505"/>
      <w:bookmarkStart w:id="45" w:name="_Toc8508"/>
      <w:r>
        <w:rPr>
          <w:rFonts w:hint="eastAsia" w:ascii="楷体" w:hAnsi="楷体" w:eastAsia="楷体" w:cs="楷体"/>
          <w:b/>
          <w:bCs/>
          <w:sz w:val="32"/>
          <w:szCs w:val="32"/>
          <w:lang w:val="en-US" w:eastAsia="zh-CN"/>
        </w:rPr>
        <w:t>（一）评价框架</w:t>
      </w:r>
      <w:bookmarkEnd w:id="43"/>
      <w:bookmarkEnd w:id="44"/>
      <w:bookmarkEnd w:id="45"/>
    </w:p>
    <w:p w14:paraId="46EE98AD">
      <w:pPr>
        <w:pStyle w:val="12"/>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 w:hAnsi="仿宋" w:eastAsia="仿宋" w:cs="仿宋"/>
          <w:b w:val="0"/>
          <w:bCs w:val="0"/>
          <w:i w:val="0"/>
          <w:iCs w:val="0"/>
          <w:caps w:val="0"/>
          <w:color w:val="000000"/>
          <w:spacing w:val="0"/>
          <w:sz w:val="32"/>
          <w:szCs w:val="32"/>
          <w:highlight w:val="yellow"/>
          <w:u w:val="none"/>
          <w:shd w:val="clear" w:fill="FFFFFF"/>
          <w:lang w:val="en-US" w:eastAsia="zh-CN"/>
        </w:rPr>
      </w:pPr>
      <w:r>
        <w:rPr>
          <w:rFonts w:hint="eastAsia" w:ascii="仿宋" w:hAnsi="仿宋" w:eastAsia="仿宋" w:cs="仿宋"/>
          <w:b w:val="0"/>
          <w:bCs w:val="0"/>
          <w:i w:val="0"/>
          <w:iCs w:val="0"/>
          <w:caps w:val="0"/>
          <w:color w:val="000000"/>
          <w:spacing w:val="0"/>
          <w:sz w:val="32"/>
          <w:szCs w:val="32"/>
          <w:highlight w:val="none"/>
          <w:u w:val="none"/>
          <w:shd w:val="clear" w:fill="FFFFFF"/>
          <w:lang w:val="en-US" w:eastAsia="zh-CN"/>
        </w:rPr>
        <w:t>依据财政部《关于全面实施预算绩效管理的意见》，《中华人民共和国预算法》等评价依据，设定以下评价指标：</w:t>
      </w:r>
    </w:p>
    <w:p w14:paraId="1040E76E">
      <w:pPr>
        <w:pStyle w:val="12"/>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rPr>
          <w:rFonts w:hint="eastAsia" w:ascii="仿宋" w:hAnsi="仿宋" w:eastAsia="仿宋" w:cs="仿宋"/>
          <w:b/>
          <w:bCs/>
          <w:i w:val="0"/>
          <w:iCs w:val="0"/>
          <w:caps w:val="0"/>
          <w:color w:val="000000"/>
          <w:spacing w:val="0"/>
          <w:sz w:val="32"/>
          <w:szCs w:val="32"/>
          <w:highlight w:val="none"/>
          <w:u w:val="none"/>
          <w:shd w:val="clear" w:fill="FFFFFF"/>
          <w:lang w:val="en-US" w:eastAsia="zh-CN"/>
        </w:rPr>
      </w:pPr>
      <w:r>
        <w:rPr>
          <w:rFonts w:hint="eastAsia" w:ascii="仿宋" w:hAnsi="仿宋" w:eastAsia="仿宋" w:cs="仿宋"/>
          <w:b/>
          <w:bCs/>
          <w:i w:val="0"/>
          <w:iCs w:val="0"/>
          <w:caps w:val="0"/>
          <w:color w:val="000000"/>
          <w:spacing w:val="0"/>
          <w:sz w:val="32"/>
          <w:szCs w:val="32"/>
          <w:highlight w:val="none"/>
          <w:u w:val="none"/>
          <w:shd w:val="clear" w:fill="FFFFFF"/>
          <w:lang w:val="en-US" w:eastAsia="zh-CN"/>
        </w:rPr>
        <w:t>1.投入指标20分：目标设定、预算配置。</w:t>
      </w:r>
    </w:p>
    <w:p w14:paraId="4BAF2F52">
      <w:pPr>
        <w:pStyle w:val="12"/>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rPr>
          <w:rFonts w:hint="eastAsia" w:ascii="仿宋" w:hAnsi="仿宋" w:eastAsia="仿宋" w:cs="仿宋"/>
          <w:b/>
          <w:bCs/>
          <w:i w:val="0"/>
          <w:iCs w:val="0"/>
          <w:caps w:val="0"/>
          <w:color w:val="000000"/>
          <w:spacing w:val="0"/>
          <w:sz w:val="32"/>
          <w:szCs w:val="32"/>
          <w:highlight w:val="none"/>
          <w:u w:val="none"/>
          <w:shd w:val="clear" w:fill="FFFFFF"/>
          <w:lang w:val="en-US" w:eastAsia="zh-CN"/>
        </w:rPr>
      </w:pPr>
      <w:r>
        <w:rPr>
          <w:rFonts w:hint="eastAsia" w:ascii="仿宋" w:hAnsi="仿宋" w:eastAsia="仿宋" w:cs="仿宋"/>
          <w:b/>
          <w:bCs/>
          <w:i w:val="0"/>
          <w:iCs w:val="0"/>
          <w:caps w:val="0"/>
          <w:color w:val="000000"/>
          <w:spacing w:val="0"/>
          <w:sz w:val="32"/>
          <w:szCs w:val="32"/>
          <w:highlight w:val="none"/>
          <w:u w:val="none"/>
          <w:shd w:val="clear" w:fill="FFFFFF"/>
          <w:lang w:val="en-US" w:eastAsia="zh-CN"/>
        </w:rPr>
        <w:t>2.过程指标30分：预算执行、部门管理、资产管理。</w:t>
      </w:r>
    </w:p>
    <w:p w14:paraId="7EF6695F">
      <w:pPr>
        <w:pStyle w:val="12"/>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rPr>
          <w:rFonts w:hint="eastAsia" w:ascii="仿宋" w:hAnsi="仿宋" w:eastAsia="仿宋" w:cs="仿宋"/>
          <w:b/>
          <w:bCs/>
          <w:i w:val="0"/>
          <w:iCs w:val="0"/>
          <w:caps w:val="0"/>
          <w:color w:val="000000"/>
          <w:spacing w:val="0"/>
          <w:sz w:val="32"/>
          <w:szCs w:val="32"/>
          <w:highlight w:val="none"/>
          <w:u w:val="none"/>
          <w:shd w:val="clear" w:fill="FFFFFF"/>
          <w:lang w:val="en-US" w:eastAsia="zh-CN"/>
        </w:rPr>
      </w:pPr>
      <w:r>
        <w:rPr>
          <w:rFonts w:hint="eastAsia" w:ascii="仿宋" w:hAnsi="仿宋" w:eastAsia="仿宋" w:cs="仿宋"/>
          <w:b/>
          <w:bCs/>
          <w:i w:val="0"/>
          <w:iCs w:val="0"/>
          <w:caps w:val="0"/>
          <w:color w:val="000000"/>
          <w:spacing w:val="0"/>
          <w:sz w:val="32"/>
          <w:szCs w:val="32"/>
          <w:highlight w:val="none"/>
          <w:u w:val="none"/>
          <w:shd w:val="clear" w:fill="FFFFFF"/>
          <w:lang w:val="en-US" w:eastAsia="zh-CN"/>
        </w:rPr>
        <w:t>3.产出指标30分：职能工作完成率、重点工作办结率。</w:t>
      </w:r>
    </w:p>
    <w:p w14:paraId="0E6B866E">
      <w:pPr>
        <w:pStyle w:val="12"/>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rPr>
          <w:rFonts w:hint="eastAsia" w:ascii="仿宋" w:hAnsi="仿宋" w:eastAsia="仿宋" w:cs="仿宋"/>
          <w:b/>
          <w:bCs/>
          <w:i w:val="0"/>
          <w:iCs w:val="0"/>
          <w:caps w:val="0"/>
          <w:color w:val="000000"/>
          <w:spacing w:val="0"/>
          <w:sz w:val="32"/>
          <w:szCs w:val="32"/>
          <w:highlight w:val="none"/>
          <w:u w:val="none"/>
          <w:shd w:val="clear" w:fill="FFFFFF"/>
          <w:lang w:val="en-US" w:eastAsia="zh-CN"/>
        </w:rPr>
      </w:pPr>
      <w:r>
        <w:rPr>
          <w:rFonts w:hint="eastAsia" w:ascii="仿宋" w:hAnsi="仿宋" w:eastAsia="仿宋" w:cs="仿宋"/>
          <w:b/>
          <w:bCs/>
          <w:i w:val="0"/>
          <w:iCs w:val="0"/>
          <w:caps w:val="0"/>
          <w:color w:val="000000"/>
          <w:spacing w:val="0"/>
          <w:sz w:val="32"/>
          <w:szCs w:val="32"/>
          <w:highlight w:val="none"/>
          <w:u w:val="none"/>
          <w:shd w:val="clear" w:fill="FFFFFF"/>
          <w:lang w:val="en-US" w:eastAsia="zh-CN"/>
        </w:rPr>
        <w:t>4.效益指标20分：社会效益、相关人员满意度。</w:t>
      </w:r>
    </w:p>
    <w:p w14:paraId="561A01AB">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rPr>
          <w:rFonts w:hint="eastAsia" w:ascii="仿宋" w:hAnsi="仿宋" w:eastAsia="仿宋" w:cs="仿宋"/>
          <w:b/>
          <w:bCs/>
          <w:i w:val="0"/>
          <w:iCs w:val="0"/>
          <w:caps w:val="0"/>
          <w:color w:val="000000"/>
          <w:spacing w:val="0"/>
          <w:sz w:val="32"/>
          <w:szCs w:val="32"/>
          <w:highlight w:val="none"/>
          <w:u w:val="none"/>
          <w:shd w:val="clear" w:fill="FFFFFF"/>
          <w:lang w:val="en-US" w:eastAsia="zh-CN"/>
        </w:rPr>
        <w:sectPr>
          <w:footerReference r:id="rId5" w:type="default"/>
          <w:pgSz w:w="11906" w:h="16838"/>
          <w:pgMar w:top="1440" w:right="1803" w:bottom="1440" w:left="1803" w:header="851" w:footer="992" w:gutter="0"/>
          <w:pgBorders>
            <w:top w:val="none" w:sz="0" w:space="0"/>
            <w:left w:val="none" w:sz="0" w:space="0"/>
            <w:bottom w:val="none" w:sz="0" w:space="0"/>
            <w:right w:val="none" w:sz="0" w:space="0"/>
          </w:pgBorders>
          <w:pgNumType w:fmt="decimal" w:start="1"/>
          <w:cols w:space="0" w:num="1"/>
          <w:rtlGutter w:val="0"/>
          <w:docGrid w:type="lines" w:linePitch="332" w:charSpace="0"/>
        </w:sectPr>
      </w:pPr>
    </w:p>
    <w:p w14:paraId="46FE2DB3">
      <w:pPr>
        <w:keepNext w:val="0"/>
        <w:keepLines w:val="0"/>
        <w:pageBreakBefore w:val="0"/>
        <w:widowControl w:val="0"/>
        <w:kinsoku/>
        <w:wordWrap/>
        <w:overflowPunct/>
        <w:topLinePunct w:val="0"/>
        <w:autoSpaceDE/>
        <w:autoSpaceDN/>
        <w:bidi w:val="0"/>
        <w:adjustRightInd/>
        <w:snapToGrid/>
        <w:spacing w:line="240" w:lineRule="auto"/>
        <w:ind w:left="0" w:leftChars="0" w:firstLine="643" w:firstLineChars="200"/>
        <w:jc w:val="both"/>
        <w:textAlignment w:val="auto"/>
        <w:outlineLvl w:val="1"/>
        <w:rPr>
          <w:rFonts w:hint="default" w:ascii="楷体" w:hAnsi="楷体" w:eastAsia="楷体" w:cs="楷体"/>
          <w:b/>
          <w:bCs/>
          <w:sz w:val="32"/>
          <w:szCs w:val="32"/>
          <w:highlight w:val="none"/>
          <w:lang w:val="en-US" w:eastAsia="zh-CN"/>
        </w:rPr>
      </w:pPr>
      <w:bookmarkStart w:id="46" w:name="_Toc15582"/>
      <w:bookmarkStart w:id="47" w:name="_Toc25462"/>
      <w:bookmarkStart w:id="48" w:name="_Toc7412"/>
      <w:r>
        <w:rPr>
          <w:rFonts w:hint="eastAsia" w:ascii="楷体" w:hAnsi="楷体" w:eastAsia="楷体" w:cs="楷体"/>
          <w:b/>
          <w:bCs/>
          <w:sz w:val="32"/>
          <w:szCs w:val="32"/>
          <w:highlight w:val="none"/>
          <w:lang w:val="en-US" w:eastAsia="zh-CN"/>
        </w:rPr>
        <w:t>（二）评价分析</w:t>
      </w:r>
      <w:bookmarkEnd w:id="46"/>
      <w:bookmarkEnd w:id="47"/>
      <w:bookmarkEnd w:id="48"/>
    </w:p>
    <w:p w14:paraId="01580A32">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643" w:firstLineChars="200"/>
        <w:jc w:val="both"/>
        <w:textAlignment w:val="auto"/>
        <w:rPr>
          <w:rFonts w:hint="eastAsia" w:ascii="仿宋" w:hAnsi="仿宋" w:eastAsia="仿宋" w:cs="仿宋"/>
          <w:b w:val="0"/>
          <w:bCs w:val="0"/>
          <w:i w:val="0"/>
          <w:iCs w:val="0"/>
          <w:caps w:val="0"/>
          <w:color w:val="000000"/>
          <w:spacing w:val="0"/>
          <w:sz w:val="32"/>
          <w:szCs w:val="32"/>
          <w:u w:val="none"/>
          <w:shd w:val="clear" w:fill="FFFFFF"/>
          <w:lang w:val="en-US" w:eastAsia="zh-CN"/>
        </w:rPr>
      </w:pPr>
      <w:r>
        <w:rPr>
          <w:rFonts w:hint="eastAsia" w:ascii="仿宋" w:hAnsi="仿宋" w:eastAsia="仿宋" w:cs="仿宋"/>
          <w:b/>
          <w:bCs/>
          <w:i w:val="0"/>
          <w:iCs w:val="0"/>
          <w:caps w:val="0"/>
          <w:color w:val="000000"/>
          <w:spacing w:val="0"/>
          <w:sz w:val="32"/>
          <w:szCs w:val="32"/>
          <w:u w:val="none"/>
          <w:shd w:val="clear" w:fill="FFFFFF"/>
          <w:lang w:val="en-US" w:eastAsia="zh-CN"/>
        </w:rPr>
        <w:t>1.总分100分，得分88分，扣分12分，详见后述绩效评价得分扣分表</w:t>
      </w:r>
    </w:p>
    <w:tbl>
      <w:tblPr>
        <w:tblStyle w:val="14"/>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91"/>
        <w:gridCol w:w="1921"/>
        <w:gridCol w:w="1756"/>
        <w:gridCol w:w="656"/>
        <w:gridCol w:w="656"/>
        <w:gridCol w:w="656"/>
        <w:gridCol w:w="3287"/>
        <w:gridCol w:w="3648"/>
      </w:tblGrid>
      <w:tr w14:paraId="66D76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blHeader/>
        </w:trPr>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ED5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一级指标</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41F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二级指标</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A766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三级指标</w:t>
            </w: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F5D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分值</w:t>
            </w: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43A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得分</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476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扣分</w:t>
            </w:r>
          </w:p>
        </w:tc>
        <w:tc>
          <w:tcPr>
            <w:tcW w:w="1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637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扣分说明</w:t>
            </w:r>
          </w:p>
        </w:tc>
        <w:tc>
          <w:tcPr>
            <w:tcW w:w="1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07D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评价要点</w:t>
            </w:r>
          </w:p>
        </w:tc>
      </w:tr>
      <w:tr w14:paraId="031E7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38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0B6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投入（20分）</w:t>
            </w:r>
          </w:p>
        </w:tc>
        <w:tc>
          <w:tcPr>
            <w:tcW w:w="3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57F20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目标设定（10分）</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21CC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绩效目标合理性</w:t>
            </w: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6E0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299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7AE70">
            <w:pPr>
              <w:jc w:val="center"/>
              <w:rPr>
                <w:rFonts w:hint="eastAsia" w:ascii="宋体" w:hAnsi="宋体" w:eastAsia="宋体" w:cs="宋体"/>
                <w:i w:val="0"/>
                <w:iCs w:val="0"/>
                <w:color w:val="000000"/>
                <w:sz w:val="22"/>
                <w:szCs w:val="22"/>
                <w:u w:val="none"/>
              </w:rPr>
            </w:pPr>
          </w:p>
        </w:tc>
        <w:tc>
          <w:tcPr>
            <w:tcW w:w="1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68B8A">
            <w:pPr>
              <w:jc w:val="left"/>
              <w:rPr>
                <w:rFonts w:hint="eastAsia" w:ascii="宋体" w:hAnsi="宋体" w:eastAsia="宋体" w:cs="宋体"/>
                <w:i w:val="0"/>
                <w:iCs w:val="0"/>
                <w:color w:val="000000"/>
                <w:sz w:val="22"/>
                <w:szCs w:val="22"/>
                <w:u w:val="none"/>
              </w:rPr>
            </w:pPr>
          </w:p>
        </w:tc>
        <w:tc>
          <w:tcPr>
            <w:tcW w:w="1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2506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①是否符合国家法律法规、国民经济和社会发展总体规划；②是否符合部门“三定”方案确定的职责；③是否符合部门制定的发展实施规划和年度主要工作计划；④所属部门（单位）编报预算时是否按要求编制绩效目标。</w:t>
            </w:r>
          </w:p>
        </w:tc>
      </w:tr>
      <w:tr w14:paraId="782CC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B6807">
            <w:pPr>
              <w:jc w:val="center"/>
              <w:rPr>
                <w:rFonts w:hint="eastAsia" w:ascii="宋体" w:hAnsi="宋体" w:eastAsia="宋体" w:cs="宋体"/>
                <w:i w:val="0"/>
                <w:iCs w:val="0"/>
                <w:color w:val="000000"/>
                <w:sz w:val="22"/>
                <w:szCs w:val="22"/>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86EA94">
            <w:pPr>
              <w:jc w:val="left"/>
              <w:rPr>
                <w:rFonts w:hint="eastAsia" w:ascii="宋体" w:hAnsi="宋体" w:eastAsia="宋体" w:cs="宋体"/>
                <w:i w:val="0"/>
                <w:iCs w:val="0"/>
                <w:color w:val="000000"/>
                <w:sz w:val="22"/>
                <w:szCs w:val="22"/>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5F8F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绩效指标明确性</w:t>
            </w: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C84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CCD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2295F">
            <w:pPr>
              <w:jc w:val="center"/>
              <w:rPr>
                <w:rFonts w:hint="eastAsia" w:ascii="宋体" w:hAnsi="宋体" w:eastAsia="宋体" w:cs="宋体"/>
                <w:i w:val="0"/>
                <w:iCs w:val="0"/>
                <w:color w:val="000000"/>
                <w:sz w:val="22"/>
                <w:szCs w:val="22"/>
                <w:u w:val="none"/>
              </w:rPr>
            </w:pPr>
          </w:p>
        </w:tc>
        <w:tc>
          <w:tcPr>
            <w:tcW w:w="1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31997">
            <w:pPr>
              <w:jc w:val="left"/>
              <w:rPr>
                <w:rFonts w:hint="eastAsia" w:ascii="宋体" w:hAnsi="宋体" w:eastAsia="宋体" w:cs="宋体"/>
                <w:i w:val="0"/>
                <w:iCs w:val="0"/>
                <w:color w:val="000000"/>
                <w:sz w:val="22"/>
                <w:szCs w:val="22"/>
                <w:u w:val="none"/>
              </w:rPr>
            </w:pPr>
          </w:p>
        </w:tc>
        <w:tc>
          <w:tcPr>
            <w:tcW w:w="1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9DC8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①是否将部门整体的绩效目标细化分解为具体的工作任务；②是否通过清晰、可衡量的指标值予以体现；③是否将项目绩效目标与部门年度的任务数或计划数相对应：④是否与本年度部门预算资金相匹配，是否对下属部门（单位）预算编报的绩效目标进行审核。</w:t>
            </w:r>
          </w:p>
        </w:tc>
      </w:tr>
      <w:tr w14:paraId="4EF70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60" w:hRule="atLeast"/>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9C77B">
            <w:pPr>
              <w:jc w:val="center"/>
              <w:rPr>
                <w:rFonts w:hint="eastAsia" w:ascii="宋体" w:hAnsi="宋体" w:eastAsia="宋体" w:cs="宋体"/>
                <w:i w:val="0"/>
                <w:iCs w:val="0"/>
                <w:color w:val="000000"/>
                <w:sz w:val="22"/>
                <w:szCs w:val="22"/>
                <w:u w:val="none"/>
              </w:rPr>
            </w:pPr>
          </w:p>
        </w:tc>
        <w:tc>
          <w:tcPr>
            <w:tcW w:w="3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1FFE4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预算编制与配置（10分）</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9430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在职人员控制率</w:t>
            </w: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87C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A2B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CA8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1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3CA7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人员控制率为112.50%。</w:t>
            </w:r>
          </w:p>
        </w:tc>
        <w:tc>
          <w:tcPr>
            <w:tcW w:w="1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61AB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在职人员控制率=（在职人员数/编制数）×100%。聘用人员控制率</w:t>
            </w:r>
            <w:r>
              <w:rPr>
                <w:rFonts w:ascii="Arial" w:hAnsi="Arial" w:eastAsia="宋体" w:cs="Arial"/>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人社和编办共同批复的人数；在职人员数：部门（单位）实际在职人数，以财政部门确定的部门决算编制口径为准。编制数：机构编制部门核定批复的部门（单位）的人员编制数。</w:t>
            </w:r>
          </w:p>
        </w:tc>
      </w:tr>
      <w:tr w14:paraId="42FA2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0BAAA">
            <w:pPr>
              <w:jc w:val="center"/>
              <w:rPr>
                <w:rFonts w:hint="eastAsia" w:ascii="宋体" w:hAnsi="宋体" w:eastAsia="宋体" w:cs="宋体"/>
                <w:i w:val="0"/>
                <w:iCs w:val="0"/>
                <w:color w:val="000000"/>
                <w:sz w:val="22"/>
                <w:szCs w:val="22"/>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AB0D9B">
            <w:pPr>
              <w:jc w:val="left"/>
              <w:rPr>
                <w:rFonts w:hint="eastAsia" w:ascii="宋体" w:hAnsi="宋体" w:eastAsia="宋体" w:cs="宋体"/>
                <w:i w:val="0"/>
                <w:iCs w:val="0"/>
                <w:color w:val="000000"/>
                <w:sz w:val="22"/>
                <w:szCs w:val="22"/>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022A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预算编制科学性与配置合理性</w:t>
            </w: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BE6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C6D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A58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1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7DAF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年初预算经过调整，未提供预算调整额度的批复。</w:t>
            </w:r>
          </w:p>
        </w:tc>
        <w:tc>
          <w:tcPr>
            <w:tcW w:w="1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BE00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预算编制科学性，预算与政策目标的匹配度与预算标准合理性。</w:t>
            </w:r>
          </w:p>
        </w:tc>
      </w:tr>
      <w:tr w14:paraId="459312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38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FCA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过程（30分）</w:t>
            </w:r>
          </w:p>
        </w:tc>
        <w:tc>
          <w:tcPr>
            <w:tcW w:w="3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5349D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预算执行（10分）</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B5D8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预算约束合规性</w:t>
            </w: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B5D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3BD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5F4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0 </w:t>
            </w:r>
          </w:p>
        </w:tc>
        <w:tc>
          <w:tcPr>
            <w:tcW w:w="1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4B97C">
            <w:pPr>
              <w:jc w:val="left"/>
              <w:rPr>
                <w:rFonts w:hint="eastAsia" w:ascii="宋体" w:hAnsi="宋体" w:eastAsia="宋体" w:cs="宋体"/>
                <w:i w:val="0"/>
                <w:iCs w:val="0"/>
                <w:color w:val="000000"/>
                <w:sz w:val="22"/>
                <w:szCs w:val="22"/>
                <w:u w:val="none"/>
              </w:rPr>
            </w:pPr>
          </w:p>
        </w:tc>
        <w:tc>
          <w:tcPr>
            <w:tcW w:w="1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7DB8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预算约束：支出是否严格遵循人大批准的预算，有无超预算、无预算开支的现象。</w:t>
            </w:r>
          </w:p>
        </w:tc>
      </w:tr>
      <w:tr w14:paraId="52ED6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DCA81">
            <w:pPr>
              <w:jc w:val="center"/>
              <w:rPr>
                <w:rFonts w:hint="eastAsia" w:ascii="宋体" w:hAnsi="宋体" w:eastAsia="宋体" w:cs="宋体"/>
                <w:i w:val="0"/>
                <w:iCs w:val="0"/>
                <w:color w:val="000000"/>
                <w:sz w:val="22"/>
                <w:szCs w:val="22"/>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B6831D">
            <w:pPr>
              <w:jc w:val="left"/>
              <w:rPr>
                <w:rFonts w:hint="eastAsia" w:ascii="宋体" w:hAnsi="宋体" w:eastAsia="宋体" w:cs="宋体"/>
                <w:i w:val="0"/>
                <w:iCs w:val="0"/>
                <w:color w:val="000000"/>
                <w:sz w:val="22"/>
                <w:szCs w:val="22"/>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6607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用途合规性</w:t>
            </w: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70D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261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7F5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 </w:t>
            </w:r>
          </w:p>
        </w:tc>
        <w:tc>
          <w:tcPr>
            <w:tcW w:w="1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6020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1.存在基本支出挤占项目支出的情况。</w:t>
            </w:r>
          </w:p>
        </w:tc>
        <w:tc>
          <w:tcPr>
            <w:tcW w:w="1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606C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用途合规：资金是否用于预算规定的用途，特别是基本支出和项目支出之间、不同项目之间是否存在擅自调剂、挤占挪用的情况。资金分配及时性（转移支付下达时效，资金保障有效性；是否接受检查，受过处罚或上缴财政资金情况</w:t>
            </w:r>
          </w:p>
        </w:tc>
      </w:tr>
      <w:tr w14:paraId="6A5DE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3F405">
            <w:pPr>
              <w:jc w:val="center"/>
              <w:rPr>
                <w:rFonts w:hint="eastAsia" w:ascii="宋体" w:hAnsi="宋体" w:eastAsia="宋体" w:cs="宋体"/>
                <w:i w:val="0"/>
                <w:iCs w:val="0"/>
                <w:color w:val="000000"/>
                <w:sz w:val="22"/>
                <w:szCs w:val="22"/>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C5B7D2">
            <w:pPr>
              <w:jc w:val="left"/>
              <w:rPr>
                <w:rFonts w:hint="eastAsia" w:ascii="宋体" w:hAnsi="宋体" w:eastAsia="宋体" w:cs="宋体"/>
                <w:i w:val="0"/>
                <w:iCs w:val="0"/>
                <w:color w:val="000000"/>
                <w:sz w:val="22"/>
                <w:szCs w:val="22"/>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CBAB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程序合规性</w:t>
            </w: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6B2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168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1E5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1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A335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1.业务发生时间早于合同签订时间。</w:t>
            </w:r>
          </w:p>
        </w:tc>
        <w:tc>
          <w:tcPr>
            <w:tcW w:w="1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3107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程序合规：政府采购、国库集中支付、资产管理等环节是否符合法律法规和制度规定。</w:t>
            </w:r>
          </w:p>
        </w:tc>
      </w:tr>
      <w:tr w14:paraId="6E0E5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0" w:hRule="atLeast"/>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DE968">
            <w:pPr>
              <w:jc w:val="center"/>
              <w:rPr>
                <w:rFonts w:hint="eastAsia" w:ascii="宋体" w:hAnsi="宋体" w:eastAsia="宋体" w:cs="宋体"/>
                <w:i w:val="0"/>
                <w:iCs w:val="0"/>
                <w:color w:val="000000"/>
                <w:sz w:val="22"/>
                <w:szCs w:val="22"/>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5760C6">
            <w:pPr>
              <w:jc w:val="left"/>
              <w:rPr>
                <w:rFonts w:hint="eastAsia" w:ascii="宋体" w:hAnsi="宋体" w:eastAsia="宋体" w:cs="宋体"/>
                <w:i w:val="0"/>
                <w:iCs w:val="0"/>
                <w:color w:val="000000"/>
                <w:sz w:val="22"/>
                <w:szCs w:val="22"/>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3F00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进度匹配度</w:t>
            </w: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1AB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0AE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158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0 </w:t>
            </w:r>
          </w:p>
        </w:tc>
        <w:tc>
          <w:tcPr>
            <w:tcW w:w="1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7CB0B">
            <w:pPr>
              <w:jc w:val="left"/>
              <w:rPr>
                <w:rFonts w:hint="eastAsia" w:ascii="宋体" w:hAnsi="宋体" w:eastAsia="宋体" w:cs="宋体"/>
                <w:i w:val="0"/>
                <w:iCs w:val="0"/>
                <w:color w:val="000000"/>
                <w:sz w:val="22"/>
                <w:szCs w:val="22"/>
                <w:u w:val="none"/>
              </w:rPr>
            </w:pPr>
          </w:p>
        </w:tc>
        <w:tc>
          <w:tcPr>
            <w:tcW w:w="1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4DAE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支出总量进度： 部门总支出完成了年度预算的百分之多少？是否与时间进度相匹配？是否存在“前期慢、后期突击花钱”或“支出进度严重滞后”的问题。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分项支出进度： 基本支出（人员工资、办公经费）和项目支出（专项业务、事业发展项目）各自的执行进度如何。</w:t>
            </w:r>
          </w:p>
        </w:tc>
      </w:tr>
      <w:tr w14:paraId="62D3B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60" w:hRule="atLeast"/>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E9D97">
            <w:pPr>
              <w:jc w:val="center"/>
              <w:rPr>
                <w:rFonts w:hint="eastAsia" w:ascii="宋体" w:hAnsi="宋体" w:eastAsia="宋体" w:cs="宋体"/>
                <w:i w:val="0"/>
                <w:iCs w:val="0"/>
                <w:color w:val="000000"/>
                <w:sz w:val="22"/>
                <w:szCs w:val="22"/>
                <w:u w:val="none"/>
              </w:rPr>
            </w:pPr>
          </w:p>
        </w:tc>
        <w:tc>
          <w:tcPr>
            <w:tcW w:w="3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690A0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部门管理（15分）</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ED1A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管理制度健全性</w:t>
            </w: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561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A8C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DB0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 </w:t>
            </w:r>
          </w:p>
        </w:tc>
        <w:tc>
          <w:tcPr>
            <w:tcW w:w="1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C343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1.未提供其他管理制度。如：预算管理制度，内部控制制度，政府采购管理制度，合同管理制度，专项资金管理办法，绩效管理制度，信息化管理制度，决算与财务报告制度，监督与审计制度等。</w:t>
            </w:r>
          </w:p>
        </w:tc>
        <w:tc>
          <w:tcPr>
            <w:tcW w:w="1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CE6F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①部门（单位）内控制度、内部财务管理制度和会计核算制度是否健全；②相关管理制度是否合法、合规、完整、有效；</w:t>
            </w:r>
          </w:p>
        </w:tc>
      </w:tr>
      <w:tr w14:paraId="45C5F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60" w:hRule="atLeast"/>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FAFAD">
            <w:pPr>
              <w:jc w:val="center"/>
              <w:rPr>
                <w:rFonts w:hint="eastAsia" w:ascii="宋体" w:hAnsi="宋体" w:eastAsia="宋体" w:cs="宋体"/>
                <w:i w:val="0"/>
                <w:iCs w:val="0"/>
                <w:color w:val="000000"/>
                <w:sz w:val="22"/>
                <w:szCs w:val="22"/>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93983C">
            <w:pPr>
              <w:jc w:val="left"/>
              <w:rPr>
                <w:rFonts w:hint="eastAsia" w:ascii="宋体" w:hAnsi="宋体" w:eastAsia="宋体" w:cs="宋体"/>
                <w:i w:val="0"/>
                <w:iCs w:val="0"/>
                <w:color w:val="000000"/>
                <w:sz w:val="22"/>
                <w:szCs w:val="22"/>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958A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制度执行有效性</w:t>
            </w: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BED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DCA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842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 </w:t>
            </w:r>
          </w:p>
        </w:tc>
        <w:tc>
          <w:tcPr>
            <w:tcW w:w="1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2CBA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1.2024年2月13号凭证4,800.00元，支付2024年困难党员、困难职工、困难儿童慰问后附补助人员清单，国库支付单支付李孟瑶，后附表上无领款人员签收，无其他附件说明。支付凭证不完整，支付方式不合理，这笔慰问支出更符合工会经费的使用范围。2.2024年8月记14号凭证支付八一慰问费4,400.00元，慰问成员属在职职工，“八一慰问费”属于工会经费的正当支出范围，必须使用工会经费支付。使用国库支付违反了财政资金的专款专用原则。</w:t>
            </w:r>
          </w:p>
        </w:tc>
        <w:tc>
          <w:tcPr>
            <w:tcW w:w="1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D45F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①相关管理制度是否得到有效执行；②是否存在整改情况；</w:t>
            </w:r>
          </w:p>
        </w:tc>
      </w:tr>
      <w:tr w14:paraId="706E5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60" w:hRule="atLeast"/>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49FF4">
            <w:pPr>
              <w:jc w:val="center"/>
              <w:rPr>
                <w:rFonts w:hint="eastAsia" w:ascii="宋体" w:hAnsi="宋体" w:eastAsia="宋体" w:cs="宋体"/>
                <w:i w:val="0"/>
                <w:iCs w:val="0"/>
                <w:color w:val="000000"/>
                <w:sz w:val="22"/>
                <w:szCs w:val="22"/>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91ECD">
            <w:pPr>
              <w:jc w:val="left"/>
              <w:rPr>
                <w:rFonts w:hint="eastAsia" w:ascii="宋体" w:hAnsi="宋体" w:eastAsia="宋体" w:cs="宋体"/>
                <w:i w:val="0"/>
                <w:iCs w:val="0"/>
                <w:color w:val="000000"/>
                <w:sz w:val="22"/>
                <w:szCs w:val="22"/>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D010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预决算信息公开化</w:t>
            </w: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D41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D0C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DE1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0 </w:t>
            </w:r>
          </w:p>
        </w:tc>
        <w:tc>
          <w:tcPr>
            <w:tcW w:w="1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3E5EB">
            <w:pPr>
              <w:jc w:val="left"/>
              <w:rPr>
                <w:rFonts w:hint="eastAsia" w:ascii="宋体" w:hAnsi="宋体" w:eastAsia="宋体" w:cs="宋体"/>
                <w:i w:val="0"/>
                <w:iCs w:val="0"/>
                <w:color w:val="000000"/>
                <w:sz w:val="22"/>
                <w:szCs w:val="22"/>
                <w:u w:val="none"/>
              </w:rPr>
            </w:pPr>
          </w:p>
        </w:tc>
        <w:tc>
          <w:tcPr>
            <w:tcW w:w="1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E3C5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①无涉密情况的预算单位按规定及时、准确、完整地公开预决算和绩效管理信息；②基础数据信息和会计信息资料真实、准确、完整；</w:t>
            </w:r>
          </w:p>
        </w:tc>
      </w:tr>
      <w:tr w14:paraId="35F25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0" w:hRule="atLeast"/>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20E7A">
            <w:pPr>
              <w:jc w:val="center"/>
              <w:rPr>
                <w:rFonts w:hint="eastAsia" w:ascii="宋体" w:hAnsi="宋体" w:eastAsia="宋体" w:cs="宋体"/>
                <w:i w:val="0"/>
                <w:iCs w:val="0"/>
                <w:color w:val="000000"/>
                <w:sz w:val="22"/>
                <w:szCs w:val="22"/>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F310A8">
            <w:pPr>
              <w:jc w:val="left"/>
              <w:rPr>
                <w:rFonts w:hint="eastAsia" w:ascii="宋体" w:hAnsi="宋体" w:eastAsia="宋体" w:cs="宋体"/>
                <w:i w:val="0"/>
                <w:iCs w:val="0"/>
                <w:color w:val="000000"/>
                <w:sz w:val="22"/>
                <w:szCs w:val="22"/>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83C1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报销凭证的合规性与时效性</w:t>
            </w: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356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125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BB1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 </w:t>
            </w:r>
          </w:p>
        </w:tc>
        <w:tc>
          <w:tcPr>
            <w:tcW w:w="1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1870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存在加班餐费分管领导未签字审批，供应合同未盖章的情况。如2024年10月6号凭证后附其中一份合同供应商未盖公章，供应商为衡阳市德胜数码有限公司，金额200元。2024年11月13号凭证加班用餐审批表上无分管领导审批。2024年12月43号凭证加班用餐审批表上未填人数，无分管领导审批。2.2024年2月29号凭证支付百菲特系统2年服务费1800元，合同、验收单、发票、凭证均未标明服务费的起止日期。3.发放统发工资后附件有国库支付单，无工资发放明细表，无审批人签字及审核意见且无银行回单。4.支付医疗保险、工伤保险、职业年金后仅附国库支付单，银行端查询缴税凭证，附人员名单、缴费基数确认表、明确的计算依据、银行付款回单，但无人力资源部审批意见及盖章等。5.住房公积金交通补贴津贴的计提缺乏人力资源或组织部门的审核盖章。6.发放退休人员补贴由本单位领导签字，无人力资源审核。2024年2月22号凭证国库发放21个退休人员春节慰问金。打到工资内部户1，无银行回单。7.工资管理“四张表、两家发”的模式是一种碎片化的管理方式。</w:t>
            </w:r>
          </w:p>
        </w:tc>
        <w:tc>
          <w:tcPr>
            <w:tcW w:w="1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26EB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资金分配及时性（转移支付下达时效，资金保障有效性；是否接受检查，受过处罚或上缴财政资金情况</w:t>
            </w:r>
          </w:p>
        </w:tc>
      </w:tr>
      <w:tr w14:paraId="4297D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0" w:hRule="atLeast"/>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3251D">
            <w:pPr>
              <w:jc w:val="center"/>
              <w:rPr>
                <w:rFonts w:hint="eastAsia" w:ascii="宋体" w:hAnsi="宋体" w:eastAsia="宋体" w:cs="宋体"/>
                <w:i w:val="0"/>
                <w:iCs w:val="0"/>
                <w:color w:val="000000"/>
                <w:sz w:val="22"/>
                <w:szCs w:val="22"/>
                <w:u w:val="none"/>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446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资产管理（5分）</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6B3E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资产管理有效性</w:t>
            </w: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19B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B76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8F4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0 </w:t>
            </w:r>
          </w:p>
        </w:tc>
        <w:tc>
          <w:tcPr>
            <w:tcW w:w="1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61177">
            <w:pPr>
              <w:jc w:val="left"/>
              <w:rPr>
                <w:rFonts w:hint="eastAsia" w:ascii="宋体" w:hAnsi="宋体" w:eastAsia="宋体" w:cs="宋体"/>
                <w:i w:val="0"/>
                <w:iCs w:val="0"/>
                <w:color w:val="000000"/>
                <w:sz w:val="22"/>
                <w:szCs w:val="22"/>
                <w:u w:val="none"/>
              </w:rPr>
            </w:pPr>
          </w:p>
        </w:tc>
        <w:tc>
          <w:tcPr>
            <w:tcW w:w="1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4F68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①资产保存是否完整并有台账；②资产配置是否合理，是否有闲置现象；③资产处置是否规范；④资产账务管理是否合规，是否账实相符；⑤是否完成国有“三资”盘活工作，资产是否有偿使用或处置收入及时足额上缴；⑥相关资产购置是否履行政府采购手续，外租资产是否走合规程序；⑦资产是否定期进行盘点并有记录。</w:t>
            </w:r>
          </w:p>
        </w:tc>
      </w:tr>
      <w:tr w14:paraId="6FAD0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0" w:hRule="atLeast"/>
        </w:trPr>
        <w:tc>
          <w:tcPr>
            <w:tcW w:w="38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E11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产出（20分）</w:t>
            </w:r>
          </w:p>
        </w:tc>
        <w:tc>
          <w:tcPr>
            <w:tcW w:w="3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6549D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职能工作完成率（10分）</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51ED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财政收入计划完成率</w:t>
            </w: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B4B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D85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F95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0 </w:t>
            </w:r>
          </w:p>
        </w:tc>
        <w:tc>
          <w:tcPr>
            <w:tcW w:w="1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4ECC1">
            <w:pPr>
              <w:jc w:val="center"/>
              <w:rPr>
                <w:rFonts w:hint="eastAsia" w:ascii="宋体" w:hAnsi="宋体" w:eastAsia="宋体" w:cs="宋体"/>
                <w:i w:val="0"/>
                <w:iCs w:val="0"/>
                <w:color w:val="000000"/>
                <w:sz w:val="22"/>
                <w:szCs w:val="22"/>
                <w:u w:val="none"/>
              </w:rPr>
            </w:pPr>
          </w:p>
        </w:tc>
        <w:tc>
          <w:tcPr>
            <w:tcW w:w="1428"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6FB44176">
            <w:pPr>
              <w:keepNext w:val="0"/>
              <w:keepLines w:val="0"/>
              <w:widowControl/>
              <w:suppressLineNumbers w:val="0"/>
              <w:jc w:val="left"/>
              <w:textAlignment w:val="bottom"/>
              <w:rPr>
                <w:rFonts w:hint="eastAsia" w:ascii="宋体" w:hAnsi="宋体" w:eastAsia="宋体" w:cs="宋体"/>
                <w:i w:val="0"/>
                <w:iCs w:val="0"/>
                <w:color w:val="0F1115"/>
                <w:sz w:val="22"/>
                <w:szCs w:val="22"/>
                <w:u w:val="none"/>
              </w:rPr>
            </w:pPr>
            <w:r>
              <w:rPr>
                <w:rFonts w:hint="eastAsia" w:ascii="宋体" w:hAnsi="宋体" w:eastAsia="宋体" w:cs="宋体"/>
                <w:i w:val="0"/>
                <w:iCs w:val="0"/>
                <w:color w:val="0F1115"/>
                <w:kern w:val="0"/>
                <w:sz w:val="22"/>
                <w:szCs w:val="22"/>
                <w:u w:val="none"/>
                <w:lang w:val="en-US" w:eastAsia="zh-CN" w:bidi="ar"/>
              </w:rPr>
              <w:t>①收入完成度：区地方一般公共预算收入7.66亿元是否完成年度计划目标。②收入质量：税收收入完成7亿元，税占比91.37%，评价其收入结构的稳定性和质量。③资金争取成效：争取财力性转移支付2.92亿元（超预算0.69亿元）和省级新增一般债券1.6亿元的任务是否按计划或超计划完成。</w:t>
            </w:r>
          </w:p>
        </w:tc>
      </w:tr>
      <w:tr w14:paraId="7CE47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0" w:hRule="atLeast"/>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5735F">
            <w:pPr>
              <w:jc w:val="center"/>
              <w:rPr>
                <w:rFonts w:hint="eastAsia" w:ascii="宋体" w:hAnsi="宋体" w:eastAsia="宋体" w:cs="宋体"/>
                <w:i w:val="0"/>
                <w:iCs w:val="0"/>
                <w:color w:val="000000"/>
                <w:sz w:val="22"/>
                <w:szCs w:val="22"/>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A9090C">
            <w:pPr>
              <w:jc w:val="left"/>
              <w:rPr>
                <w:rFonts w:hint="eastAsia" w:ascii="宋体" w:hAnsi="宋体" w:eastAsia="宋体" w:cs="宋体"/>
                <w:i w:val="0"/>
                <w:iCs w:val="0"/>
                <w:color w:val="000000"/>
                <w:sz w:val="22"/>
                <w:szCs w:val="22"/>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7C54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财政支出保障率</w:t>
            </w: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AC1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AC4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538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0 </w:t>
            </w:r>
          </w:p>
        </w:tc>
        <w:tc>
          <w:tcPr>
            <w:tcW w:w="1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B828E">
            <w:pPr>
              <w:jc w:val="center"/>
              <w:rPr>
                <w:rFonts w:hint="eastAsia" w:ascii="宋体" w:hAnsi="宋体" w:eastAsia="宋体" w:cs="宋体"/>
                <w:i w:val="0"/>
                <w:iCs w:val="0"/>
                <w:color w:val="000000"/>
                <w:sz w:val="22"/>
                <w:szCs w:val="22"/>
                <w:u w:val="none"/>
              </w:rPr>
            </w:pPr>
          </w:p>
        </w:tc>
        <w:tc>
          <w:tcPr>
            <w:tcW w:w="1428"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3A487E13">
            <w:pPr>
              <w:keepNext w:val="0"/>
              <w:keepLines w:val="0"/>
              <w:widowControl/>
              <w:suppressLineNumbers w:val="0"/>
              <w:jc w:val="left"/>
              <w:textAlignment w:val="bottom"/>
              <w:rPr>
                <w:rFonts w:hint="eastAsia" w:ascii="宋体" w:hAnsi="宋体" w:eastAsia="宋体" w:cs="宋体"/>
                <w:i w:val="0"/>
                <w:iCs w:val="0"/>
                <w:color w:val="0F1115"/>
                <w:sz w:val="22"/>
                <w:szCs w:val="22"/>
                <w:u w:val="none"/>
              </w:rPr>
            </w:pPr>
            <w:r>
              <w:rPr>
                <w:rFonts w:hint="eastAsia" w:ascii="宋体" w:hAnsi="宋体" w:eastAsia="宋体" w:cs="宋体"/>
                <w:i w:val="0"/>
                <w:iCs w:val="0"/>
                <w:color w:val="0F1115"/>
                <w:kern w:val="0"/>
                <w:sz w:val="22"/>
                <w:szCs w:val="22"/>
                <w:u w:val="none"/>
                <w:lang w:val="en-US" w:eastAsia="zh-CN" w:bidi="ar"/>
              </w:rPr>
              <w:t>①支出执行进度：区级一般公共预算支出12.39亿元，增长5.15%，评价其支出预算的执行效率。②重点领域保障：“三保”支出占比83.44%（剔除一次性支出）是否达到预定保障目标；惠农资金7512.76万元、乡村衔接资金2112.28万元、旅发大会项目资金1.38亿元等是否按时足额拨付。③支出合规性：资金拨付是否符合预算、审批流程和相关法规，无违规支出。</w:t>
            </w:r>
          </w:p>
        </w:tc>
      </w:tr>
      <w:tr w14:paraId="2B978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0" w:hRule="atLeast"/>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92F70">
            <w:pPr>
              <w:jc w:val="center"/>
              <w:rPr>
                <w:rFonts w:hint="eastAsia" w:ascii="宋体" w:hAnsi="宋体" w:eastAsia="宋体" w:cs="宋体"/>
                <w:i w:val="0"/>
                <w:iCs w:val="0"/>
                <w:color w:val="000000"/>
                <w:sz w:val="22"/>
                <w:szCs w:val="22"/>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58BF3F">
            <w:pPr>
              <w:jc w:val="left"/>
              <w:rPr>
                <w:rFonts w:hint="eastAsia" w:ascii="宋体" w:hAnsi="宋体" w:eastAsia="宋体" w:cs="宋体"/>
                <w:i w:val="0"/>
                <w:iCs w:val="0"/>
                <w:color w:val="000000"/>
                <w:sz w:val="22"/>
                <w:szCs w:val="22"/>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05D6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财政管理与改革任务完成率</w:t>
            </w: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3B4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0C7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834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0 </w:t>
            </w:r>
          </w:p>
        </w:tc>
        <w:tc>
          <w:tcPr>
            <w:tcW w:w="1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5C92F">
            <w:pPr>
              <w:jc w:val="center"/>
              <w:rPr>
                <w:rFonts w:hint="eastAsia" w:ascii="宋体" w:hAnsi="宋体" w:eastAsia="宋体" w:cs="宋体"/>
                <w:i w:val="0"/>
                <w:iCs w:val="0"/>
                <w:color w:val="000000"/>
                <w:sz w:val="22"/>
                <w:szCs w:val="22"/>
                <w:u w:val="none"/>
              </w:rPr>
            </w:pPr>
          </w:p>
        </w:tc>
        <w:tc>
          <w:tcPr>
            <w:tcW w:w="1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BFBB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①评审任务完成：完成123个项目的评审工作，核减金额7525.06万元，评价评审任务的覆盖面和完成效率。②制度改革落地：《雁峰区财政投资评审管理办法》等制度是否按时出台并实施。③零基预算推进：“以零为基”“以事定钱”原则是否在预算编制中得到有效贯彻和应用。</w:t>
            </w:r>
          </w:p>
        </w:tc>
      </w:tr>
      <w:tr w14:paraId="5C3F9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709FF">
            <w:pPr>
              <w:jc w:val="center"/>
              <w:rPr>
                <w:rFonts w:hint="eastAsia" w:ascii="宋体" w:hAnsi="宋体" w:eastAsia="宋体" w:cs="宋体"/>
                <w:i w:val="0"/>
                <w:iCs w:val="0"/>
                <w:color w:val="000000"/>
                <w:sz w:val="22"/>
                <w:szCs w:val="22"/>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924C18">
            <w:pPr>
              <w:jc w:val="left"/>
              <w:rPr>
                <w:rFonts w:hint="eastAsia" w:ascii="宋体" w:hAnsi="宋体" w:eastAsia="宋体" w:cs="宋体"/>
                <w:i w:val="0"/>
                <w:iCs w:val="0"/>
                <w:color w:val="000000"/>
                <w:sz w:val="22"/>
                <w:szCs w:val="22"/>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B94F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风险防控目标达成率</w:t>
            </w: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723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41B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A0A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0 </w:t>
            </w:r>
          </w:p>
        </w:tc>
        <w:tc>
          <w:tcPr>
            <w:tcW w:w="1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D1769">
            <w:pPr>
              <w:jc w:val="center"/>
              <w:rPr>
                <w:rFonts w:hint="eastAsia" w:ascii="宋体" w:hAnsi="宋体" w:eastAsia="宋体" w:cs="宋体"/>
                <w:i w:val="0"/>
                <w:iCs w:val="0"/>
                <w:color w:val="000000"/>
                <w:sz w:val="22"/>
                <w:szCs w:val="22"/>
                <w:u w:val="none"/>
              </w:rPr>
            </w:pPr>
          </w:p>
        </w:tc>
        <w:tc>
          <w:tcPr>
            <w:tcW w:w="1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9A97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①债务风险化解：成功实现“红色风险摘帽”，且债务风险等级连续6年保持“绿色”的目标是否达成。②平台公司转型：融资平台公司“双压降”工作是否按计划（或提前至2024年）推进并取得实质性进展。③监督检查执行：全区财会监督专项行动是否按计划开展，对发现问题的整改督导是否到位。</w:t>
            </w:r>
          </w:p>
        </w:tc>
      </w:tr>
      <w:tr w14:paraId="54DDD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0FDFE">
            <w:pPr>
              <w:jc w:val="center"/>
              <w:rPr>
                <w:rFonts w:hint="eastAsia" w:ascii="宋体" w:hAnsi="宋体" w:eastAsia="宋体" w:cs="宋体"/>
                <w:i w:val="0"/>
                <w:iCs w:val="0"/>
                <w:color w:val="000000"/>
                <w:sz w:val="22"/>
                <w:szCs w:val="22"/>
                <w:u w:val="none"/>
              </w:rPr>
            </w:pPr>
          </w:p>
        </w:tc>
        <w:tc>
          <w:tcPr>
            <w:tcW w:w="3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194F3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重点工作办结率（10分）</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D3C3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重大决策部署响应率</w:t>
            </w: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912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3E3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2CA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0 </w:t>
            </w:r>
          </w:p>
        </w:tc>
        <w:tc>
          <w:tcPr>
            <w:tcW w:w="1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DC878">
            <w:pPr>
              <w:jc w:val="center"/>
              <w:rPr>
                <w:rFonts w:hint="eastAsia" w:ascii="宋体" w:hAnsi="宋体" w:eastAsia="宋体" w:cs="宋体"/>
                <w:i w:val="0"/>
                <w:iCs w:val="0"/>
                <w:color w:val="000000"/>
                <w:sz w:val="22"/>
                <w:szCs w:val="22"/>
                <w:u w:val="none"/>
              </w:rPr>
            </w:pPr>
          </w:p>
        </w:tc>
        <w:tc>
          <w:tcPr>
            <w:tcW w:w="1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9E83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①政策对接与落实：围绕区委高质量发展部署，财政资金和政策是否快速、精准地向重点领域聚焦。②专项工作推进：如“助力旅发大会”专项筹资和拨款工作（南岳第一峰项目1.38亿元）是否按期完成，保障是否有力。</w:t>
            </w:r>
          </w:p>
        </w:tc>
      </w:tr>
      <w:tr w14:paraId="4D239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9B690">
            <w:pPr>
              <w:jc w:val="center"/>
              <w:rPr>
                <w:rFonts w:hint="eastAsia" w:ascii="宋体" w:hAnsi="宋体" w:eastAsia="宋体" w:cs="宋体"/>
                <w:i w:val="0"/>
                <w:iCs w:val="0"/>
                <w:color w:val="000000"/>
                <w:sz w:val="22"/>
                <w:szCs w:val="22"/>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F35407">
            <w:pPr>
              <w:jc w:val="left"/>
              <w:rPr>
                <w:rFonts w:hint="eastAsia" w:ascii="宋体" w:hAnsi="宋体" w:eastAsia="宋体" w:cs="宋体"/>
                <w:i w:val="0"/>
                <w:iCs w:val="0"/>
                <w:color w:val="000000"/>
                <w:sz w:val="22"/>
                <w:szCs w:val="22"/>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3A77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重点改革任务完成时效</w:t>
            </w: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B03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265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AEA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0 </w:t>
            </w:r>
          </w:p>
        </w:tc>
        <w:tc>
          <w:tcPr>
            <w:tcW w:w="1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40FE8">
            <w:pPr>
              <w:jc w:val="center"/>
              <w:rPr>
                <w:rFonts w:hint="eastAsia" w:ascii="宋体" w:hAnsi="宋体" w:eastAsia="宋体" w:cs="宋体"/>
                <w:i w:val="0"/>
                <w:iCs w:val="0"/>
                <w:color w:val="000000"/>
                <w:sz w:val="22"/>
                <w:szCs w:val="22"/>
                <w:u w:val="none"/>
              </w:rPr>
            </w:pPr>
          </w:p>
        </w:tc>
        <w:tc>
          <w:tcPr>
            <w:tcW w:w="1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C7FC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①改革方案出台时效：《雁峰区严肃财经纪律专项整治工作方案》等重大改革文件的制定和出台是否及时。②改革举措落地速度：全过程预算绩效管理体系、绩效结果与预算挂钩机制等改革措施是否按预定时间节点推行。</w:t>
            </w:r>
          </w:p>
        </w:tc>
      </w:tr>
      <w:tr w14:paraId="2757B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20EE9">
            <w:pPr>
              <w:jc w:val="center"/>
              <w:rPr>
                <w:rFonts w:hint="eastAsia" w:ascii="宋体" w:hAnsi="宋体" w:eastAsia="宋体" w:cs="宋体"/>
                <w:i w:val="0"/>
                <w:iCs w:val="0"/>
                <w:color w:val="000000"/>
                <w:sz w:val="22"/>
                <w:szCs w:val="22"/>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85E90A">
            <w:pPr>
              <w:jc w:val="left"/>
              <w:rPr>
                <w:rFonts w:hint="eastAsia" w:ascii="宋体" w:hAnsi="宋体" w:eastAsia="宋体" w:cs="宋体"/>
                <w:i w:val="0"/>
                <w:iCs w:val="0"/>
                <w:color w:val="000000"/>
                <w:sz w:val="22"/>
                <w:szCs w:val="22"/>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7611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风险化解攻坚完成度</w:t>
            </w: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057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E14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C78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0 </w:t>
            </w:r>
          </w:p>
        </w:tc>
        <w:tc>
          <w:tcPr>
            <w:tcW w:w="1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5AA17">
            <w:pPr>
              <w:jc w:val="center"/>
              <w:rPr>
                <w:rFonts w:hint="eastAsia" w:ascii="宋体" w:hAnsi="宋体" w:eastAsia="宋体" w:cs="宋体"/>
                <w:i w:val="0"/>
                <w:iCs w:val="0"/>
                <w:color w:val="000000"/>
                <w:sz w:val="22"/>
                <w:szCs w:val="22"/>
                <w:u w:val="none"/>
              </w:rPr>
            </w:pPr>
          </w:p>
        </w:tc>
        <w:tc>
          <w:tcPr>
            <w:tcW w:w="1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E055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①“红色摘帽”攻坚：成功实现县级财政运行红色风险摘帽这一重点攻坚任务是否在2024年8月按时乃至提前完成。②急难任务处理：对上级下达的紧急或重要的化债、监管等任务，是否能快速响应并有效办结。</w:t>
            </w:r>
          </w:p>
        </w:tc>
      </w:tr>
      <w:tr w14:paraId="1DE7C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F0A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效益（30分）</w:t>
            </w:r>
          </w:p>
        </w:tc>
        <w:tc>
          <w:tcPr>
            <w:tcW w:w="3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4EAD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社会效益（20分）</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8DA9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公共服务对象满意度</w:t>
            </w: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1C4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7E3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1D3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0 </w:t>
            </w:r>
          </w:p>
        </w:tc>
        <w:tc>
          <w:tcPr>
            <w:tcW w:w="1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EDC65">
            <w:pPr>
              <w:jc w:val="center"/>
              <w:rPr>
                <w:rFonts w:hint="eastAsia" w:ascii="宋体" w:hAnsi="宋体" w:eastAsia="宋体" w:cs="宋体"/>
                <w:i w:val="0"/>
                <w:iCs w:val="0"/>
                <w:color w:val="000000"/>
                <w:sz w:val="22"/>
                <w:szCs w:val="22"/>
                <w:u w:val="none"/>
              </w:rPr>
            </w:pPr>
          </w:p>
        </w:tc>
        <w:tc>
          <w:tcPr>
            <w:tcW w:w="1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5D3E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①惠农补贴受益群体满意度：通过抽样调查，了解11.68万受益人对惠农补贴资金发放的及时性、公平性和便捷性的满意程度。②重点项目受益单位满意度：如旅发大会承办单位、乡村振兴项目承接单位等对财政资金拨付效率和服务质量的评价。</w:t>
            </w:r>
          </w:p>
        </w:tc>
      </w:tr>
      <w:tr w14:paraId="3A716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A4A5C">
            <w:pPr>
              <w:jc w:val="center"/>
              <w:rPr>
                <w:rFonts w:hint="eastAsia" w:ascii="宋体" w:hAnsi="宋体" w:eastAsia="宋体" w:cs="宋体"/>
                <w:i w:val="0"/>
                <w:iCs w:val="0"/>
                <w:color w:val="000000"/>
                <w:sz w:val="22"/>
                <w:szCs w:val="22"/>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B36DA0">
            <w:pPr>
              <w:jc w:val="center"/>
              <w:rPr>
                <w:rFonts w:hint="eastAsia" w:ascii="宋体" w:hAnsi="宋体" w:eastAsia="宋体" w:cs="宋体"/>
                <w:i w:val="0"/>
                <w:iCs w:val="0"/>
                <w:color w:val="000000"/>
                <w:sz w:val="22"/>
                <w:szCs w:val="22"/>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4BD9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社会公众宏观感知度</w:t>
            </w: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2A8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A0C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C33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0 </w:t>
            </w:r>
          </w:p>
        </w:tc>
        <w:tc>
          <w:tcPr>
            <w:tcW w:w="1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DAB6E">
            <w:pPr>
              <w:jc w:val="center"/>
              <w:rPr>
                <w:rFonts w:hint="eastAsia" w:ascii="宋体" w:hAnsi="宋体" w:eastAsia="宋体" w:cs="宋体"/>
                <w:i w:val="0"/>
                <w:iCs w:val="0"/>
                <w:color w:val="000000"/>
                <w:sz w:val="22"/>
                <w:szCs w:val="22"/>
                <w:u w:val="none"/>
              </w:rPr>
            </w:pPr>
          </w:p>
        </w:tc>
        <w:tc>
          <w:tcPr>
            <w:tcW w:w="1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78E0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①民生保障感知：社会公众对“三保”（保基本民生、保工资、保运转）等民生支出的保障水平是否有明显的获得感和满意度。②政策宣传与透明度：评价财政政策、重点项目建设资金安排等信息的公开透明程度，以及公众的知晓度。</w:t>
            </w:r>
          </w:p>
        </w:tc>
      </w:tr>
      <w:tr w14:paraId="13CC1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24DCD">
            <w:pPr>
              <w:jc w:val="center"/>
              <w:rPr>
                <w:rFonts w:hint="eastAsia" w:ascii="宋体" w:hAnsi="宋体" w:eastAsia="宋体" w:cs="宋体"/>
                <w:i w:val="0"/>
                <w:iCs w:val="0"/>
                <w:color w:val="000000"/>
                <w:sz w:val="22"/>
                <w:szCs w:val="22"/>
                <w:u w:val="none"/>
              </w:rPr>
            </w:pPr>
          </w:p>
        </w:tc>
        <w:tc>
          <w:tcPr>
            <w:tcW w:w="3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8DED5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相关人员满意度（10分）</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B61A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区级预算部门满意度</w:t>
            </w: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ABD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B6A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C56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0 </w:t>
            </w:r>
          </w:p>
        </w:tc>
        <w:tc>
          <w:tcPr>
            <w:tcW w:w="1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17658">
            <w:pPr>
              <w:jc w:val="center"/>
              <w:rPr>
                <w:rFonts w:hint="eastAsia" w:ascii="宋体" w:hAnsi="宋体" w:eastAsia="宋体" w:cs="宋体"/>
                <w:i w:val="0"/>
                <w:iCs w:val="0"/>
                <w:color w:val="000000"/>
                <w:sz w:val="22"/>
                <w:szCs w:val="22"/>
                <w:u w:val="none"/>
              </w:rPr>
            </w:pPr>
          </w:p>
        </w:tc>
        <w:tc>
          <w:tcPr>
            <w:tcW w:w="1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BA10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①业务指导与沟通：各预算部门对财政局在预算编制、执行、报销等环节的业务指导效率和沟通顺畅度的满意度。②资金拨付效率：各预算部门对财政资金拨付的及时性和可预期性的满意程度。</w:t>
            </w:r>
          </w:p>
        </w:tc>
      </w:tr>
      <w:tr w14:paraId="555BE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CF03A">
            <w:pPr>
              <w:jc w:val="center"/>
              <w:rPr>
                <w:rFonts w:hint="eastAsia" w:ascii="宋体" w:hAnsi="宋体" w:eastAsia="宋体" w:cs="宋体"/>
                <w:i w:val="0"/>
                <w:iCs w:val="0"/>
                <w:color w:val="000000"/>
                <w:sz w:val="22"/>
                <w:szCs w:val="22"/>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4CA45E">
            <w:pPr>
              <w:jc w:val="left"/>
              <w:rPr>
                <w:rFonts w:hint="eastAsia" w:ascii="宋体" w:hAnsi="宋体" w:eastAsia="宋体" w:cs="宋体"/>
                <w:i w:val="0"/>
                <w:iCs w:val="0"/>
                <w:color w:val="000000"/>
                <w:sz w:val="22"/>
                <w:szCs w:val="22"/>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8136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平台公司及重点企业满意度</w:t>
            </w: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6EC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421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5E4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0 </w:t>
            </w:r>
          </w:p>
        </w:tc>
        <w:tc>
          <w:tcPr>
            <w:tcW w:w="1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EAEAE">
            <w:pPr>
              <w:jc w:val="center"/>
              <w:rPr>
                <w:rFonts w:hint="eastAsia" w:ascii="宋体" w:hAnsi="宋体" w:eastAsia="宋体" w:cs="宋体"/>
                <w:i w:val="0"/>
                <w:iCs w:val="0"/>
                <w:color w:val="000000"/>
                <w:sz w:val="22"/>
                <w:szCs w:val="22"/>
                <w:u w:val="none"/>
              </w:rPr>
            </w:pPr>
          </w:p>
        </w:tc>
        <w:tc>
          <w:tcPr>
            <w:tcW w:w="1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C37A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①服务与监管体验：平台公司在转型过程中，对财政局提供的政策指导、衔接服务的满意度；重点企业对“一企一策”等服务措施的认可度。②评审服务效率：项目单位对财政投资评审工作的效率、规范性和沟通协调能力的满意度。</w:t>
            </w:r>
          </w:p>
        </w:tc>
      </w:tr>
      <w:tr w14:paraId="5CB7E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8ABDA">
            <w:pPr>
              <w:jc w:val="center"/>
              <w:rPr>
                <w:rFonts w:hint="eastAsia" w:ascii="宋体" w:hAnsi="宋体" w:eastAsia="宋体" w:cs="宋体"/>
                <w:i w:val="0"/>
                <w:iCs w:val="0"/>
                <w:color w:val="000000"/>
                <w:sz w:val="22"/>
                <w:szCs w:val="22"/>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F5ADEC">
            <w:pPr>
              <w:jc w:val="left"/>
              <w:rPr>
                <w:rFonts w:hint="eastAsia" w:ascii="宋体" w:hAnsi="宋体" w:eastAsia="宋体" w:cs="宋体"/>
                <w:i w:val="0"/>
                <w:iCs w:val="0"/>
                <w:color w:val="000000"/>
                <w:sz w:val="22"/>
                <w:szCs w:val="22"/>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709A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内部员工与上级部门认可度</w:t>
            </w: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48D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7CB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E41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0 </w:t>
            </w:r>
          </w:p>
        </w:tc>
        <w:tc>
          <w:tcPr>
            <w:tcW w:w="1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4FFE7">
            <w:pPr>
              <w:jc w:val="center"/>
              <w:rPr>
                <w:rFonts w:hint="eastAsia" w:ascii="宋体" w:hAnsi="宋体" w:eastAsia="宋体" w:cs="宋体"/>
                <w:i w:val="0"/>
                <w:iCs w:val="0"/>
                <w:color w:val="000000"/>
                <w:sz w:val="22"/>
                <w:szCs w:val="22"/>
                <w:u w:val="none"/>
              </w:rPr>
            </w:pPr>
          </w:p>
        </w:tc>
        <w:tc>
          <w:tcPr>
            <w:tcW w:w="1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E972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①内部员工认同感：财政局内部员工对工作流程、管理效能和团队氛围的满意度。②上级部门评价：获得预算绩效管理工作先进单位等6项省级荣誉，直接反映了省、市上级部门对雁峰区财政工作的综合认可度。</w:t>
            </w:r>
          </w:p>
        </w:tc>
      </w:tr>
      <w:tr w14:paraId="3A20C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149"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19E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75D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570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4A0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12 </w:t>
            </w:r>
          </w:p>
        </w:tc>
        <w:tc>
          <w:tcPr>
            <w:tcW w:w="1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1D875">
            <w:pPr>
              <w:jc w:val="left"/>
              <w:rPr>
                <w:rFonts w:hint="eastAsia" w:ascii="宋体" w:hAnsi="宋体" w:eastAsia="宋体" w:cs="宋体"/>
                <w:i w:val="0"/>
                <w:iCs w:val="0"/>
                <w:color w:val="000000"/>
                <w:sz w:val="22"/>
                <w:szCs w:val="22"/>
                <w:u w:val="none"/>
              </w:rPr>
            </w:pPr>
          </w:p>
        </w:tc>
        <w:tc>
          <w:tcPr>
            <w:tcW w:w="1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0598B">
            <w:pPr>
              <w:rPr>
                <w:rFonts w:hint="eastAsia" w:ascii="宋体" w:hAnsi="宋体" w:eastAsia="宋体" w:cs="宋体"/>
                <w:i w:val="0"/>
                <w:iCs w:val="0"/>
                <w:color w:val="000000"/>
                <w:sz w:val="22"/>
                <w:szCs w:val="22"/>
                <w:u w:val="none"/>
              </w:rPr>
            </w:pPr>
          </w:p>
        </w:tc>
      </w:tr>
    </w:tbl>
    <w:p w14:paraId="45515A4A">
      <w:pPr>
        <w:pStyle w:val="1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right="0" w:rightChars="0"/>
        <w:jc w:val="left"/>
        <w:rPr>
          <w:rFonts w:hint="eastAsia" w:ascii="仿宋" w:hAnsi="仿宋" w:eastAsia="仿宋" w:cs="仿宋"/>
          <w:b w:val="0"/>
          <w:bCs w:val="0"/>
          <w:i w:val="0"/>
          <w:iCs w:val="0"/>
          <w:caps w:val="0"/>
          <w:color w:val="000000"/>
          <w:spacing w:val="0"/>
          <w:sz w:val="32"/>
          <w:szCs w:val="32"/>
          <w:u w:val="none"/>
          <w:shd w:val="clear" w:fill="FFFFFF"/>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14:paraId="49EEA4FE">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楷体" w:hAnsi="楷体" w:eastAsia="楷体" w:cs="楷体"/>
          <w:b/>
          <w:bCs/>
          <w:sz w:val="32"/>
          <w:szCs w:val="32"/>
          <w:lang w:val="en-US" w:eastAsia="zh-CN"/>
        </w:rPr>
      </w:pPr>
      <w:bookmarkStart w:id="49" w:name="_Toc31951"/>
      <w:bookmarkStart w:id="50" w:name="_Toc26985"/>
      <w:bookmarkStart w:id="51" w:name="_Toc31438"/>
      <w:r>
        <w:rPr>
          <w:rFonts w:hint="eastAsia" w:ascii="楷体" w:hAnsi="楷体" w:eastAsia="楷体" w:cs="楷体"/>
          <w:b/>
          <w:bCs/>
          <w:sz w:val="32"/>
          <w:szCs w:val="32"/>
          <w:lang w:val="en-US" w:eastAsia="zh-CN"/>
        </w:rPr>
        <w:t>（三）评价结果</w:t>
      </w:r>
      <w:bookmarkEnd w:id="49"/>
      <w:bookmarkEnd w:id="50"/>
      <w:bookmarkEnd w:id="51"/>
    </w:p>
    <w:p w14:paraId="59C16C9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1.绩效评价结果定级</w:t>
      </w:r>
    </w:p>
    <w:p w14:paraId="27D5FB03">
      <w:pPr>
        <w:pStyle w:val="12"/>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rPr>
          <w:rFonts w:hint="eastAsia" w:ascii="仿宋" w:hAnsi="仿宋" w:eastAsia="仿宋" w:cs="仿宋"/>
          <w:b w:val="0"/>
          <w:bCs w:val="0"/>
          <w:i w:val="0"/>
          <w:iCs w:val="0"/>
          <w:caps w:val="0"/>
          <w:color w:val="000000"/>
          <w:spacing w:val="0"/>
          <w:sz w:val="32"/>
          <w:szCs w:val="32"/>
          <w:u w:val="none"/>
          <w:shd w:val="clear" w:fill="FFFFFF"/>
          <w:lang w:val="en-US" w:eastAsia="zh-CN"/>
        </w:rPr>
      </w:pPr>
      <w:r>
        <w:rPr>
          <w:rFonts w:hint="eastAsia" w:ascii="仿宋" w:hAnsi="仿宋" w:eastAsia="仿宋" w:cs="仿宋"/>
          <w:i w:val="0"/>
          <w:iCs w:val="0"/>
          <w:caps w:val="0"/>
          <w:color w:val="000000"/>
          <w:spacing w:val="0"/>
          <w:sz w:val="32"/>
          <w:szCs w:val="32"/>
          <w:u w:val="none"/>
          <w:shd w:val="clear" w:fill="FFFFFF"/>
        </w:rPr>
        <w:t>本次绩效评价结果采用综合评分定级的方法，根据项目收集相关资料、项目访谈以及相关的规定与标准，总分值为100分，评价等级分</w:t>
      </w:r>
      <w:r>
        <w:rPr>
          <w:rFonts w:hint="eastAsia" w:ascii="仿宋" w:hAnsi="仿宋" w:eastAsia="仿宋" w:cs="仿宋"/>
          <w:i w:val="0"/>
          <w:iCs w:val="0"/>
          <w:caps w:val="0"/>
          <w:color w:val="000000"/>
          <w:spacing w:val="0"/>
          <w:sz w:val="32"/>
          <w:szCs w:val="32"/>
          <w:u w:val="none"/>
          <w:shd w:val="clear" w:fill="FFFFFF"/>
          <w:lang w:val="en-US" w:eastAsia="zh-CN"/>
        </w:rPr>
        <w:t>为</w:t>
      </w:r>
      <w:r>
        <w:rPr>
          <w:rFonts w:hint="eastAsia" w:ascii="仿宋" w:hAnsi="仿宋" w:eastAsia="仿宋" w:cs="仿宋"/>
          <w:i w:val="0"/>
          <w:iCs w:val="0"/>
          <w:caps w:val="0"/>
          <w:color w:val="000000"/>
          <w:spacing w:val="0"/>
          <w:sz w:val="32"/>
          <w:szCs w:val="32"/>
          <w:u w:val="none"/>
          <w:shd w:val="clear" w:fill="FFFFFF"/>
        </w:rPr>
        <w:t>优</w:t>
      </w:r>
      <w:r>
        <w:rPr>
          <w:rFonts w:hint="eastAsia" w:ascii="仿宋" w:hAnsi="仿宋" w:eastAsia="仿宋" w:cs="仿宋"/>
          <w:i w:val="0"/>
          <w:iCs w:val="0"/>
          <w:caps w:val="0"/>
          <w:color w:val="000000"/>
          <w:spacing w:val="0"/>
          <w:sz w:val="32"/>
          <w:szCs w:val="32"/>
          <w:u w:val="none"/>
          <w:shd w:val="clear" w:fill="FFFFFF"/>
          <w:lang w:val="en-US" w:eastAsia="zh-CN"/>
        </w:rPr>
        <w:t>秀</w:t>
      </w:r>
      <w:r>
        <w:rPr>
          <w:rFonts w:hint="eastAsia" w:ascii="仿宋" w:hAnsi="仿宋" w:eastAsia="仿宋" w:cs="仿宋"/>
          <w:i w:val="0"/>
          <w:iCs w:val="0"/>
          <w:caps w:val="0"/>
          <w:color w:val="000000"/>
          <w:spacing w:val="0"/>
          <w:sz w:val="32"/>
          <w:szCs w:val="32"/>
          <w:u w:val="none"/>
          <w:shd w:val="clear" w:fill="FFFFFF"/>
        </w:rPr>
        <w:t>、良</w:t>
      </w:r>
      <w:r>
        <w:rPr>
          <w:rFonts w:hint="eastAsia" w:ascii="仿宋" w:hAnsi="仿宋" w:eastAsia="仿宋" w:cs="仿宋"/>
          <w:i w:val="0"/>
          <w:iCs w:val="0"/>
          <w:caps w:val="0"/>
          <w:color w:val="000000"/>
          <w:spacing w:val="0"/>
          <w:sz w:val="32"/>
          <w:szCs w:val="32"/>
          <w:u w:val="none"/>
          <w:shd w:val="clear" w:fill="FFFFFF"/>
          <w:lang w:val="en-US" w:eastAsia="zh-CN"/>
        </w:rPr>
        <w:t>好</w:t>
      </w:r>
      <w:r>
        <w:rPr>
          <w:rFonts w:hint="eastAsia" w:ascii="仿宋" w:hAnsi="仿宋" w:eastAsia="仿宋" w:cs="仿宋"/>
          <w:i w:val="0"/>
          <w:iCs w:val="0"/>
          <w:caps w:val="0"/>
          <w:color w:val="000000"/>
          <w:spacing w:val="0"/>
          <w:sz w:val="32"/>
          <w:szCs w:val="32"/>
          <w:u w:val="none"/>
          <w:shd w:val="clear" w:fill="FFFFFF"/>
        </w:rPr>
        <w:t>、</w:t>
      </w:r>
      <w:r>
        <w:rPr>
          <w:rFonts w:hint="eastAsia" w:ascii="仿宋" w:hAnsi="仿宋" w:eastAsia="仿宋" w:cs="仿宋"/>
          <w:i w:val="0"/>
          <w:iCs w:val="0"/>
          <w:caps w:val="0"/>
          <w:color w:val="000000"/>
          <w:spacing w:val="0"/>
          <w:sz w:val="32"/>
          <w:szCs w:val="32"/>
          <w:u w:val="none"/>
          <w:shd w:val="clear" w:fill="FFFFFF"/>
          <w:lang w:val="en-US" w:eastAsia="zh-CN"/>
        </w:rPr>
        <w:t>中等</w:t>
      </w:r>
      <w:r>
        <w:rPr>
          <w:rFonts w:hint="eastAsia" w:ascii="仿宋" w:hAnsi="仿宋" w:eastAsia="仿宋" w:cs="仿宋"/>
          <w:i w:val="0"/>
          <w:iCs w:val="0"/>
          <w:caps w:val="0"/>
          <w:color w:val="000000"/>
          <w:spacing w:val="0"/>
          <w:sz w:val="32"/>
          <w:szCs w:val="32"/>
          <w:u w:val="none"/>
          <w:shd w:val="clear" w:fill="FFFFFF"/>
        </w:rPr>
        <w:t>、</w:t>
      </w:r>
      <w:r>
        <w:rPr>
          <w:rFonts w:hint="eastAsia" w:ascii="仿宋" w:hAnsi="仿宋" w:eastAsia="仿宋" w:cs="仿宋"/>
          <w:i w:val="0"/>
          <w:iCs w:val="0"/>
          <w:caps w:val="0"/>
          <w:color w:val="000000"/>
          <w:spacing w:val="0"/>
          <w:sz w:val="32"/>
          <w:szCs w:val="32"/>
          <w:u w:val="none"/>
          <w:shd w:val="clear" w:fill="FFFFFF"/>
          <w:lang w:val="en-US" w:eastAsia="zh-CN"/>
        </w:rPr>
        <w:t>较</w:t>
      </w:r>
      <w:r>
        <w:rPr>
          <w:rFonts w:hint="eastAsia" w:ascii="仿宋" w:hAnsi="仿宋" w:eastAsia="仿宋" w:cs="仿宋"/>
          <w:i w:val="0"/>
          <w:iCs w:val="0"/>
          <w:caps w:val="0"/>
          <w:color w:val="000000"/>
          <w:spacing w:val="0"/>
          <w:sz w:val="32"/>
          <w:szCs w:val="32"/>
          <w:u w:val="none"/>
          <w:shd w:val="clear" w:fill="FFFFFF"/>
          <w:lang w:eastAsia="zh-CN"/>
        </w:rPr>
        <w:t>差</w:t>
      </w:r>
      <w:r>
        <w:rPr>
          <w:rFonts w:hint="eastAsia" w:ascii="仿宋" w:hAnsi="仿宋" w:eastAsia="仿宋" w:cs="仿宋"/>
          <w:i w:val="0"/>
          <w:iCs w:val="0"/>
          <w:caps w:val="0"/>
          <w:color w:val="000000"/>
          <w:spacing w:val="0"/>
          <w:sz w:val="32"/>
          <w:szCs w:val="32"/>
          <w:u w:val="none"/>
          <w:shd w:val="clear" w:fill="FFFFFF"/>
        </w:rPr>
        <w:t>四档。评价得分高于</w:t>
      </w:r>
      <w:r>
        <w:rPr>
          <w:rFonts w:hint="eastAsia" w:ascii="仿宋" w:hAnsi="仿宋" w:eastAsia="仿宋" w:cs="仿宋"/>
          <w:i w:val="0"/>
          <w:iCs w:val="0"/>
          <w:caps w:val="0"/>
          <w:color w:val="000000"/>
          <w:spacing w:val="0"/>
          <w:sz w:val="32"/>
          <w:szCs w:val="32"/>
          <w:u w:val="none"/>
          <w:shd w:val="clear" w:fill="FFFFFF"/>
          <w:lang w:val="en-US" w:eastAsia="zh-CN"/>
        </w:rPr>
        <w:t>或等于</w:t>
      </w:r>
      <w:r>
        <w:rPr>
          <w:rFonts w:hint="eastAsia" w:ascii="仿宋" w:hAnsi="仿宋" w:eastAsia="仿宋" w:cs="仿宋"/>
          <w:i w:val="0"/>
          <w:iCs w:val="0"/>
          <w:caps w:val="0"/>
          <w:color w:val="000000"/>
          <w:spacing w:val="0"/>
          <w:sz w:val="32"/>
          <w:szCs w:val="32"/>
          <w:u w:val="none"/>
          <w:shd w:val="clear" w:fill="FFFFFF"/>
        </w:rPr>
        <w:t>90分</w:t>
      </w:r>
      <w:r>
        <w:rPr>
          <w:rFonts w:hint="eastAsia" w:ascii="仿宋" w:hAnsi="仿宋" w:eastAsia="仿宋" w:cs="仿宋"/>
          <w:i w:val="0"/>
          <w:iCs w:val="0"/>
          <w:caps w:val="0"/>
          <w:color w:val="000000"/>
          <w:spacing w:val="0"/>
          <w:sz w:val="32"/>
          <w:szCs w:val="32"/>
          <w:u w:val="none"/>
          <w:shd w:val="clear" w:fill="FFFFFF"/>
          <w:lang w:val="en-US" w:eastAsia="zh-CN"/>
        </w:rPr>
        <w:t>评价</w:t>
      </w:r>
      <w:r>
        <w:rPr>
          <w:rFonts w:hint="eastAsia" w:ascii="仿宋" w:hAnsi="仿宋" w:eastAsia="仿宋" w:cs="仿宋"/>
          <w:i w:val="0"/>
          <w:iCs w:val="0"/>
          <w:caps w:val="0"/>
          <w:color w:val="000000"/>
          <w:spacing w:val="0"/>
          <w:sz w:val="32"/>
          <w:szCs w:val="32"/>
          <w:u w:val="none"/>
          <w:shd w:val="clear" w:fill="FFFFFF"/>
        </w:rPr>
        <w:t>为优</w:t>
      </w:r>
      <w:r>
        <w:rPr>
          <w:rFonts w:hint="eastAsia" w:ascii="仿宋" w:hAnsi="仿宋" w:eastAsia="仿宋" w:cs="仿宋"/>
          <w:i w:val="0"/>
          <w:iCs w:val="0"/>
          <w:caps w:val="0"/>
          <w:color w:val="000000"/>
          <w:spacing w:val="0"/>
          <w:sz w:val="32"/>
          <w:szCs w:val="32"/>
          <w:u w:val="none"/>
          <w:shd w:val="clear" w:fill="FFFFFF"/>
          <w:lang w:val="en-US" w:eastAsia="zh-CN"/>
        </w:rPr>
        <w:t>秀</w:t>
      </w:r>
      <w:r>
        <w:rPr>
          <w:rFonts w:hint="eastAsia" w:ascii="仿宋" w:hAnsi="仿宋" w:eastAsia="仿宋" w:cs="仿宋"/>
          <w:i w:val="0"/>
          <w:iCs w:val="0"/>
          <w:caps w:val="0"/>
          <w:color w:val="000000"/>
          <w:spacing w:val="0"/>
          <w:sz w:val="32"/>
          <w:szCs w:val="32"/>
          <w:u w:val="none"/>
          <w:shd w:val="clear" w:fill="FFFFFF"/>
        </w:rPr>
        <w:t>；得分在</w:t>
      </w:r>
      <w:r>
        <w:rPr>
          <w:rFonts w:hint="eastAsia" w:ascii="仿宋" w:hAnsi="仿宋" w:eastAsia="仿宋" w:cs="仿宋"/>
          <w:i w:val="0"/>
          <w:iCs w:val="0"/>
          <w:caps w:val="0"/>
          <w:color w:val="000000"/>
          <w:spacing w:val="0"/>
          <w:sz w:val="32"/>
          <w:szCs w:val="32"/>
          <w:u w:val="none"/>
          <w:shd w:val="clear" w:fill="FFFFFF"/>
          <w:lang w:val="en-US" w:eastAsia="zh-CN"/>
        </w:rPr>
        <w:t>高于或等于80</w:t>
      </w:r>
      <w:r>
        <w:rPr>
          <w:rFonts w:hint="eastAsia" w:ascii="仿宋" w:hAnsi="仿宋" w:eastAsia="仿宋" w:cs="仿宋"/>
          <w:i w:val="0"/>
          <w:iCs w:val="0"/>
          <w:caps w:val="0"/>
          <w:color w:val="000000"/>
          <w:spacing w:val="0"/>
          <w:sz w:val="32"/>
          <w:szCs w:val="32"/>
          <w:u w:val="none"/>
          <w:shd w:val="clear" w:fill="FFFFFF"/>
        </w:rPr>
        <w:t>分</w:t>
      </w:r>
      <w:r>
        <w:rPr>
          <w:rFonts w:hint="eastAsia" w:ascii="仿宋" w:hAnsi="仿宋" w:eastAsia="仿宋" w:cs="仿宋"/>
          <w:i w:val="0"/>
          <w:iCs w:val="0"/>
          <w:caps w:val="0"/>
          <w:color w:val="000000"/>
          <w:spacing w:val="0"/>
          <w:sz w:val="32"/>
          <w:szCs w:val="32"/>
          <w:u w:val="none"/>
          <w:shd w:val="clear" w:fill="FFFFFF"/>
          <w:lang w:val="en-US" w:eastAsia="zh-CN"/>
        </w:rPr>
        <w:t>小于</w:t>
      </w:r>
      <w:r>
        <w:rPr>
          <w:rFonts w:hint="eastAsia" w:ascii="仿宋" w:hAnsi="仿宋" w:eastAsia="仿宋" w:cs="仿宋"/>
          <w:i w:val="0"/>
          <w:iCs w:val="0"/>
          <w:caps w:val="0"/>
          <w:color w:val="000000"/>
          <w:spacing w:val="0"/>
          <w:sz w:val="32"/>
          <w:szCs w:val="32"/>
          <w:u w:val="none"/>
          <w:shd w:val="clear" w:fill="FFFFFF"/>
        </w:rPr>
        <w:t>90分</w:t>
      </w:r>
      <w:r>
        <w:rPr>
          <w:rFonts w:hint="eastAsia" w:ascii="仿宋" w:hAnsi="仿宋" w:eastAsia="仿宋" w:cs="仿宋"/>
          <w:i w:val="0"/>
          <w:iCs w:val="0"/>
          <w:caps w:val="0"/>
          <w:color w:val="000000"/>
          <w:spacing w:val="0"/>
          <w:sz w:val="32"/>
          <w:szCs w:val="32"/>
          <w:u w:val="none"/>
          <w:shd w:val="clear" w:fill="FFFFFF"/>
          <w:lang w:val="en-US" w:eastAsia="zh-CN"/>
        </w:rPr>
        <w:t>评价</w:t>
      </w:r>
      <w:r>
        <w:rPr>
          <w:rFonts w:hint="eastAsia" w:ascii="仿宋" w:hAnsi="仿宋" w:eastAsia="仿宋" w:cs="仿宋"/>
          <w:i w:val="0"/>
          <w:iCs w:val="0"/>
          <w:caps w:val="0"/>
          <w:color w:val="000000"/>
          <w:spacing w:val="0"/>
          <w:sz w:val="32"/>
          <w:szCs w:val="32"/>
          <w:u w:val="none"/>
          <w:shd w:val="clear" w:fill="FFFFFF"/>
        </w:rPr>
        <w:t>为良</w:t>
      </w:r>
      <w:r>
        <w:rPr>
          <w:rFonts w:hint="eastAsia" w:ascii="仿宋" w:hAnsi="仿宋" w:eastAsia="仿宋" w:cs="仿宋"/>
          <w:i w:val="0"/>
          <w:iCs w:val="0"/>
          <w:caps w:val="0"/>
          <w:color w:val="000000"/>
          <w:spacing w:val="0"/>
          <w:sz w:val="32"/>
          <w:szCs w:val="32"/>
          <w:u w:val="none"/>
          <w:shd w:val="clear" w:fill="FFFFFF"/>
          <w:lang w:val="en-US" w:eastAsia="zh-CN"/>
        </w:rPr>
        <w:t>好</w:t>
      </w:r>
      <w:r>
        <w:rPr>
          <w:rFonts w:hint="eastAsia" w:ascii="仿宋" w:hAnsi="仿宋" w:eastAsia="仿宋" w:cs="仿宋"/>
          <w:i w:val="0"/>
          <w:iCs w:val="0"/>
          <w:caps w:val="0"/>
          <w:color w:val="000000"/>
          <w:spacing w:val="0"/>
          <w:sz w:val="32"/>
          <w:szCs w:val="32"/>
          <w:u w:val="none"/>
          <w:shd w:val="clear" w:fill="FFFFFF"/>
        </w:rPr>
        <w:t>；得分</w:t>
      </w:r>
      <w:r>
        <w:rPr>
          <w:rFonts w:hint="eastAsia" w:ascii="仿宋" w:hAnsi="仿宋" w:eastAsia="仿宋" w:cs="仿宋"/>
          <w:i w:val="0"/>
          <w:iCs w:val="0"/>
          <w:caps w:val="0"/>
          <w:color w:val="000000"/>
          <w:spacing w:val="0"/>
          <w:sz w:val="32"/>
          <w:szCs w:val="32"/>
          <w:u w:val="none"/>
          <w:shd w:val="clear" w:fill="FFFFFF"/>
          <w:lang w:val="en-US" w:eastAsia="zh-CN"/>
        </w:rPr>
        <w:t>高于或等于</w:t>
      </w:r>
      <w:r>
        <w:rPr>
          <w:rFonts w:hint="eastAsia" w:ascii="仿宋" w:hAnsi="仿宋" w:eastAsia="仿宋" w:cs="仿宋"/>
          <w:i w:val="0"/>
          <w:iCs w:val="0"/>
          <w:caps w:val="0"/>
          <w:color w:val="000000"/>
          <w:spacing w:val="0"/>
          <w:sz w:val="32"/>
          <w:szCs w:val="32"/>
          <w:u w:val="none"/>
          <w:shd w:val="clear" w:fill="FFFFFF"/>
        </w:rPr>
        <w:t>60分</w:t>
      </w:r>
      <w:r>
        <w:rPr>
          <w:rFonts w:hint="eastAsia" w:ascii="仿宋" w:hAnsi="仿宋" w:eastAsia="仿宋" w:cs="仿宋"/>
          <w:i w:val="0"/>
          <w:iCs w:val="0"/>
          <w:caps w:val="0"/>
          <w:color w:val="000000"/>
          <w:spacing w:val="0"/>
          <w:sz w:val="32"/>
          <w:szCs w:val="32"/>
          <w:u w:val="none"/>
          <w:shd w:val="clear" w:fill="FFFFFF"/>
          <w:lang w:val="en-US" w:eastAsia="zh-CN"/>
        </w:rPr>
        <w:t>低于80</w:t>
      </w:r>
      <w:r>
        <w:rPr>
          <w:rFonts w:hint="eastAsia" w:ascii="仿宋" w:hAnsi="仿宋" w:eastAsia="仿宋" w:cs="仿宋"/>
          <w:i w:val="0"/>
          <w:iCs w:val="0"/>
          <w:caps w:val="0"/>
          <w:color w:val="000000"/>
          <w:spacing w:val="0"/>
          <w:sz w:val="32"/>
          <w:szCs w:val="32"/>
          <w:u w:val="none"/>
          <w:shd w:val="clear" w:fill="FFFFFF"/>
        </w:rPr>
        <w:t>分</w:t>
      </w:r>
      <w:r>
        <w:rPr>
          <w:rFonts w:hint="eastAsia" w:ascii="仿宋" w:hAnsi="仿宋" w:eastAsia="仿宋" w:cs="仿宋"/>
          <w:i w:val="0"/>
          <w:iCs w:val="0"/>
          <w:caps w:val="0"/>
          <w:color w:val="000000"/>
          <w:spacing w:val="0"/>
          <w:sz w:val="32"/>
          <w:szCs w:val="32"/>
          <w:u w:val="none"/>
          <w:shd w:val="clear" w:fill="FFFFFF"/>
          <w:lang w:val="en-US" w:eastAsia="zh-CN"/>
        </w:rPr>
        <w:t>评价</w:t>
      </w:r>
      <w:r>
        <w:rPr>
          <w:rFonts w:hint="eastAsia" w:ascii="仿宋" w:hAnsi="仿宋" w:eastAsia="仿宋" w:cs="仿宋"/>
          <w:i w:val="0"/>
          <w:iCs w:val="0"/>
          <w:caps w:val="0"/>
          <w:color w:val="000000"/>
          <w:spacing w:val="0"/>
          <w:sz w:val="32"/>
          <w:szCs w:val="32"/>
          <w:u w:val="none"/>
          <w:shd w:val="clear" w:fill="FFFFFF"/>
        </w:rPr>
        <w:t>为</w:t>
      </w:r>
      <w:r>
        <w:rPr>
          <w:rFonts w:hint="eastAsia" w:ascii="仿宋" w:hAnsi="仿宋" w:eastAsia="仿宋" w:cs="仿宋"/>
          <w:i w:val="0"/>
          <w:iCs w:val="0"/>
          <w:caps w:val="0"/>
          <w:color w:val="000000"/>
          <w:spacing w:val="0"/>
          <w:sz w:val="32"/>
          <w:szCs w:val="32"/>
          <w:u w:val="none"/>
          <w:shd w:val="clear" w:fill="FFFFFF"/>
          <w:lang w:val="en-US" w:eastAsia="zh-CN"/>
        </w:rPr>
        <w:t>中等</w:t>
      </w:r>
      <w:r>
        <w:rPr>
          <w:rFonts w:hint="eastAsia" w:ascii="仿宋" w:hAnsi="仿宋" w:eastAsia="仿宋" w:cs="仿宋"/>
          <w:i w:val="0"/>
          <w:iCs w:val="0"/>
          <w:caps w:val="0"/>
          <w:color w:val="000000"/>
          <w:spacing w:val="0"/>
          <w:sz w:val="32"/>
          <w:szCs w:val="32"/>
          <w:u w:val="none"/>
          <w:shd w:val="clear" w:fill="FFFFFF"/>
        </w:rPr>
        <w:t>；得分在60分以下</w:t>
      </w:r>
      <w:r>
        <w:rPr>
          <w:rFonts w:hint="eastAsia" w:ascii="仿宋" w:hAnsi="仿宋" w:eastAsia="仿宋" w:cs="仿宋"/>
          <w:i w:val="0"/>
          <w:iCs w:val="0"/>
          <w:caps w:val="0"/>
          <w:color w:val="000000"/>
          <w:spacing w:val="0"/>
          <w:sz w:val="32"/>
          <w:szCs w:val="32"/>
          <w:u w:val="none"/>
          <w:shd w:val="clear" w:fill="FFFFFF"/>
          <w:lang w:val="en-US" w:eastAsia="zh-CN"/>
        </w:rPr>
        <w:t>评价</w:t>
      </w:r>
      <w:r>
        <w:rPr>
          <w:rFonts w:hint="eastAsia" w:ascii="仿宋" w:hAnsi="仿宋" w:eastAsia="仿宋" w:cs="仿宋"/>
          <w:i w:val="0"/>
          <w:iCs w:val="0"/>
          <w:caps w:val="0"/>
          <w:color w:val="000000"/>
          <w:spacing w:val="0"/>
          <w:sz w:val="32"/>
          <w:szCs w:val="32"/>
          <w:u w:val="none"/>
          <w:shd w:val="clear" w:fill="FFFFFF"/>
        </w:rPr>
        <w:t>为</w:t>
      </w:r>
      <w:r>
        <w:rPr>
          <w:rFonts w:hint="eastAsia" w:ascii="仿宋" w:hAnsi="仿宋" w:eastAsia="仿宋" w:cs="仿宋"/>
          <w:i w:val="0"/>
          <w:iCs w:val="0"/>
          <w:caps w:val="0"/>
          <w:color w:val="000000"/>
          <w:spacing w:val="0"/>
          <w:sz w:val="32"/>
          <w:szCs w:val="32"/>
          <w:u w:val="none"/>
          <w:shd w:val="clear" w:fill="FFFFFF"/>
          <w:lang w:val="en-US" w:eastAsia="zh-CN"/>
        </w:rPr>
        <w:t>较</w:t>
      </w:r>
      <w:r>
        <w:rPr>
          <w:rFonts w:hint="eastAsia" w:ascii="仿宋" w:hAnsi="仿宋" w:eastAsia="仿宋" w:cs="仿宋"/>
          <w:i w:val="0"/>
          <w:iCs w:val="0"/>
          <w:caps w:val="0"/>
          <w:color w:val="000000"/>
          <w:spacing w:val="0"/>
          <w:sz w:val="32"/>
          <w:szCs w:val="32"/>
          <w:u w:val="none"/>
          <w:shd w:val="clear" w:fill="FFFFFF"/>
          <w:lang w:eastAsia="zh-CN"/>
        </w:rPr>
        <w:t>差</w:t>
      </w:r>
      <w:r>
        <w:rPr>
          <w:rFonts w:hint="eastAsia" w:ascii="仿宋" w:hAnsi="仿宋" w:eastAsia="仿宋" w:cs="仿宋"/>
          <w:i w:val="0"/>
          <w:iCs w:val="0"/>
          <w:caps w:val="0"/>
          <w:color w:val="000000"/>
          <w:spacing w:val="0"/>
          <w:sz w:val="32"/>
          <w:szCs w:val="32"/>
          <w:u w:val="none"/>
          <w:shd w:val="clear" w:fill="FFFFFF"/>
        </w:rPr>
        <w:t>。</w:t>
      </w:r>
    </w:p>
    <w:p w14:paraId="66B46D4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2.绩效评价结论</w:t>
      </w:r>
    </w:p>
    <w:p w14:paraId="7DB439F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i w:val="0"/>
          <w:iCs w:val="0"/>
          <w:caps w:val="0"/>
          <w:color w:val="000000"/>
          <w:spacing w:val="0"/>
          <w:sz w:val="32"/>
          <w:szCs w:val="32"/>
          <w:u w:val="none"/>
          <w:shd w:val="clear" w:fill="FFFFFF"/>
          <w:lang w:val="en-US" w:eastAsia="zh-CN"/>
        </w:rPr>
        <w:t>部门整体支出绩效评价综合得分</w:t>
      </w:r>
      <w:r>
        <w:rPr>
          <w:rFonts w:hint="eastAsia" w:ascii="仿宋" w:hAnsi="仿宋" w:eastAsia="仿宋" w:cs="仿宋"/>
          <w:b w:val="0"/>
          <w:bCs w:val="0"/>
          <w:i w:val="0"/>
          <w:iCs w:val="0"/>
          <w:caps w:val="0"/>
          <w:color w:val="000000"/>
          <w:spacing w:val="0"/>
          <w:sz w:val="32"/>
          <w:szCs w:val="32"/>
          <w:highlight w:val="none"/>
          <w:u w:val="none"/>
          <w:shd w:val="clear" w:fill="FFFFFF"/>
          <w:lang w:val="en-US" w:eastAsia="zh-CN"/>
        </w:rPr>
        <w:t>88</w:t>
      </w:r>
      <w:r>
        <w:rPr>
          <w:rFonts w:hint="eastAsia" w:ascii="仿宋" w:hAnsi="仿宋" w:eastAsia="仿宋" w:cs="仿宋"/>
          <w:b w:val="0"/>
          <w:bCs w:val="0"/>
          <w:i w:val="0"/>
          <w:iCs w:val="0"/>
          <w:caps w:val="0"/>
          <w:color w:val="000000"/>
          <w:spacing w:val="0"/>
          <w:sz w:val="32"/>
          <w:szCs w:val="32"/>
          <w:u w:val="none"/>
          <w:shd w:val="clear" w:fill="FFFFFF"/>
          <w:lang w:val="en-US" w:eastAsia="zh-CN"/>
        </w:rPr>
        <w:t>分，等级为“良好”。2024年区财政局</w:t>
      </w:r>
      <w:r>
        <w:rPr>
          <w:rFonts w:hint="eastAsia" w:ascii="仿宋" w:hAnsi="仿宋" w:eastAsia="仿宋" w:cs="仿宋"/>
          <w:b/>
          <w:bCs/>
          <w:i w:val="0"/>
          <w:iCs w:val="0"/>
          <w:caps w:val="0"/>
          <w:color w:val="000000"/>
          <w:spacing w:val="0"/>
          <w:sz w:val="32"/>
          <w:szCs w:val="32"/>
          <w:u w:val="none"/>
          <w:shd w:val="clear" w:fill="FFFFFF"/>
          <w:lang w:val="en-US" w:eastAsia="zh-CN"/>
        </w:rPr>
        <w:t>预算调整率为18.23%，预算整体执行率为100.00</w:t>
      </w:r>
      <w:r>
        <w:rPr>
          <w:rFonts w:hint="eastAsia" w:ascii="仿宋" w:hAnsi="仿宋" w:eastAsia="仿宋" w:cs="仿宋"/>
          <w:b/>
          <w:bCs/>
          <w:sz w:val="32"/>
          <w:szCs w:val="32"/>
          <w:highlight w:val="none"/>
          <w:lang w:val="en-US" w:eastAsia="zh-CN"/>
        </w:rPr>
        <w:t>%</w:t>
      </w:r>
      <w:r>
        <w:rPr>
          <w:rFonts w:hint="eastAsia" w:ascii="仿宋" w:hAnsi="仿宋" w:eastAsia="仿宋" w:cs="仿宋"/>
          <w:b/>
          <w:bCs/>
          <w:i w:val="0"/>
          <w:iCs w:val="0"/>
          <w:caps w:val="0"/>
          <w:color w:val="000000"/>
          <w:spacing w:val="0"/>
          <w:sz w:val="32"/>
          <w:szCs w:val="32"/>
          <w:u w:val="none"/>
          <w:shd w:val="clear" w:fill="FFFFFF"/>
          <w:lang w:val="en-US" w:eastAsia="zh-CN"/>
        </w:rPr>
        <w:t>，人员控制率为112.50%。2024年区财政局实现</w:t>
      </w:r>
      <w:r>
        <w:rPr>
          <w:rFonts w:hint="eastAsia" w:ascii="仿宋" w:hAnsi="仿宋" w:eastAsia="仿宋" w:cs="仿宋"/>
          <w:b/>
          <w:bCs/>
          <w:sz w:val="32"/>
          <w:szCs w:val="32"/>
          <w:lang w:val="en-US" w:eastAsia="zh-CN"/>
        </w:rPr>
        <w:t>财政收入稳步增长，</w:t>
      </w:r>
      <w:r>
        <w:rPr>
          <w:rFonts w:hint="eastAsia" w:ascii="仿宋" w:hAnsi="仿宋" w:eastAsia="仿宋" w:cs="仿宋"/>
          <w:b w:val="0"/>
          <w:bCs w:val="0"/>
          <w:sz w:val="32"/>
          <w:szCs w:val="32"/>
          <w:lang w:val="en-US" w:eastAsia="zh-CN"/>
        </w:rPr>
        <w:t>争资争项成果丰硕，风险防范扎实有效。</w:t>
      </w:r>
      <w:r>
        <w:rPr>
          <w:rFonts w:hint="eastAsia" w:ascii="仿宋" w:hAnsi="仿宋" w:eastAsia="仿宋" w:cs="仿宋"/>
          <w:b/>
          <w:bCs/>
          <w:sz w:val="32"/>
          <w:szCs w:val="32"/>
          <w:lang w:val="en-US" w:eastAsia="zh-CN"/>
        </w:rPr>
        <w:t>支出结构持续优化，</w:t>
      </w:r>
      <w:r>
        <w:rPr>
          <w:rFonts w:hint="eastAsia" w:ascii="仿宋" w:hAnsi="仿宋" w:eastAsia="仿宋" w:cs="仿宋"/>
          <w:b w:val="0"/>
          <w:bCs w:val="0"/>
          <w:sz w:val="32"/>
          <w:szCs w:val="32"/>
          <w:lang w:val="en-US" w:eastAsia="zh-CN"/>
        </w:rPr>
        <w:t>民生底线牢牢兜住，重点领域保障有力</w:t>
      </w:r>
      <w:r>
        <w:rPr>
          <w:rFonts w:hint="eastAsia" w:ascii="仿宋" w:hAnsi="仿宋" w:eastAsia="仿宋" w:cs="仿宋"/>
          <w:b/>
          <w:bCs/>
          <w:sz w:val="32"/>
          <w:szCs w:val="32"/>
          <w:lang w:val="en-US" w:eastAsia="zh-CN"/>
        </w:rPr>
        <w:t>。财税改革纵深推进，</w:t>
      </w:r>
      <w:r>
        <w:rPr>
          <w:rFonts w:hint="eastAsia" w:ascii="仿宋" w:hAnsi="仿宋" w:eastAsia="仿宋" w:cs="仿宋"/>
          <w:b w:val="0"/>
          <w:bCs w:val="0"/>
          <w:sz w:val="32"/>
          <w:szCs w:val="32"/>
          <w:lang w:val="en-US" w:eastAsia="zh-CN"/>
        </w:rPr>
        <w:t>绩效管理全面加强，评审效能显著提升。</w:t>
      </w:r>
      <w:r>
        <w:rPr>
          <w:rFonts w:hint="eastAsia" w:ascii="仿宋" w:hAnsi="仿宋" w:eastAsia="仿宋" w:cs="仿宋"/>
          <w:b/>
          <w:bCs/>
          <w:sz w:val="32"/>
          <w:szCs w:val="32"/>
          <w:lang w:val="en-US" w:eastAsia="zh-CN"/>
        </w:rPr>
        <w:t>财经纪律严格执行，</w:t>
      </w:r>
      <w:r>
        <w:rPr>
          <w:rFonts w:hint="eastAsia" w:ascii="仿宋" w:hAnsi="仿宋" w:eastAsia="仿宋" w:cs="仿宋"/>
          <w:b w:val="0"/>
          <w:bCs w:val="0"/>
          <w:sz w:val="32"/>
          <w:szCs w:val="32"/>
          <w:lang w:val="en-US" w:eastAsia="zh-CN"/>
        </w:rPr>
        <w:t>平台转型加速推进，财政运行安全稳健。</w:t>
      </w:r>
    </w:p>
    <w:p w14:paraId="64D50FEB">
      <w:pPr>
        <w:pStyle w:val="7"/>
        <w:keepNext w:val="0"/>
        <w:keepLines w:val="0"/>
        <w:pageBreakBefore w:val="0"/>
        <w:widowControl/>
        <w:kinsoku/>
        <w:wordWrap/>
        <w:overflowPunct/>
        <w:topLinePunct w:val="0"/>
        <w:autoSpaceDE/>
        <w:autoSpaceDN/>
        <w:bidi w:val="0"/>
        <w:adjustRightInd/>
        <w:snapToGrid/>
        <w:spacing w:after="0" w:line="560" w:lineRule="exact"/>
        <w:ind w:left="0" w:leftChars="0" w:firstLine="0" w:firstLineChars="0"/>
        <w:jc w:val="both"/>
        <w:textAlignment w:val="auto"/>
        <w:rPr>
          <w:rFonts w:hint="eastAsia" w:ascii="仿宋" w:hAnsi="仿宋" w:eastAsia="仿宋" w:cs="仿宋"/>
          <w:b/>
          <w:bCs/>
          <w:i w:val="0"/>
          <w:iCs w:val="0"/>
          <w:caps w:val="0"/>
          <w:color w:val="000000"/>
          <w:spacing w:val="0"/>
          <w:sz w:val="32"/>
          <w:szCs w:val="32"/>
          <w:highlight w:val="none"/>
          <w:u w:val="none"/>
          <w:shd w:val="clear" w:fill="FFFFFF"/>
          <w:lang w:val="en-US" w:eastAsia="zh-CN"/>
        </w:rPr>
      </w:pPr>
      <w:r>
        <w:rPr>
          <w:rFonts w:hint="eastAsia" w:ascii="仿宋" w:hAnsi="仿宋" w:eastAsia="仿宋" w:cs="仿宋"/>
          <w:b w:val="0"/>
          <w:bCs w:val="0"/>
          <w:i w:val="0"/>
          <w:iCs w:val="0"/>
          <w:caps w:val="0"/>
          <w:color w:val="000000"/>
          <w:spacing w:val="0"/>
          <w:sz w:val="32"/>
          <w:szCs w:val="32"/>
          <w:highlight w:val="none"/>
          <w:u w:val="none"/>
          <w:shd w:val="clear" w:fill="FFFFFF"/>
          <w:lang w:val="en-US" w:eastAsia="zh-CN"/>
        </w:rPr>
        <w:t>但在预算配置与执行方面、管理程序方面及人员经费管理方面存在不足，在预算精准化、程序规范化、管理精细化方面仍有提升空间。建议补短板、强弱项，推动区财政局工作绩效管理水平再上新台阶。</w:t>
      </w:r>
    </w:p>
    <w:p w14:paraId="5F9D58C6">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firstLine="640" w:firstLineChars="200"/>
        <w:jc w:val="both"/>
        <w:textAlignment w:val="auto"/>
        <w:outlineLvl w:val="0"/>
        <w:rPr>
          <w:rFonts w:hint="eastAsia" w:ascii="黑体" w:hAnsi="黑体" w:eastAsia="黑体" w:cs="黑体"/>
          <w:sz w:val="32"/>
          <w:szCs w:val="32"/>
          <w:lang w:eastAsia="zh-CN"/>
        </w:rPr>
      </w:pPr>
      <w:bookmarkStart w:id="52" w:name="_Toc13136"/>
      <w:r>
        <w:rPr>
          <w:rFonts w:hint="eastAsia" w:ascii="黑体" w:hAnsi="黑体" w:eastAsia="黑体" w:cs="黑体"/>
          <w:sz w:val="32"/>
          <w:szCs w:val="32"/>
          <w:lang w:val="en-US" w:eastAsia="zh-CN"/>
        </w:rPr>
        <w:t>主要</w:t>
      </w:r>
      <w:r>
        <w:rPr>
          <w:rFonts w:hint="eastAsia" w:ascii="黑体" w:hAnsi="黑体" w:eastAsia="黑体" w:cs="黑体"/>
          <w:sz w:val="32"/>
          <w:szCs w:val="32"/>
          <w:lang w:eastAsia="zh-CN"/>
        </w:rPr>
        <w:t>问题与改进建议</w:t>
      </w:r>
      <w:bookmarkEnd w:id="52"/>
    </w:p>
    <w:p w14:paraId="7BB230F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1"/>
        <w:rPr>
          <w:rFonts w:hint="eastAsia" w:ascii="楷体" w:hAnsi="楷体" w:eastAsia="楷体" w:cs="楷体"/>
          <w:b/>
          <w:bCs/>
          <w:sz w:val="32"/>
          <w:szCs w:val="32"/>
          <w:lang w:val="en-US" w:eastAsia="zh-CN"/>
        </w:rPr>
      </w:pPr>
      <w:bookmarkStart w:id="53" w:name="_Toc17218"/>
      <w:r>
        <w:rPr>
          <w:rFonts w:hint="eastAsia" w:ascii="楷体" w:hAnsi="楷体" w:eastAsia="楷体" w:cs="楷体"/>
          <w:b/>
          <w:bCs/>
          <w:sz w:val="32"/>
          <w:szCs w:val="32"/>
          <w:lang w:val="en-US" w:eastAsia="zh-CN"/>
        </w:rPr>
        <w:t>（一）预算配置与执行方面存在的问题及建议</w:t>
      </w:r>
      <w:bookmarkEnd w:id="53"/>
    </w:p>
    <w:p w14:paraId="1B5D0D1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1.存在基本支出挤占项目支出的情况。</w:t>
      </w:r>
    </w:p>
    <w:p w14:paraId="439C9FA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相关政策1：</w:t>
      </w:r>
      <w:r>
        <w:rPr>
          <w:rFonts w:hint="eastAsia" w:ascii="仿宋" w:hAnsi="仿宋" w:eastAsia="仿宋" w:cs="仿宋"/>
          <w:b w:val="0"/>
          <w:bCs w:val="0"/>
          <w:sz w:val="32"/>
          <w:szCs w:val="32"/>
          <w:lang w:val="en-US" w:eastAsia="zh-CN"/>
        </w:rPr>
        <w:t>上述违反了《中华人民共和国预算法》第十三条。各级政府、各部门、各单位的支出必须以经批准的预算为依据，未列入预算的不得支出。核心解读：预算一经人大批准，即具有法律效力。基本支出和项目支出是法定的、不同用途的预算科目，相互之间不能随意流用。将项目资金用于基本支出，相当于篡改了经法律程序批准的预算案，违反了预算的刚性约束原则。</w:t>
      </w:r>
      <w:r>
        <w:rPr>
          <w:rFonts w:hint="eastAsia" w:ascii="仿宋" w:hAnsi="仿宋" w:eastAsia="仿宋" w:cs="仿宋"/>
          <w:b/>
          <w:bCs/>
          <w:sz w:val="32"/>
          <w:szCs w:val="32"/>
          <w:lang w:val="en-US" w:eastAsia="zh-CN"/>
        </w:rPr>
        <w:t>相关政策2：</w:t>
      </w:r>
      <w:r>
        <w:rPr>
          <w:rFonts w:hint="eastAsia" w:ascii="仿宋" w:hAnsi="仿宋" w:eastAsia="仿宋" w:cs="仿宋"/>
          <w:b w:val="0"/>
          <w:bCs w:val="0"/>
          <w:sz w:val="32"/>
          <w:szCs w:val="32"/>
          <w:lang w:val="en-US" w:eastAsia="zh-CN"/>
        </w:rPr>
        <w:t>上述违反了《中华人民共和国预算法实施条例》进一步细化了预算执行的要求，强调要严格按预算用途使用资金。</w:t>
      </w:r>
      <w:r>
        <w:rPr>
          <w:rFonts w:hint="eastAsia" w:ascii="仿宋" w:hAnsi="仿宋" w:eastAsia="仿宋" w:cs="仿宋"/>
          <w:b/>
          <w:bCs/>
          <w:sz w:val="32"/>
          <w:szCs w:val="32"/>
          <w:lang w:val="en-US" w:eastAsia="zh-CN"/>
        </w:rPr>
        <w:t>相关政策3：</w:t>
      </w:r>
      <w:r>
        <w:rPr>
          <w:rFonts w:hint="eastAsia" w:ascii="仿宋" w:hAnsi="仿宋" w:eastAsia="仿宋" w:cs="仿宋"/>
          <w:b w:val="0"/>
          <w:bCs w:val="0"/>
          <w:sz w:val="32"/>
          <w:szCs w:val="32"/>
          <w:lang w:val="en-US" w:eastAsia="zh-CN"/>
        </w:rPr>
        <w:t>上述违反了《项目支出绩效管理办法》、《专项资金管理办法》。项目资金必须“专款专用”。将项目资金用于发放人员工资、支付运转费用等基本开支，直接违反了“专款专用”规定。</w:t>
      </w:r>
      <w:r>
        <w:rPr>
          <w:rFonts w:hint="eastAsia" w:ascii="仿宋" w:hAnsi="仿宋" w:eastAsia="仿宋" w:cs="仿宋"/>
          <w:b/>
          <w:bCs/>
          <w:sz w:val="32"/>
          <w:szCs w:val="32"/>
          <w:lang w:val="en-US" w:eastAsia="zh-CN"/>
        </w:rPr>
        <w:t>原因分析如下：一是基本支出保障不足。</w:t>
      </w:r>
      <w:r>
        <w:rPr>
          <w:rFonts w:hint="eastAsia" w:ascii="仿宋" w:hAnsi="仿宋" w:eastAsia="仿宋" w:cs="仿宋"/>
          <w:b w:val="0"/>
          <w:bCs w:val="0"/>
          <w:sz w:val="32"/>
          <w:szCs w:val="32"/>
          <w:lang w:val="en-US" w:eastAsia="zh-CN"/>
        </w:rPr>
        <w:t>最常见的根源。编制内人员经费和公用经费定额标准偏低，无法覆盖实际运行成本，</w:t>
      </w:r>
      <w:r>
        <w:rPr>
          <w:rFonts w:hint="eastAsia" w:ascii="仿宋" w:hAnsi="仿宋" w:eastAsia="仿宋" w:cs="仿宋"/>
          <w:b/>
          <w:bCs/>
          <w:sz w:val="32"/>
          <w:szCs w:val="32"/>
          <w:lang w:val="en-US" w:eastAsia="zh-CN"/>
        </w:rPr>
        <w:t>“钱不够花”</w:t>
      </w:r>
      <w:r>
        <w:rPr>
          <w:rFonts w:hint="eastAsia" w:ascii="仿宋" w:hAnsi="仿宋" w:eastAsia="仿宋" w:cs="仿宋"/>
          <w:b w:val="0"/>
          <w:bCs w:val="0"/>
          <w:sz w:val="32"/>
          <w:szCs w:val="32"/>
          <w:lang w:val="en-US" w:eastAsia="zh-CN"/>
        </w:rPr>
        <w:t>。</w:t>
      </w:r>
      <w:r>
        <w:rPr>
          <w:rFonts w:hint="eastAsia" w:ascii="仿宋" w:hAnsi="仿宋" w:eastAsia="仿宋" w:cs="仿宋"/>
          <w:b/>
          <w:bCs/>
          <w:sz w:val="32"/>
          <w:szCs w:val="32"/>
          <w:lang w:val="en-US" w:eastAsia="zh-CN"/>
        </w:rPr>
        <w:t>二是预算编制不科学。</w:t>
      </w:r>
      <w:r>
        <w:rPr>
          <w:rFonts w:hint="eastAsia" w:ascii="仿宋" w:hAnsi="仿宋" w:eastAsia="仿宋" w:cs="仿宋"/>
          <w:b w:val="0"/>
          <w:bCs w:val="0"/>
          <w:sz w:val="32"/>
          <w:szCs w:val="32"/>
          <w:lang w:val="en-US" w:eastAsia="zh-CN"/>
        </w:rPr>
        <w:t>项目支出预算相比基本支出更容易获批，且预算额度可能更宽松。</w:t>
      </w:r>
      <w:r>
        <w:rPr>
          <w:rFonts w:hint="eastAsia" w:ascii="仿宋" w:hAnsi="仿宋" w:eastAsia="仿宋" w:cs="仿宋"/>
          <w:b/>
          <w:bCs/>
          <w:sz w:val="32"/>
          <w:szCs w:val="32"/>
          <w:lang w:val="en-US" w:eastAsia="zh-CN"/>
        </w:rPr>
        <w:t>三是内部控制薄弱。</w:t>
      </w:r>
      <w:r>
        <w:rPr>
          <w:rFonts w:hint="eastAsia" w:ascii="仿宋" w:hAnsi="仿宋" w:eastAsia="仿宋" w:cs="仿宋"/>
          <w:b w:val="0"/>
          <w:bCs w:val="0"/>
          <w:sz w:val="32"/>
          <w:szCs w:val="32"/>
          <w:lang w:val="en-US" w:eastAsia="zh-CN"/>
        </w:rPr>
        <w:t>单位内部财务管理制度不健全，审批流程形同虚设，财务人员监督乏力。</w:t>
      </w:r>
    </w:p>
    <w:p w14:paraId="0768956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建议：</w:t>
      </w:r>
      <w:r>
        <w:rPr>
          <w:rFonts w:hint="eastAsia" w:ascii="仿宋" w:hAnsi="仿宋" w:eastAsia="仿宋" w:cs="仿宋"/>
          <w:b w:val="0"/>
          <w:bCs w:val="0"/>
          <w:sz w:val="32"/>
          <w:szCs w:val="32"/>
          <w:lang w:val="en-US" w:eastAsia="zh-CN"/>
        </w:rPr>
        <w:t>解决基本支出挤占项目支出现象需要</w:t>
      </w:r>
      <w:r>
        <w:rPr>
          <w:rFonts w:hint="eastAsia" w:ascii="仿宋" w:hAnsi="仿宋" w:eastAsia="仿宋" w:cs="仿宋"/>
          <w:b/>
          <w:bCs/>
          <w:sz w:val="32"/>
          <w:szCs w:val="32"/>
          <w:lang w:val="en-US" w:eastAsia="zh-CN"/>
        </w:rPr>
        <w:t>顶层设计（财政保障）、过程监管（技术+人工）和单位自律（内控+观念）三</w:t>
      </w:r>
      <w:r>
        <w:rPr>
          <w:rFonts w:hint="eastAsia" w:ascii="仿宋" w:hAnsi="仿宋" w:eastAsia="仿宋" w:cs="仿宋"/>
          <w:b w:val="0"/>
          <w:bCs w:val="0"/>
          <w:sz w:val="32"/>
          <w:szCs w:val="32"/>
          <w:lang w:val="en-US" w:eastAsia="zh-CN"/>
        </w:rPr>
        <w:t>管齐下，从“堵后门”和“开前门”两个方向入手，既要</w:t>
      </w:r>
      <w:r>
        <w:rPr>
          <w:rFonts w:hint="eastAsia" w:ascii="仿宋" w:hAnsi="仿宋" w:eastAsia="仿宋" w:cs="仿宋"/>
          <w:b/>
          <w:bCs/>
          <w:sz w:val="32"/>
          <w:szCs w:val="32"/>
          <w:lang w:val="en-US" w:eastAsia="zh-CN"/>
        </w:rPr>
        <w:t>严厉禁止</w:t>
      </w:r>
      <w:r>
        <w:rPr>
          <w:rFonts w:hint="eastAsia" w:ascii="仿宋" w:hAnsi="仿宋" w:eastAsia="仿宋" w:cs="仿宋"/>
          <w:b w:val="0"/>
          <w:bCs w:val="0"/>
          <w:sz w:val="32"/>
          <w:szCs w:val="32"/>
          <w:lang w:val="en-US" w:eastAsia="zh-CN"/>
        </w:rPr>
        <w:t>，也要</w:t>
      </w:r>
      <w:r>
        <w:rPr>
          <w:rFonts w:hint="eastAsia" w:ascii="仿宋" w:hAnsi="仿宋" w:eastAsia="仿宋" w:cs="仿宋"/>
          <w:b/>
          <w:bCs/>
          <w:sz w:val="32"/>
          <w:szCs w:val="32"/>
          <w:lang w:val="en-US" w:eastAsia="zh-CN"/>
        </w:rPr>
        <w:t>疏导根源，</w:t>
      </w:r>
      <w:r>
        <w:rPr>
          <w:rFonts w:hint="eastAsia" w:ascii="仿宋" w:hAnsi="仿宋" w:eastAsia="仿宋" w:cs="仿宋"/>
          <w:b w:val="0"/>
          <w:bCs w:val="0"/>
          <w:sz w:val="32"/>
          <w:szCs w:val="32"/>
          <w:lang w:val="en-US" w:eastAsia="zh-CN"/>
        </w:rPr>
        <w:t>从根本上遏制这一现象，确保财政资金的安全、规范和有效使用。</w:t>
      </w:r>
      <w:r>
        <w:rPr>
          <w:rFonts w:hint="eastAsia" w:ascii="仿宋" w:hAnsi="仿宋" w:eastAsia="仿宋" w:cs="仿宋"/>
          <w:b/>
          <w:bCs/>
          <w:sz w:val="32"/>
          <w:szCs w:val="32"/>
          <w:lang w:val="en-US" w:eastAsia="zh-CN"/>
        </w:rPr>
        <w:t>一是强化预算编制与审核，从源头杜绝“可能性”。A科学核定基本支出。</w:t>
      </w:r>
      <w:r>
        <w:rPr>
          <w:rFonts w:hint="eastAsia" w:ascii="仿宋" w:hAnsi="仿宋" w:eastAsia="仿宋" w:cs="仿宋"/>
          <w:b w:val="0"/>
          <w:bCs w:val="0"/>
          <w:sz w:val="32"/>
          <w:szCs w:val="32"/>
          <w:lang w:val="en-US" w:eastAsia="zh-CN"/>
        </w:rPr>
        <w:t>建立动态调整机制，使人员经费和公用经费定额标准更加贴合实际，确保机构正常运转的合理需求。</w:t>
      </w:r>
      <w:r>
        <w:rPr>
          <w:rFonts w:hint="eastAsia" w:ascii="仿宋" w:hAnsi="仿宋" w:eastAsia="仿宋" w:cs="仿宋"/>
          <w:b/>
          <w:bCs/>
          <w:sz w:val="32"/>
          <w:szCs w:val="32"/>
          <w:lang w:val="en-US" w:eastAsia="zh-CN"/>
        </w:rPr>
        <w:t>B严格项目库管理。</w:t>
      </w:r>
      <w:r>
        <w:rPr>
          <w:rFonts w:hint="eastAsia" w:ascii="仿宋" w:hAnsi="仿宋" w:eastAsia="仿宋" w:cs="仿宋"/>
          <w:b w:val="0"/>
          <w:bCs w:val="0"/>
          <w:sz w:val="32"/>
          <w:szCs w:val="32"/>
          <w:lang w:val="en-US" w:eastAsia="zh-CN"/>
        </w:rPr>
        <w:t>推行“项目入库、预算编细、滚动管理”。在预算编制阶段，组织专家对项目的必要性、可行性、预算合理性进行严格评审，剔除项目中隐含的“人员费”、“运转费”等不属于项目开支范围的内容。</w:t>
      </w:r>
      <w:r>
        <w:rPr>
          <w:rFonts w:hint="eastAsia" w:ascii="仿宋" w:hAnsi="仿宋" w:eastAsia="仿宋" w:cs="仿宋"/>
          <w:b/>
          <w:bCs/>
          <w:sz w:val="32"/>
          <w:szCs w:val="32"/>
          <w:lang w:val="en-US" w:eastAsia="zh-CN"/>
        </w:rPr>
        <w:t>C推广“零基预算”理念。</w:t>
      </w:r>
      <w:r>
        <w:rPr>
          <w:rFonts w:hint="eastAsia" w:ascii="仿宋" w:hAnsi="仿宋" w:eastAsia="仿宋" w:cs="仿宋"/>
          <w:b w:val="0"/>
          <w:bCs w:val="0"/>
          <w:sz w:val="32"/>
          <w:szCs w:val="32"/>
          <w:lang w:val="en-US" w:eastAsia="zh-CN"/>
        </w:rPr>
        <w:t>打破“基数+增长”的预算模式，每年根据实际需求和绩效目标重新审核所有支出，避免不合理支出的固化。</w:t>
      </w:r>
      <w:r>
        <w:rPr>
          <w:rFonts w:hint="eastAsia" w:ascii="仿宋" w:hAnsi="仿宋" w:eastAsia="仿宋" w:cs="仿宋"/>
          <w:b/>
          <w:bCs/>
          <w:sz w:val="32"/>
          <w:szCs w:val="32"/>
          <w:lang w:val="en-US" w:eastAsia="zh-CN"/>
        </w:rPr>
        <w:t>二是加强执行监控与预警，从事中“早发现”。A利用技术手段。</w:t>
      </w:r>
      <w:r>
        <w:rPr>
          <w:rFonts w:hint="eastAsia" w:ascii="仿宋" w:hAnsi="仿宋" w:eastAsia="仿宋" w:cs="仿宋"/>
          <w:b w:val="0"/>
          <w:bCs w:val="0"/>
          <w:sz w:val="32"/>
          <w:szCs w:val="32"/>
          <w:lang w:val="en-US" w:eastAsia="zh-CN"/>
        </w:rPr>
        <w:t>在预算管理一体化系统中设置预警规则。当单位账务中出现“项目支出-人员经费”等敏感科目时，系统自动报警并推送至财政和主管部门。</w:t>
      </w:r>
      <w:r>
        <w:rPr>
          <w:rFonts w:hint="eastAsia" w:ascii="仿宋" w:hAnsi="仿宋" w:eastAsia="仿宋" w:cs="仿宋"/>
          <w:b/>
          <w:bCs/>
          <w:sz w:val="32"/>
          <w:szCs w:val="32"/>
          <w:lang w:val="en-US" w:eastAsia="zh-CN"/>
        </w:rPr>
        <w:t>B实施重点监控。</w:t>
      </w:r>
      <w:r>
        <w:rPr>
          <w:rFonts w:hint="eastAsia" w:ascii="仿宋" w:hAnsi="仿宋" w:eastAsia="仿宋" w:cs="仿宋"/>
          <w:b w:val="0"/>
          <w:bCs w:val="0"/>
          <w:sz w:val="32"/>
          <w:szCs w:val="32"/>
          <w:lang w:val="en-US" w:eastAsia="zh-CN"/>
        </w:rPr>
        <w:t>对曾有违规记录或风险较高的单位、以及金额重大的项目进行重点监控和动态跟踪。</w:t>
      </w:r>
      <w:r>
        <w:rPr>
          <w:rFonts w:hint="eastAsia" w:ascii="仿宋" w:hAnsi="仿宋" w:eastAsia="仿宋" w:cs="仿宋"/>
          <w:b/>
          <w:bCs/>
          <w:sz w:val="32"/>
          <w:szCs w:val="32"/>
          <w:lang w:val="en-US" w:eastAsia="zh-CN"/>
        </w:rPr>
        <w:t>三是树立正确的预算绩效观念。</w:t>
      </w:r>
      <w:r>
        <w:rPr>
          <w:rFonts w:hint="eastAsia" w:ascii="仿宋" w:hAnsi="仿宋" w:eastAsia="仿宋" w:cs="仿宋"/>
          <w:b w:val="0"/>
          <w:bCs w:val="0"/>
          <w:sz w:val="32"/>
          <w:szCs w:val="32"/>
          <w:lang w:val="en-US" w:eastAsia="zh-CN"/>
        </w:rPr>
        <w:t>单位领导应带头学习《中华人民共和国预算法》等法律法规，牢固树立“预算是法、专款专用”的意识，明确挤占项目资金是“红线”、“高压线”。</w:t>
      </w:r>
      <w:r>
        <w:rPr>
          <w:rFonts w:hint="eastAsia" w:ascii="仿宋" w:hAnsi="仿宋" w:eastAsia="仿宋" w:cs="仿宋"/>
          <w:b/>
          <w:bCs/>
          <w:sz w:val="32"/>
          <w:szCs w:val="32"/>
          <w:lang w:val="en-US" w:eastAsia="zh-CN"/>
        </w:rPr>
        <w:t>四是健全内部控制系统。</w:t>
      </w:r>
      <w:r>
        <w:rPr>
          <w:rFonts w:hint="eastAsia" w:ascii="仿宋" w:hAnsi="仿宋" w:eastAsia="仿宋" w:cs="仿宋"/>
          <w:b w:val="0"/>
          <w:bCs w:val="0"/>
          <w:sz w:val="32"/>
          <w:szCs w:val="32"/>
          <w:lang w:val="en-US" w:eastAsia="zh-CN"/>
        </w:rPr>
        <w:t>明确岗位职责，确保财务岗位的独立性和监督职能。规范审批流程，所有项目资金支付必须经过严格审核，确保支出内容与项目预算完全一致。定期内部审计，单位内部应定期开展自查自纠，及时发现和纠正问题。</w:t>
      </w:r>
      <w:r>
        <w:rPr>
          <w:rFonts w:hint="eastAsia" w:ascii="仿宋" w:hAnsi="仿宋" w:eastAsia="仿宋" w:cs="仿宋"/>
          <w:b/>
          <w:bCs/>
          <w:sz w:val="32"/>
          <w:szCs w:val="32"/>
          <w:lang w:val="en-US" w:eastAsia="zh-CN"/>
        </w:rPr>
        <w:t>五是提高预算编制科学性。</w:t>
      </w:r>
      <w:r>
        <w:rPr>
          <w:rFonts w:hint="eastAsia" w:ascii="仿宋" w:hAnsi="仿宋" w:eastAsia="仿宋" w:cs="仿宋"/>
          <w:b w:val="0"/>
          <w:bCs w:val="0"/>
          <w:sz w:val="32"/>
          <w:szCs w:val="32"/>
          <w:lang w:val="en-US" w:eastAsia="zh-CN"/>
        </w:rPr>
        <w:t>实事求是地编制基本支出预算，充分反映运行需求。精准编制项目支出预算，确保每一项开支都直接服务于项目目标，避免“小项目、大预算”。</w:t>
      </w:r>
      <w:r>
        <w:rPr>
          <w:rFonts w:hint="eastAsia" w:ascii="仿宋" w:hAnsi="仿宋" w:eastAsia="仿宋" w:cs="仿宋"/>
          <w:b/>
          <w:bCs/>
          <w:sz w:val="32"/>
          <w:szCs w:val="32"/>
          <w:lang w:val="en-US" w:eastAsia="zh-CN"/>
        </w:rPr>
        <w:t>六是主动报告与沟通。</w:t>
      </w:r>
      <w:r>
        <w:rPr>
          <w:rFonts w:hint="eastAsia" w:ascii="仿宋" w:hAnsi="仿宋" w:eastAsia="仿宋" w:cs="仿宋"/>
          <w:b w:val="0"/>
          <w:bCs w:val="0"/>
          <w:sz w:val="32"/>
          <w:szCs w:val="32"/>
          <w:lang w:val="en-US" w:eastAsia="zh-CN"/>
        </w:rPr>
        <w:t>如果确实因政策性因素等导致基本支出出现巨大缺口，应通过正式渠道向财政和主管部门申请调整预算或追加经费。</w:t>
      </w:r>
    </w:p>
    <w:p w14:paraId="498F7B6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2.未提供以下管理制度。如预算管理制度，内部控制制度，政府采购管理制度，合同管理制度，专项资金管理办法，绩效管理制度，信息化管理制度，决算与财务报告制度，监督与审计制度，工会管理制度等。</w:t>
      </w:r>
    </w:p>
    <w:p w14:paraId="0AF387C4">
      <w:pPr>
        <w:pStyle w:val="4"/>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相关政策1：</w:t>
      </w:r>
      <w:r>
        <w:rPr>
          <w:rFonts w:hint="eastAsia" w:ascii="仿宋" w:hAnsi="仿宋" w:eastAsia="仿宋" w:cs="仿宋"/>
          <w:b w:val="0"/>
          <w:bCs w:val="0"/>
          <w:sz w:val="32"/>
          <w:szCs w:val="32"/>
          <w:lang w:val="en-US" w:eastAsia="zh-CN"/>
        </w:rPr>
        <w:t>上述违反了《中华人民共和国预算法》及其实施条例。预算法要求各级政府、各部门、各单位必须编制预算，并严格执行预算。预算管理制度、决算与财务报告制度的缺失，直接导致预算编制无章可循、执行过程失控、决算信息失真，无法满足预算法对预算管理全流程的法定要求。</w:t>
      </w:r>
      <w:r>
        <w:rPr>
          <w:rFonts w:hint="eastAsia" w:ascii="仿宋" w:hAnsi="仿宋" w:eastAsia="仿宋" w:cs="仿宋"/>
          <w:b/>
          <w:bCs/>
          <w:sz w:val="32"/>
          <w:szCs w:val="32"/>
          <w:lang w:val="en-US" w:eastAsia="zh-CN"/>
        </w:rPr>
        <w:t>相关政策2：</w:t>
      </w:r>
      <w:r>
        <w:rPr>
          <w:rFonts w:hint="eastAsia" w:ascii="仿宋" w:hAnsi="仿宋" w:eastAsia="仿宋" w:cs="仿宋"/>
          <w:b w:val="0"/>
          <w:bCs w:val="0"/>
          <w:sz w:val="32"/>
          <w:szCs w:val="32"/>
          <w:lang w:val="en-US" w:eastAsia="zh-CN"/>
        </w:rPr>
        <w:t>上述违反了财政部《行政事业单位内部控制规范（试行）》（财会〔2012〕21号）。这是最直接、最全面的违规依据。该规范强制要求单位建立并实施内部控制制度，以防范经济业务风险。上述清单中的绝大多数制度（如预算、采购、资产、合同、专项资金等管理制度）正是内部控制体系的核心组成部分。内部控制制度本身的缺失，更是直接违反了该规范的强制性要求。</w:t>
      </w:r>
      <w:r>
        <w:rPr>
          <w:rFonts w:hint="eastAsia" w:ascii="仿宋" w:hAnsi="仿宋" w:eastAsia="仿宋" w:cs="仿宋"/>
          <w:b/>
          <w:bCs/>
          <w:sz w:val="32"/>
          <w:szCs w:val="32"/>
          <w:lang w:val="en-US" w:eastAsia="zh-CN"/>
        </w:rPr>
        <w:t>相关政策3：</w:t>
      </w:r>
      <w:r>
        <w:rPr>
          <w:rFonts w:hint="eastAsia" w:ascii="仿宋" w:hAnsi="仿宋" w:eastAsia="仿宋" w:cs="仿宋"/>
          <w:b w:val="0"/>
          <w:bCs w:val="0"/>
          <w:sz w:val="32"/>
          <w:szCs w:val="32"/>
          <w:lang w:val="en-US" w:eastAsia="zh-CN"/>
        </w:rPr>
        <w:t>上述违反了中华人民共和国政府采购法》及其实施条例。</w:t>
      </w:r>
      <w:r>
        <w:rPr>
          <w:rFonts w:hint="eastAsia" w:ascii="仿宋" w:hAnsi="仿宋" w:eastAsia="仿宋" w:cs="仿宋"/>
          <w:b/>
          <w:bCs/>
          <w:sz w:val="32"/>
          <w:szCs w:val="32"/>
          <w:lang w:val="en-US" w:eastAsia="zh-CN"/>
        </w:rPr>
        <w:t>相关政策4：</w:t>
      </w:r>
      <w:r>
        <w:rPr>
          <w:rFonts w:hint="eastAsia" w:ascii="仿宋" w:hAnsi="仿宋" w:eastAsia="仿宋" w:cs="仿宋"/>
          <w:b w:val="0"/>
          <w:bCs w:val="0"/>
          <w:sz w:val="32"/>
          <w:szCs w:val="32"/>
          <w:lang w:val="en-US" w:eastAsia="zh-CN"/>
        </w:rPr>
        <w:t>上述违反了《中华人民共和国民法典》关于合同订立、履行、管理的基本原则，使单位面临巨大的法律和财务风险。</w:t>
      </w:r>
      <w:r>
        <w:rPr>
          <w:rFonts w:hint="eastAsia" w:ascii="仿宋" w:hAnsi="仿宋" w:eastAsia="仿宋" w:cs="仿宋"/>
          <w:b/>
          <w:bCs/>
          <w:sz w:val="32"/>
          <w:szCs w:val="32"/>
          <w:lang w:val="en-US" w:eastAsia="zh-CN"/>
        </w:rPr>
        <w:t>相关政策5：</w:t>
      </w:r>
      <w:r>
        <w:rPr>
          <w:rFonts w:hint="eastAsia" w:ascii="仿宋" w:hAnsi="仿宋" w:eastAsia="仿宋" w:cs="仿宋"/>
          <w:b w:val="0"/>
          <w:bCs w:val="0"/>
          <w:sz w:val="32"/>
          <w:szCs w:val="32"/>
          <w:lang w:val="en-US" w:eastAsia="zh-CN"/>
        </w:rPr>
        <w:t>上述违反了《关于全面实施预算绩效管理的意见》。该意见要求将绩效管理融入预算编制、执行、监督全过程。绩效管理制度的缺失，直接与“全面实施预算绩效管理”的国策相悖，导致资金使用不计效果、不讲效益。</w:t>
      </w:r>
      <w:r>
        <w:rPr>
          <w:rFonts w:hint="eastAsia" w:ascii="仿宋" w:hAnsi="仿宋" w:eastAsia="仿宋" w:cs="仿宋"/>
          <w:b/>
          <w:bCs/>
          <w:sz w:val="32"/>
          <w:szCs w:val="32"/>
          <w:lang w:val="en-US" w:eastAsia="zh-CN"/>
        </w:rPr>
        <w:t>相关政策6：</w:t>
      </w:r>
      <w:r>
        <w:rPr>
          <w:rFonts w:hint="eastAsia" w:ascii="仿宋" w:hAnsi="仿宋" w:eastAsia="仿宋" w:cs="仿宋"/>
          <w:b w:val="0"/>
          <w:bCs w:val="0"/>
          <w:sz w:val="32"/>
          <w:szCs w:val="32"/>
          <w:lang w:val="en-US" w:eastAsia="zh-CN"/>
        </w:rPr>
        <w:t>上述违反了《中华人民共和国审计法》。监督与审计制度的缺失，使得单位内部缺乏自我监督和问题预警机制，无法主动发现问题、纠正偏差，无法满足审计机关对单位建立健全内部审计制度的要求。</w:t>
      </w:r>
    </w:p>
    <w:p w14:paraId="22BE2A86">
      <w:pPr>
        <w:pStyle w:val="4"/>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建议：一是提高认识，明确责任。</w:t>
      </w:r>
      <w:r>
        <w:rPr>
          <w:rFonts w:hint="eastAsia" w:ascii="仿宋" w:hAnsi="仿宋" w:eastAsia="仿宋" w:cs="仿宋"/>
          <w:b w:val="0"/>
          <w:bCs w:val="0"/>
          <w:sz w:val="32"/>
          <w:szCs w:val="32"/>
          <w:lang w:val="en-US" w:eastAsia="zh-CN"/>
        </w:rPr>
        <w:t>单位主要负责人（“一把手”）必须高度重视，认识到建立健全管理制度是履行法定职责、保护干部、提高资金效益的根本要求。应成立由单位主要领导牵头，财务、资产、办公室、业务部门等共同参与的制度建设工作专班，明确分工和时限。</w:t>
      </w:r>
      <w:r>
        <w:rPr>
          <w:rFonts w:hint="eastAsia" w:ascii="仿宋" w:hAnsi="仿宋" w:eastAsia="仿宋" w:cs="仿宋"/>
          <w:b/>
          <w:bCs/>
          <w:sz w:val="32"/>
          <w:szCs w:val="32"/>
          <w:lang w:val="en-US" w:eastAsia="zh-CN"/>
        </w:rPr>
        <w:t>二是系统规划，分批建立。</w:t>
      </w:r>
      <w:r>
        <w:rPr>
          <w:rFonts w:hint="eastAsia" w:ascii="仿宋" w:hAnsi="仿宋" w:eastAsia="仿宋" w:cs="仿宋"/>
          <w:b w:val="0"/>
          <w:bCs w:val="0"/>
          <w:sz w:val="32"/>
          <w:szCs w:val="32"/>
          <w:lang w:val="en-US" w:eastAsia="zh-CN"/>
        </w:rPr>
        <w:t>优先级1（立即建立）：内部控制制度（总纲性文件）、预算管理制度、国有资产管理制度、财务报销与审批制度。这些是保障资金安全和资产安全的底线。优先级2（快速跟进）：政府采购管理制度、合同管理制度、专项资金管理办法。这些是规范具体经济业务的关键。优先级3（完善提升）：绩效管理制度、信息化管理制度、决算与财务报告制度、监督与审计制度。这些是提升管理现代化水平的重要工具。</w:t>
      </w:r>
      <w:r>
        <w:rPr>
          <w:rFonts w:hint="eastAsia" w:ascii="仿宋" w:hAnsi="仿宋" w:eastAsia="仿宋" w:cs="仿宋"/>
          <w:b/>
          <w:bCs/>
          <w:sz w:val="32"/>
          <w:szCs w:val="32"/>
          <w:lang w:val="en-US" w:eastAsia="zh-CN"/>
        </w:rPr>
        <w:t>三是结合实际，注重实效。</w:t>
      </w:r>
      <w:r>
        <w:rPr>
          <w:rFonts w:hint="eastAsia" w:ascii="仿宋" w:hAnsi="仿宋" w:eastAsia="仿宋" w:cs="仿宋"/>
          <w:b w:val="0"/>
          <w:bCs w:val="0"/>
          <w:sz w:val="32"/>
          <w:szCs w:val="32"/>
          <w:lang w:val="en-US" w:eastAsia="zh-CN"/>
        </w:rPr>
        <w:t>制度的制定不能简单照搬照抄，必须结合单位的业务特点、规模大小和管理现状。条款要具体、清晰、具有可操作性，明确各项业务的流程、审批权限和责任部门。例如，合同管理制度应明确不同金额合同的审批流程。</w:t>
      </w:r>
      <w:r>
        <w:rPr>
          <w:rFonts w:hint="eastAsia" w:ascii="仿宋" w:hAnsi="仿宋" w:eastAsia="仿宋" w:cs="仿宋"/>
          <w:b/>
          <w:bCs/>
          <w:sz w:val="32"/>
          <w:szCs w:val="32"/>
          <w:lang w:val="en-US" w:eastAsia="zh-CN"/>
        </w:rPr>
        <w:t>四是加强培训，严格执行。五是动态优化，持续改进。</w:t>
      </w:r>
      <w:r>
        <w:rPr>
          <w:rFonts w:hint="eastAsia" w:ascii="仿宋" w:hAnsi="仿宋" w:eastAsia="仿宋" w:cs="仿宋"/>
          <w:b w:val="0"/>
          <w:bCs w:val="0"/>
          <w:sz w:val="32"/>
          <w:szCs w:val="32"/>
          <w:lang w:val="en-US" w:eastAsia="zh-CN"/>
        </w:rPr>
        <w:t>管理制度不是一成不变的。应建立制度的定期评估和修订机制（例如每2-3年一次），根据国家新出台的政策、审计检查发现的问题以及单位内部管理需求的变化，及时对制度进行更新和完善。</w:t>
      </w:r>
    </w:p>
    <w:p w14:paraId="2A7E95E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3.2024年2月13号凭证4,800.00元，支付2024年困难党员、困难职工、困难儿童慰问后附补助人员清单，国库支付单支付李孟瑶，后附表上无领款人员签收，无其他附件说明。支付凭证不完整，支付方式不合理，这笔慰问支出更符合工会经费的使用范围。</w:t>
      </w:r>
    </w:p>
    <w:p w14:paraId="2CE2FB7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相关政策1：</w:t>
      </w:r>
      <w:r>
        <w:rPr>
          <w:rFonts w:hint="eastAsia" w:ascii="仿宋" w:hAnsi="仿宋" w:eastAsia="仿宋" w:cs="仿宋"/>
          <w:b w:val="0"/>
          <w:bCs w:val="0"/>
          <w:sz w:val="32"/>
          <w:szCs w:val="32"/>
          <w:highlight w:val="none"/>
          <w:lang w:val="en-US" w:eastAsia="zh-CN"/>
        </w:rPr>
        <w:t>上述违反了《财政部关于进一步加强财政收支管理的通知》等相关文件反复强调，要坚决制止和纠正违反预算管理规定的行为，确保财政资金使用的规范性、安全性和有效性。用财政资金支付慰问金，</w:t>
      </w:r>
      <w:r>
        <w:rPr>
          <w:rFonts w:hint="eastAsia" w:ascii="仿宋" w:hAnsi="仿宋" w:eastAsia="仿宋" w:cs="仿宋"/>
          <w:b/>
          <w:bCs/>
          <w:sz w:val="32"/>
          <w:szCs w:val="32"/>
          <w:highlight w:val="none"/>
          <w:lang w:val="en-US" w:eastAsia="zh-CN"/>
        </w:rPr>
        <w:t>不符合财政资金使用“规范性”和“安全性”的要求</w:t>
      </w:r>
      <w:r>
        <w:rPr>
          <w:rFonts w:hint="eastAsia" w:ascii="仿宋" w:hAnsi="仿宋" w:eastAsia="仿宋" w:cs="仿宋"/>
          <w:b w:val="0"/>
          <w:bCs w:val="0"/>
          <w:sz w:val="32"/>
          <w:szCs w:val="32"/>
          <w:highlight w:val="none"/>
          <w:lang w:val="en-US" w:eastAsia="zh-CN"/>
        </w:rPr>
        <w:t>，因为其缺乏统一、公开的标准，容易产生不公平和廉政风险。</w:t>
      </w:r>
      <w:r>
        <w:rPr>
          <w:rFonts w:hint="eastAsia" w:ascii="仿宋" w:hAnsi="仿宋" w:eastAsia="仿宋" w:cs="仿宋"/>
          <w:b/>
          <w:bCs/>
          <w:sz w:val="32"/>
          <w:szCs w:val="32"/>
          <w:highlight w:val="none"/>
          <w:lang w:val="en-US" w:eastAsia="zh-CN"/>
        </w:rPr>
        <w:t>超越了财政资金的法定用途，将公共资金用于了本应由特定渠道</w:t>
      </w:r>
      <w:r>
        <w:rPr>
          <w:rFonts w:hint="eastAsia" w:ascii="仿宋" w:hAnsi="仿宋" w:eastAsia="仿宋" w:cs="仿宋"/>
          <w:b w:val="0"/>
          <w:bCs w:val="0"/>
          <w:sz w:val="32"/>
          <w:szCs w:val="32"/>
          <w:highlight w:val="none"/>
          <w:lang w:val="en-US" w:eastAsia="zh-CN"/>
        </w:rPr>
        <w:t>（如工会经费）解决的内部福利事项，属于“串用”或“挪用”预算资金的行为。</w:t>
      </w:r>
      <w:r>
        <w:rPr>
          <w:rFonts w:hint="eastAsia" w:ascii="仿宋" w:hAnsi="仿宋" w:eastAsia="仿宋" w:cs="仿宋"/>
          <w:b/>
          <w:bCs/>
          <w:sz w:val="32"/>
          <w:szCs w:val="32"/>
          <w:highlight w:val="none"/>
          <w:lang w:val="en-US" w:eastAsia="zh-CN"/>
        </w:rPr>
        <w:t>相关政策2：</w:t>
      </w:r>
      <w:r>
        <w:rPr>
          <w:rFonts w:hint="eastAsia" w:ascii="仿宋" w:hAnsi="仿宋" w:eastAsia="仿宋" w:cs="仿宋"/>
          <w:b w:val="0"/>
          <w:bCs w:val="0"/>
          <w:sz w:val="32"/>
          <w:szCs w:val="32"/>
          <w:highlight w:val="none"/>
          <w:lang w:val="en-US" w:eastAsia="zh-CN"/>
        </w:rPr>
        <w:t>上述违反了《政府会计制度——行政事业单位会计科目和报表》（财会〔2017〕25号）适用解释：该制度对行政事业单位的会计核算和凭证管理提出了明确要求。</w:t>
      </w:r>
      <w:r>
        <w:rPr>
          <w:rFonts w:hint="eastAsia" w:ascii="仿宋" w:hAnsi="仿宋" w:eastAsia="仿宋" w:cs="仿宋"/>
          <w:b/>
          <w:bCs/>
          <w:sz w:val="32"/>
          <w:szCs w:val="32"/>
          <w:highlight w:val="none"/>
          <w:lang w:val="en-US" w:eastAsia="zh-CN"/>
        </w:rPr>
        <w:t>凭证作为经济业务的记录，必须附有真实、合法、完整的原始凭证，以证明经济业务的真实性和合规性。</w:t>
      </w:r>
      <w:r>
        <w:rPr>
          <w:rFonts w:hint="eastAsia" w:ascii="仿宋" w:hAnsi="仿宋" w:eastAsia="仿宋" w:cs="仿宋"/>
          <w:b w:val="0"/>
          <w:bCs w:val="0"/>
          <w:sz w:val="32"/>
          <w:szCs w:val="32"/>
          <w:highlight w:val="none"/>
          <w:lang w:val="en-US" w:eastAsia="zh-CN"/>
        </w:rPr>
        <w:t>慰问金支付作为一项经济业务，其凭证附件（如补助人员清单、支付单等）的完整性是判断其合规性的关键。凭证附件中“无领款人员签收”，且“无其他附件说明”。</w:t>
      </w:r>
      <w:r>
        <w:rPr>
          <w:rFonts w:hint="eastAsia" w:ascii="仿宋" w:hAnsi="仿宋" w:eastAsia="仿宋" w:cs="仿宋"/>
          <w:b/>
          <w:bCs/>
          <w:sz w:val="32"/>
          <w:szCs w:val="32"/>
          <w:highlight w:val="none"/>
          <w:lang w:val="en-US" w:eastAsia="zh-CN"/>
        </w:rPr>
        <w:t>该凭证的附件存在重大瑕疵。</w:t>
      </w:r>
      <w:r>
        <w:rPr>
          <w:rFonts w:hint="eastAsia" w:ascii="仿宋" w:hAnsi="仿宋" w:eastAsia="仿宋" w:cs="仿宋"/>
          <w:b w:val="0"/>
          <w:bCs w:val="0"/>
          <w:i w:val="0"/>
          <w:iCs w:val="0"/>
          <w:sz w:val="32"/>
          <w:szCs w:val="32"/>
          <w:highlight w:val="none"/>
          <w:lang w:val="en-US" w:eastAsia="zh-CN"/>
        </w:rPr>
        <w:t>支付慰问金属于对特定个人的补助，</w:t>
      </w:r>
      <w:r>
        <w:rPr>
          <w:rFonts w:hint="eastAsia" w:ascii="仿宋" w:hAnsi="仿宋" w:eastAsia="仿宋" w:cs="仿宋"/>
          <w:b/>
          <w:bCs/>
          <w:sz w:val="32"/>
          <w:szCs w:val="32"/>
          <w:highlight w:val="none"/>
          <w:lang w:val="en-US" w:eastAsia="zh-CN"/>
        </w:rPr>
        <w:t>领款人签收是证明款项已实际支付给指定对象、且该对象已收到款项的关键证据</w:t>
      </w:r>
      <w:r>
        <w:rPr>
          <w:rFonts w:hint="eastAsia" w:ascii="仿宋" w:hAnsi="仿宋" w:eastAsia="仿宋" w:cs="仿宋"/>
          <w:b w:val="0"/>
          <w:bCs w:val="0"/>
          <w:sz w:val="32"/>
          <w:szCs w:val="32"/>
          <w:highlight w:val="none"/>
          <w:lang w:val="en-US" w:eastAsia="zh-CN"/>
        </w:rPr>
        <w:t>。缺少签收记录，</w:t>
      </w:r>
      <w:r>
        <w:rPr>
          <w:rFonts w:hint="eastAsia" w:ascii="仿宋" w:hAnsi="仿宋" w:eastAsia="仿宋" w:cs="仿宋"/>
          <w:b/>
          <w:bCs/>
          <w:sz w:val="32"/>
          <w:szCs w:val="32"/>
          <w:highlight w:val="none"/>
          <w:lang w:val="en-US" w:eastAsia="zh-CN"/>
        </w:rPr>
        <w:t>无法证明慰问金是否真实、足额地发放到了清单所列的困难人员手中，也无法证明支付对象与清单所列人员的一致性。存在三类风险。一是资金安全风险。</w:t>
      </w:r>
      <w:r>
        <w:rPr>
          <w:rFonts w:hint="eastAsia" w:ascii="仿宋" w:hAnsi="仿宋" w:eastAsia="仿宋" w:cs="仿宋"/>
          <w:b w:val="0"/>
          <w:bCs w:val="0"/>
          <w:sz w:val="32"/>
          <w:szCs w:val="32"/>
          <w:highlight w:val="none"/>
          <w:lang w:val="en-US" w:eastAsia="zh-CN"/>
        </w:rPr>
        <w:t>无法排除资金被截留、挪用或虚报冒领的可能性。</w:t>
      </w:r>
      <w:r>
        <w:rPr>
          <w:rFonts w:hint="eastAsia" w:ascii="仿宋" w:hAnsi="仿宋" w:eastAsia="仿宋" w:cs="仿宋"/>
          <w:b/>
          <w:bCs/>
          <w:sz w:val="32"/>
          <w:szCs w:val="32"/>
          <w:highlight w:val="none"/>
          <w:lang w:val="en-US" w:eastAsia="zh-CN"/>
        </w:rPr>
        <w:t>二是审计风险。</w:t>
      </w:r>
      <w:r>
        <w:rPr>
          <w:rFonts w:hint="eastAsia" w:ascii="仿宋" w:hAnsi="仿宋" w:eastAsia="仿宋" w:cs="仿宋"/>
          <w:b w:val="0"/>
          <w:bCs w:val="0"/>
          <w:sz w:val="32"/>
          <w:szCs w:val="32"/>
          <w:highlight w:val="none"/>
          <w:lang w:val="en-US" w:eastAsia="zh-CN"/>
        </w:rPr>
        <w:t>在内部审计或外部检查中，该凭证因附件不完整，很可能被认定为不合规，导致相关责任人被追责。</w:t>
      </w:r>
      <w:r>
        <w:rPr>
          <w:rFonts w:hint="eastAsia" w:ascii="仿宋" w:hAnsi="仿宋" w:eastAsia="仿宋" w:cs="仿宋"/>
          <w:b/>
          <w:bCs/>
          <w:sz w:val="32"/>
          <w:szCs w:val="32"/>
          <w:highlight w:val="none"/>
          <w:lang w:val="en-US" w:eastAsia="zh-CN"/>
        </w:rPr>
        <w:t>三是管理风险。</w:t>
      </w:r>
      <w:r>
        <w:rPr>
          <w:rFonts w:hint="eastAsia" w:ascii="仿宋" w:hAnsi="仿宋" w:eastAsia="仿宋" w:cs="仿宋"/>
          <w:b w:val="0"/>
          <w:bCs w:val="0"/>
          <w:sz w:val="32"/>
          <w:szCs w:val="32"/>
          <w:highlight w:val="none"/>
          <w:lang w:val="en-US" w:eastAsia="zh-CN"/>
        </w:rPr>
        <w:t>反映出单位在财务管理、内部控制方面存在薄弱环节，未能有效执行相关财务制度</w:t>
      </w:r>
      <w:r>
        <w:rPr>
          <w:rFonts w:hint="eastAsia" w:ascii="仿宋" w:hAnsi="仿宋" w:eastAsia="仿宋" w:cs="仿宋"/>
          <w:b/>
          <w:bCs/>
          <w:sz w:val="32"/>
          <w:szCs w:val="32"/>
          <w:highlight w:val="none"/>
          <w:lang w:val="en-US" w:eastAsia="zh-CN"/>
        </w:rPr>
        <w:t>。建议：一是明确支出渠道，规范预算。未来此类面向职工及其家庭的慰问支出，应优先从工会经费中列支。工会和单位财务部门应提前做好预算，确保资金来源合规、充足。二是及时整改。</w:t>
      </w:r>
      <w:r>
        <w:rPr>
          <w:rFonts w:hint="eastAsia" w:ascii="仿宋" w:hAnsi="仿宋" w:eastAsia="仿宋" w:cs="仿宋"/>
          <w:b w:val="0"/>
          <w:bCs w:val="0"/>
          <w:sz w:val="32"/>
          <w:szCs w:val="32"/>
          <w:highlight w:val="none"/>
          <w:lang w:val="en-US" w:eastAsia="zh-CN"/>
        </w:rPr>
        <w:t>建议单位财务部门或相关经办人员立即联系补助人员清单上的所有人员，补办签收手续，确保每一笔慰问金均有对应的、清晰的领款人签名（或按指印）记录。三</w:t>
      </w:r>
      <w:r>
        <w:rPr>
          <w:rFonts w:hint="eastAsia" w:ascii="仿宋" w:hAnsi="仿宋" w:eastAsia="仿宋" w:cs="仿宋"/>
          <w:b/>
          <w:bCs/>
          <w:sz w:val="32"/>
          <w:szCs w:val="32"/>
          <w:highlight w:val="none"/>
          <w:lang w:val="en-US" w:eastAsia="zh-CN"/>
        </w:rPr>
        <w:t>是完善附件。包括领款人本人签名，慰问对象的联系电话、家庭住址等信息，必要时可附上现场慰问照片作为佐证。如果确实无法补签，应由经手人出具详细情况说明，并由单位领导审批，作为重要凭证附件。</w:t>
      </w:r>
      <w:r>
        <w:rPr>
          <w:rFonts w:hint="eastAsia" w:ascii="仿宋" w:hAnsi="仿宋" w:eastAsia="仿宋" w:cs="仿宋"/>
          <w:b w:val="0"/>
          <w:bCs w:val="0"/>
          <w:sz w:val="32"/>
          <w:szCs w:val="32"/>
          <w:highlight w:val="none"/>
          <w:lang w:val="en-US" w:eastAsia="zh-CN"/>
        </w:rPr>
        <w:t>在补办签收手续后，应将完整的、经领款人确认的补助人员清单作为原始凭证附件，替换或补充至2024年2月13日的凭证中。</w:t>
      </w:r>
      <w:r>
        <w:rPr>
          <w:rFonts w:hint="eastAsia" w:ascii="仿宋" w:hAnsi="仿宋" w:eastAsia="仿宋" w:cs="仿宋"/>
          <w:b/>
          <w:bCs/>
          <w:sz w:val="32"/>
          <w:szCs w:val="32"/>
          <w:highlight w:val="none"/>
          <w:lang w:val="en-US" w:eastAsia="zh-CN"/>
        </w:rPr>
        <w:t>四是加强内控。</w:t>
      </w:r>
      <w:r>
        <w:rPr>
          <w:rFonts w:hint="eastAsia" w:ascii="仿宋" w:hAnsi="仿宋" w:eastAsia="仿宋" w:cs="仿宋"/>
          <w:b w:val="0"/>
          <w:bCs w:val="0"/>
          <w:sz w:val="32"/>
          <w:szCs w:val="32"/>
          <w:highlight w:val="none"/>
          <w:lang w:val="en-US" w:eastAsia="zh-CN"/>
        </w:rPr>
        <w:t>建议单位完善相关财务管理制度，明确要求所有涉及个人补助、慰问金等支付业务，必须附有经领款人签字确认的清单或其他有效支付证明，并作为凭证的必要附件。</w:t>
      </w:r>
      <w:r>
        <w:rPr>
          <w:rFonts w:hint="eastAsia" w:ascii="仿宋" w:hAnsi="仿宋" w:eastAsia="仿宋" w:cs="仿宋"/>
          <w:b/>
          <w:bCs/>
          <w:sz w:val="32"/>
          <w:szCs w:val="32"/>
          <w:highlight w:val="none"/>
          <w:lang w:val="en-US" w:eastAsia="zh-CN"/>
        </w:rPr>
        <w:t>五是责任追究。</w:t>
      </w:r>
      <w:r>
        <w:rPr>
          <w:rFonts w:hint="eastAsia" w:ascii="仿宋" w:hAnsi="仿宋" w:eastAsia="仿宋" w:cs="仿宋"/>
          <w:b w:val="0"/>
          <w:bCs w:val="0"/>
          <w:sz w:val="32"/>
          <w:szCs w:val="32"/>
          <w:highlight w:val="none"/>
          <w:lang w:val="en-US" w:eastAsia="zh-CN"/>
        </w:rPr>
        <w:t>如发现存在虚报、冒领或截留等违规行为，应依据单位内部规定对相关责任人进行严肃处理。</w:t>
      </w:r>
    </w:p>
    <w:p w14:paraId="5F734A3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4.2024年8月记14号凭证支付八一慰问费4,400.00元，慰问成员属在职职工，“八一慰问费”属于工会经费的正当支出范围，必须使用工会经费支付。使用国库支付违反了财政资金的专款专用原则。</w:t>
      </w:r>
    </w:p>
    <w:p w14:paraId="4D12374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相关政策1：</w:t>
      </w:r>
      <w:r>
        <w:rPr>
          <w:rFonts w:hint="eastAsia" w:ascii="仿宋" w:hAnsi="仿宋" w:eastAsia="仿宋" w:cs="仿宋"/>
          <w:b w:val="0"/>
          <w:bCs w:val="0"/>
          <w:sz w:val="32"/>
          <w:szCs w:val="32"/>
          <w:highlight w:val="none"/>
          <w:lang w:val="en-US" w:eastAsia="zh-CN"/>
        </w:rPr>
        <w:t>上述违反了《中华人民共和国工会法》第四十二条“工会经费主要用于为职工服务和工会活动。经费使用的具体办法由中华全国总工会制定。”该条款明确了</w:t>
      </w:r>
      <w:r>
        <w:rPr>
          <w:rFonts w:hint="eastAsia" w:ascii="仿宋" w:hAnsi="仿宋" w:eastAsia="仿宋" w:cs="仿宋"/>
          <w:b/>
          <w:bCs/>
          <w:sz w:val="32"/>
          <w:szCs w:val="32"/>
          <w:highlight w:val="none"/>
          <w:lang w:val="en-US" w:eastAsia="zh-CN"/>
        </w:rPr>
        <w:t>工会经费的法定用途是为职工服务和工会活动。</w:t>
      </w:r>
      <w:r>
        <w:rPr>
          <w:rFonts w:hint="eastAsia" w:ascii="仿宋" w:hAnsi="仿宋" w:eastAsia="仿宋" w:cs="仿宋"/>
          <w:b w:val="0"/>
          <w:bCs w:val="0"/>
          <w:sz w:val="32"/>
          <w:szCs w:val="32"/>
          <w:highlight w:val="none"/>
          <w:lang w:val="en-US" w:eastAsia="zh-CN"/>
        </w:rPr>
        <w:t>向在职职工发放“八一慰问费”属于对职工的慰问活动，符合工会经费的使用范围。</w:t>
      </w:r>
      <w:r>
        <w:rPr>
          <w:rFonts w:hint="eastAsia" w:ascii="仿宋" w:hAnsi="仿宋" w:eastAsia="仿宋" w:cs="仿宋"/>
          <w:b/>
          <w:bCs/>
          <w:sz w:val="32"/>
          <w:szCs w:val="32"/>
          <w:highlight w:val="none"/>
          <w:lang w:val="en-US" w:eastAsia="zh-CN"/>
        </w:rPr>
        <w:t>相关政策2：</w:t>
      </w:r>
      <w:r>
        <w:rPr>
          <w:rFonts w:hint="eastAsia" w:ascii="仿宋" w:hAnsi="仿宋" w:eastAsia="仿宋" w:cs="仿宋"/>
          <w:b w:val="0"/>
          <w:bCs w:val="0"/>
          <w:sz w:val="32"/>
          <w:szCs w:val="32"/>
          <w:highlight w:val="none"/>
          <w:lang w:val="en-US" w:eastAsia="zh-CN"/>
        </w:rPr>
        <w:t>上述违反了《基层工会经费收支管理办法》（总工办发〔2017〕32号）第八条“基层工会经费支出范围包括：</w:t>
      </w:r>
      <w:r>
        <w:rPr>
          <w:rFonts w:hint="eastAsia" w:ascii="仿宋" w:hAnsi="仿宋" w:eastAsia="仿宋" w:cs="仿宋"/>
          <w:b/>
          <w:bCs/>
          <w:sz w:val="32"/>
          <w:szCs w:val="32"/>
          <w:highlight w:val="none"/>
          <w:lang w:val="en-US" w:eastAsia="zh-CN"/>
        </w:rPr>
        <w:t>职工活动支出、</w:t>
      </w:r>
      <w:r>
        <w:rPr>
          <w:rFonts w:hint="eastAsia" w:ascii="仿宋" w:hAnsi="仿宋" w:eastAsia="仿宋" w:cs="仿宋"/>
          <w:b w:val="0"/>
          <w:bCs w:val="0"/>
          <w:sz w:val="32"/>
          <w:szCs w:val="32"/>
          <w:highlight w:val="none"/>
          <w:lang w:val="en-US" w:eastAsia="zh-CN"/>
        </w:rPr>
        <w:t>维权支出、业务支出、资本性支出、事业支出和其他支出。”该办法细化了工会经费的支出范围。对职工的慰问活动属于“职工活动支出”或“维权支出”的范畴，是工会经费的正当开支。</w:t>
      </w:r>
      <w:r>
        <w:rPr>
          <w:rFonts w:hint="eastAsia" w:ascii="仿宋" w:hAnsi="仿宋" w:eastAsia="仿宋" w:cs="仿宋"/>
          <w:b/>
          <w:bCs/>
          <w:sz w:val="32"/>
          <w:szCs w:val="32"/>
          <w:highlight w:val="none"/>
          <w:lang w:val="en-US" w:eastAsia="zh-CN"/>
        </w:rPr>
        <w:t>相关政策3：</w:t>
      </w:r>
      <w:r>
        <w:rPr>
          <w:rFonts w:hint="eastAsia" w:ascii="仿宋" w:hAnsi="仿宋" w:eastAsia="仿宋" w:cs="仿宋"/>
          <w:b w:val="0"/>
          <w:bCs w:val="0"/>
          <w:sz w:val="32"/>
          <w:szCs w:val="32"/>
          <w:highlight w:val="none"/>
          <w:lang w:val="en-US" w:eastAsia="zh-CN"/>
        </w:rPr>
        <w:t>上述违反了《行政单位财务规则》（财政部令第71号）第二十一条“行政单位从财政部门或者上级预算单位取得的项目资金，应当按照批准的项目和用途使用，专款专用，单独核算，并按照规定向同级财政部门或者上级预算单位报告资金使用情况，接受财政部门和上级预算单位的检查监督。”该条款强调了</w:t>
      </w:r>
      <w:r>
        <w:rPr>
          <w:rFonts w:hint="eastAsia" w:ascii="仿宋" w:hAnsi="仿宋" w:eastAsia="仿宋" w:cs="仿宋"/>
          <w:b/>
          <w:bCs/>
          <w:sz w:val="32"/>
          <w:szCs w:val="32"/>
          <w:highlight w:val="none"/>
          <w:lang w:val="en-US" w:eastAsia="zh-CN"/>
        </w:rPr>
        <w:t>财政资金的专款专用原则</w:t>
      </w:r>
      <w:r>
        <w:rPr>
          <w:rFonts w:hint="eastAsia" w:ascii="仿宋" w:hAnsi="仿宋" w:eastAsia="仿宋" w:cs="仿宋"/>
          <w:b w:val="0"/>
          <w:bCs w:val="0"/>
          <w:sz w:val="32"/>
          <w:szCs w:val="32"/>
          <w:highlight w:val="none"/>
          <w:lang w:val="en-US" w:eastAsia="zh-CN"/>
        </w:rPr>
        <w:t>。国库资金作为财政资金，其使用必须严格按照预算批复的用途，不得随意用于工会慰问等非预算内项目。国库资金是财政性资金，必须严格按照预算项目和规定用途使用。将国库资金用于工会慰问，属于</w:t>
      </w:r>
      <w:r>
        <w:rPr>
          <w:rFonts w:hint="eastAsia" w:ascii="仿宋" w:hAnsi="仿宋" w:eastAsia="仿宋" w:cs="仿宋"/>
          <w:b/>
          <w:bCs/>
          <w:sz w:val="32"/>
          <w:szCs w:val="32"/>
          <w:highlight w:val="none"/>
          <w:lang w:val="en-US" w:eastAsia="zh-CN"/>
        </w:rPr>
        <w:t>改变资金用途，</w:t>
      </w:r>
      <w:r>
        <w:rPr>
          <w:rFonts w:hint="eastAsia" w:ascii="仿宋" w:hAnsi="仿宋" w:eastAsia="仿宋" w:cs="仿宋"/>
          <w:b w:val="0"/>
          <w:bCs w:val="0"/>
          <w:sz w:val="32"/>
          <w:szCs w:val="32"/>
          <w:highlight w:val="none"/>
          <w:lang w:val="en-US" w:eastAsia="zh-CN"/>
        </w:rPr>
        <w:t>违反了财政资金管理的“专款专用”原则。此举</w:t>
      </w:r>
      <w:r>
        <w:rPr>
          <w:rFonts w:hint="eastAsia" w:ascii="仿宋" w:hAnsi="仿宋" w:eastAsia="仿宋" w:cs="仿宋"/>
          <w:b/>
          <w:bCs/>
          <w:sz w:val="32"/>
          <w:szCs w:val="32"/>
          <w:highlight w:val="none"/>
          <w:lang w:val="en-US" w:eastAsia="zh-CN"/>
        </w:rPr>
        <w:t>混淆了行政经费与工会经费的界限，</w:t>
      </w:r>
      <w:r>
        <w:rPr>
          <w:rFonts w:hint="eastAsia" w:ascii="仿宋" w:hAnsi="仿宋" w:eastAsia="仿宋" w:cs="仿宋"/>
          <w:b w:val="0"/>
          <w:bCs w:val="0"/>
          <w:sz w:val="32"/>
          <w:szCs w:val="32"/>
          <w:highlight w:val="none"/>
          <w:lang w:val="en-US" w:eastAsia="zh-CN"/>
        </w:rPr>
        <w:t>可能导致经费管理混乱，甚至引发审计风险。</w:t>
      </w:r>
    </w:p>
    <w:p w14:paraId="090E2FE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bCs/>
          <w:sz w:val="32"/>
          <w:szCs w:val="32"/>
          <w:highlight w:val="none"/>
          <w:lang w:val="en-US" w:eastAsia="zh-CN"/>
        </w:rPr>
        <w:t>建议：一是及时纠正。</w:t>
      </w:r>
      <w:r>
        <w:rPr>
          <w:rFonts w:hint="eastAsia" w:ascii="仿宋" w:hAnsi="仿宋" w:eastAsia="仿宋" w:cs="仿宋"/>
          <w:b w:val="0"/>
          <w:bCs w:val="0"/>
          <w:sz w:val="32"/>
          <w:szCs w:val="32"/>
          <w:highlight w:val="none"/>
          <w:lang w:val="en-US" w:eastAsia="zh-CN"/>
        </w:rPr>
        <w:t>建议停止使用国库资金支付此类慰问费。对于已使用国库支付的，应尽快办理资金归垫或调整账务处理，确保慰问费由工会经费列支。</w:t>
      </w:r>
      <w:r>
        <w:rPr>
          <w:rFonts w:hint="eastAsia" w:ascii="仿宋" w:hAnsi="仿宋" w:eastAsia="仿宋" w:cs="仿宋"/>
          <w:b/>
          <w:bCs/>
          <w:sz w:val="32"/>
          <w:szCs w:val="32"/>
          <w:highlight w:val="none"/>
          <w:lang w:val="en-US" w:eastAsia="zh-CN"/>
        </w:rPr>
        <w:t>二是规范流程。</w:t>
      </w:r>
      <w:r>
        <w:rPr>
          <w:rFonts w:hint="eastAsia" w:ascii="仿宋" w:hAnsi="仿宋" w:eastAsia="仿宋" w:cs="仿宋"/>
          <w:b w:val="0"/>
          <w:bCs w:val="0"/>
          <w:sz w:val="32"/>
          <w:szCs w:val="32"/>
          <w:highlight w:val="none"/>
          <w:lang w:val="en-US" w:eastAsia="zh-CN"/>
        </w:rPr>
        <w:t>建立健全工会经费与行政经费的隔离机制，明确两类经费的支付范围和审批流程，避免类似情况发生。</w:t>
      </w:r>
      <w:r>
        <w:rPr>
          <w:rFonts w:hint="eastAsia" w:ascii="仿宋" w:hAnsi="仿宋" w:eastAsia="仿宋" w:cs="仿宋"/>
          <w:b/>
          <w:bCs/>
          <w:sz w:val="32"/>
          <w:szCs w:val="32"/>
          <w:highlight w:val="none"/>
          <w:lang w:val="en-US" w:eastAsia="zh-CN"/>
        </w:rPr>
        <w:t>三是加强学习。</w:t>
      </w:r>
      <w:r>
        <w:rPr>
          <w:rFonts w:hint="eastAsia" w:ascii="仿宋" w:hAnsi="仿宋" w:eastAsia="仿宋" w:cs="仿宋"/>
          <w:b w:val="0"/>
          <w:bCs w:val="0"/>
          <w:sz w:val="32"/>
          <w:szCs w:val="32"/>
          <w:highlight w:val="none"/>
          <w:lang w:val="en-US" w:eastAsia="zh-CN"/>
        </w:rPr>
        <w:t>组织相关财务人员和工会工作人员学习《中华人民共和国工会法》及工会经费管理规定，确保准确理解并严格执行经费使用要求。</w:t>
      </w:r>
      <w:r>
        <w:rPr>
          <w:rFonts w:hint="eastAsia" w:ascii="仿宋" w:hAnsi="仿宋" w:eastAsia="仿宋" w:cs="仿宋"/>
          <w:b/>
          <w:bCs/>
          <w:sz w:val="32"/>
          <w:szCs w:val="32"/>
          <w:highlight w:val="none"/>
          <w:lang w:val="en-US" w:eastAsia="zh-CN"/>
        </w:rPr>
        <w:t>四是完善内控</w:t>
      </w:r>
      <w:r>
        <w:rPr>
          <w:rFonts w:hint="eastAsia" w:ascii="仿宋" w:hAnsi="仿宋" w:eastAsia="仿宋" w:cs="仿宋"/>
          <w:b w:val="0"/>
          <w:bCs w:val="0"/>
          <w:sz w:val="32"/>
          <w:szCs w:val="32"/>
          <w:highlight w:val="none"/>
          <w:lang w:val="en-US" w:eastAsia="zh-CN"/>
        </w:rPr>
        <w:t>。将工会经费的使用纳入单位内部控制体系，加强审核监督，确保工会经费的支出合法、合规、合理。</w:t>
      </w:r>
    </w:p>
    <w:p w14:paraId="3FD0B8E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default"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5.存在加班餐费分管领导未签字审批，供应合同未盖章的情况。如2024年10月6号凭证后附其中一份合同供应商未盖公章，供应商为衡阳市德胜数码有限公司，金额200元。2024年11月13号凭证加班用餐审批表上无分管领导审批。2024年12月43号凭证加班用餐审批表上未填人数，无分管领导审批。</w:t>
      </w:r>
    </w:p>
    <w:p w14:paraId="302DE13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楷体" w:hAnsi="楷体" w:eastAsia="楷体" w:cs="楷体"/>
          <w:b/>
          <w:bCs/>
          <w:sz w:val="32"/>
          <w:szCs w:val="32"/>
          <w:lang w:val="en-US" w:eastAsia="zh-CN"/>
        </w:rPr>
      </w:pPr>
      <w:r>
        <w:rPr>
          <w:rFonts w:hint="eastAsia" w:ascii="仿宋" w:hAnsi="仿宋" w:eastAsia="仿宋" w:cs="仿宋"/>
          <w:b/>
          <w:bCs/>
          <w:sz w:val="32"/>
          <w:szCs w:val="32"/>
          <w:highlight w:val="none"/>
          <w:lang w:val="en-US" w:eastAsia="zh-CN"/>
        </w:rPr>
        <w:t>相关政策1：</w:t>
      </w:r>
      <w:r>
        <w:rPr>
          <w:rFonts w:hint="eastAsia" w:ascii="仿宋" w:hAnsi="仿宋" w:eastAsia="仿宋" w:cs="仿宋"/>
          <w:b w:val="0"/>
          <w:bCs w:val="0"/>
          <w:sz w:val="32"/>
          <w:szCs w:val="32"/>
          <w:highlight w:val="none"/>
          <w:lang w:val="en-US" w:eastAsia="zh-CN"/>
        </w:rPr>
        <w:t>上述违反了《中华人民共和国会计法》第十四条“会计机构、会计人员必须按照国家统一的会计制度的规定对原始凭证进行审核，对不真实、不合法的原始凭证有权不予接受，并向单位负责人报告；对记载不准确、不完整的原始凭证予以退回，并要求按照国家统一的会计制度的规定更正、补充。”缺少关键审批人签字和必要信息（人数）的审批表，属于“记载不完整”的原始凭证，财务人员本不应将其作为报销的合法依据。</w:t>
      </w:r>
      <w:r>
        <w:rPr>
          <w:rFonts w:hint="eastAsia" w:ascii="仿宋" w:hAnsi="仿宋" w:eastAsia="仿宋" w:cs="仿宋"/>
          <w:b/>
          <w:bCs/>
          <w:sz w:val="32"/>
          <w:szCs w:val="32"/>
          <w:highlight w:val="none"/>
          <w:lang w:val="en-US" w:eastAsia="zh-CN"/>
        </w:rPr>
        <w:t>相关政策2：</w:t>
      </w:r>
      <w:r>
        <w:rPr>
          <w:rFonts w:hint="eastAsia" w:ascii="仿宋" w:hAnsi="仿宋" w:eastAsia="仿宋" w:cs="仿宋"/>
          <w:b w:val="0"/>
          <w:bCs w:val="0"/>
          <w:sz w:val="32"/>
          <w:szCs w:val="32"/>
          <w:highlight w:val="none"/>
          <w:lang w:val="en-US" w:eastAsia="zh-CN"/>
        </w:rPr>
        <w:t>上述违反了《行政事业单位内部控制规范（试行）》第二十三条“单位应当建立健全预算业务内部管理制度明确各项业务的审批权限、程序、责任和相关控制措施。”单位应建立明确的授权审批制度。分管领导审批是控制支出真实性和合理性的关键环节。缺少审批，意味着内控的关键控制点缺失，无法证明该笔加班餐费是经过授权且必要的，存在虚报、滥发的风险。</w:t>
      </w:r>
      <w:r>
        <w:rPr>
          <w:rFonts w:hint="eastAsia" w:ascii="仿宋" w:hAnsi="仿宋" w:eastAsia="仿宋" w:cs="仿宋"/>
          <w:b/>
          <w:bCs/>
          <w:sz w:val="32"/>
          <w:szCs w:val="32"/>
          <w:highlight w:val="none"/>
          <w:lang w:val="en-US" w:eastAsia="zh-CN"/>
        </w:rPr>
        <w:t>相关政策3：</w:t>
      </w:r>
      <w:r>
        <w:rPr>
          <w:rFonts w:hint="eastAsia" w:ascii="仿宋" w:hAnsi="仿宋" w:eastAsia="仿宋" w:cs="仿宋"/>
          <w:b w:val="0"/>
          <w:bCs w:val="0"/>
          <w:sz w:val="32"/>
          <w:szCs w:val="32"/>
          <w:highlight w:val="none"/>
          <w:lang w:val="en-US" w:eastAsia="zh-CN"/>
        </w:rPr>
        <w:t>上述违反了《行政事业单位内部控制规范（试行）》第四十六条“单位应当建立健全支出内部管理制度，确定经济活动的各项支出标准，明确支出报销流程，按照规定办理支出事项。”未填“人数”导致无法核实支出标准（如人均餐标）是否被遵守，也无法准确计算费用总额的合理性，违反了支出管理制度的要求。看似“小问题”的背后，隐藏着严重的内部控制和财务风险。</w:t>
      </w:r>
      <w:r>
        <w:rPr>
          <w:rFonts w:hint="eastAsia" w:ascii="仿宋" w:hAnsi="仿宋" w:eastAsia="仿宋" w:cs="仿宋"/>
          <w:b/>
          <w:bCs/>
          <w:sz w:val="32"/>
          <w:szCs w:val="32"/>
          <w:highlight w:val="none"/>
          <w:lang w:val="en-US" w:eastAsia="zh-CN"/>
        </w:rPr>
        <w:t>存在三类风险。一是支出真实性风险。</w:t>
      </w:r>
      <w:r>
        <w:rPr>
          <w:rFonts w:hint="eastAsia" w:ascii="仿宋" w:hAnsi="仿宋" w:eastAsia="仿宋" w:cs="仿宋"/>
          <w:b w:val="0"/>
          <w:bCs w:val="0"/>
          <w:sz w:val="32"/>
          <w:szCs w:val="32"/>
          <w:highlight w:val="none"/>
          <w:lang w:val="en-US" w:eastAsia="zh-CN"/>
        </w:rPr>
        <w:t>无法证明加班餐费是否真实发生，是否为必要的公务支出，存在公款私用或虚列支出的风险。</w:t>
      </w:r>
      <w:r>
        <w:rPr>
          <w:rFonts w:hint="eastAsia" w:ascii="仿宋" w:hAnsi="仿宋" w:eastAsia="仿宋" w:cs="仿宋"/>
          <w:b/>
          <w:bCs/>
          <w:sz w:val="32"/>
          <w:szCs w:val="32"/>
          <w:highlight w:val="none"/>
          <w:lang w:val="en-US" w:eastAsia="zh-CN"/>
        </w:rPr>
        <w:t>二是审计风险。</w:t>
      </w:r>
      <w:r>
        <w:rPr>
          <w:rFonts w:hint="eastAsia" w:ascii="仿宋" w:hAnsi="仿宋" w:eastAsia="仿宋" w:cs="仿宋"/>
          <w:b w:val="0"/>
          <w:bCs w:val="0"/>
          <w:sz w:val="32"/>
          <w:szCs w:val="32"/>
          <w:highlight w:val="none"/>
          <w:lang w:val="en-US" w:eastAsia="zh-CN"/>
        </w:rPr>
        <w:t>在内部审计或外部（如财政、审计部门）检查中，此类凭证会被认定为不合规凭证，导致相关问题被揭露，单位被要求整改甚至追责。</w:t>
      </w:r>
      <w:r>
        <w:rPr>
          <w:rFonts w:hint="eastAsia" w:ascii="仿宋" w:hAnsi="仿宋" w:eastAsia="仿宋" w:cs="仿宋"/>
          <w:b/>
          <w:bCs/>
          <w:sz w:val="32"/>
          <w:szCs w:val="32"/>
          <w:highlight w:val="none"/>
          <w:lang w:val="en-US" w:eastAsia="zh-CN"/>
        </w:rPr>
        <w:t>三是管理失控风险。</w:t>
      </w:r>
      <w:r>
        <w:rPr>
          <w:rFonts w:hint="eastAsia" w:ascii="仿宋" w:hAnsi="仿宋" w:eastAsia="仿宋" w:cs="仿宋"/>
          <w:b w:val="0"/>
          <w:bCs w:val="0"/>
          <w:sz w:val="32"/>
          <w:szCs w:val="32"/>
          <w:highlight w:val="none"/>
          <w:lang w:val="en-US" w:eastAsia="zh-CN"/>
        </w:rPr>
        <w:t>审批流于形式，合同管理不规范，反映出单位内部管理松弛，容易滋生更大的管理漏洞和廉政风险。建议：</w:t>
      </w:r>
      <w:r>
        <w:rPr>
          <w:rFonts w:hint="eastAsia" w:ascii="仿宋" w:hAnsi="仿宋" w:eastAsia="仿宋" w:cs="仿宋"/>
          <w:b/>
          <w:bCs/>
          <w:sz w:val="32"/>
          <w:szCs w:val="32"/>
          <w:highlight w:val="none"/>
          <w:lang w:val="en-US" w:eastAsia="zh-CN"/>
        </w:rPr>
        <w:t>一是及时补救，完善手续。合同问题。</w:t>
      </w:r>
      <w:r>
        <w:rPr>
          <w:rFonts w:hint="eastAsia" w:ascii="仿宋" w:hAnsi="仿宋" w:eastAsia="仿宋" w:cs="仿宋"/>
          <w:b w:val="0"/>
          <w:bCs w:val="0"/>
          <w:sz w:val="32"/>
          <w:szCs w:val="32"/>
          <w:highlight w:val="none"/>
          <w:lang w:val="en-US" w:eastAsia="zh-CN"/>
        </w:rPr>
        <w:t>立即联系衡阳市德胜数码有限公司，补盖公章。如无法补盖，应书面说明情况并由经手人、证明人及单位领导签字确认，作为替代性证明文件附于凭证后。</w:t>
      </w:r>
      <w:r>
        <w:rPr>
          <w:rFonts w:hint="eastAsia" w:ascii="仿宋" w:hAnsi="仿宋" w:eastAsia="仿宋" w:cs="仿宋"/>
          <w:b/>
          <w:bCs/>
          <w:sz w:val="32"/>
          <w:szCs w:val="32"/>
          <w:highlight w:val="none"/>
          <w:lang w:val="en-US" w:eastAsia="zh-CN"/>
        </w:rPr>
        <w:t>审批问题。</w:t>
      </w:r>
      <w:r>
        <w:rPr>
          <w:rFonts w:hint="eastAsia" w:ascii="仿宋" w:hAnsi="仿宋" w:eastAsia="仿宋" w:cs="仿宋"/>
          <w:b w:val="0"/>
          <w:bCs w:val="0"/>
          <w:sz w:val="32"/>
          <w:szCs w:val="32"/>
          <w:highlight w:val="none"/>
          <w:lang w:val="en-US" w:eastAsia="zh-CN"/>
        </w:rPr>
        <w:t>退回相关经办人员，补办分管领导审批签字，并补充填写用餐人数等缺失信息。所有补办手续需注明补办日期和原因。</w:t>
      </w:r>
      <w:r>
        <w:rPr>
          <w:rFonts w:hint="eastAsia" w:ascii="仿宋" w:hAnsi="仿宋" w:eastAsia="仿宋" w:cs="仿宋"/>
          <w:b/>
          <w:bCs/>
          <w:sz w:val="32"/>
          <w:szCs w:val="32"/>
          <w:highlight w:val="none"/>
          <w:lang w:val="en-US" w:eastAsia="zh-CN"/>
        </w:rPr>
        <w:t>二是健全制度，明确流程。完善内控制度。</w:t>
      </w:r>
      <w:r>
        <w:rPr>
          <w:rFonts w:hint="eastAsia" w:ascii="仿宋" w:hAnsi="仿宋" w:eastAsia="仿宋" w:cs="仿宋"/>
          <w:b w:val="0"/>
          <w:bCs w:val="0"/>
          <w:sz w:val="32"/>
          <w:szCs w:val="32"/>
          <w:highlight w:val="none"/>
          <w:lang w:val="en-US" w:eastAsia="zh-CN"/>
        </w:rPr>
        <w:t>审视并修订单位的《财务报销管理办法》、《合同管理办法》和《支出审批权限规定》等内控制度。</w:t>
      </w:r>
      <w:r>
        <w:rPr>
          <w:rFonts w:hint="eastAsia" w:ascii="仿宋" w:hAnsi="仿宋" w:eastAsia="仿宋" w:cs="仿宋"/>
          <w:b/>
          <w:bCs/>
          <w:sz w:val="32"/>
          <w:szCs w:val="32"/>
          <w:highlight w:val="none"/>
          <w:lang w:val="en-US" w:eastAsia="zh-CN"/>
        </w:rPr>
        <w:t>三是明确关键控制点。</w:t>
      </w:r>
      <w:r>
        <w:rPr>
          <w:rFonts w:hint="eastAsia" w:ascii="仿宋" w:hAnsi="仿宋" w:eastAsia="仿宋" w:cs="仿宋"/>
          <w:b w:val="0"/>
          <w:bCs w:val="0"/>
          <w:sz w:val="32"/>
          <w:szCs w:val="32"/>
          <w:highlight w:val="none"/>
          <w:lang w:val="en-US" w:eastAsia="zh-CN"/>
        </w:rPr>
        <w:t>所有支出（无论金额大小）必须经过规定的审批流程，明确各级审批权限（例如，分管领导对哪些支出有审批权）。报销原始凭证必须要素齐全（包括事由、时间、地点、人数、审批人签字等）。所有经济合同必须要素齐全、盖章清晰，并经过法务或相关部门的审核。</w:t>
      </w:r>
      <w:r>
        <w:rPr>
          <w:rFonts w:hint="eastAsia" w:ascii="仿宋" w:hAnsi="仿宋" w:eastAsia="仿宋" w:cs="仿宋"/>
          <w:b/>
          <w:bCs/>
          <w:sz w:val="32"/>
          <w:szCs w:val="32"/>
          <w:highlight w:val="none"/>
          <w:lang w:val="en-US" w:eastAsia="zh-CN"/>
        </w:rPr>
        <w:t>四是加强培训与审核。对全体人员培训。</w:t>
      </w:r>
      <w:r>
        <w:rPr>
          <w:rFonts w:hint="eastAsia" w:ascii="仿宋" w:hAnsi="仿宋" w:eastAsia="仿宋" w:cs="仿宋"/>
          <w:b w:val="0"/>
          <w:bCs w:val="0"/>
          <w:sz w:val="32"/>
          <w:szCs w:val="32"/>
          <w:highlight w:val="none"/>
          <w:lang w:val="en-US" w:eastAsia="zh-CN"/>
        </w:rPr>
        <w:t>组织业务经办人员学习财务报销制度和合同管理规定，使其清楚了解合规要求。</w:t>
      </w:r>
      <w:r>
        <w:rPr>
          <w:rFonts w:hint="eastAsia" w:ascii="仿宋" w:hAnsi="仿宋" w:eastAsia="仿宋" w:cs="仿宋"/>
          <w:b/>
          <w:bCs/>
          <w:sz w:val="32"/>
          <w:szCs w:val="32"/>
          <w:highlight w:val="none"/>
          <w:lang w:val="en-US" w:eastAsia="zh-CN"/>
        </w:rPr>
        <w:t>五是强化财务审核。</w:t>
      </w:r>
      <w:r>
        <w:rPr>
          <w:rFonts w:hint="eastAsia" w:ascii="仿宋" w:hAnsi="仿宋" w:eastAsia="仿宋" w:cs="仿宋"/>
          <w:b w:val="0"/>
          <w:bCs w:val="0"/>
          <w:sz w:val="32"/>
          <w:szCs w:val="32"/>
          <w:highlight w:val="none"/>
          <w:lang w:val="en-US" w:eastAsia="zh-CN"/>
        </w:rPr>
        <w:t>要求财务人员严格履行会计监督职责，对审批不全、要素缺失、附件不齐的凭证坚决予以退回，不得通融办理。</w:t>
      </w:r>
      <w:r>
        <w:rPr>
          <w:rFonts w:hint="eastAsia" w:ascii="仿宋" w:hAnsi="仿宋" w:eastAsia="仿宋" w:cs="仿宋"/>
          <w:b/>
          <w:bCs/>
          <w:sz w:val="32"/>
          <w:szCs w:val="32"/>
          <w:highlight w:val="none"/>
          <w:lang w:val="en-US" w:eastAsia="zh-CN"/>
        </w:rPr>
        <w:t>六是推行无纸化审批。</w:t>
      </w:r>
      <w:r>
        <w:rPr>
          <w:rFonts w:hint="eastAsia" w:ascii="仿宋" w:hAnsi="仿宋" w:eastAsia="仿宋" w:cs="仿宋"/>
          <w:b w:val="0"/>
          <w:bCs w:val="0"/>
          <w:sz w:val="32"/>
          <w:szCs w:val="32"/>
          <w:highlight w:val="none"/>
          <w:lang w:val="en-US" w:eastAsia="zh-CN"/>
        </w:rPr>
        <w:t>建议引入或用好现有的OA办公系统，将加班申请、用餐审批等流程线上化，通过系统强制流转至审批人，从技术层面避免“先斩后奏”或遗漏审批的情况。</w:t>
      </w:r>
    </w:p>
    <w:p w14:paraId="3AC455E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6.2024年2月29号凭证支付百菲特系统2年服务费1800元，合同、验收单、发票、凭证均未标明服务费的起止日期。</w:t>
      </w:r>
    </w:p>
    <w:p w14:paraId="62E3221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bCs/>
          <w:sz w:val="32"/>
          <w:szCs w:val="32"/>
          <w:highlight w:val="none"/>
          <w:lang w:val="en-US" w:eastAsia="zh-CN"/>
        </w:rPr>
        <w:t>相关政策1：</w:t>
      </w:r>
      <w:r>
        <w:rPr>
          <w:rFonts w:hint="eastAsia" w:ascii="仿宋" w:hAnsi="仿宋" w:eastAsia="仿宋" w:cs="仿宋"/>
          <w:b w:val="0"/>
          <w:bCs w:val="0"/>
          <w:sz w:val="32"/>
          <w:szCs w:val="32"/>
          <w:highlight w:val="none"/>
          <w:lang w:val="en-US" w:eastAsia="zh-CN"/>
        </w:rPr>
        <w:t>上述违反了</w:t>
      </w:r>
      <w:r>
        <w:rPr>
          <w:rFonts w:hint="eastAsia" w:ascii="仿宋" w:hAnsi="仿宋" w:eastAsia="仿宋" w:cs="仿宋"/>
          <w:b w:val="0"/>
          <w:bCs w:val="0"/>
          <w:sz w:val="32"/>
          <w:szCs w:val="32"/>
          <w:lang w:val="en-US" w:eastAsia="zh-CN"/>
        </w:rPr>
        <w:t>《中华人民共和国会计法》第十四条规定“办理本法第十条所列的经济业务事项，必须填制或者取得原始凭证并及时送交会计机构。……会计机构、会计人员必须按照国家统一的会计制度的规定对原始凭证进行审核，对不真实、不合法的原始凭证有权不予接受，并向单位负责人报告；对记载不准确、不完整的原始凭证予以退回，并要求按照国家统一的会计制度的规定更正、补充。未标明服务期限的发票和合同，属于典型的“记载不完整”的原始凭证。它无法清晰、完整地反映经济业务的实质内容（即购买的是哪个时间区间的服务），会计人员应有权将其退回，要求补充完整。</w:t>
      </w:r>
      <w:r>
        <w:rPr>
          <w:rFonts w:hint="eastAsia" w:ascii="仿宋" w:hAnsi="仿宋" w:eastAsia="仿宋" w:cs="仿宋"/>
          <w:b/>
          <w:bCs/>
          <w:sz w:val="32"/>
          <w:szCs w:val="32"/>
          <w:highlight w:val="none"/>
          <w:lang w:val="en-US" w:eastAsia="zh-CN"/>
        </w:rPr>
        <w:t>相关政策2：</w:t>
      </w:r>
      <w:r>
        <w:rPr>
          <w:rFonts w:hint="eastAsia" w:ascii="仿宋" w:hAnsi="仿宋" w:eastAsia="仿宋" w:cs="仿宋"/>
          <w:b w:val="0"/>
          <w:bCs w:val="0"/>
          <w:sz w:val="32"/>
          <w:szCs w:val="32"/>
          <w:highlight w:val="none"/>
          <w:lang w:val="en-US" w:eastAsia="zh-CN"/>
        </w:rPr>
        <w:t>上述违反了</w:t>
      </w:r>
      <w:r>
        <w:rPr>
          <w:rFonts w:hint="eastAsia" w:ascii="仿宋" w:hAnsi="仿宋" w:eastAsia="仿宋" w:cs="仿宋"/>
          <w:b w:val="0"/>
          <w:bCs w:val="0"/>
          <w:sz w:val="32"/>
          <w:szCs w:val="32"/>
          <w:lang w:val="en-US" w:eastAsia="zh-CN"/>
        </w:rPr>
        <w:t>会计“权责发生制”原则，导致成本费用无法准确确认。《企业会计准则——基本准则》第九条：企业应当以权责发生制为基础进行会计确认、计量和报告。《政府会计准则——基本准则》第三条：政府会计由预算会计和财务会计构成。预算会计实行收付实现制，财务会计实行权责发生制。权责发生制要求，费用应在它实际受益的会计期间确认，而不是在支付的期间一次性确认。支付的是“2年服务费”，其服务效益覆盖未来24个月。如果凭证上没有起止日期，财务人员就无法准确判断：这笔支出是预付账款（资产）还是一次性费用？如果需要摊销，从哪个月开始摊销？到哪个月结束？在后续审计或自查时，无法核对摊销是否准确、完整。</w:t>
      </w:r>
      <w:r>
        <w:rPr>
          <w:rFonts w:hint="eastAsia" w:ascii="仿宋" w:hAnsi="仿宋" w:eastAsia="仿宋" w:cs="仿宋"/>
          <w:b/>
          <w:bCs/>
          <w:sz w:val="32"/>
          <w:szCs w:val="32"/>
          <w:highlight w:val="none"/>
          <w:lang w:val="en-US" w:eastAsia="zh-CN"/>
        </w:rPr>
        <w:t>相关政策3：</w:t>
      </w:r>
      <w:r>
        <w:rPr>
          <w:rFonts w:hint="eastAsia" w:ascii="仿宋" w:hAnsi="仿宋" w:eastAsia="仿宋" w:cs="仿宋"/>
          <w:b w:val="0"/>
          <w:bCs w:val="0"/>
          <w:sz w:val="32"/>
          <w:szCs w:val="32"/>
          <w:highlight w:val="none"/>
          <w:lang w:val="en-US" w:eastAsia="zh-CN"/>
        </w:rPr>
        <w:t>上述违反了</w:t>
      </w:r>
      <w:r>
        <w:rPr>
          <w:rFonts w:hint="eastAsia" w:ascii="仿宋" w:hAnsi="仿宋" w:eastAsia="仿宋" w:cs="仿宋"/>
          <w:b w:val="0"/>
          <w:bCs w:val="0"/>
          <w:sz w:val="32"/>
          <w:szCs w:val="32"/>
          <w:lang w:val="en-US" w:eastAsia="zh-CN"/>
        </w:rPr>
        <w:t>内部控制的“可靠性”和“可审计性”要求。财务档案的核心作用之一就是备查。一份缺少关键信息（服务期限）的合同和发票，严重降低了凭证的证明力。几个月或一年后，当需要确认该系统服务是否在有效期内、是否重复付款、或进行资产清查时，这份凭证无法提供有效证据，给审计和内部管理带来不必要的困扰和风险。</w:t>
      </w:r>
    </w:p>
    <w:p w14:paraId="72A26A1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楷体" w:hAnsi="楷体" w:eastAsia="楷体" w:cs="楷体"/>
          <w:b/>
          <w:bCs/>
          <w:sz w:val="32"/>
          <w:szCs w:val="32"/>
          <w:lang w:val="en-US" w:eastAsia="zh-CN"/>
        </w:rPr>
      </w:pPr>
      <w:r>
        <w:rPr>
          <w:rFonts w:hint="eastAsia" w:ascii="仿宋" w:hAnsi="仿宋" w:eastAsia="仿宋" w:cs="仿宋"/>
          <w:b/>
          <w:bCs/>
          <w:sz w:val="32"/>
          <w:szCs w:val="32"/>
          <w:lang w:val="en-US" w:eastAsia="zh-CN"/>
        </w:rPr>
        <w:t>建议：一是及时追溯，补充证据链。首选方案。</w:t>
      </w:r>
      <w:r>
        <w:rPr>
          <w:rFonts w:hint="eastAsia" w:ascii="仿宋" w:hAnsi="仿宋" w:eastAsia="仿宋" w:cs="仿宋"/>
          <w:b w:val="0"/>
          <w:bCs w:val="0"/>
          <w:sz w:val="32"/>
          <w:szCs w:val="32"/>
          <w:lang w:val="en-US" w:eastAsia="zh-CN"/>
        </w:rPr>
        <w:t>与服务商沟通，补签合同补充协议或由对方出具一份情况说明，明确写明：“本合同项下为期两年的服务，起始日为XXXX年XX月XX日，终止日为XXXX年XX月XX日。”</w:t>
      </w:r>
      <w:r>
        <w:rPr>
          <w:rFonts w:hint="eastAsia" w:ascii="仿宋" w:hAnsi="仿宋" w:eastAsia="仿宋" w:cs="仿宋"/>
          <w:b/>
          <w:bCs/>
          <w:sz w:val="32"/>
          <w:szCs w:val="32"/>
          <w:lang w:val="en-US" w:eastAsia="zh-CN"/>
        </w:rPr>
        <w:t>次选方案。</w:t>
      </w:r>
      <w:r>
        <w:rPr>
          <w:rFonts w:hint="eastAsia" w:ascii="仿宋" w:hAnsi="仿宋" w:eastAsia="仿宋" w:cs="仿宋"/>
          <w:b w:val="0"/>
          <w:bCs w:val="0"/>
          <w:sz w:val="32"/>
          <w:szCs w:val="32"/>
          <w:lang w:val="en-US" w:eastAsia="zh-CN"/>
        </w:rPr>
        <w:t>如果无法补签协议，应由本单位经办人员出具书面说明，经部门负责人和财务负责人审批后，作为重要凭证附件。说明中应清晰陈述服务费对应的具体期间。</w:t>
      </w:r>
      <w:r>
        <w:rPr>
          <w:rFonts w:hint="eastAsia" w:ascii="仿宋" w:hAnsi="仿宋" w:eastAsia="仿宋" w:cs="仿宋"/>
          <w:b/>
          <w:bCs/>
          <w:sz w:val="32"/>
          <w:szCs w:val="32"/>
          <w:lang w:val="en-US" w:eastAsia="zh-CN"/>
        </w:rPr>
        <w:t>二是规范流程，杜绝后患。合同层面。</w:t>
      </w:r>
      <w:r>
        <w:rPr>
          <w:rFonts w:hint="eastAsia" w:ascii="仿宋" w:hAnsi="仿宋" w:eastAsia="仿宋" w:cs="仿宋"/>
          <w:b w:val="0"/>
          <w:bCs w:val="0"/>
          <w:sz w:val="32"/>
          <w:szCs w:val="32"/>
          <w:lang w:val="en-US" w:eastAsia="zh-CN"/>
        </w:rPr>
        <w:t>今后所有涉及分期服务的合同，必须在条款中明确约定服务的起止年月日。</w:t>
      </w:r>
      <w:r>
        <w:rPr>
          <w:rFonts w:hint="eastAsia" w:ascii="仿宋" w:hAnsi="仿宋" w:eastAsia="仿宋" w:cs="仿宋"/>
          <w:b/>
          <w:bCs/>
          <w:sz w:val="32"/>
          <w:szCs w:val="32"/>
          <w:lang w:val="en-US" w:eastAsia="zh-CN"/>
        </w:rPr>
        <w:t>发票层面。</w:t>
      </w:r>
      <w:r>
        <w:rPr>
          <w:rFonts w:hint="eastAsia" w:ascii="仿宋" w:hAnsi="仿宋" w:eastAsia="仿宋" w:cs="仿宋"/>
          <w:b w:val="0"/>
          <w:bCs w:val="0"/>
          <w:sz w:val="32"/>
          <w:szCs w:val="32"/>
          <w:lang w:val="en-US" w:eastAsia="zh-CN"/>
        </w:rPr>
        <w:t>在向服务商索取发票时，应要求其在发票 “备注栏” 注明服务期间（例如：“服务期：2024年1月1日至2025年12月31日”）。这是最直接、最有效的在凭证中明确信息的方式。</w:t>
      </w:r>
      <w:r>
        <w:rPr>
          <w:rFonts w:hint="eastAsia" w:ascii="仿宋" w:hAnsi="仿宋" w:eastAsia="仿宋" w:cs="仿宋"/>
          <w:b/>
          <w:bCs/>
          <w:sz w:val="32"/>
          <w:szCs w:val="32"/>
          <w:lang w:val="en-US" w:eastAsia="zh-CN"/>
        </w:rPr>
        <w:t>内部审批层面。</w:t>
      </w:r>
      <w:r>
        <w:rPr>
          <w:rFonts w:hint="eastAsia" w:ascii="仿宋" w:hAnsi="仿宋" w:eastAsia="仿宋" w:cs="仿宋"/>
          <w:b w:val="0"/>
          <w:bCs w:val="0"/>
          <w:sz w:val="32"/>
          <w:szCs w:val="32"/>
          <w:lang w:val="en-US" w:eastAsia="zh-CN"/>
        </w:rPr>
        <w:t>在报销审批流程中，财务审核岗应将此作为必审内容。对于未注明服务期限的发票和合同，应坚决退回，要求补充完整后方可支付。</w:t>
      </w:r>
    </w:p>
    <w:p w14:paraId="0A294D5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仿宋" w:hAnsi="仿宋" w:eastAsia="仿宋" w:cs="仿宋"/>
          <w:b w:val="0"/>
          <w:bCs w:val="0"/>
          <w:kern w:val="0"/>
          <w:sz w:val="32"/>
          <w:szCs w:val="32"/>
          <w:lang w:val="en-US" w:eastAsia="zh-CN" w:bidi="ar"/>
        </w:rPr>
      </w:pPr>
      <w:bookmarkStart w:id="54" w:name="_Toc30134"/>
      <w:r>
        <w:rPr>
          <w:rFonts w:hint="eastAsia" w:ascii="楷体" w:hAnsi="楷体" w:eastAsia="楷体" w:cs="楷体"/>
          <w:b/>
          <w:bCs/>
          <w:sz w:val="32"/>
          <w:szCs w:val="32"/>
          <w:lang w:val="en-US" w:eastAsia="zh-CN"/>
        </w:rPr>
        <w:t>（二）管理程序方面存在的问题及建议</w:t>
      </w:r>
      <w:bookmarkEnd w:id="54"/>
    </w:p>
    <w:p w14:paraId="03310DEE">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default" w:ascii="仿宋" w:hAnsi="仿宋" w:eastAsia="仿宋" w:cs="仿宋"/>
          <w:b/>
          <w:bCs/>
          <w:sz w:val="32"/>
          <w:szCs w:val="32"/>
          <w:lang w:val="en-US" w:eastAsia="zh-CN"/>
        </w:rPr>
      </w:pPr>
      <w:r>
        <w:rPr>
          <w:rFonts w:hint="eastAsia" w:ascii="仿宋" w:hAnsi="仿宋" w:eastAsia="仿宋" w:cs="仿宋"/>
          <w:b/>
          <w:bCs/>
          <w:kern w:val="0"/>
          <w:sz w:val="32"/>
          <w:szCs w:val="32"/>
          <w:lang w:val="en-US" w:eastAsia="zh-CN" w:bidi="ar"/>
        </w:rPr>
        <w:t>1.</w:t>
      </w:r>
      <w:r>
        <w:rPr>
          <w:rFonts w:hint="eastAsia" w:ascii="仿宋" w:hAnsi="仿宋" w:eastAsia="仿宋" w:cs="仿宋"/>
          <w:b/>
          <w:bCs/>
          <w:sz w:val="32"/>
          <w:szCs w:val="32"/>
          <w:lang w:val="en-US" w:eastAsia="zh-CN"/>
        </w:rPr>
        <w:t>业务发生时间早于政府采购协议签订时间。如2024年12月68号、99号、101号、102号，关于财评中心办公资料打印、局机关购买办公用品、局机关打印机耗材及维修、局机关禁毒、宪法宣传资料等零星支出。</w:t>
      </w:r>
    </w:p>
    <w:p w14:paraId="3A428376">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相关政策1：</w:t>
      </w:r>
      <w:r>
        <w:rPr>
          <w:rFonts w:hint="eastAsia" w:ascii="仿宋" w:hAnsi="仿宋" w:eastAsia="仿宋" w:cs="仿宋"/>
          <w:b w:val="0"/>
          <w:bCs w:val="0"/>
          <w:sz w:val="32"/>
          <w:szCs w:val="32"/>
          <w:lang w:val="en-US" w:eastAsia="zh-CN"/>
        </w:rPr>
        <w:t>上述违反了《中华人民共和国政府采购法》</w:t>
      </w:r>
    </w:p>
    <w:p w14:paraId="1CC7B9B8">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第四十三条：“政府采购合同适用合同法。采购人和供应商之间的权利和义务，应当按照平等、自愿的原则以合同方式约定。”第四十四条：“</w:t>
      </w:r>
      <w:r>
        <w:rPr>
          <w:rFonts w:hint="eastAsia" w:ascii="仿宋" w:hAnsi="仿宋" w:eastAsia="仿宋" w:cs="仿宋"/>
          <w:b/>
          <w:bCs/>
          <w:sz w:val="32"/>
          <w:szCs w:val="32"/>
          <w:lang w:val="en-US" w:eastAsia="zh-CN"/>
        </w:rPr>
        <w:t>政府采购合同应当采用书面形式</w:t>
      </w:r>
      <w:r>
        <w:rPr>
          <w:rFonts w:hint="eastAsia" w:ascii="仿宋" w:hAnsi="仿宋" w:eastAsia="仿宋" w:cs="仿宋"/>
          <w:b w:val="0"/>
          <w:bCs w:val="0"/>
          <w:sz w:val="32"/>
          <w:szCs w:val="32"/>
          <w:lang w:val="en-US" w:eastAsia="zh-CN"/>
        </w:rPr>
        <w:t>。”</w:t>
      </w:r>
    </w:p>
    <w:p w14:paraId="1B2B427B">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核心解读：</w:t>
      </w:r>
      <w:r>
        <w:rPr>
          <w:rFonts w:hint="eastAsia" w:ascii="仿宋" w:hAnsi="仿宋" w:eastAsia="仿宋" w:cs="仿宋"/>
          <w:b w:val="0"/>
          <w:bCs w:val="0"/>
          <w:sz w:val="32"/>
          <w:szCs w:val="32"/>
          <w:lang w:val="en-US" w:eastAsia="zh-CN"/>
        </w:rPr>
        <w:t>法律明确规定，采购人与供应商的权利义务必须通过书面合同来约定。在合同签订之前，双方的法律关系并未正式确立。提前开展业务，意味着在没有任何法律文件约束的情况下进行了采购活动，完全违背了政府采购</w:t>
      </w:r>
      <w:r>
        <w:rPr>
          <w:rFonts w:hint="eastAsia" w:ascii="仿宋" w:hAnsi="仿宋" w:eastAsia="仿宋" w:cs="仿宋"/>
          <w:b/>
          <w:bCs/>
          <w:sz w:val="32"/>
          <w:szCs w:val="32"/>
          <w:lang w:val="en-US" w:eastAsia="zh-CN"/>
        </w:rPr>
        <w:t>“按合同办事”</w:t>
      </w:r>
      <w:r>
        <w:rPr>
          <w:rFonts w:hint="eastAsia" w:ascii="仿宋" w:hAnsi="仿宋" w:eastAsia="仿宋" w:cs="仿宋"/>
          <w:b w:val="0"/>
          <w:bCs w:val="0"/>
          <w:sz w:val="32"/>
          <w:szCs w:val="32"/>
          <w:lang w:val="en-US" w:eastAsia="zh-CN"/>
        </w:rPr>
        <w:t>的基本原则。</w:t>
      </w:r>
      <w:r>
        <w:rPr>
          <w:rFonts w:hint="eastAsia" w:ascii="仿宋" w:hAnsi="仿宋" w:eastAsia="仿宋" w:cs="仿宋"/>
          <w:b/>
          <w:bCs/>
          <w:sz w:val="32"/>
          <w:szCs w:val="32"/>
          <w:lang w:val="en-US" w:eastAsia="zh-CN"/>
        </w:rPr>
        <w:t>相关政策2：</w:t>
      </w:r>
      <w:r>
        <w:rPr>
          <w:rFonts w:hint="eastAsia" w:ascii="仿宋" w:hAnsi="仿宋" w:eastAsia="仿宋" w:cs="仿宋"/>
          <w:b w:val="0"/>
          <w:bCs w:val="0"/>
          <w:sz w:val="32"/>
          <w:szCs w:val="32"/>
          <w:lang w:val="en-US" w:eastAsia="zh-CN"/>
        </w:rPr>
        <w:t>上述违反了《中华人民共和国政府采购法实施条例》第六十七条。详细列举了未按照政府采购法和本条例规定执行的各种违法情形。虽然未直接提及</w:t>
      </w:r>
      <w:r>
        <w:rPr>
          <w:rFonts w:hint="eastAsia" w:ascii="仿宋" w:hAnsi="仿宋" w:eastAsia="仿宋" w:cs="仿宋"/>
          <w:b/>
          <w:bCs/>
          <w:sz w:val="32"/>
          <w:szCs w:val="32"/>
          <w:lang w:val="en-US" w:eastAsia="zh-CN"/>
        </w:rPr>
        <w:t>“合同倒签”</w:t>
      </w:r>
      <w:r>
        <w:rPr>
          <w:rFonts w:hint="eastAsia" w:ascii="仿宋" w:hAnsi="仿宋" w:eastAsia="仿宋" w:cs="仿宋"/>
          <w:b w:val="0"/>
          <w:bCs w:val="0"/>
          <w:sz w:val="32"/>
          <w:szCs w:val="32"/>
          <w:lang w:val="en-US" w:eastAsia="zh-CN"/>
        </w:rPr>
        <w:t>，但</w:t>
      </w:r>
      <w:r>
        <w:rPr>
          <w:rFonts w:hint="eastAsia" w:ascii="仿宋" w:hAnsi="仿宋" w:eastAsia="仿宋" w:cs="仿宋"/>
          <w:b/>
          <w:bCs/>
          <w:sz w:val="32"/>
          <w:szCs w:val="32"/>
          <w:lang w:val="en-US" w:eastAsia="zh-CN"/>
        </w:rPr>
        <w:t>“先干活后补合同”</w:t>
      </w:r>
      <w:r>
        <w:rPr>
          <w:rFonts w:hint="eastAsia" w:ascii="仿宋" w:hAnsi="仿宋" w:eastAsia="仿宋" w:cs="仿宋"/>
          <w:b w:val="0"/>
          <w:bCs w:val="0"/>
          <w:sz w:val="32"/>
          <w:szCs w:val="32"/>
          <w:lang w:val="en-US" w:eastAsia="zh-CN"/>
        </w:rPr>
        <w:t>本质上属于规避政府采购法定程序的行为，属于广义的违法违规行为。</w:t>
      </w:r>
      <w:r>
        <w:rPr>
          <w:rFonts w:hint="eastAsia" w:ascii="仿宋" w:hAnsi="仿宋" w:eastAsia="仿宋" w:cs="仿宋"/>
          <w:b/>
          <w:bCs/>
          <w:sz w:val="32"/>
          <w:szCs w:val="32"/>
          <w:lang w:val="en-US" w:eastAsia="zh-CN"/>
        </w:rPr>
        <w:t>相关政策3：</w:t>
      </w:r>
      <w:r>
        <w:rPr>
          <w:rFonts w:hint="eastAsia" w:ascii="仿宋" w:hAnsi="仿宋" w:eastAsia="仿宋" w:cs="仿宋"/>
          <w:b w:val="0"/>
          <w:bCs w:val="0"/>
          <w:sz w:val="32"/>
          <w:szCs w:val="32"/>
          <w:lang w:val="en-US" w:eastAsia="zh-CN"/>
        </w:rPr>
        <w:t>上述违反了</w:t>
      </w:r>
      <w:r>
        <w:rPr>
          <w:rFonts w:hint="eastAsia" w:ascii="仿宋" w:hAnsi="仿宋" w:eastAsia="仿宋" w:cs="仿宋"/>
          <w:b/>
          <w:bCs/>
          <w:sz w:val="32"/>
          <w:szCs w:val="32"/>
          <w:lang w:val="en-US" w:eastAsia="zh-CN"/>
        </w:rPr>
        <w:t>《政府采购需求管理办法》（财库〔2021〕22号）。</w:t>
      </w:r>
      <w:r>
        <w:rPr>
          <w:rFonts w:hint="eastAsia" w:ascii="仿宋" w:hAnsi="仿宋" w:eastAsia="仿宋" w:cs="仿宋"/>
          <w:b w:val="0"/>
          <w:bCs w:val="0"/>
          <w:sz w:val="32"/>
          <w:szCs w:val="32"/>
          <w:lang w:val="en-US" w:eastAsia="zh-CN"/>
        </w:rPr>
        <w:t>该办法强调，采购需求管理是政府采购管理的起点，合同是落实采购需求的终点。所有采购活动都应在确定的采购需求框架下，通过规范的采购程序，最终以合同形式固化。业务先于合同，导致整个采购流程本末倒置。</w:t>
      </w:r>
      <w:r>
        <w:rPr>
          <w:rFonts w:hint="eastAsia" w:ascii="仿宋" w:hAnsi="仿宋" w:eastAsia="仿宋" w:cs="仿宋"/>
          <w:b/>
          <w:bCs/>
          <w:sz w:val="32"/>
          <w:szCs w:val="32"/>
          <w:lang w:val="en-US" w:eastAsia="zh-CN"/>
        </w:rPr>
        <w:t>三类风险分析。</w:t>
      </w:r>
    </w:p>
    <w:p w14:paraId="5EDE8312">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一是程序违法风险。</w:t>
      </w:r>
      <w:r>
        <w:rPr>
          <w:rFonts w:hint="eastAsia" w:ascii="仿宋" w:hAnsi="仿宋" w:eastAsia="仿宋" w:cs="仿宋"/>
          <w:b w:val="0"/>
          <w:bCs w:val="0"/>
          <w:sz w:val="32"/>
          <w:szCs w:val="32"/>
          <w:lang w:val="en-US" w:eastAsia="zh-CN"/>
        </w:rPr>
        <w:t>这是最根本的风险。它使得整个政府采购程序（公开招标、竞争性谈判、询价等）形同虚设，因为实际执行已经提前发生，采购结果在程序完成前就已内定，严重损害了政府采购的公开、公平、公正原则。</w:t>
      </w:r>
      <w:r>
        <w:rPr>
          <w:rFonts w:hint="eastAsia" w:ascii="仿宋" w:hAnsi="仿宋" w:eastAsia="仿宋" w:cs="仿宋"/>
          <w:b/>
          <w:bCs/>
          <w:sz w:val="32"/>
          <w:szCs w:val="32"/>
          <w:lang w:val="en-US" w:eastAsia="zh-CN"/>
        </w:rPr>
        <w:t>二是审计风险。</w:t>
      </w:r>
      <w:r>
        <w:rPr>
          <w:rFonts w:hint="eastAsia" w:ascii="仿宋" w:hAnsi="仿宋" w:eastAsia="仿宋" w:cs="仿宋"/>
          <w:b w:val="0"/>
          <w:bCs w:val="0"/>
          <w:sz w:val="32"/>
          <w:szCs w:val="32"/>
          <w:lang w:val="en-US" w:eastAsia="zh-CN"/>
        </w:rPr>
        <w:t>在审计中，此类合同是重点审查对象。审计人员会通过比对发票日期、验收日期和合同签订日期来发现此类问题。一旦发现，该笔支出很可能被认定为不合规支出，要求整改甚至追回资金，并在审计报告中作为重大问题披露</w:t>
      </w:r>
      <w:r>
        <w:rPr>
          <w:rFonts w:hint="eastAsia" w:ascii="仿宋" w:hAnsi="仿宋" w:eastAsia="仿宋" w:cs="仿宋"/>
          <w:b/>
          <w:bCs/>
          <w:sz w:val="32"/>
          <w:szCs w:val="32"/>
          <w:lang w:val="en-US" w:eastAsia="zh-CN"/>
        </w:rPr>
        <w:t>。三是合同效力与资金安全风险。</w:t>
      </w:r>
      <w:r>
        <w:rPr>
          <w:rFonts w:hint="eastAsia" w:ascii="仿宋" w:hAnsi="仿宋" w:eastAsia="仿宋" w:cs="仿宋"/>
          <w:b w:val="0"/>
          <w:bCs w:val="0"/>
          <w:sz w:val="32"/>
          <w:szCs w:val="32"/>
          <w:lang w:val="en-US" w:eastAsia="zh-CN"/>
        </w:rPr>
        <w:t>合同效力存疑，由于合同签订前的业务行为缺乏法律依据，一旦发生纠纷（如服务质量、价格争议），合同双方的权利义务难以界定，合同本身的效力可能受到挑战。资金支付无依据，财政资金支付必须以有效的合同为依据。合同签订前的业务，其费用支付缺乏合同支持，属于无依据支付，违反了财政资金管理的规定。</w:t>
      </w:r>
    </w:p>
    <w:p w14:paraId="4B81161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bCs/>
          <w:sz w:val="32"/>
          <w:szCs w:val="32"/>
          <w:lang w:val="en-US" w:eastAsia="zh-CN"/>
        </w:rPr>
        <w:t>建议：应着重于从源头和流程上杜绝此类现象，推动采购活动回归“程序优先、合同为据”的法治轨道。</w:t>
      </w:r>
      <w:r>
        <w:rPr>
          <w:rFonts w:hint="eastAsia" w:ascii="仿宋" w:hAnsi="仿宋" w:eastAsia="仿宋" w:cs="仿宋"/>
          <w:b w:val="0"/>
          <w:bCs w:val="0"/>
          <w:sz w:val="32"/>
          <w:szCs w:val="32"/>
          <w:highlight w:val="none"/>
          <w:lang w:val="en-US" w:eastAsia="zh-CN"/>
        </w:rPr>
        <w:t>若已发生2024年先使用后补合同的情况，</w:t>
      </w:r>
      <w:r>
        <w:rPr>
          <w:rFonts w:hint="eastAsia" w:ascii="仿宋" w:hAnsi="仿宋" w:eastAsia="仿宋" w:cs="仿宋"/>
          <w:b/>
          <w:bCs/>
          <w:sz w:val="32"/>
          <w:szCs w:val="32"/>
          <w:highlight w:val="none"/>
          <w:lang w:val="en-US" w:eastAsia="zh-CN"/>
        </w:rPr>
        <w:t>一是补充书面说明</w:t>
      </w:r>
      <w:r>
        <w:rPr>
          <w:rFonts w:hint="eastAsia" w:ascii="仿宋" w:hAnsi="仿宋" w:eastAsia="仿宋" w:cs="仿宋"/>
          <w:b w:val="0"/>
          <w:bCs w:val="0"/>
          <w:sz w:val="32"/>
          <w:szCs w:val="32"/>
          <w:highlight w:val="none"/>
          <w:lang w:val="en-US" w:eastAsia="zh-CN"/>
        </w:rPr>
        <w:t>，向上级部门说明原因，完善内部审批记录。</w:t>
      </w:r>
      <w:r>
        <w:rPr>
          <w:rFonts w:hint="eastAsia" w:ascii="仿宋" w:hAnsi="仿宋" w:eastAsia="仿宋" w:cs="仿宋"/>
          <w:b/>
          <w:bCs/>
          <w:sz w:val="32"/>
          <w:szCs w:val="32"/>
          <w:highlight w:val="none"/>
          <w:lang w:val="en-US" w:eastAsia="zh-CN"/>
        </w:rPr>
        <w:t>二是建立框架协议或定点采购机制，避免再次出现程序倒置，既能满足零星采购灵活性，又能确保程序合规。</w:t>
      </w:r>
      <w:r>
        <w:rPr>
          <w:rFonts w:hint="eastAsia" w:ascii="仿宋" w:hAnsi="仿宋" w:eastAsia="仿宋" w:cs="仿宋"/>
          <w:b w:val="0"/>
          <w:bCs w:val="0"/>
          <w:sz w:val="32"/>
          <w:szCs w:val="32"/>
          <w:highlight w:val="none"/>
          <w:lang w:val="en-US" w:eastAsia="zh-CN"/>
        </w:rPr>
        <w:t>具体操作需结合当地财政部门实施细则。</w:t>
      </w:r>
      <w:r>
        <w:rPr>
          <w:rFonts w:hint="eastAsia" w:ascii="仿宋" w:hAnsi="仿宋" w:eastAsia="仿宋" w:cs="仿宋"/>
          <w:b/>
          <w:bCs/>
          <w:sz w:val="32"/>
          <w:szCs w:val="32"/>
          <w:highlight w:val="none"/>
          <w:lang w:val="en-US" w:eastAsia="zh-CN"/>
        </w:rPr>
        <w:t>方案1：采用“框架协议+订单”模式。适用场景：</w:t>
      </w:r>
      <w:r>
        <w:rPr>
          <w:rFonts w:hint="eastAsia" w:ascii="仿宋" w:hAnsi="仿宋" w:eastAsia="仿宋" w:cs="仿宋"/>
          <w:b w:val="0"/>
          <w:bCs w:val="0"/>
          <w:sz w:val="32"/>
          <w:szCs w:val="32"/>
          <w:highlight w:val="none"/>
          <w:lang w:val="en-US" w:eastAsia="zh-CN"/>
        </w:rPr>
        <w:t>需求数量不确定，但采购频次较高。</w:t>
      </w:r>
      <w:r>
        <w:rPr>
          <w:rFonts w:hint="eastAsia" w:ascii="仿宋" w:hAnsi="仿宋" w:eastAsia="仿宋" w:cs="仿宋"/>
          <w:b/>
          <w:bCs/>
          <w:sz w:val="32"/>
          <w:szCs w:val="32"/>
          <w:highlight w:val="none"/>
          <w:lang w:val="en-US" w:eastAsia="zh-CN"/>
        </w:rPr>
        <w:t>操作步骤：</w:t>
      </w:r>
      <w:r>
        <w:rPr>
          <w:rFonts w:hint="eastAsia" w:ascii="仿宋" w:hAnsi="仿宋" w:eastAsia="仿宋" w:cs="仿宋"/>
          <w:b w:val="0"/>
          <w:bCs w:val="0"/>
          <w:sz w:val="32"/>
          <w:szCs w:val="32"/>
          <w:highlight w:val="none"/>
          <w:lang w:val="en-US" w:eastAsia="zh-CN"/>
        </w:rPr>
        <w:t>提前签订框架协议（2024年初），通过公开竞争程序确定供应商，约定商品目录、单价、服务条款等，协议有效期1年。</w:t>
      </w:r>
      <w:r>
        <w:rPr>
          <w:rFonts w:hint="eastAsia" w:ascii="仿宋" w:hAnsi="仿宋" w:eastAsia="仿宋" w:cs="仿宋"/>
          <w:b/>
          <w:bCs/>
          <w:sz w:val="32"/>
          <w:szCs w:val="32"/>
          <w:highlight w:val="none"/>
          <w:lang w:val="en-US" w:eastAsia="zh-CN"/>
        </w:rPr>
        <w:t>法律依据：</w:t>
      </w:r>
      <w:r>
        <w:rPr>
          <w:rFonts w:hint="eastAsia" w:ascii="仿宋" w:hAnsi="仿宋" w:eastAsia="仿宋" w:cs="仿宋"/>
          <w:b w:val="0"/>
          <w:bCs w:val="0"/>
          <w:sz w:val="32"/>
          <w:szCs w:val="32"/>
          <w:highlight w:val="none"/>
          <w:lang w:val="en-US" w:eastAsia="zh-CN"/>
        </w:rPr>
        <w:t>《政府采购框架协议采购方式管理暂行办法》（财政部令第110号）。</w:t>
      </w:r>
      <w:r>
        <w:rPr>
          <w:rFonts w:hint="eastAsia" w:ascii="仿宋" w:hAnsi="仿宋" w:eastAsia="仿宋" w:cs="仿宋"/>
          <w:b/>
          <w:bCs/>
          <w:sz w:val="32"/>
          <w:szCs w:val="32"/>
          <w:highlight w:val="none"/>
          <w:lang w:val="en-US" w:eastAsia="zh-CN"/>
        </w:rPr>
        <w:t>按需下发订单：</w:t>
      </w:r>
      <w:r>
        <w:rPr>
          <w:rFonts w:hint="eastAsia" w:ascii="仿宋" w:hAnsi="仿宋" w:eastAsia="仿宋" w:cs="仿宋"/>
          <w:b w:val="0"/>
          <w:bCs w:val="0"/>
          <w:sz w:val="32"/>
          <w:szCs w:val="32"/>
          <w:highlight w:val="none"/>
          <w:lang w:val="en-US" w:eastAsia="zh-CN"/>
        </w:rPr>
        <w:t>在实际需要时，根据框架协议下达订单，无需重复签订合同。</w:t>
      </w:r>
      <w:r>
        <w:rPr>
          <w:rFonts w:hint="eastAsia" w:ascii="仿宋" w:hAnsi="仿宋" w:eastAsia="仿宋" w:cs="仿宋"/>
          <w:b/>
          <w:bCs/>
          <w:sz w:val="32"/>
          <w:szCs w:val="32"/>
          <w:highlight w:val="none"/>
          <w:lang w:val="en-US" w:eastAsia="zh-CN"/>
        </w:rPr>
        <w:t>验收与付款：</w:t>
      </w:r>
      <w:r>
        <w:rPr>
          <w:rFonts w:hint="eastAsia" w:ascii="仿宋" w:hAnsi="仿宋" w:eastAsia="仿宋" w:cs="仿宋"/>
          <w:b w:val="0"/>
          <w:bCs w:val="0"/>
          <w:sz w:val="32"/>
          <w:szCs w:val="32"/>
          <w:highlight w:val="none"/>
          <w:lang w:val="en-US" w:eastAsia="zh-CN"/>
        </w:rPr>
        <w:t>每笔订单单独验收，按协议约定周期（如季度）集中付款。</w:t>
      </w:r>
      <w:r>
        <w:rPr>
          <w:rFonts w:hint="eastAsia" w:ascii="仿宋" w:hAnsi="仿宋" w:eastAsia="仿宋" w:cs="仿宋"/>
          <w:b/>
          <w:bCs/>
          <w:sz w:val="32"/>
          <w:szCs w:val="32"/>
          <w:highlight w:val="none"/>
          <w:lang w:val="en-US" w:eastAsia="zh-CN"/>
        </w:rPr>
        <w:t>方案2：小额零星采购简化程序。适用场景：</w:t>
      </w:r>
      <w:r>
        <w:rPr>
          <w:rFonts w:hint="eastAsia" w:ascii="仿宋" w:hAnsi="仿宋" w:eastAsia="仿宋" w:cs="仿宋"/>
          <w:b w:val="0"/>
          <w:bCs w:val="0"/>
          <w:sz w:val="32"/>
          <w:szCs w:val="32"/>
          <w:highlight w:val="none"/>
          <w:lang w:val="en-US" w:eastAsia="zh-CN"/>
        </w:rPr>
        <w:t>单次采购金额极低（如低于当地分散采购限额，通常为30万元以下）。</w:t>
      </w:r>
      <w:r>
        <w:rPr>
          <w:rFonts w:hint="eastAsia" w:ascii="仿宋" w:hAnsi="仿宋" w:eastAsia="仿宋" w:cs="仿宋"/>
          <w:b/>
          <w:bCs/>
          <w:sz w:val="32"/>
          <w:szCs w:val="32"/>
          <w:highlight w:val="none"/>
          <w:lang w:val="en-US" w:eastAsia="zh-CN"/>
        </w:rPr>
        <w:t>操作步骤：提前备案采购计划，</w:t>
      </w:r>
      <w:r>
        <w:rPr>
          <w:rFonts w:hint="eastAsia" w:ascii="仿宋" w:hAnsi="仿宋" w:eastAsia="仿宋" w:cs="仿宋"/>
          <w:b w:val="0"/>
          <w:bCs w:val="0"/>
          <w:sz w:val="32"/>
          <w:szCs w:val="32"/>
          <w:highlight w:val="none"/>
          <w:lang w:val="en-US" w:eastAsia="zh-CN"/>
        </w:rPr>
        <w:t>在财政部门备案年度零星采购预算及标准。</w:t>
      </w:r>
    </w:p>
    <w:p w14:paraId="41B86D86">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bCs/>
          <w:sz w:val="32"/>
          <w:szCs w:val="32"/>
          <w:highlight w:val="none"/>
          <w:lang w:val="en-US" w:eastAsia="zh-CN"/>
        </w:rPr>
        <w:t>通过定点供应商采购，</w:t>
      </w:r>
      <w:r>
        <w:rPr>
          <w:rFonts w:hint="eastAsia" w:ascii="仿宋" w:hAnsi="仿宋" w:eastAsia="仿宋" w:cs="仿宋"/>
          <w:b w:val="0"/>
          <w:bCs w:val="0"/>
          <w:sz w:val="32"/>
          <w:szCs w:val="32"/>
          <w:highlight w:val="none"/>
          <w:lang w:val="en-US" w:eastAsia="zh-CN"/>
        </w:rPr>
        <w:t>选择政府采购定点供应商，直接按定点价格采购。</w:t>
      </w:r>
      <w:r>
        <w:rPr>
          <w:rFonts w:hint="eastAsia" w:ascii="仿宋" w:hAnsi="仿宋" w:eastAsia="仿宋" w:cs="仿宋"/>
          <w:b/>
          <w:bCs/>
          <w:sz w:val="32"/>
          <w:szCs w:val="32"/>
          <w:highlight w:val="none"/>
          <w:lang w:val="en-US" w:eastAsia="zh-CN"/>
        </w:rPr>
        <w:t>即时验收并留存记录，</w:t>
      </w:r>
      <w:r>
        <w:rPr>
          <w:rFonts w:hint="eastAsia" w:ascii="仿宋" w:hAnsi="仿宋" w:eastAsia="仿宋" w:cs="仿宋"/>
          <w:b w:val="0"/>
          <w:bCs w:val="0"/>
          <w:sz w:val="32"/>
          <w:szCs w:val="32"/>
          <w:highlight w:val="none"/>
          <w:lang w:val="en-US" w:eastAsia="zh-CN"/>
        </w:rPr>
        <w:t>每笔采购需有验收单，定期（如按月）汇总签订结算合同并付款。</w:t>
      </w:r>
      <w:r>
        <w:rPr>
          <w:rFonts w:hint="eastAsia" w:ascii="仿宋" w:hAnsi="仿宋" w:eastAsia="仿宋" w:cs="仿宋"/>
          <w:b/>
          <w:bCs/>
          <w:sz w:val="32"/>
          <w:szCs w:val="32"/>
          <w:highlight w:val="none"/>
          <w:lang w:val="en-US" w:eastAsia="zh-CN"/>
        </w:rPr>
        <w:t>方案3：预估需求+分批履行。</w:t>
      </w:r>
      <w:r>
        <w:rPr>
          <w:rFonts w:hint="eastAsia" w:ascii="仿宋" w:hAnsi="仿宋" w:eastAsia="仿宋" w:cs="仿宋"/>
          <w:b w:val="0"/>
          <w:bCs w:val="0"/>
          <w:sz w:val="32"/>
          <w:szCs w:val="32"/>
          <w:highlight w:val="none"/>
          <w:lang w:val="en-US" w:eastAsia="zh-CN"/>
        </w:rPr>
        <w:t>若需求可部分预估，签订合同时明确“预估总量+允许浮动比例”（如±20%），实际采购量按需分批下达，但总额不超过合同上限。</w:t>
      </w:r>
    </w:p>
    <w:p w14:paraId="7A1D52D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1"/>
        <w:rPr>
          <w:rFonts w:hint="eastAsia" w:ascii="楷体" w:hAnsi="楷体" w:eastAsia="楷体" w:cs="楷体"/>
          <w:b/>
          <w:bCs/>
          <w:sz w:val="32"/>
          <w:szCs w:val="32"/>
          <w:lang w:val="en-US" w:eastAsia="zh-CN"/>
        </w:rPr>
      </w:pPr>
      <w:bookmarkStart w:id="55" w:name="_Toc367"/>
      <w:r>
        <w:rPr>
          <w:rFonts w:hint="eastAsia" w:ascii="楷体" w:hAnsi="楷体" w:eastAsia="楷体" w:cs="楷体"/>
          <w:b/>
          <w:bCs/>
          <w:sz w:val="32"/>
          <w:szCs w:val="32"/>
          <w:lang w:val="en-US" w:eastAsia="zh-CN"/>
        </w:rPr>
        <w:t>（三）人员经费管理方面存在的问题及建议</w:t>
      </w:r>
      <w:bookmarkEnd w:id="55"/>
    </w:p>
    <w:p w14:paraId="52423A3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在机构编制和工资管理上，对内部人员绩效的考核与部门整体绩效目标的联动不足，建议推动内部绩效管理精细化，将部门整体绩效目标科</w:t>
      </w:r>
      <w:bookmarkStart w:id="56" w:name="_GoBack"/>
      <w:bookmarkEnd w:id="56"/>
      <w:r>
        <w:rPr>
          <w:rFonts w:hint="eastAsia" w:ascii="仿宋" w:hAnsi="仿宋" w:eastAsia="仿宋" w:cs="仿宋"/>
          <w:b w:val="0"/>
          <w:bCs w:val="0"/>
          <w:sz w:val="32"/>
          <w:szCs w:val="32"/>
          <w:lang w:val="en-US" w:eastAsia="zh-CN"/>
        </w:rPr>
        <w:t>学分解到内设机构和岗位，实现个人绩效与组织绩效的有机统一。</w:t>
      </w:r>
    </w:p>
    <w:p w14:paraId="481F774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1.发放统发工资后附件有国库支付单，有工资发放明细表，无审批人签字及审核意见且无银行回单。</w:t>
      </w:r>
    </w:p>
    <w:p w14:paraId="3B40CC2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相关政策1：</w:t>
      </w:r>
      <w:r>
        <w:rPr>
          <w:rFonts w:hint="eastAsia" w:ascii="仿宋" w:hAnsi="仿宋" w:eastAsia="仿宋" w:cs="仿宋"/>
          <w:b w:val="0"/>
          <w:bCs w:val="0"/>
          <w:sz w:val="32"/>
          <w:szCs w:val="32"/>
          <w:lang w:val="en-US" w:eastAsia="zh-CN"/>
        </w:rPr>
        <w:t>上述违反了《中华人民共和国预算法》及其实施条例。强调各级政府对财政资金的使用和管理负责，必须提高财政资金使用效益。这种粗放式的管理显然无法体现“有效管理”。仅有国库支付凭证，不符合财务管理和内部控制的规范性要求。这套资料在证据链上是残缺的，无法构成一个完整、可信的工资发放证明。工资发放表无审批人签字及审核意见，是</w:t>
      </w:r>
      <w:r>
        <w:rPr>
          <w:rFonts w:hint="eastAsia" w:ascii="仿宋" w:hAnsi="仿宋" w:eastAsia="仿宋" w:cs="仿宋"/>
          <w:b/>
          <w:bCs/>
          <w:sz w:val="32"/>
          <w:szCs w:val="32"/>
          <w:lang w:val="en-US" w:eastAsia="zh-CN"/>
        </w:rPr>
        <w:t>内部控制缺失</w:t>
      </w:r>
      <w:r>
        <w:rPr>
          <w:rFonts w:hint="eastAsia" w:ascii="仿宋" w:hAnsi="仿宋" w:eastAsia="仿宋" w:cs="仿宋"/>
          <w:b w:val="0"/>
          <w:bCs w:val="0"/>
          <w:sz w:val="32"/>
          <w:szCs w:val="32"/>
          <w:lang w:val="en-US" w:eastAsia="zh-CN"/>
        </w:rPr>
        <w:t>的核心体现。缺少审批环节，意味着无法证明工资表的数据（人员、级别、金额、扣款等）的</w:t>
      </w:r>
      <w:r>
        <w:rPr>
          <w:rFonts w:hint="eastAsia" w:ascii="仿宋" w:hAnsi="仿宋" w:eastAsia="仿宋" w:cs="仿宋"/>
          <w:b/>
          <w:bCs/>
          <w:sz w:val="32"/>
          <w:szCs w:val="32"/>
          <w:lang w:val="en-US" w:eastAsia="zh-CN"/>
        </w:rPr>
        <w:t>真实性。</w:t>
      </w:r>
      <w:r>
        <w:rPr>
          <w:rFonts w:hint="eastAsia" w:ascii="仿宋" w:hAnsi="仿宋" w:eastAsia="仿宋" w:cs="仿宋"/>
          <w:b w:val="0"/>
          <w:bCs w:val="0"/>
          <w:sz w:val="32"/>
          <w:szCs w:val="32"/>
          <w:lang w:val="en-US" w:eastAsia="zh-CN"/>
        </w:rPr>
        <w:t>无法证明经过</w:t>
      </w:r>
      <w:r>
        <w:rPr>
          <w:rFonts w:hint="eastAsia" w:ascii="仿宋" w:hAnsi="仿宋" w:eastAsia="仿宋" w:cs="仿宋"/>
          <w:b/>
          <w:bCs/>
          <w:sz w:val="32"/>
          <w:szCs w:val="32"/>
          <w:lang w:val="en-US" w:eastAsia="zh-CN"/>
        </w:rPr>
        <w:t>授权人员</w:t>
      </w:r>
      <w:r>
        <w:rPr>
          <w:rFonts w:hint="eastAsia" w:ascii="仿宋" w:hAnsi="仿宋" w:eastAsia="仿宋" w:cs="仿宋"/>
          <w:b w:val="0"/>
          <w:bCs w:val="0"/>
          <w:sz w:val="32"/>
          <w:szCs w:val="32"/>
          <w:lang w:val="en-US" w:eastAsia="zh-CN"/>
        </w:rPr>
        <w:t>确认其真实准确。无法证明工资发放标准和计算是否符合</w:t>
      </w:r>
      <w:r>
        <w:rPr>
          <w:rFonts w:hint="eastAsia" w:ascii="仿宋" w:hAnsi="仿宋" w:eastAsia="仿宋" w:cs="仿宋"/>
          <w:b/>
          <w:bCs/>
          <w:sz w:val="32"/>
          <w:szCs w:val="32"/>
          <w:lang w:val="en-US" w:eastAsia="zh-CN"/>
        </w:rPr>
        <w:t>相关政策规定</w:t>
      </w:r>
      <w:r>
        <w:rPr>
          <w:rFonts w:hint="eastAsia" w:ascii="仿宋" w:hAnsi="仿宋" w:eastAsia="仿宋" w:cs="仿宋"/>
          <w:b w:val="0"/>
          <w:bCs w:val="0"/>
          <w:sz w:val="32"/>
          <w:szCs w:val="32"/>
          <w:lang w:val="en-US" w:eastAsia="zh-CN"/>
        </w:rPr>
        <w:t>（如人事部门的批复文件）。</w:t>
      </w:r>
      <w:r>
        <w:rPr>
          <w:rFonts w:hint="eastAsia" w:ascii="仿宋" w:hAnsi="仿宋" w:eastAsia="仿宋" w:cs="仿宋"/>
          <w:b/>
          <w:bCs/>
          <w:sz w:val="32"/>
          <w:szCs w:val="32"/>
          <w:lang w:val="en-US" w:eastAsia="zh-CN"/>
        </w:rPr>
        <w:t>相关政策2：</w:t>
      </w:r>
      <w:r>
        <w:rPr>
          <w:rFonts w:hint="eastAsia" w:ascii="仿宋" w:hAnsi="仿宋" w:eastAsia="仿宋" w:cs="仿宋"/>
          <w:b w:val="0"/>
          <w:bCs w:val="0"/>
          <w:sz w:val="32"/>
          <w:szCs w:val="32"/>
          <w:lang w:val="en-US" w:eastAsia="zh-CN"/>
        </w:rPr>
        <w:t>上述违反了《行政事业单位内部控制规范（试行）》（财会〔2012〕21号）第十六条：“单位内部控制方法包括不相容岗位相互分离、内部授权审批控制、归口管理等。”工资发放没有审批签字，严重违反了“内部授权审批控制”原则。违反了“经办、审核、审批”相分离的内控基本原则，容易产生错误和舞弊风险。例如，财务人员可能擅自修改数据而无人复核。</w:t>
      </w:r>
      <w:r>
        <w:rPr>
          <w:rFonts w:hint="eastAsia" w:ascii="仿宋" w:hAnsi="仿宋" w:eastAsia="仿宋" w:cs="仿宋"/>
          <w:b/>
          <w:bCs/>
          <w:sz w:val="32"/>
          <w:szCs w:val="32"/>
          <w:lang w:val="en-US" w:eastAsia="zh-CN"/>
        </w:rPr>
        <w:t>相关政策3：</w:t>
      </w:r>
      <w:r>
        <w:rPr>
          <w:rFonts w:hint="eastAsia" w:ascii="仿宋" w:hAnsi="仿宋" w:eastAsia="仿宋" w:cs="仿宋"/>
          <w:b w:val="0"/>
          <w:bCs w:val="0"/>
          <w:sz w:val="32"/>
          <w:szCs w:val="32"/>
          <w:lang w:val="en-US" w:eastAsia="zh-CN"/>
        </w:rPr>
        <w:t>上述违反了《会计基础工作规范》（财会字〔1996〕19号）。强调原始凭证的完整性和真实性。未经审批的工资表不能作为合法、有效的记账原始凭证附件。要求各单位应当建立内部的稽核和审批制度。</w:t>
      </w:r>
      <w:r>
        <w:rPr>
          <w:rFonts w:hint="eastAsia" w:ascii="仿宋" w:hAnsi="仿宋" w:eastAsia="仿宋" w:cs="仿宋"/>
          <w:b/>
          <w:bCs/>
          <w:sz w:val="32"/>
          <w:szCs w:val="32"/>
          <w:lang w:val="en-US" w:eastAsia="zh-CN"/>
        </w:rPr>
        <w:t>相关政策4：</w:t>
      </w:r>
      <w:r>
        <w:rPr>
          <w:rFonts w:hint="eastAsia" w:ascii="仿宋" w:hAnsi="仿宋" w:eastAsia="仿宋" w:cs="仿宋"/>
          <w:b w:val="0"/>
          <w:bCs w:val="0"/>
          <w:sz w:val="32"/>
          <w:szCs w:val="32"/>
          <w:lang w:val="en-US" w:eastAsia="zh-CN"/>
        </w:rPr>
        <w:t>上述违反了地方政府和财政部门的具体规定。各地财政局通常会有更细化的财政资金支付管理办法、工资统发实施细则等，其中必然会明确要求工资发放必须经过单位人事、财务负责人乃至单位领导的审批，并要求附上银行回单作为做账依据。</w:t>
      </w:r>
    </w:p>
    <w:p w14:paraId="10E58A4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建议：规范管理、防范风险、提升效能。短期建议，及时整改。A补全审批手续。</w:t>
      </w:r>
      <w:r>
        <w:rPr>
          <w:rFonts w:hint="eastAsia" w:ascii="仿宋" w:hAnsi="仿宋" w:eastAsia="仿宋" w:cs="仿宋"/>
          <w:b w:val="0"/>
          <w:bCs w:val="0"/>
          <w:sz w:val="32"/>
          <w:szCs w:val="32"/>
          <w:lang w:val="en-US" w:eastAsia="zh-CN"/>
        </w:rPr>
        <w:t>及时对当期的工资发放明细表进行补审批。由制表人、审核人、审批人（通常为单位分管财务的领导或财务主管）补签姓名和日期，并可根据情况补充“已核，数据无误”等简要审核意见。</w:t>
      </w:r>
      <w:r>
        <w:rPr>
          <w:rFonts w:hint="eastAsia" w:ascii="仿宋" w:hAnsi="仿宋" w:eastAsia="仿宋" w:cs="仿宋"/>
          <w:b/>
          <w:bCs/>
          <w:sz w:val="32"/>
          <w:szCs w:val="32"/>
          <w:lang w:val="en-US" w:eastAsia="zh-CN"/>
        </w:rPr>
        <w:t>B获取银行回单。</w:t>
      </w:r>
      <w:r>
        <w:rPr>
          <w:rFonts w:hint="eastAsia" w:ascii="仿宋" w:hAnsi="仿宋" w:eastAsia="仿宋" w:cs="仿宋"/>
          <w:b w:val="0"/>
          <w:bCs w:val="0"/>
          <w:sz w:val="32"/>
          <w:szCs w:val="32"/>
          <w:lang w:val="en-US" w:eastAsia="zh-CN"/>
        </w:rPr>
        <w:t>立即联系代理银行，获取历史月份的工资发放成功回单（电子版或纸质版），作为原始凭证附件装入会计档案。</w:t>
      </w:r>
      <w:r>
        <w:rPr>
          <w:rFonts w:hint="eastAsia" w:ascii="仿宋" w:hAnsi="仿宋" w:eastAsia="仿宋" w:cs="仿宋"/>
          <w:b/>
          <w:bCs/>
          <w:sz w:val="32"/>
          <w:szCs w:val="32"/>
          <w:lang w:val="en-US" w:eastAsia="zh-CN"/>
        </w:rPr>
        <w:t>长期建议，加强制度建设，完善内控制度。A制定或修订本单位《工资发放管理内部控制实施细则》。B明确以下流程。一是编制管理。</w:t>
      </w:r>
      <w:r>
        <w:rPr>
          <w:rFonts w:hint="eastAsia" w:ascii="仿宋" w:hAnsi="仿宋" w:eastAsia="仿宋" w:cs="仿宋"/>
          <w:b w:val="0"/>
          <w:bCs w:val="0"/>
          <w:sz w:val="32"/>
          <w:szCs w:val="32"/>
          <w:lang w:val="en-US" w:eastAsia="zh-CN"/>
        </w:rPr>
        <w:t>由人事部门或指定人员根据政策编制工资变动表和应发数据。</w:t>
      </w:r>
      <w:r>
        <w:rPr>
          <w:rFonts w:hint="eastAsia" w:ascii="仿宋" w:hAnsi="仿宋" w:eastAsia="仿宋" w:cs="仿宋"/>
          <w:b/>
          <w:bCs/>
          <w:sz w:val="32"/>
          <w:szCs w:val="32"/>
          <w:lang w:val="en-US" w:eastAsia="zh-CN"/>
        </w:rPr>
        <w:t>二是审核。</w:t>
      </w:r>
      <w:r>
        <w:rPr>
          <w:rFonts w:hint="eastAsia" w:ascii="仿宋" w:hAnsi="仿宋" w:eastAsia="仿宋" w:cs="仿宋"/>
          <w:b w:val="0"/>
          <w:bCs w:val="0"/>
          <w:sz w:val="32"/>
          <w:szCs w:val="32"/>
          <w:lang w:val="en-US" w:eastAsia="zh-CN"/>
        </w:rPr>
        <w:t>财务部门根据人事通知审核数据准确性。</w:t>
      </w:r>
    </w:p>
    <w:p w14:paraId="503E35D3">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三是审批。</w:t>
      </w:r>
      <w:r>
        <w:rPr>
          <w:rFonts w:hint="eastAsia" w:ascii="仿宋" w:hAnsi="仿宋" w:eastAsia="仿宋" w:cs="仿宋"/>
          <w:b w:val="0"/>
          <w:bCs w:val="0"/>
          <w:sz w:val="32"/>
          <w:szCs w:val="32"/>
          <w:lang w:val="en-US" w:eastAsia="zh-CN"/>
        </w:rPr>
        <w:t>规定明确的审批权限和流程，例如：财务负责人审核后，必须报单位主要领导或分管财务领导审批签字，方可进入支付程序。审批签字必须是纸质或具有同等法律效力的电子签批流程。</w:t>
      </w:r>
      <w:r>
        <w:rPr>
          <w:rFonts w:hint="eastAsia" w:ascii="仿宋" w:hAnsi="仿宋" w:eastAsia="仿宋" w:cs="仿宋"/>
          <w:b/>
          <w:bCs/>
          <w:sz w:val="32"/>
          <w:szCs w:val="32"/>
          <w:lang w:val="en-US" w:eastAsia="zh-CN"/>
        </w:rPr>
        <w:t>四是支付与归档。</w:t>
      </w:r>
      <w:r>
        <w:rPr>
          <w:rFonts w:hint="eastAsia" w:ascii="仿宋" w:hAnsi="仿宋" w:eastAsia="仿宋" w:cs="仿宋"/>
          <w:b w:val="0"/>
          <w:bCs w:val="0"/>
          <w:sz w:val="32"/>
          <w:szCs w:val="32"/>
          <w:lang w:val="en-US" w:eastAsia="zh-CN"/>
        </w:rPr>
        <w:t>财务人员凭审批完毕的工资表提交国库支付申请，支付完成后，必须及时将经审批的工资表、国库支付凭证、银行发放成功回单三者一并作为记账凭证的附件，妥善保管。</w:t>
      </w:r>
      <w:r>
        <w:rPr>
          <w:rFonts w:hint="eastAsia" w:ascii="仿宋" w:hAnsi="仿宋" w:eastAsia="仿宋" w:cs="仿宋"/>
          <w:b/>
          <w:bCs/>
          <w:sz w:val="32"/>
          <w:szCs w:val="32"/>
          <w:lang w:val="en-US" w:eastAsia="zh-CN"/>
        </w:rPr>
        <w:t>C推行电子审批。</w:t>
      </w:r>
      <w:r>
        <w:rPr>
          <w:rFonts w:hint="eastAsia" w:ascii="仿宋" w:hAnsi="仿宋" w:eastAsia="仿宋" w:cs="仿宋"/>
          <w:b w:val="0"/>
          <w:bCs w:val="0"/>
          <w:sz w:val="32"/>
          <w:szCs w:val="32"/>
          <w:lang w:val="en-US" w:eastAsia="zh-CN"/>
        </w:rPr>
        <w:t>如有条件，建议在OA系统或财政一体化平台上实现工资发放的线上审批流程，使审批环节留痕、不可篡改，提高效率和规范性。</w:t>
      </w:r>
    </w:p>
    <w:p w14:paraId="0DA6983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D加强人员培训。</w:t>
      </w:r>
      <w:r>
        <w:rPr>
          <w:rFonts w:hint="eastAsia" w:ascii="仿宋" w:hAnsi="仿宋" w:eastAsia="仿宋" w:cs="仿宋"/>
          <w:b w:val="0"/>
          <w:bCs w:val="0"/>
          <w:sz w:val="32"/>
          <w:szCs w:val="32"/>
          <w:lang w:val="en-US" w:eastAsia="zh-CN"/>
        </w:rPr>
        <w:t>对财务人员和相关审批负责人进行内控规范和财务知识的定期培训，强化其风险意识和责任意识。</w:t>
      </w:r>
    </w:p>
    <w:p w14:paraId="485FB0C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2.支付医疗保险、工伤保险、职业年金后仅附国库支付单，银行端查询缴税凭证，附人员名单、缴费基数确认表、明确的计算依据、银行付款回单，但无人力资源部审批意见及盖章等。</w:t>
      </w:r>
    </w:p>
    <w:p w14:paraId="01EEA21E">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相关政策1：</w:t>
      </w:r>
      <w:r>
        <w:rPr>
          <w:rFonts w:hint="eastAsia" w:ascii="仿宋" w:hAnsi="仿宋" w:eastAsia="仿宋" w:cs="仿宋"/>
          <w:b w:val="0"/>
          <w:bCs w:val="0"/>
          <w:sz w:val="32"/>
          <w:szCs w:val="32"/>
          <w:lang w:val="en-US" w:eastAsia="zh-CN"/>
        </w:rPr>
        <w:t>上述违反了内部控制的基本原则即不相容岗位分离原则。社保的计提（计算）与审核（审批）属于不相容岗位。人力资源部门负责提供准确的人员、工资数据（计算），部门负责根据审核后的数据记账和支付。如果无人力资源部门的审核，就相当于部门计算与支付，失去了关键的内部监督和制约，极易导致错误和舞弊。</w:t>
      </w:r>
      <w:r>
        <w:rPr>
          <w:rFonts w:hint="eastAsia" w:ascii="仿宋" w:hAnsi="仿宋" w:eastAsia="仿宋" w:cs="仿宋"/>
          <w:b/>
          <w:bCs/>
          <w:sz w:val="32"/>
          <w:szCs w:val="32"/>
          <w:lang w:val="en-US" w:eastAsia="zh-CN"/>
        </w:rPr>
        <w:t>相关政策2：</w:t>
      </w:r>
      <w:r>
        <w:rPr>
          <w:rFonts w:hint="eastAsia" w:ascii="仿宋" w:hAnsi="仿宋" w:eastAsia="仿宋" w:cs="仿宋"/>
          <w:b w:val="0"/>
          <w:bCs w:val="0"/>
          <w:sz w:val="32"/>
          <w:szCs w:val="32"/>
          <w:lang w:val="en-US" w:eastAsia="zh-CN"/>
        </w:rPr>
        <w:t>上述违反了审核与审批控制原则。任何重要的经济事项，必须经过适当的授权和审核。人力资源部门的盖章审批，正是这一控制环节的关键书面证据。缺少它，意味着整个业务流程缺少了至关重要的“刹车”和“校验”环节。</w:t>
      </w:r>
      <w:r>
        <w:rPr>
          <w:rFonts w:hint="eastAsia" w:ascii="仿宋" w:hAnsi="仿宋" w:eastAsia="仿宋" w:cs="仿宋"/>
          <w:b/>
          <w:bCs/>
          <w:sz w:val="32"/>
          <w:szCs w:val="32"/>
          <w:lang w:val="en-US" w:eastAsia="zh-CN"/>
        </w:rPr>
        <w:t>相关政策3：</w:t>
      </w:r>
      <w:r>
        <w:rPr>
          <w:rFonts w:hint="eastAsia" w:ascii="仿宋" w:hAnsi="仿宋" w:eastAsia="仿宋" w:cs="仿宋"/>
          <w:b w:val="0"/>
          <w:bCs w:val="0"/>
          <w:sz w:val="32"/>
          <w:szCs w:val="32"/>
          <w:lang w:val="en-US" w:eastAsia="zh-CN"/>
        </w:rPr>
        <w:t>上述违反了《中华人民共和国预算法》。社保支出是单位预算的重要组成部分。无人力资源部门审核，编制的社保支出预算和决算就缺乏可靠的数据来源和核对依据，影响预算编制的准确性和预算执行的严肃性。</w:t>
      </w:r>
      <w:r>
        <w:rPr>
          <w:rFonts w:hint="eastAsia" w:ascii="仿宋" w:hAnsi="仿宋" w:eastAsia="仿宋" w:cs="仿宋"/>
          <w:b/>
          <w:bCs/>
          <w:sz w:val="32"/>
          <w:szCs w:val="32"/>
          <w:lang w:val="en-US" w:eastAsia="zh-CN"/>
        </w:rPr>
        <w:t>存在三类风险。一是数据不准确风险。</w:t>
      </w:r>
      <w:r>
        <w:rPr>
          <w:rFonts w:hint="eastAsia" w:ascii="仿宋" w:hAnsi="仿宋" w:eastAsia="仿宋" w:cs="仿宋"/>
          <w:b w:val="0"/>
          <w:bCs w:val="0"/>
          <w:sz w:val="32"/>
          <w:szCs w:val="32"/>
          <w:lang w:val="en-US" w:eastAsia="zh-CN"/>
        </w:rPr>
        <w:t>人员调入、调出、离职、工资变动等信息未能及时、准确地传递给财务部门，导致多缴、少缴或为已离职人员缴费，造成财政资金损失。</w:t>
      </w:r>
      <w:r>
        <w:rPr>
          <w:rFonts w:hint="eastAsia" w:ascii="仿宋" w:hAnsi="仿宋" w:eastAsia="仿宋" w:cs="仿宋"/>
          <w:b/>
          <w:bCs/>
          <w:sz w:val="32"/>
          <w:szCs w:val="32"/>
          <w:lang w:val="en-US" w:eastAsia="zh-CN"/>
        </w:rPr>
        <w:t>二是舞弊风险。</w:t>
      </w:r>
      <w:r>
        <w:rPr>
          <w:rFonts w:hint="eastAsia" w:ascii="仿宋" w:hAnsi="仿宋" w:eastAsia="仿宋" w:cs="仿宋"/>
          <w:b w:val="0"/>
          <w:bCs w:val="0"/>
          <w:sz w:val="32"/>
          <w:szCs w:val="32"/>
          <w:lang w:val="en-US" w:eastAsia="zh-CN"/>
        </w:rPr>
        <w:t>在缺乏监督的情况下，存在虚报人数、虚增工资基数从而套取资金的风险。</w:t>
      </w:r>
      <w:r>
        <w:rPr>
          <w:rFonts w:hint="eastAsia" w:ascii="仿宋" w:hAnsi="仿宋" w:eastAsia="仿宋" w:cs="仿宋"/>
          <w:b/>
          <w:bCs/>
          <w:sz w:val="32"/>
          <w:szCs w:val="32"/>
          <w:lang w:val="en-US" w:eastAsia="zh-CN"/>
        </w:rPr>
        <w:t>三是合规性风险。</w:t>
      </w:r>
      <w:r>
        <w:rPr>
          <w:rFonts w:hint="eastAsia" w:ascii="仿宋" w:hAnsi="仿宋" w:eastAsia="仿宋" w:cs="仿宋"/>
          <w:b w:val="0"/>
          <w:bCs w:val="0"/>
          <w:sz w:val="32"/>
          <w:szCs w:val="32"/>
          <w:lang w:val="en-US" w:eastAsia="zh-CN"/>
        </w:rPr>
        <w:t>可能导致社保缴费不符合《中华人民共和国社会保险法》及相关规定，面临社保稽查部门的处罚。</w:t>
      </w:r>
    </w:p>
    <w:p w14:paraId="039E2D30">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建议：</w:t>
      </w:r>
      <w:r>
        <w:rPr>
          <w:rFonts w:hint="eastAsia" w:ascii="仿宋" w:hAnsi="仿宋" w:eastAsia="仿宋" w:cs="仿宋"/>
          <w:b w:val="0"/>
          <w:bCs w:val="0"/>
          <w:sz w:val="32"/>
          <w:szCs w:val="32"/>
          <w:lang w:val="en-US" w:eastAsia="zh-CN"/>
        </w:rPr>
        <w:t>应从</w:t>
      </w:r>
      <w:r>
        <w:rPr>
          <w:rFonts w:hint="eastAsia" w:ascii="仿宋" w:hAnsi="仿宋" w:eastAsia="仿宋" w:cs="仿宋"/>
          <w:b/>
          <w:bCs/>
          <w:sz w:val="32"/>
          <w:szCs w:val="32"/>
          <w:lang w:val="en-US" w:eastAsia="zh-CN"/>
        </w:rPr>
        <w:t>“及时整改”</w:t>
      </w:r>
      <w:r>
        <w:rPr>
          <w:rFonts w:hint="eastAsia" w:ascii="仿宋" w:hAnsi="仿宋" w:eastAsia="仿宋" w:cs="仿宋"/>
          <w:b w:val="0"/>
          <w:bCs w:val="0"/>
          <w:sz w:val="32"/>
          <w:szCs w:val="32"/>
          <w:lang w:val="en-US" w:eastAsia="zh-CN"/>
        </w:rPr>
        <w:t>和</w:t>
      </w:r>
      <w:r>
        <w:rPr>
          <w:rFonts w:hint="eastAsia" w:ascii="仿宋" w:hAnsi="仿宋" w:eastAsia="仿宋" w:cs="仿宋"/>
          <w:b/>
          <w:bCs/>
          <w:sz w:val="32"/>
          <w:szCs w:val="32"/>
          <w:lang w:val="en-US" w:eastAsia="zh-CN"/>
        </w:rPr>
        <w:t>“长效机制”</w:t>
      </w:r>
      <w:r>
        <w:rPr>
          <w:rFonts w:hint="eastAsia" w:ascii="仿宋" w:hAnsi="仿宋" w:eastAsia="仿宋" w:cs="仿宋"/>
          <w:b w:val="0"/>
          <w:bCs w:val="0"/>
          <w:sz w:val="32"/>
          <w:szCs w:val="32"/>
          <w:lang w:val="en-US" w:eastAsia="zh-CN"/>
        </w:rPr>
        <w:t>两个层面提出建议。</w:t>
      </w:r>
      <w:r>
        <w:rPr>
          <w:rFonts w:hint="eastAsia" w:ascii="仿宋" w:hAnsi="仿宋" w:eastAsia="仿宋" w:cs="仿宋"/>
          <w:b/>
          <w:bCs/>
          <w:sz w:val="32"/>
          <w:szCs w:val="32"/>
          <w:lang w:val="en-US" w:eastAsia="zh-CN"/>
        </w:rPr>
        <w:t>一是及时整改措施（针对已发现的问题）。A补充审批程序，</w:t>
      </w:r>
      <w:r>
        <w:rPr>
          <w:rFonts w:hint="eastAsia" w:ascii="仿宋" w:hAnsi="仿宋" w:eastAsia="仿宋" w:cs="仿宋"/>
          <w:b w:val="0"/>
          <w:bCs w:val="0"/>
          <w:sz w:val="32"/>
          <w:szCs w:val="32"/>
          <w:lang w:val="en-US" w:eastAsia="zh-CN"/>
        </w:rPr>
        <w:t>要求该预算单位立即对评价期内所有的社保计提与缴费业务，补充人力资源部门的审核确认手续。对于缺失的审批单，应限期补办，由人力资源部门负责人签字并加盖部门公章。</w:t>
      </w:r>
      <w:r>
        <w:rPr>
          <w:rFonts w:hint="eastAsia" w:ascii="仿宋" w:hAnsi="仿宋" w:eastAsia="仿宋" w:cs="仿宋"/>
          <w:b/>
          <w:bCs/>
          <w:sz w:val="32"/>
          <w:szCs w:val="32"/>
          <w:lang w:val="en-US" w:eastAsia="zh-CN"/>
        </w:rPr>
        <w:t>B书面说明情况，</w:t>
      </w:r>
      <w:r>
        <w:rPr>
          <w:rFonts w:hint="eastAsia" w:ascii="仿宋" w:hAnsi="仿宋" w:eastAsia="仿宋" w:cs="仿宋"/>
          <w:b w:val="0"/>
          <w:bCs w:val="0"/>
          <w:sz w:val="32"/>
          <w:szCs w:val="32"/>
          <w:lang w:val="en-US" w:eastAsia="zh-CN"/>
        </w:rPr>
        <w:t>要求该单位就此次内控缺失问题提交书面说明，解释原因并承诺整改，由单位主要负责人签字，以表明单位领导对此问题的重视。</w:t>
      </w:r>
      <w:r>
        <w:rPr>
          <w:rFonts w:hint="eastAsia" w:ascii="仿宋" w:hAnsi="仿宋" w:eastAsia="仿宋" w:cs="仿宋"/>
          <w:b/>
          <w:bCs/>
          <w:sz w:val="32"/>
          <w:szCs w:val="32"/>
          <w:lang w:val="en-US" w:eastAsia="zh-CN"/>
        </w:rPr>
        <w:t>二是长效机制建设建议（从根本上解决问题）。A完善制度建设，明确责任分工。</w:t>
      </w:r>
      <w:r>
        <w:rPr>
          <w:rFonts w:hint="eastAsia" w:ascii="仿宋" w:hAnsi="仿宋" w:eastAsia="仿宋" w:cs="仿宋"/>
          <w:b w:val="0"/>
          <w:bCs w:val="0"/>
          <w:sz w:val="32"/>
          <w:szCs w:val="32"/>
          <w:lang w:val="en-US" w:eastAsia="zh-CN"/>
        </w:rPr>
        <w:t>修订其内部财务管理制度和人力资源</w:t>
      </w:r>
      <w:r>
        <w:rPr>
          <w:rFonts w:hint="eastAsia" w:ascii="仿宋" w:hAnsi="仿宋" w:eastAsia="仿宋" w:cs="仿宋"/>
          <w:b/>
          <w:bCs/>
          <w:sz w:val="32"/>
          <w:szCs w:val="32"/>
          <w:lang w:val="en-US" w:eastAsia="zh-CN"/>
        </w:rPr>
        <w:t>管理流程。</w:t>
      </w:r>
      <w:r>
        <w:rPr>
          <w:rFonts w:hint="eastAsia" w:ascii="仿宋" w:hAnsi="仿宋" w:eastAsia="仿宋" w:cs="仿宋"/>
          <w:b w:val="0"/>
          <w:bCs w:val="0"/>
          <w:sz w:val="32"/>
          <w:szCs w:val="32"/>
          <w:lang w:val="en-US" w:eastAsia="zh-CN"/>
        </w:rPr>
        <w:t>明文规定，社保的计提必须以经人力资源部门审核、盖章（或负责人签字）的《人员及工资变动汇总表》或《社保缴费核定表》作为</w:t>
      </w:r>
      <w:r>
        <w:rPr>
          <w:rFonts w:hint="eastAsia" w:ascii="仿宋" w:hAnsi="仿宋" w:eastAsia="仿宋" w:cs="仿宋"/>
          <w:b/>
          <w:bCs/>
          <w:sz w:val="32"/>
          <w:szCs w:val="32"/>
          <w:lang w:val="en-US" w:eastAsia="zh-CN"/>
        </w:rPr>
        <w:t>唯一依据。</w:t>
      </w:r>
      <w:r>
        <w:rPr>
          <w:rFonts w:hint="eastAsia" w:ascii="仿宋" w:hAnsi="仿宋" w:eastAsia="仿宋" w:cs="仿宋"/>
          <w:b w:val="0"/>
          <w:bCs w:val="0"/>
          <w:sz w:val="32"/>
          <w:szCs w:val="32"/>
          <w:lang w:val="en-US" w:eastAsia="zh-CN"/>
        </w:rPr>
        <w:t>部门必须见到合规的审批单后方可进行账务处理和办理缴费。</w:t>
      </w:r>
      <w:r>
        <w:rPr>
          <w:rFonts w:hint="eastAsia" w:ascii="仿宋" w:hAnsi="仿宋" w:eastAsia="仿宋" w:cs="仿宋"/>
          <w:b/>
          <w:bCs/>
          <w:sz w:val="32"/>
          <w:szCs w:val="32"/>
          <w:lang w:val="en-US" w:eastAsia="zh-CN"/>
        </w:rPr>
        <w:t>B优化业务流程，固化审批环节。设计标准化的审批表单，</w:t>
      </w:r>
      <w:r>
        <w:rPr>
          <w:rFonts w:hint="eastAsia" w:ascii="仿宋" w:hAnsi="仿宋" w:eastAsia="仿宋" w:cs="仿宋"/>
          <w:b w:val="0"/>
          <w:bCs w:val="0"/>
          <w:sz w:val="32"/>
          <w:szCs w:val="32"/>
          <w:lang w:val="en-US" w:eastAsia="zh-CN"/>
        </w:rPr>
        <w:t>表单应包含人员姓名、身份证号、缴费基数、单位应缴额、个人应缴额、合计金额等核心信息，并设置“制表人”、“人力资源部门审核人”、“财务部门复核人”等签章栏位。</w:t>
      </w:r>
      <w:r>
        <w:rPr>
          <w:rFonts w:hint="eastAsia" w:ascii="仿宋" w:hAnsi="仿宋" w:eastAsia="仿宋" w:cs="仿宋"/>
          <w:b/>
          <w:bCs/>
          <w:sz w:val="32"/>
          <w:szCs w:val="32"/>
          <w:lang w:val="en-US" w:eastAsia="zh-CN"/>
        </w:rPr>
        <w:t>固化流程，</w:t>
      </w:r>
      <w:r>
        <w:rPr>
          <w:rFonts w:hint="eastAsia" w:ascii="仿宋" w:hAnsi="仿宋" w:eastAsia="仿宋" w:cs="仿宋"/>
          <w:b w:val="0"/>
          <w:bCs w:val="0"/>
          <w:sz w:val="32"/>
          <w:szCs w:val="32"/>
          <w:lang w:val="en-US" w:eastAsia="zh-CN"/>
        </w:rPr>
        <w:t>每月（或每季度）初，人力资源部门制作表单并审核签章-&gt;提交至财务部门-&gt;财务部门复核无误后-&gt;进行计提和缴费-&gt;将审批单作为重要原始凭证附于记账凭证之后。</w:t>
      </w:r>
      <w:r>
        <w:rPr>
          <w:rFonts w:hint="eastAsia" w:ascii="仿宋" w:hAnsi="仿宋" w:eastAsia="仿宋" w:cs="仿宋"/>
          <w:b/>
          <w:bCs/>
          <w:sz w:val="32"/>
          <w:szCs w:val="32"/>
          <w:lang w:val="en-US" w:eastAsia="zh-CN"/>
        </w:rPr>
        <w:t>加强信息化建设，实现数据联动，</w:t>
      </w:r>
      <w:r>
        <w:rPr>
          <w:rFonts w:hint="eastAsia" w:ascii="仿宋" w:hAnsi="仿宋" w:eastAsia="仿宋" w:cs="仿宋"/>
          <w:b w:val="0"/>
          <w:bCs w:val="0"/>
          <w:sz w:val="32"/>
          <w:szCs w:val="32"/>
          <w:lang w:val="en-US" w:eastAsia="zh-CN"/>
        </w:rPr>
        <w:t>长远来看，建议推动单位使用集成的财务与人力资源管理系统。通过系统设置，实现人力资源数据变动后，社保数据自动生成，并通过线上流程推送给相关负责人审批，审批完成后数据自动传递至财务系统。这样可以减少人为干预，提高效率和准确性。</w:t>
      </w:r>
    </w:p>
    <w:p w14:paraId="56679FB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3.住房公积金交通补贴津贴的计提缺乏人力资源或组织部门的审核盖章。</w:t>
      </w:r>
    </w:p>
    <w:p w14:paraId="33EA3F0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相关政策1：</w:t>
      </w:r>
      <w:r>
        <w:rPr>
          <w:rFonts w:hint="eastAsia" w:ascii="仿宋" w:hAnsi="仿宋" w:eastAsia="仿宋" w:cs="仿宋"/>
          <w:b w:val="0"/>
          <w:bCs w:val="0"/>
          <w:sz w:val="32"/>
          <w:szCs w:val="32"/>
          <w:lang w:val="en-US" w:eastAsia="zh-CN"/>
        </w:rPr>
        <w:t>上述违反了《中华人民共和国预算法》关于“支出必须以经批准的预算为依据</w:t>
      </w:r>
      <w:r>
        <w:rPr>
          <w:rFonts w:hint="default" w:ascii="仿宋" w:hAnsi="仿宋" w:eastAsia="仿宋" w:cs="仿宋"/>
          <w:b w:val="0"/>
          <w:bCs w:val="0"/>
          <w:sz w:val="32"/>
          <w:szCs w:val="32"/>
          <w:lang w:val="en-US" w:eastAsia="zh-CN"/>
        </w:rPr>
        <w:t>”</w:t>
      </w:r>
      <w:r>
        <w:rPr>
          <w:rFonts w:hint="eastAsia" w:ascii="仿宋" w:hAnsi="仿宋" w:eastAsia="仿宋" w:cs="仿宋"/>
          <w:b w:val="0"/>
          <w:bCs w:val="0"/>
          <w:sz w:val="32"/>
          <w:szCs w:val="32"/>
          <w:lang w:val="en-US" w:eastAsia="zh-CN"/>
        </w:rPr>
        <w:t>的规定。如果人力资源部门未审核盖章，预算部门发放补贴，可能构成无预算、超预算支出，或向不符合预算规定的人员发放补贴。人力资源或组织部门的盖章，核心目的在于审核确认补贴发放人员的名单、资格及标准是否准确合规。缺少这一环节，就缺失了重要的内部监督。</w:t>
      </w:r>
      <w:r>
        <w:rPr>
          <w:rFonts w:hint="eastAsia" w:ascii="仿宋" w:hAnsi="仿宋" w:eastAsia="仿宋" w:cs="仿宋"/>
          <w:b/>
          <w:bCs/>
          <w:sz w:val="32"/>
          <w:szCs w:val="32"/>
          <w:lang w:val="en-US" w:eastAsia="zh-CN"/>
        </w:rPr>
        <w:t>相关政策2：</w:t>
      </w:r>
      <w:r>
        <w:rPr>
          <w:rFonts w:hint="eastAsia" w:ascii="仿宋" w:hAnsi="仿宋" w:eastAsia="仿宋" w:cs="仿宋"/>
          <w:b w:val="0"/>
          <w:bCs w:val="0"/>
          <w:sz w:val="32"/>
          <w:szCs w:val="32"/>
          <w:lang w:val="en-US" w:eastAsia="zh-CN"/>
        </w:rPr>
        <w:t>上述违反了《中华人民共和国发票管理办法》。不符合规定的发票不得作为财务报销凭证。类推到补贴发放，表单不全同样会影响财务核算的合规性。缺少必要的签章，会使交通补贴发放表作为财务报销凭证的完整性、合规性存在瑕疵。在审计或检查时可能被要求整改甚至追回资金。</w:t>
      </w:r>
    </w:p>
    <w:p w14:paraId="5DE7B290">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建议：一是补全审核签章流程。</w:t>
      </w:r>
      <w:r>
        <w:rPr>
          <w:rFonts w:hint="eastAsia" w:ascii="仿宋" w:hAnsi="仿宋" w:eastAsia="仿宋" w:cs="仿宋"/>
          <w:b w:val="0"/>
          <w:bCs w:val="0"/>
          <w:sz w:val="32"/>
          <w:szCs w:val="32"/>
          <w:lang w:val="en-US" w:eastAsia="zh-CN"/>
        </w:rPr>
        <w:t>及时补办，对于已发放但缺少签章的补贴，应尽快联系人力资源或组织部门，对发放名单和金额进行事后审核与追认，并在发放表上补盖部门公章。</w:t>
      </w:r>
      <w:r>
        <w:rPr>
          <w:rFonts w:hint="eastAsia" w:ascii="仿宋" w:hAnsi="仿宋" w:eastAsia="仿宋" w:cs="仿宋"/>
          <w:b/>
          <w:bCs/>
          <w:sz w:val="32"/>
          <w:szCs w:val="32"/>
          <w:lang w:val="en-US" w:eastAsia="zh-CN"/>
        </w:rPr>
        <w:t>二是规范未来操作。</w:t>
      </w:r>
      <w:r>
        <w:rPr>
          <w:rFonts w:hint="eastAsia" w:ascii="仿宋" w:hAnsi="仿宋" w:eastAsia="仿宋" w:cs="仿宋"/>
          <w:b w:val="0"/>
          <w:bCs w:val="0"/>
          <w:sz w:val="32"/>
          <w:szCs w:val="32"/>
          <w:lang w:val="en-US" w:eastAsia="zh-CN"/>
        </w:rPr>
        <w:t>严格执行“制表、审核、审批、盖章”的流程。在造表上至少确保有制表人、单位主要负责人签字，并加盖单位和人力资源/组织部门的公章。</w:t>
      </w:r>
      <w:r>
        <w:rPr>
          <w:rFonts w:hint="eastAsia" w:ascii="仿宋" w:hAnsi="仿宋" w:eastAsia="仿宋" w:cs="仿宋"/>
          <w:b/>
          <w:bCs/>
          <w:sz w:val="32"/>
          <w:szCs w:val="32"/>
          <w:lang w:val="en-US" w:eastAsia="zh-CN"/>
        </w:rPr>
        <w:t>三是明确部门职责。</w:t>
      </w:r>
      <w:r>
        <w:rPr>
          <w:rFonts w:hint="eastAsia" w:ascii="仿宋" w:hAnsi="仿宋" w:eastAsia="仿宋" w:cs="仿宋"/>
          <w:b w:val="0"/>
          <w:bCs w:val="0"/>
          <w:sz w:val="32"/>
          <w:szCs w:val="32"/>
          <w:lang w:val="en-US" w:eastAsia="zh-CN"/>
        </w:rPr>
        <w:t>人力资源或组织部门负责前置审核补贴发放人员的资格、级别、标准，并提供必要的依据（如组织任命文件复印件）。按规定进行内部公示。预算或财务部门依据已经审核盖章的明细表，主要负责资金调度和办理支付。</w:t>
      </w:r>
      <w:r>
        <w:rPr>
          <w:rFonts w:hint="eastAsia" w:ascii="仿宋" w:hAnsi="仿宋" w:eastAsia="仿宋" w:cs="仿宋"/>
          <w:b/>
          <w:bCs/>
          <w:sz w:val="32"/>
          <w:szCs w:val="32"/>
          <w:lang w:val="en-US" w:eastAsia="zh-CN"/>
        </w:rPr>
        <w:t>四是加强内部控制和沟通。</w:t>
      </w:r>
      <w:r>
        <w:rPr>
          <w:rFonts w:hint="eastAsia" w:ascii="仿宋" w:hAnsi="仿宋" w:eastAsia="仿宋" w:cs="仿宋"/>
          <w:b w:val="0"/>
          <w:bCs w:val="0"/>
          <w:sz w:val="32"/>
          <w:szCs w:val="32"/>
          <w:lang w:val="en-US" w:eastAsia="zh-CN"/>
        </w:rPr>
        <w:t>单位应建立健全内部审批制度，将人力资源或组织部门的审核盖章明确为交通补贴发放的必备前置环节。财务人员在办理支付时，须严格审核发放附件的完整性和合规性，对缺少必要签章的申请有权拒绝办理。主动与本单位的人力资源部门、上级主管部门及财政部门沟通，确保遵循本地、本层级的最新具体规定。</w:t>
      </w:r>
    </w:p>
    <w:p w14:paraId="183EB3A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bCs/>
          <w:sz w:val="32"/>
          <w:szCs w:val="32"/>
          <w:highlight w:val="none"/>
          <w:lang w:val="en-US" w:eastAsia="zh-CN"/>
        </w:rPr>
        <w:t>4.</w:t>
      </w:r>
      <w:r>
        <w:rPr>
          <w:rFonts w:hint="default" w:ascii="仿宋" w:hAnsi="仿宋" w:eastAsia="仿宋" w:cs="仿宋"/>
          <w:b/>
          <w:bCs/>
          <w:sz w:val="32"/>
          <w:szCs w:val="32"/>
          <w:highlight w:val="none"/>
          <w:lang w:val="en-US" w:eastAsia="zh-CN"/>
        </w:rPr>
        <w:t>发放退</w:t>
      </w:r>
      <w:r>
        <w:rPr>
          <w:rFonts w:hint="default" w:ascii="仿宋" w:hAnsi="仿宋" w:eastAsia="仿宋" w:cs="仿宋"/>
          <w:b/>
          <w:bCs/>
          <w:sz w:val="32"/>
          <w:szCs w:val="32"/>
          <w:lang w:val="en-US" w:eastAsia="zh-CN"/>
        </w:rPr>
        <w:t>休人员补贴由本单位领导签字，无人力资源审核。2024年2月22号凭证国库发放21个退休人员春节慰问金。打到工资内部户1，无银行回单。</w:t>
      </w:r>
    </w:p>
    <w:p w14:paraId="4347EF9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bCs/>
          <w:sz w:val="32"/>
          <w:szCs w:val="32"/>
          <w:highlight w:val="none"/>
          <w:lang w:val="en-US" w:eastAsia="zh-CN"/>
        </w:rPr>
        <w:t>相关政策1：</w:t>
      </w:r>
      <w:r>
        <w:rPr>
          <w:rFonts w:hint="eastAsia" w:ascii="仿宋" w:hAnsi="仿宋" w:eastAsia="仿宋" w:cs="仿宋"/>
          <w:b w:val="0"/>
          <w:bCs w:val="0"/>
          <w:sz w:val="32"/>
          <w:szCs w:val="32"/>
          <w:highlight w:val="none"/>
          <w:lang w:val="en-US" w:eastAsia="zh-CN"/>
        </w:rPr>
        <w:t>上述违反了《行政事业单位内部控制规范（试行）》（财会〔2012〕21号）强调，业务经办、审核监督应相互分离。发放补贴应由业务部门（人力资源部）提供经过审核的人员名单、标准和依据，财务部门根据合规的审核结果进行支付。本单位领导直接签字批准，绕过了业务审核，形成了内部控制漏洞。违反内部控制原则“不相容岗位分离”和“审核与执行分离”，须从制度和执行两个层面进行纠正，确保财政资金的安全、规范和透明使用。</w:t>
      </w:r>
      <w:r>
        <w:rPr>
          <w:rFonts w:hint="eastAsia" w:ascii="仿宋" w:hAnsi="仿宋" w:eastAsia="仿宋" w:cs="仿宋"/>
          <w:b/>
          <w:bCs/>
          <w:sz w:val="32"/>
          <w:szCs w:val="32"/>
          <w:highlight w:val="none"/>
          <w:lang w:val="en-US" w:eastAsia="zh-CN"/>
        </w:rPr>
        <w:t>相关政策2：</w:t>
      </w:r>
      <w:r>
        <w:rPr>
          <w:rFonts w:hint="eastAsia" w:ascii="仿宋" w:hAnsi="仿宋" w:eastAsia="仿宋" w:cs="仿宋"/>
          <w:b w:val="0"/>
          <w:bCs w:val="0"/>
          <w:sz w:val="32"/>
          <w:szCs w:val="32"/>
          <w:highlight w:val="none"/>
          <w:lang w:val="en-US" w:eastAsia="zh-CN"/>
        </w:rPr>
        <w:t>上述违反了违反预算资金支付管理规定—“直接支付到最终收款人”。财政国库集中支付制度要求，财政资金应尽量减少中间环节，直接支付到商品或服务的最终提供者（本例中为退休人员个人）。将资金打入“内部户”属于违规转款，增加了资金截留、挪用的风险。</w:t>
      </w:r>
      <w:r>
        <w:rPr>
          <w:rFonts w:hint="eastAsia" w:ascii="仿宋" w:hAnsi="仿宋" w:eastAsia="仿宋" w:cs="仿宋"/>
          <w:b/>
          <w:bCs/>
          <w:sz w:val="32"/>
          <w:szCs w:val="32"/>
          <w:highlight w:val="none"/>
          <w:lang w:val="en-US" w:eastAsia="zh-CN"/>
        </w:rPr>
        <w:t>相关政策3：</w:t>
      </w:r>
      <w:r>
        <w:rPr>
          <w:rFonts w:hint="eastAsia" w:ascii="仿宋" w:hAnsi="仿宋" w:eastAsia="仿宋" w:cs="仿宋"/>
          <w:b w:val="0"/>
          <w:bCs w:val="0"/>
          <w:sz w:val="32"/>
          <w:szCs w:val="32"/>
          <w:highlight w:val="none"/>
          <w:lang w:val="en-US" w:eastAsia="zh-CN"/>
        </w:rPr>
        <w:t>上述违反了违反会计基础工作规范—“原始凭证不完整”。《会计基础工作规范》（财政部令第98号）要求，记账凭证必须附有真实、合法、完整的原始凭证。银行回单（或电子支付凭证）是证明款项已实际支付给指定收款人的关键原始凭证。“无银行回单”意味着该笔支出的最终去向缺乏有效证据，属于严重的凭证缺失。</w:t>
      </w:r>
    </w:p>
    <w:p w14:paraId="182948E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建议：一是及时整改，完善审批流程。建立标准流程。</w:t>
      </w:r>
      <w:r>
        <w:rPr>
          <w:rFonts w:hint="eastAsia" w:ascii="仿宋" w:hAnsi="仿宋" w:eastAsia="仿宋" w:cs="仿宋"/>
          <w:b w:val="0"/>
          <w:bCs w:val="0"/>
          <w:sz w:val="32"/>
          <w:szCs w:val="32"/>
          <w:highlight w:val="none"/>
          <w:lang w:val="en-US" w:eastAsia="zh-CN"/>
        </w:rPr>
        <w:t>明确“业务部门申请 -&gt; 人力资源部门审核（核定人员资格、标准）-&gt; 财务部门复核 -&gt; 单位领导审批 -&gt; 财务支付”的完整流程。任何补贴发放必须附有经人力资源部门盖章确认的发放明细表。</w:t>
      </w:r>
      <w:r>
        <w:rPr>
          <w:rFonts w:hint="eastAsia" w:ascii="仿宋" w:hAnsi="仿宋" w:eastAsia="仿宋" w:cs="仿宋"/>
          <w:b/>
          <w:bCs/>
          <w:sz w:val="32"/>
          <w:szCs w:val="32"/>
          <w:highlight w:val="none"/>
          <w:lang w:val="en-US" w:eastAsia="zh-CN"/>
        </w:rPr>
        <w:t>二是规范支付方式，确保轨迹清晰。</w:t>
      </w:r>
      <w:r>
        <w:rPr>
          <w:rFonts w:hint="eastAsia" w:ascii="仿宋" w:hAnsi="仿宋" w:eastAsia="仿宋" w:cs="仿宋"/>
          <w:b w:val="0"/>
          <w:bCs w:val="0"/>
          <w:sz w:val="32"/>
          <w:szCs w:val="32"/>
          <w:highlight w:val="none"/>
          <w:lang w:val="en-US" w:eastAsia="zh-CN"/>
        </w:rPr>
        <w:t>考虑直接支付到人。退休人员补贴等对个人支付，通过国库集中支付系统或单位银行账户，直接拨付到退休人员个人的银行卡或存折中，杜绝使用“内部户”等中间账户进行中转。</w:t>
      </w:r>
      <w:r>
        <w:rPr>
          <w:rFonts w:hint="eastAsia" w:ascii="仿宋" w:hAnsi="仿宋" w:eastAsia="仿宋" w:cs="仿宋"/>
          <w:b/>
          <w:bCs/>
          <w:sz w:val="32"/>
          <w:szCs w:val="32"/>
          <w:highlight w:val="none"/>
          <w:lang w:val="en-US" w:eastAsia="zh-CN"/>
        </w:rPr>
        <w:t>三是获取有效支付凭证。</w:t>
      </w:r>
      <w:r>
        <w:rPr>
          <w:rFonts w:hint="eastAsia" w:ascii="仿宋" w:hAnsi="仿宋" w:eastAsia="仿宋" w:cs="仿宋"/>
          <w:b w:val="0"/>
          <w:bCs w:val="0"/>
          <w:sz w:val="32"/>
          <w:szCs w:val="32"/>
          <w:highlight w:val="none"/>
          <w:lang w:val="en-US" w:eastAsia="zh-CN"/>
        </w:rPr>
        <w:t>支付完成后，必须附上银行盖章的支付明细回单（或清晰的网上银行电子回单）作为记账凭证，</w:t>
      </w:r>
      <w:r>
        <w:rPr>
          <w:rFonts w:hint="eastAsia" w:ascii="仿宋" w:hAnsi="仿宋" w:eastAsia="仿宋" w:cs="仿宋"/>
          <w:b/>
          <w:bCs/>
          <w:sz w:val="32"/>
          <w:szCs w:val="32"/>
          <w:highlight w:val="none"/>
          <w:lang w:val="en-US" w:eastAsia="zh-CN"/>
        </w:rPr>
        <w:t>确保资金流向有据可查。四是补充完善该类业务的凭证资料。</w:t>
      </w:r>
      <w:r>
        <w:rPr>
          <w:rFonts w:hint="eastAsia" w:ascii="仿宋" w:hAnsi="仿宋" w:eastAsia="仿宋" w:cs="仿宋"/>
          <w:b w:val="0"/>
          <w:bCs w:val="0"/>
          <w:sz w:val="32"/>
          <w:szCs w:val="32"/>
          <w:highlight w:val="none"/>
          <w:lang w:val="en-US" w:eastAsia="zh-CN"/>
        </w:rPr>
        <w:t>A对于2024年2月22日业务及该类别业务，应进行追溯。要求</w:t>
      </w:r>
      <w:r>
        <w:rPr>
          <w:rFonts w:hint="eastAsia" w:ascii="仿宋" w:hAnsi="仿宋" w:eastAsia="仿宋" w:cs="仿宋"/>
          <w:b/>
          <w:bCs/>
          <w:sz w:val="32"/>
          <w:szCs w:val="32"/>
          <w:highlight w:val="none"/>
          <w:lang w:val="en-US" w:eastAsia="zh-CN"/>
        </w:rPr>
        <w:t>人力资源部门补充提供</w:t>
      </w:r>
      <w:r>
        <w:rPr>
          <w:rFonts w:hint="eastAsia" w:ascii="仿宋" w:hAnsi="仿宋" w:eastAsia="仿宋" w:cs="仿宋"/>
          <w:b w:val="0"/>
          <w:bCs w:val="0"/>
          <w:sz w:val="32"/>
          <w:szCs w:val="32"/>
          <w:highlight w:val="none"/>
          <w:lang w:val="en-US" w:eastAsia="zh-CN"/>
        </w:rPr>
        <w:t>经审核的21名退休人员春节慰问金发放名单和标准（需签字盖章）。B要求银行出具从“工资内部户1”向21名退休人员个人账户支付的银行流水或支付凭证。如果资金未最终发放到个人，应及时追回并说明情况。</w:t>
      </w:r>
      <w:r>
        <w:rPr>
          <w:rFonts w:hint="eastAsia" w:ascii="仿宋" w:hAnsi="仿宋" w:eastAsia="仿宋" w:cs="仿宋"/>
          <w:b/>
          <w:bCs/>
          <w:sz w:val="32"/>
          <w:szCs w:val="32"/>
          <w:highlight w:val="none"/>
          <w:lang w:val="en-US" w:eastAsia="zh-CN"/>
        </w:rPr>
        <w:t>五是加强财经纪律教育和内部控制培训。</w:t>
      </w:r>
      <w:r>
        <w:rPr>
          <w:rFonts w:hint="eastAsia" w:ascii="仿宋" w:hAnsi="仿宋" w:eastAsia="仿宋" w:cs="仿宋"/>
          <w:b w:val="0"/>
          <w:bCs w:val="0"/>
          <w:sz w:val="32"/>
          <w:szCs w:val="32"/>
          <w:highlight w:val="none"/>
          <w:lang w:val="en-US" w:eastAsia="zh-CN"/>
        </w:rPr>
        <w:t>对单位领导和财务人员进行财经法规和内部控制制度的培训，使其充分理解合规操作的重要性，杜绝类似情况再次发生。</w:t>
      </w:r>
    </w:p>
    <w:p w14:paraId="105830A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bCs/>
          <w:sz w:val="32"/>
          <w:szCs w:val="32"/>
          <w:highlight w:val="none"/>
          <w:lang w:val="en-US" w:eastAsia="zh-CN"/>
        </w:rPr>
        <w:t>5.工资管理“四张表、两家发”的模式是一种碎片化的管理方式，虽然可能源于历史习惯或特定管理需求，但其弊端明显，体现在以下九个方面：一是维权成本高。</w:t>
      </w:r>
      <w:r>
        <w:rPr>
          <w:rFonts w:hint="eastAsia" w:ascii="仿宋" w:hAnsi="仿宋" w:eastAsia="仿宋" w:cs="仿宋"/>
          <w:b w:val="0"/>
          <w:bCs w:val="0"/>
          <w:sz w:val="32"/>
          <w:szCs w:val="32"/>
          <w:highlight w:val="none"/>
          <w:lang w:val="en-US" w:eastAsia="zh-CN"/>
        </w:rPr>
        <w:t>如果对某一笔收入有疑问，员工需要分别向财政局和单位办公室咨询，沟通成本高，问题处理链条长。</w:t>
      </w:r>
      <w:r>
        <w:rPr>
          <w:rFonts w:hint="eastAsia" w:ascii="仿宋" w:hAnsi="仿宋" w:eastAsia="仿宋" w:cs="仿宋"/>
          <w:b/>
          <w:bCs/>
          <w:sz w:val="32"/>
          <w:szCs w:val="32"/>
          <w:highlight w:val="none"/>
          <w:lang w:val="en-US" w:eastAsia="zh-CN"/>
        </w:rPr>
        <w:t>二是数据一致性风险高。</w:t>
      </w:r>
      <w:r>
        <w:rPr>
          <w:rFonts w:hint="eastAsia" w:ascii="仿宋" w:hAnsi="仿宋" w:eastAsia="仿宋" w:cs="仿宋"/>
          <w:b w:val="0"/>
          <w:bCs w:val="0"/>
          <w:sz w:val="32"/>
          <w:szCs w:val="32"/>
          <w:highlight w:val="none"/>
          <w:lang w:val="en-US" w:eastAsia="zh-CN"/>
        </w:rPr>
        <w:t>财政统发部分和单位发放部分的基础数据（如基本工资、职级、扣款基数等）需要高度同步。任何一方的数据变动（如职级晋升、公积金调整）若未及时通知另一方，就会导致发放错误，后续纠错流程繁琐。</w:t>
      </w:r>
      <w:r>
        <w:rPr>
          <w:rFonts w:hint="eastAsia" w:ascii="仿宋" w:hAnsi="仿宋" w:eastAsia="仿宋" w:cs="仿宋"/>
          <w:b/>
          <w:bCs/>
          <w:sz w:val="32"/>
          <w:szCs w:val="32"/>
          <w:highlight w:val="none"/>
          <w:lang w:val="en-US" w:eastAsia="zh-CN"/>
        </w:rPr>
        <w:t>三是资金安全风险。</w:t>
      </w:r>
      <w:r>
        <w:rPr>
          <w:rFonts w:hint="eastAsia" w:ascii="仿宋" w:hAnsi="仿宋" w:eastAsia="仿宋" w:cs="仿宋"/>
          <w:b w:val="0"/>
          <w:bCs w:val="0"/>
          <w:sz w:val="32"/>
          <w:szCs w:val="32"/>
          <w:highlight w:val="none"/>
          <w:lang w:val="en-US" w:eastAsia="zh-CN"/>
        </w:rPr>
        <w:t>单位通常通过自有账户发放补贴，涉及资金的请款、保管、支付等环节，内部控制若不到位，存在资金安全风险。</w:t>
      </w:r>
      <w:r>
        <w:rPr>
          <w:rFonts w:hint="eastAsia" w:ascii="仿宋" w:hAnsi="仿宋" w:eastAsia="仿宋" w:cs="仿宋"/>
          <w:b/>
          <w:bCs/>
          <w:sz w:val="32"/>
          <w:szCs w:val="32"/>
          <w:highlight w:val="none"/>
          <w:lang w:val="en-US" w:eastAsia="zh-CN"/>
        </w:rPr>
        <w:t>四是人事变动同步延迟。</w:t>
      </w:r>
      <w:r>
        <w:rPr>
          <w:rFonts w:hint="eastAsia" w:ascii="仿宋" w:hAnsi="仿宋" w:eastAsia="仿宋" w:cs="仿宋"/>
          <w:b w:val="0"/>
          <w:bCs w:val="0"/>
          <w:sz w:val="32"/>
          <w:szCs w:val="32"/>
          <w:highlight w:val="none"/>
          <w:lang w:val="en-US" w:eastAsia="zh-CN"/>
        </w:rPr>
        <w:t>对于人员调入、调出、离职、退休等情况，财政局和单位办公室之间的信息传递可能存在时间差，导致多发、少发或漏发工资。</w:t>
      </w:r>
      <w:r>
        <w:rPr>
          <w:rFonts w:hint="eastAsia" w:ascii="仿宋" w:hAnsi="仿宋" w:eastAsia="仿宋" w:cs="仿宋"/>
          <w:b/>
          <w:bCs/>
          <w:sz w:val="32"/>
          <w:szCs w:val="32"/>
          <w:highlight w:val="none"/>
          <w:lang w:val="en-US" w:eastAsia="zh-CN"/>
        </w:rPr>
        <w:t>五是核算与对账复杂。</w:t>
      </w:r>
      <w:r>
        <w:rPr>
          <w:rFonts w:hint="eastAsia" w:ascii="仿宋" w:hAnsi="仿宋" w:eastAsia="仿宋" w:cs="仿宋"/>
          <w:b w:val="0"/>
          <w:bCs w:val="0"/>
          <w:sz w:val="32"/>
          <w:szCs w:val="32"/>
          <w:highlight w:val="none"/>
          <w:lang w:val="en-US" w:eastAsia="zh-CN"/>
        </w:rPr>
        <w:t>单位财务人员需要将财政发放和单位发放的两部分金额在账务上进行合并处理，期末与财政局、银行等多方对账工作量翻倍，容易出错。</w:t>
      </w:r>
      <w:r>
        <w:rPr>
          <w:rFonts w:hint="eastAsia" w:ascii="仿宋" w:hAnsi="仿宋" w:eastAsia="仿宋" w:cs="仿宋"/>
          <w:b/>
          <w:bCs/>
          <w:sz w:val="32"/>
          <w:szCs w:val="32"/>
          <w:highlight w:val="none"/>
          <w:lang w:val="en-US" w:eastAsia="zh-CN"/>
        </w:rPr>
        <w:t>六是预算编制和执行困难。</w:t>
      </w:r>
      <w:r>
        <w:rPr>
          <w:rFonts w:hint="eastAsia" w:ascii="仿宋" w:hAnsi="仿宋" w:eastAsia="仿宋" w:cs="仿宋"/>
          <w:b w:val="0"/>
          <w:bCs w:val="0"/>
          <w:sz w:val="32"/>
          <w:szCs w:val="32"/>
          <w:highlight w:val="none"/>
          <w:lang w:val="en-US" w:eastAsia="zh-CN"/>
        </w:rPr>
        <w:t>工资福利支出被分割成两块，不利于单位财务进行准确的全年人员经费预算编制，也不利于对预算执行情况进行整体把控和分析。</w:t>
      </w:r>
      <w:r>
        <w:rPr>
          <w:rFonts w:hint="eastAsia" w:ascii="仿宋" w:hAnsi="仿宋" w:eastAsia="仿宋" w:cs="仿宋"/>
          <w:b/>
          <w:bCs/>
          <w:sz w:val="32"/>
          <w:szCs w:val="32"/>
          <w:highlight w:val="none"/>
          <w:lang w:val="en-US" w:eastAsia="zh-CN"/>
        </w:rPr>
        <w:t>七是审计风险高。</w:t>
      </w:r>
      <w:r>
        <w:rPr>
          <w:rFonts w:hint="eastAsia" w:ascii="仿宋" w:hAnsi="仿宋" w:eastAsia="仿宋" w:cs="仿宋"/>
          <w:b w:val="0"/>
          <w:bCs w:val="0"/>
          <w:sz w:val="32"/>
          <w:szCs w:val="32"/>
          <w:highlight w:val="none"/>
          <w:lang w:val="en-US" w:eastAsia="zh-CN"/>
        </w:rPr>
        <w:t>这种模式在审计时会被重点关注。审计人员会审查发放依据、标准、内部控制的完整性，任何环节的疏漏都可能被提出审计质疑。津补贴的发放是否符合政策规定是审计的重中之重。</w:t>
      </w:r>
    </w:p>
    <w:p w14:paraId="6B940FC1">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bCs/>
          <w:sz w:val="32"/>
          <w:szCs w:val="32"/>
          <w:highlight w:val="none"/>
          <w:lang w:val="en-US" w:eastAsia="zh-CN"/>
        </w:rPr>
        <w:t>八是信息孤岛。</w:t>
      </w:r>
      <w:r>
        <w:rPr>
          <w:rFonts w:hint="eastAsia" w:ascii="仿宋" w:hAnsi="仿宋" w:eastAsia="仿宋" w:cs="仿宋"/>
          <w:b w:val="0"/>
          <w:bCs w:val="0"/>
          <w:sz w:val="32"/>
          <w:szCs w:val="32"/>
          <w:highlight w:val="none"/>
          <w:lang w:val="en-US" w:eastAsia="zh-CN"/>
        </w:rPr>
        <w:t>薪资数据分散在两套甚至多套系统中，无法形成完整、统一的人员薪酬数据库，难以进行有效的薪酬数据分析和决策支持。</w:t>
      </w:r>
      <w:r>
        <w:rPr>
          <w:rFonts w:hint="eastAsia" w:ascii="仿宋" w:hAnsi="仿宋" w:eastAsia="仿宋" w:cs="仿宋"/>
          <w:b/>
          <w:bCs/>
          <w:sz w:val="32"/>
          <w:szCs w:val="32"/>
          <w:highlight w:val="none"/>
          <w:lang w:val="en-US" w:eastAsia="zh-CN"/>
        </w:rPr>
        <w:t>九是统计报表困难。</w:t>
      </w:r>
      <w:r>
        <w:rPr>
          <w:rFonts w:hint="eastAsia" w:ascii="仿宋" w:hAnsi="仿宋" w:eastAsia="仿宋" w:cs="仿宋"/>
          <w:b w:val="0"/>
          <w:bCs w:val="0"/>
          <w:sz w:val="32"/>
          <w:szCs w:val="32"/>
          <w:highlight w:val="none"/>
          <w:lang w:val="en-US" w:eastAsia="zh-CN"/>
        </w:rPr>
        <w:t>每当需要向上级部门报送人事、工资统计报表时，需要人工从不同来源汇总数据，费时费力，且数据准确性难以保证。</w:t>
      </w:r>
    </w:p>
    <w:p w14:paraId="0C19121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bCs/>
          <w:sz w:val="32"/>
          <w:szCs w:val="32"/>
          <w:highlight w:val="none"/>
          <w:lang w:val="en-US" w:eastAsia="zh-CN"/>
        </w:rPr>
        <w:t>相关政策1：</w:t>
      </w:r>
      <w:r>
        <w:rPr>
          <w:rFonts w:hint="eastAsia" w:ascii="仿宋" w:hAnsi="仿宋" w:eastAsia="仿宋" w:cs="仿宋"/>
          <w:b w:val="0"/>
          <w:bCs w:val="0"/>
          <w:sz w:val="32"/>
          <w:szCs w:val="32"/>
          <w:highlight w:val="none"/>
          <w:lang w:val="en-US" w:eastAsia="zh-CN"/>
        </w:rPr>
        <w:t>上述违反了《中华人民共和国预算法》及其实施条例-</w:t>
      </w:r>
      <w:r>
        <w:rPr>
          <w:rFonts w:hint="eastAsia" w:ascii="仿宋" w:hAnsi="仿宋" w:eastAsia="仿宋" w:cs="仿宋"/>
          <w:b/>
          <w:bCs/>
          <w:sz w:val="32"/>
          <w:szCs w:val="32"/>
          <w:highlight w:val="none"/>
          <w:lang w:val="en-US" w:eastAsia="zh-CN"/>
        </w:rPr>
        <w:t>全口径预算与支出管理</w:t>
      </w:r>
      <w:r>
        <w:rPr>
          <w:rFonts w:hint="eastAsia" w:ascii="仿宋" w:hAnsi="仿宋" w:eastAsia="仿宋" w:cs="仿宋"/>
          <w:b w:val="0"/>
          <w:bCs w:val="0"/>
          <w:sz w:val="32"/>
          <w:szCs w:val="32"/>
          <w:highlight w:val="none"/>
          <w:lang w:val="en-US" w:eastAsia="zh-CN"/>
        </w:rPr>
        <w:t>。核心要求：政府的全部收入和支出都应当纳入预算。所有工资性支出作为单位预算的重要组成部分，必须接受严格的预算管理和控制。将工资拆分发放，尤其是使用单位“小金库”、未纳入预算的收支或其他非财政渠道的资金，规避了预算的统筹管理和监督，使得部分人员支出脱离了人大和财政的监管视野，属于典型的“预算管理碎片化”。</w:t>
      </w:r>
      <w:r>
        <w:rPr>
          <w:rFonts w:hint="eastAsia" w:ascii="仿宋" w:hAnsi="仿宋" w:eastAsia="仿宋" w:cs="仿宋"/>
          <w:b/>
          <w:bCs/>
          <w:sz w:val="32"/>
          <w:szCs w:val="32"/>
          <w:highlight w:val="none"/>
          <w:lang w:val="en-US" w:eastAsia="zh-CN"/>
        </w:rPr>
        <w:t>相关政策2：</w:t>
      </w:r>
      <w:r>
        <w:rPr>
          <w:rFonts w:hint="eastAsia" w:ascii="仿宋" w:hAnsi="仿宋" w:eastAsia="仿宋" w:cs="仿宋"/>
          <w:b w:val="0"/>
          <w:bCs w:val="0"/>
          <w:sz w:val="32"/>
          <w:szCs w:val="32"/>
          <w:highlight w:val="none"/>
          <w:lang w:val="en-US" w:eastAsia="zh-CN"/>
        </w:rPr>
        <w:t>上述违反了《政府会计制度》-</w:t>
      </w:r>
      <w:r>
        <w:rPr>
          <w:rFonts w:hint="eastAsia" w:ascii="仿宋" w:hAnsi="仿宋" w:eastAsia="仿宋" w:cs="仿宋"/>
          <w:b/>
          <w:bCs/>
          <w:sz w:val="32"/>
          <w:szCs w:val="32"/>
          <w:highlight w:val="none"/>
          <w:lang w:val="en-US" w:eastAsia="zh-CN"/>
        </w:rPr>
        <w:t>核算的完整性与准确性。</w:t>
      </w:r>
      <w:r>
        <w:rPr>
          <w:rFonts w:hint="eastAsia" w:ascii="仿宋" w:hAnsi="仿宋" w:eastAsia="仿宋" w:cs="仿宋"/>
          <w:b w:val="0"/>
          <w:bCs w:val="0"/>
          <w:sz w:val="32"/>
          <w:szCs w:val="32"/>
          <w:highlight w:val="none"/>
          <w:lang w:val="en-US" w:eastAsia="zh-CN"/>
        </w:rPr>
        <w:t>核心要求：会计核算应当以实际发生的经济业务为依据，</w:t>
      </w:r>
      <w:r>
        <w:rPr>
          <w:rFonts w:hint="eastAsia" w:ascii="仿宋" w:hAnsi="仿宋" w:eastAsia="仿宋" w:cs="仿宋"/>
          <w:b/>
          <w:bCs/>
          <w:sz w:val="32"/>
          <w:szCs w:val="32"/>
          <w:highlight w:val="none"/>
          <w:lang w:val="en-US" w:eastAsia="zh-CN"/>
        </w:rPr>
        <w:t>真实、完整</w:t>
      </w:r>
      <w:r>
        <w:rPr>
          <w:rFonts w:hint="eastAsia" w:ascii="仿宋" w:hAnsi="仿宋" w:eastAsia="仿宋" w:cs="仿宋"/>
          <w:b w:val="0"/>
          <w:bCs w:val="0"/>
          <w:sz w:val="32"/>
          <w:szCs w:val="32"/>
          <w:highlight w:val="none"/>
          <w:lang w:val="en-US" w:eastAsia="zh-CN"/>
        </w:rPr>
        <w:t>地反映单位的财务状况和运行情况。人为将同一笔经济业务（支付职工薪酬）拆分，导致单位的“人员支出”总额在账面上无法真实、完整地体现。这扭曲了成本信息，影响了会计信息的质量，使得报表使用者无法准确了解单位真实的人工成本。</w:t>
      </w:r>
      <w:r>
        <w:rPr>
          <w:rFonts w:hint="eastAsia" w:ascii="仿宋" w:hAnsi="仿宋" w:eastAsia="仿宋" w:cs="仿宋"/>
          <w:b/>
          <w:bCs/>
          <w:sz w:val="32"/>
          <w:szCs w:val="32"/>
          <w:highlight w:val="none"/>
          <w:lang w:val="en-US" w:eastAsia="zh-CN"/>
        </w:rPr>
        <w:t>相关政策3：</w:t>
      </w:r>
      <w:r>
        <w:rPr>
          <w:rFonts w:hint="eastAsia" w:ascii="仿宋" w:hAnsi="仿宋" w:eastAsia="仿宋" w:cs="仿宋"/>
          <w:b w:val="0"/>
          <w:bCs w:val="0"/>
          <w:sz w:val="32"/>
          <w:szCs w:val="32"/>
          <w:highlight w:val="none"/>
          <w:lang w:val="en-US" w:eastAsia="zh-CN"/>
        </w:rPr>
        <w:t>上述违反了《行政事业单位内部控制规范（试行）》-</w:t>
      </w:r>
      <w:r>
        <w:rPr>
          <w:rFonts w:hint="eastAsia" w:ascii="仿宋" w:hAnsi="仿宋" w:eastAsia="仿宋" w:cs="仿宋"/>
          <w:b/>
          <w:bCs/>
          <w:sz w:val="32"/>
          <w:szCs w:val="32"/>
          <w:highlight w:val="none"/>
          <w:lang w:val="en-US" w:eastAsia="zh-CN"/>
        </w:rPr>
        <w:t>业务归口管理与控制。</w:t>
      </w:r>
      <w:r>
        <w:rPr>
          <w:rFonts w:hint="eastAsia" w:ascii="仿宋" w:hAnsi="仿宋" w:eastAsia="仿宋" w:cs="仿宋"/>
          <w:b w:val="0"/>
          <w:bCs w:val="0"/>
          <w:sz w:val="32"/>
          <w:szCs w:val="32"/>
          <w:highlight w:val="none"/>
          <w:lang w:val="en-US" w:eastAsia="zh-CN"/>
        </w:rPr>
        <w:t>核心要求：单位应当建立健全内部控制体系，对经济活动实行归口管理。工资薪金发放作为一个完整的经济活动，应由人事部门和财务部门统一审核、统一支付。“四张表、两家发”的模式破坏了业务的完整性和归口管理原则。导致审核控制弱化，人事部门可能无法全面掌握职工的总收入，无法进行有效的总量控制和合规性审核。支付控制分散，财务部门无法对人员经费进行统一的支付控制和账务处理，内控环节出现断点。</w:t>
      </w:r>
    </w:p>
    <w:p w14:paraId="0343AA4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bCs/>
          <w:sz w:val="32"/>
          <w:szCs w:val="32"/>
          <w:highlight w:val="none"/>
          <w:lang w:val="en-US" w:eastAsia="zh-CN"/>
        </w:rPr>
        <w:t>建议：推动整合与规范化，利用信息化手段，明确责任分工，强化内部控制，实现工资性收入的“一个标准、归口管理、统一核算、统一发放”</w:t>
      </w:r>
      <w:r>
        <w:rPr>
          <w:rFonts w:hint="eastAsia" w:ascii="仿宋" w:hAnsi="仿宋" w:eastAsia="仿宋" w:cs="仿宋"/>
          <w:b w:val="0"/>
          <w:bCs w:val="0"/>
          <w:sz w:val="32"/>
          <w:szCs w:val="32"/>
          <w:highlight w:val="none"/>
          <w:lang w:val="en-US" w:eastAsia="zh-CN"/>
        </w:rPr>
        <w:t>。</w:t>
      </w:r>
      <w:r>
        <w:rPr>
          <w:rFonts w:hint="eastAsia" w:ascii="仿宋" w:hAnsi="仿宋" w:eastAsia="仿宋" w:cs="仿宋"/>
          <w:b/>
          <w:bCs/>
          <w:sz w:val="32"/>
          <w:szCs w:val="32"/>
          <w:highlight w:val="none"/>
          <w:lang w:val="en-US" w:eastAsia="zh-CN"/>
        </w:rPr>
        <w:t>一是确定终极目标，推动“工资一体化发放”。</w:t>
      </w:r>
      <w:r>
        <w:rPr>
          <w:rFonts w:hint="eastAsia" w:ascii="仿宋" w:hAnsi="仿宋" w:eastAsia="仿宋" w:cs="仿宋"/>
          <w:b w:val="0"/>
          <w:bCs w:val="0"/>
          <w:sz w:val="32"/>
          <w:szCs w:val="32"/>
          <w:highlight w:val="none"/>
          <w:lang w:val="en-US" w:eastAsia="zh-CN"/>
        </w:rPr>
        <w:t>积极与上级财政部门沟通，争取将所有合规的津补贴、绩效工资等项目全部纳入财政统发系统。由单位提供完整、准确的发放数据和依据，由财政局通过一个渠道统一发放。这是最彻底、最规范的解决方案，能从根本上解决上述所有问题。</w:t>
      </w:r>
      <w:r>
        <w:rPr>
          <w:rFonts w:hint="eastAsia" w:ascii="仿宋" w:hAnsi="仿宋" w:eastAsia="仿宋" w:cs="仿宋"/>
          <w:b/>
          <w:bCs/>
          <w:sz w:val="32"/>
          <w:szCs w:val="32"/>
          <w:highlight w:val="none"/>
          <w:lang w:val="en-US" w:eastAsia="zh-CN"/>
        </w:rPr>
        <w:t>二是优化流程与加强管理，实施现阶段过渡方案。</w:t>
      </w:r>
      <w:r>
        <w:rPr>
          <w:rFonts w:hint="eastAsia" w:ascii="仿宋" w:hAnsi="仿宋" w:eastAsia="仿宋" w:cs="仿宋"/>
          <w:b w:val="0"/>
          <w:bCs w:val="0"/>
          <w:sz w:val="32"/>
          <w:szCs w:val="32"/>
          <w:highlight w:val="none"/>
          <w:lang w:val="en-US" w:eastAsia="zh-CN"/>
        </w:rPr>
        <w:t>如果短期内无法实现全部财政统发，应采取以下措施进行优化：</w:t>
      </w:r>
      <w:r>
        <w:rPr>
          <w:rFonts w:hint="eastAsia" w:ascii="仿宋" w:hAnsi="仿宋" w:eastAsia="仿宋" w:cs="仿宋"/>
          <w:b/>
          <w:bCs/>
          <w:sz w:val="32"/>
          <w:szCs w:val="32"/>
          <w:highlight w:val="none"/>
          <w:lang w:val="en-US" w:eastAsia="zh-CN"/>
        </w:rPr>
        <w:t>①流程优化。</w:t>
      </w:r>
      <w:r>
        <w:rPr>
          <w:rFonts w:hint="eastAsia" w:ascii="仿宋" w:hAnsi="仿宋" w:eastAsia="仿宋" w:cs="仿宋"/>
          <w:b w:val="0"/>
          <w:bCs w:val="0"/>
          <w:sz w:val="32"/>
          <w:szCs w:val="32"/>
          <w:highlight w:val="none"/>
          <w:lang w:val="en-US" w:eastAsia="zh-CN"/>
        </w:rPr>
        <w:t>明确发放项目和标准，制定内部的《薪酬发放管理办法》，以书面形式明确财政统发哪些、单位发哪些，每个项目的计算标准、发放时间、责任部门，并向全体员工公示，减少误解。</w:t>
      </w:r>
      <w:r>
        <w:rPr>
          <w:rFonts w:hint="eastAsia" w:ascii="仿宋" w:hAnsi="仿宋" w:eastAsia="仿宋" w:cs="仿宋"/>
          <w:b/>
          <w:bCs/>
          <w:sz w:val="32"/>
          <w:szCs w:val="32"/>
          <w:highlight w:val="none"/>
          <w:lang w:val="en-US" w:eastAsia="zh-CN"/>
        </w:rPr>
        <w:t>②建立数据同步机制。</w:t>
      </w:r>
      <w:r>
        <w:rPr>
          <w:rFonts w:hint="eastAsia" w:ascii="仿宋" w:hAnsi="仿宋" w:eastAsia="仿宋" w:cs="仿宋"/>
          <w:b w:val="0"/>
          <w:bCs w:val="0"/>
          <w:sz w:val="32"/>
          <w:szCs w:val="32"/>
          <w:highlight w:val="none"/>
          <w:lang w:val="en-US" w:eastAsia="zh-CN"/>
        </w:rPr>
        <w:t>建立“人事-财务-办公室”联动机制。任何人员信息、薪资标准的变动，由人力资源岗统一发起，同时通知财政局对接人员和单位办公室发放负责人，确保两边数据源一致</w:t>
      </w:r>
      <w:r>
        <w:rPr>
          <w:rFonts w:hint="eastAsia" w:ascii="仿宋" w:hAnsi="仿宋" w:eastAsia="仿宋" w:cs="仿宋"/>
          <w:b/>
          <w:bCs/>
          <w:sz w:val="32"/>
          <w:szCs w:val="32"/>
          <w:highlight w:val="none"/>
          <w:lang w:val="en-US" w:eastAsia="zh-CN"/>
        </w:rPr>
        <w:t>。③合并发放时间。</w:t>
      </w:r>
      <w:r>
        <w:rPr>
          <w:rFonts w:hint="eastAsia" w:ascii="仿宋" w:hAnsi="仿宋" w:eastAsia="仿宋" w:cs="仿宋"/>
          <w:b w:val="0"/>
          <w:bCs w:val="0"/>
          <w:sz w:val="32"/>
          <w:szCs w:val="32"/>
          <w:highlight w:val="none"/>
          <w:lang w:val="en-US" w:eastAsia="zh-CN"/>
        </w:rPr>
        <w:t>尽量将单位发放的补贴与财政统发工资的到账时间安排在相近的日期，减轻员工的核算困惑。</w:t>
      </w:r>
      <w:r>
        <w:rPr>
          <w:rFonts w:hint="eastAsia" w:ascii="仿宋" w:hAnsi="仿宋" w:eastAsia="仿宋" w:cs="仿宋"/>
          <w:b/>
          <w:bCs/>
          <w:sz w:val="32"/>
          <w:szCs w:val="32"/>
          <w:highlight w:val="none"/>
          <w:lang w:val="en-US" w:eastAsia="zh-CN"/>
        </w:rPr>
        <w:t>④技术赋能。</w:t>
      </w:r>
      <w:r>
        <w:rPr>
          <w:rFonts w:hint="eastAsia" w:ascii="仿宋" w:hAnsi="仿宋" w:eastAsia="仿宋" w:cs="仿宋"/>
          <w:b w:val="0"/>
          <w:bCs w:val="0"/>
          <w:sz w:val="32"/>
          <w:szCs w:val="32"/>
          <w:highlight w:val="none"/>
          <w:lang w:val="en-US" w:eastAsia="zh-CN"/>
        </w:rPr>
        <w:t>引入或优化薪资管理系统，即使发放渠道不同，也应使用一套统一的软件或Excel模板进行所有工资项目的计算和汇总。系统应能自动生成财政统发表和单位发放表，并能合并生成一张完整的、给员工看的综合工资条（详细列出所有收入项目和扣除项目）。</w:t>
      </w:r>
      <w:r>
        <w:rPr>
          <w:rFonts w:hint="eastAsia" w:ascii="仿宋" w:hAnsi="仿宋" w:eastAsia="仿宋" w:cs="仿宋"/>
          <w:b/>
          <w:bCs/>
          <w:sz w:val="32"/>
          <w:szCs w:val="32"/>
          <w:highlight w:val="none"/>
          <w:lang w:val="en-US" w:eastAsia="zh-CN"/>
        </w:rPr>
        <w:t>⑤推广电子工资条。</w:t>
      </w:r>
      <w:r>
        <w:rPr>
          <w:rFonts w:hint="eastAsia" w:ascii="仿宋" w:hAnsi="仿宋" w:eastAsia="仿宋" w:cs="仿宋"/>
          <w:b w:val="0"/>
          <w:bCs w:val="0"/>
          <w:sz w:val="32"/>
          <w:szCs w:val="32"/>
          <w:highlight w:val="none"/>
          <w:lang w:val="en-US" w:eastAsia="zh-CN"/>
        </w:rPr>
        <w:t>通过短信、邮件或内部OA系统推送完整的电子工资条，方便员工查询、保存和核对。</w:t>
      </w:r>
      <w:r>
        <w:rPr>
          <w:rFonts w:hint="eastAsia" w:ascii="仿宋" w:hAnsi="仿宋" w:eastAsia="仿宋" w:cs="仿宋"/>
          <w:b/>
          <w:bCs/>
          <w:sz w:val="32"/>
          <w:szCs w:val="32"/>
          <w:highlight w:val="none"/>
          <w:lang w:val="en-US" w:eastAsia="zh-CN"/>
        </w:rPr>
        <w:t>⑥强化审核与监督。</w:t>
      </w:r>
      <w:r>
        <w:rPr>
          <w:rFonts w:hint="eastAsia" w:ascii="仿宋" w:hAnsi="仿宋" w:eastAsia="仿宋" w:cs="仿宋"/>
          <w:b w:val="0"/>
          <w:bCs w:val="0"/>
          <w:sz w:val="32"/>
          <w:szCs w:val="32"/>
          <w:highlight w:val="none"/>
          <w:lang w:val="en-US" w:eastAsia="zh-CN"/>
        </w:rPr>
        <w:t>单位办公室制作补贴发放表时，必须经过制表人、审核人（财务负责人）、审批人（单位分管领导）三级审核签字确认，确保数据准确、合规。</w:t>
      </w:r>
      <w:r>
        <w:rPr>
          <w:rFonts w:hint="eastAsia" w:ascii="仿宋" w:hAnsi="仿宋" w:eastAsia="仿宋" w:cs="仿宋"/>
          <w:b/>
          <w:bCs/>
          <w:sz w:val="32"/>
          <w:szCs w:val="32"/>
          <w:highlight w:val="none"/>
          <w:lang w:val="en-US" w:eastAsia="zh-CN"/>
        </w:rPr>
        <w:t>⑦定期对账与审计。</w:t>
      </w:r>
      <w:r>
        <w:rPr>
          <w:rFonts w:hint="eastAsia" w:ascii="仿宋" w:hAnsi="仿宋" w:eastAsia="仿宋" w:cs="仿宋"/>
          <w:b w:val="0"/>
          <w:bCs w:val="0"/>
          <w:sz w:val="32"/>
          <w:szCs w:val="32"/>
          <w:highlight w:val="none"/>
          <w:lang w:val="en-US" w:eastAsia="zh-CN"/>
        </w:rPr>
        <w:t>财务部门每月、每季度都要对财政发放和单位发放的记录进行核对，确保账实相符。定期邀请内审或上级审计部门进行抽查，提前发现问题。</w:t>
      </w:r>
      <w:r>
        <w:rPr>
          <w:rFonts w:hint="eastAsia" w:ascii="仿宋" w:hAnsi="仿宋" w:eastAsia="仿宋" w:cs="仿宋"/>
          <w:b/>
          <w:bCs/>
          <w:sz w:val="32"/>
          <w:szCs w:val="32"/>
          <w:highlight w:val="none"/>
          <w:lang w:val="en-US" w:eastAsia="zh-CN"/>
        </w:rPr>
        <w:t>⑧专款专用与账户管理。</w:t>
      </w:r>
      <w:r>
        <w:rPr>
          <w:rFonts w:hint="eastAsia" w:ascii="仿宋" w:hAnsi="仿宋" w:eastAsia="仿宋" w:cs="仿宋"/>
          <w:b w:val="0"/>
          <w:bCs w:val="0"/>
          <w:sz w:val="32"/>
          <w:szCs w:val="32"/>
          <w:highlight w:val="none"/>
          <w:lang w:val="en-US" w:eastAsia="zh-CN"/>
        </w:rPr>
        <w:t>对用于发放补贴的账户进行严格管理，收支清晰，杜绝与其他经费混用。</w:t>
      </w:r>
      <w:r>
        <w:rPr>
          <w:rFonts w:hint="eastAsia" w:ascii="仿宋" w:hAnsi="仿宋" w:eastAsia="仿宋" w:cs="仿宋"/>
          <w:b/>
          <w:bCs/>
          <w:sz w:val="32"/>
          <w:szCs w:val="32"/>
          <w:highlight w:val="none"/>
          <w:lang w:val="en-US" w:eastAsia="zh-CN"/>
        </w:rPr>
        <w:t>三是加强沟通与培训。对员工，</w:t>
      </w:r>
      <w:r>
        <w:rPr>
          <w:rFonts w:hint="eastAsia" w:ascii="仿宋" w:hAnsi="仿宋" w:eastAsia="仿宋" w:cs="仿宋"/>
          <w:b w:val="0"/>
          <w:bCs w:val="0"/>
          <w:sz w:val="32"/>
          <w:szCs w:val="32"/>
          <w:highlight w:val="none"/>
          <w:lang w:val="en-US" w:eastAsia="zh-CN"/>
        </w:rPr>
        <w:t>定期召开说明会或印发通知，解释工资构成和发放方式，公布咨询渠道，减少因信息不对称带来的误会。</w:t>
      </w:r>
      <w:r>
        <w:rPr>
          <w:rFonts w:hint="eastAsia" w:ascii="仿宋" w:hAnsi="仿宋" w:eastAsia="仿宋" w:cs="仿宋"/>
          <w:b/>
          <w:bCs/>
          <w:sz w:val="32"/>
          <w:szCs w:val="32"/>
          <w:highlight w:val="none"/>
          <w:lang w:val="en-US" w:eastAsia="zh-CN"/>
        </w:rPr>
        <w:t>对相关经办人员，</w:t>
      </w:r>
      <w:r>
        <w:rPr>
          <w:rFonts w:hint="eastAsia" w:ascii="仿宋" w:hAnsi="仿宋" w:eastAsia="仿宋" w:cs="仿宋"/>
          <w:b w:val="0"/>
          <w:bCs w:val="0"/>
          <w:sz w:val="32"/>
          <w:szCs w:val="32"/>
          <w:highlight w:val="none"/>
          <w:lang w:val="en-US" w:eastAsia="zh-CN"/>
        </w:rPr>
        <w:t>组织办公室、财务室人员进行业务培训，确保他们熟悉政策、精通流程、熟练操作软件，减少人为差错。</w:t>
      </w:r>
    </w:p>
    <w:p w14:paraId="5A52DDA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default"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6.花名册列示个人联系电话，从一定程度上反映本年度本部门在编人员的增减变动情况，但未列示制发责任主体。</w:t>
      </w:r>
    </w:p>
    <w:p w14:paraId="482E7A2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bCs/>
          <w:sz w:val="32"/>
          <w:szCs w:val="32"/>
          <w:highlight w:val="none"/>
          <w:lang w:val="en-US" w:eastAsia="zh-CN"/>
        </w:rPr>
        <w:t>相关政策1：</w:t>
      </w:r>
      <w:r>
        <w:rPr>
          <w:rFonts w:hint="eastAsia" w:ascii="仿宋" w:hAnsi="仿宋" w:eastAsia="仿宋" w:cs="仿宋"/>
          <w:b w:val="0"/>
          <w:bCs w:val="0"/>
          <w:sz w:val="32"/>
          <w:szCs w:val="32"/>
          <w:highlight w:val="none"/>
          <w:lang w:val="en-US" w:eastAsia="zh-CN"/>
        </w:rPr>
        <w:t>上述违反了《中华人民共和国个人信息保护法》第五条、第六条规定。处理个人信息应当遵循合法、正当、必要和诚信原则，采取对个人权益影响最小的方式，实现处理目的。在内部花名册中公开全体人员的手机号码，超出了实现人事管理目的的必要性原则。上述违反了第五十一条规定。个人信息处理者采取必要的措施确保个人信息安全。将敏感个人信息以明文形式列于表格中，且可能在部门内较广流传，存在安全隐患。</w:t>
      </w:r>
      <w:r>
        <w:rPr>
          <w:rFonts w:hint="eastAsia" w:ascii="仿宋" w:hAnsi="仿宋" w:eastAsia="仿宋" w:cs="仿宋"/>
          <w:b/>
          <w:bCs/>
          <w:sz w:val="32"/>
          <w:szCs w:val="32"/>
          <w:highlight w:val="none"/>
          <w:lang w:val="en-US" w:eastAsia="zh-CN"/>
        </w:rPr>
        <w:t>相关政策2：</w:t>
      </w:r>
      <w:r>
        <w:rPr>
          <w:rFonts w:hint="eastAsia" w:ascii="仿宋" w:hAnsi="仿宋" w:eastAsia="仿宋" w:cs="仿宋"/>
          <w:b w:val="0"/>
          <w:bCs w:val="0"/>
          <w:sz w:val="32"/>
          <w:szCs w:val="32"/>
          <w:highlight w:val="none"/>
          <w:lang w:val="en-US" w:eastAsia="zh-CN"/>
        </w:rPr>
        <w:t>上述违反了《干部人事档案工作条例》及相关配套规定。机关单位内部控制和文档管理规范，任何重要的内部管理文档，尤其是涉及人员核心信息的，都必须有明确的制发责任主体，以确保信息的权威性和在发生争议时可追溯。</w:t>
      </w:r>
    </w:p>
    <w:p w14:paraId="53A189E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bCs/>
          <w:sz w:val="32"/>
          <w:szCs w:val="32"/>
          <w:highlight w:val="none"/>
          <w:lang w:val="en-US" w:eastAsia="zh-CN"/>
        </w:rPr>
        <w:t>建议：一是处理敏感信息，严守安全底线。</w:t>
      </w:r>
      <w:r>
        <w:rPr>
          <w:rFonts w:hint="eastAsia" w:ascii="仿宋" w:hAnsi="仿宋" w:eastAsia="仿宋" w:cs="仿宋"/>
          <w:b w:val="0"/>
          <w:bCs w:val="0"/>
          <w:sz w:val="32"/>
          <w:szCs w:val="32"/>
          <w:highlight w:val="none"/>
          <w:lang w:val="en-US" w:eastAsia="zh-CN"/>
        </w:rPr>
        <w:t>从花名册中彻底删除“联系电话”一栏。员工的个人手机号码属于受法律保护的敏感信息，在通用花名册中公开存储和传阅存在严重泄漏风险。</w:t>
      </w:r>
      <w:r>
        <w:rPr>
          <w:rFonts w:hint="eastAsia" w:ascii="仿宋" w:hAnsi="仿宋" w:eastAsia="仿宋" w:cs="仿宋"/>
          <w:b/>
          <w:bCs/>
          <w:sz w:val="32"/>
          <w:szCs w:val="32"/>
          <w:highlight w:val="none"/>
          <w:lang w:val="en-US" w:eastAsia="zh-CN"/>
        </w:rPr>
        <w:t>替代方案，</w:t>
      </w:r>
      <w:r>
        <w:rPr>
          <w:rFonts w:hint="eastAsia" w:ascii="仿宋" w:hAnsi="仿宋" w:eastAsia="仿宋" w:cs="仿宋"/>
          <w:b w:val="0"/>
          <w:bCs w:val="0"/>
          <w:sz w:val="32"/>
          <w:szCs w:val="32"/>
          <w:highlight w:val="none"/>
          <w:lang w:val="en-US" w:eastAsia="zh-CN"/>
        </w:rPr>
        <w:t>内部通讯需求应通过权限受控的独立通讯录（建议仅保留办公室座机）来满足，并与花名册分开管理。</w:t>
      </w:r>
      <w:r>
        <w:rPr>
          <w:rFonts w:hint="eastAsia" w:ascii="仿宋" w:hAnsi="仿宋" w:eastAsia="仿宋" w:cs="仿宋"/>
          <w:b/>
          <w:bCs/>
          <w:sz w:val="32"/>
          <w:szCs w:val="32"/>
          <w:highlight w:val="none"/>
          <w:lang w:val="en-US" w:eastAsia="zh-CN"/>
        </w:rPr>
        <w:t>二是补全管理责任要素，明确权威来源。</w:t>
      </w:r>
      <w:r>
        <w:rPr>
          <w:rFonts w:hint="eastAsia" w:ascii="仿宋" w:hAnsi="仿宋" w:eastAsia="仿宋" w:cs="仿宋"/>
          <w:b w:val="0"/>
          <w:bCs w:val="0"/>
          <w:sz w:val="32"/>
          <w:szCs w:val="32"/>
          <w:highlight w:val="none"/>
          <w:lang w:val="en-US" w:eastAsia="zh-CN"/>
        </w:rPr>
        <w:t>在表格末尾或页眉处添加，制表部门（如：办公室）、制表人、审核人、批准领导，并预留盖章位置。最终定稿的版本应由审核人签字并加盖单位公章后，方可作为正式文件存档或在一定权限范围内使用。</w:t>
      </w:r>
      <w:r>
        <w:rPr>
          <w:rFonts w:hint="eastAsia" w:ascii="仿宋" w:hAnsi="仿宋" w:eastAsia="仿宋" w:cs="仿宋"/>
          <w:b/>
          <w:bCs/>
          <w:sz w:val="32"/>
          <w:szCs w:val="32"/>
          <w:highlight w:val="none"/>
          <w:lang w:val="en-US" w:eastAsia="zh-CN"/>
        </w:rPr>
        <w:t>三是建立花名册动态更新机制，确保信息实时准确。明确更新触发条件。</w:t>
      </w:r>
      <w:r>
        <w:rPr>
          <w:rFonts w:hint="eastAsia" w:ascii="仿宋" w:hAnsi="仿宋" w:eastAsia="仿宋" w:cs="仿宋"/>
          <w:b w:val="0"/>
          <w:bCs w:val="0"/>
          <w:sz w:val="32"/>
          <w:szCs w:val="32"/>
          <w:highlight w:val="none"/>
          <w:lang w:val="en-US" w:eastAsia="zh-CN"/>
        </w:rPr>
        <w:t>规定在发生新员工入职、人员调离/退休、职务/职级变动、学历/学位取得、政治面貌变化、联系方式变更等情况时，必须启动花名册更新流程。</w:t>
      </w:r>
      <w:r>
        <w:rPr>
          <w:rFonts w:hint="eastAsia" w:ascii="仿宋" w:hAnsi="仿宋" w:eastAsia="仿宋" w:cs="仿宋"/>
          <w:b/>
          <w:bCs/>
          <w:sz w:val="32"/>
          <w:szCs w:val="32"/>
          <w:highlight w:val="none"/>
          <w:lang w:val="en-US" w:eastAsia="zh-CN"/>
        </w:rPr>
        <w:t>明确责任人与时限。</w:t>
      </w:r>
      <w:r>
        <w:rPr>
          <w:rFonts w:hint="eastAsia" w:ascii="仿宋" w:hAnsi="仿宋" w:eastAsia="仿宋" w:cs="仿宋"/>
          <w:b w:val="0"/>
          <w:bCs w:val="0"/>
          <w:sz w:val="32"/>
          <w:szCs w:val="32"/>
          <w:highlight w:val="none"/>
          <w:lang w:val="en-US" w:eastAsia="zh-CN"/>
        </w:rPr>
        <w:t>指定专人（如组织人事干部或办公室文秘）负责花名册的维护，并规定相关信息变动发生后，必须在多少个工作日内完成花名册的更新。</w:t>
      </w:r>
      <w:r>
        <w:rPr>
          <w:rFonts w:hint="eastAsia" w:ascii="仿宋" w:hAnsi="仿宋" w:eastAsia="仿宋" w:cs="仿宋"/>
          <w:b/>
          <w:bCs/>
          <w:sz w:val="32"/>
          <w:szCs w:val="32"/>
          <w:highlight w:val="none"/>
          <w:lang w:val="en-US" w:eastAsia="zh-CN"/>
        </w:rPr>
        <w:t>建立联动核查机制。</w:t>
      </w:r>
      <w:r>
        <w:rPr>
          <w:rFonts w:hint="eastAsia" w:ascii="仿宋" w:hAnsi="仿宋" w:eastAsia="仿宋" w:cs="仿宋"/>
          <w:b w:val="0"/>
          <w:bCs w:val="0"/>
          <w:sz w:val="32"/>
          <w:szCs w:val="32"/>
          <w:highlight w:val="none"/>
          <w:lang w:val="en-US" w:eastAsia="zh-CN"/>
        </w:rPr>
        <w:t>将花名册的定期审核（如每季度或每半年）与干部人事档案核查、年度考核等工作相结合，形成制度性安排，确保花名册信息与档案记录、实际情况“三统一”。</w:t>
      </w:r>
      <w:r>
        <w:rPr>
          <w:rFonts w:hint="eastAsia" w:ascii="仿宋" w:hAnsi="仿宋" w:eastAsia="仿宋" w:cs="仿宋"/>
          <w:b/>
          <w:bCs/>
          <w:sz w:val="32"/>
          <w:szCs w:val="32"/>
          <w:highlight w:val="none"/>
          <w:lang w:val="en-US" w:eastAsia="zh-CN"/>
        </w:rPr>
        <w:t>版本管理。</w:t>
      </w:r>
      <w:r>
        <w:rPr>
          <w:rFonts w:hint="eastAsia" w:ascii="仿宋" w:hAnsi="仿宋" w:eastAsia="仿宋" w:cs="仿宋"/>
          <w:b w:val="0"/>
          <w:bCs w:val="0"/>
          <w:sz w:val="32"/>
          <w:szCs w:val="32"/>
          <w:highlight w:val="none"/>
          <w:lang w:val="en-US" w:eastAsia="zh-CN"/>
        </w:rPr>
        <w:t>对每次重大更新后形成的花名册进行版本标注和存档，明确其统计截止日期，避免新旧版本混淆。整改的核心在于从</w:t>
      </w:r>
      <w:r>
        <w:rPr>
          <w:rFonts w:hint="eastAsia" w:ascii="仿宋" w:hAnsi="仿宋" w:eastAsia="仿宋" w:cs="仿宋"/>
          <w:b/>
          <w:bCs/>
          <w:sz w:val="32"/>
          <w:szCs w:val="32"/>
          <w:highlight w:val="none"/>
          <w:lang w:val="en-US" w:eastAsia="zh-CN"/>
        </w:rPr>
        <w:t>“形式合规”</w:t>
      </w:r>
      <w:r>
        <w:rPr>
          <w:rFonts w:hint="eastAsia" w:ascii="仿宋" w:hAnsi="仿宋" w:eastAsia="仿宋" w:cs="仿宋"/>
          <w:b w:val="0"/>
          <w:bCs w:val="0"/>
          <w:sz w:val="32"/>
          <w:szCs w:val="32"/>
          <w:highlight w:val="none"/>
          <w:lang w:val="en-US" w:eastAsia="zh-CN"/>
        </w:rPr>
        <w:t>迈向</w:t>
      </w:r>
      <w:r>
        <w:rPr>
          <w:rFonts w:hint="eastAsia" w:ascii="仿宋" w:hAnsi="仿宋" w:eastAsia="仿宋" w:cs="仿宋"/>
          <w:b/>
          <w:bCs/>
          <w:sz w:val="32"/>
          <w:szCs w:val="32"/>
          <w:highlight w:val="none"/>
          <w:lang w:val="en-US" w:eastAsia="zh-CN"/>
        </w:rPr>
        <w:t>“实质合规”</w:t>
      </w:r>
      <w:r>
        <w:rPr>
          <w:rFonts w:hint="eastAsia" w:ascii="仿宋" w:hAnsi="仿宋" w:eastAsia="仿宋" w:cs="仿宋"/>
          <w:b w:val="0"/>
          <w:bCs w:val="0"/>
          <w:sz w:val="32"/>
          <w:szCs w:val="32"/>
          <w:highlight w:val="none"/>
          <w:lang w:val="en-US" w:eastAsia="zh-CN"/>
        </w:rPr>
        <w:t>和</w:t>
      </w:r>
      <w:r>
        <w:rPr>
          <w:rFonts w:hint="eastAsia" w:ascii="仿宋" w:hAnsi="仿宋" w:eastAsia="仿宋" w:cs="仿宋"/>
          <w:b/>
          <w:bCs/>
          <w:sz w:val="32"/>
          <w:szCs w:val="32"/>
          <w:highlight w:val="none"/>
          <w:lang w:val="en-US" w:eastAsia="zh-CN"/>
        </w:rPr>
        <w:t>“动态合规”</w:t>
      </w:r>
      <w:r>
        <w:rPr>
          <w:rFonts w:hint="eastAsia" w:ascii="仿宋" w:hAnsi="仿宋" w:eastAsia="仿宋" w:cs="仿宋"/>
          <w:b w:val="0"/>
          <w:bCs w:val="0"/>
          <w:sz w:val="32"/>
          <w:szCs w:val="32"/>
          <w:highlight w:val="none"/>
          <w:lang w:val="en-US" w:eastAsia="zh-CN"/>
        </w:rPr>
        <w:t>。通过删除敏感信息来规避法律风险，通过规范填写来提升数据质量，通过明确责任来加强内部控制，最后通过建立动态更新机制来确保这套基础管理工具能够持续、真实、有效地反映组织人事状况，为各项管理工作提供可靠依据。</w:t>
      </w:r>
    </w:p>
    <w:p w14:paraId="57236ED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b/>
          <w:bCs/>
          <w:sz w:val="32"/>
          <w:szCs w:val="32"/>
          <w:highlight w:val="none"/>
          <w:lang w:val="en-US" w:eastAsia="zh-CN"/>
        </w:rPr>
      </w:pPr>
    </w:p>
    <w:p w14:paraId="4F4B330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b/>
          <w:bCs/>
          <w:sz w:val="32"/>
          <w:szCs w:val="32"/>
          <w:highlight w:val="none"/>
          <w:lang w:val="en-US" w:eastAsia="zh-CN"/>
        </w:rPr>
      </w:pPr>
    </w:p>
    <w:p w14:paraId="1D403132">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b/>
          <w:bCs/>
          <w:sz w:val="32"/>
          <w:szCs w:val="32"/>
          <w:highlight w:val="none"/>
          <w:lang w:val="en-US" w:eastAsia="zh-CN"/>
        </w:rPr>
      </w:pPr>
    </w:p>
    <w:p w14:paraId="48BB8CE8">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b/>
          <w:bCs/>
          <w:sz w:val="32"/>
          <w:szCs w:val="32"/>
          <w:highlight w:val="none"/>
          <w:lang w:val="en-US" w:eastAsia="zh-CN"/>
        </w:rPr>
      </w:pPr>
    </w:p>
    <w:p w14:paraId="7F47DACD">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b/>
          <w:bCs/>
          <w:sz w:val="32"/>
          <w:szCs w:val="32"/>
          <w:highlight w:val="none"/>
          <w:lang w:val="en-US" w:eastAsia="zh-CN"/>
        </w:rPr>
      </w:pPr>
    </w:p>
    <w:p w14:paraId="243D50DF">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b/>
          <w:bCs/>
          <w:sz w:val="32"/>
          <w:szCs w:val="32"/>
          <w:highlight w:val="none"/>
          <w:lang w:val="en-US" w:eastAsia="zh-CN"/>
        </w:rPr>
      </w:pPr>
    </w:p>
    <w:p w14:paraId="67BA38E1">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b/>
          <w:bCs/>
          <w:sz w:val="32"/>
          <w:szCs w:val="32"/>
          <w:highlight w:val="none"/>
          <w:lang w:val="en-US" w:eastAsia="zh-CN"/>
        </w:rPr>
      </w:pPr>
    </w:p>
    <w:p w14:paraId="0CBBE611">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b/>
          <w:bCs/>
          <w:sz w:val="32"/>
          <w:szCs w:val="32"/>
          <w:highlight w:val="none"/>
          <w:lang w:val="en-US" w:eastAsia="zh-CN"/>
        </w:rPr>
      </w:pPr>
    </w:p>
    <w:p w14:paraId="6A64E558">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（此页无正文）</w:t>
      </w:r>
    </w:p>
    <w:p w14:paraId="1B72C8DF">
      <w:pPr>
        <w:rPr>
          <w:rFonts w:hint="default"/>
          <w:lang w:val="en-US" w:eastAsia="zh-CN"/>
        </w:rPr>
      </w:pPr>
    </w:p>
    <w:p w14:paraId="67686BBC">
      <w:pPr>
        <w:rPr>
          <w:rFonts w:hint="default"/>
          <w:lang w:val="en-US" w:eastAsia="zh-CN"/>
        </w:rPr>
      </w:pPr>
    </w:p>
    <w:p w14:paraId="616F0AAC">
      <w:pPr>
        <w:rPr>
          <w:rFonts w:hint="default"/>
          <w:lang w:val="en-US" w:eastAsia="zh-CN"/>
        </w:rPr>
      </w:pPr>
    </w:p>
    <w:p w14:paraId="0EC7A70B">
      <w:pPr>
        <w:rPr>
          <w:rFonts w:hint="default"/>
          <w:lang w:val="en-US" w:eastAsia="zh-CN"/>
        </w:rPr>
      </w:pPr>
    </w:p>
    <w:p w14:paraId="17EC51D0">
      <w:pPr>
        <w:rPr>
          <w:rFonts w:hint="default"/>
          <w:lang w:val="en-US" w:eastAsia="zh-CN"/>
        </w:rPr>
      </w:pPr>
    </w:p>
    <w:p w14:paraId="3D404FBD">
      <w:pPr>
        <w:rPr>
          <w:rFonts w:hint="default"/>
          <w:lang w:val="en-US" w:eastAsia="zh-CN"/>
        </w:rPr>
      </w:pPr>
    </w:p>
    <w:p w14:paraId="0BEEF6D2">
      <w:pPr>
        <w:rPr>
          <w:rFonts w:hint="default"/>
          <w:lang w:val="en-US" w:eastAsia="zh-CN"/>
        </w:rPr>
      </w:pPr>
    </w:p>
    <w:p w14:paraId="64AA07BF">
      <w:pPr>
        <w:rPr>
          <w:rFonts w:hint="default"/>
          <w:lang w:val="en-US" w:eastAsia="zh-CN"/>
        </w:rPr>
      </w:pPr>
    </w:p>
    <w:tbl>
      <w:tblPr>
        <w:tblStyle w:val="14"/>
        <w:tblpPr w:leftFromText="180" w:rightFromText="180" w:vertAnchor="text" w:horzAnchor="page" w:tblpXSpec="center" w:tblpY="952"/>
        <w:tblOverlap w:val="never"/>
        <w:tblW w:w="8799" w:type="dxa"/>
        <w:jc w:val="center"/>
        <w:tblLayout w:type="fixed"/>
        <w:tblCellMar>
          <w:top w:w="0" w:type="dxa"/>
          <w:left w:w="108" w:type="dxa"/>
          <w:bottom w:w="0" w:type="dxa"/>
          <w:right w:w="108" w:type="dxa"/>
        </w:tblCellMar>
      </w:tblPr>
      <w:tblGrid>
        <w:gridCol w:w="4525"/>
        <w:gridCol w:w="4274"/>
      </w:tblGrid>
      <w:tr w14:paraId="76CBCD93">
        <w:tblPrEx>
          <w:tblCellMar>
            <w:top w:w="0" w:type="dxa"/>
            <w:left w:w="108" w:type="dxa"/>
            <w:bottom w:w="0" w:type="dxa"/>
            <w:right w:w="108" w:type="dxa"/>
          </w:tblCellMar>
        </w:tblPrEx>
        <w:trPr>
          <w:trHeight w:val="623" w:hRule="atLeast"/>
          <w:jc w:val="center"/>
        </w:trPr>
        <w:tc>
          <w:tcPr>
            <w:tcW w:w="4525" w:type="dxa"/>
            <w:noWrap w:val="0"/>
            <w:vAlign w:val="top"/>
          </w:tcPr>
          <w:p w14:paraId="27B7AECD">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rPr>
                <w:rFonts w:hint="eastAsia" w:ascii="仿宋" w:hAnsi="仿宋" w:eastAsia="仿宋" w:cs="仿宋"/>
                <w:b w:val="0"/>
                <w:bCs w:val="0"/>
                <w:i w:val="0"/>
                <w:iCs w:val="0"/>
                <w:caps w:val="0"/>
                <w:color w:val="000000"/>
                <w:spacing w:val="0"/>
                <w:sz w:val="32"/>
                <w:szCs w:val="32"/>
                <w:u w:val="none"/>
                <w:shd w:val="clear" w:fill="FFFFFF"/>
                <w:lang w:val="en-US" w:eastAsia="zh-CN"/>
              </w:rPr>
            </w:pPr>
            <w:r>
              <w:rPr>
                <w:rFonts w:hint="eastAsia" w:ascii="仿宋" w:hAnsi="仿宋" w:eastAsia="仿宋" w:cs="仿宋"/>
                <w:b w:val="0"/>
                <w:bCs w:val="0"/>
                <w:i w:val="0"/>
                <w:iCs w:val="0"/>
                <w:caps w:val="0"/>
                <w:color w:val="000000"/>
                <w:spacing w:val="0"/>
                <w:sz w:val="32"/>
                <w:szCs w:val="32"/>
                <w:u w:val="none"/>
                <w:shd w:val="clear" w:fill="FFFFFF"/>
                <w:lang w:val="en-US" w:eastAsia="zh-CN"/>
              </w:rPr>
              <w:t>湖南浩元会计师事务所</w:t>
            </w:r>
          </w:p>
        </w:tc>
        <w:tc>
          <w:tcPr>
            <w:tcW w:w="4274" w:type="dxa"/>
            <w:noWrap w:val="0"/>
            <w:vAlign w:val="top"/>
          </w:tcPr>
          <w:p w14:paraId="0746C02F">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rPr>
                <w:rFonts w:hint="eastAsia" w:ascii="仿宋" w:hAnsi="仿宋" w:eastAsia="仿宋" w:cs="仿宋"/>
                <w:b w:val="0"/>
                <w:bCs w:val="0"/>
                <w:i w:val="0"/>
                <w:iCs w:val="0"/>
                <w:caps w:val="0"/>
                <w:color w:val="000000"/>
                <w:spacing w:val="0"/>
                <w:sz w:val="32"/>
                <w:szCs w:val="32"/>
                <w:u w:val="none"/>
                <w:shd w:val="clear" w:fill="FFFFFF"/>
                <w:lang w:val="en-US" w:eastAsia="zh-CN"/>
              </w:rPr>
            </w:pPr>
            <w:r>
              <w:rPr>
                <w:rFonts w:hint="eastAsia" w:ascii="仿宋" w:hAnsi="仿宋" w:eastAsia="仿宋" w:cs="仿宋"/>
                <w:b w:val="0"/>
                <w:bCs w:val="0"/>
                <w:i w:val="0"/>
                <w:iCs w:val="0"/>
                <w:caps w:val="0"/>
                <w:color w:val="000000"/>
                <w:spacing w:val="0"/>
                <w:sz w:val="32"/>
                <w:szCs w:val="32"/>
                <w:u w:val="none"/>
                <w:shd w:val="clear" w:fill="FFFFFF"/>
                <w:lang w:val="en-US" w:eastAsia="zh-CN"/>
              </w:rPr>
              <w:t>中国注册会计师：</w:t>
            </w:r>
          </w:p>
        </w:tc>
      </w:tr>
      <w:tr w14:paraId="7FD693C9">
        <w:tblPrEx>
          <w:tblCellMar>
            <w:top w:w="0" w:type="dxa"/>
            <w:left w:w="108" w:type="dxa"/>
            <w:bottom w:w="0" w:type="dxa"/>
            <w:right w:w="108" w:type="dxa"/>
          </w:tblCellMar>
        </w:tblPrEx>
        <w:trPr>
          <w:trHeight w:val="1267" w:hRule="atLeast"/>
          <w:jc w:val="center"/>
        </w:trPr>
        <w:tc>
          <w:tcPr>
            <w:tcW w:w="4525" w:type="dxa"/>
            <w:noWrap w:val="0"/>
            <w:vAlign w:val="top"/>
          </w:tcPr>
          <w:p w14:paraId="5C9DE52A">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rPr>
                <w:rFonts w:hint="eastAsia" w:ascii="仿宋" w:hAnsi="仿宋" w:eastAsia="仿宋" w:cs="仿宋"/>
                <w:b w:val="0"/>
                <w:bCs w:val="0"/>
                <w:i w:val="0"/>
                <w:iCs w:val="0"/>
                <w:caps w:val="0"/>
                <w:color w:val="000000"/>
                <w:spacing w:val="0"/>
                <w:sz w:val="32"/>
                <w:szCs w:val="32"/>
                <w:u w:val="none"/>
                <w:shd w:val="clear" w:fill="FFFFFF"/>
                <w:lang w:val="en-US" w:eastAsia="zh-CN"/>
              </w:rPr>
            </w:pPr>
            <w:r>
              <w:rPr>
                <w:rFonts w:hint="eastAsia" w:ascii="仿宋" w:hAnsi="仿宋" w:eastAsia="仿宋" w:cs="仿宋"/>
                <w:b w:val="0"/>
                <w:bCs w:val="0"/>
                <w:i w:val="0"/>
                <w:iCs w:val="0"/>
                <w:caps w:val="0"/>
                <w:color w:val="000000"/>
                <w:spacing w:val="0"/>
                <w:sz w:val="32"/>
                <w:szCs w:val="32"/>
                <w:u w:val="none"/>
                <w:shd w:val="clear" w:fill="FFFFFF"/>
                <w:lang w:val="en-US" w:eastAsia="zh-CN"/>
              </w:rPr>
              <w:t>（普通合伙）</w:t>
            </w:r>
          </w:p>
        </w:tc>
        <w:tc>
          <w:tcPr>
            <w:tcW w:w="4274" w:type="dxa"/>
            <w:noWrap w:val="0"/>
            <w:vAlign w:val="top"/>
          </w:tcPr>
          <w:p w14:paraId="6FC64BD1">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rPr>
                <w:rFonts w:hint="eastAsia" w:ascii="仿宋" w:hAnsi="仿宋" w:eastAsia="仿宋" w:cs="仿宋"/>
                <w:b w:val="0"/>
                <w:bCs w:val="0"/>
                <w:i w:val="0"/>
                <w:iCs w:val="0"/>
                <w:caps w:val="0"/>
                <w:color w:val="000000"/>
                <w:spacing w:val="0"/>
                <w:sz w:val="32"/>
                <w:szCs w:val="32"/>
                <w:u w:val="none"/>
                <w:shd w:val="clear" w:fill="FFFFFF"/>
                <w:lang w:val="en-US" w:eastAsia="zh-CN"/>
              </w:rPr>
            </w:pPr>
          </w:p>
        </w:tc>
      </w:tr>
      <w:tr w14:paraId="6BCD2100">
        <w:tblPrEx>
          <w:tblCellMar>
            <w:top w:w="0" w:type="dxa"/>
            <w:left w:w="108" w:type="dxa"/>
            <w:bottom w:w="0" w:type="dxa"/>
            <w:right w:w="108" w:type="dxa"/>
          </w:tblCellMar>
        </w:tblPrEx>
        <w:trPr>
          <w:trHeight w:val="1247" w:hRule="atLeast"/>
          <w:jc w:val="center"/>
        </w:trPr>
        <w:tc>
          <w:tcPr>
            <w:tcW w:w="4525" w:type="dxa"/>
            <w:noWrap w:val="0"/>
            <w:vAlign w:val="top"/>
          </w:tcPr>
          <w:p w14:paraId="5DDE7399">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rPr>
                <w:rFonts w:hint="eastAsia" w:ascii="仿宋" w:hAnsi="仿宋" w:eastAsia="仿宋" w:cs="仿宋"/>
                <w:b w:val="0"/>
                <w:bCs w:val="0"/>
                <w:i w:val="0"/>
                <w:iCs w:val="0"/>
                <w:caps w:val="0"/>
                <w:color w:val="000000"/>
                <w:spacing w:val="0"/>
                <w:sz w:val="32"/>
                <w:szCs w:val="32"/>
                <w:u w:val="none"/>
                <w:shd w:val="clear" w:fill="FFFFFF"/>
                <w:lang w:val="en-US" w:eastAsia="zh-CN"/>
              </w:rPr>
            </w:pPr>
          </w:p>
        </w:tc>
        <w:tc>
          <w:tcPr>
            <w:tcW w:w="4274" w:type="dxa"/>
            <w:noWrap w:val="0"/>
            <w:vAlign w:val="top"/>
          </w:tcPr>
          <w:p w14:paraId="67F3844A">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rPr>
                <w:rFonts w:hint="eastAsia" w:ascii="仿宋" w:hAnsi="仿宋" w:eastAsia="仿宋" w:cs="仿宋"/>
                <w:b w:val="0"/>
                <w:bCs w:val="0"/>
                <w:i w:val="0"/>
                <w:iCs w:val="0"/>
                <w:caps w:val="0"/>
                <w:color w:val="000000"/>
                <w:spacing w:val="0"/>
                <w:sz w:val="32"/>
                <w:szCs w:val="32"/>
                <w:u w:val="none"/>
                <w:shd w:val="clear" w:fill="FFFFFF"/>
                <w:lang w:val="en-US" w:eastAsia="zh-CN"/>
              </w:rPr>
            </w:pPr>
            <w:r>
              <w:rPr>
                <w:rFonts w:hint="eastAsia" w:ascii="仿宋" w:hAnsi="仿宋" w:eastAsia="仿宋" w:cs="仿宋"/>
                <w:b w:val="0"/>
                <w:bCs w:val="0"/>
                <w:i w:val="0"/>
                <w:iCs w:val="0"/>
                <w:caps w:val="0"/>
                <w:color w:val="000000"/>
                <w:spacing w:val="0"/>
                <w:sz w:val="32"/>
                <w:szCs w:val="32"/>
                <w:u w:val="none"/>
                <w:shd w:val="clear" w:fill="FFFFFF"/>
                <w:lang w:val="en-US" w:eastAsia="zh-CN"/>
              </w:rPr>
              <w:t>中国注册会计师：</w:t>
            </w:r>
          </w:p>
          <w:p w14:paraId="6FA1FA44">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rPr>
                <w:rFonts w:hint="eastAsia" w:ascii="仿宋" w:hAnsi="仿宋" w:eastAsia="仿宋" w:cs="仿宋"/>
                <w:b w:val="0"/>
                <w:bCs w:val="0"/>
                <w:i w:val="0"/>
                <w:iCs w:val="0"/>
                <w:caps w:val="0"/>
                <w:color w:val="000000"/>
                <w:spacing w:val="0"/>
                <w:sz w:val="32"/>
                <w:szCs w:val="32"/>
                <w:u w:val="none"/>
                <w:shd w:val="clear" w:fill="FFFFFF"/>
                <w:lang w:val="en-US" w:eastAsia="zh-CN"/>
              </w:rPr>
            </w:pPr>
          </w:p>
        </w:tc>
      </w:tr>
      <w:tr w14:paraId="6E160BFB">
        <w:tblPrEx>
          <w:tblCellMar>
            <w:top w:w="0" w:type="dxa"/>
            <w:left w:w="108" w:type="dxa"/>
            <w:bottom w:w="0" w:type="dxa"/>
            <w:right w:w="108" w:type="dxa"/>
          </w:tblCellMar>
        </w:tblPrEx>
        <w:trPr>
          <w:trHeight w:val="623" w:hRule="atLeast"/>
          <w:jc w:val="center"/>
        </w:trPr>
        <w:tc>
          <w:tcPr>
            <w:tcW w:w="4525" w:type="dxa"/>
            <w:noWrap w:val="0"/>
            <w:vAlign w:val="top"/>
          </w:tcPr>
          <w:p w14:paraId="51A7DD8F">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rPr>
                <w:rFonts w:hint="eastAsia" w:ascii="仿宋" w:hAnsi="仿宋" w:eastAsia="仿宋" w:cs="仿宋"/>
                <w:b w:val="0"/>
                <w:bCs w:val="0"/>
                <w:i w:val="0"/>
                <w:iCs w:val="0"/>
                <w:caps w:val="0"/>
                <w:color w:val="000000"/>
                <w:spacing w:val="0"/>
                <w:sz w:val="32"/>
                <w:szCs w:val="32"/>
                <w:u w:val="none"/>
                <w:shd w:val="clear" w:fill="FFFFFF"/>
                <w:lang w:val="en-US" w:eastAsia="zh-CN"/>
              </w:rPr>
            </w:pPr>
            <w:r>
              <w:rPr>
                <w:rFonts w:hint="eastAsia" w:ascii="仿宋" w:hAnsi="仿宋" w:eastAsia="仿宋" w:cs="仿宋"/>
                <w:b w:val="0"/>
                <w:bCs w:val="0"/>
                <w:i w:val="0"/>
                <w:iCs w:val="0"/>
                <w:caps w:val="0"/>
                <w:color w:val="000000"/>
                <w:spacing w:val="0"/>
                <w:sz w:val="32"/>
                <w:szCs w:val="32"/>
                <w:u w:val="none"/>
                <w:shd w:val="clear" w:fill="FFFFFF"/>
                <w:lang w:val="en-US" w:eastAsia="zh-CN"/>
              </w:rPr>
              <w:t>中 国·长 沙</w:t>
            </w:r>
          </w:p>
        </w:tc>
        <w:tc>
          <w:tcPr>
            <w:tcW w:w="4274" w:type="dxa"/>
            <w:noWrap w:val="0"/>
            <w:vAlign w:val="top"/>
          </w:tcPr>
          <w:p w14:paraId="34AC2330">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rPr>
                <w:rFonts w:hint="eastAsia" w:ascii="仿宋" w:hAnsi="仿宋" w:eastAsia="仿宋" w:cs="仿宋"/>
                <w:b w:val="0"/>
                <w:bCs w:val="0"/>
                <w:i w:val="0"/>
                <w:iCs w:val="0"/>
                <w:caps w:val="0"/>
                <w:color w:val="000000"/>
                <w:spacing w:val="0"/>
                <w:sz w:val="32"/>
                <w:szCs w:val="32"/>
                <w:u w:val="none"/>
                <w:shd w:val="clear" w:fill="FFFFFF"/>
                <w:lang w:val="en-US" w:eastAsia="zh-CN"/>
              </w:rPr>
            </w:pPr>
            <w:r>
              <w:rPr>
                <w:rFonts w:hint="eastAsia" w:ascii="仿宋" w:hAnsi="仿宋" w:eastAsia="仿宋" w:cs="仿宋"/>
                <w:b w:val="0"/>
                <w:bCs w:val="0"/>
                <w:i w:val="0"/>
                <w:iCs w:val="0"/>
                <w:caps w:val="0"/>
                <w:color w:val="000000"/>
                <w:spacing w:val="0"/>
                <w:sz w:val="32"/>
                <w:szCs w:val="32"/>
                <w:u w:val="none"/>
                <w:shd w:val="clear" w:fill="FFFFFF"/>
                <w:lang w:val="en-US" w:eastAsia="zh-CN"/>
              </w:rPr>
              <w:t>2025年11月30日</w:t>
            </w:r>
          </w:p>
        </w:tc>
      </w:tr>
    </w:tbl>
    <w:p w14:paraId="3244901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0"/>
        <w:rPr>
          <w:rFonts w:hint="eastAsia" w:ascii="黑体" w:hAnsi="黑体" w:eastAsia="黑体" w:cs="黑体"/>
          <w:sz w:val="32"/>
          <w:szCs w:val="32"/>
          <w:lang w:val="en-US" w:eastAsia="zh-CN"/>
        </w:rPr>
      </w:pPr>
    </w:p>
    <w:sectPr>
      <w:pgSz w:w="11906" w:h="16838"/>
      <w:pgMar w:top="1157"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隶二简体">
    <w:panose1 w:val="02010601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1C557">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bottomMargin">
                <wp:align>top</wp:align>
              </wp:positionV>
              <wp:extent cx="2431415" cy="298450"/>
              <wp:effectExtent l="0" t="0" r="0" b="0"/>
              <wp:wrapNone/>
              <wp:docPr id="2" name="文本框 2"/>
              <wp:cNvGraphicFramePr/>
              <a:graphic xmlns:a="http://schemas.openxmlformats.org/drawingml/2006/main">
                <a:graphicData uri="http://schemas.microsoft.com/office/word/2010/wordprocessingShape">
                  <wps:wsp>
                    <wps:cNvSpPr txBox="1"/>
                    <wps:spPr>
                      <a:xfrm>
                        <a:off x="1168400" y="9895840"/>
                        <a:ext cx="2431415" cy="298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7AC19B">
                          <w:pPr>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湖南浩元会计师事务所（普通合伙）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15pt;margin-top:769.9pt;height:23.5pt;width:191.45pt;mso-position-horizontal-relative:page;mso-position-vertical-relative:page;z-index:251660288;mso-width-relative:page;mso-height-relative:page;" filled="f" stroked="f" coordsize="21600,21600" o:gfxdata="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yvZrWAAAABAEAAA8AAAAAAAAAAQAgAAAA&#10;IgAAAGRycy9kb3ducmV2LnhtbFBLAQIUABQAAAAIAIdO4kAoJ/C0RgIAAHIEAAAOAAAAAAAAAAEA&#10;IAAAACUBAABkcnMvZTJvRG9jLnhtbFBLBQYAAAAABgAGAFkBAADdBQAAAAA=&#10;">
              <v:fill on="f" focussize="0,0"/>
              <v:stroke on="f" weight="0.5pt"/>
              <v:imagedata o:title=""/>
              <o:lock v:ext="edit" aspectratio="f"/>
              <v:textbox>
                <w:txbxContent>
                  <w:p w14:paraId="477AC19B">
                    <w:pPr>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湖南浩元会计师事务所（普通合伙）</w:t>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top</wp:align>
              </wp:positionV>
              <wp:extent cx="5313045" cy="0"/>
              <wp:effectExtent l="0" t="6350" r="0" b="6350"/>
              <wp:wrapNone/>
              <wp:docPr id="1" name="直接连接符 1"/>
              <wp:cNvGraphicFramePr/>
              <a:graphic xmlns:a="http://schemas.openxmlformats.org/drawingml/2006/main">
                <a:graphicData uri="http://schemas.microsoft.com/office/word/2010/wordprocessingShape">
                  <wps:wsp>
                    <wps:cNvCnPr/>
                    <wps:spPr>
                      <a:xfrm>
                        <a:off x="1139190" y="9765665"/>
                        <a:ext cx="531304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14:sizeRelV relativeFrom="page">
                <wp14:pctHeight>0</wp14:pctHeight>
              </wp14:sizeRelV>
            </wp:anchor>
          </w:drawing>
        </mc:Choice>
        <mc:Fallback>
          <w:pict>
            <v:line id="_x0000_s1026" o:spid="_x0000_s1026" o:spt="20" style="position:absolute;left:0pt;margin-left:90.15pt;margin-top:770.4pt;height:0pt;width:418.35pt;mso-position-horizontal-relative:page;mso-position-vertical-relative:page;z-index:251659264;mso-width-relative:margin;mso-height-relative:page;mso-width-percent:1000;" filled="f" stroked="t" coordsize="21600,21600" o:gfxdata="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7jyGc&#10;zwAAAAIBAAAPAAAAAAAAAAEAIAAAACIAAABkcnMvZG93bnJldi54bWxQSwECFAAUAAAACACHTuJA&#10;F49pAfEBAAC+AwAADgAAAAAAAAABACAAAAAeAQAAZHJzL2Uyb0RvYy54bWxQSwUGAAAAAAYABgBZ&#10;AQAAgQUAAAAA&#10;">
              <v:fill on="f" focussize="0,0"/>
              <v:stroke weight="1pt" color="#000000 [3213]" miterlimit="8" joinstyle="miter"/>
              <v:imagedata o:title=""/>
              <o:lock v:ext="edit" aspectratio="f"/>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50B68">
    <w:pPr>
      <w:pStyle w:val="8"/>
    </w:pPr>
    <w:r>
      <w:rPr>
        <w:sz w:val="18"/>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48C09C">
                          <w:pPr>
                            <w:pStyle w:val="8"/>
                            <w:rPr>
                              <w:b/>
                              <w:bCs/>
                            </w:rPr>
                          </w:pPr>
                          <w:r>
                            <w:rPr>
                              <w:b/>
                              <w:bCs/>
                            </w:rPr>
                            <w:t>第</w:t>
                          </w:r>
                          <w:r>
                            <w:rPr>
                              <w:b/>
                              <w:bCs/>
                            </w:rPr>
                            <w:fldChar w:fldCharType="begin"/>
                          </w:r>
                          <w:r>
                            <w:rPr>
                              <w:b/>
                              <w:bCs/>
                            </w:rPr>
                            <w:instrText xml:space="preserve"> PAGE  \* MERGEFORMAT </w:instrText>
                          </w:r>
                          <w:r>
                            <w:rPr>
                              <w:b/>
                              <w:bCs/>
                            </w:rPr>
                            <w:fldChar w:fldCharType="separate"/>
                          </w:r>
                          <w:r>
                            <w:rPr>
                              <w:b/>
                              <w:bCs/>
                            </w:rPr>
                            <w:t>1</w:t>
                          </w:r>
                          <w:r>
                            <w:rPr>
                              <w:b/>
                              <w:bCs/>
                            </w:rPr>
                            <w:fldChar w:fldCharType="end"/>
                          </w:r>
                          <w:r>
                            <w:rPr>
                              <w:b/>
                              <w:bCs/>
                            </w:rP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E48C09C">
                    <w:pPr>
                      <w:pStyle w:val="8"/>
                      <w:rPr>
                        <w:b/>
                        <w:bCs/>
                      </w:rPr>
                    </w:pPr>
                    <w:r>
                      <w:rPr>
                        <w:b/>
                        <w:bCs/>
                      </w:rPr>
                      <w:t>第</w:t>
                    </w:r>
                    <w:r>
                      <w:rPr>
                        <w:b/>
                        <w:bCs/>
                      </w:rPr>
                      <w:fldChar w:fldCharType="begin"/>
                    </w:r>
                    <w:r>
                      <w:rPr>
                        <w:b/>
                        <w:bCs/>
                      </w:rPr>
                      <w:instrText xml:space="preserve"> PAGE  \* MERGEFORMAT </w:instrText>
                    </w:r>
                    <w:r>
                      <w:rPr>
                        <w:b/>
                        <w:bCs/>
                      </w:rPr>
                      <w:fldChar w:fldCharType="separate"/>
                    </w:r>
                    <w:r>
                      <w:rPr>
                        <w:b/>
                        <w:bCs/>
                      </w:rPr>
                      <w:t>1</w:t>
                    </w:r>
                    <w:r>
                      <w:rPr>
                        <w:b/>
                        <w:bCs/>
                      </w:rPr>
                      <w:fldChar w:fldCharType="end"/>
                    </w:r>
                    <w:r>
                      <w:rPr>
                        <w:b/>
                        <w:bCs/>
                      </w:rPr>
                      <w:t>页</w:t>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bottomMargin">
                <wp:align>top</wp:align>
              </wp:positionV>
              <wp:extent cx="2431415" cy="298450"/>
              <wp:effectExtent l="0" t="0" r="0" b="0"/>
              <wp:wrapNone/>
              <wp:docPr id="14" name="文本框 14"/>
              <wp:cNvGraphicFramePr/>
              <a:graphic xmlns:a="http://schemas.openxmlformats.org/drawingml/2006/main">
                <a:graphicData uri="http://schemas.microsoft.com/office/word/2010/wordprocessingShape">
                  <wps:wsp>
                    <wps:cNvSpPr txBox="1"/>
                    <wps:spPr>
                      <a:xfrm>
                        <a:off x="1168400" y="9895840"/>
                        <a:ext cx="2431415" cy="298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7CA635">
                          <w:pPr>
                            <w:rPr>
                              <w:rFonts w:hint="eastAsia" w:ascii="仿宋" w:hAnsi="仿宋" w:eastAsia="仿宋" w:cs="仿宋"/>
                              <w:b/>
                              <w:bCs/>
                              <w:color w:val="auto"/>
                              <w:sz w:val="21"/>
                              <w:szCs w:val="21"/>
                              <w:u w:val="none"/>
                              <w:lang w:val="en-US" w:eastAsia="zh-CN"/>
                            </w:rPr>
                          </w:pPr>
                          <w:r>
                            <w:rPr>
                              <w:rFonts w:hint="eastAsia" w:ascii="仿宋" w:hAnsi="仿宋" w:eastAsia="仿宋" w:cs="仿宋"/>
                              <w:b/>
                              <w:bCs/>
                              <w:color w:val="auto"/>
                              <w:sz w:val="21"/>
                              <w:szCs w:val="21"/>
                              <w:u w:val="none"/>
                              <w:lang w:val="en-US" w:eastAsia="zh-CN"/>
                            </w:rPr>
                            <w:t>湖南浩元会计师事务所（普通合伙）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15pt;margin-top:769.9pt;height:23.5pt;width:191.45pt;mso-position-horizontal-relative:page;mso-position-vertical-relative:page;z-index:251662336;mso-width-relative:page;mso-height-relative:page;" filled="f" stroked="f" coordsize="21600,21600" o:gfxdata="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yvZrWAAAABAEAAA8AAAAAAAAAAQAgAAAA&#10;IgAAAGRycy9kb3ducmV2LnhtbFBLAQIUABQAAAAIAIdO4kDDk0rrRgIAAHQEAAAOAAAAAAAAAAEA&#10;IAAAACUBAABkcnMvZTJvRG9jLnhtbFBLBQYAAAAABgAGAFkBAADdBQAAAAA=&#10;">
              <v:fill on="f" focussize="0,0"/>
              <v:stroke on="f" weight="0.5pt"/>
              <v:imagedata o:title=""/>
              <o:lock v:ext="edit" aspectratio="f"/>
              <v:textbox>
                <w:txbxContent>
                  <w:p w14:paraId="237CA635">
                    <w:pPr>
                      <w:rPr>
                        <w:rFonts w:hint="eastAsia" w:ascii="仿宋" w:hAnsi="仿宋" w:eastAsia="仿宋" w:cs="仿宋"/>
                        <w:b/>
                        <w:bCs/>
                        <w:color w:val="auto"/>
                        <w:sz w:val="21"/>
                        <w:szCs w:val="21"/>
                        <w:u w:val="none"/>
                        <w:lang w:val="en-US" w:eastAsia="zh-CN"/>
                      </w:rPr>
                    </w:pPr>
                    <w:r>
                      <w:rPr>
                        <w:rFonts w:hint="eastAsia" w:ascii="仿宋" w:hAnsi="仿宋" w:eastAsia="仿宋" w:cs="仿宋"/>
                        <w:b/>
                        <w:bCs/>
                        <w:color w:val="auto"/>
                        <w:sz w:val="21"/>
                        <w:szCs w:val="21"/>
                        <w:u w:val="none"/>
                        <w:lang w:val="en-US" w:eastAsia="zh-CN"/>
                      </w:rPr>
                      <w:t>湖南浩元会计师事务所（普通合伙）</w:t>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bottomMargin">
                <wp:align>top</wp:align>
              </wp:positionV>
              <wp:extent cx="5313045" cy="0"/>
              <wp:effectExtent l="0" t="6350" r="0" b="6350"/>
              <wp:wrapNone/>
              <wp:docPr id="15" name="直接连接符 15"/>
              <wp:cNvGraphicFramePr/>
              <a:graphic xmlns:a="http://schemas.openxmlformats.org/drawingml/2006/main">
                <a:graphicData uri="http://schemas.microsoft.com/office/word/2010/wordprocessingShape">
                  <wps:wsp>
                    <wps:cNvCnPr/>
                    <wps:spPr>
                      <a:xfrm>
                        <a:off x="1139190" y="9765665"/>
                        <a:ext cx="531304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14:sizeRelV relativeFrom="page">
                <wp14:pctHeight>0</wp14:pctHeight>
              </wp14:sizeRelV>
            </wp:anchor>
          </w:drawing>
        </mc:Choice>
        <mc:Fallback>
          <w:pict>
            <v:line id="_x0000_s1026" o:spid="_x0000_s1026" o:spt="20" style="position:absolute;left:0pt;margin-left:90.15pt;margin-top:770.4pt;height:0pt;width:418.35pt;mso-position-horizontal-relative:page;mso-position-vertical-relative:page;z-index:251661312;mso-width-relative:margin;mso-height-relative:page;mso-width-percent:1000;" filled="f" stroked="t" coordsize="21600,21600" o:gfxdata="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7&#10;jyGczwAAAAIBAAAPAAAAAAAAAAEAIAAAACIAAABkcnMvZG93bnJldi54bWxQSwECFAAUAAAACACH&#10;TuJAsDn2AfQBAADAAwAADgAAAAAAAAABACAAAAAeAQAAZHJzL2Uyb0RvYy54bWxQSwUGAAAAAAYA&#10;BgBZAQAAhAUAAAAA&#10;">
              <v:fill on="f" focussize="0,0"/>
              <v:stroke weight="1pt" color="#000000 [3213]" miterlimit="8" joinstyle="miter"/>
              <v:imagedata o:title=""/>
              <o:lock v:ext="edit" aspectratio="f"/>
            </v:lin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12759">
    <w:pPr>
      <w:pStyle w:val="9"/>
      <w:rPr>
        <w:rFonts w:hint="default" w:ascii="仿宋" w:hAnsi="仿宋" w:eastAsia="仿宋" w:cs="仿宋"/>
        <w:sz w:val="21"/>
        <w:szCs w:val="21"/>
        <w:u w:val="single"/>
        <w:lang w:val="en-US" w:eastAsia="zh-CN"/>
      </w:rPr>
    </w:pPr>
    <w:r>
      <w:rPr>
        <w:rFonts w:hint="eastAsia" w:ascii="仿宋" w:hAnsi="仿宋" w:eastAsia="仿宋" w:cs="仿宋"/>
        <w:b/>
        <w:bCs/>
        <w:sz w:val="21"/>
        <w:szCs w:val="21"/>
        <w:u w:val="single"/>
        <w:lang w:val="en-US" w:eastAsia="zh-CN"/>
      </w:rPr>
      <w:t>2024年雁峰区财政局整体支出绩效评价报告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0EFD67"/>
    <w:multiLevelType w:val="singleLevel"/>
    <w:tmpl w:val="950EFD67"/>
    <w:lvl w:ilvl="0" w:tentative="0">
      <w:start w:val="2"/>
      <w:numFmt w:val="chineseCounting"/>
      <w:suff w:val="nothing"/>
      <w:lvlText w:val="（%1）"/>
      <w:lvlJc w:val="left"/>
      <w:rPr>
        <w:rFonts w:hint="eastAsia"/>
        <w:b/>
        <w:bCs/>
      </w:rPr>
    </w:lvl>
  </w:abstractNum>
  <w:abstractNum w:abstractNumId="1">
    <w:nsid w:val="993ED9D6"/>
    <w:multiLevelType w:val="singleLevel"/>
    <w:tmpl w:val="993ED9D6"/>
    <w:lvl w:ilvl="0" w:tentative="0">
      <w:start w:val="1"/>
      <w:numFmt w:val="decimal"/>
      <w:suff w:val="nothing"/>
      <w:lvlText w:val="（%1）"/>
      <w:lvlJc w:val="left"/>
    </w:lvl>
  </w:abstractNum>
  <w:abstractNum w:abstractNumId="2">
    <w:nsid w:val="AFCFB45B"/>
    <w:multiLevelType w:val="singleLevel"/>
    <w:tmpl w:val="AFCFB45B"/>
    <w:lvl w:ilvl="0" w:tentative="0">
      <w:start w:val="2"/>
      <w:numFmt w:val="chineseCounting"/>
      <w:suff w:val="nothing"/>
      <w:lvlText w:val="%1、"/>
      <w:lvlJc w:val="left"/>
      <w:rPr>
        <w:rFonts w:hint="eastAsia"/>
      </w:rPr>
    </w:lvl>
  </w:abstractNum>
  <w:abstractNum w:abstractNumId="3">
    <w:nsid w:val="C86B9F76"/>
    <w:multiLevelType w:val="singleLevel"/>
    <w:tmpl w:val="C86B9F76"/>
    <w:lvl w:ilvl="0" w:tentative="0">
      <w:start w:val="6"/>
      <w:numFmt w:val="chineseCounting"/>
      <w:suff w:val="nothing"/>
      <w:lvlText w:val="%1、"/>
      <w:lvlJc w:val="left"/>
      <w:rPr>
        <w:rFonts w:hint="eastAsia"/>
      </w:rPr>
    </w:lvl>
  </w:abstractNum>
  <w:abstractNum w:abstractNumId="4">
    <w:nsid w:val="D84C4568"/>
    <w:multiLevelType w:val="singleLevel"/>
    <w:tmpl w:val="D84C4568"/>
    <w:lvl w:ilvl="0" w:tentative="0">
      <w:start w:val="1"/>
      <w:numFmt w:val="chineseCounting"/>
      <w:suff w:val="nothing"/>
      <w:lvlText w:val="（%1）"/>
      <w:lvlJc w:val="left"/>
      <w:rPr>
        <w:rFonts w:hint="eastAsia"/>
      </w:rPr>
    </w:lvl>
  </w:abstractNum>
  <w:abstractNum w:abstractNumId="5">
    <w:nsid w:val="EBF7B6E1"/>
    <w:multiLevelType w:val="singleLevel"/>
    <w:tmpl w:val="EBF7B6E1"/>
    <w:lvl w:ilvl="0" w:tentative="0">
      <w:start w:val="1"/>
      <w:numFmt w:val="chineseCounting"/>
      <w:suff w:val="nothing"/>
      <w:lvlText w:val="（%1）"/>
      <w:lvlJc w:val="left"/>
      <w:rPr>
        <w:rFonts w:hint="eastAsia"/>
      </w:rPr>
    </w:lvl>
  </w:abstractNum>
  <w:abstractNum w:abstractNumId="6">
    <w:nsid w:val="22845DC4"/>
    <w:multiLevelType w:val="singleLevel"/>
    <w:tmpl w:val="22845DC4"/>
    <w:lvl w:ilvl="0" w:tentative="0">
      <w:start w:val="4"/>
      <w:numFmt w:val="chineseCounting"/>
      <w:suff w:val="nothing"/>
      <w:lvlText w:val="（%1）"/>
      <w:lvlJc w:val="left"/>
      <w:rPr>
        <w:rFonts w:hint="eastAsia"/>
      </w:rPr>
    </w:lvl>
  </w:abstractNum>
  <w:num w:numId="1">
    <w:abstractNumId w:val="2"/>
  </w:num>
  <w:num w:numId="2">
    <w:abstractNumId w:val="4"/>
  </w:num>
  <w:num w:numId="3">
    <w:abstractNumId w:val="6"/>
  </w:num>
  <w:num w:numId="4">
    <w:abstractNumId w:val="5"/>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6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U1ZWVjYTFmYWM4NGIxZThlMmI0MzQ1Mzg3NWI3ZjkifQ=="/>
  </w:docVars>
  <w:rsids>
    <w:rsidRoot w:val="00172A27"/>
    <w:rsid w:val="00053C27"/>
    <w:rsid w:val="00092A53"/>
    <w:rsid w:val="001B237B"/>
    <w:rsid w:val="003440E5"/>
    <w:rsid w:val="00347465"/>
    <w:rsid w:val="003675EE"/>
    <w:rsid w:val="00392EA7"/>
    <w:rsid w:val="00396CDA"/>
    <w:rsid w:val="00441793"/>
    <w:rsid w:val="0046375D"/>
    <w:rsid w:val="004E616D"/>
    <w:rsid w:val="00503B7D"/>
    <w:rsid w:val="00543B5B"/>
    <w:rsid w:val="0075235C"/>
    <w:rsid w:val="00773916"/>
    <w:rsid w:val="00A72D9F"/>
    <w:rsid w:val="00A96AB3"/>
    <w:rsid w:val="00A97848"/>
    <w:rsid w:val="00AC7437"/>
    <w:rsid w:val="00CE50BF"/>
    <w:rsid w:val="00DC574A"/>
    <w:rsid w:val="00ED1E2A"/>
    <w:rsid w:val="00F114F5"/>
    <w:rsid w:val="00F96DAA"/>
    <w:rsid w:val="00FE0086"/>
    <w:rsid w:val="010D6479"/>
    <w:rsid w:val="01142B69"/>
    <w:rsid w:val="011655D4"/>
    <w:rsid w:val="01211959"/>
    <w:rsid w:val="013F2781"/>
    <w:rsid w:val="014F34AC"/>
    <w:rsid w:val="018A7679"/>
    <w:rsid w:val="0196601E"/>
    <w:rsid w:val="01967D5E"/>
    <w:rsid w:val="019755DD"/>
    <w:rsid w:val="019D115B"/>
    <w:rsid w:val="019F1377"/>
    <w:rsid w:val="01BA73E4"/>
    <w:rsid w:val="01CB7507"/>
    <w:rsid w:val="01D846CD"/>
    <w:rsid w:val="02012B23"/>
    <w:rsid w:val="021E5540"/>
    <w:rsid w:val="023A109F"/>
    <w:rsid w:val="023F2351"/>
    <w:rsid w:val="024C492F"/>
    <w:rsid w:val="025739FF"/>
    <w:rsid w:val="0263637C"/>
    <w:rsid w:val="027C16B8"/>
    <w:rsid w:val="02811C50"/>
    <w:rsid w:val="028D5673"/>
    <w:rsid w:val="029D18A6"/>
    <w:rsid w:val="02A1111E"/>
    <w:rsid w:val="02AE478C"/>
    <w:rsid w:val="02B50726"/>
    <w:rsid w:val="02B726F0"/>
    <w:rsid w:val="02BA21E0"/>
    <w:rsid w:val="02C443E7"/>
    <w:rsid w:val="02F20765"/>
    <w:rsid w:val="02F6136A"/>
    <w:rsid w:val="02F94384"/>
    <w:rsid w:val="03034384"/>
    <w:rsid w:val="03103BAE"/>
    <w:rsid w:val="03105CDF"/>
    <w:rsid w:val="031713E0"/>
    <w:rsid w:val="031D6EFB"/>
    <w:rsid w:val="03267F2A"/>
    <w:rsid w:val="03295034"/>
    <w:rsid w:val="03303491"/>
    <w:rsid w:val="034A1211"/>
    <w:rsid w:val="035F03E7"/>
    <w:rsid w:val="0368113D"/>
    <w:rsid w:val="03754F19"/>
    <w:rsid w:val="03764359"/>
    <w:rsid w:val="03773C2D"/>
    <w:rsid w:val="0391431A"/>
    <w:rsid w:val="03921B3D"/>
    <w:rsid w:val="03A3304A"/>
    <w:rsid w:val="03A47774"/>
    <w:rsid w:val="03A5079A"/>
    <w:rsid w:val="03A96C0F"/>
    <w:rsid w:val="03B53475"/>
    <w:rsid w:val="03C3438E"/>
    <w:rsid w:val="03C47923"/>
    <w:rsid w:val="03CE545F"/>
    <w:rsid w:val="03D25723"/>
    <w:rsid w:val="03DB41BC"/>
    <w:rsid w:val="03E10497"/>
    <w:rsid w:val="03E64831"/>
    <w:rsid w:val="04051239"/>
    <w:rsid w:val="04125FCD"/>
    <w:rsid w:val="04160862"/>
    <w:rsid w:val="04220309"/>
    <w:rsid w:val="04245B63"/>
    <w:rsid w:val="042E3A1F"/>
    <w:rsid w:val="043229AE"/>
    <w:rsid w:val="043E5100"/>
    <w:rsid w:val="04421B33"/>
    <w:rsid w:val="04460AFF"/>
    <w:rsid w:val="04484D71"/>
    <w:rsid w:val="047C774D"/>
    <w:rsid w:val="047F1C73"/>
    <w:rsid w:val="04986613"/>
    <w:rsid w:val="04B62533"/>
    <w:rsid w:val="04B70785"/>
    <w:rsid w:val="04C133B2"/>
    <w:rsid w:val="04C1427B"/>
    <w:rsid w:val="04C6380B"/>
    <w:rsid w:val="04CD774D"/>
    <w:rsid w:val="05183F1A"/>
    <w:rsid w:val="05353DA0"/>
    <w:rsid w:val="0539563E"/>
    <w:rsid w:val="053B68BC"/>
    <w:rsid w:val="05620FEB"/>
    <w:rsid w:val="056B20F3"/>
    <w:rsid w:val="0571031E"/>
    <w:rsid w:val="057714C1"/>
    <w:rsid w:val="05791A70"/>
    <w:rsid w:val="05896533"/>
    <w:rsid w:val="058C131C"/>
    <w:rsid w:val="058C1C12"/>
    <w:rsid w:val="059E7B97"/>
    <w:rsid w:val="05A11BAC"/>
    <w:rsid w:val="05A50F26"/>
    <w:rsid w:val="05BA0D70"/>
    <w:rsid w:val="05C0447B"/>
    <w:rsid w:val="05DB66F5"/>
    <w:rsid w:val="05DE1D42"/>
    <w:rsid w:val="05E0766C"/>
    <w:rsid w:val="05F45A09"/>
    <w:rsid w:val="05FA2A1A"/>
    <w:rsid w:val="05FF0279"/>
    <w:rsid w:val="06062574"/>
    <w:rsid w:val="06093E43"/>
    <w:rsid w:val="06106186"/>
    <w:rsid w:val="061B656D"/>
    <w:rsid w:val="06222576"/>
    <w:rsid w:val="062865D7"/>
    <w:rsid w:val="06322AAB"/>
    <w:rsid w:val="06341813"/>
    <w:rsid w:val="06345BBB"/>
    <w:rsid w:val="064514DA"/>
    <w:rsid w:val="064A35D0"/>
    <w:rsid w:val="065D6663"/>
    <w:rsid w:val="0660046B"/>
    <w:rsid w:val="066A1F1E"/>
    <w:rsid w:val="067369FB"/>
    <w:rsid w:val="06875F36"/>
    <w:rsid w:val="068D0A84"/>
    <w:rsid w:val="069112CA"/>
    <w:rsid w:val="06930D7E"/>
    <w:rsid w:val="069703BA"/>
    <w:rsid w:val="06C57799"/>
    <w:rsid w:val="06C76316"/>
    <w:rsid w:val="06C92D5A"/>
    <w:rsid w:val="06CC0578"/>
    <w:rsid w:val="06D86978"/>
    <w:rsid w:val="06DF5D71"/>
    <w:rsid w:val="070337A4"/>
    <w:rsid w:val="07036991"/>
    <w:rsid w:val="07097643"/>
    <w:rsid w:val="07143785"/>
    <w:rsid w:val="071E67C4"/>
    <w:rsid w:val="072639A0"/>
    <w:rsid w:val="073F4A62"/>
    <w:rsid w:val="07481270"/>
    <w:rsid w:val="074D53D1"/>
    <w:rsid w:val="0756191C"/>
    <w:rsid w:val="076A180B"/>
    <w:rsid w:val="076C47A9"/>
    <w:rsid w:val="078D3874"/>
    <w:rsid w:val="079468F0"/>
    <w:rsid w:val="079B120C"/>
    <w:rsid w:val="07A7684E"/>
    <w:rsid w:val="07AC013B"/>
    <w:rsid w:val="07BA10F5"/>
    <w:rsid w:val="07BB67DE"/>
    <w:rsid w:val="07BE4341"/>
    <w:rsid w:val="07D442F0"/>
    <w:rsid w:val="07E00C9C"/>
    <w:rsid w:val="07E22674"/>
    <w:rsid w:val="07ED2710"/>
    <w:rsid w:val="07F9321E"/>
    <w:rsid w:val="07FF1CDD"/>
    <w:rsid w:val="08313B80"/>
    <w:rsid w:val="083E11BD"/>
    <w:rsid w:val="084542FA"/>
    <w:rsid w:val="085821DB"/>
    <w:rsid w:val="085B544F"/>
    <w:rsid w:val="085E70A3"/>
    <w:rsid w:val="0862434F"/>
    <w:rsid w:val="08664B5E"/>
    <w:rsid w:val="086A6018"/>
    <w:rsid w:val="08747AEC"/>
    <w:rsid w:val="087921F6"/>
    <w:rsid w:val="088F72E1"/>
    <w:rsid w:val="08C12927"/>
    <w:rsid w:val="08C8551C"/>
    <w:rsid w:val="08CD7790"/>
    <w:rsid w:val="091E489D"/>
    <w:rsid w:val="09322AD0"/>
    <w:rsid w:val="0949606C"/>
    <w:rsid w:val="096B15C8"/>
    <w:rsid w:val="09786095"/>
    <w:rsid w:val="097F0956"/>
    <w:rsid w:val="098026A7"/>
    <w:rsid w:val="098244A7"/>
    <w:rsid w:val="098368C3"/>
    <w:rsid w:val="099A08B5"/>
    <w:rsid w:val="09A5179F"/>
    <w:rsid w:val="09A96E25"/>
    <w:rsid w:val="09B90AFC"/>
    <w:rsid w:val="09BF1E8A"/>
    <w:rsid w:val="09D70DA6"/>
    <w:rsid w:val="09E23546"/>
    <w:rsid w:val="0A0F3905"/>
    <w:rsid w:val="0A102D91"/>
    <w:rsid w:val="0A355EA0"/>
    <w:rsid w:val="0A3D472E"/>
    <w:rsid w:val="0A482EEB"/>
    <w:rsid w:val="0A5F7F8F"/>
    <w:rsid w:val="0A653918"/>
    <w:rsid w:val="0A6E2124"/>
    <w:rsid w:val="0A8777EC"/>
    <w:rsid w:val="0A891C20"/>
    <w:rsid w:val="0AA364AD"/>
    <w:rsid w:val="0AAC0F25"/>
    <w:rsid w:val="0ABB08A3"/>
    <w:rsid w:val="0ADF27E4"/>
    <w:rsid w:val="0AF56886"/>
    <w:rsid w:val="0AF8308E"/>
    <w:rsid w:val="0B016BFE"/>
    <w:rsid w:val="0B1A34E5"/>
    <w:rsid w:val="0B2B3C7B"/>
    <w:rsid w:val="0B42710B"/>
    <w:rsid w:val="0B5059D1"/>
    <w:rsid w:val="0B553428"/>
    <w:rsid w:val="0B6131F9"/>
    <w:rsid w:val="0B7E1DF4"/>
    <w:rsid w:val="0B883F1F"/>
    <w:rsid w:val="0BAB2B32"/>
    <w:rsid w:val="0BBB664F"/>
    <w:rsid w:val="0BC419DA"/>
    <w:rsid w:val="0BD452F2"/>
    <w:rsid w:val="0BE45812"/>
    <w:rsid w:val="0BE53885"/>
    <w:rsid w:val="0BE71C3D"/>
    <w:rsid w:val="0C0C18D2"/>
    <w:rsid w:val="0C254F7A"/>
    <w:rsid w:val="0C3A7178"/>
    <w:rsid w:val="0C43782D"/>
    <w:rsid w:val="0C5556CA"/>
    <w:rsid w:val="0C594C5D"/>
    <w:rsid w:val="0C5965C6"/>
    <w:rsid w:val="0C5B4ED4"/>
    <w:rsid w:val="0C925AC4"/>
    <w:rsid w:val="0C9E401A"/>
    <w:rsid w:val="0CA350DD"/>
    <w:rsid w:val="0CAC044E"/>
    <w:rsid w:val="0CAF0502"/>
    <w:rsid w:val="0CB841CC"/>
    <w:rsid w:val="0CBC3E25"/>
    <w:rsid w:val="0CBF0132"/>
    <w:rsid w:val="0CC06645"/>
    <w:rsid w:val="0CC852E6"/>
    <w:rsid w:val="0CCF6888"/>
    <w:rsid w:val="0CDB0A03"/>
    <w:rsid w:val="0CE25880"/>
    <w:rsid w:val="0CE27DCE"/>
    <w:rsid w:val="0CE5798A"/>
    <w:rsid w:val="0CF462EF"/>
    <w:rsid w:val="0D0201EA"/>
    <w:rsid w:val="0D02609B"/>
    <w:rsid w:val="0D0332A3"/>
    <w:rsid w:val="0D22141A"/>
    <w:rsid w:val="0D337136"/>
    <w:rsid w:val="0D483858"/>
    <w:rsid w:val="0D81478E"/>
    <w:rsid w:val="0D862FC8"/>
    <w:rsid w:val="0D8A2FED"/>
    <w:rsid w:val="0D940C01"/>
    <w:rsid w:val="0D996F38"/>
    <w:rsid w:val="0D9E6986"/>
    <w:rsid w:val="0DA4187D"/>
    <w:rsid w:val="0DAB4CA3"/>
    <w:rsid w:val="0DAC2D80"/>
    <w:rsid w:val="0DBA6115"/>
    <w:rsid w:val="0DBB7938"/>
    <w:rsid w:val="0DBD3B77"/>
    <w:rsid w:val="0DC01F09"/>
    <w:rsid w:val="0DC24E06"/>
    <w:rsid w:val="0DCA29A0"/>
    <w:rsid w:val="0DD208F0"/>
    <w:rsid w:val="0DDC7AB4"/>
    <w:rsid w:val="0DE73F9D"/>
    <w:rsid w:val="0E033F8B"/>
    <w:rsid w:val="0E05748E"/>
    <w:rsid w:val="0E0E0ABB"/>
    <w:rsid w:val="0E156855"/>
    <w:rsid w:val="0E180AFA"/>
    <w:rsid w:val="0E1E1689"/>
    <w:rsid w:val="0E361188"/>
    <w:rsid w:val="0E3C4511"/>
    <w:rsid w:val="0E434CA2"/>
    <w:rsid w:val="0E452056"/>
    <w:rsid w:val="0E821B22"/>
    <w:rsid w:val="0E90419B"/>
    <w:rsid w:val="0EAA4EB7"/>
    <w:rsid w:val="0EAA7A46"/>
    <w:rsid w:val="0EB151DA"/>
    <w:rsid w:val="0EBA1FBA"/>
    <w:rsid w:val="0EBD5965"/>
    <w:rsid w:val="0EC40B28"/>
    <w:rsid w:val="0ED270CE"/>
    <w:rsid w:val="0EE30765"/>
    <w:rsid w:val="0EE875CA"/>
    <w:rsid w:val="0EEF3211"/>
    <w:rsid w:val="0F033BBE"/>
    <w:rsid w:val="0F075BB4"/>
    <w:rsid w:val="0F0B71C2"/>
    <w:rsid w:val="0F16254C"/>
    <w:rsid w:val="0F2904D1"/>
    <w:rsid w:val="0F2E527C"/>
    <w:rsid w:val="0F333973"/>
    <w:rsid w:val="0F36499C"/>
    <w:rsid w:val="0F6C03BE"/>
    <w:rsid w:val="0F775D3E"/>
    <w:rsid w:val="0F7811AE"/>
    <w:rsid w:val="0F8B17F6"/>
    <w:rsid w:val="0FA270B4"/>
    <w:rsid w:val="0FAB006A"/>
    <w:rsid w:val="0FB10A42"/>
    <w:rsid w:val="0FC24B2A"/>
    <w:rsid w:val="0FDA17CC"/>
    <w:rsid w:val="0FE53F92"/>
    <w:rsid w:val="0FE90290"/>
    <w:rsid w:val="0FF90BC3"/>
    <w:rsid w:val="0FFC7697"/>
    <w:rsid w:val="100F5919"/>
    <w:rsid w:val="101D770B"/>
    <w:rsid w:val="101E7BF6"/>
    <w:rsid w:val="10246EEB"/>
    <w:rsid w:val="10362DC0"/>
    <w:rsid w:val="103750DB"/>
    <w:rsid w:val="103A6D61"/>
    <w:rsid w:val="104E60CE"/>
    <w:rsid w:val="105B5D71"/>
    <w:rsid w:val="106612B1"/>
    <w:rsid w:val="107069BA"/>
    <w:rsid w:val="10762B40"/>
    <w:rsid w:val="1099323E"/>
    <w:rsid w:val="109B53FF"/>
    <w:rsid w:val="10AA3894"/>
    <w:rsid w:val="10AD4E1F"/>
    <w:rsid w:val="10C8771B"/>
    <w:rsid w:val="10E2584A"/>
    <w:rsid w:val="10F770B9"/>
    <w:rsid w:val="10F9096F"/>
    <w:rsid w:val="11045EE1"/>
    <w:rsid w:val="110C12EC"/>
    <w:rsid w:val="11186A50"/>
    <w:rsid w:val="11275806"/>
    <w:rsid w:val="11337646"/>
    <w:rsid w:val="1152799A"/>
    <w:rsid w:val="11553800"/>
    <w:rsid w:val="115820C3"/>
    <w:rsid w:val="116339D1"/>
    <w:rsid w:val="116972AB"/>
    <w:rsid w:val="1170063A"/>
    <w:rsid w:val="117E55AC"/>
    <w:rsid w:val="118C6962"/>
    <w:rsid w:val="11910B2A"/>
    <w:rsid w:val="11B60016"/>
    <w:rsid w:val="11BD1BAD"/>
    <w:rsid w:val="11C22644"/>
    <w:rsid w:val="11C73FD2"/>
    <w:rsid w:val="11C90F52"/>
    <w:rsid w:val="11D1624A"/>
    <w:rsid w:val="11D53180"/>
    <w:rsid w:val="11DB182B"/>
    <w:rsid w:val="11EA5F58"/>
    <w:rsid w:val="11F84BB9"/>
    <w:rsid w:val="12144AEB"/>
    <w:rsid w:val="12185560"/>
    <w:rsid w:val="121B783C"/>
    <w:rsid w:val="12213A4B"/>
    <w:rsid w:val="12266F4A"/>
    <w:rsid w:val="122E4051"/>
    <w:rsid w:val="12307DC9"/>
    <w:rsid w:val="1246013E"/>
    <w:rsid w:val="125A4E46"/>
    <w:rsid w:val="125B775D"/>
    <w:rsid w:val="12656690"/>
    <w:rsid w:val="126D4B79"/>
    <w:rsid w:val="126F08F1"/>
    <w:rsid w:val="12712954"/>
    <w:rsid w:val="127B1AF0"/>
    <w:rsid w:val="127D5172"/>
    <w:rsid w:val="12843C71"/>
    <w:rsid w:val="12872C68"/>
    <w:rsid w:val="1288550F"/>
    <w:rsid w:val="129C457B"/>
    <w:rsid w:val="12A01767"/>
    <w:rsid w:val="12A41E2E"/>
    <w:rsid w:val="12AD0562"/>
    <w:rsid w:val="12C05ED5"/>
    <w:rsid w:val="12C5502F"/>
    <w:rsid w:val="12CE0BB5"/>
    <w:rsid w:val="12D47F8E"/>
    <w:rsid w:val="12DE2F04"/>
    <w:rsid w:val="12E6250F"/>
    <w:rsid w:val="12EF1689"/>
    <w:rsid w:val="12F80CC7"/>
    <w:rsid w:val="13001549"/>
    <w:rsid w:val="130A1D43"/>
    <w:rsid w:val="1311486C"/>
    <w:rsid w:val="13124658"/>
    <w:rsid w:val="13134ACB"/>
    <w:rsid w:val="13191A65"/>
    <w:rsid w:val="13257202"/>
    <w:rsid w:val="132C67E2"/>
    <w:rsid w:val="133308DE"/>
    <w:rsid w:val="13367661"/>
    <w:rsid w:val="133B6A25"/>
    <w:rsid w:val="133E24DD"/>
    <w:rsid w:val="133E63BF"/>
    <w:rsid w:val="13573AC8"/>
    <w:rsid w:val="135E5661"/>
    <w:rsid w:val="136C36A0"/>
    <w:rsid w:val="13853604"/>
    <w:rsid w:val="138949F9"/>
    <w:rsid w:val="13915EB9"/>
    <w:rsid w:val="139F4E30"/>
    <w:rsid w:val="139F5206"/>
    <w:rsid w:val="13AC7923"/>
    <w:rsid w:val="13BC1711"/>
    <w:rsid w:val="13CF248D"/>
    <w:rsid w:val="13E36F2F"/>
    <w:rsid w:val="13EE5137"/>
    <w:rsid w:val="13FA41EA"/>
    <w:rsid w:val="140275A9"/>
    <w:rsid w:val="140C37B9"/>
    <w:rsid w:val="14107DCD"/>
    <w:rsid w:val="14182A2A"/>
    <w:rsid w:val="141E22E5"/>
    <w:rsid w:val="141F1EA3"/>
    <w:rsid w:val="1424321C"/>
    <w:rsid w:val="142E6F34"/>
    <w:rsid w:val="143F0CC5"/>
    <w:rsid w:val="145558C5"/>
    <w:rsid w:val="145E6E6F"/>
    <w:rsid w:val="147D4F92"/>
    <w:rsid w:val="1485084F"/>
    <w:rsid w:val="14897C91"/>
    <w:rsid w:val="148A2C9A"/>
    <w:rsid w:val="14935A4E"/>
    <w:rsid w:val="14AB450A"/>
    <w:rsid w:val="14B94A0A"/>
    <w:rsid w:val="14BA1BA8"/>
    <w:rsid w:val="14BC1DE8"/>
    <w:rsid w:val="14BF2D3F"/>
    <w:rsid w:val="14C10B1B"/>
    <w:rsid w:val="14C21E3B"/>
    <w:rsid w:val="14D7452C"/>
    <w:rsid w:val="14E530ED"/>
    <w:rsid w:val="14EC51E3"/>
    <w:rsid w:val="14ED5843"/>
    <w:rsid w:val="15032920"/>
    <w:rsid w:val="151439D2"/>
    <w:rsid w:val="151A411A"/>
    <w:rsid w:val="151B65FC"/>
    <w:rsid w:val="151D251E"/>
    <w:rsid w:val="152A4FA3"/>
    <w:rsid w:val="152E409F"/>
    <w:rsid w:val="153328BD"/>
    <w:rsid w:val="153E5E21"/>
    <w:rsid w:val="153F568C"/>
    <w:rsid w:val="15542020"/>
    <w:rsid w:val="15712BD2"/>
    <w:rsid w:val="157D344D"/>
    <w:rsid w:val="1582093B"/>
    <w:rsid w:val="15830FE0"/>
    <w:rsid w:val="158703BA"/>
    <w:rsid w:val="15894CE1"/>
    <w:rsid w:val="158E5532"/>
    <w:rsid w:val="158F3058"/>
    <w:rsid w:val="159D39C7"/>
    <w:rsid w:val="15CB1E48"/>
    <w:rsid w:val="15D27CC6"/>
    <w:rsid w:val="15D95D65"/>
    <w:rsid w:val="15EC1E07"/>
    <w:rsid w:val="15F66544"/>
    <w:rsid w:val="160C46A9"/>
    <w:rsid w:val="16296B24"/>
    <w:rsid w:val="162E461F"/>
    <w:rsid w:val="16314110"/>
    <w:rsid w:val="163C4C29"/>
    <w:rsid w:val="16465E0D"/>
    <w:rsid w:val="164E6A70"/>
    <w:rsid w:val="165764A9"/>
    <w:rsid w:val="165A3F0C"/>
    <w:rsid w:val="165D428C"/>
    <w:rsid w:val="1674502D"/>
    <w:rsid w:val="1682657E"/>
    <w:rsid w:val="16827510"/>
    <w:rsid w:val="16931292"/>
    <w:rsid w:val="169C0F78"/>
    <w:rsid w:val="16BB3429"/>
    <w:rsid w:val="16D725CF"/>
    <w:rsid w:val="16D74A36"/>
    <w:rsid w:val="16E573D4"/>
    <w:rsid w:val="16EF70D4"/>
    <w:rsid w:val="16F13FCB"/>
    <w:rsid w:val="16F97785"/>
    <w:rsid w:val="1700420E"/>
    <w:rsid w:val="170A3ED8"/>
    <w:rsid w:val="170D5CC4"/>
    <w:rsid w:val="171412DF"/>
    <w:rsid w:val="17141991"/>
    <w:rsid w:val="17167ACC"/>
    <w:rsid w:val="17215F32"/>
    <w:rsid w:val="172D2B29"/>
    <w:rsid w:val="17372CF8"/>
    <w:rsid w:val="175761FF"/>
    <w:rsid w:val="175A569D"/>
    <w:rsid w:val="175C045F"/>
    <w:rsid w:val="177C42CE"/>
    <w:rsid w:val="177D5F83"/>
    <w:rsid w:val="17956A47"/>
    <w:rsid w:val="17AA5BEB"/>
    <w:rsid w:val="17B62B1E"/>
    <w:rsid w:val="17C52AFB"/>
    <w:rsid w:val="17CC0594"/>
    <w:rsid w:val="17EC02EE"/>
    <w:rsid w:val="17FB2C27"/>
    <w:rsid w:val="18145A0D"/>
    <w:rsid w:val="18163111"/>
    <w:rsid w:val="18185587"/>
    <w:rsid w:val="1819154B"/>
    <w:rsid w:val="183D6854"/>
    <w:rsid w:val="1862727E"/>
    <w:rsid w:val="18930AC2"/>
    <w:rsid w:val="18A92683"/>
    <w:rsid w:val="18B232E6"/>
    <w:rsid w:val="18B31317"/>
    <w:rsid w:val="18B36492"/>
    <w:rsid w:val="18CA2B7F"/>
    <w:rsid w:val="18D05E62"/>
    <w:rsid w:val="18D33CA4"/>
    <w:rsid w:val="19000E9A"/>
    <w:rsid w:val="190E112B"/>
    <w:rsid w:val="19103042"/>
    <w:rsid w:val="19173A91"/>
    <w:rsid w:val="192166BD"/>
    <w:rsid w:val="192E3215"/>
    <w:rsid w:val="193F3921"/>
    <w:rsid w:val="194B7357"/>
    <w:rsid w:val="194D0C0F"/>
    <w:rsid w:val="19510D51"/>
    <w:rsid w:val="1960649E"/>
    <w:rsid w:val="196A3BC0"/>
    <w:rsid w:val="196B6713"/>
    <w:rsid w:val="196C5B8A"/>
    <w:rsid w:val="197D395D"/>
    <w:rsid w:val="19831DCC"/>
    <w:rsid w:val="198A065A"/>
    <w:rsid w:val="199B6790"/>
    <w:rsid w:val="19A364CF"/>
    <w:rsid w:val="19B4308D"/>
    <w:rsid w:val="19C31523"/>
    <w:rsid w:val="19C33487"/>
    <w:rsid w:val="19C86B39"/>
    <w:rsid w:val="19C94420"/>
    <w:rsid w:val="19DA2BE1"/>
    <w:rsid w:val="19E05346"/>
    <w:rsid w:val="19FD105D"/>
    <w:rsid w:val="1A02204B"/>
    <w:rsid w:val="1A0C111B"/>
    <w:rsid w:val="1A1136AE"/>
    <w:rsid w:val="1A132F57"/>
    <w:rsid w:val="1A1520AE"/>
    <w:rsid w:val="1A275223"/>
    <w:rsid w:val="1A2771D6"/>
    <w:rsid w:val="1A331C30"/>
    <w:rsid w:val="1A336C1E"/>
    <w:rsid w:val="1A367F46"/>
    <w:rsid w:val="1A3D12D5"/>
    <w:rsid w:val="1A4E5A90"/>
    <w:rsid w:val="1A570B02"/>
    <w:rsid w:val="1A5C123E"/>
    <w:rsid w:val="1A607DD7"/>
    <w:rsid w:val="1A6D284D"/>
    <w:rsid w:val="1A7673F8"/>
    <w:rsid w:val="1A8667BD"/>
    <w:rsid w:val="1A8B200C"/>
    <w:rsid w:val="1A956CF1"/>
    <w:rsid w:val="1A9E31DD"/>
    <w:rsid w:val="1A9E44A3"/>
    <w:rsid w:val="1AA141FF"/>
    <w:rsid w:val="1AA17AB6"/>
    <w:rsid w:val="1AA42D85"/>
    <w:rsid w:val="1AA77BC7"/>
    <w:rsid w:val="1AAC69B5"/>
    <w:rsid w:val="1AAE7B07"/>
    <w:rsid w:val="1AAF7C6D"/>
    <w:rsid w:val="1ABE0417"/>
    <w:rsid w:val="1AC436A6"/>
    <w:rsid w:val="1ACC581E"/>
    <w:rsid w:val="1AD3193F"/>
    <w:rsid w:val="1AD627EF"/>
    <w:rsid w:val="1AE479A2"/>
    <w:rsid w:val="1AF079B3"/>
    <w:rsid w:val="1AF5570C"/>
    <w:rsid w:val="1AFA6A9C"/>
    <w:rsid w:val="1AFC2BE9"/>
    <w:rsid w:val="1AFD2812"/>
    <w:rsid w:val="1B131612"/>
    <w:rsid w:val="1B487750"/>
    <w:rsid w:val="1B55031D"/>
    <w:rsid w:val="1B707488"/>
    <w:rsid w:val="1B7A0AA9"/>
    <w:rsid w:val="1B8F4A8D"/>
    <w:rsid w:val="1BAA299A"/>
    <w:rsid w:val="1BAD2058"/>
    <w:rsid w:val="1BB65A6F"/>
    <w:rsid w:val="1BE83F4F"/>
    <w:rsid w:val="1C0302FC"/>
    <w:rsid w:val="1C142509"/>
    <w:rsid w:val="1C1F16EE"/>
    <w:rsid w:val="1C1F6B10"/>
    <w:rsid w:val="1C221F2A"/>
    <w:rsid w:val="1C2344FA"/>
    <w:rsid w:val="1C286643"/>
    <w:rsid w:val="1C47468D"/>
    <w:rsid w:val="1C556B51"/>
    <w:rsid w:val="1C5B6314"/>
    <w:rsid w:val="1C69492B"/>
    <w:rsid w:val="1C7A7B16"/>
    <w:rsid w:val="1C7B644A"/>
    <w:rsid w:val="1C7B72F8"/>
    <w:rsid w:val="1C7F10E3"/>
    <w:rsid w:val="1C837694"/>
    <w:rsid w:val="1C927A29"/>
    <w:rsid w:val="1C9F39A1"/>
    <w:rsid w:val="1C9F475A"/>
    <w:rsid w:val="1CA308FE"/>
    <w:rsid w:val="1CAC44F0"/>
    <w:rsid w:val="1CBF5FD1"/>
    <w:rsid w:val="1CCD27DE"/>
    <w:rsid w:val="1CD25DDB"/>
    <w:rsid w:val="1CD81161"/>
    <w:rsid w:val="1CDD0B4D"/>
    <w:rsid w:val="1CE0656D"/>
    <w:rsid w:val="1CE855C9"/>
    <w:rsid w:val="1CE974F2"/>
    <w:rsid w:val="1CFD2F9D"/>
    <w:rsid w:val="1D061B33"/>
    <w:rsid w:val="1D0924B1"/>
    <w:rsid w:val="1D0B425E"/>
    <w:rsid w:val="1D1E3B96"/>
    <w:rsid w:val="1D21173D"/>
    <w:rsid w:val="1D3A5FA0"/>
    <w:rsid w:val="1D444728"/>
    <w:rsid w:val="1D4A3A19"/>
    <w:rsid w:val="1D4A5B59"/>
    <w:rsid w:val="1D4C05C7"/>
    <w:rsid w:val="1D50131F"/>
    <w:rsid w:val="1D5255A7"/>
    <w:rsid w:val="1D6645D6"/>
    <w:rsid w:val="1D6E23AC"/>
    <w:rsid w:val="1D7023BC"/>
    <w:rsid w:val="1D7F2BF3"/>
    <w:rsid w:val="1D845CE8"/>
    <w:rsid w:val="1D89551A"/>
    <w:rsid w:val="1D8B67FB"/>
    <w:rsid w:val="1DA23326"/>
    <w:rsid w:val="1DAB37E2"/>
    <w:rsid w:val="1DBB1717"/>
    <w:rsid w:val="1DCB2F5B"/>
    <w:rsid w:val="1DDC7057"/>
    <w:rsid w:val="1DF121A2"/>
    <w:rsid w:val="1E0565AE"/>
    <w:rsid w:val="1E1124CF"/>
    <w:rsid w:val="1E192DF2"/>
    <w:rsid w:val="1E1C5753"/>
    <w:rsid w:val="1E1E31CB"/>
    <w:rsid w:val="1E210532"/>
    <w:rsid w:val="1E221057"/>
    <w:rsid w:val="1E23318F"/>
    <w:rsid w:val="1E3C1E8E"/>
    <w:rsid w:val="1E3C6829"/>
    <w:rsid w:val="1E3F1E9B"/>
    <w:rsid w:val="1E450758"/>
    <w:rsid w:val="1E4918BD"/>
    <w:rsid w:val="1E5135A1"/>
    <w:rsid w:val="1E5D5BA1"/>
    <w:rsid w:val="1E606CD7"/>
    <w:rsid w:val="1E635A1F"/>
    <w:rsid w:val="1E6B7566"/>
    <w:rsid w:val="1E783EF3"/>
    <w:rsid w:val="1E82375A"/>
    <w:rsid w:val="1E8528CF"/>
    <w:rsid w:val="1E8A0C48"/>
    <w:rsid w:val="1E903CEC"/>
    <w:rsid w:val="1E91399D"/>
    <w:rsid w:val="1E957931"/>
    <w:rsid w:val="1EC37D91"/>
    <w:rsid w:val="1EC82BD1"/>
    <w:rsid w:val="1ECA7392"/>
    <w:rsid w:val="1ECE699F"/>
    <w:rsid w:val="1ECE79DD"/>
    <w:rsid w:val="1EE77A61"/>
    <w:rsid w:val="1EFD2393"/>
    <w:rsid w:val="1F110314"/>
    <w:rsid w:val="1F2C36C6"/>
    <w:rsid w:val="1F2E64B0"/>
    <w:rsid w:val="1F331BA6"/>
    <w:rsid w:val="1F3360E0"/>
    <w:rsid w:val="1F38206B"/>
    <w:rsid w:val="1F3B1407"/>
    <w:rsid w:val="1F404DD2"/>
    <w:rsid w:val="1F4648B3"/>
    <w:rsid w:val="1F500E1F"/>
    <w:rsid w:val="1F5C21FD"/>
    <w:rsid w:val="1F6F3700"/>
    <w:rsid w:val="1F725A16"/>
    <w:rsid w:val="1F78274B"/>
    <w:rsid w:val="1F7D3F22"/>
    <w:rsid w:val="1F937D4E"/>
    <w:rsid w:val="1FC72E8E"/>
    <w:rsid w:val="1FD03E69"/>
    <w:rsid w:val="1FD06EA3"/>
    <w:rsid w:val="1FD97095"/>
    <w:rsid w:val="1FE110D8"/>
    <w:rsid w:val="1FEE56C8"/>
    <w:rsid w:val="1FF044EA"/>
    <w:rsid w:val="1FF74D8F"/>
    <w:rsid w:val="2011123A"/>
    <w:rsid w:val="20142AD8"/>
    <w:rsid w:val="202B4E35"/>
    <w:rsid w:val="2043516B"/>
    <w:rsid w:val="204F1D62"/>
    <w:rsid w:val="204F50E3"/>
    <w:rsid w:val="20740615"/>
    <w:rsid w:val="20791657"/>
    <w:rsid w:val="207C6D58"/>
    <w:rsid w:val="208C3A33"/>
    <w:rsid w:val="20B028B9"/>
    <w:rsid w:val="20B82C45"/>
    <w:rsid w:val="20B83463"/>
    <w:rsid w:val="20CC30EE"/>
    <w:rsid w:val="20D47DCE"/>
    <w:rsid w:val="20D51E07"/>
    <w:rsid w:val="20D9164A"/>
    <w:rsid w:val="20DA5073"/>
    <w:rsid w:val="20DA5ACF"/>
    <w:rsid w:val="20E22BD6"/>
    <w:rsid w:val="20E45483"/>
    <w:rsid w:val="20E8307A"/>
    <w:rsid w:val="20F82C6C"/>
    <w:rsid w:val="20FA0A99"/>
    <w:rsid w:val="20FE18B0"/>
    <w:rsid w:val="2107361C"/>
    <w:rsid w:val="210E6EDF"/>
    <w:rsid w:val="211C60E8"/>
    <w:rsid w:val="211F239D"/>
    <w:rsid w:val="212925B3"/>
    <w:rsid w:val="212A1E87"/>
    <w:rsid w:val="212E1977"/>
    <w:rsid w:val="213673FE"/>
    <w:rsid w:val="214E5B76"/>
    <w:rsid w:val="215B0293"/>
    <w:rsid w:val="21676E41"/>
    <w:rsid w:val="216D0BA0"/>
    <w:rsid w:val="217537B9"/>
    <w:rsid w:val="2188552B"/>
    <w:rsid w:val="218F4F15"/>
    <w:rsid w:val="21924322"/>
    <w:rsid w:val="219E4D4F"/>
    <w:rsid w:val="21A13B19"/>
    <w:rsid w:val="21AF0D0A"/>
    <w:rsid w:val="21CC6CC6"/>
    <w:rsid w:val="21D0786F"/>
    <w:rsid w:val="21E408A9"/>
    <w:rsid w:val="21EC1864"/>
    <w:rsid w:val="21EF3EC7"/>
    <w:rsid w:val="21F204F5"/>
    <w:rsid w:val="21FF50C2"/>
    <w:rsid w:val="220041D9"/>
    <w:rsid w:val="220A5F40"/>
    <w:rsid w:val="220B3CA8"/>
    <w:rsid w:val="22123047"/>
    <w:rsid w:val="22141AFD"/>
    <w:rsid w:val="22361059"/>
    <w:rsid w:val="2238523E"/>
    <w:rsid w:val="223E28C7"/>
    <w:rsid w:val="22435553"/>
    <w:rsid w:val="224C45D7"/>
    <w:rsid w:val="227331B1"/>
    <w:rsid w:val="227D2BB6"/>
    <w:rsid w:val="229E7CD7"/>
    <w:rsid w:val="22A53EBB"/>
    <w:rsid w:val="22B57049"/>
    <w:rsid w:val="22CC1448"/>
    <w:rsid w:val="22F22FE5"/>
    <w:rsid w:val="230633CA"/>
    <w:rsid w:val="230C1041"/>
    <w:rsid w:val="230F0CBA"/>
    <w:rsid w:val="23163D80"/>
    <w:rsid w:val="231D7E1D"/>
    <w:rsid w:val="232667AF"/>
    <w:rsid w:val="232C1EE7"/>
    <w:rsid w:val="233645BC"/>
    <w:rsid w:val="2344756C"/>
    <w:rsid w:val="23494ECF"/>
    <w:rsid w:val="234E4979"/>
    <w:rsid w:val="23512FFE"/>
    <w:rsid w:val="23542AC1"/>
    <w:rsid w:val="235B506A"/>
    <w:rsid w:val="236203FB"/>
    <w:rsid w:val="23645B24"/>
    <w:rsid w:val="236D42CA"/>
    <w:rsid w:val="237613B4"/>
    <w:rsid w:val="238910E7"/>
    <w:rsid w:val="239A1546"/>
    <w:rsid w:val="23B1211E"/>
    <w:rsid w:val="23B62A62"/>
    <w:rsid w:val="23D039F6"/>
    <w:rsid w:val="23D20CE0"/>
    <w:rsid w:val="23D51059"/>
    <w:rsid w:val="23DB4530"/>
    <w:rsid w:val="23EB7FF4"/>
    <w:rsid w:val="23F43032"/>
    <w:rsid w:val="23FA133C"/>
    <w:rsid w:val="240B5FA0"/>
    <w:rsid w:val="24100849"/>
    <w:rsid w:val="24116CB2"/>
    <w:rsid w:val="24122984"/>
    <w:rsid w:val="2412732E"/>
    <w:rsid w:val="24194B61"/>
    <w:rsid w:val="242F6132"/>
    <w:rsid w:val="24336E73"/>
    <w:rsid w:val="243B6690"/>
    <w:rsid w:val="244C4E24"/>
    <w:rsid w:val="24594D37"/>
    <w:rsid w:val="245C4A4D"/>
    <w:rsid w:val="24635A19"/>
    <w:rsid w:val="2480073C"/>
    <w:rsid w:val="24850BE6"/>
    <w:rsid w:val="249C779D"/>
    <w:rsid w:val="24B16B47"/>
    <w:rsid w:val="24D25EE9"/>
    <w:rsid w:val="24D32F62"/>
    <w:rsid w:val="24D61CD0"/>
    <w:rsid w:val="24DC16EA"/>
    <w:rsid w:val="24E64719"/>
    <w:rsid w:val="24EE3D24"/>
    <w:rsid w:val="250467D9"/>
    <w:rsid w:val="250A44A9"/>
    <w:rsid w:val="250A5253"/>
    <w:rsid w:val="251D3FC0"/>
    <w:rsid w:val="25254322"/>
    <w:rsid w:val="25261647"/>
    <w:rsid w:val="25275183"/>
    <w:rsid w:val="25381CE0"/>
    <w:rsid w:val="253B0B07"/>
    <w:rsid w:val="253D2630"/>
    <w:rsid w:val="25467197"/>
    <w:rsid w:val="254774AC"/>
    <w:rsid w:val="2563762C"/>
    <w:rsid w:val="257007B0"/>
    <w:rsid w:val="257A093C"/>
    <w:rsid w:val="257D2ECD"/>
    <w:rsid w:val="25821466"/>
    <w:rsid w:val="25842805"/>
    <w:rsid w:val="25965391"/>
    <w:rsid w:val="25A53853"/>
    <w:rsid w:val="25A6572B"/>
    <w:rsid w:val="25AE3087"/>
    <w:rsid w:val="25BC6855"/>
    <w:rsid w:val="25C52C92"/>
    <w:rsid w:val="25EC2454"/>
    <w:rsid w:val="25EE5B79"/>
    <w:rsid w:val="261E6BA2"/>
    <w:rsid w:val="263712CE"/>
    <w:rsid w:val="26385E8A"/>
    <w:rsid w:val="263E265D"/>
    <w:rsid w:val="26607A60"/>
    <w:rsid w:val="266D4CF0"/>
    <w:rsid w:val="26773DC1"/>
    <w:rsid w:val="26793695"/>
    <w:rsid w:val="267F0FB7"/>
    <w:rsid w:val="268931AA"/>
    <w:rsid w:val="269F41B3"/>
    <w:rsid w:val="26B90639"/>
    <w:rsid w:val="26C443E1"/>
    <w:rsid w:val="26CD1C32"/>
    <w:rsid w:val="26D0702D"/>
    <w:rsid w:val="26DD00C8"/>
    <w:rsid w:val="26DF742E"/>
    <w:rsid w:val="270A253F"/>
    <w:rsid w:val="270C4FC5"/>
    <w:rsid w:val="27127645"/>
    <w:rsid w:val="271D48AB"/>
    <w:rsid w:val="272301A4"/>
    <w:rsid w:val="27244E5A"/>
    <w:rsid w:val="273121F9"/>
    <w:rsid w:val="27354EC1"/>
    <w:rsid w:val="273B34AE"/>
    <w:rsid w:val="274C4E88"/>
    <w:rsid w:val="274E0EEF"/>
    <w:rsid w:val="2755492F"/>
    <w:rsid w:val="276F5D75"/>
    <w:rsid w:val="276F6846"/>
    <w:rsid w:val="2789707B"/>
    <w:rsid w:val="278D3D61"/>
    <w:rsid w:val="2791112C"/>
    <w:rsid w:val="279679E3"/>
    <w:rsid w:val="27B70919"/>
    <w:rsid w:val="27BD1CA7"/>
    <w:rsid w:val="27C313CD"/>
    <w:rsid w:val="27C61578"/>
    <w:rsid w:val="27CB7F20"/>
    <w:rsid w:val="27DB6949"/>
    <w:rsid w:val="27DD762A"/>
    <w:rsid w:val="27ED7B74"/>
    <w:rsid w:val="27FB46DA"/>
    <w:rsid w:val="283D6944"/>
    <w:rsid w:val="28427C92"/>
    <w:rsid w:val="284F17D4"/>
    <w:rsid w:val="28575047"/>
    <w:rsid w:val="288307FB"/>
    <w:rsid w:val="288376B0"/>
    <w:rsid w:val="288E20B9"/>
    <w:rsid w:val="28B62261"/>
    <w:rsid w:val="28BF73A1"/>
    <w:rsid w:val="28C37F0F"/>
    <w:rsid w:val="28E61013"/>
    <w:rsid w:val="28F12CF2"/>
    <w:rsid w:val="28F827CB"/>
    <w:rsid w:val="28F90ABD"/>
    <w:rsid w:val="28FB2A87"/>
    <w:rsid w:val="29143B49"/>
    <w:rsid w:val="292B0388"/>
    <w:rsid w:val="292E2EDE"/>
    <w:rsid w:val="293427AA"/>
    <w:rsid w:val="293F5790"/>
    <w:rsid w:val="29512576"/>
    <w:rsid w:val="29514455"/>
    <w:rsid w:val="2952220B"/>
    <w:rsid w:val="29593727"/>
    <w:rsid w:val="296070AC"/>
    <w:rsid w:val="29696464"/>
    <w:rsid w:val="297445E7"/>
    <w:rsid w:val="297F67EF"/>
    <w:rsid w:val="298C36DF"/>
    <w:rsid w:val="299010C2"/>
    <w:rsid w:val="29997556"/>
    <w:rsid w:val="29AD4EDD"/>
    <w:rsid w:val="29CC761E"/>
    <w:rsid w:val="29DE0E87"/>
    <w:rsid w:val="29E05449"/>
    <w:rsid w:val="29EE3795"/>
    <w:rsid w:val="29F13DA9"/>
    <w:rsid w:val="2A056A4F"/>
    <w:rsid w:val="2A4309BE"/>
    <w:rsid w:val="2A502FEB"/>
    <w:rsid w:val="2A596352"/>
    <w:rsid w:val="2A694DA5"/>
    <w:rsid w:val="2A8B37C2"/>
    <w:rsid w:val="2AA13507"/>
    <w:rsid w:val="2AB71864"/>
    <w:rsid w:val="2ABA427C"/>
    <w:rsid w:val="2AD40BD1"/>
    <w:rsid w:val="2AD551AF"/>
    <w:rsid w:val="2AD9612A"/>
    <w:rsid w:val="2AE24705"/>
    <w:rsid w:val="2AF23A16"/>
    <w:rsid w:val="2AF75AE0"/>
    <w:rsid w:val="2AF91248"/>
    <w:rsid w:val="2B081734"/>
    <w:rsid w:val="2B09317D"/>
    <w:rsid w:val="2B116592"/>
    <w:rsid w:val="2B181536"/>
    <w:rsid w:val="2B2C6BA2"/>
    <w:rsid w:val="2B341EF0"/>
    <w:rsid w:val="2B3D4992"/>
    <w:rsid w:val="2B3D7387"/>
    <w:rsid w:val="2B4C75CA"/>
    <w:rsid w:val="2B5B15BB"/>
    <w:rsid w:val="2B634FBD"/>
    <w:rsid w:val="2B764647"/>
    <w:rsid w:val="2B793AD0"/>
    <w:rsid w:val="2B830CED"/>
    <w:rsid w:val="2B842DE8"/>
    <w:rsid w:val="2B8815F9"/>
    <w:rsid w:val="2B8F1669"/>
    <w:rsid w:val="2B960AC3"/>
    <w:rsid w:val="2B9C3BC7"/>
    <w:rsid w:val="2BA22524"/>
    <w:rsid w:val="2BA75E7D"/>
    <w:rsid w:val="2BAE2033"/>
    <w:rsid w:val="2BBD4024"/>
    <w:rsid w:val="2BCA6741"/>
    <w:rsid w:val="2BDD1F05"/>
    <w:rsid w:val="2BDF043E"/>
    <w:rsid w:val="2BEE68D3"/>
    <w:rsid w:val="2C091017"/>
    <w:rsid w:val="2C181352"/>
    <w:rsid w:val="2C210A56"/>
    <w:rsid w:val="2C22657D"/>
    <w:rsid w:val="2C2E0D4E"/>
    <w:rsid w:val="2C2E1BA9"/>
    <w:rsid w:val="2C31056E"/>
    <w:rsid w:val="2C336597"/>
    <w:rsid w:val="2C432C8D"/>
    <w:rsid w:val="2C493B09"/>
    <w:rsid w:val="2C5A7AC4"/>
    <w:rsid w:val="2C66290D"/>
    <w:rsid w:val="2C703257"/>
    <w:rsid w:val="2C710EE2"/>
    <w:rsid w:val="2C797E8C"/>
    <w:rsid w:val="2C821B92"/>
    <w:rsid w:val="2C895EB5"/>
    <w:rsid w:val="2C981092"/>
    <w:rsid w:val="2C9D3A89"/>
    <w:rsid w:val="2CA45E23"/>
    <w:rsid w:val="2CB2345D"/>
    <w:rsid w:val="2CB92402"/>
    <w:rsid w:val="2CC82306"/>
    <w:rsid w:val="2CEC5E40"/>
    <w:rsid w:val="2D061DEB"/>
    <w:rsid w:val="2D0B6A5D"/>
    <w:rsid w:val="2D0F525B"/>
    <w:rsid w:val="2D123224"/>
    <w:rsid w:val="2D2D1B91"/>
    <w:rsid w:val="2D455999"/>
    <w:rsid w:val="2D4C0AA8"/>
    <w:rsid w:val="2D560DCD"/>
    <w:rsid w:val="2D8A7EAC"/>
    <w:rsid w:val="2D9E7E85"/>
    <w:rsid w:val="2DA326E8"/>
    <w:rsid w:val="2DB15942"/>
    <w:rsid w:val="2DBB27E5"/>
    <w:rsid w:val="2DC1265E"/>
    <w:rsid w:val="2DC27F9F"/>
    <w:rsid w:val="2DCC46A5"/>
    <w:rsid w:val="2DDB312F"/>
    <w:rsid w:val="2DEA3ADD"/>
    <w:rsid w:val="2DEC6E42"/>
    <w:rsid w:val="2E060D0E"/>
    <w:rsid w:val="2E0C4DEE"/>
    <w:rsid w:val="2E144526"/>
    <w:rsid w:val="2E1562CD"/>
    <w:rsid w:val="2E230AA6"/>
    <w:rsid w:val="2E262354"/>
    <w:rsid w:val="2E2843FB"/>
    <w:rsid w:val="2E294772"/>
    <w:rsid w:val="2E2E799A"/>
    <w:rsid w:val="2E3063D5"/>
    <w:rsid w:val="2E336C50"/>
    <w:rsid w:val="2E400F3C"/>
    <w:rsid w:val="2E4B2482"/>
    <w:rsid w:val="2E5B0E2E"/>
    <w:rsid w:val="2E6279C6"/>
    <w:rsid w:val="2E635A59"/>
    <w:rsid w:val="2E86086C"/>
    <w:rsid w:val="2EAA5F11"/>
    <w:rsid w:val="2EB72AA3"/>
    <w:rsid w:val="2ECB4CA9"/>
    <w:rsid w:val="2EE45D6B"/>
    <w:rsid w:val="2EEE2BA1"/>
    <w:rsid w:val="2EFE507F"/>
    <w:rsid w:val="2EFF2BA5"/>
    <w:rsid w:val="2F1C5505"/>
    <w:rsid w:val="2F3B0811"/>
    <w:rsid w:val="2F594288"/>
    <w:rsid w:val="2F6110DD"/>
    <w:rsid w:val="2F6856D6"/>
    <w:rsid w:val="2F856F8B"/>
    <w:rsid w:val="2F987F32"/>
    <w:rsid w:val="2FAD5F0B"/>
    <w:rsid w:val="2FB120F1"/>
    <w:rsid w:val="2FBE78D3"/>
    <w:rsid w:val="2FC736C3"/>
    <w:rsid w:val="2FCD3757"/>
    <w:rsid w:val="2FDB0F1C"/>
    <w:rsid w:val="2FDE27BA"/>
    <w:rsid w:val="2FE66278"/>
    <w:rsid w:val="2FE74BAE"/>
    <w:rsid w:val="2FF540FA"/>
    <w:rsid w:val="2FF54C06"/>
    <w:rsid w:val="2FFE2E5D"/>
    <w:rsid w:val="30003A4C"/>
    <w:rsid w:val="30030473"/>
    <w:rsid w:val="30146793"/>
    <w:rsid w:val="30147BBD"/>
    <w:rsid w:val="301B7CA8"/>
    <w:rsid w:val="3041795F"/>
    <w:rsid w:val="30466CDD"/>
    <w:rsid w:val="305731A1"/>
    <w:rsid w:val="30611B6D"/>
    <w:rsid w:val="306F0A59"/>
    <w:rsid w:val="307F2116"/>
    <w:rsid w:val="3082680F"/>
    <w:rsid w:val="308C66BA"/>
    <w:rsid w:val="309243C0"/>
    <w:rsid w:val="309E140D"/>
    <w:rsid w:val="30A457B2"/>
    <w:rsid w:val="30AD45FE"/>
    <w:rsid w:val="30AE2458"/>
    <w:rsid w:val="30B52A83"/>
    <w:rsid w:val="30C9346B"/>
    <w:rsid w:val="30C95EA8"/>
    <w:rsid w:val="30E7256B"/>
    <w:rsid w:val="30F05F59"/>
    <w:rsid w:val="31012C04"/>
    <w:rsid w:val="310E70CF"/>
    <w:rsid w:val="31327262"/>
    <w:rsid w:val="31375948"/>
    <w:rsid w:val="313F4FFA"/>
    <w:rsid w:val="31440D43"/>
    <w:rsid w:val="314760EE"/>
    <w:rsid w:val="314C75BB"/>
    <w:rsid w:val="315076E8"/>
    <w:rsid w:val="315A745C"/>
    <w:rsid w:val="31634B42"/>
    <w:rsid w:val="317319DE"/>
    <w:rsid w:val="3186300C"/>
    <w:rsid w:val="319A2B6E"/>
    <w:rsid w:val="319A665C"/>
    <w:rsid w:val="31A72A29"/>
    <w:rsid w:val="31AD2471"/>
    <w:rsid w:val="31AD7BE9"/>
    <w:rsid w:val="31C75008"/>
    <w:rsid w:val="31D50D66"/>
    <w:rsid w:val="31DA4405"/>
    <w:rsid w:val="31DB16A7"/>
    <w:rsid w:val="31EE32F3"/>
    <w:rsid w:val="31F10425"/>
    <w:rsid w:val="31F2450F"/>
    <w:rsid w:val="32044D41"/>
    <w:rsid w:val="32087FC3"/>
    <w:rsid w:val="32143204"/>
    <w:rsid w:val="32186458"/>
    <w:rsid w:val="321B7C44"/>
    <w:rsid w:val="321E77E6"/>
    <w:rsid w:val="321F3CD8"/>
    <w:rsid w:val="32236288"/>
    <w:rsid w:val="322D1335"/>
    <w:rsid w:val="32591CA8"/>
    <w:rsid w:val="3260443B"/>
    <w:rsid w:val="32672F3B"/>
    <w:rsid w:val="32676A97"/>
    <w:rsid w:val="327A1535"/>
    <w:rsid w:val="327F76D8"/>
    <w:rsid w:val="32851613"/>
    <w:rsid w:val="3288246C"/>
    <w:rsid w:val="328B4EF3"/>
    <w:rsid w:val="32905CCC"/>
    <w:rsid w:val="32926B0B"/>
    <w:rsid w:val="32A33AA6"/>
    <w:rsid w:val="32A63A63"/>
    <w:rsid w:val="32A95302"/>
    <w:rsid w:val="32AF0265"/>
    <w:rsid w:val="32BE5501"/>
    <w:rsid w:val="32CB171C"/>
    <w:rsid w:val="32D47F84"/>
    <w:rsid w:val="32D87995"/>
    <w:rsid w:val="32D92CDB"/>
    <w:rsid w:val="32DB1C5F"/>
    <w:rsid w:val="32EA681C"/>
    <w:rsid w:val="32EC5C70"/>
    <w:rsid w:val="32EE1841"/>
    <w:rsid w:val="32FF4F22"/>
    <w:rsid w:val="33014A95"/>
    <w:rsid w:val="33022C64"/>
    <w:rsid w:val="33095DA0"/>
    <w:rsid w:val="331462D9"/>
    <w:rsid w:val="331A61FF"/>
    <w:rsid w:val="332B3F69"/>
    <w:rsid w:val="332C69B5"/>
    <w:rsid w:val="332C7A82"/>
    <w:rsid w:val="3341340F"/>
    <w:rsid w:val="33460345"/>
    <w:rsid w:val="33514C1C"/>
    <w:rsid w:val="33580FD6"/>
    <w:rsid w:val="335C57D6"/>
    <w:rsid w:val="335F33B8"/>
    <w:rsid w:val="33812D41"/>
    <w:rsid w:val="33900270"/>
    <w:rsid w:val="33941B0E"/>
    <w:rsid w:val="33997107"/>
    <w:rsid w:val="33B51A84"/>
    <w:rsid w:val="33B55D30"/>
    <w:rsid w:val="33C42EFC"/>
    <w:rsid w:val="33C61EE3"/>
    <w:rsid w:val="33CC5059"/>
    <w:rsid w:val="33D72BA4"/>
    <w:rsid w:val="33E915F3"/>
    <w:rsid w:val="33F14E3F"/>
    <w:rsid w:val="33F43719"/>
    <w:rsid w:val="33FE6037"/>
    <w:rsid w:val="34002C60"/>
    <w:rsid w:val="342F1837"/>
    <w:rsid w:val="342F583D"/>
    <w:rsid w:val="343017E0"/>
    <w:rsid w:val="344057F2"/>
    <w:rsid w:val="34470F4D"/>
    <w:rsid w:val="344D7F0F"/>
    <w:rsid w:val="3458039D"/>
    <w:rsid w:val="34593FB8"/>
    <w:rsid w:val="34757B91"/>
    <w:rsid w:val="34790259"/>
    <w:rsid w:val="347D07F4"/>
    <w:rsid w:val="347E1FD2"/>
    <w:rsid w:val="34833825"/>
    <w:rsid w:val="348558FB"/>
    <w:rsid w:val="34A246FE"/>
    <w:rsid w:val="34AE2A73"/>
    <w:rsid w:val="34BD32E6"/>
    <w:rsid w:val="34C40D15"/>
    <w:rsid w:val="34CD748C"/>
    <w:rsid w:val="34DB5183"/>
    <w:rsid w:val="34E24AFB"/>
    <w:rsid w:val="350902DA"/>
    <w:rsid w:val="350E769E"/>
    <w:rsid w:val="35132F06"/>
    <w:rsid w:val="35144DC0"/>
    <w:rsid w:val="3518051D"/>
    <w:rsid w:val="352132DA"/>
    <w:rsid w:val="35312755"/>
    <w:rsid w:val="354D5B85"/>
    <w:rsid w:val="35654E87"/>
    <w:rsid w:val="35707279"/>
    <w:rsid w:val="3578720D"/>
    <w:rsid w:val="357D4824"/>
    <w:rsid w:val="358160C2"/>
    <w:rsid w:val="35A27F45"/>
    <w:rsid w:val="35AD1CD3"/>
    <w:rsid w:val="35AF0108"/>
    <w:rsid w:val="35B12CA3"/>
    <w:rsid w:val="35B33080"/>
    <w:rsid w:val="35D346B8"/>
    <w:rsid w:val="35D579E0"/>
    <w:rsid w:val="35EE5A12"/>
    <w:rsid w:val="35F13CF7"/>
    <w:rsid w:val="36120683"/>
    <w:rsid w:val="361909F0"/>
    <w:rsid w:val="36294A38"/>
    <w:rsid w:val="362A49AB"/>
    <w:rsid w:val="362B3081"/>
    <w:rsid w:val="36326BC5"/>
    <w:rsid w:val="36402219"/>
    <w:rsid w:val="36407D2B"/>
    <w:rsid w:val="3649562D"/>
    <w:rsid w:val="36625EF3"/>
    <w:rsid w:val="36631BE4"/>
    <w:rsid w:val="36747A1D"/>
    <w:rsid w:val="36792EB9"/>
    <w:rsid w:val="367D0F7F"/>
    <w:rsid w:val="368A5F83"/>
    <w:rsid w:val="368D6C58"/>
    <w:rsid w:val="36984A37"/>
    <w:rsid w:val="36D64360"/>
    <w:rsid w:val="36E515F1"/>
    <w:rsid w:val="36E82F71"/>
    <w:rsid w:val="36E903C3"/>
    <w:rsid w:val="370C7B03"/>
    <w:rsid w:val="37103BA1"/>
    <w:rsid w:val="37214898"/>
    <w:rsid w:val="37255FFD"/>
    <w:rsid w:val="37323B03"/>
    <w:rsid w:val="374019EB"/>
    <w:rsid w:val="3747333B"/>
    <w:rsid w:val="374A4436"/>
    <w:rsid w:val="374A6F7B"/>
    <w:rsid w:val="374C6AA7"/>
    <w:rsid w:val="374E2388"/>
    <w:rsid w:val="37512750"/>
    <w:rsid w:val="37533A8E"/>
    <w:rsid w:val="375430B6"/>
    <w:rsid w:val="37617167"/>
    <w:rsid w:val="376E6341"/>
    <w:rsid w:val="379540A7"/>
    <w:rsid w:val="37954139"/>
    <w:rsid w:val="379C34DB"/>
    <w:rsid w:val="379D4DCD"/>
    <w:rsid w:val="37A662B4"/>
    <w:rsid w:val="37AC319E"/>
    <w:rsid w:val="37C96CE5"/>
    <w:rsid w:val="37CA566B"/>
    <w:rsid w:val="37D2672A"/>
    <w:rsid w:val="37D3697D"/>
    <w:rsid w:val="37E13657"/>
    <w:rsid w:val="37E623B5"/>
    <w:rsid w:val="37E82428"/>
    <w:rsid w:val="37E87724"/>
    <w:rsid w:val="37EF5D31"/>
    <w:rsid w:val="37FA50C2"/>
    <w:rsid w:val="38003798"/>
    <w:rsid w:val="380803DD"/>
    <w:rsid w:val="380D40C9"/>
    <w:rsid w:val="380E46BF"/>
    <w:rsid w:val="38170F5F"/>
    <w:rsid w:val="38194CD8"/>
    <w:rsid w:val="38292433"/>
    <w:rsid w:val="38313807"/>
    <w:rsid w:val="383832E4"/>
    <w:rsid w:val="38412DA1"/>
    <w:rsid w:val="384A512D"/>
    <w:rsid w:val="3853724F"/>
    <w:rsid w:val="386341A5"/>
    <w:rsid w:val="387A2D4D"/>
    <w:rsid w:val="389A08FE"/>
    <w:rsid w:val="38A241A6"/>
    <w:rsid w:val="38A528A2"/>
    <w:rsid w:val="38A677FE"/>
    <w:rsid w:val="38B14F10"/>
    <w:rsid w:val="38B55DBE"/>
    <w:rsid w:val="38D4441C"/>
    <w:rsid w:val="38E52E0C"/>
    <w:rsid w:val="38FA30DF"/>
    <w:rsid w:val="39046EC4"/>
    <w:rsid w:val="390908A8"/>
    <w:rsid w:val="391060DB"/>
    <w:rsid w:val="391B25BA"/>
    <w:rsid w:val="393B2A2C"/>
    <w:rsid w:val="393C038A"/>
    <w:rsid w:val="39462F2A"/>
    <w:rsid w:val="394F0285"/>
    <w:rsid w:val="39530C1B"/>
    <w:rsid w:val="39564958"/>
    <w:rsid w:val="39565A73"/>
    <w:rsid w:val="395A201B"/>
    <w:rsid w:val="395D6E46"/>
    <w:rsid w:val="396C150B"/>
    <w:rsid w:val="39730417"/>
    <w:rsid w:val="399D7242"/>
    <w:rsid w:val="39A15CD6"/>
    <w:rsid w:val="39B17496"/>
    <w:rsid w:val="39B506F2"/>
    <w:rsid w:val="39C66799"/>
    <w:rsid w:val="39E03482"/>
    <w:rsid w:val="39F44F22"/>
    <w:rsid w:val="3A234D7B"/>
    <w:rsid w:val="3A3A1AE8"/>
    <w:rsid w:val="3A3B7187"/>
    <w:rsid w:val="3A4A73CA"/>
    <w:rsid w:val="3A667F7C"/>
    <w:rsid w:val="3A704957"/>
    <w:rsid w:val="3A726921"/>
    <w:rsid w:val="3A7D53E1"/>
    <w:rsid w:val="3A87079F"/>
    <w:rsid w:val="3A8E29D3"/>
    <w:rsid w:val="3A903883"/>
    <w:rsid w:val="3A9E3272"/>
    <w:rsid w:val="3AA50161"/>
    <w:rsid w:val="3AC0143A"/>
    <w:rsid w:val="3AD249E7"/>
    <w:rsid w:val="3AE11DE1"/>
    <w:rsid w:val="3AE16E49"/>
    <w:rsid w:val="3AFA0DF0"/>
    <w:rsid w:val="3B0F5F1E"/>
    <w:rsid w:val="3B217306"/>
    <w:rsid w:val="3B293484"/>
    <w:rsid w:val="3B2F1426"/>
    <w:rsid w:val="3B304339"/>
    <w:rsid w:val="3B433CCB"/>
    <w:rsid w:val="3B4A3779"/>
    <w:rsid w:val="3B5953EB"/>
    <w:rsid w:val="3B7874E6"/>
    <w:rsid w:val="3B7B4311"/>
    <w:rsid w:val="3B92543E"/>
    <w:rsid w:val="3B997AE8"/>
    <w:rsid w:val="3B9D79CE"/>
    <w:rsid w:val="3BA23963"/>
    <w:rsid w:val="3BA4129B"/>
    <w:rsid w:val="3BAB20EB"/>
    <w:rsid w:val="3BAC1821"/>
    <w:rsid w:val="3BAC5E63"/>
    <w:rsid w:val="3BAC628D"/>
    <w:rsid w:val="3BC60A9D"/>
    <w:rsid w:val="3BD11DBB"/>
    <w:rsid w:val="3BD81646"/>
    <w:rsid w:val="3BE42C82"/>
    <w:rsid w:val="3BE81FCD"/>
    <w:rsid w:val="3BEA0701"/>
    <w:rsid w:val="3BEE28FF"/>
    <w:rsid w:val="3BF61B6B"/>
    <w:rsid w:val="3BFC64A2"/>
    <w:rsid w:val="3C022A83"/>
    <w:rsid w:val="3C0B0DDB"/>
    <w:rsid w:val="3C4877ED"/>
    <w:rsid w:val="3C495460"/>
    <w:rsid w:val="3C547B47"/>
    <w:rsid w:val="3C5A58BF"/>
    <w:rsid w:val="3C5B37E7"/>
    <w:rsid w:val="3C6127A9"/>
    <w:rsid w:val="3C636171"/>
    <w:rsid w:val="3C664263"/>
    <w:rsid w:val="3C706B34"/>
    <w:rsid w:val="3C8674DF"/>
    <w:rsid w:val="3C911248"/>
    <w:rsid w:val="3CA479E0"/>
    <w:rsid w:val="3CBD3289"/>
    <w:rsid w:val="3CC243E3"/>
    <w:rsid w:val="3CCC214C"/>
    <w:rsid w:val="3CD147A4"/>
    <w:rsid w:val="3CD66855"/>
    <w:rsid w:val="3CDA6FAE"/>
    <w:rsid w:val="3CDF60CE"/>
    <w:rsid w:val="3CF93E6F"/>
    <w:rsid w:val="3D0329CE"/>
    <w:rsid w:val="3D3A30E3"/>
    <w:rsid w:val="3D424389"/>
    <w:rsid w:val="3D504798"/>
    <w:rsid w:val="3D5C0760"/>
    <w:rsid w:val="3D5E3B4D"/>
    <w:rsid w:val="3D63018E"/>
    <w:rsid w:val="3D6407A3"/>
    <w:rsid w:val="3D916A12"/>
    <w:rsid w:val="3DAE5EC2"/>
    <w:rsid w:val="3DB95AEB"/>
    <w:rsid w:val="3DBC024A"/>
    <w:rsid w:val="3DCF659A"/>
    <w:rsid w:val="3DD96D0B"/>
    <w:rsid w:val="3DEB2C72"/>
    <w:rsid w:val="3DEC0798"/>
    <w:rsid w:val="3DEC564C"/>
    <w:rsid w:val="3DEE5BAB"/>
    <w:rsid w:val="3DFD4AF1"/>
    <w:rsid w:val="3E1D4AF4"/>
    <w:rsid w:val="3E2326FD"/>
    <w:rsid w:val="3E276F6E"/>
    <w:rsid w:val="3E4B4094"/>
    <w:rsid w:val="3E636451"/>
    <w:rsid w:val="3E6F5651"/>
    <w:rsid w:val="3E781FED"/>
    <w:rsid w:val="3E8D3D29"/>
    <w:rsid w:val="3E95498C"/>
    <w:rsid w:val="3EBA2645"/>
    <w:rsid w:val="3ED63527"/>
    <w:rsid w:val="3ED67B55"/>
    <w:rsid w:val="3EE15E23"/>
    <w:rsid w:val="3EE70C7C"/>
    <w:rsid w:val="3EEF6C51"/>
    <w:rsid w:val="3EF74D33"/>
    <w:rsid w:val="3F000085"/>
    <w:rsid w:val="3F001C90"/>
    <w:rsid w:val="3F057D64"/>
    <w:rsid w:val="3F075CC4"/>
    <w:rsid w:val="3F0D6C18"/>
    <w:rsid w:val="3F20694C"/>
    <w:rsid w:val="3F21712E"/>
    <w:rsid w:val="3F275F2C"/>
    <w:rsid w:val="3F285DF0"/>
    <w:rsid w:val="3F2C29E1"/>
    <w:rsid w:val="3F384C10"/>
    <w:rsid w:val="3F5A28C3"/>
    <w:rsid w:val="3F740A45"/>
    <w:rsid w:val="3F843ABE"/>
    <w:rsid w:val="3FA4757D"/>
    <w:rsid w:val="3FA5067B"/>
    <w:rsid w:val="3FAA3C10"/>
    <w:rsid w:val="3FB43DF9"/>
    <w:rsid w:val="3FD3204B"/>
    <w:rsid w:val="3FDB4706"/>
    <w:rsid w:val="3FDF6C8F"/>
    <w:rsid w:val="3FF51B86"/>
    <w:rsid w:val="3FFD6C8D"/>
    <w:rsid w:val="400C257F"/>
    <w:rsid w:val="400D1324"/>
    <w:rsid w:val="4010076E"/>
    <w:rsid w:val="40126D3E"/>
    <w:rsid w:val="40193A36"/>
    <w:rsid w:val="40204729"/>
    <w:rsid w:val="4026348C"/>
    <w:rsid w:val="404011A2"/>
    <w:rsid w:val="40402FA6"/>
    <w:rsid w:val="40584539"/>
    <w:rsid w:val="405D1A2A"/>
    <w:rsid w:val="40612D9E"/>
    <w:rsid w:val="406B38BC"/>
    <w:rsid w:val="407664FD"/>
    <w:rsid w:val="40782251"/>
    <w:rsid w:val="40A23968"/>
    <w:rsid w:val="40B445FE"/>
    <w:rsid w:val="40BA4B7E"/>
    <w:rsid w:val="40BC23C2"/>
    <w:rsid w:val="40C55EA8"/>
    <w:rsid w:val="40C61775"/>
    <w:rsid w:val="40CF687B"/>
    <w:rsid w:val="40DB409D"/>
    <w:rsid w:val="40E35B04"/>
    <w:rsid w:val="40E55784"/>
    <w:rsid w:val="40E972DF"/>
    <w:rsid w:val="40ED136E"/>
    <w:rsid w:val="40F24F08"/>
    <w:rsid w:val="40FE4A6B"/>
    <w:rsid w:val="410B3E09"/>
    <w:rsid w:val="41126768"/>
    <w:rsid w:val="411E6EBB"/>
    <w:rsid w:val="41250249"/>
    <w:rsid w:val="412D5718"/>
    <w:rsid w:val="412E573E"/>
    <w:rsid w:val="41480E16"/>
    <w:rsid w:val="414B08D8"/>
    <w:rsid w:val="414C2E08"/>
    <w:rsid w:val="414F3F68"/>
    <w:rsid w:val="41582082"/>
    <w:rsid w:val="415D5357"/>
    <w:rsid w:val="41872CB2"/>
    <w:rsid w:val="41874A60"/>
    <w:rsid w:val="41884094"/>
    <w:rsid w:val="418B1795"/>
    <w:rsid w:val="41980AAB"/>
    <w:rsid w:val="41AE1418"/>
    <w:rsid w:val="41BA6D64"/>
    <w:rsid w:val="41BE544A"/>
    <w:rsid w:val="41C4132E"/>
    <w:rsid w:val="41D35EF7"/>
    <w:rsid w:val="41DA7286"/>
    <w:rsid w:val="41EE0932"/>
    <w:rsid w:val="42063A3A"/>
    <w:rsid w:val="4214405D"/>
    <w:rsid w:val="42171D70"/>
    <w:rsid w:val="42183589"/>
    <w:rsid w:val="42341E97"/>
    <w:rsid w:val="42376E3B"/>
    <w:rsid w:val="42613503"/>
    <w:rsid w:val="426D05D8"/>
    <w:rsid w:val="42755200"/>
    <w:rsid w:val="427721CF"/>
    <w:rsid w:val="428627B5"/>
    <w:rsid w:val="429A0F55"/>
    <w:rsid w:val="42A31D6D"/>
    <w:rsid w:val="42AC6B19"/>
    <w:rsid w:val="42B20202"/>
    <w:rsid w:val="42B67CE3"/>
    <w:rsid w:val="42BB7663"/>
    <w:rsid w:val="42C61B54"/>
    <w:rsid w:val="42C700D1"/>
    <w:rsid w:val="42CB0D1B"/>
    <w:rsid w:val="42CB7EE2"/>
    <w:rsid w:val="42F205FF"/>
    <w:rsid w:val="42F779C3"/>
    <w:rsid w:val="430D368B"/>
    <w:rsid w:val="431E02ED"/>
    <w:rsid w:val="433E55F2"/>
    <w:rsid w:val="434E0C41"/>
    <w:rsid w:val="4355293C"/>
    <w:rsid w:val="43744016"/>
    <w:rsid w:val="43827BD5"/>
    <w:rsid w:val="438356FB"/>
    <w:rsid w:val="438374A9"/>
    <w:rsid w:val="43994DD7"/>
    <w:rsid w:val="439B2D87"/>
    <w:rsid w:val="439D66B8"/>
    <w:rsid w:val="43AC3ED1"/>
    <w:rsid w:val="43B2241F"/>
    <w:rsid w:val="43BD1F91"/>
    <w:rsid w:val="43BE41CB"/>
    <w:rsid w:val="43F16B09"/>
    <w:rsid w:val="43F202D8"/>
    <w:rsid w:val="43F45BD0"/>
    <w:rsid w:val="43FB478E"/>
    <w:rsid w:val="43FC6D22"/>
    <w:rsid w:val="440873F8"/>
    <w:rsid w:val="4411001F"/>
    <w:rsid w:val="44112439"/>
    <w:rsid w:val="44142073"/>
    <w:rsid w:val="44204C51"/>
    <w:rsid w:val="44301B45"/>
    <w:rsid w:val="443C78D0"/>
    <w:rsid w:val="443F3F3E"/>
    <w:rsid w:val="44555450"/>
    <w:rsid w:val="445D7297"/>
    <w:rsid w:val="446A1915"/>
    <w:rsid w:val="44790B63"/>
    <w:rsid w:val="449C1238"/>
    <w:rsid w:val="449F0024"/>
    <w:rsid w:val="449F5E85"/>
    <w:rsid w:val="44A1052F"/>
    <w:rsid w:val="44B10EA1"/>
    <w:rsid w:val="44B53FC2"/>
    <w:rsid w:val="44B546FA"/>
    <w:rsid w:val="44BF2CE3"/>
    <w:rsid w:val="44C13F54"/>
    <w:rsid w:val="44C853D9"/>
    <w:rsid w:val="44CB096E"/>
    <w:rsid w:val="44D83825"/>
    <w:rsid w:val="44E14D9A"/>
    <w:rsid w:val="44E16B7D"/>
    <w:rsid w:val="44EC107E"/>
    <w:rsid w:val="44EC452F"/>
    <w:rsid w:val="44FC597B"/>
    <w:rsid w:val="451707F1"/>
    <w:rsid w:val="451A1577"/>
    <w:rsid w:val="452901CE"/>
    <w:rsid w:val="453C7530"/>
    <w:rsid w:val="453E08E3"/>
    <w:rsid w:val="456078ED"/>
    <w:rsid w:val="456F753C"/>
    <w:rsid w:val="45AA3413"/>
    <w:rsid w:val="45C30031"/>
    <w:rsid w:val="45C53E45"/>
    <w:rsid w:val="45D43FEC"/>
    <w:rsid w:val="45D60368"/>
    <w:rsid w:val="46001285"/>
    <w:rsid w:val="46050649"/>
    <w:rsid w:val="462211FB"/>
    <w:rsid w:val="462417D4"/>
    <w:rsid w:val="462E5DF2"/>
    <w:rsid w:val="463351B6"/>
    <w:rsid w:val="463A4797"/>
    <w:rsid w:val="463C5F52"/>
    <w:rsid w:val="46431172"/>
    <w:rsid w:val="464521E7"/>
    <w:rsid w:val="46455732"/>
    <w:rsid w:val="46495120"/>
    <w:rsid w:val="46547170"/>
    <w:rsid w:val="466B19C4"/>
    <w:rsid w:val="467D4684"/>
    <w:rsid w:val="46913751"/>
    <w:rsid w:val="46AB281B"/>
    <w:rsid w:val="46B67B95"/>
    <w:rsid w:val="46C329DE"/>
    <w:rsid w:val="46C97C75"/>
    <w:rsid w:val="46CC464F"/>
    <w:rsid w:val="46D00C57"/>
    <w:rsid w:val="46D6477E"/>
    <w:rsid w:val="46E94D27"/>
    <w:rsid w:val="46EF27ED"/>
    <w:rsid w:val="46EF355C"/>
    <w:rsid w:val="46F25BC4"/>
    <w:rsid w:val="46F44C0D"/>
    <w:rsid w:val="471274C2"/>
    <w:rsid w:val="47233BB3"/>
    <w:rsid w:val="472657A6"/>
    <w:rsid w:val="4730365B"/>
    <w:rsid w:val="47304C90"/>
    <w:rsid w:val="473F3908"/>
    <w:rsid w:val="47406A95"/>
    <w:rsid w:val="474C71FC"/>
    <w:rsid w:val="474D6260"/>
    <w:rsid w:val="4754581B"/>
    <w:rsid w:val="47606608"/>
    <w:rsid w:val="47625A6E"/>
    <w:rsid w:val="4779309D"/>
    <w:rsid w:val="477F442B"/>
    <w:rsid w:val="47887784"/>
    <w:rsid w:val="478A7058"/>
    <w:rsid w:val="47925F0D"/>
    <w:rsid w:val="47946129"/>
    <w:rsid w:val="47963FF7"/>
    <w:rsid w:val="47A3636C"/>
    <w:rsid w:val="47A45B98"/>
    <w:rsid w:val="47A85096"/>
    <w:rsid w:val="47AD0D2F"/>
    <w:rsid w:val="47AF44AD"/>
    <w:rsid w:val="47AF4D11"/>
    <w:rsid w:val="47C75C4C"/>
    <w:rsid w:val="47CD0DEC"/>
    <w:rsid w:val="47CD5197"/>
    <w:rsid w:val="47D112E0"/>
    <w:rsid w:val="47E33329"/>
    <w:rsid w:val="47F00E85"/>
    <w:rsid w:val="48041AAC"/>
    <w:rsid w:val="480D3A23"/>
    <w:rsid w:val="481238E1"/>
    <w:rsid w:val="48285296"/>
    <w:rsid w:val="483A0C1F"/>
    <w:rsid w:val="4846741F"/>
    <w:rsid w:val="484D0086"/>
    <w:rsid w:val="484E4529"/>
    <w:rsid w:val="48506040"/>
    <w:rsid w:val="485C55E7"/>
    <w:rsid w:val="485C7379"/>
    <w:rsid w:val="487D4E0F"/>
    <w:rsid w:val="48954542"/>
    <w:rsid w:val="48976474"/>
    <w:rsid w:val="489C48EF"/>
    <w:rsid w:val="48AB372A"/>
    <w:rsid w:val="48B06F92"/>
    <w:rsid w:val="48DA7B6B"/>
    <w:rsid w:val="48E9042E"/>
    <w:rsid w:val="48F01FB9"/>
    <w:rsid w:val="49175151"/>
    <w:rsid w:val="491A265E"/>
    <w:rsid w:val="492872E4"/>
    <w:rsid w:val="49291217"/>
    <w:rsid w:val="493A64EB"/>
    <w:rsid w:val="493D6C54"/>
    <w:rsid w:val="4941669C"/>
    <w:rsid w:val="4949284A"/>
    <w:rsid w:val="494B6C4D"/>
    <w:rsid w:val="4958156F"/>
    <w:rsid w:val="495C4D50"/>
    <w:rsid w:val="496C2214"/>
    <w:rsid w:val="496D5E51"/>
    <w:rsid w:val="496D7ED3"/>
    <w:rsid w:val="49790663"/>
    <w:rsid w:val="49861160"/>
    <w:rsid w:val="49883A05"/>
    <w:rsid w:val="49933A5A"/>
    <w:rsid w:val="49A14359"/>
    <w:rsid w:val="49AF10F0"/>
    <w:rsid w:val="49B74940"/>
    <w:rsid w:val="49C03205"/>
    <w:rsid w:val="49C11CF5"/>
    <w:rsid w:val="49C2084A"/>
    <w:rsid w:val="49C660D4"/>
    <w:rsid w:val="49D16BE6"/>
    <w:rsid w:val="49DD71DE"/>
    <w:rsid w:val="49FD12F9"/>
    <w:rsid w:val="49FE5F91"/>
    <w:rsid w:val="4A026F25"/>
    <w:rsid w:val="4A0B3079"/>
    <w:rsid w:val="4A0E4BFD"/>
    <w:rsid w:val="4A1A5506"/>
    <w:rsid w:val="4A1C041F"/>
    <w:rsid w:val="4A372155"/>
    <w:rsid w:val="4A3749D0"/>
    <w:rsid w:val="4A3D7280"/>
    <w:rsid w:val="4A4C0075"/>
    <w:rsid w:val="4A553B36"/>
    <w:rsid w:val="4A6726BA"/>
    <w:rsid w:val="4A783AE0"/>
    <w:rsid w:val="4A8A6B0D"/>
    <w:rsid w:val="4A8F7AF1"/>
    <w:rsid w:val="4AA448D5"/>
    <w:rsid w:val="4ACC7988"/>
    <w:rsid w:val="4AD877C8"/>
    <w:rsid w:val="4AE271AB"/>
    <w:rsid w:val="4AEA67B3"/>
    <w:rsid w:val="4B2E0642"/>
    <w:rsid w:val="4B3A6189"/>
    <w:rsid w:val="4B4900AE"/>
    <w:rsid w:val="4B6021EA"/>
    <w:rsid w:val="4B6B0F4E"/>
    <w:rsid w:val="4B6F679E"/>
    <w:rsid w:val="4B822E5F"/>
    <w:rsid w:val="4B83273C"/>
    <w:rsid w:val="4BB5666E"/>
    <w:rsid w:val="4BEB6533"/>
    <w:rsid w:val="4BFF74B1"/>
    <w:rsid w:val="4C0263CE"/>
    <w:rsid w:val="4C0473C6"/>
    <w:rsid w:val="4C205671"/>
    <w:rsid w:val="4C2537F3"/>
    <w:rsid w:val="4C2555A1"/>
    <w:rsid w:val="4C266086"/>
    <w:rsid w:val="4C3618DB"/>
    <w:rsid w:val="4C4F0AB3"/>
    <w:rsid w:val="4C531C47"/>
    <w:rsid w:val="4C586FC6"/>
    <w:rsid w:val="4C5D0796"/>
    <w:rsid w:val="4C6360FE"/>
    <w:rsid w:val="4C72455F"/>
    <w:rsid w:val="4C793B3F"/>
    <w:rsid w:val="4C883D82"/>
    <w:rsid w:val="4C8E75EA"/>
    <w:rsid w:val="4C9C194B"/>
    <w:rsid w:val="4CAD48B8"/>
    <w:rsid w:val="4CB50470"/>
    <w:rsid w:val="4CC15AE1"/>
    <w:rsid w:val="4CC35BEB"/>
    <w:rsid w:val="4CCF60BD"/>
    <w:rsid w:val="4CD02929"/>
    <w:rsid w:val="4CD370C7"/>
    <w:rsid w:val="4CDE5035"/>
    <w:rsid w:val="4CE41265"/>
    <w:rsid w:val="4D103667"/>
    <w:rsid w:val="4D185106"/>
    <w:rsid w:val="4D1A59F9"/>
    <w:rsid w:val="4D334235"/>
    <w:rsid w:val="4D363E53"/>
    <w:rsid w:val="4D3701CB"/>
    <w:rsid w:val="4D386DDA"/>
    <w:rsid w:val="4D445EFB"/>
    <w:rsid w:val="4D4B7AFC"/>
    <w:rsid w:val="4D715F84"/>
    <w:rsid w:val="4D7851EB"/>
    <w:rsid w:val="4D88228C"/>
    <w:rsid w:val="4D9229C5"/>
    <w:rsid w:val="4D953FDE"/>
    <w:rsid w:val="4D9C7AE5"/>
    <w:rsid w:val="4D9E1AAF"/>
    <w:rsid w:val="4DA501AA"/>
    <w:rsid w:val="4DAA3EA7"/>
    <w:rsid w:val="4DB4344C"/>
    <w:rsid w:val="4DB51455"/>
    <w:rsid w:val="4DC351C2"/>
    <w:rsid w:val="4DC62FE4"/>
    <w:rsid w:val="4DC8250B"/>
    <w:rsid w:val="4DD33B25"/>
    <w:rsid w:val="4DED4BFE"/>
    <w:rsid w:val="4DEE61D1"/>
    <w:rsid w:val="4E0005F3"/>
    <w:rsid w:val="4E0E6509"/>
    <w:rsid w:val="4E186966"/>
    <w:rsid w:val="4E2374C8"/>
    <w:rsid w:val="4E3F2CAA"/>
    <w:rsid w:val="4E4854B2"/>
    <w:rsid w:val="4E5263F6"/>
    <w:rsid w:val="4E6951D8"/>
    <w:rsid w:val="4E74636C"/>
    <w:rsid w:val="4E78439B"/>
    <w:rsid w:val="4E7B1363"/>
    <w:rsid w:val="4E8A3DE2"/>
    <w:rsid w:val="4E94790E"/>
    <w:rsid w:val="4E9B2EA6"/>
    <w:rsid w:val="4ED65CB0"/>
    <w:rsid w:val="4EE84443"/>
    <w:rsid w:val="4F0352F3"/>
    <w:rsid w:val="4F135B85"/>
    <w:rsid w:val="4F2D30F6"/>
    <w:rsid w:val="4F2D4EEE"/>
    <w:rsid w:val="4F3F2683"/>
    <w:rsid w:val="4F58517B"/>
    <w:rsid w:val="4F5E5D57"/>
    <w:rsid w:val="4F5F526E"/>
    <w:rsid w:val="4F664600"/>
    <w:rsid w:val="4F6C109F"/>
    <w:rsid w:val="4F7A20A8"/>
    <w:rsid w:val="4F846A83"/>
    <w:rsid w:val="4F8847C5"/>
    <w:rsid w:val="4F90367A"/>
    <w:rsid w:val="4F98252E"/>
    <w:rsid w:val="4F993C1F"/>
    <w:rsid w:val="4F9A241D"/>
    <w:rsid w:val="4FA52839"/>
    <w:rsid w:val="4FA60096"/>
    <w:rsid w:val="4FA831D2"/>
    <w:rsid w:val="4FB6798D"/>
    <w:rsid w:val="4FBC575D"/>
    <w:rsid w:val="4FC1120E"/>
    <w:rsid w:val="4FCF5F48"/>
    <w:rsid w:val="4FD77F76"/>
    <w:rsid w:val="4FDC68BF"/>
    <w:rsid w:val="50016325"/>
    <w:rsid w:val="50165391"/>
    <w:rsid w:val="501A73E7"/>
    <w:rsid w:val="501D4EFB"/>
    <w:rsid w:val="502D711A"/>
    <w:rsid w:val="503469BD"/>
    <w:rsid w:val="503844DC"/>
    <w:rsid w:val="504E0E81"/>
    <w:rsid w:val="5057648D"/>
    <w:rsid w:val="505B18D4"/>
    <w:rsid w:val="50621059"/>
    <w:rsid w:val="50814FBF"/>
    <w:rsid w:val="508A5DF4"/>
    <w:rsid w:val="50940F47"/>
    <w:rsid w:val="50970A38"/>
    <w:rsid w:val="509C1BAA"/>
    <w:rsid w:val="50A8054F"/>
    <w:rsid w:val="50A820D4"/>
    <w:rsid w:val="50AD422D"/>
    <w:rsid w:val="50AD4A4F"/>
    <w:rsid w:val="50C6566D"/>
    <w:rsid w:val="50D37CC2"/>
    <w:rsid w:val="50D57015"/>
    <w:rsid w:val="50E84DEF"/>
    <w:rsid w:val="50F56EA0"/>
    <w:rsid w:val="5107796B"/>
    <w:rsid w:val="5108607B"/>
    <w:rsid w:val="51122D44"/>
    <w:rsid w:val="51171918"/>
    <w:rsid w:val="511B41EA"/>
    <w:rsid w:val="512C73D2"/>
    <w:rsid w:val="512C7ED2"/>
    <w:rsid w:val="51450494"/>
    <w:rsid w:val="5148134E"/>
    <w:rsid w:val="514B5A33"/>
    <w:rsid w:val="51510BE7"/>
    <w:rsid w:val="5164091A"/>
    <w:rsid w:val="51677F27"/>
    <w:rsid w:val="51827D47"/>
    <w:rsid w:val="518F170F"/>
    <w:rsid w:val="51A056CA"/>
    <w:rsid w:val="51A451BA"/>
    <w:rsid w:val="51B80BAA"/>
    <w:rsid w:val="51BF28E4"/>
    <w:rsid w:val="51C1288B"/>
    <w:rsid w:val="51DC2283"/>
    <w:rsid w:val="51E657D3"/>
    <w:rsid w:val="51EA1F0C"/>
    <w:rsid w:val="51EF2A12"/>
    <w:rsid w:val="51FB798D"/>
    <w:rsid w:val="51FC4FF6"/>
    <w:rsid w:val="52081B54"/>
    <w:rsid w:val="520B6FE7"/>
    <w:rsid w:val="521D7B96"/>
    <w:rsid w:val="522804D5"/>
    <w:rsid w:val="522B58DB"/>
    <w:rsid w:val="52477F24"/>
    <w:rsid w:val="524B7D2C"/>
    <w:rsid w:val="52501DAB"/>
    <w:rsid w:val="5256651E"/>
    <w:rsid w:val="52691BE6"/>
    <w:rsid w:val="526B23B2"/>
    <w:rsid w:val="52711BCE"/>
    <w:rsid w:val="52730B44"/>
    <w:rsid w:val="52733A71"/>
    <w:rsid w:val="5277467D"/>
    <w:rsid w:val="528238AF"/>
    <w:rsid w:val="529C0587"/>
    <w:rsid w:val="52A5743C"/>
    <w:rsid w:val="52AE4870"/>
    <w:rsid w:val="52B66E3F"/>
    <w:rsid w:val="52BD5936"/>
    <w:rsid w:val="52C378C2"/>
    <w:rsid w:val="52C7501B"/>
    <w:rsid w:val="52C8137C"/>
    <w:rsid w:val="52C86D86"/>
    <w:rsid w:val="52D27B05"/>
    <w:rsid w:val="52E53CDC"/>
    <w:rsid w:val="52E73435"/>
    <w:rsid w:val="52EF6909"/>
    <w:rsid w:val="52F56F98"/>
    <w:rsid w:val="52F9662F"/>
    <w:rsid w:val="52FE2AB7"/>
    <w:rsid w:val="531E2D4A"/>
    <w:rsid w:val="533802B0"/>
    <w:rsid w:val="53462EAB"/>
    <w:rsid w:val="5349426B"/>
    <w:rsid w:val="53570DD0"/>
    <w:rsid w:val="535C7948"/>
    <w:rsid w:val="53605111"/>
    <w:rsid w:val="53626210"/>
    <w:rsid w:val="536C61AC"/>
    <w:rsid w:val="5370619F"/>
    <w:rsid w:val="53764934"/>
    <w:rsid w:val="5376752B"/>
    <w:rsid w:val="537979E1"/>
    <w:rsid w:val="53861A20"/>
    <w:rsid w:val="538816E0"/>
    <w:rsid w:val="53BD18F1"/>
    <w:rsid w:val="53D8114B"/>
    <w:rsid w:val="53E04DBD"/>
    <w:rsid w:val="53EF674A"/>
    <w:rsid w:val="53F669EB"/>
    <w:rsid w:val="540006A2"/>
    <w:rsid w:val="54041F40"/>
    <w:rsid w:val="54171005"/>
    <w:rsid w:val="541A68A8"/>
    <w:rsid w:val="5420228D"/>
    <w:rsid w:val="54322F51"/>
    <w:rsid w:val="543D1818"/>
    <w:rsid w:val="544B3EE9"/>
    <w:rsid w:val="5457656B"/>
    <w:rsid w:val="546538BA"/>
    <w:rsid w:val="5468108F"/>
    <w:rsid w:val="54756AF5"/>
    <w:rsid w:val="5483555B"/>
    <w:rsid w:val="548A4B3B"/>
    <w:rsid w:val="548B71EB"/>
    <w:rsid w:val="549A6186"/>
    <w:rsid w:val="549F69EF"/>
    <w:rsid w:val="54B17D34"/>
    <w:rsid w:val="54E0475B"/>
    <w:rsid w:val="54EA6C0E"/>
    <w:rsid w:val="5503044A"/>
    <w:rsid w:val="55201C9C"/>
    <w:rsid w:val="5523208A"/>
    <w:rsid w:val="552F56E3"/>
    <w:rsid w:val="55343A1D"/>
    <w:rsid w:val="5549554B"/>
    <w:rsid w:val="554D1A31"/>
    <w:rsid w:val="55782BA3"/>
    <w:rsid w:val="5592206E"/>
    <w:rsid w:val="559C0E01"/>
    <w:rsid w:val="55A27C63"/>
    <w:rsid w:val="55A672AF"/>
    <w:rsid w:val="55B95219"/>
    <w:rsid w:val="55BB0D24"/>
    <w:rsid w:val="55C776C9"/>
    <w:rsid w:val="55DB2EFA"/>
    <w:rsid w:val="55DD6540"/>
    <w:rsid w:val="55E93AE3"/>
    <w:rsid w:val="55EB238D"/>
    <w:rsid w:val="55F87E98"/>
    <w:rsid w:val="561B1CE0"/>
    <w:rsid w:val="56242D6E"/>
    <w:rsid w:val="562B4FD7"/>
    <w:rsid w:val="563A7E9B"/>
    <w:rsid w:val="5651542C"/>
    <w:rsid w:val="56725887"/>
    <w:rsid w:val="56743D30"/>
    <w:rsid w:val="568B419B"/>
    <w:rsid w:val="568C22E6"/>
    <w:rsid w:val="569752EE"/>
    <w:rsid w:val="569F23F4"/>
    <w:rsid w:val="56AA5F28"/>
    <w:rsid w:val="56B506F1"/>
    <w:rsid w:val="56B7303F"/>
    <w:rsid w:val="56B934B6"/>
    <w:rsid w:val="56BC09FD"/>
    <w:rsid w:val="56D02B61"/>
    <w:rsid w:val="56D71B8E"/>
    <w:rsid w:val="56DF6C95"/>
    <w:rsid w:val="570F4661"/>
    <w:rsid w:val="5714065A"/>
    <w:rsid w:val="57165E73"/>
    <w:rsid w:val="571B53DB"/>
    <w:rsid w:val="57305C46"/>
    <w:rsid w:val="57394A4D"/>
    <w:rsid w:val="5746022C"/>
    <w:rsid w:val="57547004"/>
    <w:rsid w:val="575C2093"/>
    <w:rsid w:val="57606D02"/>
    <w:rsid w:val="57631EDC"/>
    <w:rsid w:val="576F0018"/>
    <w:rsid w:val="57725AAD"/>
    <w:rsid w:val="5774562F"/>
    <w:rsid w:val="578F06BB"/>
    <w:rsid w:val="579857A6"/>
    <w:rsid w:val="579F74A6"/>
    <w:rsid w:val="57A36349"/>
    <w:rsid w:val="57A70D03"/>
    <w:rsid w:val="57AC4DC9"/>
    <w:rsid w:val="57B44CCE"/>
    <w:rsid w:val="57C514C8"/>
    <w:rsid w:val="57C71C02"/>
    <w:rsid w:val="57D45CF1"/>
    <w:rsid w:val="57E74DAE"/>
    <w:rsid w:val="57F13854"/>
    <w:rsid w:val="580520C8"/>
    <w:rsid w:val="580B3421"/>
    <w:rsid w:val="58187D01"/>
    <w:rsid w:val="584315C4"/>
    <w:rsid w:val="584C2108"/>
    <w:rsid w:val="586E207E"/>
    <w:rsid w:val="586E3461"/>
    <w:rsid w:val="586E7274"/>
    <w:rsid w:val="58712EA8"/>
    <w:rsid w:val="58813143"/>
    <w:rsid w:val="588A02D8"/>
    <w:rsid w:val="5891087F"/>
    <w:rsid w:val="589D0BB5"/>
    <w:rsid w:val="58A13A37"/>
    <w:rsid w:val="58A96885"/>
    <w:rsid w:val="58BA45A1"/>
    <w:rsid w:val="58C12EE1"/>
    <w:rsid w:val="58D864B6"/>
    <w:rsid w:val="58DA784C"/>
    <w:rsid w:val="58DE5456"/>
    <w:rsid w:val="58EB2245"/>
    <w:rsid w:val="58F55680"/>
    <w:rsid w:val="59161F59"/>
    <w:rsid w:val="591744C4"/>
    <w:rsid w:val="594204CF"/>
    <w:rsid w:val="594A2AEB"/>
    <w:rsid w:val="5951357A"/>
    <w:rsid w:val="59544BDF"/>
    <w:rsid w:val="59571EA1"/>
    <w:rsid w:val="5967369D"/>
    <w:rsid w:val="597B2CA5"/>
    <w:rsid w:val="59854011"/>
    <w:rsid w:val="599223FD"/>
    <w:rsid w:val="59941601"/>
    <w:rsid w:val="59965D30"/>
    <w:rsid w:val="59A117BD"/>
    <w:rsid w:val="59AE5B50"/>
    <w:rsid w:val="59AF2530"/>
    <w:rsid w:val="59B03041"/>
    <w:rsid w:val="59BA45FA"/>
    <w:rsid w:val="59C33F06"/>
    <w:rsid w:val="59C962AE"/>
    <w:rsid w:val="59D10B16"/>
    <w:rsid w:val="59D625D1"/>
    <w:rsid w:val="5A0738B3"/>
    <w:rsid w:val="5A126AC9"/>
    <w:rsid w:val="5A20479B"/>
    <w:rsid w:val="5A47527D"/>
    <w:rsid w:val="5A594B8D"/>
    <w:rsid w:val="5A690A9C"/>
    <w:rsid w:val="5A7B0A82"/>
    <w:rsid w:val="5A8E36CC"/>
    <w:rsid w:val="5AA72AC8"/>
    <w:rsid w:val="5AAC3332"/>
    <w:rsid w:val="5ABF5916"/>
    <w:rsid w:val="5AC3781F"/>
    <w:rsid w:val="5AD71A00"/>
    <w:rsid w:val="5ADF1BC9"/>
    <w:rsid w:val="5AE76118"/>
    <w:rsid w:val="5B1B1714"/>
    <w:rsid w:val="5B242EC8"/>
    <w:rsid w:val="5B280C0A"/>
    <w:rsid w:val="5B3E6680"/>
    <w:rsid w:val="5B413A7A"/>
    <w:rsid w:val="5B4325A2"/>
    <w:rsid w:val="5B4672E2"/>
    <w:rsid w:val="5B4E481E"/>
    <w:rsid w:val="5B601CC1"/>
    <w:rsid w:val="5B6234AA"/>
    <w:rsid w:val="5B6854AA"/>
    <w:rsid w:val="5B813346"/>
    <w:rsid w:val="5B871DD5"/>
    <w:rsid w:val="5B8A7E0B"/>
    <w:rsid w:val="5BA265DE"/>
    <w:rsid w:val="5BA46CE2"/>
    <w:rsid w:val="5BCE7981"/>
    <w:rsid w:val="5BD41136"/>
    <w:rsid w:val="5BD54692"/>
    <w:rsid w:val="5BD7618C"/>
    <w:rsid w:val="5BD92F2A"/>
    <w:rsid w:val="5BE32D83"/>
    <w:rsid w:val="5BEA4FCD"/>
    <w:rsid w:val="5BEC1C38"/>
    <w:rsid w:val="5BF84A80"/>
    <w:rsid w:val="5BFA4B6A"/>
    <w:rsid w:val="5C003935"/>
    <w:rsid w:val="5C043425"/>
    <w:rsid w:val="5C124BEB"/>
    <w:rsid w:val="5C12559D"/>
    <w:rsid w:val="5C1F498A"/>
    <w:rsid w:val="5C25339C"/>
    <w:rsid w:val="5C265FCA"/>
    <w:rsid w:val="5C380531"/>
    <w:rsid w:val="5C4B3416"/>
    <w:rsid w:val="5C4D0F4D"/>
    <w:rsid w:val="5C4F21C6"/>
    <w:rsid w:val="5C504241"/>
    <w:rsid w:val="5C5B10FD"/>
    <w:rsid w:val="5C6550CC"/>
    <w:rsid w:val="5C735EB5"/>
    <w:rsid w:val="5C7731D7"/>
    <w:rsid w:val="5C826B51"/>
    <w:rsid w:val="5C957AE8"/>
    <w:rsid w:val="5CA61CCA"/>
    <w:rsid w:val="5CA61FE4"/>
    <w:rsid w:val="5CA67A5D"/>
    <w:rsid w:val="5CAA564F"/>
    <w:rsid w:val="5CAC7619"/>
    <w:rsid w:val="5CB526EE"/>
    <w:rsid w:val="5CC67A06"/>
    <w:rsid w:val="5CD718AB"/>
    <w:rsid w:val="5CDD125B"/>
    <w:rsid w:val="5CF039A9"/>
    <w:rsid w:val="5D0E6665"/>
    <w:rsid w:val="5D131446"/>
    <w:rsid w:val="5D1551BE"/>
    <w:rsid w:val="5D213E13"/>
    <w:rsid w:val="5D301FF8"/>
    <w:rsid w:val="5D3A69D3"/>
    <w:rsid w:val="5D3D7B55"/>
    <w:rsid w:val="5D49149F"/>
    <w:rsid w:val="5D4A529A"/>
    <w:rsid w:val="5D4D4B67"/>
    <w:rsid w:val="5D692B4A"/>
    <w:rsid w:val="5D760DFE"/>
    <w:rsid w:val="5D972077"/>
    <w:rsid w:val="5DA546AF"/>
    <w:rsid w:val="5DA87DE0"/>
    <w:rsid w:val="5DAB1143"/>
    <w:rsid w:val="5DB17D02"/>
    <w:rsid w:val="5DBC388C"/>
    <w:rsid w:val="5DC0337C"/>
    <w:rsid w:val="5DC374E2"/>
    <w:rsid w:val="5DCF2503"/>
    <w:rsid w:val="5DD43000"/>
    <w:rsid w:val="5DD619A0"/>
    <w:rsid w:val="5DD97B2E"/>
    <w:rsid w:val="5DE33377"/>
    <w:rsid w:val="5DE52DE2"/>
    <w:rsid w:val="5DEC2EC1"/>
    <w:rsid w:val="5E021BE6"/>
    <w:rsid w:val="5E183CFF"/>
    <w:rsid w:val="5E19246F"/>
    <w:rsid w:val="5E1E394A"/>
    <w:rsid w:val="5E2B7EEF"/>
    <w:rsid w:val="5E2C0A11"/>
    <w:rsid w:val="5E416216"/>
    <w:rsid w:val="5E4C10B3"/>
    <w:rsid w:val="5E50072C"/>
    <w:rsid w:val="5E52616B"/>
    <w:rsid w:val="5E5E2B95"/>
    <w:rsid w:val="5E6623EB"/>
    <w:rsid w:val="5E67417C"/>
    <w:rsid w:val="5E6B1C04"/>
    <w:rsid w:val="5E6C3504"/>
    <w:rsid w:val="5E8048B9"/>
    <w:rsid w:val="5E912F6A"/>
    <w:rsid w:val="5E914D18"/>
    <w:rsid w:val="5E9345EC"/>
    <w:rsid w:val="5E946DA5"/>
    <w:rsid w:val="5E961741"/>
    <w:rsid w:val="5E9B254F"/>
    <w:rsid w:val="5EA05BE0"/>
    <w:rsid w:val="5EA479D6"/>
    <w:rsid w:val="5EAC4D44"/>
    <w:rsid w:val="5EAE7678"/>
    <w:rsid w:val="5EBA601D"/>
    <w:rsid w:val="5EDF3CD6"/>
    <w:rsid w:val="5EE673AD"/>
    <w:rsid w:val="5EF05EE3"/>
    <w:rsid w:val="5F0955FB"/>
    <w:rsid w:val="5F0B4ACB"/>
    <w:rsid w:val="5F100333"/>
    <w:rsid w:val="5F335270"/>
    <w:rsid w:val="5F3D7FD2"/>
    <w:rsid w:val="5F5046EA"/>
    <w:rsid w:val="5F5F0972"/>
    <w:rsid w:val="5F6441ED"/>
    <w:rsid w:val="5F6661A5"/>
    <w:rsid w:val="5F6A6AC8"/>
    <w:rsid w:val="5F6F6A29"/>
    <w:rsid w:val="5F84250C"/>
    <w:rsid w:val="5F866EC2"/>
    <w:rsid w:val="5F875EC9"/>
    <w:rsid w:val="5F920EC8"/>
    <w:rsid w:val="5F9A5E4E"/>
    <w:rsid w:val="5F9E1348"/>
    <w:rsid w:val="5FA12D39"/>
    <w:rsid w:val="5FAA42E4"/>
    <w:rsid w:val="5FAC4886"/>
    <w:rsid w:val="5FB05672"/>
    <w:rsid w:val="5FB66D02"/>
    <w:rsid w:val="5FC058B5"/>
    <w:rsid w:val="5FC41398"/>
    <w:rsid w:val="5FE311ED"/>
    <w:rsid w:val="5FE42E7C"/>
    <w:rsid w:val="5FEF2BDD"/>
    <w:rsid w:val="5FF2749D"/>
    <w:rsid w:val="5FF506FB"/>
    <w:rsid w:val="5FF87C5D"/>
    <w:rsid w:val="600315B6"/>
    <w:rsid w:val="600E3B45"/>
    <w:rsid w:val="60273055"/>
    <w:rsid w:val="603242D9"/>
    <w:rsid w:val="60423B49"/>
    <w:rsid w:val="604F4F31"/>
    <w:rsid w:val="60522285"/>
    <w:rsid w:val="605C5A30"/>
    <w:rsid w:val="607D63DF"/>
    <w:rsid w:val="60A66703"/>
    <w:rsid w:val="60AE7E03"/>
    <w:rsid w:val="60B149D0"/>
    <w:rsid w:val="60B70030"/>
    <w:rsid w:val="60C90799"/>
    <w:rsid w:val="60D443A1"/>
    <w:rsid w:val="60DC2CC3"/>
    <w:rsid w:val="60E21853"/>
    <w:rsid w:val="61366D54"/>
    <w:rsid w:val="613720DD"/>
    <w:rsid w:val="613979C7"/>
    <w:rsid w:val="614E6EF1"/>
    <w:rsid w:val="615755BD"/>
    <w:rsid w:val="615D2A65"/>
    <w:rsid w:val="61613BEB"/>
    <w:rsid w:val="61693D2A"/>
    <w:rsid w:val="61796574"/>
    <w:rsid w:val="61880654"/>
    <w:rsid w:val="6189617B"/>
    <w:rsid w:val="618E2DAD"/>
    <w:rsid w:val="619E4563"/>
    <w:rsid w:val="619F63A8"/>
    <w:rsid w:val="61CB26C4"/>
    <w:rsid w:val="61CD6067"/>
    <w:rsid w:val="61DD059C"/>
    <w:rsid w:val="61E06BEB"/>
    <w:rsid w:val="61F546A5"/>
    <w:rsid w:val="61FB44F2"/>
    <w:rsid w:val="62026A91"/>
    <w:rsid w:val="625941A1"/>
    <w:rsid w:val="625C0D21"/>
    <w:rsid w:val="62671448"/>
    <w:rsid w:val="62726C0F"/>
    <w:rsid w:val="62875A90"/>
    <w:rsid w:val="629047BC"/>
    <w:rsid w:val="629762BF"/>
    <w:rsid w:val="62B13E15"/>
    <w:rsid w:val="62B21879"/>
    <w:rsid w:val="62B56ACB"/>
    <w:rsid w:val="62C30852"/>
    <w:rsid w:val="62C456BC"/>
    <w:rsid w:val="62CC5ACB"/>
    <w:rsid w:val="62E61DA2"/>
    <w:rsid w:val="62EC0759"/>
    <w:rsid w:val="62FA0C93"/>
    <w:rsid w:val="62FD472A"/>
    <w:rsid w:val="63065CD5"/>
    <w:rsid w:val="630C0E11"/>
    <w:rsid w:val="631421D2"/>
    <w:rsid w:val="633012F7"/>
    <w:rsid w:val="6333416A"/>
    <w:rsid w:val="63414F5F"/>
    <w:rsid w:val="634347F2"/>
    <w:rsid w:val="636C0637"/>
    <w:rsid w:val="63870498"/>
    <w:rsid w:val="63AA7892"/>
    <w:rsid w:val="63AB062A"/>
    <w:rsid w:val="63C65464"/>
    <w:rsid w:val="63C92E38"/>
    <w:rsid w:val="63D11CD0"/>
    <w:rsid w:val="63D60D6D"/>
    <w:rsid w:val="63DA0F0F"/>
    <w:rsid w:val="63DC4C88"/>
    <w:rsid w:val="63E17D6C"/>
    <w:rsid w:val="63E65C50"/>
    <w:rsid w:val="63EF1280"/>
    <w:rsid w:val="63FE1B1D"/>
    <w:rsid w:val="64030466"/>
    <w:rsid w:val="64053424"/>
    <w:rsid w:val="64083EBA"/>
    <w:rsid w:val="640A6B8A"/>
    <w:rsid w:val="640E10D6"/>
    <w:rsid w:val="64243F39"/>
    <w:rsid w:val="64262637"/>
    <w:rsid w:val="643423CE"/>
    <w:rsid w:val="64351345"/>
    <w:rsid w:val="643C4C03"/>
    <w:rsid w:val="64430863"/>
    <w:rsid w:val="64441708"/>
    <w:rsid w:val="644B2E9F"/>
    <w:rsid w:val="6469042C"/>
    <w:rsid w:val="647944D1"/>
    <w:rsid w:val="647D7FBC"/>
    <w:rsid w:val="64802D6E"/>
    <w:rsid w:val="64805613"/>
    <w:rsid w:val="648A0240"/>
    <w:rsid w:val="64B11C70"/>
    <w:rsid w:val="64BD5DA3"/>
    <w:rsid w:val="64C67161"/>
    <w:rsid w:val="64D427F8"/>
    <w:rsid w:val="64E42046"/>
    <w:rsid w:val="64EA5182"/>
    <w:rsid w:val="64EC297E"/>
    <w:rsid w:val="64F102BF"/>
    <w:rsid w:val="64FE364A"/>
    <w:rsid w:val="650D2C1F"/>
    <w:rsid w:val="651B09EE"/>
    <w:rsid w:val="65337EC4"/>
    <w:rsid w:val="653C6A80"/>
    <w:rsid w:val="654B7228"/>
    <w:rsid w:val="654D7C2E"/>
    <w:rsid w:val="65505F7C"/>
    <w:rsid w:val="65827499"/>
    <w:rsid w:val="6593581A"/>
    <w:rsid w:val="659E0EA9"/>
    <w:rsid w:val="65C200D8"/>
    <w:rsid w:val="65C41297"/>
    <w:rsid w:val="65CD326E"/>
    <w:rsid w:val="65CF5000"/>
    <w:rsid w:val="65D969F1"/>
    <w:rsid w:val="65E5461B"/>
    <w:rsid w:val="65F20A51"/>
    <w:rsid w:val="65F468C3"/>
    <w:rsid w:val="66081D64"/>
    <w:rsid w:val="660B53B0"/>
    <w:rsid w:val="6614749F"/>
    <w:rsid w:val="661669E2"/>
    <w:rsid w:val="661B76D3"/>
    <w:rsid w:val="662B74D0"/>
    <w:rsid w:val="662D3578"/>
    <w:rsid w:val="663533F6"/>
    <w:rsid w:val="6638422C"/>
    <w:rsid w:val="663F14FE"/>
    <w:rsid w:val="663F7253"/>
    <w:rsid w:val="66415147"/>
    <w:rsid w:val="664D7777"/>
    <w:rsid w:val="667529CC"/>
    <w:rsid w:val="66763171"/>
    <w:rsid w:val="667D51BE"/>
    <w:rsid w:val="667E6793"/>
    <w:rsid w:val="66860EDB"/>
    <w:rsid w:val="669C0748"/>
    <w:rsid w:val="66A51361"/>
    <w:rsid w:val="66A80E51"/>
    <w:rsid w:val="66A8260B"/>
    <w:rsid w:val="66AB3962"/>
    <w:rsid w:val="66C12C09"/>
    <w:rsid w:val="66C15989"/>
    <w:rsid w:val="66C739CD"/>
    <w:rsid w:val="66C814F3"/>
    <w:rsid w:val="66DB514B"/>
    <w:rsid w:val="66DE6A20"/>
    <w:rsid w:val="66E6060C"/>
    <w:rsid w:val="66EB050D"/>
    <w:rsid w:val="66F150F1"/>
    <w:rsid w:val="67055E1B"/>
    <w:rsid w:val="672277D6"/>
    <w:rsid w:val="67290209"/>
    <w:rsid w:val="67290ACE"/>
    <w:rsid w:val="672F50CE"/>
    <w:rsid w:val="67307EB3"/>
    <w:rsid w:val="67355406"/>
    <w:rsid w:val="6739040E"/>
    <w:rsid w:val="673D3C8F"/>
    <w:rsid w:val="674E60A1"/>
    <w:rsid w:val="675C1E33"/>
    <w:rsid w:val="675D60DF"/>
    <w:rsid w:val="676129D2"/>
    <w:rsid w:val="67644C59"/>
    <w:rsid w:val="677B490E"/>
    <w:rsid w:val="677B7C35"/>
    <w:rsid w:val="6785559A"/>
    <w:rsid w:val="678673E4"/>
    <w:rsid w:val="678A6C8A"/>
    <w:rsid w:val="67955879"/>
    <w:rsid w:val="67A71109"/>
    <w:rsid w:val="67B5271A"/>
    <w:rsid w:val="67B57CC9"/>
    <w:rsid w:val="67B63F46"/>
    <w:rsid w:val="67C021CA"/>
    <w:rsid w:val="67E916C6"/>
    <w:rsid w:val="67E934CF"/>
    <w:rsid w:val="67EC408F"/>
    <w:rsid w:val="67FB68A8"/>
    <w:rsid w:val="67FE19E3"/>
    <w:rsid w:val="68071BA7"/>
    <w:rsid w:val="68125890"/>
    <w:rsid w:val="68153119"/>
    <w:rsid w:val="68172D06"/>
    <w:rsid w:val="681D485E"/>
    <w:rsid w:val="68247D63"/>
    <w:rsid w:val="682E5386"/>
    <w:rsid w:val="683B4874"/>
    <w:rsid w:val="683F7593"/>
    <w:rsid w:val="684352D5"/>
    <w:rsid w:val="684A64CD"/>
    <w:rsid w:val="684A6664"/>
    <w:rsid w:val="684F3C7A"/>
    <w:rsid w:val="689C5480"/>
    <w:rsid w:val="68A67612"/>
    <w:rsid w:val="68AE414D"/>
    <w:rsid w:val="68C6767F"/>
    <w:rsid w:val="68E424F2"/>
    <w:rsid w:val="68EB171F"/>
    <w:rsid w:val="68F12C01"/>
    <w:rsid w:val="68FA6539"/>
    <w:rsid w:val="69045669"/>
    <w:rsid w:val="69061428"/>
    <w:rsid w:val="690F3409"/>
    <w:rsid w:val="691724F7"/>
    <w:rsid w:val="6927078B"/>
    <w:rsid w:val="69286279"/>
    <w:rsid w:val="692D19E3"/>
    <w:rsid w:val="693F5EA4"/>
    <w:rsid w:val="69460607"/>
    <w:rsid w:val="694858F0"/>
    <w:rsid w:val="69550BFB"/>
    <w:rsid w:val="69694880"/>
    <w:rsid w:val="696A6B29"/>
    <w:rsid w:val="696E0A9A"/>
    <w:rsid w:val="69715E72"/>
    <w:rsid w:val="69750E21"/>
    <w:rsid w:val="6985687C"/>
    <w:rsid w:val="699851AD"/>
    <w:rsid w:val="69A048BD"/>
    <w:rsid w:val="69A71034"/>
    <w:rsid w:val="69A83492"/>
    <w:rsid w:val="69A9560C"/>
    <w:rsid w:val="69C27B02"/>
    <w:rsid w:val="69E623BC"/>
    <w:rsid w:val="69ED6F02"/>
    <w:rsid w:val="69EE7223"/>
    <w:rsid w:val="69FD14B4"/>
    <w:rsid w:val="6A014E78"/>
    <w:rsid w:val="6A056DDC"/>
    <w:rsid w:val="6A057393"/>
    <w:rsid w:val="6A0E1913"/>
    <w:rsid w:val="6A143694"/>
    <w:rsid w:val="6A1C0949"/>
    <w:rsid w:val="6A1E0A41"/>
    <w:rsid w:val="6A2E3F76"/>
    <w:rsid w:val="6A2E73C3"/>
    <w:rsid w:val="6A472B4C"/>
    <w:rsid w:val="6A624A98"/>
    <w:rsid w:val="6A63210D"/>
    <w:rsid w:val="6A8120E5"/>
    <w:rsid w:val="6A987C6F"/>
    <w:rsid w:val="6A9C2751"/>
    <w:rsid w:val="6AAA1DFE"/>
    <w:rsid w:val="6AAF79FF"/>
    <w:rsid w:val="6AC00E5F"/>
    <w:rsid w:val="6AC306AA"/>
    <w:rsid w:val="6AC33F7B"/>
    <w:rsid w:val="6AC60616"/>
    <w:rsid w:val="6AC87871"/>
    <w:rsid w:val="6AD26369"/>
    <w:rsid w:val="6AEB19C5"/>
    <w:rsid w:val="6AEF0234"/>
    <w:rsid w:val="6AF40B09"/>
    <w:rsid w:val="6B1557B1"/>
    <w:rsid w:val="6B193F82"/>
    <w:rsid w:val="6B3453A9"/>
    <w:rsid w:val="6B361E5E"/>
    <w:rsid w:val="6B39476E"/>
    <w:rsid w:val="6B450D39"/>
    <w:rsid w:val="6B4A1FF9"/>
    <w:rsid w:val="6B592AF9"/>
    <w:rsid w:val="6B633598"/>
    <w:rsid w:val="6B7E44A8"/>
    <w:rsid w:val="6B802B7B"/>
    <w:rsid w:val="6B851761"/>
    <w:rsid w:val="6B9D2F4E"/>
    <w:rsid w:val="6BA22313"/>
    <w:rsid w:val="6BAA2831"/>
    <w:rsid w:val="6BAF67DE"/>
    <w:rsid w:val="6BB32772"/>
    <w:rsid w:val="6BB641D1"/>
    <w:rsid w:val="6BCC4979"/>
    <w:rsid w:val="6BDD77EF"/>
    <w:rsid w:val="6BE23650"/>
    <w:rsid w:val="6BE75F78"/>
    <w:rsid w:val="6BFB26B9"/>
    <w:rsid w:val="6C003F58"/>
    <w:rsid w:val="6C0510AF"/>
    <w:rsid w:val="6C0A12A0"/>
    <w:rsid w:val="6C1E27FB"/>
    <w:rsid w:val="6C2125B9"/>
    <w:rsid w:val="6C273703"/>
    <w:rsid w:val="6C45127D"/>
    <w:rsid w:val="6C465394"/>
    <w:rsid w:val="6C477A48"/>
    <w:rsid w:val="6C497C2B"/>
    <w:rsid w:val="6C4D6279"/>
    <w:rsid w:val="6C691929"/>
    <w:rsid w:val="6C6B4DFB"/>
    <w:rsid w:val="6C80161C"/>
    <w:rsid w:val="6C8346BA"/>
    <w:rsid w:val="6C8C7A1A"/>
    <w:rsid w:val="6C8E07EB"/>
    <w:rsid w:val="6C9102FF"/>
    <w:rsid w:val="6C922387"/>
    <w:rsid w:val="6CAA1C24"/>
    <w:rsid w:val="6CC5763D"/>
    <w:rsid w:val="6CD7449F"/>
    <w:rsid w:val="6CED3FF7"/>
    <w:rsid w:val="6CEF50C6"/>
    <w:rsid w:val="6CF43A7A"/>
    <w:rsid w:val="6CF803B7"/>
    <w:rsid w:val="6CFD633E"/>
    <w:rsid w:val="6D192AA9"/>
    <w:rsid w:val="6D1A3AF6"/>
    <w:rsid w:val="6D281E21"/>
    <w:rsid w:val="6D295F60"/>
    <w:rsid w:val="6D347596"/>
    <w:rsid w:val="6D3909BE"/>
    <w:rsid w:val="6D596E90"/>
    <w:rsid w:val="6D645085"/>
    <w:rsid w:val="6D68758C"/>
    <w:rsid w:val="6D6D5995"/>
    <w:rsid w:val="6D82064E"/>
    <w:rsid w:val="6D860032"/>
    <w:rsid w:val="6DA07862"/>
    <w:rsid w:val="6DAB5AB0"/>
    <w:rsid w:val="6DAE7C8E"/>
    <w:rsid w:val="6DB63E53"/>
    <w:rsid w:val="6DCC18FB"/>
    <w:rsid w:val="6DD864C0"/>
    <w:rsid w:val="6DE33684"/>
    <w:rsid w:val="6DE60B88"/>
    <w:rsid w:val="6DEB5D49"/>
    <w:rsid w:val="6DF33D76"/>
    <w:rsid w:val="6DF40A60"/>
    <w:rsid w:val="6DFD3487"/>
    <w:rsid w:val="6DFF1AAA"/>
    <w:rsid w:val="6E015BBB"/>
    <w:rsid w:val="6E061D25"/>
    <w:rsid w:val="6E0F7A08"/>
    <w:rsid w:val="6E2B7977"/>
    <w:rsid w:val="6E2E4063"/>
    <w:rsid w:val="6E322029"/>
    <w:rsid w:val="6E3C285F"/>
    <w:rsid w:val="6E562AD8"/>
    <w:rsid w:val="6E5B561D"/>
    <w:rsid w:val="6E5E6D9D"/>
    <w:rsid w:val="6E6F5EAC"/>
    <w:rsid w:val="6E772037"/>
    <w:rsid w:val="6E786804"/>
    <w:rsid w:val="6E8250F1"/>
    <w:rsid w:val="6E846A90"/>
    <w:rsid w:val="6E9D5013"/>
    <w:rsid w:val="6EAD16FA"/>
    <w:rsid w:val="6EC57260"/>
    <w:rsid w:val="6ECB4CD8"/>
    <w:rsid w:val="6ECE1BA8"/>
    <w:rsid w:val="6ECF5D6D"/>
    <w:rsid w:val="6EDC418C"/>
    <w:rsid w:val="6EE67590"/>
    <w:rsid w:val="6EEA69AD"/>
    <w:rsid w:val="6EEE6498"/>
    <w:rsid w:val="6EFD1D73"/>
    <w:rsid w:val="6EFD5AB2"/>
    <w:rsid w:val="6F053C43"/>
    <w:rsid w:val="6F075837"/>
    <w:rsid w:val="6F1B6067"/>
    <w:rsid w:val="6F256125"/>
    <w:rsid w:val="6F2620DC"/>
    <w:rsid w:val="6F28453E"/>
    <w:rsid w:val="6F4656AB"/>
    <w:rsid w:val="6F49551F"/>
    <w:rsid w:val="6F540B15"/>
    <w:rsid w:val="6F54601A"/>
    <w:rsid w:val="6F597080"/>
    <w:rsid w:val="6F6024DD"/>
    <w:rsid w:val="6F626E48"/>
    <w:rsid w:val="6F6A3C2E"/>
    <w:rsid w:val="6F812184"/>
    <w:rsid w:val="6F845B2B"/>
    <w:rsid w:val="6F8D5088"/>
    <w:rsid w:val="6F970471"/>
    <w:rsid w:val="6F974654"/>
    <w:rsid w:val="6F975F07"/>
    <w:rsid w:val="6FC51A41"/>
    <w:rsid w:val="6FC532F8"/>
    <w:rsid w:val="6FD8258B"/>
    <w:rsid w:val="6FE32EFA"/>
    <w:rsid w:val="6FEC1DAE"/>
    <w:rsid w:val="6FF8441E"/>
    <w:rsid w:val="70300C7F"/>
    <w:rsid w:val="70385739"/>
    <w:rsid w:val="704020FA"/>
    <w:rsid w:val="70457711"/>
    <w:rsid w:val="704A5564"/>
    <w:rsid w:val="706C2F1E"/>
    <w:rsid w:val="70751679"/>
    <w:rsid w:val="708B47AA"/>
    <w:rsid w:val="70981E9C"/>
    <w:rsid w:val="709F2104"/>
    <w:rsid w:val="70A47E6A"/>
    <w:rsid w:val="70B52D25"/>
    <w:rsid w:val="70B97A34"/>
    <w:rsid w:val="70BD46B3"/>
    <w:rsid w:val="70BF0194"/>
    <w:rsid w:val="70C36F04"/>
    <w:rsid w:val="70C57B72"/>
    <w:rsid w:val="70C740E1"/>
    <w:rsid w:val="70D319E7"/>
    <w:rsid w:val="70D75F53"/>
    <w:rsid w:val="70D80585"/>
    <w:rsid w:val="70EC468E"/>
    <w:rsid w:val="70EE7DA8"/>
    <w:rsid w:val="70FB4C6C"/>
    <w:rsid w:val="70FD71A6"/>
    <w:rsid w:val="71082AAC"/>
    <w:rsid w:val="71202DBA"/>
    <w:rsid w:val="712C6061"/>
    <w:rsid w:val="71455837"/>
    <w:rsid w:val="71614A1E"/>
    <w:rsid w:val="71902BFF"/>
    <w:rsid w:val="719A5DCE"/>
    <w:rsid w:val="71A74762"/>
    <w:rsid w:val="71BA28B0"/>
    <w:rsid w:val="71BD203C"/>
    <w:rsid w:val="71D76943"/>
    <w:rsid w:val="72035AD5"/>
    <w:rsid w:val="72127AC6"/>
    <w:rsid w:val="72135D18"/>
    <w:rsid w:val="72172DD6"/>
    <w:rsid w:val="72190E55"/>
    <w:rsid w:val="723E4170"/>
    <w:rsid w:val="724759C2"/>
    <w:rsid w:val="72516841"/>
    <w:rsid w:val="726241D7"/>
    <w:rsid w:val="726A16B0"/>
    <w:rsid w:val="726F7761"/>
    <w:rsid w:val="72780225"/>
    <w:rsid w:val="727C5F33"/>
    <w:rsid w:val="727F77F5"/>
    <w:rsid w:val="72816D82"/>
    <w:rsid w:val="729C3F60"/>
    <w:rsid w:val="72B70089"/>
    <w:rsid w:val="72B73C27"/>
    <w:rsid w:val="72BF7DD0"/>
    <w:rsid w:val="72C7009D"/>
    <w:rsid w:val="72DB0E40"/>
    <w:rsid w:val="72FD42D3"/>
    <w:rsid w:val="72FF004B"/>
    <w:rsid w:val="730B6BCA"/>
    <w:rsid w:val="731F249B"/>
    <w:rsid w:val="73253671"/>
    <w:rsid w:val="73306456"/>
    <w:rsid w:val="73317A27"/>
    <w:rsid w:val="73357E69"/>
    <w:rsid w:val="733817AF"/>
    <w:rsid w:val="735A7977"/>
    <w:rsid w:val="735B6DB7"/>
    <w:rsid w:val="735C2691"/>
    <w:rsid w:val="737353DE"/>
    <w:rsid w:val="73767F05"/>
    <w:rsid w:val="7379604F"/>
    <w:rsid w:val="73886292"/>
    <w:rsid w:val="73935567"/>
    <w:rsid w:val="73983F2D"/>
    <w:rsid w:val="73A62438"/>
    <w:rsid w:val="73BA21C4"/>
    <w:rsid w:val="73BA3CC2"/>
    <w:rsid w:val="73BE02D8"/>
    <w:rsid w:val="73D50144"/>
    <w:rsid w:val="73D61A40"/>
    <w:rsid w:val="73E027CB"/>
    <w:rsid w:val="73E060CE"/>
    <w:rsid w:val="73F05BE5"/>
    <w:rsid w:val="73F602AE"/>
    <w:rsid w:val="73FD477F"/>
    <w:rsid w:val="740D1EA9"/>
    <w:rsid w:val="741E5489"/>
    <w:rsid w:val="741F7825"/>
    <w:rsid w:val="74274FCC"/>
    <w:rsid w:val="742F7A23"/>
    <w:rsid w:val="74325266"/>
    <w:rsid w:val="7452064E"/>
    <w:rsid w:val="745443C6"/>
    <w:rsid w:val="74685677"/>
    <w:rsid w:val="74895730"/>
    <w:rsid w:val="74943E9C"/>
    <w:rsid w:val="749A50E1"/>
    <w:rsid w:val="749B1FF5"/>
    <w:rsid w:val="749F1AE5"/>
    <w:rsid w:val="74A0551B"/>
    <w:rsid w:val="74A30713"/>
    <w:rsid w:val="74B6122E"/>
    <w:rsid w:val="74CA6436"/>
    <w:rsid w:val="74D15A15"/>
    <w:rsid w:val="74EE481B"/>
    <w:rsid w:val="750F7705"/>
    <w:rsid w:val="751C3441"/>
    <w:rsid w:val="75241FEA"/>
    <w:rsid w:val="75275B9B"/>
    <w:rsid w:val="75275C40"/>
    <w:rsid w:val="752D0D38"/>
    <w:rsid w:val="75306550"/>
    <w:rsid w:val="753560F9"/>
    <w:rsid w:val="75442FF2"/>
    <w:rsid w:val="75604F8E"/>
    <w:rsid w:val="75795A4A"/>
    <w:rsid w:val="758A424E"/>
    <w:rsid w:val="758E3C4E"/>
    <w:rsid w:val="75947170"/>
    <w:rsid w:val="75A44310"/>
    <w:rsid w:val="75B52BD6"/>
    <w:rsid w:val="75B72D40"/>
    <w:rsid w:val="75BB6DDA"/>
    <w:rsid w:val="75BC0475"/>
    <w:rsid w:val="75C84C1B"/>
    <w:rsid w:val="75D25EEA"/>
    <w:rsid w:val="75E2374B"/>
    <w:rsid w:val="75E85141"/>
    <w:rsid w:val="760A3051"/>
    <w:rsid w:val="760B6D06"/>
    <w:rsid w:val="761262E7"/>
    <w:rsid w:val="76155DFB"/>
    <w:rsid w:val="761C0F14"/>
    <w:rsid w:val="76230272"/>
    <w:rsid w:val="76263B40"/>
    <w:rsid w:val="76360227"/>
    <w:rsid w:val="76371C9A"/>
    <w:rsid w:val="763E40F3"/>
    <w:rsid w:val="76435113"/>
    <w:rsid w:val="764D35D7"/>
    <w:rsid w:val="76581B86"/>
    <w:rsid w:val="76587738"/>
    <w:rsid w:val="765A1DB4"/>
    <w:rsid w:val="765A68B9"/>
    <w:rsid w:val="7662023E"/>
    <w:rsid w:val="76643AE7"/>
    <w:rsid w:val="767A306F"/>
    <w:rsid w:val="7684793E"/>
    <w:rsid w:val="769767EC"/>
    <w:rsid w:val="76983734"/>
    <w:rsid w:val="76A235BC"/>
    <w:rsid w:val="76B577B3"/>
    <w:rsid w:val="76C02622"/>
    <w:rsid w:val="76F62536"/>
    <w:rsid w:val="76F63F8E"/>
    <w:rsid w:val="7705394C"/>
    <w:rsid w:val="77471B48"/>
    <w:rsid w:val="77541DD9"/>
    <w:rsid w:val="775B3563"/>
    <w:rsid w:val="77737259"/>
    <w:rsid w:val="77750B1E"/>
    <w:rsid w:val="77785FC0"/>
    <w:rsid w:val="777C69F4"/>
    <w:rsid w:val="7782124A"/>
    <w:rsid w:val="779D6D1F"/>
    <w:rsid w:val="77B37656"/>
    <w:rsid w:val="77C3377A"/>
    <w:rsid w:val="77C35AEB"/>
    <w:rsid w:val="77C655DB"/>
    <w:rsid w:val="77C74EAF"/>
    <w:rsid w:val="77DE46D3"/>
    <w:rsid w:val="77E029D6"/>
    <w:rsid w:val="77E617D9"/>
    <w:rsid w:val="77EB6DF0"/>
    <w:rsid w:val="77EB6E04"/>
    <w:rsid w:val="77F43EF6"/>
    <w:rsid w:val="77FE2FC7"/>
    <w:rsid w:val="78024049"/>
    <w:rsid w:val="780802FA"/>
    <w:rsid w:val="78177082"/>
    <w:rsid w:val="78212811"/>
    <w:rsid w:val="783D0751"/>
    <w:rsid w:val="785051F3"/>
    <w:rsid w:val="78616FFC"/>
    <w:rsid w:val="78632E2A"/>
    <w:rsid w:val="78646F86"/>
    <w:rsid w:val="787057C4"/>
    <w:rsid w:val="78727E4E"/>
    <w:rsid w:val="7873289B"/>
    <w:rsid w:val="787B63C5"/>
    <w:rsid w:val="78880AE2"/>
    <w:rsid w:val="78886D34"/>
    <w:rsid w:val="78922979"/>
    <w:rsid w:val="78964FAD"/>
    <w:rsid w:val="78A23952"/>
    <w:rsid w:val="78A526FF"/>
    <w:rsid w:val="78AE072B"/>
    <w:rsid w:val="78AE0DB3"/>
    <w:rsid w:val="78B638A1"/>
    <w:rsid w:val="78C7160B"/>
    <w:rsid w:val="78CE6947"/>
    <w:rsid w:val="78EA1B6E"/>
    <w:rsid w:val="78F349FC"/>
    <w:rsid w:val="791D122B"/>
    <w:rsid w:val="79294073"/>
    <w:rsid w:val="792B34EF"/>
    <w:rsid w:val="792B7DEB"/>
    <w:rsid w:val="79325BEF"/>
    <w:rsid w:val="793403A5"/>
    <w:rsid w:val="793B3DA7"/>
    <w:rsid w:val="79420C91"/>
    <w:rsid w:val="797445F1"/>
    <w:rsid w:val="79821A9D"/>
    <w:rsid w:val="79A75DED"/>
    <w:rsid w:val="79BB0B66"/>
    <w:rsid w:val="79BC3EB0"/>
    <w:rsid w:val="79C478F8"/>
    <w:rsid w:val="79C54D55"/>
    <w:rsid w:val="79D02741"/>
    <w:rsid w:val="79D25219"/>
    <w:rsid w:val="79DE0072"/>
    <w:rsid w:val="79F20909"/>
    <w:rsid w:val="79F66AF3"/>
    <w:rsid w:val="79FB3A1A"/>
    <w:rsid w:val="7A0648A7"/>
    <w:rsid w:val="7A096D9E"/>
    <w:rsid w:val="7A0E5017"/>
    <w:rsid w:val="7A116EA2"/>
    <w:rsid w:val="7A1350B3"/>
    <w:rsid w:val="7A2041A1"/>
    <w:rsid w:val="7A2E7B6A"/>
    <w:rsid w:val="7A3D378A"/>
    <w:rsid w:val="7A4A42A1"/>
    <w:rsid w:val="7A4D2AE1"/>
    <w:rsid w:val="7A676AD2"/>
    <w:rsid w:val="7A7520B6"/>
    <w:rsid w:val="7A7B50B2"/>
    <w:rsid w:val="7A886B78"/>
    <w:rsid w:val="7A8D0632"/>
    <w:rsid w:val="7A940CEF"/>
    <w:rsid w:val="7AA42D9E"/>
    <w:rsid w:val="7AB80E65"/>
    <w:rsid w:val="7AB908C6"/>
    <w:rsid w:val="7AC06311"/>
    <w:rsid w:val="7AEF6BF7"/>
    <w:rsid w:val="7AF97A75"/>
    <w:rsid w:val="7AFA5152"/>
    <w:rsid w:val="7AFB1A3F"/>
    <w:rsid w:val="7B0669E6"/>
    <w:rsid w:val="7B3F7C9E"/>
    <w:rsid w:val="7B5353D8"/>
    <w:rsid w:val="7B53600E"/>
    <w:rsid w:val="7B590712"/>
    <w:rsid w:val="7B660B9C"/>
    <w:rsid w:val="7B7E43E3"/>
    <w:rsid w:val="7B854D36"/>
    <w:rsid w:val="7B864A64"/>
    <w:rsid w:val="7B973491"/>
    <w:rsid w:val="7BA6526A"/>
    <w:rsid w:val="7BB43953"/>
    <w:rsid w:val="7BB87930"/>
    <w:rsid w:val="7BC96724"/>
    <w:rsid w:val="7BD15117"/>
    <w:rsid w:val="7BD27A5D"/>
    <w:rsid w:val="7BDF0A19"/>
    <w:rsid w:val="7BE1477E"/>
    <w:rsid w:val="7BED243C"/>
    <w:rsid w:val="7BED5740"/>
    <w:rsid w:val="7BF54F1B"/>
    <w:rsid w:val="7C010D1F"/>
    <w:rsid w:val="7C085991"/>
    <w:rsid w:val="7C2B29AB"/>
    <w:rsid w:val="7C37476C"/>
    <w:rsid w:val="7C445F6B"/>
    <w:rsid w:val="7C465062"/>
    <w:rsid w:val="7C4A252D"/>
    <w:rsid w:val="7C4A67DB"/>
    <w:rsid w:val="7C4F3EB5"/>
    <w:rsid w:val="7C4F77D4"/>
    <w:rsid w:val="7C550AA2"/>
    <w:rsid w:val="7C567936"/>
    <w:rsid w:val="7C5D397B"/>
    <w:rsid w:val="7C5F05AB"/>
    <w:rsid w:val="7C6B1D2B"/>
    <w:rsid w:val="7C75137E"/>
    <w:rsid w:val="7C923CDE"/>
    <w:rsid w:val="7C9C1750"/>
    <w:rsid w:val="7C9F18C8"/>
    <w:rsid w:val="7CA0289E"/>
    <w:rsid w:val="7CBA4636"/>
    <w:rsid w:val="7CC72DC3"/>
    <w:rsid w:val="7CE81B50"/>
    <w:rsid w:val="7D1564DB"/>
    <w:rsid w:val="7D1A3036"/>
    <w:rsid w:val="7D212011"/>
    <w:rsid w:val="7D2A660C"/>
    <w:rsid w:val="7D366731"/>
    <w:rsid w:val="7D3B5AC2"/>
    <w:rsid w:val="7D3D1E9B"/>
    <w:rsid w:val="7D513B99"/>
    <w:rsid w:val="7D5353F5"/>
    <w:rsid w:val="7D552799"/>
    <w:rsid w:val="7D6F7660"/>
    <w:rsid w:val="7D7B1F42"/>
    <w:rsid w:val="7D8B6E4D"/>
    <w:rsid w:val="7D8E1243"/>
    <w:rsid w:val="7D935F5F"/>
    <w:rsid w:val="7DA95783"/>
    <w:rsid w:val="7DAA70EE"/>
    <w:rsid w:val="7DD32800"/>
    <w:rsid w:val="7DD52BE0"/>
    <w:rsid w:val="7DDE31B9"/>
    <w:rsid w:val="7DE467BB"/>
    <w:rsid w:val="7DFA7D8C"/>
    <w:rsid w:val="7E012B5A"/>
    <w:rsid w:val="7E09289C"/>
    <w:rsid w:val="7E133C92"/>
    <w:rsid w:val="7E150010"/>
    <w:rsid w:val="7E176C01"/>
    <w:rsid w:val="7E1A4D7A"/>
    <w:rsid w:val="7E2D63B4"/>
    <w:rsid w:val="7E35461F"/>
    <w:rsid w:val="7E361EBB"/>
    <w:rsid w:val="7E525835"/>
    <w:rsid w:val="7E5E47BF"/>
    <w:rsid w:val="7E5F4018"/>
    <w:rsid w:val="7E6943E0"/>
    <w:rsid w:val="7E7E10FB"/>
    <w:rsid w:val="7E843835"/>
    <w:rsid w:val="7E8C712F"/>
    <w:rsid w:val="7E993502"/>
    <w:rsid w:val="7EA0044B"/>
    <w:rsid w:val="7EA87DB4"/>
    <w:rsid w:val="7ECA3E11"/>
    <w:rsid w:val="7ED405DD"/>
    <w:rsid w:val="7ED62316"/>
    <w:rsid w:val="7EE36A72"/>
    <w:rsid w:val="7EF4608E"/>
    <w:rsid w:val="7EFE1AFE"/>
    <w:rsid w:val="7F0A3FFF"/>
    <w:rsid w:val="7F196938"/>
    <w:rsid w:val="7F2210EE"/>
    <w:rsid w:val="7F46773E"/>
    <w:rsid w:val="7F4B6252"/>
    <w:rsid w:val="7F5027ED"/>
    <w:rsid w:val="7F547970"/>
    <w:rsid w:val="7F5E2CF2"/>
    <w:rsid w:val="7F7B4EFD"/>
    <w:rsid w:val="7F995383"/>
    <w:rsid w:val="7FAE0E2E"/>
    <w:rsid w:val="7FBA59C5"/>
    <w:rsid w:val="7FCC4CBB"/>
    <w:rsid w:val="7FCD343C"/>
    <w:rsid w:val="7FE14118"/>
    <w:rsid w:val="7FE20888"/>
    <w:rsid w:val="7FEE1B73"/>
    <w:rsid w:val="7FF865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jc w:val="left"/>
    </w:pPr>
    <w:rPr>
      <w:rFonts w:asciiTheme="minorHAnsi" w:hAnsiTheme="minorHAnsi" w:eastAsiaTheme="minorEastAsia" w:cstheme="minorBidi"/>
      <w:kern w:val="0"/>
      <w:sz w:val="24"/>
      <w:szCs w:val="24"/>
      <w:lang w:val="en-US" w:eastAsia="zh-CN" w:bidi="ar"/>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6">
    <w:name w:val="Default Paragraph Font"/>
    <w:autoRedefine/>
    <w:semiHidden/>
    <w:qFormat/>
    <w:uiPriority w:val="0"/>
  </w:style>
  <w:style w:type="table" w:default="1" w:styleId="14">
    <w:name w:val="Normal Table"/>
    <w:autoRedefine/>
    <w:semiHidden/>
    <w:qFormat/>
    <w:uiPriority w:val="0"/>
    <w:tblPr>
      <w:tblCellMar>
        <w:top w:w="0" w:type="dxa"/>
        <w:left w:w="108" w:type="dxa"/>
        <w:bottom w:w="0" w:type="dxa"/>
        <w:right w:w="108" w:type="dxa"/>
      </w:tblCellMar>
    </w:tblPr>
  </w:style>
  <w:style w:type="paragraph" w:styleId="4">
    <w:name w:val="Body Text"/>
    <w:basedOn w:val="1"/>
    <w:next w:val="5"/>
    <w:autoRedefine/>
    <w:qFormat/>
    <w:uiPriority w:val="1"/>
    <w:rPr>
      <w:sz w:val="28"/>
      <w:szCs w:val="28"/>
    </w:rPr>
  </w:style>
  <w:style w:type="paragraph" w:styleId="5">
    <w:name w:val="toc 5"/>
    <w:basedOn w:val="1"/>
    <w:next w:val="1"/>
    <w:qFormat/>
    <w:uiPriority w:val="0"/>
    <w:pPr>
      <w:ind w:left="1680" w:leftChars="800"/>
    </w:pPr>
    <w:rPr>
      <w:rFonts w:ascii="Times New Roman" w:hAnsi="Times New Roman" w:eastAsia="宋体" w:cs="Times New Roman"/>
      <w:szCs w:val="24"/>
    </w:rPr>
  </w:style>
  <w:style w:type="paragraph" w:styleId="6">
    <w:name w:val="Body Text Indent"/>
    <w:basedOn w:val="1"/>
    <w:qFormat/>
    <w:uiPriority w:val="0"/>
    <w:pPr>
      <w:ind w:firstLine="720" w:firstLineChars="257"/>
    </w:pPr>
    <w:rPr>
      <w:rFonts w:ascii="Calibri" w:hAnsi="Calibri" w:cs="Times New Roman"/>
      <w:kern w:val="0"/>
      <w:sz w:val="20"/>
    </w:rPr>
  </w:style>
  <w:style w:type="paragraph" w:styleId="7">
    <w:name w:val="Body Text Indent 2"/>
    <w:basedOn w:val="1"/>
    <w:qFormat/>
    <w:uiPriority w:val="0"/>
    <w:pPr>
      <w:spacing w:after="120" w:line="480" w:lineRule="auto"/>
      <w:ind w:left="420" w:leftChars="200"/>
    </w:pPr>
  </w:style>
  <w:style w:type="paragraph" w:styleId="8">
    <w:name w:val="footer"/>
    <w:basedOn w:val="1"/>
    <w:unhideWhenUsed/>
    <w:qFormat/>
    <w:uiPriority w:val="99"/>
    <w:pPr>
      <w:tabs>
        <w:tab w:val="center" w:pos="4153"/>
        <w:tab w:val="right" w:pos="8306"/>
      </w:tabs>
      <w:snapToGrid w:val="0"/>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0"/>
  </w:style>
  <w:style w:type="paragraph" w:styleId="11">
    <w:name w:val="toc 2"/>
    <w:basedOn w:val="1"/>
    <w:next w:val="1"/>
    <w:autoRedefine/>
    <w:qFormat/>
    <w:uiPriority w:val="0"/>
    <w:pPr>
      <w:ind w:left="420" w:leftChars="200"/>
    </w:pPr>
  </w:style>
  <w:style w:type="paragraph" w:styleId="12">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3">
    <w:name w:val="Body Text First Indent 2"/>
    <w:basedOn w:val="6"/>
    <w:qFormat/>
    <w:uiPriority w:val="0"/>
    <w:pPr>
      <w:ind w:firstLine="420" w:firstLineChars="200"/>
    </w:pPr>
  </w:style>
  <w:style w:type="table" w:styleId="15">
    <w:name w:val="Table Grid"/>
    <w:basedOn w:val="1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autoRedefine/>
    <w:qFormat/>
    <w:uiPriority w:val="0"/>
    <w:rPr>
      <w:b/>
    </w:rPr>
  </w:style>
  <w:style w:type="paragraph" w:customStyle="1" w:styleId="18">
    <w:name w:val="Table Text"/>
    <w:basedOn w:val="1"/>
    <w:autoRedefine/>
    <w:semiHidden/>
    <w:qFormat/>
    <w:uiPriority w:val="0"/>
    <w:rPr>
      <w:rFonts w:ascii="宋体" w:hAnsi="宋体" w:eastAsia="宋体" w:cs="宋体"/>
      <w:sz w:val="18"/>
      <w:szCs w:val="18"/>
      <w:lang w:val="en-US" w:eastAsia="en-US" w:bidi="ar-SA"/>
    </w:rPr>
  </w:style>
  <w:style w:type="character" w:customStyle="1" w:styleId="19">
    <w:name w:val="font41"/>
    <w:basedOn w:val="16"/>
    <w:autoRedefine/>
    <w:qFormat/>
    <w:uiPriority w:val="0"/>
    <w:rPr>
      <w:rFonts w:hint="eastAsia" w:ascii="宋体" w:hAnsi="宋体" w:eastAsia="宋体" w:cs="宋体"/>
      <w:color w:val="000000"/>
      <w:sz w:val="18"/>
      <w:szCs w:val="18"/>
      <w:u w:val="none"/>
    </w:rPr>
  </w:style>
  <w:style w:type="character" w:customStyle="1" w:styleId="20">
    <w:name w:val="font51"/>
    <w:basedOn w:val="16"/>
    <w:autoRedefine/>
    <w:qFormat/>
    <w:uiPriority w:val="0"/>
    <w:rPr>
      <w:rFonts w:hint="eastAsia" w:ascii="宋体" w:hAnsi="宋体" w:eastAsia="宋体" w:cs="宋体"/>
      <w:color w:val="000000"/>
      <w:sz w:val="18"/>
      <w:szCs w:val="18"/>
      <w:u w:val="none"/>
    </w:rPr>
  </w:style>
  <w:style w:type="character" w:customStyle="1" w:styleId="21">
    <w:name w:val="font11"/>
    <w:basedOn w:val="16"/>
    <w:qFormat/>
    <w:uiPriority w:val="0"/>
    <w:rPr>
      <w:rFonts w:hint="eastAsia" w:ascii="宋体" w:hAnsi="宋体" w:eastAsia="宋体" w:cs="宋体"/>
      <w:color w:val="000000"/>
      <w:sz w:val="22"/>
      <w:szCs w:val="22"/>
      <w:u w:val="none"/>
    </w:rPr>
  </w:style>
  <w:style w:type="character" w:customStyle="1" w:styleId="22">
    <w:name w:val="font21"/>
    <w:basedOn w:val="16"/>
    <w:qFormat/>
    <w:uiPriority w:val="0"/>
    <w:rPr>
      <w:rFonts w:hint="eastAsia" w:ascii="宋体" w:hAnsi="宋体" w:eastAsia="宋体" w:cs="宋体"/>
      <w:color w:val="000000"/>
      <w:sz w:val="21"/>
      <w:szCs w:val="21"/>
      <w:u w:val="none"/>
    </w:rPr>
  </w:style>
  <w:style w:type="character" w:customStyle="1" w:styleId="23">
    <w:name w:val="font01"/>
    <w:basedOn w:val="16"/>
    <w:qFormat/>
    <w:uiPriority w:val="0"/>
    <w:rPr>
      <w:rFonts w:hint="eastAsia" w:ascii="宋体" w:hAnsi="宋体" w:eastAsia="宋体" w:cs="宋体"/>
      <w:color w:val="000000"/>
      <w:sz w:val="22"/>
      <w:szCs w:val="22"/>
      <w:u w:val="none"/>
    </w:rPr>
  </w:style>
  <w:style w:type="character" w:customStyle="1" w:styleId="24">
    <w:name w:val="font31"/>
    <w:basedOn w:val="16"/>
    <w:qFormat/>
    <w:uiPriority w:val="0"/>
    <w:rPr>
      <w:rFonts w:ascii="Arial" w:hAnsi="Arial" w:cs="Arial"/>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image" Target="media/image2.emf"/><Relationship Id="rId7" Type="http://schemas.openxmlformats.org/officeDocument/2006/relationships/image" Target="media/image1.emf"/><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2.emf"/><Relationship Id="rId30" Type="http://schemas.openxmlformats.org/officeDocument/2006/relationships/image" Target="media/image21.emf"/><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emf"/><Relationship Id="rId23" Type="http://schemas.openxmlformats.org/officeDocument/2006/relationships/image" Target="media/image14.emf"/><Relationship Id="rId22" Type="http://schemas.openxmlformats.org/officeDocument/2006/relationships/image" Target="media/image13.emf"/><Relationship Id="rId21" Type="http://schemas.openxmlformats.org/officeDocument/2006/relationships/image" Target="media/image12.emf"/><Relationship Id="rId20" Type="http://schemas.openxmlformats.org/officeDocument/2006/relationships/image" Target="media/image11.emf"/><Relationship Id="rId2" Type="http://schemas.openxmlformats.org/officeDocument/2006/relationships/settings" Target="settings.xml"/><Relationship Id="rId19" Type="http://schemas.openxmlformats.org/officeDocument/2006/relationships/image" Target="media/image10.emf"/><Relationship Id="rId18" Type="http://schemas.openxmlformats.org/officeDocument/2006/relationships/chart" Target="charts/chart3.xml"/><Relationship Id="rId17" Type="http://schemas.openxmlformats.org/officeDocument/2006/relationships/image" Target="media/image9.emf"/><Relationship Id="rId16" Type="http://schemas.openxmlformats.org/officeDocument/2006/relationships/image" Target="media/image8.emf"/><Relationship Id="rId15" Type="http://schemas.openxmlformats.org/officeDocument/2006/relationships/image" Target="media/image7.emf"/><Relationship Id="rId14" Type="http://schemas.openxmlformats.org/officeDocument/2006/relationships/chart" Target="charts/chart2.xml"/><Relationship Id="rId13" Type="http://schemas.openxmlformats.org/officeDocument/2006/relationships/image" Target="media/image6.emf"/><Relationship Id="rId12" Type="http://schemas.openxmlformats.org/officeDocument/2006/relationships/image" Target="media/image5.emf"/><Relationship Id="rId11" Type="http://schemas.openxmlformats.org/officeDocument/2006/relationships/chart" Target="charts/chart1.xml"/><Relationship Id="rId10" Type="http://schemas.openxmlformats.org/officeDocument/2006/relationships/image" Target="media/image4.emf"/><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E:\2025.2.1-2025.4.30\7.7.7&#32489;&#25928;&#25253;&#21578;&#31609;&#22791;&#38454;&#27573;&#21450;&#19994;&#21153;&#38454;&#27573;\1&#27491;&#24335;&#36164;&#26009;&#21450;&#35201;&#27714;&#23454;&#26045;&#38454;&#27573;\000004.8&#21306;&#32489;&#25928;&#35780;&#20215;&#36827;&#22330;&#19994;&#21153;&#21450;&#23567;&#32467;\1&#32489;&#25928;&#35780;&#20215;&#19994;&#21153;2025.4&#19994;&#21153;&#27719;&#24635;\A&#32452;&#24213;&#31295;\1&#21495;&#36130;&#25919;&#23616;-&#32489;&#25928;&#25253;&#21578;&#25552;&#20379;\1&#21495;&#32489;&#25928;&#25552;&#20379;\&#25903;&#20184;&#20973;&#35777;&#26126;&#32454;&#25253;&#34920;&#26597;&#35810;%20(&#36130;&#25919;&#23616;2024&#24180;).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E:\2025.2.1-2025.4.30\7.7.7&#32489;&#25928;&#25253;&#21578;&#31609;&#22791;&#38454;&#27573;&#21450;&#19994;&#21153;&#38454;&#27573;\1&#27491;&#24335;&#36164;&#26009;&#21450;&#35201;&#27714;&#23454;&#26045;&#38454;&#27573;\000004.8&#21306;&#32489;&#25928;&#35780;&#20215;&#36827;&#22330;&#19994;&#21153;&#21450;&#23567;&#32467;\1&#32489;&#25928;&#35780;&#20215;&#19994;&#21153;2025.4&#19994;&#21153;&#27719;&#24635;\A&#32452;&#24213;&#31295;\1&#21495;&#36130;&#25919;&#23616;-&#32489;&#25928;&#25253;&#21578;&#25552;&#20379;\1&#21495;&#32489;&#25928;&#25552;&#20379;\&#21333;&#20301;&#25351;&#26631;&#26597;&#35810;&#34920;%20(&#36130;&#25919;&#23616;2024).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2025.2.1-2025.4.30\7.7.7&#32489;&#25928;&#25253;&#21578;&#31609;&#22791;&#38454;&#27573;&#21450;&#19994;&#21153;&#38454;&#27573;\1&#27491;&#24335;&#36164;&#26009;&#21450;&#35201;&#27714;&#23454;&#26045;&#38454;&#27573;\000004.8&#21306;&#32489;&#25928;&#35780;&#20215;&#36827;&#22330;&#19994;&#21153;&#21450;&#23567;&#32467;\1&#32489;&#25928;&#35780;&#20215;&#19994;&#21153;2025.4&#19994;&#21153;&#27719;&#24635;\A&#32452;&#24213;&#31295;\1&#21495;&#36130;&#25919;&#23616;-&#32489;&#25928;&#25253;&#21578;&#25552;&#20379;\&#21306;&#36130;&#25919;&#24213;&#31295;(2024-01-01&#21040;2024-12-3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财政授权支付与财政直接支付图（金额：元）</a:t>
            </a:r>
          </a:p>
        </c:rich>
      </c:tx>
      <c:layout/>
      <c:overlay val="0"/>
      <c:spPr>
        <a:noFill/>
        <a:ln>
          <a:noFill/>
        </a:ln>
        <a:effectLst/>
      </c:spPr>
    </c:title>
    <c:autoTitleDeleted val="0"/>
    <c:plotArea>
      <c:layout/>
      <c:pieChart>
        <c:varyColors val="1"/>
        <c:ser>
          <c:idx val="0"/>
          <c:order val="0"/>
          <c:tx>
            <c:strRef>
              <c:f>'[支付凭证明细报表查询 (财政局2024年).xlsx]Sheet3'!$F$40</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dLbl>
              <c:idx val="0"/>
              <c:layout/>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'[支付凭证明细报表查询 (财政局2024年).xlsx]Sheet3'!$E$41:$E$42</c:f>
              <c:strCache>
                <c:ptCount val="2"/>
                <c:pt idx="0">
                  <c:v>雁峰区财政局</c:v>
                </c:pt>
                <c:pt idx="1">
                  <c:v>雁峰区财政局零余额账户</c:v>
                </c:pt>
              </c:strCache>
            </c:strRef>
          </c:cat>
          <c:val>
            <c:numRef>
              <c:f>'[支付凭证明细报表查询 (财政局2024年).xlsx]Sheet3'!$F$41:$F$42</c:f>
              <c:numCache>
                <c:formatCode>_ * #,##0.00_ ;_ * \-#,##0.00_ ;_ * "-"??_ ;_ @_ </c:formatCode>
                <c:ptCount val="2"/>
                <c:pt idx="0">
                  <c:v>7275842.33</c:v>
                </c:pt>
                <c:pt idx="1">
                  <c:v>2504236</c:v>
                </c:pt>
              </c:numCache>
            </c:numRef>
          </c:val>
          <c:extLst>
            <c:ext xmlns:c15="http://schemas.microsoft.com/office/drawing/2012/chart" uri="{02D57815-91ED-43cb-92C2-25804820EDAC}">
              <c15:datalabelsRange>
                <c15:f>Sheet3!$E$41:$E$42</c15:f>
                <c15:dlblRangeCache>
                  <c:ptCount val="2"/>
                  <c:pt idx="0">
                    <c:v>雁峰区财政局</c:v>
                  </c:pt>
                  <c:pt idx="1">
                    <c:v>雁峰区财政局零余额账户</c:v>
                  </c:pt>
                </c15:dlblRangeCache>
              </c15:datalabelsRange>
            </c:ext>
          </c:extLst>
        </c:ser>
        <c:dLbls>
          <c:showLegendKey val="0"/>
          <c:showVal val="1"/>
          <c:showCatName val="0"/>
          <c:showSerName val="0"/>
          <c:showPercent val="0"/>
          <c:showBubbleSize val="0"/>
          <c:showLeaderLines val="1"/>
        </c:dLbls>
        <c:firstSliceAng val="133"/>
      </c:pieChart>
      <c:spPr>
        <a:noFill/>
        <a:ln>
          <a:noFill/>
        </a:ln>
        <a:effectLst/>
      </c:spPr>
    </c:plotArea>
    <c:plotVisOnly val="1"/>
    <c:dispBlanksAs val="gap"/>
    <c:showDLblsOverMax val="0"/>
    <c:extLst>
      <c:ext uri="{0b15fc19-7d7d-44ad-8c2d-2c3a37ce22c3}">
        <chartProps xmlns="https://web.wps.cn/et/2018/main" chartId="{53102d79-b7ae-45eb-a4f9-bd21fe42e792}"/>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指标下达数与指标使用数对比图（金额）</a:t>
            </a:r>
          </a:p>
        </c:rich>
      </c:tx>
      <c:layout/>
      <c:overlay val="0"/>
      <c:spPr>
        <a:noFill/>
        <a:ln>
          <a:noFill/>
        </a:ln>
        <a:effectLst/>
      </c:spPr>
    </c:title>
    <c:autoTitleDeleted val="0"/>
    <c:plotArea>
      <c:layout/>
      <c:barChart>
        <c:barDir val="col"/>
        <c:grouping val="clustered"/>
        <c:varyColors val="0"/>
        <c:ser>
          <c:idx val="0"/>
          <c:order val="0"/>
          <c:tx>
            <c:strRef>
              <c:f>'[单位指标查询表 (财政局2024).xlsx]Sheet3'!$D$21</c:f>
              <c:strCache>
                <c:ptCount val="1"/>
                <c:pt idx="0">
                  <c:v>指标下达数</c:v>
                </c:pt>
              </c:strCache>
            </c:strRef>
          </c:tx>
          <c:spPr>
            <a:solidFill>
              <a:schemeClr val="accent1"/>
            </a:solidFill>
            <a:ln>
              <a:noFill/>
            </a:ln>
            <a:effectLst/>
          </c:spPr>
          <c:invertIfNegative val="0"/>
          <c:dLbls>
            <c:delete val="1"/>
          </c:dLbls>
          <c:cat>
            <c:strRef>
              <c:f>'[单位指标查询表 (财政局2024).xlsx]Sheet3'!$C$22:$C$33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'[单位指标查询表 (财政局2024).xlsx]Sheet3'!$D$22:$D$33</c:f>
              <c:numCache>
                <c:formatCode>_ * #,##0.00_ ;_ * \-#,##0.00_ ;_ * "-"??_ ;_ @_ </c:formatCode>
                <c:ptCount val="12"/>
                <c:pt idx="0">
                  <c:v>7395140.9</c:v>
                </c:pt>
                <c:pt idx="1">
                  <c:v>232410.6</c:v>
                </c:pt>
                <c:pt idx="2">
                  <c:v>50000</c:v>
                </c:pt>
                <c:pt idx="3">
                  <c:v>424300</c:v>
                </c:pt>
                <c:pt idx="4">
                  <c:v>961354.59</c:v>
                </c:pt>
                <c:pt idx="5">
                  <c:v>40000</c:v>
                </c:pt>
                <c:pt idx="6">
                  <c:v>340122.29</c:v>
                </c:pt>
                <c:pt idx="7">
                  <c:v>0</c:v>
                </c:pt>
                <c:pt idx="8">
                  <c:v>50000</c:v>
                </c:pt>
                <c:pt idx="9">
                  <c:v>230000</c:v>
                </c:pt>
                <c:pt idx="10">
                  <c:v>534700</c:v>
                </c:pt>
                <c:pt idx="11">
                  <c:v>1325840</c:v>
                </c:pt>
              </c:numCache>
            </c:numRef>
          </c:val>
        </c:ser>
        <c:ser>
          <c:idx val="1"/>
          <c:order val="1"/>
          <c:tx>
            <c:strRef>
              <c:f>'[单位指标查询表 (财政局2024).xlsx]Sheet3'!$E$21</c:f>
              <c:strCache>
                <c:ptCount val="1"/>
                <c:pt idx="0">
                  <c:v>占比1</c:v>
                </c:pt>
              </c:strCache>
            </c:strRef>
          </c:tx>
          <c:spPr>
            <a:solidFill>
              <a:schemeClr val="accent2"/>
            </a:solidFill>
            <a:ln>
              <a:noFill/>
            </a:ln>
            <a:effectLst/>
          </c:spPr>
          <c:invertIfNegative val="0"/>
          <c:dLbls>
            <c:delete val="1"/>
          </c:dLbls>
          <c:cat>
            <c:strRef>
              <c:f>'[单位指标查询表 (财政局2024).xlsx]Sheet3'!$C$22:$C$33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'[单位指标查询表 (财政局2024).xlsx]Sheet3'!$E$22:$E$33</c:f>
              <c:numCache>
                <c:formatCode>0.00%</c:formatCode>
                <c:ptCount val="12"/>
                <c:pt idx="0">
                  <c:v>0.638399941833593</c:v>
                </c:pt>
                <c:pt idx="1">
                  <c:v>0.0200632977150592</c:v>
                </c:pt>
                <c:pt idx="2">
                  <c:v>0.00431634738584625</c:v>
                </c:pt>
                <c:pt idx="3">
                  <c:v>0.0366285239162912</c:v>
                </c:pt>
                <c:pt idx="4">
                  <c:v>0.0829908074283558</c:v>
                </c:pt>
                <c:pt idx="5">
                  <c:v>0.003453077908677</c:v>
                </c:pt>
                <c:pt idx="6">
                  <c:v>0.0293617191461908</c:v>
                </c:pt>
                <c:pt idx="7">
                  <c:v>0</c:v>
                </c:pt>
                <c:pt idx="8">
                  <c:v>0.00431634738584625</c:v>
                </c:pt>
                <c:pt idx="9">
                  <c:v>0.0198551979748927</c:v>
                </c:pt>
                <c:pt idx="10">
                  <c:v>0.0461590189442398</c:v>
                </c:pt>
                <c:pt idx="11">
                  <c:v>0.114455720361008</c:v>
                </c:pt>
              </c:numCache>
            </c:numRef>
          </c:val>
        </c:ser>
        <c:ser>
          <c:idx val="2"/>
          <c:order val="2"/>
          <c:tx>
            <c:strRef>
              <c:f>'[单位指标查询表 (财政局2024).xlsx]Sheet3'!$F$21</c:f>
              <c:strCache>
                <c:ptCount val="1"/>
                <c:pt idx="0">
                  <c:v>指标使用数</c:v>
                </c:pt>
              </c:strCache>
            </c:strRef>
          </c:tx>
          <c:spPr>
            <a:solidFill>
              <a:schemeClr val="accent2"/>
            </a:solidFill>
            <a:ln>
              <a:noFill/>
            </a:ln>
            <a:effectLst/>
          </c:spPr>
          <c:invertIfNegative val="0"/>
          <c:dLbls>
            <c:delete val="1"/>
          </c:dLbls>
          <c:cat>
            <c:strRef>
              <c:f>'[单位指标查询表 (财政局2024).xlsx]Sheet3'!$C$22:$C$33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'[单位指标查询表 (财政局2024).xlsx]Sheet3'!$F$22:$F$33</c:f>
              <c:numCache>
                <c:formatCode>_ * #,##0.00_ ;_ * \-#,##0.00_ ;_ * "-"??_ ;_ @_ </c:formatCode>
                <c:ptCount val="12"/>
                <c:pt idx="0">
                  <c:v>865061.66</c:v>
                </c:pt>
                <c:pt idx="1">
                  <c:v>956280.21</c:v>
                </c:pt>
                <c:pt idx="2">
                  <c:v>607750.33</c:v>
                </c:pt>
                <c:pt idx="3">
                  <c:v>534107.15</c:v>
                </c:pt>
                <c:pt idx="4">
                  <c:v>689399.37</c:v>
                </c:pt>
                <c:pt idx="5">
                  <c:v>947453.52</c:v>
                </c:pt>
                <c:pt idx="6">
                  <c:v>725410.63</c:v>
                </c:pt>
                <c:pt idx="7">
                  <c:v>498147.12</c:v>
                </c:pt>
                <c:pt idx="8">
                  <c:v>881174.39</c:v>
                </c:pt>
                <c:pt idx="9">
                  <c:v>199488.81</c:v>
                </c:pt>
                <c:pt idx="10">
                  <c:v>798553.38</c:v>
                </c:pt>
                <c:pt idx="11">
                  <c:v>2077251.76</c:v>
                </c:pt>
              </c:numCache>
            </c:numRef>
          </c:val>
        </c:ser>
        <c:ser>
          <c:idx val="3"/>
          <c:order val="3"/>
          <c:tx>
            <c:strRef>
              <c:f>'[单位指标查询表 (财政局2024).xlsx]Sheet3'!$G$21</c:f>
              <c:strCache>
                <c:ptCount val="1"/>
                <c:pt idx="0">
                  <c:v>占比2</c:v>
                </c:pt>
              </c:strCache>
            </c:strRef>
          </c:tx>
          <c:spPr>
            <a:solidFill>
              <a:schemeClr val="accent4"/>
            </a:solidFill>
            <a:ln>
              <a:noFill/>
            </a:ln>
            <a:effectLst/>
          </c:spPr>
          <c:invertIfNegative val="0"/>
          <c:dLbls>
            <c:delete val="1"/>
          </c:dLbls>
          <c:cat>
            <c:strRef>
              <c:f>'[单位指标查询表 (财政局2024).xlsx]Sheet3'!$C$22:$C$33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'[单位指标查询表 (财政局2024).xlsx]Sheet3'!$G$22:$G$33</c:f>
              <c:numCache>
                <c:formatCode>0.00%</c:formatCode>
                <c:ptCount val="12"/>
                <c:pt idx="0">
                  <c:v>0.0884514040492353</c:v>
                </c:pt>
                <c:pt idx="1">
                  <c:v>0.0977783794498505</c:v>
                </c:pt>
                <c:pt idx="2">
                  <c:v>0.0621416628265389</c:v>
                </c:pt>
                <c:pt idx="3">
                  <c:v>0.0546117456300578</c:v>
                </c:pt>
                <c:pt idx="4">
                  <c:v>0.0704901685588034</c:v>
                </c:pt>
                <c:pt idx="5">
                  <c:v>0.096875862138417</c:v>
                </c:pt>
                <c:pt idx="6">
                  <c:v>0.0741722719924269</c:v>
                </c:pt>
                <c:pt idx="7">
                  <c:v>0.0509348803957892</c:v>
                </c:pt>
                <c:pt idx="8">
                  <c:v>0.0900989092589405</c:v>
                </c:pt>
                <c:pt idx="9">
                  <c:v>0.0203974654669254</c:v>
                </c:pt>
                <c:pt idx="10">
                  <c:v>0.0816510208870689</c:v>
                </c:pt>
                <c:pt idx="11">
                  <c:v>0.212396229345946</c:v>
                </c:pt>
              </c:numCache>
            </c:numRef>
          </c:val>
        </c:ser>
        <c:dLbls>
          <c:showLegendKey val="0"/>
          <c:showVal val="0"/>
          <c:showCatName val="0"/>
          <c:showSerName val="0"/>
          <c:showPercent val="0"/>
          <c:showBubbleSize val="0"/>
        </c:dLbls>
        <c:gapWidth val="0"/>
        <c:overlap val="52"/>
        <c:axId val="312576294"/>
        <c:axId val="520145985"/>
      </c:barChart>
      <c:catAx>
        <c:axId val="31257629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20145985"/>
        <c:crosses val="autoZero"/>
        <c:auto val="1"/>
        <c:lblAlgn val="ctr"/>
        <c:lblOffset val="100"/>
        <c:noMultiLvlLbl val="0"/>
      </c:catAx>
      <c:valAx>
        <c:axId val="520145985"/>
        <c:scaling>
          <c:orientation val="minMax"/>
        </c:scaling>
        <c:delete val="0"/>
        <c:axPos val="l"/>
        <c:majorGridlines>
          <c:spPr>
            <a:ln w="9525" cap="flat" cmpd="sng" algn="ctr">
              <a:solidFill>
                <a:schemeClr val="lt1">
                  <a:lumMod val="90200"/>
                </a:schemeClr>
              </a:solidFill>
              <a:round/>
            </a:ln>
            <a:effectLst/>
          </c:spPr>
        </c:majorGridlines>
        <c:numFmt formatCode="_ * #,##0.00_ ;_ * \-#,##0.00_ ;_ * &quot;-&quot;??_ ;_ @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2576294"/>
        <c:crosses val="autoZero"/>
        <c:crossBetween val="between"/>
      </c:valAx>
      <c:spPr>
        <a:noFill/>
        <a:ln>
          <a:noFill/>
        </a:ln>
        <a:effectLst/>
      </c:spPr>
    </c:plotArea>
    <c:legend>
      <c:legendPos val="b"/>
      <c:legendEntry>
        <c:idx val="1"/>
        <c:delete val="1"/>
      </c:legendEntry>
      <c:legendEntry>
        <c:idx val="3"/>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c9a11848-a9ff-4165-8db9-5e31cce36a4b}"/>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四数占比趋势</a:t>
            </a:r>
          </a:p>
        </c:rich>
      </c:tx>
      <c:layout/>
      <c:overlay val="0"/>
      <c:spPr>
        <a:noFill/>
        <a:ln>
          <a:noFill/>
        </a:ln>
        <a:effectLst/>
      </c:spPr>
    </c:title>
    <c:autoTitleDeleted val="0"/>
    <c:plotArea>
      <c:layout/>
      <c:barChart>
        <c:barDir val="col"/>
        <c:grouping val="stacked"/>
        <c:varyColors val="0"/>
        <c:ser>
          <c:idx val="0"/>
          <c:order val="0"/>
          <c:tx>
            <c:strRef>
              <c:f>'[区财政底稿(2024-01-01到2024-12-31).xlsx]汇总1'!$C$119</c:f>
              <c:strCache>
                <c:ptCount val="1"/>
                <c:pt idx="0">
                  <c:v>人员经费</c:v>
                </c:pt>
              </c:strCache>
            </c:strRef>
          </c:tx>
          <c:spPr>
            <a:solidFill>
              <a:schemeClr val="accent1"/>
            </a:solidFill>
            <a:ln>
              <a:solidFill>
                <a:schemeClr val="bg1"/>
              </a:solid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'[区财政底稿(2024-01-01到2024-12-31).xlsx]汇总1'!$D$118:$G$118</c:f>
              <c:strCache>
                <c:ptCount val="4"/>
                <c:pt idx="0" c:formatCode="_ * #,##0.00_ ;_ * \-#,##0.00_ ;_ * &quot;-&quot;??_ ;_ @_ ">
                  <c:v>全年预算数</c:v>
                </c:pt>
                <c:pt idx="1" c:formatCode="_ * #,##0.00_ ;_ * \-#,##0.00_ ;_ * &quot;-&quot;??_ ;_ @_ ">
                  <c:v>原账套数</c:v>
                </c:pt>
                <c:pt idx="2" c:formatCode="_ * #,##0.00_ ;_ * \-#,##0.00_ ;_ * &quot;-&quot;??_ ;_ @_ ">
                  <c:v>决算数</c:v>
                </c:pt>
                <c:pt idx="3" c:formatCode="_ * #,##0.00_ ;_ * \-#,##0.00_ ;_ * &quot;-&quot;??_ ;_ @_ ">
                  <c:v>重分类数</c:v>
                </c:pt>
              </c:strCache>
            </c:strRef>
          </c:cat>
          <c:val>
            <c:numRef>
              <c:f>'[区财政底稿(2024-01-01到2024-12-31).xlsx]汇总1'!$D$119:$G$119</c:f>
              <c:numCache>
                <c:formatCode>0.00%</c:formatCode>
                <c:ptCount val="4"/>
                <c:pt idx="0">
                  <c:v>0.628390893470482</c:v>
                </c:pt>
                <c:pt idx="1">
                  <c:v>0.604298648802335</c:v>
                </c:pt>
                <c:pt idx="2">
                  <c:v>0.628390893470482</c:v>
                </c:pt>
                <c:pt idx="3">
                  <c:v>0.754762804645144</c:v>
                </c:pt>
              </c:numCache>
            </c:numRef>
          </c:val>
        </c:ser>
        <c:ser>
          <c:idx val="1"/>
          <c:order val="1"/>
          <c:tx>
            <c:strRef>
              <c:f>'[区财政底稿(2024-01-01到2024-12-31).xlsx]汇总1'!$C$120</c:f>
              <c:strCache>
                <c:ptCount val="1"/>
                <c:pt idx="0">
                  <c:v>公用经费</c:v>
                </c:pt>
              </c:strCache>
            </c:strRef>
          </c:tx>
          <c:spPr>
            <a:solidFill>
              <a:schemeClr val="accent2"/>
            </a:solidFill>
            <a:ln>
              <a:solidFill>
                <a:schemeClr val="bg1"/>
              </a:solid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'[区财政底稿(2024-01-01到2024-12-31).xlsx]汇总1'!$D$118:$G$118</c:f>
              <c:strCache>
                <c:ptCount val="4"/>
                <c:pt idx="0" c:formatCode="_ * #,##0.00_ ;_ * \-#,##0.00_ ;_ * &quot;-&quot;??_ ;_ @_ ">
                  <c:v>全年预算数</c:v>
                </c:pt>
                <c:pt idx="1" c:formatCode="_ * #,##0.00_ ;_ * \-#,##0.00_ ;_ * &quot;-&quot;??_ ;_ @_ ">
                  <c:v>原账套数</c:v>
                </c:pt>
                <c:pt idx="2" c:formatCode="_ * #,##0.00_ ;_ * \-#,##0.00_ ;_ * &quot;-&quot;??_ ;_ @_ ">
                  <c:v>决算数</c:v>
                </c:pt>
                <c:pt idx="3" c:formatCode="_ * #,##0.00_ ;_ * \-#,##0.00_ ;_ * &quot;-&quot;??_ ;_ @_ ">
                  <c:v>重分类数</c:v>
                </c:pt>
              </c:strCache>
            </c:strRef>
          </c:cat>
          <c:val>
            <c:numRef>
              <c:f>'[区财政底稿(2024-01-01到2024-12-31).xlsx]汇总1'!$D$120:$G$120</c:f>
              <c:numCache>
                <c:formatCode>0.00%</c:formatCode>
                <c:ptCount val="4"/>
                <c:pt idx="0">
                  <c:v>0.0353329654773839</c:v>
                </c:pt>
                <c:pt idx="1">
                  <c:v>0.0548163830503799</c:v>
                </c:pt>
                <c:pt idx="2">
                  <c:v>0.0353329654773839</c:v>
                </c:pt>
                <c:pt idx="3">
                  <c:v>0.0760716596428323</c:v>
                </c:pt>
              </c:numCache>
            </c:numRef>
          </c:val>
        </c:ser>
        <c:ser>
          <c:idx val="2"/>
          <c:order val="2"/>
          <c:tx>
            <c:strRef>
              <c:f>'[区财政底稿(2024-01-01到2024-12-31).xlsx]汇总1'!$C$121</c:f>
              <c:strCache>
                <c:ptCount val="1"/>
                <c:pt idx="0">
                  <c:v>项目支出</c:v>
                </c:pt>
              </c:strCache>
            </c:strRef>
          </c:tx>
          <c:spPr>
            <a:solidFill>
              <a:schemeClr val="accent3"/>
            </a:solidFill>
            <a:ln>
              <a:solidFill>
                <a:schemeClr val="bg1"/>
              </a:solid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'[区财政底稿(2024-01-01到2024-12-31).xlsx]汇总1'!$D$118:$G$118</c:f>
              <c:strCache>
                <c:ptCount val="4"/>
                <c:pt idx="0" c:formatCode="_ * #,##0.00_ ;_ * \-#,##0.00_ ;_ * &quot;-&quot;??_ ;_ @_ ">
                  <c:v>全年预算数</c:v>
                </c:pt>
                <c:pt idx="1" c:formatCode="_ * #,##0.00_ ;_ * \-#,##0.00_ ;_ * &quot;-&quot;??_ ;_ @_ ">
                  <c:v>原账套数</c:v>
                </c:pt>
                <c:pt idx="2" c:formatCode="_ * #,##0.00_ ;_ * \-#,##0.00_ ;_ * &quot;-&quot;??_ ;_ @_ ">
                  <c:v>决算数</c:v>
                </c:pt>
                <c:pt idx="3" c:formatCode="_ * #,##0.00_ ;_ * \-#,##0.00_ ;_ * &quot;-&quot;??_ ;_ @_ ">
                  <c:v>重分类数</c:v>
                </c:pt>
              </c:strCache>
            </c:strRef>
          </c:cat>
          <c:val>
            <c:numRef>
              <c:f>'[区财政底稿(2024-01-01到2024-12-31).xlsx]汇总1'!$D$121:$G$121</c:f>
              <c:numCache>
                <c:formatCode>0.00%</c:formatCode>
                <c:ptCount val="4"/>
                <c:pt idx="0">
                  <c:v>0.336276141052134</c:v>
                </c:pt>
                <c:pt idx="1">
                  <c:v>0.340884968147285</c:v>
                </c:pt>
                <c:pt idx="2">
                  <c:v>0.336276141052134</c:v>
                </c:pt>
                <c:pt idx="3">
                  <c:v>0.169165535712023</c:v>
                </c:pt>
              </c:numCache>
            </c:numRef>
          </c:val>
        </c:ser>
        <c:dLbls>
          <c:showLegendKey val="0"/>
          <c:showVal val="1"/>
          <c:showCatName val="0"/>
          <c:showSerName val="0"/>
          <c:showPercent val="0"/>
          <c:showBubbleSize val="0"/>
        </c:dLbls>
        <c:gapWidth val="59"/>
        <c:overlap val="100"/>
        <c:serLines>
          <c:spPr>
            <a:ln w="9525" cap="flat" cmpd="sng" algn="ctr">
              <a:solidFill>
                <a:schemeClr val="tx1"/>
              </a:solidFill>
              <a:round/>
              <a:headEnd type="triangle"/>
            </a:ln>
            <a:effectLst/>
          </c:spPr>
        </c:serLines>
        <c:axId val="785939557"/>
        <c:axId val="802643480"/>
      </c:barChart>
      <c:catAx>
        <c:axId val="78593955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2643480"/>
        <c:crosses val="autoZero"/>
        <c:auto val="1"/>
        <c:lblAlgn val="ctr"/>
        <c:lblOffset val="100"/>
        <c:noMultiLvlLbl val="0"/>
      </c:catAx>
      <c:valAx>
        <c:axId val="802643480"/>
        <c:scaling>
          <c:orientation val="minMax"/>
        </c:scaling>
        <c:delete val="0"/>
        <c:axPos val="l"/>
        <c:majorGridlines>
          <c:spPr>
            <a:ln w="9525" cap="flat" cmpd="sng" algn="ctr">
              <a:solidFill>
                <a:schemeClr val="lt1">
                  <a:lumMod val="902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8593955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b167d57f-60af-482a-a9b9-2b9d2b3ed8df}"/>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1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9412ba49-2bc1-47ec-a11a-118263cb4337</errorID>
      <errorWord>[2025]</errorWord>
      <group>L1_Punc</group>
      <groupName>标点问题</groupName>
      <ability>L2_Punc</ability>
      <abilityName>标点符号检查</abilityName>
      <candidateList>
        <item>〔2025〕</item>
      </candidateList>
      <explain/>
      <paraID>59FC2698</paraID>
      <start>5</start>
      <end>11</end>
      <status>unmodified</status>
      <modifiedWord/>
      <trackRevisions>false</trackRevisions>
    </reviewItem>
    <reviewItem>
      <errorID>01ad2ffe-9dd9-4e75-817f-309e9fcdfb60</errorID>
      <errorWord>[2025]</errorWord>
      <group>L1_Punc</group>
      <groupName>标点问题</groupName>
      <ability>L2_Punc</ability>
      <abilityName>标点符号检查</abilityName>
      <candidateList>
        <item>〔2025〕</item>
      </candidateList>
      <explain/>
      <paraID>18CF8679</paraID>
      <start>5</start>
      <end>11</end>
      <status>unmodified</status>
      <modifiedWord/>
      <trackRevisions>false</trackRevisions>
    </reviewItem>
    <reviewItem>
      <errorID>9ca06e86-d34a-4796-a939-06c6779d6f13</errorID>
      <errorWord>。</errorWord>
      <group>L1_Grammar</group>
      <groupName>语法问题</groupName>
      <ability>L2_Missing</ability>
      <abilityName>成分残缺</abilityName>
      <candidateList>
        <item>的步骤。</item>
      </candidateList>
      <explain>句子中可能存在主谓宾、修饰语或者必要的词语残缺。</explain>
      <paraID>46E904E7</paraID>
      <start>108</start>
      <end>109</end>
      <status>unmodified</status>
      <modifiedWord/>
      <trackRevisions>false</trackRevisions>
    </reviewItem>
    <reviewItem>
      <errorID>d3f38996-2c32-4026-acdd-40d95ee88bc7</errorID>
      <errorWord>括</errorWord>
      <group>L1_Word</group>
      <groupName>字词问题</groupName>
      <ability>L2_Typo</ability>
      <abilityName>字词错误</abilityName>
      <candidateList>
        <item>括但</item>
      </candidateList>
      <explain/>
      <paraID> 68AC208</paraID>
      <start>28</start>
      <end>29</end>
      <status>unmodified</status>
      <modifiedWord/>
      <trackRevisions>false</trackRevisions>
    </reviewItem>
    <reviewItem>
      <errorID>22a7d6eb-1abc-41ac-8121-e8a10b9f5b3e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7E639943</paraID>
      <start>0</start>
      <end>2</end>
      <status>unmodified</status>
      <modifiedWord/>
      <trackRevisions>false</trackRevisions>
    </reviewItem>
    <reviewItem>
      <errorID>078b2771-c4b9-4689-a01d-21393cbd7579</errorID>
      <errorWord>中共中央国务院</errorWord>
      <group>L1_Political</group>
      <groupName>政治性问题</groupName>
      <ability>L2_Keyword</ability>
      <abilityName>固定表述</abilityName>
      <candidateList>
        <item>中共中央、国务院</item>
      </candidateList>
      <explain>注意检查当前固定表述标点是否使用规范。</explain>
      <paraID>7E639943</paraID>
      <start>3</start>
      <end>10</end>
      <status>unmodified</status>
      <modifiedWord/>
      <trackRevisions>false</trackRevisions>
    </reviewItem>
    <reviewItem>
      <errorID>ea1dfe6d-858d-49e7-911b-e2245bae76d4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70207DD6</paraID>
      <start>0</start>
      <end>2</end>
      <status>unmodified</status>
      <modifiedWord/>
      <trackRevisions>false</trackRevisions>
    </reviewItem>
    <reviewItem>
      <errorID>c7630a52-6877-4a6f-ad23-f2ae49226d35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54B859B</paraID>
      <start>0</start>
      <end>2</end>
      <status>unmodified</status>
      <modifiedWord/>
      <trackRevisions>false</trackRevisions>
    </reviewItem>
    <reviewItem>
      <errorID>e7bc1542-a0f9-4d6b-9b63-2a5cb33797b1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393EE0EE</paraID>
      <start>0</start>
      <end>2</end>
      <status>unmodified</status>
      <modifiedWord/>
      <trackRevisions>false</trackRevisions>
    </reviewItem>
    <reviewItem>
      <errorID>926ca8b4-47f6-43b7-a119-5bc2121df013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95FF3AA</paraID>
      <start>0</start>
      <end>2</end>
      <status>unmodified</status>
      <modifiedWord/>
      <trackRevisions>false</trackRevisions>
    </reviewItem>
    <reviewItem>
      <errorID>31b5a266-936f-4577-a9df-be5187c3e5de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58819D15</paraID>
      <start>0</start>
      <end>2</end>
      <status>unmodified</status>
      <modifiedWord/>
      <trackRevisions>false</trackRevisions>
    </reviewItem>
    <reviewItem>
      <errorID>7f3f30d1-5abc-48e6-9ab6-49d19bd67ca2</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4C76F82A</paraID>
      <start>0</start>
      <end>2</end>
      <status>unmodified</status>
      <modifiedWord/>
      <trackRevisions>false</trackRevisions>
    </reviewItem>
    <reviewItem>
      <errorID>1e064890-84a7-4ee4-b46d-af44054dee51</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4CD93FB7</paraID>
      <start>0</start>
      <end>2</end>
      <status>unmodified</status>
      <modifiedWord/>
      <trackRevisions>false</trackRevisions>
    </reviewItem>
    <reviewItem>
      <errorID>577b0580-9433-46c2-b798-503554a7bb85</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531721EF</paraID>
      <start>0</start>
      <end>2</end>
      <status>unmodified</status>
      <modifiedWord/>
      <trackRevisions>false</trackRevisions>
    </reviewItem>
    <reviewItem>
      <errorID>8e2128e3-c7cf-4960-9f78-020d5c3ba9ce</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4391BE99</paraID>
      <start>0</start>
      <end>3</end>
      <status>unmodified</status>
      <modifiedWord/>
      <trackRevisions>false</trackRevisions>
    </reviewItem>
    <reviewItem>
      <errorID>e2fb83de-d2ac-45fd-97f4-2f752b1a16b9</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63EC011E</paraID>
      <start>0</start>
      <end>3</end>
      <status>unmodified</status>
      <modifiedWord/>
      <trackRevisions>false</trackRevisions>
    </reviewItem>
    <reviewItem>
      <errorID>1b5fb558-b15a-4ae5-be18-e48ce043bd78</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4C67DECB</paraID>
      <start>0</start>
      <end>3</end>
      <status>unmodified</status>
      <modifiedWord/>
      <trackRevisions>false</trackRevisions>
    </reviewItem>
    <reviewItem>
      <errorID>f9465c98-d805-46d3-9e8c-20b5996b5120</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36A5A86A</paraID>
      <start>0</start>
      <end>3</end>
      <status>unmodified</status>
      <modifiedWord/>
      <trackRevisions>false</trackRevisions>
    </reviewItem>
    <reviewItem>
      <errorID>e865fbf6-53f8-49b5-a301-8d4d6be2e2dc</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1BAE7B51</paraID>
      <start>0</start>
      <end>3</end>
      <status>unmodified</status>
      <modifiedWord/>
      <trackRevisions>false</trackRevisions>
    </reviewItem>
    <reviewItem>
      <errorID>33152a0f-322f-4e28-a8be-3fac0ba33324</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3AEBA156</paraID>
      <start>0</start>
      <end>3</end>
      <status>unmodified</status>
      <modifiedWord/>
      <trackRevisions>false</trackRevisions>
    </reviewItem>
    <reviewItem>
      <errorID>2a83d0bc-a160-478c-8f73-0aa168241c01</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5D2E8234</paraID>
      <start>0</start>
      <end>3</end>
      <status>unmodified</status>
      <modifiedWord/>
      <trackRevisions>false</trackRevisions>
    </reviewItem>
    <reviewItem>
      <errorID>1d8671db-e314-498e-8f47-10b95c8cdced</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D4C8011</paraID>
      <start>0</start>
      <end>3</end>
      <status>unmodified</status>
      <modifiedWord/>
      <trackRevisions>false</trackRevisions>
    </reviewItem>
    <reviewItem>
      <errorID>99f525ed-1939-4ee0-91e5-f07d9b66fb27</errorID>
      <errorWord>对于</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❼〈动〉投合；适合：～劲儿｜～心思｜两个人越说越投缘，越说越～脾气。❽〈动〉把两个东西放在一起互相比较，看是否符合；对证：～质｜校～｜～表｜～笔迹｜～号码。❾〈动〉调整使合于一定标准：～好照相机的焦距｜拿胡琴来～～弦。❿〈形〉相合；正确；正常：你的话很～｜～，就这么办｜数目不～，还差得多｜神气不～。○11动掺和（多指液体）：茶壶里～点儿开水｜朱砂里～上一点儿藤黄。○12平均分成两份：～半儿｜～开纸。○13（～儿）〈名〉对子：喜～｜五言～儿。○14（～儿）〈量〉双：一～鹦鹉｜一～儿椅子｜一～模范夫妻。○15介用法基本上跟“对于”相同：～他表示谢意｜决不～困难屈服｜你的话～我有启发｜大家～他这件事很不满意。注意▲“对”和“对于”的用法差不多，但是“对”所保留的动词性较强，因此有些用“对”的句子不能改用“对于”，如上面头两个例子。○16（Duì）〈名〉姓。</explain>
      <paraID> D4C8011</paraID>
      <start>10</start>
      <end>12</end>
      <status>unmodified</status>
      <modifiedWord/>
      <trackRevisions>false</trackRevisions>
    </reviewItem>
    <reviewItem>
      <errorID>e0ed4f25-16b7-4755-b8b7-fc38c9310c4b</errorID>
      <errorWord>。</errorWord>
      <group>L1_Grammar</group>
      <groupName>语法问题</groupName>
      <ability>L2_Missing</ability>
      <abilityName>成分残缺</abilityName>
      <candidateList>
        <item>作出明确要求。</item>
      </candidateList>
      <explain>句子中可能存在主谓宾、修饰语或者必要的词语残缺。</explain>
      <paraID> D4C8011</paraID>
      <start>30</start>
      <end>31</end>
      <status>unmodified</status>
      <modifiedWord/>
      <trackRevisions>false</trackRevisions>
    </reviewItem>
    <reviewItem>
      <errorID>bc739938-c03d-4ef2-b0fd-c2f95108fe97</errorID>
      <errorWord>18、</errorWord>
      <group>L1_Format</group>
      <groupName>格式问题</groupName>
      <ability>L2_Ordinal</ability>
      <abilityName>序号格式</abilityName>
      <candidateList>
        <item>18.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4AF561C1</paraID>
      <start>0</start>
      <end>3</end>
      <status>unmodified</status>
      <modifiedWord/>
      <trackRevisions>false</trackRevisions>
    </reviewItem>
    <reviewItem>
      <errorID>b3076d03-586f-45d0-8089-4667a5c04f6f</errorID>
      <errorWord>19、</errorWord>
      <group>L1_Format</group>
      <groupName>格式问题</groupName>
      <ability>L2_Ordinal</ability>
      <abilityName>序号格式</abilityName>
      <candidateList>
        <item>19.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71A41B9F</paraID>
      <start>0</start>
      <end>3</end>
      <status>unmodified</status>
      <modifiedWord/>
      <trackRevisions>false</trackRevisions>
    </reviewItem>
    <reviewItem>
      <errorID>3fdb5b68-6830-4455-8f87-79da287fd2fa</errorID>
      <errorWord>[2017]409号</errorWord>
      <group>L1_Knowledge</group>
      <groupName>知识性问题</groupName>
      <ability>L2_Knowledge</ability>
      <abilityName>其他知识</abilityName>
      <candidateList>
        <item>〔2017〕409号</item>
      </candidateList>
      <explain>发文字号格式错误。</explain>
      <paraID>71A41B9F</paraID>
      <start>20</start>
      <end>30</end>
      <status>unmodified</status>
      <modifiedWord/>
      <trackRevisions>false</trackRevisions>
    </reviewItem>
    <reviewItem>
      <errorID>01525740-daa1-42c1-a2ef-78cbfc5256ff</errorID>
      <errorWord>20、</errorWord>
      <group>L1_Format</group>
      <groupName>格式问题</groupName>
      <ability>L2_Ordinal</ability>
      <abilityName>序号格式</abilityName>
      <candidateList>
        <item>20.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34DA055C</paraID>
      <start>0</start>
      <end>3</end>
      <status>unmodified</status>
      <modifiedWord/>
      <trackRevisions>false</trackRevisions>
    </reviewItem>
    <reviewItem>
      <errorID>91bd223d-8a7c-46c2-bf14-b2425ab4f0f9</errorID>
      <errorWord>[2018]467号</errorWord>
      <group>L1_Knowledge</group>
      <groupName>知识性问题</groupName>
      <ability>L2_Knowledge</ability>
      <abilityName>其他知识</abilityName>
      <candidateList>
        <item>〔2018〕467号</item>
      </candidateList>
      <explain>发文字号格式错误。</explain>
      <paraID>34DA055C</paraID>
      <start>14</start>
      <end>24</end>
      <status>unmodified</status>
      <modifiedWord/>
      <trackRevisions>false</trackRevisions>
    </reviewItem>
    <reviewItem>
      <errorID>eaef1f63-102e-401b-80f2-6c4f4240b0cc</errorID>
      <errorWord>21、</errorWord>
      <group>L1_Format</group>
      <groupName>格式问题</groupName>
      <ability>L2_Ordinal</ability>
      <abilityName>序号格式</abilityName>
      <candidateList>
        <item>21.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73E24FFD</paraID>
      <start>0</start>
      <end>3</end>
      <status>unmodified</status>
      <modifiedWord/>
      <trackRevisions>false</trackRevisions>
    </reviewItem>
    <reviewItem>
      <errorID>94e358b3-4453-4790-8754-48181340b865</errorID>
      <errorWord>[2025]6号</errorWord>
      <group>L1_Knowledge</group>
      <groupName>知识性问题</groupName>
      <ability>L2_Knowledge</ability>
      <abilityName>其他知识</abilityName>
      <candidateList>
        <item>〔2025〕6号</item>
      </candidateList>
      <explain>发文字号格式错误。</explain>
      <paraID>73E24FFD</paraID>
      <start>27</start>
      <end>35</end>
      <status>unmodified</status>
      <modifiedWord/>
      <trackRevisions>false</trackRevisions>
    </reviewItem>
    <reviewItem>
      <errorID>1a65b974-4012-410a-9cf3-68d0ef953021</errorID>
      <errorWord>知</errorWord>
      <group>L1_Grammar</group>
      <groupName>语法问题</groupName>
      <ability>L2_Missing</ability>
      <abilityName>成分残缺</abilityName>
      <candidateList>
        <item>如</item>
      </candidateList>
      <explain>句子中可能存在主谓宾、修饰语或者必要的词语残缺。</explain>
      <paraID>73E24FFD</paraID>
      <start>57</start>
      <end>58</end>
      <status>unmodified</status>
      <modifiedWord/>
      <trackRevisions>false</trackRevisions>
    </reviewItem>
    <reviewItem>
      <errorID>2548384b-d746-4b19-86c8-154dad27f1a3</errorID>
      <errorWord>22、</errorWord>
      <group>L1_Format</group>
      <groupName>格式问题</groupName>
      <ability>L2_Ordinal</ability>
      <abilityName>序号格式</abilityName>
      <candidateList>
        <item>22.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18017CDF</paraID>
      <start>0</start>
      <end>3</end>
      <status>unmodified</status>
      <modifiedWord/>
      <trackRevisions>false</trackRevisions>
    </reviewItem>
    <reviewItem>
      <errorID>23a028db-125b-409e-bc34-7b58aaa1240d</errorID>
      <errorWord>23、</errorWord>
      <group>L1_Format</group>
      <groupName>格式问题</groupName>
      <ability>L2_Ordinal</ability>
      <abilityName>序号格式</abilityName>
      <candidateList>
        <item>23.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1CC63EDA</paraID>
      <start>0</start>
      <end>3</end>
      <status>unmodified</status>
      <modifiedWord/>
      <trackRevisions>false</trackRevisions>
    </reviewItem>
    <reviewItem>
      <errorID>bfee368f-3894-47e0-afef-902cb0736647</errorID>
      <errorWord>(</errorWord>
      <group>L1_Format</group>
      <groupName>格式问题</groupName>
      <ability>L2_HalfPunc</ability>
      <abilityName>全半角检查</abilityName>
      <candidateList>
        <item>（</item>
      </candidateList>
      <explain>文本全半角错误。</explain>
      <paraID>232026CC</paraID>
      <start>330</start>
      <end>331</end>
      <status>unmodified</status>
      <modifiedWord/>
      <trackRevisions>false</trackRevisions>
    </reviewItem>
    <reviewItem>
      <errorID>26870a3d-5e7b-49e5-b26e-a29d4fb85987</errorID>
      <errorWord>)</errorWord>
      <group>L1_Format</group>
      <groupName>格式问题</groupName>
      <ability>L2_HalfPunc</ability>
      <abilityName>全半角检查</abilityName>
      <candidateList>
        <item>）</item>
      </candidateList>
      <explain>文本全半角错误。</explain>
      <paraID>232026CC</paraID>
      <start>333</start>
      <end>334</end>
      <status>unmodified</status>
      <modifiedWord/>
      <trackRevisions>false</trackRevisions>
    </reviewItem>
    <reviewItem>
      <errorID>6b37dc10-c96c-4d61-8389-a9321b6789e1</errorID>
      <errorWord>(</errorWord>
      <group>L1_Format</group>
      <groupName>格式问题</groupName>
      <ability>L2_HalfPunc</ability>
      <abilityName>全半角检查</abilityName>
      <candidateList>
        <item>（</item>
      </candidateList>
      <explain>文本全半角错误。</explain>
      <paraID>232026CC</paraID>
      <start>649</start>
      <end>650</end>
      <status>unmodified</status>
      <modifiedWord/>
      <trackRevisions>false</trackRevisions>
    </reviewItem>
    <reviewItem>
      <errorID>9c91f61a-48ce-4920-8b35-e70ccf57e47a</errorID>
      <errorWord>)</errorWord>
      <group>L1_Format</group>
      <groupName>格式问题</groupName>
      <ability>L2_HalfPunc</ability>
      <abilityName>全半角检查</abilityName>
      <candidateList>
        <item>）</item>
      </candidateList>
      <explain>文本全半角错误。</explain>
      <paraID>232026CC</paraID>
      <start>652</start>
      <end>653</end>
      <status>unmodified</status>
      <modifiedWord/>
      <trackRevisions>false</trackRevisions>
    </reviewItem>
    <reviewItem>
      <errorID>76499724-7774-4a70-86f9-23c63d97235e</errorID>
      <errorWord>(</errorWord>
      <group>L1_Format</group>
      <groupName>格式问题</groupName>
      <ability>L2_HalfPunc</ability>
      <abilityName>全半角检查</abilityName>
      <candidateList>
        <item>（</item>
      </candidateList>
      <explain>文本全半角错误。</explain>
      <paraID>232026CC</paraID>
      <start>683</start>
      <end>684</end>
      <status>unmodified</status>
      <modifiedWord/>
      <trackRevisions>false</trackRevisions>
    </reviewItem>
    <reviewItem>
      <errorID>a63899c2-b761-4a2a-a653-14ccee6440b3</errorID>
      <errorWord>)</errorWord>
      <group>L1_Format</group>
      <groupName>格式问题</groupName>
      <ability>L2_HalfPunc</ability>
      <abilityName>全半角检查</abilityName>
      <candidateList>
        <item>）</item>
      </candidateList>
      <explain>文本全半角错误。</explain>
      <paraID>232026CC</paraID>
      <start>686</start>
      <end>687</end>
      <status>unmodified</status>
      <modifiedWord/>
      <trackRevisions>false</trackRevisions>
    </reviewItem>
    <reviewItem>
      <errorID>ca91a9a6-4d14-4ad5-b2ba-3e4c70f97ae4</errorID>
      <errorWord>(</errorWord>
      <group>L1_Format</group>
      <groupName>格式问题</groupName>
      <ability>L2_HalfPunc</ability>
      <abilityName>全半角检查</abilityName>
      <candidateList>
        <item>（</item>
      </candidateList>
      <explain>文本全半角错误。</explain>
      <paraID>232026CC</paraID>
      <start>707</start>
      <end>708</end>
      <status>unmodified</status>
      <modifiedWord/>
      <trackRevisions>false</trackRevisions>
    </reviewItem>
    <reviewItem>
      <errorID>5c6b46bf-540a-4ec8-9d19-2530525b703e</errorID>
      <errorWord>)</errorWord>
      <group>L1_Format</group>
      <groupName>格式问题</groupName>
      <ability>L2_HalfPunc</ability>
      <abilityName>全半角检查</abilityName>
      <candidateList>
        <item>）</item>
      </candidateList>
      <explain>文本全半角错误。</explain>
      <paraID>232026CC</paraID>
      <start>710</start>
      <end>711</end>
      <status>unmodified</status>
      <modifiedWord/>
      <trackRevisions>false</trackRevisions>
    </reviewItem>
    <reviewItem>
      <errorID>f87a1c4b-cacd-4ef2-a936-6cd3ed484224</errorID>
      <errorWord>拟订</errorWord>
      <group>L1_Word</group>
      <groupName>字词问题</groupName>
      <ability>L2_Typo</ability>
      <abilityName>字词错误</abilityName>
      <candidateList>
        <item>制定</item>
      </candidateList>
      <explain>“拟订～办法”搭配不当，建议修改为“制定～办法”。</explain>
      <paraID>232026CC</paraID>
      <start>829</start>
      <end>831</end>
      <status>unmodified</status>
      <modifiedWord/>
      <trackRevisions>false</trackRevisions>
    </reviewItem>
    <reviewItem>
      <errorID>ab44f712-e3fd-4059-9867-3cc53a4a129b</errorID>
      <errorWord>(</errorWord>
      <group>L1_Format</group>
      <groupName>格式问题</groupName>
      <ability>L2_HalfPunc</ability>
      <abilityName>全半角检查</abilityName>
      <candidateList>
        <item>（</item>
      </candidateList>
      <explain>文本全半角错误。</explain>
      <paraID>232026CC</paraID>
      <start>922</start>
      <end>923</end>
      <status>unmodified</status>
      <modifiedWord/>
      <trackRevisions>false</trackRevisions>
    </reviewItem>
    <reviewItem>
      <errorID>47485869-53d3-497d-ab6c-cac0b39c6502</errorID>
      <errorWord>)</errorWord>
      <group>L1_Format</group>
      <groupName>格式问题</groupName>
      <ability>L2_HalfPunc</ability>
      <abilityName>全半角检查</abilityName>
      <candidateList>
        <item>）</item>
      </candidateList>
      <explain>文本全半角错误。</explain>
      <paraID>232026CC</paraID>
      <start>924</start>
      <end>925</end>
      <status>unmodified</status>
      <modifiedWord/>
      <trackRevisions>false</trackRevisions>
    </reviewItem>
    <reviewItem>
      <errorID>91d56a5a-5512-440d-b9d6-56d259cc614c</errorID>
      <errorWord>财政方针</errorWord>
      <group>L1_Knowledge</group>
      <groupName>知识性问题</groupName>
      <ability>L2_Idiom</ability>
      <abilityName>成语和诗歌</abilityName>
      <candidateList>
        <item>大政方针</item>
      </candidateList>
      <explain>重大的政策与措施，引导事业前进的方向和指针。</explain>
      <paraID>232026CC</paraID>
      <start>1026</start>
      <end>1030</end>
      <status>unmodified</status>
      <modifiedWord/>
      <trackRevisions>false</trackRevisions>
    </reviewItem>
    <reviewItem>
      <errorID>312b6c19-3e8c-48e9-b087-571171e7dba3</errorID>
      <errorWord>义务教育投入</errorWord>
      <group>L1_Word</group>
      <groupName>字词问题</groupName>
      <ability>L2_Typo</ability>
      <abilityName>字词错误</abilityName>
      <candidateList>
        <item>义务教育经费投入</item>
      </candidateList>
      <explain/>
      <paraID>232026CC</paraID>
      <start>1142</start>
      <end>1148</end>
      <status>unmodified</status>
      <modifiedWord/>
      <trackRevisions>false</trackRevisions>
    </reviewItem>
    <reviewItem>
      <errorID>66d4ebb6-046c-4928-8aec-91f927e27892</errorID>
      <errorWord>息</errorWord>
      <group>L1_Word</group>
      <groupName>字词问题</groupName>
      <ability>L2_Typo</ability>
      <abilityName>字词错误</abilityName>
      <candidateList>
        <item>息化</item>
      </candidateList>
      <explain/>
      <paraID>232026CC</paraID>
      <start>1206</start>
      <end>1207</end>
      <status>unmodified</status>
      <modifiedWord/>
      <trackRevisions>false</trackRevisions>
    </reviewItem>
    <reviewItem>
      <errorID>13f32812-b66b-4de6-889c-299dc194e9d4</errorID>
      <errorWord>巩固了拓展脱贫攻坚成果同乡村振兴有效衔接</errorWord>
      <group>L1_Political</group>
      <groupName>政治性问题</groupName>
      <ability>L2_Keyword</ability>
      <abilityName>固定表述</abilityName>
      <candidateList>
        <item>巩固拓展脱贫攻坚成果同乡村振兴有效衔接</item>
      </candidateList>
      <explain>词汇“巩固拓展脱贫攻坚成果同乡村振兴有效衔接”在特定场景下为固定表述形式，请确认此处的“巩固了拓展脱贫攻坚成果同乡村振兴有效衔接”是否存在不当。</explain>
      <paraID> 61D27BC</paraID>
      <start>244</start>
      <end>264</end>
      <status>unmodified</status>
      <modifiedWord/>
      <trackRevisions>false</trackRevisions>
    </reviewItem>
    <reviewItem>
      <errorID>4a163f79-624d-4167-99bc-7baac65d69b0</errorID>
      <errorWord>-</errorWord>
      <group>L1_Format</group>
      <groupName>格式问题</groupName>
      <ability>L2_HalfPunc</ability>
      <abilityName>全半角检查</abilityName>
      <candidateList>
        <item>－</item>
      </candidateList>
      <explain>文本全半角错误。</explain>
      <paraID> E4BBADD</paraID>
      <start>22</start>
      <end>23</end>
      <status>unmodified</status>
      <modifiedWord/>
      <trackRevisions>false</trackRevisions>
    </reviewItem>
    <reviewItem>
      <errorID>f06b7979-254c-4df1-8613-365c55d0879d</errorID>
      <errorWord>-</errorWord>
      <group>L1_Format</group>
      <groupName>格式问题</groupName>
      <ability>L2_HalfPunc</ability>
      <abilityName>全半角检查</abilityName>
      <candidateList>
        <item>－</item>
      </candidateList>
      <explain>文本全半角错误。</explain>
      <paraID> E4BBADD</paraID>
      <start>32</start>
      <end>33</end>
      <status>unmodified</status>
      <modifiedWord/>
      <trackRevisions>false</trackRevisions>
    </reviewItem>
    <reviewItem>
      <errorID>97f06b5d-faf8-4eb4-aa5c-cccad2c81515</errorID>
      <errorWord>-</errorWord>
      <group>L1_Format</group>
      <groupName>格式问题</groupName>
      <ability>L2_HalfPunc</ability>
      <abilityName>全半角检查</abilityName>
      <candidateList>
        <item>－</item>
      </candidateList>
      <explain>文本全半角错误。</explain>
      <paraID> E4BBADD</paraID>
      <start>56</start>
      <end>57</end>
      <status>unmodified</status>
      <modifiedWord/>
      <trackRevisions>false</trackRevisions>
    </reviewItem>
    <reviewItem>
      <errorID>a66c901c-2fe9-489c-b14e-2d908d4d6010</errorID>
      <errorWord>-</errorWord>
      <group>L1_Format</group>
      <groupName>格式问题</groupName>
      <ability>L2_HalfPunc</ability>
      <abilityName>全半角检查</abilityName>
      <candidateList>
        <item>－</item>
      </candidateList>
      <explain>文本全半角错误。</explain>
      <paraID> E4BBADD</paraID>
      <start>120</start>
      <end>121</end>
      <status>unmodified</status>
      <modifiedWord/>
      <trackRevisions>false</trackRevisions>
    </reviewItem>
    <reviewItem>
      <errorID>6fea8621-f4fa-4280-a8e3-952a7da39212</errorID>
      <errorWord>-</errorWord>
      <group>L1_Format</group>
      <groupName>格式问题</groupName>
      <ability>L2_HalfPunc</ability>
      <abilityName>全半角检查</abilityName>
      <candidateList>
        <item>－</item>
      </candidateList>
      <explain>文本全半角错误。</explain>
      <paraID>483A402F</paraID>
      <start>6</start>
      <end>7</end>
      <status>unmodified</status>
      <modifiedWord/>
      <trackRevisions>false</trackRevisions>
    </reviewItem>
    <reviewItem>
      <errorID>6f1ca3a2-0be3-4ec4-bc1e-3f39137c499d</errorID>
      <errorWord>-</errorWord>
      <group>L1_Format</group>
      <groupName>格式问题</groupName>
      <ability>L2_HalfPunc</ability>
      <abilityName>全半角检查</abilityName>
      <candidateList>
        <item>－</item>
      </candidateList>
      <explain>文本全半角错误。</explain>
      <paraID> 74A5260</paraID>
      <start>4</start>
      <end>5</end>
      <status>unmodified</status>
      <modifiedWord/>
      <trackRevisions>false</trackRevisions>
    </reviewItem>
    <reviewItem>
      <errorID>f4e08f1c-6cf8-4987-9c20-103cdfdc7438</errorID>
      <errorWord>13号</errorWord>
      <group>L1_Knowledge</group>
      <groupName>知识性问题</groupName>
      <ability>L2_Time</ability>
      <abilityName>日期时间</abilityName>
      <candidateList>
        <item>13日</item>
      </candidateList>
      <explain>日期表达规范为x月x日。</explain>
      <paraID>131FCB11</paraID>
      <start>9</start>
      <end>12</end>
      <status>unmodified</status>
      <modifiedWord/>
      <trackRevisions>false</trackRevisions>
    </reviewItem>
    <reviewItem>
      <errorID>cf968430-3da5-4aba-bb1d-4adfee642f5e</errorID>
      <errorWord>6号</errorWord>
      <group>L1_Knowledge</group>
      <groupName>知识性问题</groupName>
      <ability>L2_Time</ability>
      <abilityName>日期时间</abilityName>
      <candidateList>
        <item>6日</item>
      </candidateList>
      <explain>日期表达规范为x月x日。</explain>
      <paraID>131FCB11</paraID>
      <start>255</start>
      <end>257</end>
      <status>unmodified</status>
      <modifiedWord/>
      <trackRevisions>false</trackRevisions>
    </reviewItem>
    <reviewItem>
      <errorID>92c717b0-044a-4115-89a6-4ae20ef8ba92</errorID>
      <errorWord>13号</errorWord>
      <group>L1_Knowledge</group>
      <groupName>知识性问题</groupName>
      <ability>L2_Time</ability>
      <abilityName>日期时间</abilityName>
      <candidateList>
        <item>13日</item>
      </candidateList>
      <explain>日期表达规范为x月x日。</explain>
      <paraID>131FCB11</paraID>
      <start>306</start>
      <end>309</end>
      <status>unmodified</status>
      <modifiedWord/>
      <trackRevisions>false</trackRevisions>
    </reviewItem>
    <reviewItem>
      <errorID>a9c6e9ae-6ed4-49f5-998a-feb4da4a1703</errorID>
      <errorWord>43号</errorWord>
      <group>L1_Knowledge</group>
      <groupName>知识性问题</groupName>
      <ability>L2_Time</ability>
      <abilityName>日期时间</abilityName>
      <candidateList>
        <item>43日</item>
      </candidateList>
      <explain>日期表达规范为x月x日。</explain>
      <paraID>131FCB11</paraID>
      <start>335</start>
      <end>338</end>
      <status>unmodified</status>
      <modifiedWord/>
      <trackRevisions>false</trackRevisions>
    </reviewItem>
    <reviewItem>
      <errorID>d355072e-d2e2-4407-a350-1695f827ebb4</errorID>
      <errorWord>29号</errorWord>
      <group>L1_Knowledge</group>
      <groupName>知识性问题</groupName>
      <ability>L2_Time</ability>
      <abilityName>日期时间</abilityName>
      <candidateList>
        <item>29日</item>
      </candidateList>
      <explain>日期表达规范为x月x日。</explain>
      <paraID>131FCB11</paraID>
      <start>370</start>
      <end>373</end>
      <status>unmodified</status>
      <modifiedWord/>
      <trackRevisions>false</trackRevisions>
    </reviewItem>
    <reviewItem>
      <errorID>068588dd-d14e-435e-ab53-57664ff195df</errorID>
      <errorWord>73号</errorWord>
      <group>L1_Knowledge</group>
      <groupName>知识性问题</groupName>
      <ability>L2_Time</ability>
      <abilityName>日期时间</abilityName>
      <candidateList>
        <item>73日</item>
      </candidateList>
      <explain>日期表达规范为x月x日。</explain>
      <paraID>131FCB11</paraID>
      <start>428</start>
      <end>431</end>
      <status>unmodified</status>
      <modifiedWord/>
      <trackRevisions>false</trackRevisions>
    </reviewItem>
    <reviewItem>
      <errorID>e84e9131-cfc6-437b-a1ce-6287e889f021</errorID>
      <errorWord>三公经费</errorWord>
      <group>L1_Political</group>
      <groupName>政治性问题</groupName>
      <ability>L2_Keyword</ability>
      <abilityName>固定表述</abilityName>
      <candidateList>
        <item>“三公”经费</item>
      </candidateList>
      <explain>注意检查当前固定表述标点是否使用规范。</explain>
      <paraID>6C95C375</paraID>
      <start>2</start>
      <end>6</end>
      <status>unmodified</status>
      <modifiedWord/>
      <trackRevisions>false</trackRevisions>
    </reviewItem>
    <reviewItem>
      <errorID>e9e82a55-50dd-47ef-bdd1-00152c5df5e4</errorID>
      <errorWord>数</errorWord>
      <group>L1_Word</group>
      <groupName>字词问题</groupName>
      <ability>L2_Typo</ability>
      <abilityName>字词错误</abilityName>
      <candidateList>
        <item>数据</item>
      </candidateList>
      <explain/>
      <paraID>6C95C375</paraID>
      <start>9</start>
      <end>10</end>
      <status>unmodified</status>
      <modifiedWord/>
      <trackRevisions>false</trackRevisions>
    </reviewItem>
    <reviewItem>
      <errorID>33ba0a45-c177-4b39-aefe-26432686a0bf</errorID>
      <errorWord>-</errorWord>
      <group>L1_Format</group>
      <groupName>格式问题</groupName>
      <ability>L2_HalfPunc</ability>
      <abilityName>全半角检查</abilityName>
      <candidateList>
        <item>－</item>
      </candidateList>
      <explain>文本全半角错误。</explain>
      <paraID>3BEF255F</paraID>
      <start>4</start>
      <end>5</end>
      <status>unmodified</status>
      <modifiedWord/>
      <trackRevisions>false</trackRevisions>
    </reviewItem>
    <reviewItem>
      <errorID>93dbadab-a28c-4fb3-b70e-ed5c2bc6ba2e</errorID>
      <errorWord>-</errorWord>
      <group>L1_Format</group>
      <groupName>格式问题</groupName>
      <ability>L2_HalfPunc</ability>
      <abilityName>全半角检查</abilityName>
      <candidateList>
        <item>－</item>
      </candidateList>
      <explain>文本全半角错误。</explain>
      <paraID>3BEF255F</paraID>
      <start>9</start>
      <end>10</end>
      <status>unmodified</status>
      <modifiedWord/>
      <trackRevisions>false</trackRevisions>
    </reviewItem>
    <reviewItem>
      <errorID>fb9adec5-6c35-41b2-8a81-cdb1dc48255a</errorID>
      <errorWord>68号</errorWord>
      <group>L1_Knowledge</group>
      <groupName>知识性问题</groupName>
      <ability>L2_Time</ability>
      <abilityName>日期时间</abilityName>
      <candidateList>
        <item>68日</item>
      </candidateList>
      <explain>日期表达规范为x月x日。</explain>
      <paraID>3BEF255F</paraID>
      <start>63</start>
      <end>66</end>
      <status>unmodified</status>
      <modifiedWord/>
      <trackRevisions>false</trackRevisions>
    </reviewItem>
    <reviewItem>
      <errorID>53abf238-03f6-40ac-9700-59be63a6bb0b</errorID>
      <errorWord>-</errorWord>
      <group>L1_Format</group>
      <groupName>格式问题</groupName>
      <ability>L2_HalfPunc</ability>
      <abilityName>全半角检查</abilityName>
      <candidateList>
        <item>－</item>
      </candidateList>
      <explain>文本全半角错误。</explain>
      <paraID>1100C890</paraID>
      <start>21</start>
      <end>22</end>
      <status>unmodified</status>
      <modifiedWord/>
      <trackRevisions>false</trackRevisions>
    </reviewItem>
    <reviewItem>
      <errorID>9d8f13b7-286c-427f-85f7-b66087b5b1d6</errorID>
      <errorWord>-</errorWord>
      <group>L1_Format</group>
      <groupName>格式问题</groupName>
      <ability>L2_HalfPunc</ability>
      <abilityName>全半角检查</abilityName>
      <candidateList>
        <item>－</item>
      </candidateList>
      <explain>文本全半角错误。</explain>
      <paraID>1100C890</paraID>
      <start>24</start>
      <end>25</end>
      <status>unmodified</status>
      <modifiedWord/>
      <trackRevisions>false</trackRevisions>
    </reviewItem>
    <reviewItem>
      <errorID>47b91b1b-b295-49ed-b2e7-8230db423906</errorID>
      <errorWord>程</errorWord>
      <group>L1_Word</group>
      <groupName>字词问题</groupName>
      <ability>L2_Typo</ability>
      <abilityName>字词错误</abilityName>
      <candidateList>
        <item>程中</item>
      </candidateList>
      <explain/>
      <paraID>56A4563A</paraID>
      <start>7</start>
      <end>8</end>
      <status>unmodified</status>
      <modifiedWord/>
      <trackRevisions>false</trackRevisions>
    </reviewItem>
    <reviewItem>
      <errorID>77fa27de-bd3d-46a3-8c94-7dd5ddf2aa76</errorID>
      <errorWord>22号</errorWord>
      <group>L1_Knowledge</group>
      <groupName>知识性问题</groupName>
      <ability>L2_Time</ability>
      <abilityName>日期时间</abilityName>
      <candidateList>
        <item>22日</item>
      </candidateList>
      <explain>日期表达规范为x月x日。</explain>
      <paraID>56A4563A</paraID>
      <start>199</start>
      <end>202</end>
      <status>unmodified</status>
      <modifiedWord/>
      <trackRevisions>false</trackRevisions>
    </reviewItem>
    <reviewItem>
      <errorID>51a9ab22-0478-4828-8006-001f69ef1050</errorID>
      <errorWord>13号</errorWord>
      <group>L1_Knowledge</group>
      <groupName>知识性问题</groupName>
      <ability>L2_Time</ability>
      <abilityName>日期时间</abilityName>
      <candidateList>
        <item>13日</item>
      </candidateList>
      <explain>日期表达规范为x月x日。</explain>
      <paraID>56A4563A</paraID>
      <start>265</start>
      <end>268</end>
      <status>unmodified</status>
      <modifiedWord/>
      <trackRevisions>false</trackRevisions>
    </reviewItem>
    <reviewItem>
      <errorID>28aee9f1-0780-4edf-bf24-a521764f04f2</errorID>
      <errorWord>37号</errorWord>
      <group>L1_Knowledge</group>
      <groupName>知识性问题</groupName>
      <ability>L2_Time</ability>
      <abilityName>日期时间</abilityName>
      <candidateList>
        <item>37日</item>
      </candidateList>
      <explain>日期表达规范为x月x日。</explain>
      <paraID>56A4563A</paraID>
      <start>320</start>
      <end>323</end>
      <status>unmodified</status>
      <modifiedWord/>
      <trackRevisions>false</trackRevisions>
    </reviewItem>
    <reviewItem>
      <errorID>b3fcddbc-4972-4f78-9fbc-5aa8a9c256cb</errorID>
      <errorWord>，</errorWord>
      <group>L1_Word</group>
      <groupName>字词问题</groupName>
      <ability>L2_Typo</ability>
      <abilityName>字词错误</abilityName>
      <candidateList>
        <item>，以</item>
      </candidateList>
      <explain/>
      <paraID>56A4563A</paraID>
      <start>370</start>
      <end>371</end>
      <status>unmodified</status>
      <modifiedWord/>
      <trackRevisions>false</trackRevisions>
    </reviewItem>
    <reviewItem>
      <errorID>f135cedb-ce1e-46f7-9603-ee79194654b5</errorID>
      <errorWord>摄像及</errorWord>
      <group>L1_Word</group>
      <groupName>字词问题</groupName>
      <ability>L2_Typo</ability>
      <abilityName>字词错误</abilityName>
      <candidateList>
        <item>摄像机</item>
      </candidateList>
      <explain>存在发音相同字词的误用。</explain>
      <paraID>7AB12785</paraID>
      <start>2</start>
      <end>5</end>
      <status>unmodified</status>
      <modifiedWord/>
      <trackRevisions>false</trackRevisions>
    </reviewItem>
    <reviewItem>
      <errorID>210fbded-38f6-46d2-94ad-fa385988ac69</errorID>
      <errorWord>金碟</errorWord>
      <group>L1_Word</group>
      <groupName>字词问题</groupName>
      <ability>L2_Typo</ability>
      <abilityName>字词错误</abilityName>
      <candidateList>
        <item>金蝶</item>
      </candidateList>
      <explain/>
      <paraID>45812517</paraID>
      <start>0</start>
      <end>2</end>
      <status>unmodified</status>
      <modifiedWord/>
      <trackRevisions>false</trackRevisions>
    </reviewItem>
    <reviewItem>
      <errorID>742ac842-9485-45c7-b748-96ded5845147</errorID>
      <errorWord>（</errorWord>
      <group>L1_Punc</group>
      <groupName>标点问题</groupName>
      <ability>L2_Punc</ability>
      <abilityName>标点符号检查</abilityName>
      <candidateList/>
      <explain/>
      <paraID> 84606CD</paraID>
      <start>64</start>
      <end>65</end>
      <status>unmodified</status>
      <modifiedWord/>
      <trackRevisions>false</trackRevisions>
    </reviewItem>
    <reviewItem>
      <errorID>70519ee2-3ec1-4c8f-ade9-3d519eee353b</errorID>
      <errorWord>13号</errorWord>
      <group>L1_Knowledge</group>
      <groupName>知识性问题</groupName>
      <ability>L2_Time</ability>
      <abilityName>日期时间</abilityName>
      <candidateList>
        <item>13日</item>
      </candidateList>
      <explain>日期表达规范为x月x日。</explain>
      <paraID>4A22CBAF</paraID>
      <start>9</start>
      <end>12</end>
      <status>unmodified</status>
      <modifiedWord/>
      <trackRevisions>false</trackRevisions>
    </reviewItem>
    <reviewItem>
      <errorID>86b0c257-2ab4-434e-94e2-d7f1e02f21a3</errorID>
      <errorWord>6号</errorWord>
      <group>L1_Knowledge</group>
      <groupName>知识性问题</groupName>
      <ability>L2_Time</ability>
      <abilityName>日期时间</abilityName>
      <candidateList>
        <item>6日</item>
      </candidateList>
      <explain>日期表达规范为x月x日。</explain>
      <paraID>24B1870B</paraID>
      <start>38</start>
      <end>40</end>
      <status>unmodified</status>
      <modifiedWord/>
      <trackRevisions>false</trackRevisions>
    </reviewItem>
    <reviewItem>
      <errorID>284b8ec3-2b39-455b-bf15-2bc590bbe904</errorID>
      <errorWord>13号</errorWord>
      <group>L1_Knowledge</group>
      <groupName>知识性问题</groupName>
      <ability>L2_Time</ability>
      <abilityName>日期时间</abilityName>
      <candidateList>
        <item>13日</item>
      </candidateList>
      <explain>日期表达规范为x月x日。</explain>
      <paraID>24B1870B</paraID>
      <start>89</start>
      <end>92</end>
      <status>unmodified</status>
      <modifiedWord/>
      <trackRevisions>false</trackRevisions>
    </reviewItem>
    <reviewItem>
      <errorID>c0371216-220d-4111-82f4-273a264bd754</errorID>
      <errorWord>43号</errorWord>
      <group>L1_Knowledge</group>
      <groupName>知识性问题</groupName>
      <ability>L2_Time</ability>
      <abilityName>日期时间</abilityName>
      <candidateList>
        <item>43日</item>
      </candidateList>
      <explain>日期表达规范为x月x日。</explain>
      <paraID>24B1870B</paraID>
      <start>118</start>
      <end>121</end>
      <status>unmodified</status>
      <modifiedWord/>
      <trackRevisions>false</trackRevisions>
    </reviewItem>
    <reviewItem>
      <errorID>dec6a2f8-cf4c-4009-b9dc-7dae8c232830</errorID>
      <errorWord>29号</errorWord>
      <group>L1_Knowledge</group>
      <groupName>知识性问题</groupName>
      <ability>L2_Time</ability>
      <abilityName>日期时间</abilityName>
      <candidateList>
        <item>29日</item>
      </candidateList>
      <explain>日期表达规范为x月x日。</explain>
      <paraID>24B1870B</paraID>
      <start>153</start>
      <end>156</end>
      <status>unmodified</status>
      <modifiedWord/>
      <trackRevisions>false</trackRevisions>
    </reviewItem>
    <reviewItem>
      <errorID>ffd1eae6-ab60-4797-85c3-218a984b032c</errorID>
      <errorWord>22号</errorWord>
      <group>L1_Knowledge</group>
      <groupName>知识性问题</groupName>
      <ability>L2_Time</ability>
      <abilityName>日期时间</abilityName>
      <candidateList>
        <item>22日</item>
      </candidateList>
      <explain>日期表达规范为x月x日。</explain>
      <paraID>24B1870B</paraID>
      <start>395</start>
      <end>398</end>
      <status>unmodified</status>
      <modifiedWord/>
      <trackRevisions>false</trackRevisions>
    </reviewItem>
    <reviewItem>
      <errorID>e4c2ac67-121d-4fb3-bc13-fd241088f625</errorID>
      <errorWord>（</errorWord>
      <group>L1_Punc</group>
      <groupName>标点问题</groupName>
      <ability>L2_Punc</ability>
      <abilityName>标点符号检查</abilityName>
      <candidateList/>
      <explain/>
      <paraID>24526EB1</paraID>
      <start>7</start>
      <end>8</end>
      <status>unmodified</status>
      <modifiedWord/>
      <trackRevisions>false</trackRevisions>
    </reviewItem>
    <reviewItem>
      <errorID>ebe39cd3-cba0-476e-8840-990dc89312cc</errorID>
      <errorWord>随意流用</errorWord>
      <group>L1_Word</group>
      <groupName>字词问题</groupName>
      <ability>L2_Typo</ability>
      <abilityName>字词错误</abilityName>
      <candidateList>
        <item>随意留用</item>
      </candidateList>
      <explain/>
      <paraID>439C9FAD</paraID>
      <start>119</start>
      <end>123</end>
      <status>unmodified</status>
      <modifiedWord/>
      <trackRevisions>false</trackRevisions>
    </reviewItem>
    <reviewItem>
      <errorID>3d4ae2ab-f6ab-481d-8be1-5bc40358218c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439C9FAD</paraID>
      <start>245</start>
      <end>248</end>
      <status>unmodified</status>
      <modifiedWord/>
      <trackRevisions>false</trackRevisions>
    </reviewItem>
    <reviewItem>
      <errorID>e64d5f5e-1e9e-4e9a-8e7f-e022254a1c78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768956A</paraID>
      <start>273</start>
      <end>276</end>
      <status>unmodified</status>
      <modifiedWord/>
      <trackRevisions>false</trackRevisions>
    </reviewItem>
    <reviewItem>
      <errorID>0f2c4595-ed02-4488-a307-adce1eaa33aa</errorID>
      <errorWord>-</errorWord>
      <group>L1_Format</group>
      <groupName>格式问题</groupName>
      <ability>L2_HalfPunc</ability>
      <abilityName>全半角检查</abilityName>
      <candidateList>
        <item>－</item>
      </candidateList>
      <explain>文本全半角错误。</explain>
      <paraID> 768956A</paraID>
      <start>414</start>
      <end>415</end>
      <status>unmodified</status>
      <modifiedWord/>
      <trackRevisions>false</trackRevisions>
    </reviewItem>
    <reviewItem>
      <errorID>7f5f6721-4f8f-4e9d-a004-7cb6d27da5f6</errorID>
      <errorWord>、以及</errorWord>
      <group>L1_Punc</group>
      <groupName>标点问题</groupName>
      <ability>L2_Punc</ability>
      <abilityName>标点符号检查</abilityName>
      <candidateList>
        <item>，以及</item>
      </candidateList>
      <explain>连接词前后不宜使用顿号，建议使用逗号。</explain>
      <paraID> 768956A</paraID>
      <start>468</start>
      <end>471</end>
      <status>unmodified</status>
      <modifiedWord/>
      <trackRevisions>false</trackRevisions>
    </reviewItem>
    <reviewItem>
      <errorID>bad01ec7-bb17-4ca4-8cc7-90b4e245f74d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768956A</paraID>
      <start>562</start>
      <end>565</end>
      <status>unmodified</status>
      <modifiedWord/>
      <trackRevisions>false</trackRevisions>
    </reviewItem>
    <reviewItem>
      <errorID>485d4406-ee1b-4cd5-a385-88da9035ad31</errorID>
      <errorWord>财政和</errorWord>
      <group>L1_Word</group>
      <groupName>字词问题</groupName>
      <ability>L2_Typo</ability>
      <abilityName>字词错误</abilityName>
      <candidateList>
        <item>财政</item>
      </candidateList>
      <explain/>
      <paraID> 768956A</paraID>
      <start>793</start>
      <end>796</end>
      <status>unmodified</status>
      <modifiedWord/>
      <trackRevisions>false</trackRevisions>
    </reviewItem>
    <reviewItem>
      <errorID>da47c221-3a1a-4b35-82cf-0ba83dc5a31e</errorID>
      <errorWord>中华人民共和国政府采购法》</errorWord>
      <group>L1_Knowledge</group>
      <groupName>知识性问题</groupName>
      <ability>L2_Knowledge</ability>
      <abilityName>其他知识</abilityName>
      <candidateList>
        <item>《中华人民共和国政府采购法》</item>
      </candidateList>
      <explain>完整法律法规名称需要加书名号，请注意检查。</explain>
      <paraID> AF387C4</paraID>
      <start>314</start>
      <end>327</end>
      <status>unmodified</status>
      <modifiedWord/>
      <trackRevisions>false</trackRevisions>
    </reviewItem>
    <reviewItem>
      <errorID>252529b9-b79f-46b1-bb5f-b8900a0ab3e5</errorID>
      <errorWord>2-3年</errorWord>
      <group>L1_Word</group>
      <groupName>字词问题</groupName>
      <ability>L2_Typo</ability>
      <abilityName>字词错误</abilityName>
      <candidateList>
        <item>2～3年</item>
      </candidateList>
      <explain/>
      <paraID>22BE2A86</paraID>
      <start>479</start>
      <end>483</end>
      <status>unmodified</status>
      <modifiedWord/>
      <trackRevisions>false</trackRevisions>
    </reviewItem>
    <reviewItem>
      <errorID>3e4706a8-1122-4b30-8232-b3e2451e5553</errorID>
      <errorWord>13号</errorWord>
      <group>L1_Knowledge</group>
      <groupName>知识性问题</groupName>
      <ability>L2_Time</ability>
      <abilityName>日期时间</abilityName>
      <candidateList>
        <item>13日</item>
      </candidateList>
      <explain>日期表达规范为x月x日。</explain>
      <paraID>2A7E95EF</paraID>
      <start>9</start>
      <end>12</end>
      <status>unmodified</status>
      <modifiedWord/>
      <trackRevisions>false</trackRevisions>
    </reviewItem>
    <reviewItem>
      <errorID>fd7d7f77-d0c2-4a79-bf4b-6c3d83a60a78</errorID>
      <errorWord>、且</errorWord>
      <group>L1_Word</group>
      <groupName>字词问题</groupName>
      <ability>L2_Typo</ability>
      <abilityName>字词错误</abilityName>
      <candidateList>
        <item>且</item>
      </candidateList>
      <explain>〈书〉〈连〉❶尚且：死～不怕，困难又算什么？｜君～如此，况他人乎？❷并且；而且：既高～大｜他很聪明，～十分努力，因此成绩优异。</explain>
      <paraID>2CE2FB72</paraID>
      <start>458</start>
      <end>460</end>
      <status>unmodified</status>
      <modifiedWord/>
      <trackRevisions>false</trackRevisions>
    </reviewItem>
    <reviewItem>
      <errorID>147df9e5-776e-4105-95e2-3cb4fd8ee399</errorID>
      <errorWord>6号</errorWord>
      <group>L1_Knowledge</group>
      <groupName>知识性问题</groupName>
      <ability>L2_Time</ability>
      <abilityName>日期时间</abilityName>
      <candidateList>
        <item>6日</item>
      </candidateList>
      <explain>日期表达规范为x月x日。</explain>
      <paraID>3FD0B8EB</paraID>
      <start>38</start>
      <end>40</end>
      <status>unmodified</status>
      <modifiedWord/>
      <trackRevisions>false</trackRevisions>
    </reviewItem>
    <reviewItem>
      <errorID>de6b391d-4d81-47ea-a1b2-af552073a4e1</errorID>
      <errorWord>13号</errorWord>
      <group>L1_Knowledge</group>
      <groupName>知识性问题</groupName>
      <ability>L2_Time</ability>
      <abilityName>日期时间</abilityName>
      <candidateList>
        <item>13日</item>
      </candidateList>
      <explain>日期表达规范为x月x日。</explain>
      <paraID>3FD0B8EB</paraID>
      <start>89</start>
      <end>92</end>
      <status>unmodified</status>
      <modifiedWord/>
      <trackRevisions>false</trackRevisions>
    </reviewItem>
    <reviewItem>
      <errorID>9cee67a3-1e6d-478c-b13f-15f5b62fc44a</errorID>
      <errorWord>43号</errorWord>
      <group>L1_Knowledge</group>
      <groupName>知识性问题</groupName>
      <ability>L2_Time</ability>
      <abilityName>日期时间</abilityName>
      <candidateList>
        <item>43日</item>
      </candidateList>
      <explain>日期表达规范为x月x日。</explain>
      <paraID>3FD0B8EB</paraID>
      <start>118</start>
      <end>121</end>
      <status>unmodified</status>
      <modifiedWord/>
      <trackRevisions>false</trackRevisions>
    </reviewItem>
    <reviewItem>
      <errorID>532e6e49-5d10-47c3-b6a8-a235f4476711</errorID>
      <errorWord>财务人员本</errorWord>
      <group>L1_Word</group>
      <groupName>字词问题</groupName>
      <ability>L2_Typo</ability>
      <abilityName>字词错误</abilityName>
      <candidateList>
        <item>财务人员</item>
      </candidateList>
      <explain/>
      <paraID>302DE131</paraID>
      <start>175</start>
      <end>180</end>
      <status>unmodified</status>
      <modifiedWord/>
      <trackRevisions>false</trackRevisions>
    </reviewItem>
    <reviewItem>
      <errorID>53463a30-6301-4b59-ae68-eaa27d2fa714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302DE131</paraID>
      <start>892</start>
      <end>895</end>
      <status>unmodified</status>
      <modifiedWord/>
      <trackRevisions>false</trackRevisions>
    </reviewItem>
    <reviewItem>
      <errorID>462c99d1-e096-44da-9f53-79d38b22fe4b</errorID>
      <errorWord>29号</errorWord>
      <group>L1_Knowledge</group>
      <groupName>知识性问题</groupName>
      <ability>L2_Time</ability>
      <abilityName>日期时间</abilityName>
      <candidateList>
        <item>29日</item>
      </candidateList>
      <explain>日期表达规范为x月x日。</explain>
      <paraID>3AC455EB</paraID>
      <start>9</start>
      <end>12</end>
      <status>unmodified</status>
      <modifiedWord/>
      <trackRevisions>false</trackRevisions>
    </reviewItem>
    <reviewItem>
      <errorID>b3c45e37-484e-4a7a-bf55-abe76cc81dc8</errorID>
      <errorWord>“</errorWord>
      <group>L1_Punc</group>
      <groupName>标点问题</groupName>
      <ability>L2_Punc</ability>
      <abilityName>标点符号检查</abilityName>
      <candidateList/>
      <explain/>
      <paraID>62E32210</paraID>
      <start>29</start>
      <end>30</end>
      <status>unmodified</status>
      <modifiedWord/>
      <trackRevisions>false</trackRevisions>
    </reviewItem>
    <reviewItem>
      <errorID>cba2c7cf-ff55-4415-a4df-e5f442bc3dda</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62E32210</paraID>
      <start>676</start>
      <end>678</end>
      <status>unmodified</status>
      <modifiedWord/>
      <trackRevisions>false</trackRevisions>
    </reviewItem>
    <reviewItem>
      <errorID>df27c342-4144-4aba-ac25-de765962cf83</errorID>
      <errorWord>晰</errorWord>
      <group>L1_Word</group>
      <groupName>字词问题</groupName>
      <ability>L2_Typo</ability>
      <abilityName>字词错误</abilityName>
      <candidateList>
        <item>晰地</item>
      </candidateList>
      <explain/>
      <paraID>72A26A13</paraID>
      <start>161</start>
      <end>162</end>
      <status>unmodified</status>
      <modifiedWord/>
      <trackRevisions>false</trackRevisions>
    </reviewItem>
    <reviewItem>
      <errorID>8ce61596-05fa-4adb-927d-2e052d1b349f</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72A26A13</paraID>
      <start>303</start>
      <end>304</end>
      <status>unmodified</status>
      <modifiedWord/>
      <trackRevisions>false</trackRevisions>
    </reviewItem>
    <reviewItem>
      <errorID>46f27b1e-6ebb-47b2-bb15-ae26cbf6e0ac</errorID>
      <errorWord>68号</errorWord>
      <group>L1_Knowledge</group>
      <groupName>知识性问题</groupName>
      <ability>L2_Time</ability>
      <abilityName>日期时间</abilityName>
      <candidateList>
        <item>68日</item>
      </candidateList>
      <explain>日期表达规范为x月x日。</explain>
      <paraID> 3310DEE</paraID>
      <start>30</start>
      <end>33</end>
      <status>unmodified</status>
      <modifiedWord/>
      <trackRevisions>false</trackRevisions>
    </reviewItem>
    <reviewItem>
      <errorID>29f587af-61f8-4fda-914f-dfb5b932a173</errorID>
      <errorWord>合同法</errorWord>
      <group>L1_Knowledge</group>
      <groupName>知识性问题</groupName>
      <ability>L2_Knowledge</ability>
      <abilityName>其他知识</abilityName>
      <candidateList/>
      <explain>已废止</explain>
      <paraID>1CC7B9B8</paraID>
      <start>15</start>
      <end>18</end>
      <status>unmodified</status>
      <modifiedWord/>
      <trackRevisions>false</trackRevisions>
    </reviewItem>
    <reviewItem>
      <errorID>02fcade8-b5c5-4976-bec0-71acaa1db9dc</errorID>
      <errorWord>即时</errorWord>
      <group>L1_Word</group>
      <groupName>字词问题</groupName>
      <ability>L2_Typo</ability>
      <abilityName>字词错误</abilityName>
      <candidateList>
        <item>及时</item>
      </candidateList>
      <explain>存在发音相同字词的误用。</explain>
      <paraID>41B86D86</paraID>
      <start>32</start>
      <end>34</end>
      <status>unmodified</status>
      <modifiedWord/>
      <trackRevisions>false</trackRevisions>
    </reviewItem>
    <reviewItem>
      <errorID>26298a82-a5fb-4e38-b361-c02add3aa6d7</errorID>
      <errorWord>人事部</errorWord>
      <group>L1_Knowledge</group>
      <groupName>知识性问题</groupName>
      <ability>L2_Organization</ability>
      <abilityName>机构检查</abilityName>
      <candidateList>
        <item>人力资源和社会保障部</item>
      </candidateList>
      <explain>2008年3月，根据第十一届全国人民代表大会第一次会议审议通过的《国务院机构改革方案》，组建人力资源和社会保障部。将人事部职责整合划入人力资源和社会保障部，不再保留人事部。</explain>
      <paraID>3B40CC2C</paraID>
      <start>257</start>
      <end>260</end>
      <status>unmodified</status>
      <modifiedWord/>
      <trackRevisions>false</trackRevisions>
    </reviewItem>
    <reviewItem>
      <errorID>684a4418-f30f-4869-b4eb-e948cf75940a</errorID>
      <errorWord>人事部</errorWord>
      <group>L1_Knowledge</group>
      <groupName>知识性问题</groupName>
      <ability>L2_Organization</ability>
      <abilityName>机构检查</abilityName>
      <candidateList>
        <item>人力资源和社会保障部</item>
      </candidateList>
      <explain>2008年3月，根据第十一届全国人民代表大会第一次会议审议通过的《国务院机构改革方案》，组建人力资源和社会保障部。将人事部职责整合划入人力资源和社会保障部，不再保留人事部。</explain>
      <paraID>10E58A4E</paraID>
      <start>237</start>
      <end>240</end>
      <status>unmodified</status>
      <modifiedWord/>
      <trackRevisions>false</trackRevisions>
    </reviewItem>
    <reviewItem>
      <errorID>f7210411-1774-48eb-8e02-6c086ac83d5f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39E2D30</paraID>
      <start>419</start>
      <end>422</end>
      <status>unmodified</status>
      <modifiedWord/>
      <trackRevisions>false</trackRevisions>
    </reviewItem>
    <reviewItem>
      <errorID>f1efc96e-01ab-49f3-a6d9-7f768c01483e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39E2D30</paraID>
      <start>431</start>
      <end>434</end>
      <status>unmodified</status>
      <modifiedWord/>
      <trackRevisions>false</trackRevisions>
    </reviewItem>
    <reviewItem>
      <errorID>476fd369-284f-4c9d-9fa4-1a885e897842</errorID>
      <errorWord>-</errorWord>
      <group>L1_Format</group>
      <groupName>格式问题</groupName>
      <ability>L2_HalfPunc</ability>
      <abilityName>全半角检查</abilityName>
      <candidateList>
        <item>－</item>
      </candidateList>
      <explain>文本全半角错误。</explain>
      <paraID> 39E2D30</paraID>
      <start>478</start>
      <end>479</end>
      <status>unmodified</status>
      <modifiedWord/>
      <trackRevisions>false</trackRevisions>
    </reviewItem>
    <reviewItem>
      <errorID>9d211338-70da-4184-8bf9-b569a3f03466</errorID>
      <errorWord>&gt;</errorWord>
      <group>L1_Format</group>
      <groupName>格式问题</groupName>
      <ability>L2_HalfPunc</ability>
      <abilityName>全半角检查</abilityName>
      <candidateList>
        <item>〉</item>
      </candidateList>
      <explain>文本全半角错误。</explain>
      <paraID> 39E2D30</paraID>
      <start>479</start>
      <end>480</end>
      <status>unmodified</status>
      <modifiedWord/>
      <trackRevisions>false</trackRevisions>
    </reviewItem>
    <reviewItem>
      <errorID>42eea382-09f6-4bc2-957a-8b099250e163</errorID>
      <errorWord>-</errorWord>
      <group>L1_Format</group>
      <groupName>格式问题</groupName>
      <ability>L2_HalfPunc</ability>
      <abilityName>全半角检查</abilityName>
      <candidateList>
        <item>－</item>
      </candidateList>
      <explain>文本全半角错误。</explain>
      <paraID> 39E2D30</paraID>
      <start>487</start>
      <end>488</end>
      <status>unmodified</status>
      <modifiedWord/>
      <trackRevisions>false</trackRevisions>
    </reviewItem>
    <reviewItem>
      <errorID>aec6c54c-7782-48af-b004-254b16b5cc22</errorID>
      <errorWord>&gt;</errorWord>
      <group>L1_Format</group>
      <groupName>格式问题</groupName>
      <ability>L2_HalfPunc</ability>
      <abilityName>全半角检查</abilityName>
      <candidateList>
        <item>〉</item>
      </candidateList>
      <explain>文本全半角错误。</explain>
      <paraID> 39E2D30</paraID>
      <start>488</start>
      <end>489</end>
      <status>unmodified</status>
      <modifiedWord/>
      <trackRevisions>false</trackRevisions>
    </reviewItem>
    <reviewItem>
      <errorID>8b98d5db-ee03-4287-9cb9-3124a79aab91</errorID>
      <errorWord>-</errorWord>
      <group>L1_Format</group>
      <groupName>格式问题</groupName>
      <ability>L2_HalfPunc</ability>
      <abilityName>全半角检查</abilityName>
      <candidateList>
        <item>－</item>
      </candidateList>
      <explain>文本全半角错误。</explain>
      <paraID> 39E2D30</paraID>
      <start>498</start>
      <end>499</end>
      <status>unmodified</status>
      <modifiedWord/>
      <trackRevisions>false</trackRevisions>
    </reviewItem>
    <reviewItem>
      <errorID>ebd85766-6c78-4a53-84c8-c0b57dcf4e55</errorID>
      <errorWord>&gt;</errorWord>
      <group>L1_Format</group>
      <groupName>格式问题</groupName>
      <ability>L2_HalfPunc</ability>
      <abilityName>全半角检查</abilityName>
      <candidateList>
        <item>〉</item>
      </candidateList>
      <explain>文本全半角错误。</explain>
      <paraID> 39E2D30</paraID>
      <start>499</start>
      <end>500</end>
      <status>unmodified</status>
      <modifiedWord/>
      <trackRevisions>false</trackRevisions>
    </reviewItem>
    <reviewItem>
      <errorID>02165999-5832-4353-b713-f195e21cee22</errorID>
      <errorWord>-</errorWord>
      <group>L1_Format</group>
      <groupName>格式问题</groupName>
      <ability>L2_HalfPunc</ability>
      <abilityName>全半角检查</abilityName>
      <candidateList>
        <item>－</item>
      </candidateList>
      <explain>文本全半角错误。</explain>
      <paraID> 39E2D30</paraID>
      <start>507</start>
      <end>508</end>
      <status>unmodified</status>
      <modifiedWord/>
      <trackRevisions>false</trackRevisions>
    </reviewItem>
    <reviewItem>
      <errorID>fa402635-a28b-4f7f-be56-70d84d2459df</errorID>
      <errorWord>&gt;</errorWord>
      <group>L1_Format</group>
      <groupName>格式问题</groupName>
      <ability>L2_HalfPunc</ability>
      <abilityName>全半角检查</abilityName>
      <candidateList>
        <item>〉</item>
      </candidateList>
      <explain>文本全半角错误。</explain>
      <paraID> 39E2D30</paraID>
      <start>508</start>
      <end>509</end>
      <status>unmodified</status>
      <modifiedWord/>
      <trackRevisions>false</trackRevisions>
    </reviewItem>
    <reviewItem>
      <errorID>5735851f-f9c0-42e2-9f9e-55be6a0d6719</errorID>
      <errorWord>补盖</errorWord>
      <group>L1_Word</group>
      <groupName>字词问题</groupName>
      <ability>L2_Typo</ability>
      <abilityName>字词错误</abilityName>
      <candidateList>
        <item>加盖</item>
      </candidateList>
      <explain/>
      <paraID>5DE7B290</paraID>
      <start>72</start>
      <end>74</end>
      <status>unmodified</status>
      <modifiedWord/>
      <trackRevisions>false</trackRevisions>
    </reviewItem>
    <reviewItem>
      <errorID>bb3e02b7-f563-4672-a837-14c761ef9062</errorID>
      <errorWord>22号</errorWord>
      <group>L1_Knowledge</group>
      <groupName>知识性问题</groupName>
      <ability>L2_Time</ability>
      <abilityName>日期时间</abilityName>
      <candidateList>
        <item>22日</item>
      </candidateList>
      <explain>日期表达规范为x月x日。</explain>
      <paraID>183EB3AB</paraID>
      <start>34</start>
      <end>37</end>
      <status>unmodified</status>
      <modifiedWord/>
      <trackRevisions>false</trackRevisions>
    </reviewItem>
    <reviewItem>
      <errorID>64055fc4-afed-47da-92cd-4d4b28746fef</errorID>
      <errorWord>，</errorWord>
      <group>L1_Word</group>
      <groupName>字词问题</groupName>
      <ability>L2_Typo</ability>
      <abilityName>字词错误</abilityName>
      <candidateList>
        <item>，必</item>
      </candidateList>
      <explain/>
      <paraID>4347EF95</paraID>
      <start>170</start>
      <end>171</end>
      <status>unmodified</status>
      <modifiedWord/>
      <trackRevisions>false</trackRevisions>
    </reviewItem>
    <reviewItem>
      <errorID>a14c486d-1aa2-46fc-868d-fb0b168b8993</errorID>
      <errorWord>-</errorWord>
      <group>L1_Format</group>
      <groupName>格式问题</groupName>
      <ability>L2_HalfPunc</ability>
      <abilityName>全半角检查</abilityName>
      <candidateList>
        <item>－</item>
      </candidateList>
      <explain>文本全半角错误。</explain>
      <paraID>182948E3</paraID>
      <start>56</start>
      <end>57</end>
      <status>unmodified</status>
      <modifiedWord/>
      <trackRevisions>false</trackRevisions>
    </reviewItem>
    <reviewItem>
      <errorID>e1249533-c56b-41d7-a364-d489cc654e6d</errorID>
      <errorWord>繁琐</errorWord>
      <group>L1_Word</group>
      <groupName>字词问题</groupName>
      <ability>L2_Typo</ability>
      <abilityName>字词错误</abilityName>
      <candidateList>
        <item>烦琐</item>
      </candidateList>
      <explain/>
      <paraID>105830A8</paraID>
      <start>217</start>
      <end>219</end>
      <status>unmodified</status>
      <modifiedWord/>
      <trackRevisions>false</trackRevisions>
    </reviewItem>
    <reviewItem>
      <errorID>9b306427-c5dd-4a57-820c-88da6486786d</errorID>
      <errorWord>-</errorWord>
      <group>L1_Format</group>
      <groupName>格式问题</groupName>
      <ability>L2_HalfPunc</ability>
      <abilityName>全半角检查</abilityName>
      <candidateList>
        <item>－</item>
      </candidateList>
      <explain>文本全半角错误。</explain>
      <paraID> C191213</paraID>
      <start>29</start>
      <end>30</end>
      <status>unmodified</status>
      <modifiedWord/>
      <trackRevisions>false</trackRevisions>
    </reviewItem>
    <reviewItem>
      <errorID>c8964253-3196-4874-8568-601f6e745d79</errorID>
      <errorWord>-</errorWord>
      <group>L1_Format</group>
      <groupName>格式问题</groupName>
      <ability>L2_HalfPunc</ability>
      <abilityName>全半角检查</abilityName>
      <candidateList>
        <item>－</item>
      </candidateList>
      <explain>文本全半角错误。</explain>
      <paraID> C191213</paraID>
      <start>211</start>
      <end>212</end>
      <status>unmodified</status>
      <modifiedWord/>
      <trackRevisions>false</trackRevisions>
    </reviewItem>
    <reviewItem>
      <errorID>87e713f0-605e-4b88-9009-cc3327f428a8</errorID>
      <errorWord>-</errorWord>
      <group>L1_Format</group>
      <groupName>格式问题</groupName>
      <ability>L2_HalfPunc</ability>
      <abilityName>全半角检查</abilityName>
      <candidateList>
        <item>－</item>
      </candidateList>
      <explain>文本全半角错误。</explain>
      <paraID> C191213</paraID>
      <start>390</start>
      <end>391</end>
      <status>unmodified</status>
      <modifiedWord/>
      <trackRevisions>false</trackRevisions>
    </reviewItem>
    <reviewItem>
      <errorID>31dbe827-6f47-4249-bfb4-31e7300d9cae</errorID>
      <errorWord>人事部</errorWord>
      <group>L1_Knowledge</group>
      <groupName>知识性问题</groupName>
      <ability>L2_Organization</ability>
      <abilityName>机构检查</abilityName>
      <candidateList>
        <item>人力资源和社会保障部</item>
      </candidateList>
      <explain>2008年3月，根据第十一届全国人民代表大会第一次会议审议通过的《国务院机构改革方案》，组建人力资源和社会保障部。将人事部职责整合划入人力资源和社会保障部，不再保留人事部。</explain>
      <paraID> C191213</paraID>
      <start>453</start>
      <end>456</end>
      <status>unmodified</status>
      <modifiedWord/>
      <trackRevisions>false</trackRevisions>
    </reviewItem>
    <reviewItem>
      <errorID>40340c01-a827-465b-916f-ef7749e9e30e</errorID>
      <errorWord>人事部</errorWord>
      <group>L1_Knowledge</group>
      <groupName>知识性问题</groupName>
      <ability>L2_Organization</ability>
      <abilityName>机构检查</abilityName>
      <candidateList>
        <item>人力资源和社会保障部</item>
      </candidateList>
      <explain>2008年3月，根据第十一届全国人民代表大会第一次会议审议通过的《国务院机构改革方案》，组建人力资源和社会保障部。将人事部职责整合划入人力资源和社会保障部，不再保留人事部。</explain>
      <paraID> C191213</paraID>
      <start>510</start>
      <end>513</end>
      <status>ignored</status>
      <modifiedWord/>
      <trackRevisions>false</trackRevisions>
    </reviewItem>
    <reviewItem>
      <errorID>a8f2766e-1810-4e9d-8c23-331cdb2d2175</errorID>
      <errorWord>-</errorWord>
      <group>L1_Format</group>
      <groupName>格式问题</groupName>
      <ability>L2_HalfPunc</ability>
      <abilityName>全半角检查</abilityName>
      <candidateList>
        <item>－</item>
      </candidateList>
      <explain>文本全半角错误。</explain>
      <paraID> 343AA45</paraID>
      <start>341</start>
      <end>342</end>
      <status>ignored</status>
      <modifiedWord/>
      <trackRevisions>false</trackRevisions>
    </reviewItem>
    <reviewItem>
      <errorID>96bcaf93-f0b1-4108-a139-f56036b020eb</errorID>
      <errorWord>-</errorWord>
      <group>L1_Format</group>
      <groupName>格式问题</groupName>
      <ability>L2_HalfPunc</ability>
      <abilityName>全半角检查</abilityName>
      <candidateList>
        <item>－</item>
      </candidateList>
      <explain>文本全半角错误。</explain>
      <paraID> 343AA45</paraID>
      <start>344</start>
      <end>345</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d0da9a5-7dc9-4803-a0eb-cfbfeef224b6}">
  <ds:schemaRefs/>
</ds:datastoreItem>
</file>

<file path=docProps/app.xml><?xml version="1.0" encoding="utf-8"?>
<Properties xmlns="http://schemas.openxmlformats.org/officeDocument/2006/extended-properties" xmlns:vt="http://schemas.openxmlformats.org/officeDocument/2006/docPropsVTypes">
  <Template>Normal.dotm</Template>
  <Pages>111</Pages>
  <Words>6886</Words>
  <Characters>7387</Characters>
  <Lines>0</Lines>
  <Paragraphs>0</Paragraphs>
  <TotalTime>65</TotalTime>
  <ScaleCrop>false</ScaleCrop>
  <LinksUpToDate>false</LinksUpToDate>
  <CharactersWithSpaces>7416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2023-01-11T06:30:00Z</dcterms:created>
  <dc:creator>符敏（书魁）</dc:creator>
  <cp:lastModifiedBy>A.笑笑.</cp:lastModifiedBy>
  <cp:lastPrinted>2025-12-01T02:52:00Z</cp:lastPrinted>
  <dcterms:modified xsi:type="dcterms:W3CDTF">2025-12-26T07:40:00Z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79224C720F06428CA3CC04C92A854D1A_13</vt:lpwstr>
  </property>
  <property fmtid="{D5CDD505-2E9C-101B-9397-08002B2CF9AE}" pid="4" name="KSOTemplateDocerSaveRecord">
    <vt:lpwstr>eyJoZGlkIjoiYzBjYzc0N2U5YTU5MWVlNzQ1MTI0MjVjYjZiOWYwZjYiLCJ1c2VySWQiOiI1MjM3NTE4MDgifQ==</vt:lpwstr>
  </property>
</Properties>
</file>